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4015"/>
        <w:tblW w:w="946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4428"/>
        <w:gridCol w:w="5040"/>
      </w:tblGrid>
      <w:tr w:rsidR="00F20CFD" w:rsidRPr="001E3EF7" w14:paraId="09EDFB55" w14:textId="77777777" w:rsidTr="00610E58">
        <w:trPr>
          <w:trHeight w:val="589"/>
        </w:trPr>
        <w:tc>
          <w:tcPr>
            <w:tcW w:w="9468" w:type="dxa"/>
            <w:gridSpan w:val="2"/>
          </w:tcPr>
          <w:p w14:paraId="4C984DD0" w14:textId="77777777" w:rsidR="00F20CFD" w:rsidRPr="00507D03" w:rsidRDefault="00F20CFD" w:rsidP="00F636D0">
            <w:pPr>
              <w:tabs>
                <w:tab w:val="left" w:pos="6135"/>
              </w:tabs>
              <w:jc w:val="center"/>
              <w:rPr>
                <w:b/>
                <w:bCs/>
                <w:color w:val="808080"/>
                <w:sz w:val="28"/>
                <w:szCs w:val="28"/>
              </w:rPr>
            </w:pPr>
            <w:bookmarkStart w:id="0" w:name="_GoBack"/>
            <w:bookmarkEnd w:id="0"/>
            <w:r w:rsidRPr="00507D03">
              <w:rPr>
                <w:b/>
                <w:bCs/>
                <w:color w:val="808080"/>
              </w:rPr>
              <w:t xml:space="preserve">Клинические </w:t>
            </w:r>
            <w:r w:rsidRPr="00507D03">
              <w:rPr>
                <w:b/>
                <w:bCs/>
                <w:noProof/>
                <w:color w:val="808080"/>
                <w:lang w:eastAsia="ru-RU"/>
              </w:rPr>
              <w:t>рекомендации</w:t>
            </w:r>
          </w:p>
        </w:tc>
      </w:tr>
      <w:tr w:rsidR="00F20CFD" w:rsidRPr="001E3EF7" w14:paraId="7F156139" w14:textId="77777777" w:rsidTr="00610E58">
        <w:trPr>
          <w:trHeight w:val="1012"/>
        </w:trPr>
        <w:tc>
          <w:tcPr>
            <w:tcW w:w="9468" w:type="dxa"/>
            <w:gridSpan w:val="2"/>
          </w:tcPr>
          <w:p w14:paraId="09CFAC65" w14:textId="77777777" w:rsidR="00F20CFD" w:rsidRPr="001E3EF7" w:rsidRDefault="00F20CFD" w:rsidP="00F636D0">
            <w:pPr>
              <w:tabs>
                <w:tab w:val="left" w:pos="6135"/>
              </w:tabs>
              <w:jc w:val="center"/>
              <w:rPr>
                <w:sz w:val="28"/>
                <w:szCs w:val="28"/>
              </w:rPr>
            </w:pPr>
            <w:r w:rsidRPr="001E3EF7">
              <w:rPr>
                <w:b/>
                <w:sz w:val="44"/>
                <w:szCs w:val="44"/>
              </w:rPr>
              <w:t>Миелодиспластический синдром</w:t>
            </w:r>
          </w:p>
        </w:tc>
      </w:tr>
      <w:tr w:rsidR="00F20CFD" w:rsidRPr="001E3EF7" w14:paraId="7A3E13BB" w14:textId="77777777" w:rsidTr="00610E58">
        <w:trPr>
          <w:trHeight w:val="1185"/>
        </w:trPr>
        <w:tc>
          <w:tcPr>
            <w:tcW w:w="4428" w:type="dxa"/>
          </w:tcPr>
          <w:p w14:paraId="723FD34C" w14:textId="77777777" w:rsidR="00F20CFD" w:rsidRPr="00507D03" w:rsidRDefault="00F20CFD" w:rsidP="00F636D0">
            <w:pPr>
              <w:tabs>
                <w:tab w:val="left" w:pos="6135"/>
              </w:tabs>
              <w:spacing w:line="276" w:lineRule="auto"/>
              <w:jc w:val="right"/>
              <w:rPr>
                <w:color w:val="808080"/>
                <w:szCs w:val="28"/>
              </w:rPr>
            </w:pPr>
            <w:r w:rsidRPr="00507D03">
              <w:rPr>
                <w:color w:val="808080"/>
                <w:szCs w:val="28"/>
              </w:rPr>
              <w:t>Кодирование по Международной статистической классификации болезней и проблем, связанных со здоровьем:</w:t>
            </w:r>
          </w:p>
          <w:p w14:paraId="1599F3BD" w14:textId="77777777" w:rsidR="00F20CFD" w:rsidRPr="001E3EF7" w:rsidRDefault="00F20CFD" w:rsidP="00F636D0">
            <w:pPr>
              <w:pStyle w:val="aff5"/>
              <w:spacing w:line="276" w:lineRule="auto"/>
              <w:jc w:val="right"/>
              <w:rPr>
                <w:sz w:val="24"/>
                <w:szCs w:val="28"/>
              </w:rPr>
            </w:pPr>
          </w:p>
        </w:tc>
        <w:tc>
          <w:tcPr>
            <w:tcW w:w="5040" w:type="dxa"/>
          </w:tcPr>
          <w:p w14:paraId="4E284724" w14:textId="77777777" w:rsidR="00F20CFD" w:rsidRPr="00507D03" w:rsidRDefault="00F20CFD" w:rsidP="00F636D0">
            <w:pPr>
              <w:tabs>
                <w:tab w:val="left" w:pos="6135"/>
              </w:tabs>
              <w:spacing w:line="276" w:lineRule="auto"/>
              <w:rPr>
                <w:bCs/>
                <w:szCs w:val="28"/>
                <w:lang w:val="en-US"/>
              </w:rPr>
            </w:pPr>
            <w:r w:rsidRPr="00507D03">
              <w:rPr>
                <w:bCs/>
                <w:szCs w:val="28"/>
                <w:lang w:val="en-US"/>
              </w:rPr>
              <w:t>D46</w:t>
            </w:r>
          </w:p>
        </w:tc>
      </w:tr>
      <w:tr w:rsidR="00F20CFD" w:rsidRPr="001E3EF7" w14:paraId="11E3EFA0" w14:textId="77777777" w:rsidTr="00610E58">
        <w:trPr>
          <w:trHeight w:val="526"/>
        </w:trPr>
        <w:tc>
          <w:tcPr>
            <w:tcW w:w="4428" w:type="dxa"/>
          </w:tcPr>
          <w:p w14:paraId="3A87DD1A" w14:textId="77777777" w:rsidR="00F20CFD" w:rsidRPr="00507D03" w:rsidRDefault="00F20CFD" w:rsidP="00F636D0">
            <w:pPr>
              <w:tabs>
                <w:tab w:val="left" w:pos="6135"/>
              </w:tabs>
              <w:spacing w:line="276" w:lineRule="auto"/>
              <w:jc w:val="right"/>
              <w:rPr>
                <w:color w:val="808080"/>
                <w:szCs w:val="28"/>
              </w:rPr>
            </w:pPr>
            <w:r w:rsidRPr="00507D03">
              <w:rPr>
                <w:rStyle w:val="pop-slug-vol"/>
                <w:color w:val="808080"/>
                <w:szCs w:val="28"/>
              </w:rPr>
              <w:t>Возрастная группа:</w:t>
            </w:r>
            <w:r w:rsidRPr="00507D03">
              <w:rPr>
                <w:color w:val="808080"/>
                <w:szCs w:val="28"/>
              </w:rPr>
              <w:t xml:space="preserve"> </w:t>
            </w:r>
          </w:p>
        </w:tc>
        <w:tc>
          <w:tcPr>
            <w:tcW w:w="5040" w:type="dxa"/>
          </w:tcPr>
          <w:p w14:paraId="093A0524" w14:textId="77777777" w:rsidR="00F20CFD" w:rsidRPr="00507D03" w:rsidRDefault="00F20CFD" w:rsidP="00F636D0">
            <w:pPr>
              <w:tabs>
                <w:tab w:val="left" w:pos="6135"/>
              </w:tabs>
              <w:spacing w:line="276" w:lineRule="auto"/>
              <w:rPr>
                <w:bCs/>
                <w:szCs w:val="28"/>
              </w:rPr>
            </w:pPr>
            <w:r w:rsidRPr="00507D03">
              <w:rPr>
                <w:bCs/>
                <w:szCs w:val="28"/>
              </w:rPr>
              <w:t>взрослые</w:t>
            </w:r>
          </w:p>
        </w:tc>
      </w:tr>
      <w:tr w:rsidR="00F20CFD" w:rsidRPr="001E3EF7" w14:paraId="71471BF2" w14:textId="77777777" w:rsidTr="00610E58">
        <w:trPr>
          <w:trHeight w:val="522"/>
        </w:trPr>
        <w:tc>
          <w:tcPr>
            <w:tcW w:w="4428" w:type="dxa"/>
          </w:tcPr>
          <w:p w14:paraId="706C93C8" w14:textId="77777777" w:rsidR="00F20CFD" w:rsidRPr="00507D03" w:rsidRDefault="00F20CFD" w:rsidP="00F636D0">
            <w:pPr>
              <w:tabs>
                <w:tab w:val="left" w:pos="6135"/>
              </w:tabs>
              <w:spacing w:line="276" w:lineRule="auto"/>
              <w:jc w:val="right"/>
              <w:rPr>
                <w:color w:val="808080"/>
                <w:szCs w:val="28"/>
              </w:rPr>
            </w:pPr>
            <w:r w:rsidRPr="00507D03">
              <w:rPr>
                <w:color w:val="808080"/>
              </w:rPr>
              <w:t>Год утверждения:</w:t>
            </w:r>
          </w:p>
        </w:tc>
        <w:tc>
          <w:tcPr>
            <w:tcW w:w="5040" w:type="dxa"/>
          </w:tcPr>
          <w:p w14:paraId="106E4483" w14:textId="77777777" w:rsidR="00F20CFD" w:rsidRPr="00507D03" w:rsidRDefault="00F20CFD" w:rsidP="00F636D0">
            <w:pPr>
              <w:tabs>
                <w:tab w:val="left" w:pos="6135"/>
              </w:tabs>
              <w:spacing w:line="276" w:lineRule="auto"/>
              <w:rPr>
                <w:bCs/>
              </w:rPr>
            </w:pPr>
          </w:p>
        </w:tc>
      </w:tr>
      <w:tr w:rsidR="00F20CFD" w:rsidRPr="001E3EF7" w14:paraId="5E4B74D1" w14:textId="77777777" w:rsidTr="00610E58">
        <w:trPr>
          <w:trHeight w:val="589"/>
        </w:trPr>
        <w:tc>
          <w:tcPr>
            <w:tcW w:w="9468" w:type="dxa"/>
            <w:gridSpan w:val="2"/>
          </w:tcPr>
          <w:p w14:paraId="50080242" w14:textId="77777777" w:rsidR="00F20CFD" w:rsidRPr="00507D03" w:rsidRDefault="00F20CFD" w:rsidP="00F636D0">
            <w:pPr>
              <w:tabs>
                <w:tab w:val="left" w:pos="6135"/>
              </w:tabs>
              <w:rPr>
                <w:color w:val="808080"/>
                <w:sz w:val="20"/>
                <w:szCs w:val="20"/>
              </w:rPr>
            </w:pPr>
            <w:r w:rsidRPr="00507D03">
              <w:rPr>
                <w:color w:val="808080"/>
              </w:rPr>
              <w:t>Разработчик клинической рекомендации:</w:t>
            </w:r>
          </w:p>
        </w:tc>
      </w:tr>
      <w:tr w:rsidR="00F20CFD" w:rsidRPr="001E3EF7" w14:paraId="157DE2F2" w14:textId="77777777" w:rsidTr="00610E58">
        <w:trPr>
          <w:trHeight w:val="6062"/>
        </w:trPr>
        <w:tc>
          <w:tcPr>
            <w:tcW w:w="9468" w:type="dxa"/>
            <w:gridSpan w:val="2"/>
          </w:tcPr>
          <w:p w14:paraId="0FCD63C6" w14:textId="77777777" w:rsidR="00535CCC" w:rsidRPr="00610E58" w:rsidRDefault="00F20CFD" w:rsidP="005F2F2B">
            <w:pPr>
              <w:pStyle w:val="aff9"/>
              <w:numPr>
                <w:ilvl w:val="0"/>
                <w:numId w:val="31"/>
              </w:numPr>
            </w:pPr>
            <w:r w:rsidRPr="00535CCC">
              <w:rPr>
                <w:bCs/>
                <w:szCs w:val="24"/>
              </w:rPr>
              <w:t>Национальное гематологическое общество</w:t>
            </w:r>
          </w:p>
          <w:p w14:paraId="55796158" w14:textId="77777777" w:rsidR="00312B96" w:rsidRPr="00535CCC" w:rsidRDefault="00312B96" w:rsidP="005F2F2B">
            <w:pPr>
              <w:pStyle w:val="aff9"/>
              <w:numPr>
                <w:ilvl w:val="0"/>
                <w:numId w:val="32"/>
              </w:numPr>
              <w:rPr>
                <w:bCs/>
                <w:szCs w:val="24"/>
              </w:rPr>
            </w:pPr>
            <w:r w:rsidRPr="00535CCC">
              <w:rPr>
                <w:bCs/>
                <w:szCs w:val="24"/>
              </w:rPr>
              <w:t>Ассоциация онкологов России</w:t>
            </w:r>
          </w:p>
          <w:p w14:paraId="2C985293" w14:textId="77777777" w:rsidR="00F20CFD" w:rsidRPr="001E3EF7" w:rsidRDefault="00F20CFD" w:rsidP="00610E58">
            <w:pPr>
              <w:pStyle w:val="aff9"/>
              <w:rPr>
                <w:b/>
                <w:sz w:val="28"/>
              </w:rPr>
            </w:pPr>
          </w:p>
          <w:p w14:paraId="6AA49091" w14:textId="77777777" w:rsidR="00F20CFD" w:rsidRPr="001E3EF7" w:rsidRDefault="00F20CFD" w:rsidP="00F636D0">
            <w:pPr>
              <w:pStyle w:val="aff9"/>
              <w:rPr>
                <w:b/>
                <w:sz w:val="28"/>
              </w:rPr>
            </w:pPr>
          </w:p>
          <w:p w14:paraId="464AE93C" w14:textId="77777777" w:rsidR="00F20CFD" w:rsidRPr="001E3EF7" w:rsidRDefault="00F20CFD" w:rsidP="00F636D0">
            <w:pPr>
              <w:pStyle w:val="aff9"/>
              <w:rPr>
                <w:b/>
                <w:sz w:val="28"/>
              </w:rPr>
            </w:pPr>
          </w:p>
          <w:p w14:paraId="42E2857A" w14:textId="77777777" w:rsidR="00F20CFD" w:rsidRPr="001E3EF7" w:rsidRDefault="00F20CFD" w:rsidP="00F636D0">
            <w:pPr>
              <w:pStyle w:val="aff9"/>
              <w:jc w:val="right"/>
              <w:rPr>
                <w:b/>
                <w:sz w:val="28"/>
              </w:rPr>
            </w:pPr>
          </w:p>
          <w:p w14:paraId="07277BA1" w14:textId="77777777" w:rsidR="00F20CFD" w:rsidRPr="001E3EF7" w:rsidRDefault="00F20CFD" w:rsidP="00F636D0">
            <w:pPr>
              <w:pStyle w:val="aff9"/>
              <w:rPr>
                <w:b/>
                <w:sz w:val="28"/>
              </w:rPr>
            </w:pPr>
          </w:p>
          <w:p w14:paraId="10BE8EF5" w14:textId="77777777" w:rsidR="00F20CFD" w:rsidRPr="001E3EF7" w:rsidRDefault="00F20CFD" w:rsidP="00F636D0">
            <w:pPr>
              <w:pStyle w:val="aff9"/>
              <w:rPr>
                <w:b/>
                <w:sz w:val="28"/>
              </w:rPr>
            </w:pPr>
          </w:p>
          <w:p w14:paraId="797EFAB5" w14:textId="77777777" w:rsidR="00F20CFD" w:rsidRPr="001E3EF7" w:rsidRDefault="00F20CFD" w:rsidP="00F636D0">
            <w:pPr>
              <w:pStyle w:val="aff9"/>
              <w:rPr>
                <w:b/>
                <w:sz w:val="28"/>
              </w:rPr>
            </w:pPr>
          </w:p>
          <w:p w14:paraId="1764EA51" w14:textId="77777777" w:rsidR="00F20CFD" w:rsidRPr="001E3EF7" w:rsidRDefault="00F20CFD" w:rsidP="00F636D0">
            <w:pPr>
              <w:pStyle w:val="aff9"/>
              <w:rPr>
                <w:b/>
                <w:sz w:val="28"/>
              </w:rPr>
            </w:pPr>
          </w:p>
        </w:tc>
      </w:tr>
    </w:tbl>
    <w:p w14:paraId="19781643" w14:textId="77777777" w:rsidR="00F20CFD" w:rsidRPr="006A377C" w:rsidRDefault="00EF53EA" w:rsidP="00774A5B">
      <w:pPr>
        <w:rPr>
          <w:szCs w:val="24"/>
        </w:rPr>
      </w:pPr>
      <w:r>
        <w:rPr>
          <w:noProof/>
          <w:lang w:eastAsia="ru-RU"/>
        </w:rPr>
        <mc:AlternateContent>
          <mc:Choice Requires="wps">
            <w:drawing>
              <wp:anchor distT="0" distB="0" distL="114300" distR="114300" simplePos="0" relativeHeight="251658752" behindDoc="1" locked="0" layoutInCell="1" allowOverlap="1" wp14:anchorId="3CE67BBF" wp14:editId="7126266D">
                <wp:simplePos x="0" y="0"/>
                <wp:positionH relativeFrom="page">
                  <wp:posOffset>394335</wp:posOffset>
                </wp:positionH>
                <wp:positionV relativeFrom="paragraph">
                  <wp:posOffset>-342900</wp:posOffset>
                </wp:positionV>
                <wp:extent cx="6858000" cy="9944100"/>
                <wp:effectExtent l="0" t="0" r="0" b="0"/>
                <wp:wrapNone/>
                <wp:docPr id="6"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8000" cy="9944100"/>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92E901" id="Прямоугольник 5" o:spid="_x0000_s1026" style="position:absolute;margin-left:31.05pt;margin-top:-27pt;width:540pt;height:783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" stroked="f" strokeweight="1pt">
                <v:path arrowok="t"/>
                <w10:wrap anchorx="page"/>
              </v:rect>
            </w:pict>
          </mc:Fallback>
        </mc:AlternateContent>
      </w:r>
      <w:r>
        <w:rPr>
          <w:noProof/>
          <w:lang w:eastAsia="ru-RU"/>
        </w:rPr>
        <mc:AlternateContent>
          <mc:Choice Requires="wps">
            <w:drawing>
              <wp:anchor distT="0" distB="0" distL="114300" distR="114300" simplePos="0" relativeHeight="251657728" behindDoc="1" locked="0" layoutInCell="1" allowOverlap="1" wp14:anchorId="5F9D0DD8" wp14:editId="27290730">
                <wp:simplePos x="0" y="0"/>
                <wp:positionH relativeFrom="page">
                  <wp:align>left</wp:align>
                </wp:positionH>
                <wp:positionV relativeFrom="paragraph">
                  <wp:posOffset>-855345</wp:posOffset>
                </wp:positionV>
                <wp:extent cx="7600950" cy="10953750"/>
                <wp:effectExtent l="0" t="0" r="0" b="0"/>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00950" cy="10953750"/>
                        </a:xfrm>
                        <a:prstGeom prst="rect">
                          <a:avLst/>
                        </a:prstGeom>
                        <a:solidFill>
                          <a:srgbClr val="0B595D">
                            <a:alpha val="9804"/>
                          </a:srgb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8A52DE9" w14:textId="77777777" w:rsidR="007755C5" w:rsidRDefault="007755C5" w:rsidP="009F4238">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9D0DD8" id="Rectangle 3" o:spid="_x0000_s1026" style="position:absolute;left:0;text-align:left;margin-left:0;margin-top:-67.35pt;width:598.5pt;height:862.5pt;z-index:-25165875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" fillcolor="#0b595d" stroked="f" strokeweight="1pt">
                <v:fill opacity="6425f"/>
                <v:path arrowok="t"/>
                <v:textbox>
                  <w:txbxContent>
                    <w:p w14:paraId="28A52DE9" w14:textId="77777777" w:rsidR="007755C5" w:rsidRDefault="007755C5" w:rsidP="009F4238">
                      <w:pPr>
                        <w:jc w:val="center"/>
                      </w:pPr>
                      <w:r>
                        <w:t xml:space="preserve"> </w:t>
                      </w:r>
                    </w:p>
                  </w:txbxContent>
                </v:textbox>
                <w10:wrap anchorx="page"/>
              </v:rect>
            </w:pict>
          </mc:Fallback>
        </mc:AlternateContent>
      </w:r>
      <w:r>
        <w:rPr>
          <w:noProof/>
          <w:lang w:eastAsia="ru-RU"/>
        </w:rPr>
        <mc:AlternateContent>
          <mc:Choice Requires="wps">
            <w:drawing>
              <wp:anchor distT="0" distB="0" distL="114300" distR="114300" simplePos="0" relativeHeight="251656704" behindDoc="1" locked="0" layoutInCell="1" allowOverlap="1" wp14:anchorId="6C058F9B" wp14:editId="2C631EFA">
                <wp:simplePos x="0" y="0"/>
                <wp:positionH relativeFrom="page">
                  <wp:posOffset>11068685</wp:posOffset>
                </wp:positionH>
                <wp:positionV relativeFrom="paragraph">
                  <wp:posOffset>-1253490</wp:posOffset>
                </wp:positionV>
                <wp:extent cx="7048500" cy="11021060"/>
                <wp:effectExtent l="0" t="0" r="0" b="0"/>
                <wp:wrapNone/>
                <wp:docPr id="4"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48500" cy="11021060"/>
                        </a:xfrm>
                        <a:prstGeom prst="rect">
                          <a:avLst/>
                        </a:prstGeom>
                        <a:solidFill>
                          <a:srgbClr val="0B595D">
                            <a:alpha val="10196"/>
                          </a:srgb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DC6CCD" id="Прямоугольник 3" o:spid="_x0000_s1026" style="position:absolute;margin-left:871.55pt;margin-top:-98.7pt;width:555pt;height:867.8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" fillcolor="#0b595d" stroked="f" strokeweight="1pt">
                <v:fill opacity="6682f"/>
                <v:path arrowok="t"/>
                <w10:wrap anchorx="page"/>
              </v:rect>
            </w:pict>
          </mc:Fallback>
        </mc:AlternateContent>
      </w:r>
    </w:p>
    <w:p w14:paraId="2EFAD298" w14:textId="77777777" w:rsidR="00F20CFD" w:rsidRPr="00C413F9" w:rsidRDefault="00F20CFD" w:rsidP="00506CB9">
      <w:pPr>
        <w:jc w:val="center"/>
        <w:rPr>
          <w:sz w:val="28"/>
          <w:szCs w:val="28"/>
        </w:rPr>
      </w:pPr>
      <w:r w:rsidRPr="006A377C">
        <w:rPr>
          <w:szCs w:val="24"/>
        </w:rPr>
        <w:br w:type="page"/>
      </w:r>
      <w:r w:rsidRPr="00C413F9">
        <w:rPr>
          <w:b/>
          <w:sz w:val="28"/>
          <w:szCs w:val="28"/>
        </w:rPr>
        <w:lastRenderedPageBreak/>
        <w:t>Оглавление</w:t>
      </w:r>
    </w:p>
    <w:p w14:paraId="2A968F78" w14:textId="16133D59" w:rsidR="006155F9" w:rsidRDefault="00F20CFD">
      <w:pPr>
        <w:pStyle w:val="21"/>
        <w:rPr>
          <w:rFonts w:asciiTheme="minorHAnsi" w:eastAsiaTheme="minorEastAsia" w:hAnsiTheme="minorHAnsi" w:cstheme="minorBidi"/>
          <w:noProof/>
          <w:sz w:val="24"/>
          <w:szCs w:val="24"/>
          <w:lang w:eastAsia="ru-RU"/>
        </w:rPr>
      </w:pPr>
      <w:r w:rsidRPr="00FC71C2">
        <w:rPr>
          <w:rFonts w:ascii="Times New Roman" w:hAnsi="Times New Roman"/>
          <w:sz w:val="24"/>
          <w:szCs w:val="24"/>
        </w:rPr>
        <w:fldChar w:fldCharType="begin"/>
      </w:r>
      <w:r w:rsidRPr="00D22881">
        <w:rPr>
          <w:rFonts w:ascii="Times New Roman" w:hAnsi="Times New Roman"/>
          <w:sz w:val="24"/>
          <w:szCs w:val="24"/>
        </w:rPr>
        <w:instrText xml:space="preserve"> TOC \o "1-3" \h \z \u </w:instrText>
      </w:r>
      <w:r w:rsidRPr="00FC71C2">
        <w:rPr>
          <w:rFonts w:ascii="Times New Roman" w:hAnsi="Times New Roman"/>
          <w:sz w:val="24"/>
          <w:szCs w:val="24"/>
        </w:rPr>
        <w:fldChar w:fldCharType="separate"/>
      </w:r>
      <w:hyperlink w:anchor="_Toc65104076" w:history="1">
        <w:r w:rsidR="006155F9" w:rsidRPr="000A0B24">
          <w:rPr>
            <w:rStyle w:val="affd"/>
            <w:noProof/>
          </w:rPr>
          <w:t>Список сокращений</w:t>
        </w:r>
        <w:r w:rsidR="006155F9">
          <w:rPr>
            <w:noProof/>
            <w:webHidden/>
          </w:rPr>
          <w:tab/>
        </w:r>
        <w:r w:rsidR="006155F9">
          <w:rPr>
            <w:noProof/>
            <w:webHidden/>
          </w:rPr>
          <w:fldChar w:fldCharType="begin"/>
        </w:r>
        <w:r w:rsidR="006155F9">
          <w:rPr>
            <w:noProof/>
            <w:webHidden/>
          </w:rPr>
          <w:instrText xml:space="preserve"> PAGEREF _Toc65104076 \h </w:instrText>
        </w:r>
        <w:r w:rsidR="006155F9">
          <w:rPr>
            <w:noProof/>
            <w:webHidden/>
          </w:rPr>
        </w:r>
        <w:r w:rsidR="006155F9">
          <w:rPr>
            <w:noProof/>
            <w:webHidden/>
          </w:rPr>
          <w:fldChar w:fldCharType="separate"/>
        </w:r>
        <w:r w:rsidR="006155F9">
          <w:rPr>
            <w:noProof/>
            <w:webHidden/>
          </w:rPr>
          <w:t>6</w:t>
        </w:r>
        <w:r w:rsidR="006155F9">
          <w:rPr>
            <w:noProof/>
            <w:webHidden/>
          </w:rPr>
          <w:fldChar w:fldCharType="end"/>
        </w:r>
      </w:hyperlink>
    </w:p>
    <w:p w14:paraId="6D0AC56F" w14:textId="61C8FF25" w:rsidR="006155F9" w:rsidRDefault="001C0DEA">
      <w:pPr>
        <w:pStyle w:val="21"/>
        <w:rPr>
          <w:rFonts w:asciiTheme="minorHAnsi" w:eastAsiaTheme="minorEastAsia" w:hAnsiTheme="minorHAnsi" w:cstheme="minorBidi"/>
          <w:noProof/>
          <w:sz w:val="24"/>
          <w:szCs w:val="24"/>
          <w:lang w:eastAsia="ru-RU"/>
        </w:rPr>
      </w:pPr>
      <w:hyperlink w:anchor="_Toc65104077" w:history="1">
        <w:r w:rsidR="006155F9" w:rsidRPr="000A0B24">
          <w:rPr>
            <w:rStyle w:val="affd"/>
            <w:noProof/>
          </w:rPr>
          <w:t>Термины и определения</w:t>
        </w:r>
        <w:r w:rsidR="006155F9">
          <w:rPr>
            <w:noProof/>
            <w:webHidden/>
          </w:rPr>
          <w:tab/>
        </w:r>
        <w:r w:rsidR="006155F9">
          <w:rPr>
            <w:noProof/>
            <w:webHidden/>
          </w:rPr>
          <w:fldChar w:fldCharType="begin"/>
        </w:r>
        <w:r w:rsidR="006155F9">
          <w:rPr>
            <w:noProof/>
            <w:webHidden/>
          </w:rPr>
          <w:instrText xml:space="preserve"> PAGEREF _Toc65104077 \h </w:instrText>
        </w:r>
        <w:r w:rsidR="006155F9">
          <w:rPr>
            <w:noProof/>
            <w:webHidden/>
          </w:rPr>
        </w:r>
        <w:r w:rsidR="006155F9">
          <w:rPr>
            <w:noProof/>
            <w:webHidden/>
          </w:rPr>
          <w:fldChar w:fldCharType="separate"/>
        </w:r>
        <w:r w:rsidR="006155F9">
          <w:rPr>
            <w:noProof/>
            <w:webHidden/>
          </w:rPr>
          <w:t>9</w:t>
        </w:r>
        <w:r w:rsidR="006155F9">
          <w:rPr>
            <w:noProof/>
            <w:webHidden/>
          </w:rPr>
          <w:fldChar w:fldCharType="end"/>
        </w:r>
      </w:hyperlink>
    </w:p>
    <w:p w14:paraId="5145212B" w14:textId="5C3A6FD4" w:rsidR="006155F9" w:rsidRDefault="001C0DEA">
      <w:pPr>
        <w:pStyle w:val="21"/>
        <w:rPr>
          <w:rFonts w:asciiTheme="minorHAnsi" w:eastAsiaTheme="minorEastAsia" w:hAnsiTheme="minorHAnsi" w:cstheme="minorBidi"/>
          <w:noProof/>
          <w:sz w:val="24"/>
          <w:szCs w:val="24"/>
          <w:lang w:eastAsia="ru-RU"/>
        </w:rPr>
      </w:pPr>
      <w:hyperlink w:anchor="_Toc65104078" w:history="1">
        <w:r w:rsidR="006155F9" w:rsidRPr="000A0B24">
          <w:rPr>
            <w:rStyle w:val="affd"/>
            <w:noProof/>
          </w:rPr>
          <w:t>1. Краткая информация по заболеванию или состоянию (группе заболеваний или состояний)</w:t>
        </w:r>
        <w:r w:rsidR="006155F9">
          <w:rPr>
            <w:noProof/>
            <w:webHidden/>
          </w:rPr>
          <w:tab/>
        </w:r>
        <w:r w:rsidR="006155F9">
          <w:rPr>
            <w:noProof/>
            <w:webHidden/>
          </w:rPr>
          <w:fldChar w:fldCharType="begin"/>
        </w:r>
        <w:r w:rsidR="006155F9">
          <w:rPr>
            <w:noProof/>
            <w:webHidden/>
          </w:rPr>
          <w:instrText xml:space="preserve"> PAGEREF _Toc65104078 \h </w:instrText>
        </w:r>
        <w:r w:rsidR="006155F9">
          <w:rPr>
            <w:noProof/>
            <w:webHidden/>
          </w:rPr>
        </w:r>
        <w:r w:rsidR="006155F9">
          <w:rPr>
            <w:noProof/>
            <w:webHidden/>
          </w:rPr>
          <w:fldChar w:fldCharType="separate"/>
        </w:r>
        <w:r w:rsidR="006155F9">
          <w:rPr>
            <w:noProof/>
            <w:webHidden/>
          </w:rPr>
          <w:t>14</w:t>
        </w:r>
        <w:r w:rsidR="006155F9">
          <w:rPr>
            <w:noProof/>
            <w:webHidden/>
          </w:rPr>
          <w:fldChar w:fldCharType="end"/>
        </w:r>
      </w:hyperlink>
    </w:p>
    <w:p w14:paraId="6416538C" w14:textId="23C8BBA7" w:rsidR="006155F9" w:rsidRDefault="001C0DEA">
      <w:pPr>
        <w:pStyle w:val="21"/>
        <w:rPr>
          <w:rFonts w:asciiTheme="minorHAnsi" w:eastAsiaTheme="minorEastAsia" w:hAnsiTheme="minorHAnsi" w:cstheme="minorBidi"/>
          <w:noProof/>
          <w:sz w:val="24"/>
          <w:szCs w:val="24"/>
          <w:lang w:eastAsia="ru-RU"/>
        </w:rPr>
      </w:pPr>
      <w:hyperlink w:anchor="_Toc65104079" w:history="1">
        <w:r w:rsidR="006155F9" w:rsidRPr="000A0B24">
          <w:rPr>
            <w:rStyle w:val="affd"/>
            <w:noProof/>
          </w:rPr>
          <w:t>1.1. Определение заболевания или состояния (группы заболеваний или состояний)</w:t>
        </w:r>
        <w:r w:rsidR="006155F9">
          <w:rPr>
            <w:noProof/>
            <w:webHidden/>
          </w:rPr>
          <w:tab/>
        </w:r>
        <w:r w:rsidR="006155F9">
          <w:rPr>
            <w:noProof/>
            <w:webHidden/>
          </w:rPr>
          <w:fldChar w:fldCharType="begin"/>
        </w:r>
        <w:r w:rsidR="006155F9">
          <w:rPr>
            <w:noProof/>
            <w:webHidden/>
          </w:rPr>
          <w:instrText xml:space="preserve"> PAGEREF _Toc65104079 \h </w:instrText>
        </w:r>
        <w:r w:rsidR="006155F9">
          <w:rPr>
            <w:noProof/>
            <w:webHidden/>
          </w:rPr>
        </w:r>
        <w:r w:rsidR="006155F9">
          <w:rPr>
            <w:noProof/>
            <w:webHidden/>
          </w:rPr>
          <w:fldChar w:fldCharType="separate"/>
        </w:r>
        <w:r w:rsidR="006155F9">
          <w:rPr>
            <w:noProof/>
            <w:webHidden/>
          </w:rPr>
          <w:t>14</w:t>
        </w:r>
        <w:r w:rsidR="006155F9">
          <w:rPr>
            <w:noProof/>
            <w:webHidden/>
          </w:rPr>
          <w:fldChar w:fldCharType="end"/>
        </w:r>
      </w:hyperlink>
    </w:p>
    <w:p w14:paraId="47901566" w14:textId="5A5E5D97" w:rsidR="006155F9" w:rsidRDefault="001C0DEA">
      <w:pPr>
        <w:pStyle w:val="21"/>
        <w:rPr>
          <w:rFonts w:asciiTheme="minorHAnsi" w:eastAsiaTheme="minorEastAsia" w:hAnsiTheme="minorHAnsi" w:cstheme="minorBidi"/>
          <w:noProof/>
          <w:sz w:val="24"/>
          <w:szCs w:val="24"/>
          <w:lang w:eastAsia="ru-RU"/>
        </w:rPr>
      </w:pPr>
      <w:hyperlink w:anchor="_Toc65104080" w:history="1">
        <w:r w:rsidR="006155F9" w:rsidRPr="000A0B24">
          <w:rPr>
            <w:rStyle w:val="affd"/>
            <w:noProof/>
          </w:rPr>
          <w:t>1.2. Этиология и патогенез заболевания или состояния (группы заболеваний или состояний)</w:t>
        </w:r>
        <w:r w:rsidR="006155F9">
          <w:rPr>
            <w:noProof/>
            <w:webHidden/>
          </w:rPr>
          <w:tab/>
        </w:r>
        <w:r w:rsidR="006155F9">
          <w:rPr>
            <w:noProof/>
            <w:webHidden/>
          </w:rPr>
          <w:fldChar w:fldCharType="begin"/>
        </w:r>
        <w:r w:rsidR="006155F9">
          <w:rPr>
            <w:noProof/>
            <w:webHidden/>
          </w:rPr>
          <w:instrText xml:space="preserve"> PAGEREF _Toc65104080 \h </w:instrText>
        </w:r>
        <w:r w:rsidR="006155F9">
          <w:rPr>
            <w:noProof/>
            <w:webHidden/>
          </w:rPr>
        </w:r>
        <w:r w:rsidR="006155F9">
          <w:rPr>
            <w:noProof/>
            <w:webHidden/>
          </w:rPr>
          <w:fldChar w:fldCharType="separate"/>
        </w:r>
        <w:r w:rsidR="006155F9">
          <w:rPr>
            <w:noProof/>
            <w:webHidden/>
          </w:rPr>
          <w:t>14</w:t>
        </w:r>
        <w:r w:rsidR="006155F9">
          <w:rPr>
            <w:noProof/>
            <w:webHidden/>
          </w:rPr>
          <w:fldChar w:fldCharType="end"/>
        </w:r>
      </w:hyperlink>
    </w:p>
    <w:p w14:paraId="7D91C756" w14:textId="06386253" w:rsidR="006155F9" w:rsidRDefault="001C0DEA">
      <w:pPr>
        <w:pStyle w:val="21"/>
        <w:rPr>
          <w:rFonts w:asciiTheme="minorHAnsi" w:eastAsiaTheme="minorEastAsia" w:hAnsiTheme="minorHAnsi" w:cstheme="minorBidi"/>
          <w:noProof/>
          <w:sz w:val="24"/>
          <w:szCs w:val="24"/>
          <w:lang w:eastAsia="ru-RU"/>
        </w:rPr>
      </w:pPr>
      <w:hyperlink w:anchor="_Toc65104081" w:history="1">
        <w:r w:rsidR="006155F9" w:rsidRPr="000A0B24">
          <w:rPr>
            <w:rStyle w:val="affd"/>
            <w:noProof/>
          </w:rPr>
          <w:t>1.3.</w:t>
        </w:r>
        <w:r w:rsidR="006155F9" w:rsidRPr="000A0B24">
          <w:rPr>
            <w:rStyle w:val="affd"/>
            <w:rFonts w:ascii="Times New Roman CYR" w:hAnsi="Times New Roman CYR" w:cs="Times New Roman CYR"/>
            <w:noProof/>
            <w:lang w:eastAsia="ru-RU"/>
          </w:rPr>
          <w:t xml:space="preserve"> Эпидемиология заболевания или состояния (группы заболеваний или состояний)</w:t>
        </w:r>
        <w:r w:rsidR="006155F9">
          <w:rPr>
            <w:noProof/>
            <w:webHidden/>
          </w:rPr>
          <w:tab/>
        </w:r>
        <w:r w:rsidR="006155F9">
          <w:rPr>
            <w:noProof/>
            <w:webHidden/>
          </w:rPr>
          <w:fldChar w:fldCharType="begin"/>
        </w:r>
        <w:r w:rsidR="006155F9">
          <w:rPr>
            <w:noProof/>
            <w:webHidden/>
          </w:rPr>
          <w:instrText xml:space="preserve"> PAGEREF _Toc65104081 \h </w:instrText>
        </w:r>
        <w:r w:rsidR="006155F9">
          <w:rPr>
            <w:noProof/>
            <w:webHidden/>
          </w:rPr>
        </w:r>
        <w:r w:rsidR="006155F9">
          <w:rPr>
            <w:noProof/>
            <w:webHidden/>
          </w:rPr>
          <w:fldChar w:fldCharType="separate"/>
        </w:r>
        <w:r w:rsidR="006155F9">
          <w:rPr>
            <w:noProof/>
            <w:webHidden/>
          </w:rPr>
          <w:t>14</w:t>
        </w:r>
        <w:r w:rsidR="006155F9">
          <w:rPr>
            <w:noProof/>
            <w:webHidden/>
          </w:rPr>
          <w:fldChar w:fldCharType="end"/>
        </w:r>
      </w:hyperlink>
    </w:p>
    <w:p w14:paraId="5C9933EA" w14:textId="623917A3" w:rsidR="006155F9" w:rsidRDefault="001C0DEA">
      <w:pPr>
        <w:pStyle w:val="21"/>
        <w:rPr>
          <w:rFonts w:asciiTheme="minorHAnsi" w:eastAsiaTheme="minorEastAsia" w:hAnsiTheme="minorHAnsi" w:cstheme="minorBidi"/>
          <w:noProof/>
          <w:sz w:val="24"/>
          <w:szCs w:val="24"/>
          <w:lang w:eastAsia="ru-RU"/>
        </w:rPr>
      </w:pPr>
      <w:hyperlink w:anchor="_Toc65104082" w:history="1">
        <w:r w:rsidR="006155F9" w:rsidRPr="000A0B24">
          <w:rPr>
            <w:rStyle w:val="affd"/>
            <w:noProof/>
          </w:rPr>
          <w:t xml:space="preserve">1.4. </w:t>
        </w:r>
        <w:r w:rsidR="006155F9" w:rsidRPr="000A0B24">
          <w:rPr>
            <w:rStyle w:val="affd"/>
            <w:rFonts w:ascii="Times New Roman CYR" w:hAnsi="Times New Roman CYR" w:cs="Times New Roman CYR"/>
            <w:noProof/>
            <w:lang w:eastAsia="ru-RU"/>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r w:rsidR="006155F9">
          <w:rPr>
            <w:noProof/>
            <w:webHidden/>
          </w:rPr>
          <w:tab/>
        </w:r>
        <w:r w:rsidR="006155F9">
          <w:rPr>
            <w:noProof/>
            <w:webHidden/>
          </w:rPr>
          <w:fldChar w:fldCharType="begin"/>
        </w:r>
        <w:r w:rsidR="006155F9">
          <w:rPr>
            <w:noProof/>
            <w:webHidden/>
          </w:rPr>
          <w:instrText xml:space="preserve"> PAGEREF _Toc65104082 \h </w:instrText>
        </w:r>
        <w:r w:rsidR="006155F9">
          <w:rPr>
            <w:noProof/>
            <w:webHidden/>
          </w:rPr>
        </w:r>
        <w:r w:rsidR="006155F9">
          <w:rPr>
            <w:noProof/>
            <w:webHidden/>
          </w:rPr>
          <w:fldChar w:fldCharType="separate"/>
        </w:r>
        <w:r w:rsidR="006155F9">
          <w:rPr>
            <w:noProof/>
            <w:webHidden/>
          </w:rPr>
          <w:t>15</w:t>
        </w:r>
        <w:r w:rsidR="006155F9">
          <w:rPr>
            <w:noProof/>
            <w:webHidden/>
          </w:rPr>
          <w:fldChar w:fldCharType="end"/>
        </w:r>
      </w:hyperlink>
    </w:p>
    <w:p w14:paraId="7C6973A4" w14:textId="45F3D97D" w:rsidR="006155F9" w:rsidRDefault="001C0DEA">
      <w:pPr>
        <w:pStyle w:val="21"/>
        <w:rPr>
          <w:rFonts w:asciiTheme="minorHAnsi" w:eastAsiaTheme="minorEastAsia" w:hAnsiTheme="minorHAnsi" w:cstheme="minorBidi"/>
          <w:noProof/>
          <w:sz w:val="24"/>
          <w:szCs w:val="24"/>
          <w:lang w:eastAsia="ru-RU"/>
        </w:rPr>
      </w:pPr>
      <w:hyperlink w:anchor="_Toc65104083" w:history="1">
        <w:r w:rsidR="006155F9" w:rsidRPr="000A0B24">
          <w:rPr>
            <w:rStyle w:val="affd"/>
            <w:noProof/>
          </w:rPr>
          <w:t>1.5. Классификация заболевания или состояния (группы заболеваний или состояний)</w:t>
        </w:r>
        <w:r w:rsidR="006155F9">
          <w:rPr>
            <w:noProof/>
            <w:webHidden/>
          </w:rPr>
          <w:tab/>
        </w:r>
        <w:r w:rsidR="006155F9">
          <w:rPr>
            <w:noProof/>
            <w:webHidden/>
          </w:rPr>
          <w:fldChar w:fldCharType="begin"/>
        </w:r>
        <w:r w:rsidR="006155F9">
          <w:rPr>
            <w:noProof/>
            <w:webHidden/>
          </w:rPr>
          <w:instrText xml:space="preserve"> PAGEREF _Toc65104083 \h </w:instrText>
        </w:r>
        <w:r w:rsidR="006155F9">
          <w:rPr>
            <w:noProof/>
            <w:webHidden/>
          </w:rPr>
        </w:r>
        <w:r w:rsidR="006155F9">
          <w:rPr>
            <w:noProof/>
            <w:webHidden/>
          </w:rPr>
          <w:fldChar w:fldCharType="separate"/>
        </w:r>
        <w:r w:rsidR="006155F9">
          <w:rPr>
            <w:noProof/>
            <w:webHidden/>
          </w:rPr>
          <w:t>15</w:t>
        </w:r>
        <w:r w:rsidR="006155F9">
          <w:rPr>
            <w:noProof/>
            <w:webHidden/>
          </w:rPr>
          <w:fldChar w:fldCharType="end"/>
        </w:r>
      </w:hyperlink>
    </w:p>
    <w:p w14:paraId="74866066" w14:textId="2EB931F0" w:rsidR="006155F9" w:rsidRDefault="001C0DEA">
      <w:pPr>
        <w:pStyle w:val="21"/>
        <w:rPr>
          <w:rFonts w:asciiTheme="minorHAnsi" w:eastAsiaTheme="minorEastAsia" w:hAnsiTheme="minorHAnsi" w:cstheme="minorBidi"/>
          <w:noProof/>
          <w:sz w:val="24"/>
          <w:szCs w:val="24"/>
          <w:lang w:eastAsia="ru-RU"/>
        </w:rPr>
      </w:pPr>
      <w:hyperlink w:anchor="_Toc65104084" w:history="1">
        <w:r w:rsidR="006155F9" w:rsidRPr="000A0B24">
          <w:rPr>
            <w:rStyle w:val="affd"/>
            <w:noProof/>
          </w:rPr>
          <w:t xml:space="preserve">1.6. </w:t>
        </w:r>
        <w:r w:rsidR="006155F9" w:rsidRPr="000A0B24">
          <w:rPr>
            <w:rStyle w:val="affd"/>
            <w:rFonts w:ascii="Times New Roman CYR" w:hAnsi="Times New Roman CYR" w:cs="Times New Roman CYR"/>
            <w:noProof/>
            <w:lang w:eastAsia="ru-RU"/>
          </w:rPr>
          <w:t>Клиническая картина заболевания или состояния (группы заболеваний или состояний)</w:t>
        </w:r>
        <w:r w:rsidR="006155F9">
          <w:rPr>
            <w:noProof/>
            <w:webHidden/>
          </w:rPr>
          <w:tab/>
        </w:r>
        <w:r w:rsidR="006155F9">
          <w:rPr>
            <w:noProof/>
            <w:webHidden/>
          </w:rPr>
          <w:fldChar w:fldCharType="begin"/>
        </w:r>
        <w:r w:rsidR="006155F9">
          <w:rPr>
            <w:noProof/>
            <w:webHidden/>
          </w:rPr>
          <w:instrText xml:space="preserve"> PAGEREF _Toc65104084 \h </w:instrText>
        </w:r>
        <w:r w:rsidR="006155F9">
          <w:rPr>
            <w:noProof/>
            <w:webHidden/>
          </w:rPr>
        </w:r>
        <w:r w:rsidR="006155F9">
          <w:rPr>
            <w:noProof/>
            <w:webHidden/>
          </w:rPr>
          <w:fldChar w:fldCharType="separate"/>
        </w:r>
        <w:r w:rsidR="006155F9">
          <w:rPr>
            <w:noProof/>
            <w:webHidden/>
          </w:rPr>
          <w:t>19</w:t>
        </w:r>
        <w:r w:rsidR="006155F9">
          <w:rPr>
            <w:noProof/>
            <w:webHidden/>
          </w:rPr>
          <w:fldChar w:fldCharType="end"/>
        </w:r>
      </w:hyperlink>
    </w:p>
    <w:p w14:paraId="622D12C7" w14:textId="68F7B2F6" w:rsidR="006155F9" w:rsidRDefault="001C0DEA">
      <w:pPr>
        <w:pStyle w:val="21"/>
        <w:rPr>
          <w:rFonts w:asciiTheme="minorHAnsi" w:eastAsiaTheme="minorEastAsia" w:hAnsiTheme="minorHAnsi" w:cstheme="minorBidi"/>
          <w:noProof/>
          <w:sz w:val="24"/>
          <w:szCs w:val="24"/>
          <w:lang w:eastAsia="ru-RU"/>
        </w:rPr>
      </w:pPr>
      <w:hyperlink w:anchor="_Toc65104085" w:history="1">
        <w:r w:rsidR="006155F9" w:rsidRPr="000A0B24">
          <w:rPr>
            <w:rStyle w:val="affd"/>
            <w:noProof/>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sidR="006155F9">
          <w:rPr>
            <w:noProof/>
            <w:webHidden/>
          </w:rPr>
          <w:tab/>
        </w:r>
        <w:r w:rsidR="006155F9">
          <w:rPr>
            <w:noProof/>
            <w:webHidden/>
          </w:rPr>
          <w:fldChar w:fldCharType="begin"/>
        </w:r>
        <w:r w:rsidR="006155F9">
          <w:rPr>
            <w:noProof/>
            <w:webHidden/>
          </w:rPr>
          <w:instrText xml:space="preserve"> PAGEREF _Toc65104085 \h </w:instrText>
        </w:r>
        <w:r w:rsidR="006155F9">
          <w:rPr>
            <w:noProof/>
            <w:webHidden/>
          </w:rPr>
        </w:r>
        <w:r w:rsidR="006155F9">
          <w:rPr>
            <w:noProof/>
            <w:webHidden/>
          </w:rPr>
          <w:fldChar w:fldCharType="separate"/>
        </w:r>
        <w:r w:rsidR="006155F9">
          <w:rPr>
            <w:noProof/>
            <w:webHidden/>
          </w:rPr>
          <w:t>20</w:t>
        </w:r>
        <w:r w:rsidR="006155F9">
          <w:rPr>
            <w:noProof/>
            <w:webHidden/>
          </w:rPr>
          <w:fldChar w:fldCharType="end"/>
        </w:r>
      </w:hyperlink>
    </w:p>
    <w:p w14:paraId="76364185" w14:textId="07BC619E" w:rsidR="006155F9" w:rsidRDefault="001C0DEA">
      <w:pPr>
        <w:pStyle w:val="21"/>
        <w:rPr>
          <w:rFonts w:asciiTheme="minorHAnsi" w:eastAsiaTheme="minorEastAsia" w:hAnsiTheme="minorHAnsi" w:cstheme="minorBidi"/>
          <w:noProof/>
          <w:sz w:val="24"/>
          <w:szCs w:val="24"/>
          <w:lang w:eastAsia="ru-RU"/>
        </w:rPr>
      </w:pPr>
      <w:hyperlink w:anchor="_Toc65104086" w:history="1">
        <w:r w:rsidR="006155F9" w:rsidRPr="000A0B24">
          <w:rPr>
            <w:rStyle w:val="affd"/>
            <w:noProof/>
          </w:rPr>
          <w:t>2.1. Жалобы и анамнез</w:t>
        </w:r>
        <w:r w:rsidR="006155F9">
          <w:rPr>
            <w:noProof/>
            <w:webHidden/>
          </w:rPr>
          <w:tab/>
        </w:r>
        <w:r w:rsidR="006155F9">
          <w:rPr>
            <w:noProof/>
            <w:webHidden/>
          </w:rPr>
          <w:fldChar w:fldCharType="begin"/>
        </w:r>
        <w:r w:rsidR="006155F9">
          <w:rPr>
            <w:noProof/>
            <w:webHidden/>
          </w:rPr>
          <w:instrText xml:space="preserve"> PAGEREF _Toc65104086 \h </w:instrText>
        </w:r>
        <w:r w:rsidR="006155F9">
          <w:rPr>
            <w:noProof/>
            <w:webHidden/>
          </w:rPr>
        </w:r>
        <w:r w:rsidR="006155F9">
          <w:rPr>
            <w:noProof/>
            <w:webHidden/>
          </w:rPr>
          <w:fldChar w:fldCharType="separate"/>
        </w:r>
        <w:r w:rsidR="006155F9">
          <w:rPr>
            <w:noProof/>
            <w:webHidden/>
          </w:rPr>
          <w:t>22</w:t>
        </w:r>
        <w:r w:rsidR="006155F9">
          <w:rPr>
            <w:noProof/>
            <w:webHidden/>
          </w:rPr>
          <w:fldChar w:fldCharType="end"/>
        </w:r>
      </w:hyperlink>
    </w:p>
    <w:p w14:paraId="1A7C745E" w14:textId="2EAAFCD4" w:rsidR="006155F9" w:rsidRDefault="001C0DEA">
      <w:pPr>
        <w:pStyle w:val="21"/>
        <w:rPr>
          <w:rFonts w:asciiTheme="minorHAnsi" w:eastAsiaTheme="minorEastAsia" w:hAnsiTheme="minorHAnsi" w:cstheme="minorBidi"/>
          <w:noProof/>
          <w:sz w:val="24"/>
          <w:szCs w:val="24"/>
          <w:lang w:eastAsia="ru-RU"/>
        </w:rPr>
      </w:pPr>
      <w:hyperlink w:anchor="_Toc65104087" w:history="1">
        <w:r w:rsidR="006155F9" w:rsidRPr="000A0B24">
          <w:rPr>
            <w:rStyle w:val="affd"/>
            <w:noProof/>
          </w:rPr>
          <w:t>2.2. Физикальное обследование</w:t>
        </w:r>
        <w:r w:rsidR="006155F9">
          <w:rPr>
            <w:noProof/>
            <w:webHidden/>
          </w:rPr>
          <w:tab/>
        </w:r>
        <w:r w:rsidR="006155F9">
          <w:rPr>
            <w:noProof/>
            <w:webHidden/>
          </w:rPr>
          <w:fldChar w:fldCharType="begin"/>
        </w:r>
        <w:r w:rsidR="006155F9">
          <w:rPr>
            <w:noProof/>
            <w:webHidden/>
          </w:rPr>
          <w:instrText xml:space="preserve"> PAGEREF _Toc65104087 \h </w:instrText>
        </w:r>
        <w:r w:rsidR="006155F9">
          <w:rPr>
            <w:noProof/>
            <w:webHidden/>
          </w:rPr>
        </w:r>
        <w:r w:rsidR="006155F9">
          <w:rPr>
            <w:noProof/>
            <w:webHidden/>
          </w:rPr>
          <w:fldChar w:fldCharType="separate"/>
        </w:r>
        <w:r w:rsidR="006155F9">
          <w:rPr>
            <w:noProof/>
            <w:webHidden/>
          </w:rPr>
          <w:t>22</w:t>
        </w:r>
        <w:r w:rsidR="006155F9">
          <w:rPr>
            <w:noProof/>
            <w:webHidden/>
          </w:rPr>
          <w:fldChar w:fldCharType="end"/>
        </w:r>
      </w:hyperlink>
    </w:p>
    <w:p w14:paraId="3389071A" w14:textId="19396D02" w:rsidR="006155F9" w:rsidRDefault="001C0DEA">
      <w:pPr>
        <w:pStyle w:val="21"/>
        <w:rPr>
          <w:rFonts w:asciiTheme="minorHAnsi" w:eastAsiaTheme="minorEastAsia" w:hAnsiTheme="minorHAnsi" w:cstheme="minorBidi"/>
          <w:noProof/>
          <w:sz w:val="24"/>
          <w:szCs w:val="24"/>
          <w:lang w:eastAsia="ru-RU"/>
        </w:rPr>
      </w:pPr>
      <w:hyperlink w:anchor="_Toc65104088" w:history="1">
        <w:r w:rsidR="006155F9" w:rsidRPr="000A0B24">
          <w:rPr>
            <w:rStyle w:val="affd"/>
            <w:noProof/>
          </w:rPr>
          <w:t>2.3. Лабораторные диагностические исследования</w:t>
        </w:r>
        <w:r w:rsidR="006155F9">
          <w:rPr>
            <w:noProof/>
            <w:webHidden/>
          </w:rPr>
          <w:tab/>
        </w:r>
        <w:r w:rsidR="006155F9">
          <w:rPr>
            <w:noProof/>
            <w:webHidden/>
          </w:rPr>
          <w:fldChar w:fldCharType="begin"/>
        </w:r>
        <w:r w:rsidR="006155F9">
          <w:rPr>
            <w:noProof/>
            <w:webHidden/>
          </w:rPr>
          <w:instrText xml:space="preserve"> PAGEREF _Toc65104088 \h </w:instrText>
        </w:r>
        <w:r w:rsidR="006155F9">
          <w:rPr>
            <w:noProof/>
            <w:webHidden/>
          </w:rPr>
        </w:r>
        <w:r w:rsidR="006155F9">
          <w:rPr>
            <w:noProof/>
            <w:webHidden/>
          </w:rPr>
          <w:fldChar w:fldCharType="separate"/>
        </w:r>
        <w:r w:rsidR="006155F9">
          <w:rPr>
            <w:noProof/>
            <w:webHidden/>
          </w:rPr>
          <w:t>23</w:t>
        </w:r>
        <w:r w:rsidR="006155F9">
          <w:rPr>
            <w:noProof/>
            <w:webHidden/>
          </w:rPr>
          <w:fldChar w:fldCharType="end"/>
        </w:r>
      </w:hyperlink>
    </w:p>
    <w:p w14:paraId="2AE238D4" w14:textId="3DC16A52" w:rsidR="006155F9" w:rsidRDefault="001C0DEA">
      <w:pPr>
        <w:pStyle w:val="21"/>
        <w:rPr>
          <w:rFonts w:asciiTheme="minorHAnsi" w:eastAsiaTheme="minorEastAsia" w:hAnsiTheme="minorHAnsi" w:cstheme="minorBidi"/>
          <w:noProof/>
          <w:sz w:val="24"/>
          <w:szCs w:val="24"/>
          <w:lang w:eastAsia="ru-RU"/>
        </w:rPr>
      </w:pPr>
      <w:hyperlink w:anchor="_Toc65104089" w:history="1">
        <w:r w:rsidR="006155F9" w:rsidRPr="000A0B24">
          <w:rPr>
            <w:rStyle w:val="affd"/>
            <w:noProof/>
          </w:rPr>
          <w:t>2.4. Инструментальные диагностические исследования</w:t>
        </w:r>
        <w:r w:rsidR="006155F9">
          <w:rPr>
            <w:noProof/>
            <w:webHidden/>
          </w:rPr>
          <w:tab/>
        </w:r>
        <w:r w:rsidR="006155F9">
          <w:rPr>
            <w:noProof/>
            <w:webHidden/>
          </w:rPr>
          <w:fldChar w:fldCharType="begin"/>
        </w:r>
        <w:r w:rsidR="006155F9">
          <w:rPr>
            <w:noProof/>
            <w:webHidden/>
          </w:rPr>
          <w:instrText xml:space="preserve"> PAGEREF _Toc65104089 \h </w:instrText>
        </w:r>
        <w:r w:rsidR="006155F9">
          <w:rPr>
            <w:noProof/>
            <w:webHidden/>
          </w:rPr>
        </w:r>
        <w:r w:rsidR="006155F9">
          <w:rPr>
            <w:noProof/>
            <w:webHidden/>
          </w:rPr>
          <w:fldChar w:fldCharType="separate"/>
        </w:r>
        <w:r w:rsidR="006155F9">
          <w:rPr>
            <w:noProof/>
            <w:webHidden/>
          </w:rPr>
          <w:t>34</w:t>
        </w:r>
        <w:r w:rsidR="006155F9">
          <w:rPr>
            <w:noProof/>
            <w:webHidden/>
          </w:rPr>
          <w:fldChar w:fldCharType="end"/>
        </w:r>
      </w:hyperlink>
    </w:p>
    <w:p w14:paraId="43AAE253" w14:textId="1DBD19CA" w:rsidR="006155F9" w:rsidRDefault="001C0DEA">
      <w:pPr>
        <w:pStyle w:val="21"/>
        <w:rPr>
          <w:rFonts w:asciiTheme="minorHAnsi" w:eastAsiaTheme="minorEastAsia" w:hAnsiTheme="minorHAnsi" w:cstheme="minorBidi"/>
          <w:noProof/>
          <w:sz w:val="24"/>
          <w:szCs w:val="24"/>
          <w:lang w:eastAsia="ru-RU"/>
        </w:rPr>
      </w:pPr>
      <w:hyperlink w:anchor="_Toc65104090" w:history="1">
        <w:r w:rsidR="006155F9" w:rsidRPr="000A0B24">
          <w:rPr>
            <w:rStyle w:val="affd"/>
            <w:noProof/>
          </w:rPr>
          <w:t>2.</w:t>
        </w:r>
        <w:r w:rsidR="006155F9" w:rsidRPr="000A0B24">
          <w:rPr>
            <w:rStyle w:val="affd"/>
            <w:noProof/>
            <w:lang w:val="en-US"/>
          </w:rPr>
          <w:t>5.</w:t>
        </w:r>
        <w:r w:rsidR="006155F9" w:rsidRPr="000A0B24">
          <w:rPr>
            <w:rStyle w:val="affd"/>
            <w:noProof/>
          </w:rPr>
          <w:t xml:space="preserve"> </w:t>
        </w:r>
        <w:r w:rsidR="006155F9" w:rsidRPr="000A0B24">
          <w:rPr>
            <w:rStyle w:val="affd"/>
            <w:rFonts w:ascii="Times New Roman CYR" w:hAnsi="Times New Roman CYR" w:cs="Times New Roman CYR"/>
            <w:noProof/>
            <w:lang w:eastAsia="ru-RU"/>
          </w:rPr>
          <w:t>Иные диагностические исследования</w:t>
        </w:r>
        <w:r w:rsidR="006155F9">
          <w:rPr>
            <w:noProof/>
            <w:webHidden/>
          </w:rPr>
          <w:tab/>
        </w:r>
        <w:r w:rsidR="006155F9">
          <w:rPr>
            <w:noProof/>
            <w:webHidden/>
          </w:rPr>
          <w:fldChar w:fldCharType="begin"/>
        </w:r>
        <w:r w:rsidR="006155F9">
          <w:rPr>
            <w:noProof/>
            <w:webHidden/>
          </w:rPr>
          <w:instrText xml:space="preserve"> PAGEREF _Toc65104090 \h </w:instrText>
        </w:r>
        <w:r w:rsidR="006155F9">
          <w:rPr>
            <w:noProof/>
            <w:webHidden/>
          </w:rPr>
        </w:r>
        <w:r w:rsidR="006155F9">
          <w:rPr>
            <w:noProof/>
            <w:webHidden/>
          </w:rPr>
          <w:fldChar w:fldCharType="separate"/>
        </w:r>
        <w:r w:rsidR="006155F9">
          <w:rPr>
            <w:noProof/>
            <w:webHidden/>
          </w:rPr>
          <w:t>35</w:t>
        </w:r>
        <w:r w:rsidR="006155F9">
          <w:rPr>
            <w:noProof/>
            <w:webHidden/>
          </w:rPr>
          <w:fldChar w:fldCharType="end"/>
        </w:r>
      </w:hyperlink>
    </w:p>
    <w:p w14:paraId="0DB964AB" w14:textId="1B9D2578" w:rsidR="006155F9" w:rsidRDefault="001C0DEA">
      <w:pPr>
        <w:pStyle w:val="21"/>
        <w:rPr>
          <w:rFonts w:asciiTheme="minorHAnsi" w:eastAsiaTheme="minorEastAsia" w:hAnsiTheme="minorHAnsi" w:cstheme="minorBidi"/>
          <w:noProof/>
          <w:sz w:val="24"/>
          <w:szCs w:val="24"/>
          <w:lang w:eastAsia="ru-RU"/>
        </w:rPr>
      </w:pPr>
      <w:hyperlink w:anchor="_Toc65104091" w:history="1">
        <w:r w:rsidR="006155F9" w:rsidRPr="000A0B24">
          <w:rPr>
            <w:rStyle w:val="affd"/>
            <w:noProof/>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r w:rsidR="006155F9">
          <w:rPr>
            <w:noProof/>
            <w:webHidden/>
          </w:rPr>
          <w:tab/>
        </w:r>
        <w:r w:rsidR="006155F9">
          <w:rPr>
            <w:noProof/>
            <w:webHidden/>
          </w:rPr>
          <w:fldChar w:fldCharType="begin"/>
        </w:r>
        <w:r w:rsidR="006155F9">
          <w:rPr>
            <w:noProof/>
            <w:webHidden/>
          </w:rPr>
          <w:instrText xml:space="preserve"> PAGEREF _Toc65104091 \h </w:instrText>
        </w:r>
        <w:r w:rsidR="006155F9">
          <w:rPr>
            <w:noProof/>
            <w:webHidden/>
          </w:rPr>
        </w:r>
        <w:r w:rsidR="006155F9">
          <w:rPr>
            <w:noProof/>
            <w:webHidden/>
          </w:rPr>
          <w:fldChar w:fldCharType="separate"/>
        </w:r>
        <w:r w:rsidR="006155F9">
          <w:rPr>
            <w:noProof/>
            <w:webHidden/>
          </w:rPr>
          <w:t>35</w:t>
        </w:r>
        <w:r w:rsidR="006155F9">
          <w:rPr>
            <w:noProof/>
            <w:webHidden/>
          </w:rPr>
          <w:fldChar w:fldCharType="end"/>
        </w:r>
      </w:hyperlink>
    </w:p>
    <w:p w14:paraId="1C57B7C9" w14:textId="63DC00EF" w:rsidR="006155F9" w:rsidRDefault="001C0DEA">
      <w:pPr>
        <w:pStyle w:val="21"/>
        <w:rPr>
          <w:rFonts w:asciiTheme="minorHAnsi" w:eastAsiaTheme="minorEastAsia" w:hAnsiTheme="minorHAnsi" w:cstheme="minorBidi"/>
          <w:noProof/>
          <w:sz w:val="24"/>
          <w:szCs w:val="24"/>
          <w:lang w:eastAsia="ru-RU"/>
        </w:rPr>
      </w:pPr>
      <w:hyperlink w:anchor="_Toc65104092" w:history="1">
        <w:r w:rsidR="006155F9" w:rsidRPr="000A0B24">
          <w:rPr>
            <w:rStyle w:val="affd"/>
            <w:noProof/>
          </w:rPr>
          <w:t>3.1. Консервативное лечение</w:t>
        </w:r>
        <w:r w:rsidR="006155F9">
          <w:rPr>
            <w:noProof/>
            <w:webHidden/>
          </w:rPr>
          <w:tab/>
        </w:r>
        <w:r w:rsidR="006155F9">
          <w:rPr>
            <w:noProof/>
            <w:webHidden/>
          </w:rPr>
          <w:fldChar w:fldCharType="begin"/>
        </w:r>
        <w:r w:rsidR="006155F9">
          <w:rPr>
            <w:noProof/>
            <w:webHidden/>
          </w:rPr>
          <w:instrText xml:space="preserve"> PAGEREF _Toc65104092 \h </w:instrText>
        </w:r>
        <w:r w:rsidR="006155F9">
          <w:rPr>
            <w:noProof/>
            <w:webHidden/>
          </w:rPr>
        </w:r>
        <w:r w:rsidR="006155F9">
          <w:rPr>
            <w:noProof/>
            <w:webHidden/>
          </w:rPr>
          <w:fldChar w:fldCharType="separate"/>
        </w:r>
        <w:r w:rsidR="006155F9">
          <w:rPr>
            <w:noProof/>
            <w:webHidden/>
          </w:rPr>
          <w:t>38</w:t>
        </w:r>
        <w:r w:rsidR="006155F9">
          <w:rPr>
            <w:noProof/>
            <w:webHidden/>
          </w:rPr>
          <w:fldChar w:fldCharType="end"/>
        </w:r>
      </w:hyperlink>
    </w:p>
    <w:p w14:paraId="6C324E51" w14:textId="7635ED8F" w:rsidR="006155F9" w:rsidRDefault="001C0DEA">
      <w:pPr>
        <w:pStyle w:val="21"/>
        <w:rPr>
          <w:rFonts w:asciiTheme="minorHAnsi" w:eastAsiaTheme="minorEastAsia" w:hAnsiTheme="minorHAnsi" w:cstheme="minorBidi"/>
          <w:noProof/>
          <w:sz w:val="24"/>
          <w:szCs w:val="24"/>
          <w:lang w:eastAsia="ru-RU"/>
        </w:rPr>
      </w:pPr>
      <w:hyperlink w:anchor="_Toc65104093" w:history="1">
        <w:r w:rsidR="006155F9" w:rsidRPr="000A0B24">
          <w:rPr>
            <w:rStyle w:val="affd"/>
            <w:noProof/>
          </w:rPr>
          <w:t>3.2. Сопроводительная терапия</w:t>
        </w:r>
        <w:r w:rsidR="006155F9">
          <w:rPr>
            <w:noProof/>
            <w:webHidden/>
          </w:rPr>
          <w:tab/>
        </w:r>
        <w:r w:rsidR="006155F9">
          <w:rPr>
            <w:noProof/>
            <w:webHidden/>
          </w:rPr>
          <w:fldChar w:fldCharType="begin"/>
        </w:r>
        <w:r w:rsidR="006155F9">
          <w:rPr>
            <w:noProof/>
            <w:webHidden/>
          </w:rPr>
          <w:instrText xml:space="preserve"> PAGEREF _Toc65104093 \h </w:instrText>
        </w:r>
        <w:r w:rsidR="006155F9">
          <w:rPr>
            <w:noProof/>
            <w:webHidden/>
          </w:rPr>
        </w:r>
        <w:r w:rsidR="006155F9">
          <w:rPr>
            <w:noProof/>
            <w:webHidden/>
          </w:rPr>
          <w:fldChar w:fldCharType="separate"/>
        </w:r>
        <w:r w:rsidR="006155F9">
          <w:rPr>
            <w:noProof/>
            <w:webHidden/>
          </w:rPr>
          <w:t>50</w:t>
        </w:r>
        <w:r w:rsidR="006155F9">
          <w:rPr>
            <w:noProof/>
            <w:webHidden/>
          </w:rPr>
          <w:fldChar w:fldCharType="end"/>
        </w:r>
      </w:hyperlink>
    </w:p>
    <w:p w14:paraId="60F37162" w14:textId="76BE251D" w:rsidR="006155F9" w:rsidRDefault="001C0DEA">
      <w:pPr>
        <w:pStyle w:val="21"/>
        <w:rPr>
          <w:rFonts w:asciiTheme="minorHAnsi" w:eastAsiaTheme="minorEastAsia" w:hAnsiTheme="minorHAnsi" w:cstheme="minorBidi"/>
          <w:noProof/>
          <w:sz w:val="24"/>
          <w:szCs w:val="24"/>
          <w:lang w:eastAsia="ru-RU"/>
        </w:rPr>
      </w:pPr>
      <w:hyperlink w:anchor="_Toc65104094" w:history="1">
        <w:r w:rsidR="006155F9" w:rsidRPr="000A0B24">
          <w:rPr>
            <w:rStyle w:val="affd"/>
            <w:noProof/>
          </w:rPr>
          <w:t>3.3. Хирургическое лечение</w:t>
        </w:r>
        <w:r w:rsidR="006155F9">
          <w:rPr>
            <w:noProof/>
            <w:webHidden/>
          </w:rPr>
          <w:tab/>
        </w:r>
        <w:r w:rsidR="006155F9">
          <w:rPr>
            <w:noProof/>
            <w:webHidden/>
          </w:rPr>
          <w:fldChar w:fldCharType="begin"/>
        </w:r>
        <w:r w:rsidR="006155F9">
          <w:rPr>
            <w:noProof/>
            <w:webHidden/>
          </w:rPr>
          <w:instrText xml:space="preserve"> PAGEREF _Toc65104094 \h </w:instrText>
        </w:r>
        <w:r w:rsidR="006155F9">
          <w:rPr>
            <w:noProof/>
            <w:webHidden/>
          </w:rPr>
        </w:r>
        <w:r w:rsidR="006155F9">
          <w:rPr>
            <w:noProof/>
            <w:webHidden/>
          </w:rPr>
          <w:fldChar w:fldCharType="separate"/>
        </w:r>
        <w:r w:rsidR="006155F9">
          <w:rPr>
            <w:noProof/>
            <w:webHidden/>
          </w:rPr>
          <w:t>52</w:t>
        </w:r>
        <w:r w:rsidR="006155F9">
          <w:rPr>
            <w:noProof/>
            <w:webHidden/>
          </w:rPr>
          <w:fldChar w:fldCharType="end"/>
        </w:r>
      </w:hyperlink>
    </w:p>
    <w:p w14:paraId="7651B575" w14:textId="66922C0D" w:rsidR="006155F9" w:rsidRDefault="001C0DEA">
      <w:pPr>
        <w:pStyle w:val="21"/>
        <w:rPr>
          <w:rFonts w:asciiTheme="minorHAnsi" w:eastAsiaTheme="minorEastAsia" w:hAnsiTheme="minorHAnsi" w:cstheme="minorBidi"/>
          <w:noProof/>
          <w:sz w:val="24"/>
          <w:szCs w:val="24"/>
          <w:lang w:eastAsia="ru-RU"/>
        </w:rPr>
      </w:pPr>
      <w:hyperlink w:anchor="_Toc65104095" w:history="1">
        <w:r w:rsidR="006155F9" w:rsidRPr="000A0B24">
          <w:rPr>
            <w:rStyle w:val="affd"/>
            <w:noProof/>
          </w:rPr>
          <w:t>4. 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r w:rsidR="006155F9">
          <w:rPr>
            <w:noProof/>
            <w:webHidden/>
          </w:rPr>
          <w:tab/>
        </w:r>
        <w:r w:rsidR="006155F9">
          <w:rPr>
            <w:noProof/>
            <w:webHidden/>
          </w:rPr>
          <w:fldChar w:fldCharType="begin"/>
        </w:r>
        <w:r w:rsidR="006155F9">
          <w:rPr>
            <w:noProof/>
            <w:webHidden/>
          </w:rPr>
          <w:instrText xml:space="preserve"> PAGEREF _Toc65104095 \h </w:instrText>
        </w:r>
        <w:r w:rsidR="006155F9">
          <w:rPr>
            <w:noProof/>
            <w:webHidden/>
          </w:rPr>
        </w:r>
        <w:r w:rsidR="006155F9">
          <w:rPr>
            <w:noProof/>
            <w:webHidden/>
          </w:rPr>
          <w:fldChar w:fldCharType="separate"/>
        </w:r>
        <w:r w:rsidR="006155F9">
          <w:rPr>
            <w:noProof/>
            <w:webHidden/>
          </w:rPr>
          <w:t>53</w:t>
        </w:r>
        <w:r w:rsidR="006155F9">
          <w:rPr>
            <w:noProof/>
            <w:webHidden/>
          </w:rPr>
          <w:fldChar w:fldCharType="end"/>
        </w:r>
      </w:hyperlink>
    </w:p>
    <w:p w14:paraId="37AB492F" w14:textId="4854945B" w:rsidR="006155F9" w:rsidRDefault="001C0DEA">
      <w:pPr>
        <w:pStyle w:val="21"/>
        <w:rPr>
          <w:rFonts w:asciiTheme="minorHAnsi" w:eastAsiaTheme="minorEastAsia" w:hAnsiTheme="minorHAnsi" w:cstheme="minorBidi"/>
          <w:noProof/>
          <w:sz w:val="24"/>
          <w:szCs w:val="24"/>
          <w:lang w:eastAsia="ru-RU"/>
        </w:rPr>
      </w:pPr>
      <w:hyperlink w:anchor="_Toc65104096" w:history="1">
        <w:r w:rsidR="006155F9" w:rsidRPr="000A0B24">
          <w:rPr>
            <w:rStyle w:val="affd"/>
            <w:noProof/>
          </w:rPr>
          <w:t>5. Профилактика и диспансерное наблюдение, медицинские показания и противопоказания к применению методов профилактики</w:t>
        </w:r>
        <w:r w:rsidR="006155F9">
          <w:rPr>
            <w:noProof/>
            <w:webHidden/>
          </w:rPr>
          <w:tab/>
        </w:r>
        <w:r w:rsidR="006155F9">
          <w:rPr>
            <w:noProof/>
            <w:webHidden/>
          </w:rPr>
          <w:fldChar w:fldCharType="begin"/>
        </w:r>
        <w:r w:rsidR="006155F9">
          <w:rPr>
            <w:noProof/>
            <w:webHidden/>
          </w:rPr>
          <w:instrText xml:space="preserve"> PAGEREF _Toc65104096 \h </w:instrText>
        </w:r>
        <w:r w:rsidR="006155F9">
          <w:rPr>
            <w:noProof/>
            <w:webHidden/>
          </w:rPr>
        </w:r>
        <w:r w:rsidR="006155F9">
          <w:rPr>
            <w:noProof/>
            <w:webHidden/>
          </w:rPr>
          <w:fldChar w:fldCharType="separate"/>
        </w:r>
        <w:r w:rsidR="006155F9">
          <w:rPr>
            <w:noProof/>
            <w:webHidden/>
          </w:rPr>
          <w:t>54</w:t>
        </w:r>
        <w:r w:rsidR="006155F9">
          <w:rPr>
            <w:noProof/>
            <w:webHidden/>
          </w:rPr>
          <w:fldChar w:fldCharType="end"/>
        </w:r>
      </w:hyperlink>
    </w:p>
    <w:p w14:paraId="41235755" w14:textId="4C185793" w:rsidR="006155F9" w:rsidRDefault="001C0DEA">
      <w:pPr>
        <w:pStyle w:val="21"/>
        <w:rPr>
          <w:rFonts w:asciiTheme="minorHAnsi" w:eastAsiaTheme="minorEastAsia" w:hAnsiTheme="minorHAnsi" w:cstheme="minorBidi"/>
          <w:noProof/>
          <w:sz w:val="24"/>
          <w:szCs w:val="24"/>
          <w:lang w:eastAsia="ru-RU"/>
        </w:rPr>
      </w:pPr>
      <w:hyperlink w:anchor="_Toc65104097" w:history="1">
        <w:r w:rsidR="006155F9" w:rsidRPr="000A0B24">
          <w:rPr>
            <w:rStyle w:val="affd"/>
            <w:noProof/>
          </w:rPr>
          <w:t>6. Организация оказания медицинской помощи</w:t>
        </w:r>
        <w:r w:rsidR="006155F9">
          <w:rPr>
            <w:noProof/>
            <w:webHidden/>
          </w:rPr>
          <w:tab/>
        </w:r>
        <w:r w:rsidR="006155F9">
          <w:rPr>
            <w:noProof/>
            <w:webHidden/>
          </w:rPr>
          <w:fldChar w:fldCharType="begin"/>
        </w:r>
        <w:r w:rsidR="006155F9">
          <w:rPr>
            <w:noProof/>
            <w:webHidden/>
          </w:rPr>
          <w:instrText xml:space="preserve"> PAGEREF _Toc65104097 \h </w:instrText>
        </w:r>
        <w:r w:rsidR="006155F9">
          <w:rPr>
            <w:noProof/>
            <w:webHidden/>
          </w:rPr>
        </w:r>
        <w:r w:rsidR="006155F9">
          <w:rPr>
            <w:noProof/>
            <w:webHidden/>
          </w:rPr>
          <w:fldChar w:fldCharType="separate"/>
        </w:r>
        <w:r w:rsidR="006155F9">
          <w:rPr>
            <w:noProof/>
            <w:webHidden/>
          </w:rPr>
          <w:t>54</w:t>
        </w:r>
        <w:r w:rsidR="006155F9">
          <w:rPr>
            <w:noProof/>
            <w:webHidden/>
          </w:rPr>
          <w:fldChar w:fldCharType="end"/>
        </w:r>
      </w:hyperlink>
    </w:p>
    <w:p w14:paraId="03DA27C2" w14:textId="19056F3F" w:rsidR="006155F9" w:rsidRDefault="001C0DEA">
      <w:pPr>
        <w:pStyle w:val="21"/>
        <w:rPr>
          <w:rFonts w:asciiTheme="minorHAnsi" w:eastAsiaTheme="minorEastAsia" w:hAnsiTheme="minorHAnsi" w:cstheme="minorBidi"/>
          <w:noProof/>
          <w:sz w:val="24"/>
          <w:szCs w:val="24"/>
          <w:lang w:eastAsia="ru-RU"/>
        </w:rPr>
      </w:pPr>
      <w:hyperlink w:anchor="_Toc65104098" w:history="1">
        <w:r w:rsidR="006155F9" w:rsidRPr="000A0B24">
          <w:rPr>
            <w:rStyle w:val="affd"/>
            <w:noProof/>
          </w:rPr>
          <w:t>7. Дополнительная информация (в том числе факторы, влияющие на исход заболевания или состояния)</w:t>
        </w:r>
        <w:r w:rsidR="006155F9">
          <w:rPr>
            <w:noProof/>
            <w:webHidden/>
          </w:rPr>
          <w:tab/>
        </w:r>
        <w:r w:rsidR="006155F9">
          <w:rPr>
            <w:noProof/>
            <w:webHidden/>
          </w:rPr>
          <w:fldChar w:fldCharType="begin"/>
        </w:r>
        <w:r w:rsidR="006155F9">
          <w:rPr>
            <w:noProof/>
            <w:webHidden/>
          </w:rPr>
          <w:instrText xml:space="preserve"> PAGEREF _Toc65104098 \h </w:instrText>
        </w:r>
        <w:r w:rsidR="006155F9">
          <w:rPr>
            <w:noProof/>
            <w:webHidden/>
          </w:rPr>
        </w:r>
        <w:r w:rsidR="006155F9">
          <w:rPr>
            <w:noProof/>
            <w:webHidden/>
          </w:rPr>
          <w:fldChar w:fldCharType="separate"/>
        </w:r>
        <w:r w:rsidR="006155F9">
          <w:rPr>
            <w:noProof/>
            <w:webHidden/>
          </w:rPr>
          <w:t>58</w:t>
        </w:r>
        <w:r w:rsidR="006155F9">
          <w:rPr>
            <w:noProof/>
            <w:webHidden/>
          </w:rPr>
          <w:fldChar w:fldCharType="end"/>
        </w:r>
      </w:hyperlink>
    </w:p>
    <w:p w14:paraId="6333E2B7" w14:textId="4A4119BC" w:rsidR="006155F9" w:rsidRDefault="001C0DEA">
      <w:pPr>
        <w:pStyle w:val="21"/>
        <w:rPr>
          <w:rFonts w:asciiTheme="minorHAnsi" w:eastAsiaTheme="minorEastAsia" w:hAnsiTheme="minorHAnsi" w:cstheme="minorBidi"/>
          <w:noProof/>
          <w:sz w:val="24"/>
          <w:szCs w:val="24"/>
          <w:lang w:eastAsia="ru-RU"/>
        </w:rPr>
      </w:pPr>
      <w:hyperlink w:anchor="_Toc65104099" w:history="1">
        <w:r w:rsidR="006155F9" w:rsidRPr="000A0B24">
          <w:rPr>
            <w:rStyle w:val="affd"/>
            <w:noProof/>
          </w:rPr>
          <w:t>7.1. Факторы, влияющие на исход МДС, связанные с болезнью (шкалы прогноза)</w:t>
        </w:r>
        <w:r w:rsidR="006155F9">
          <w:rPr>
            <w:noProof/>
            <w:webHidden/>
          </w:rPr>
          <w:tab/>
        </w:r>
        <w:r w:rsidR="006155F9">
          <w:rPr>
            <w:noProof/>
            <w:webHidden/>
          </w:rPr>
          <w:fldChar w:fldCharType="begin"/>
        </w:r>
        <w:r w:rsidR="006155F9">
          <w:rPr>
            <w:noProof/>
            <w:webHidden/>
          </w:rPr>
          <w:instrText xml:space="preserve"> PAGEREF _Toc65104099 \h </w:instrText>
        </w:r>
        <w:r w:rsidR="006155F9">
          <w:rPr>
            <w:noProof/>
            <w:webHidden/>
          </w:rPr>
        </w:r>
        <w:r w:rsidR="006155F9">
          <w:rPr>
            <w:noProof/>
            <w:webHidden/>
          </w:rPr>
          <w:fldChar w:fldCharType="separate"/>
        </w:r>
        <w:r w:rsidR="006155F9">
          <w:rPr>
            <w:noProof/>
            <w:webHidden/>
          </w:rPr>
          <w:t>58</w:t>
        </w:r>
        <w:r w:rsidR="006155F9">
          <w:rPr>
            <w:noProof/>
            <w:webHidden/>
          </w:rPr>
          <w:fldChar w:fldCharType="end"/>
        </w:r>
      </w:hyperlink>
    </w:p>
    <w:p w14:paraId="588D6AE2" w14:textId="7D1E8C41" w:rsidR="006155F9" w:rsidRDefault="001C0DEA">
      <w:pPr>
        <w:pStyle w:val="21"/>
        <w:rPr>
          <w:rFonts w:asciiTheme="minorHAnsi" w:eastAsiaTheme="minorEastAsia" w:hAnsiTheme="minorHAnsi" w:cstheme="minorBidi"/>
          <w:noProof/>
          <w:sz w:val="24"/>
          <w:szCs w:val="24"/>
          <w:lang w:eastAsia="ru-RU"/>
        </w:rPr>
      </w:pPr>
      <w:hyperlink w:anchor="_Toc65104100" w:history="1">
        <w:r w:rsidR="006155F9" w:rsidRPr="000A0B24">
          <w:rPr>
            <w:rStyle w:val="affd"/>
            <w:noProof/>
          </w:rPr>
          <w:t>7.2. Другие факторы, влияющие на исход МДС</w:t>
        </w:r>
        <w:r w:rsidR="006155F9">
          <w:rPr>
            <w:noProof/>
            <w:webHidden/>
          </w:rPr>
          <w:tab/>
        </w:r>
        <w:r w:rsidR="006155F9">
          <w:rPr>
            <w:noProof/>
            <w:webHidden/>
          </w:rPr>
          <w:fldChar w:fldCharType="begin"/>
        </w:r>
        <w:r w:rsidR="006155F9">
          <w:rPr>
            <w:noProof/>
            <w:webHidden/>
          </w:rPr>
          <w:instrText xml:space="preserve"> PAGEREF _Toc65104100 \h </w:instrText>
        </w:r>
        <w:r w:rsidR="006155F9">
          <w:rPr>
            <w:noProof/>
            <w:webHidden/>
          </w:rPr>
        </w:r>
        <w:r w:rsidR="006155F9">
          <w:rPr>
            <w:noProof/>
            <w:webHidden/>
          </w:rPr>
          <w:fldChar w:fldCharType="separate"/>
        </w:r>
        <w:r w:rsidR="006155F9">
          <w:rPr>
            <w:noProof/>
            <w:webHidden/>
          </w:rPr>
          <w:t>61</w:t>
        </w:r>
        <w:r w:rsidR="006155F9">
          <w:rPr>
            <w:noProof/>
            <w:webHidden/>
          </w:rPr>
          <w:fldChar w:fldCharType="end"/>
        </w:r>
      </w:hyperlink>
    </w:p>
    <w:p w14:paraId="444A493A" w14:textId="5FF044F9" w:rsidR="006155F9" w:rsidRDefault="001C0DEA">
      <w:pPr>
        <w:pStyle w:val="21"/>
        <w:rPr>
          <w:rFonts w:asciiTheme="minorHAnsi" w:eastAsiaTheme="minorEastAsia" w:hAnsiTheme="minorHAnsi" w:cstheme="minorBidi"/>
          <w:noProof/>
          <w:sz w:val="24"/>
          <w:szCs w:val="24"/>
          <w:lang w:eastAsia="ru-RU"/>
        </w:rPr>
      </w:pPr>
      <w:hyperlink w:anchor="_Toc65104101" w:history="1">
        <w:r w:rsidR="006155F9" w:rsidRPr="000A0B24">
          <w:rPr>
            <w:rStyle w:val="affd"/>
            <w:noProof/>
          </w:rPr>
          <w:t xml:space="preserve">7.3 </w:t>
        </w:r>
        <w:r w:rsidR="006155F9" w:rsidRPr="000A0B24">
          <w:rPr>
            <w:rStyle w:val="affd"/>
            <w:noProof/>
            <w:lang w:eastAsia="ru-RU"/>
          </w:rPr>
          <w:t>Профилактика и лечение тошноты и рвоты</w:t>
        </w:r>
        <w:r w:rsidR="006155F9">
          <w:rPr>
            <w:noProof/>
            <w:webHidden/>
          </w:rPr>
          <w:tab/>
        </w:r>
        <w:r w:rsidR="006155F9">
          <w:rPr>
            <w:noProof/>
            <w:webHidden/>
          </w:rPr>
          <w:fldChar w:fldCharType="begin"/>
        </w:r>
        <w:r w:rsidR="006155F9">
          <w:rPr>
            <w:noProof/>
            <w:webHidden/>
          </w:rPr>
          <w:instrText xml:space="preserve"> PAGEREF _Toc65104101 \h </w:instrText>
        </w:r>
        <w:r w:rsidR="006155F9">
          <w:rPr>
            <w:noProof/>
            <w:webHidden/>
          </w:rPr>
        </w:r>
        <w:r w:rsidR="006155F9">
          <w:rPr>
            <w:noProof/>
            <w:webHidden/>
          </w:rPr>
          <w:fldChar w:fldCharType="separate"/>
        </w:r>
        <w:r w:rsidR="006155F9">
          <w:rPr>
            <w:noProof/>
            <w:webHidden/>
          </w:rPr>
          <w:t>62</w:t>
        </w:r>
        <w:r w:rsidR="006155F9">
          <w:rPr>
            <w:noProof/>
            <w:webHidden/>
          </w:rPr>
          <w:fldChar w:fldCharType="end"/>
        </w:r>
      </w:hyperlink>
    </w:p>
    <w:p w14:paraId="70E809D6" w14:textId="2F03BD35" w:rsidR="006155F9" w:rsidRDefault="001C0DEA">
      <w:pPr>
        <w:pStyle w:val="21"/>
        <w:rPr>
          <w:rFonts w:asciiTheme="minorHAnsi" w:eastAsiaTheme="minorEastAsia" w:hAnsiTheme="minorHAnsi" w:cstheme="minorBidi"/>
          <w:noProof/>
          <w:sz w:val="24"/>
          <w:szCs w:val="24"/>
          <w:lang w:eastAsia="ru-RU"/>
        </w:rPr>
      </w:pPr>
      <w:hyperlink w:anchor="_Toc65104102" w:history="1">
        <w:r w:rsidR="006155F9" w:rsidRPr="000A0B24">
          <w:rPr>
            <w:rStyle w:val="affd"/>
            <w:noProof/>
          </w:rPr>
          <w:t>7.4</w:t>
        </w:r>
        <w:r w:rsidR="006155F9" w:rsidRPr="000A0B24">
          <w:rPr>
            <w:rStyle w:val="affd"/>
            <w:noProof/>
            <w:lang w:eastAsia="ru-RU"/>
          </w:rPr>
          <w:t xml:space="preserve"> Профилактика язвенной болезни желудка и 12-перстной кишки на фоне терапии глюкокортикостероидами</w:t>
        </w:r>
        <w:r w:rsidR="006155F9">
          <w:rPr>
            <w:noProof/>
            <w:webHidden/>
          </w:rPr>
          <w:tab/>
        </w:r>
        <w:r w:rsidR="006155F9">
          <w:rPr>
            <w:noProof/>
            <w:webHidden/>
          </w:rPr>
          <w:fldChar w:fldCharType="begin"/>
        </w:r>
        <w:r w:rsidR="006155F9">
          <w:rPr>
            <w:noProof/>
            <w:webHidden/>
          </w:rPr>
          <w:instrText xml:space="preserve"> PAGEREF _Toc65104102 \h </w:instrText>
        </w:r>
        <w:r w:rsidR="006155F9">
          <w:rPr>
            <w:noProof/>
            <w:webHidden/>
          </w:rPr>
        </w:r>
        <w:r w:rsidR="006155F9">
          <w:rPr>
            <w:noProof/>
            <w:webHidden/>
          </w:rPr>
          <w:fldChar w:fldCharType="separate"/>
        </w:r>
        <w:r w:rsidR="006155F9">
          <w:rPr>
            <w:noProof/>
            <w:webHidden/>
          </w:rPr>
          <w:t>72</w:t>
        </w:r>
        <w:r w:rsidR="006155F9">
          <w:rPr>
            <w:noProof/>
            <w:webHidden/>
          </w:rPr>
          <w:fldChar w:fldCharType="end"/>
        </w:r>
      </w:hyperlink>
    </w:p>
    <w:p w14:paraId="10CE59CC" w14:textId="5AE2797D" w:rsidR="006155F9" w:rsidRDefault="001C0DEA">
      <w:pPr>
        <w:pStyle w:val="21"/>
        <w:rPr>
          <w:rFonts w:asciiTheme="minorHAnsi" w:eastAsiaTheme="minorEastAsia" w:hAnsiTheme="minorHAnsi" w:cstheme="minorBidi"/>
          <w:noProof/>
          <w:sz w:val="24"/>
          <w:szCs w:val="24"/>
          <w:lang w:eastAsia="ru-RU"/>
        </w:rPr>
      </w:pPr>
      <w:hyperlink w:anchor="_Toc65104103" w:history="1">
        <w:r w:rsidR="006155F9" w:rsidRPr="000A0B24">
          <w:rPr>
            <w:rStyle w:val="affd"/>
            <w:noProof/>
          </w:rPr>
          <w:t>7.5 Профилактика, диагностика и лечение тромботических осложнений</w:t>
        </w:r>
        <w:r w:rsidR="006155F9">
          <w:rPr>
            <w:noProof/>
            <w:webHidden/>
          </w:rPr>
          <w:tab/>
        </w:r>
        <w:r w:rsidR="006155F9">
          <w:rPr>
            <w:noProof/>
            <w:webHidden/>
          </w:rPr>
          <w:fldChar w:fldCharType="begin"/>
        </w:r>
        <w:r w:rsidR="006155F9">
          <w:rPr>
            <w:noProof/>
            <w:webHidden/>
          </w:rPr>
          <w:instrText xml:space="preserve"> PAGEREF _Toc65104103 \h </w:instrText>
        </w:r>
        <w:r w:rsidR="006155F9">
          <w:rPr>
            <w:noProof/>
            <w:webHidden/>
          </w:rPr>
        </w:r>
        <w:r w:rsidR="006155F9">
          <w:rPr>
            <w:noProof/>
            <w:webHidden/>
          </w:rPr>
          <w:fldChar w:fldCharType="separate"/>
        </w:r>
        <w:r w:rsidR="006155F9">
          <w:rPr>
            <w:noProof/>
            <w:webHidden/>
          </w:rPr>
          <w:t>74</w:t>
        </w:r>
        <w:r w:rsidR="006155F9">
          <w:rPr>
            <w:noProof/>
            <w:webHidden/>
          </w:rPr>
          <w:fldChar w:fldCharType="end"/>
        </w:r>
      </w:hyperlink>
    </w:p>
    <w:p w14:paraId="57578EBF" w14:textId="22CBDA05" w:rsidR="006155F9" w:rsidRDefault="001C0DEA">
      <w:pPr>
        <w:pStyle w:val="21"/>
        <w:rPr>
          <w:rFonts w:asciiTheme="minorHAnsi" w:eastAsiaTheme="minorEastAsia" w:hAnsiTheme="minorHAnsi" w:cstheme="minorBidi"/>
          <w:noProof/>
          <w:sz w:val="24"/>
          <w:szCs w:val="24"/>
          <w:lang w:eastAsia="ru-RU"/>
        </w:rPr>
      </w:pPr>
      <w:hyperlink w:anchor="_Toc65104104" w:history="1">
        <w:r w:rsidR="006155F9" w:rsidRPr="000A0B24">
          <w:rPr>
            <w:rStyle w:val="affd"/>
            <w:noProof/>
          </w:rPr>
          <w:t>7.6  Профилактика, диагностика и лечение геморрагических осложнений</w:t>
        </w:r>
        <w:r w:rsidR="006155F9">
          <w:rPr>
            <w:noProof/>
            <w:webHidden/>
          </w:rPr>
          <w:tab/>
        </w:r>
        <w:r w:rsidR="006155F9">
          <w:rPr>
            <w:noProof/>
            <w:webHidden/>
          </w:rPr>
          <w:fldChar w:fldCharType="begin"/>
        </w:r>
        <w:r w:rsidR="006155F9">
          <w:rPr>
            <w:noProof/>
            <w:webHidden/>
          </w:rPr>
          <w:instrText xml:space="preserve"> PAGEREF _Toc65104104 \h </w:instrText>
        </w:r>
        <w:r w:rsidR="006155F9">
          <w:rPr>
            <w:noProof/>
            <w:webHidden/>
          </w:rPr>
        </w:r>
        <w:r w:rsidR="006155F9">
          <w:rPr>
            <w:noProof/>
            <w:webHidden/>
          </w:rPr>
          <w:fldChar w:fldCharType="separate"/>
        </w:r>
        <w:r w:rsidR="006155F9">
          <w:rPr>
            <w:noProof/>
            <w:webHidden/>
          </w:rPr>
          <w:t>88</w:t>
        </w:r>
        <w:r w:rsidR="006155F9">
          <w:rPr>
            <w:noProof/>
            <w:webHidden/>
          </w:rPr>
          <w:fldChar w:fldCharType="end"/>
        </w:r>
      </w:hyperlink>
    </w:p>
    <w:p w14:paraId="550C1299" w14:textId="7EFD34B0" w:rsidR="006155F9" w:rsidRDefault="001C0DEA">
      <w:pPr>
        <w:pStyle w:val="21"/>
        <w:rPr>
          <w:rFonts w:asciiTheme="minorHAnsi" w:eastAsiaTheme="minorEastAsia" w:hAnsiTheme="minorHAnsi" w:cstheme="minorBidi"/>
          <w:noProof/>
          <w:sz w:val="24"/>
          <w:szCs w:val="24"/>
          <w:lang w:eastAsia="ru-RU"/>
        </w:rPr>
      </w:pPr>
      <w:hyperlink w:anchor="_Toc65104105" w:history="1">
        <w:r w:rsidR="006155F9" w:rsidRPr="000A0B24">
          <w:rPr>
            <w:rStyle w:val="affd"/>
            <w:noProof/>
          </w:rPr>
          <w:t>7.7 Внутричерепные кровоизлияния у гематологических пациентов – тактика нейрохирургического лечения</w:t>
        </w:r>
        <w:r w:rsidR="006155F9">
          <w:rPr>
            <w:noProof/>
            <w:webHidden/>
          </w:rPr>
          <w:tab/>
        </w:r>
        <w:r w:rsidR="006155F9">
          <w:rPr>
            <w:noProof/>
            <w:webHidden/>
          </w:rPr>
          <w:fldChar w:fldCharType="begin"/>
        </w:r>
        <w:r w:rsidR="006155F9">
          <w:rPr>
            <w:noProof/>
            <w:webHidden/>
          </w:rPr>
          <w:instrText xml:space="preserve"> PAGEREF _Toc65104105 \h </w:instrText>
        </w:r>
        <w:r w:rsidR="006155F9">
          <w:rPr>
            <w:noProof/>
            <w:webHidden/>
          </w:rPr>
        </w:r>
        <w:r w:rsidR="006155F9">
          <w:rPr>
            <w:noProof/>
            <w:webHidden/>
          </w:rPr>
          <w:fldChar w:fldCharType="separate"/>
        </w:r>
        <w:r w:rsidR="006155F9">
          <w:rPr>
            <w:noProof/>
            <w:webHidden/>
          </w:rPr>
          <w:t>94</w:t>
        </w:r>
        <w:r w:rsidR="006155F9">
          <w:rPr>
            <w:noProof/>
            <w:webHidden/>
          </w:rPr>
          <w:fldChar w:fldCharType="end"/>
        </w:r>
      </w:hyperlink>
    </w:p>
    <w:p w14:paraId="4B324FEC" w14:textId="60B99B64" w:rsidR="006155F9" w:rsidRDefault="001C0DEA">
      <w:pPr>
        <w:pStyle w:val="21"/>
        <w:rPr>
          <w:rFonts w:asciiTheme="minorHAnsi" w:eastAsiaTheme="minorEastAsia" w:hAnsiTheme="minorHAnsi" w:cstheme="minorBidi"/>
          <w:noProof/>
          <w:sz w:val="24"/>
          <w:szCs w:val="24"/>
          <w:lang w:eastAsia="ru-RU"/>
        </w:rPr>
      </w:pPr>
      <w:hyperlink w:anchor="_Toc65104106" w:history="1">
        <w:r w:rsidR="006155F9" w:rsidRPr="000A0B24">
          <w:rPr>
            <w:rStyle w:val="affd"/>
            <w:noProof/>
          </w:rPr>
          <w:t>7.8 Лечение меноррагий у пациенток с гематологическими заболеваниями</w:t>
        </w:r>
        <w:r w:rsidR="006155F9">
          <w:rPr>
            <w:noProof/>
            <w:webHidden/>
          </w:rPr>
          <w:tab/>
        </w:r>
        <w:r w:rsidR="006155F9">
          <w:rPr>
            <w:noProof/>
            <w:webHidden/>
          </w:rPr>
          <w:fldChar w:fldCharType="begin"/>
        </w:r>
        <w:r w:rsidR="006155F9">
          <w:rPr>
            <w:noProof/>
            <w:webHidden/>
          </w:rPr>
          <w:instrText xml:space="preserve"> PAGEREF _Toc65104106 \h </w:instrText>
        </w:r>
        <w:r w:rsidR="006155F9">
          <w:rPr>
            <w:noProof/>
            <w:webHidden/>
          </w:rPr>
        </w:r>
        <w:r w:rsidR="006155F9">
          <w:rPr>
            <w:noProof/>
            <w:webHidden/>
          </w:rPr>
          <w:fldChar w:fldCharType="separate"/>
        </w:r>
        <w:r w:rsidR="006155F9">
          <w:rPr>
            <w:noProof/>
            <w:webHidden/>
          </w:rPr>
          <w:t>99</w:t>
        </w:r>
        <w:r w:rsidR="006155F9">
          <w:rPr>
            <w:noProof/>
            <w:webHidden/>
          </w:rPr>
          <w:fldChar w:fldCharType="end"/>
        </w:r>
      </w:hyperlink>
    </w:p>
    <w:p w14:paraId="6430F07E" w14:textId="76B10082" w:rsidR="006155F9" w:rsidRDefault="001C0DEA">
      <w:pPr>
        <w:pStyle w:val="21"/>
        <w:rPr>
          <w:rFonts w:asciiTheme="minorHAnsi" w:eastAsiaTheme="minorEastAsia" w:hAnsiTheme="minorHAnsi" w:cstheme="minorBidi"/>
          <w:noProof/>
          <w:sz w:val="24"/>
          <w:szCs w:val="24"/>
          <w:lang w:eastAsia="ru-RU"/>
        </w:rPr>
      </w:pPr>
      <w:hyperlink w:anchor="_Toc65104107" w:history="1">
        <w:r w:rsidR="006155F9" w:rsidRPr="000A0B24">
          <w:rPr>
            <w:rStyle w:val="affd"/>
            <w:noProof/>
          </w:rPr>
          <w:t>7.9 Диагностика и лечение бактериальных инфекционных осложнений</w:t>
        </w:r>
        <w:r w:rsidR="006155F9">
          <w:rPr>
            <w:noProof/>
            <w:webHidden/>
          </w:rPr>
          <w:tab/>
        </w:r>
        <w:r w:rsidR="006155F9">
          <w:rPr>
            <w:noProof/>
            <w:webHidden/>
          </w:rPr>
          <w:fldChar w:fldCharType="begin"/>
        </w:r>
        <w:r w:rsidR="006155F9">
          <w:rPr>
            <w:noProof/>
            <w:webHidden/>
          </w:rPr>
          <w:instrText xml:space="preserve"> PAGEREF _Toc65104107 \h </w:instrText>
        </w:r>
        <w:r w:rsidR="006155F9">
          <w:rPr>
            <w:noProof/>
            <w:webHidden/>
          </w:rPr>
        </w:r>
        <w:r w:rsidR="006155F9">
          <w:rPr>
            <w:noProof/>
            <w:webHidden/>
          </w:rPr>
          <w:fldChar w:fldCharType="separate"/>
        </w:r>
        <w:r w:rsidR="006155F9">
          <w:rPr>
            <w:noProof/>
            <w:webHidden/>
          </w:rPr>
          <w:t>104</w:t>
        </w:r>
        <w:r w:rsidR="006155F9">
          <w:rPr>
            <w:noProof/>
            <w:webHidden/>
          </w:rPr>
          <w:fldChar w:fldCharType="end"/>
        </w:r>
      </w:hyperlink>
    </w:p>
    <w:p w14:paraId="4486F0DC" w14:textId="2D6E7BB9" w:rsidR="006155F9" w:rsidRDefault="001C0DEA">
      <w:pPr>
        <w:pStyle w:val="21"/>
        <w:rPr>
          <w:rFonts w:asciiTheme="minorHAnsi" w:eastAsiaTheme="minorEastAsia" w:hAnsiTheme="minorHAnsi" w:cstheme="minorBidi"/>
          <w:noProof/>
          <w:sz w:val="24"/>
          <w:szCs w:val="24"/>
          <w:lang w:eastAsia="ru-RU"/>
        </w:rPr>
      </w:pPr>
      <w:hyperlink w:anchor="_Toc65104108" w:history="1">
        <w:r w:rsidR="006155F9" w:rsidRPr="000A0B24">
          <w:rPr>
            <w:rStyle w:val="affd"/>
            <w:noProof/>
          </w:rPr>
          <w:t>7.10 Вирусные инфекции у пациентов с гематологическими заболеваниями</w:t>
        </w:r>
        <w:r w:rsidR="006155F9">
          <w:rPr>
            <w:noProof/>
            <w:webHidden/>
          </w:rPr>
          <w:tab/>
        </w:r>
        <w:r w:rsidR="006155F9">
          <w:rPr>
            <w:noProof/>
            <w:webHidden/>
          </w:rPr>
          <w:fldChar w:fldCharType="begin"/>
        </w:r>
        <w:r w:rsidR="006155F9">
          <w:rPr>
            <w:noProof/>
            <w:webHidden/>
          </w:rPr>
          <w:instrText xml:space="preserve"> PAGEREF _Toc65104108 \h </w:instrText>
        </w:r>
        <w:r w:rsidR="006155F9">
          <w:rPr>
            <w:noProof/>
            <w:webHidden/>
          </w:rPr>
        </w:r>
        <w:r w:rsidR="006155F9">
          <w:rPr>
            <w:noProof/>
            <w:webHidden/>
          </w:rPr>
          <w:fldChar w:fldCharType="separate"/>
        </w:r>
        <w:r w:rsidR="006155F9">
          <w:rPr>
            <w:noProof/>
            <w:webHidden/>
          </w:rPr>
          <w:t>126</w:t>
        </w:r>
        <w:r w:rsidR="006155F9">
          <w:rPr>
            <w:noProof/>
            <w:webHidden/>
          </w:rPr>
          <w:fldChar w:fldCharType="end"/>
        </w:r>
      </w:hyperlink>
    </w:p>
    <w:p w14:paraId="07D2EEA8" w14:textId="24247ED8" w:rsidR="006155F9" w:rsidRDefault="001C0DEA">
      <w:pPr>
        <w:pStyle w:val="21"/>
        <w:rPr>
          <w:rFonts w:asciiTheme="minorHAnsi" w:eastAsiaTheme="minorEastAsia" w:hAnsiTheme="minorHAnsi" w:cstheme="minorBidi"/>
          <w:noProof/>
          <w:sz w:val="24"/>
          <w:szCs w:val="24"/>
          <w:lang w:eastAsia="ru-RU"/>
        </w:rPr>
      </w:pPr>
      <w:hyperlink w:anchor="_Toc65104109" w:history="1">
        <w:r w:rsidR="006155F9" w:rsidRPr="000A0B24">
          <w:rPr>
            <w:rStyle w:val="affd"/>
            <w:noProof/>
          </w:rPr>
          <w:t>7.11 Диагностика и лечение инфекций, вызванных грибами</w:t>
        </w:r>
        <w:r w:rsidR="006155F9">
          <w:rPr>
            <w:noProof/>
            <w:webHidden/>
          </w:rPr>
          <w:tab/>
        </w:r>
        <w:r w:rsidR="006155F9">
          <w:rPr>
            <w:noProof/>
            <w:webHidden/>
          </w:rPr>
          <w:fldChar w:fldCharType="begin"/>
        </w:r>
        <w:r w:rsidR="006155F9">
          <w:rPr>
            <w:noProof/>
            <w:webHidden/>
          </w:rPr>
          <w:instrText xml:space="preserve"> PAGEREF _Toc65104109 \h </w:instrText>
        </w:r>
        <w:r w:rsidR="006155F9">
          <w:rPr>
            <w:noProof/>
            <w:webHidden/>
          </w:rPr>
        </w:r>
        <w:r w:rsidR="006155F9">
          <w:rPr>
            <w:noProof/>
            <w:webHidden/>
          </w:rPr>
          <w:fldChar w:fldCharType="separate"/>
        </w:r>
        <w:r w:rsidR="006155F9">
          <w:rPr>
            <w:noProof/>
            <w:webHidden/>
          </w:rPr>
          <w:t>129</w:t>
        </w:r>
        <w:r w:rsidR="006155F9">
          <w:rPr>
            <w:noProof/>
            <w:webHidden/>
          </w:rPr>
          <w:fldChar w:fldCharType="end"/>
        </w:r>
      </w:hyperlink>
    </w:p>
    <w:p w14:paraId="421A687D" w14:textId="480027DD" w:rsidR="006155F9" w:rsidRDefault="001C0DEA">
      <w:pPr>
        <w:pStyle w:val="21"/>
        <w:rPr>
          <w:rFonts w:asciiTheme="minorHAnsi" w:eastAsiaTheme="minorEastAsia" w:hAnsiTheme="minorHAnsi" w:cstheme="minorBidi"/>
          <w:noProof/>
          <w:sz w:val="24"/>
          <w:szCs w:val="24"/>
          <w:lang w:eastAsia="ru-RU"/>
        </w:rPr>
      </w:pPr>
      <w:hyperlink w:anchor="_Toc65104110" w:history="1">
        <w:r w:rsidR="006155F9" w:rsidRPr="000A0B24">
          <w:rPr>
            <w:rStyle w:val="affd"/>
            <w:noProof/>
          </w:rPr>
          <w:t xml:space="preserve">7.12 </w:t>
        </w:r>
        <w:r w:rsidR="006155F9" w:rsidRPr="000A0B24">
          <w:rPr>
            <w:rStyle w:val="affd"/>
            <w:bCs/>
            <w:noProof/>
          </w:rPr>
          <w:t>Профилактика инфекционных осложнений у пациентов с гематологическими заболеваниями</w:t>
        </w:r>
        <w:r w:rsidR="006155F9">
          <w:rPr>
            <w:noProof/>
            <w:webHidden/>
          </w:rPr>
          <w:tab/>
        </w:r>
        <w:r w:rsidR="006155F9">
          <w:rPr>
            <w:noProof/>
            <w:webHidden/>
          </w:rPr>
          <w:fldChar w:fldCharType="begin"/>
        </w:r>
        <w:r w:rsidR="006155F9">
          <w:rPr>
            <w:noProof/>
            <w:webHidden/>
          </w:rPr>
          <w:instrText xml:space="preserve"> PAGEREF _Toc65104110 \h </w:instrText>
        </w:r>
        <w:r w:rsidR="006155F9">
          <w:rPr>
            <w:noProof/>
            <w:webHidden/>
          </w:rPr>
        </w:r>
        <w:r w:rsidR="006155F9">
          <w:rPr>
            <w:noProof/>
            <w:webHidden/>
          </w:rPr>
          <w:fldChar w:fldCharType="separate"/>
        </w:r>
        <w:r w:rsidR="006155F9">
          <w:rPr>
            <w:noProof/>
            <w:webHidden/>
          </w:rPr>
          <w:t>155</w:t>
        </w:r>
        <w:r w:rsidR="006155F9">
          <w:rPr>
            <w:noProof/>
            <w:webHidden/>
          </w:rPr>
          <w:fldChar w:fldCharType="end"/>
        </w:r>
      </w:hyperlink>
    </w:p>
    <w:p w14:paraId="0A276BDD" w14:textId="64CE0C03" w:rsidR="006155F9" w:rsidRDefault="001C0DEA">
      <w:pPr>
        <w:pStyle w:val="21"/>
        <w:rPr>
          <w:rFonts w:asciiTheme="minorHAnsi" w:eastAsiaTheme="minorEastAsia" w:hAnsiTheme="minorHAnsi" w:cstheme="minorBidi"/>
          <w:noProof/>
          <w:sz w:val="24"/>
          <w:szCs w:val="24"/>
          <w:lang w:eastAsia="ru-RU"/>
        </w:rPr>
      </w:pPr>
      <w:hyperlink w:anchor="_Toc65104111" w:history="1">
        <w:r w:rsidR="006155F9" w:rsidRPr="000A0B24">
          <w:rPr>
            <w:rStyle w:val="affd"/>
            <w:noProof/>
          </w:rPr>
          <w:t xml:space="preserve">7.13 </w:t>
        </w:r>
        <w:r w:rsidR="006155F9" w:rsidRPr="000A0B24">
          <w:rPr>
            <w:rStyle w:val="affd"/>
            <w:noProof/>
            <w:kern w:val="32"/>
          </w:rPr>
          <w:t>Диагностика гемотрансмиссивных инфекций</w:t>
        </w:r>
        <w:r w:rsidR="006155F9">
          <w:rPr>
            <w:noProof/>
            <w:webHidden/>
          </w:rPr>
          <w:tab/>
        </w:r>
        <w:r w:rsidR="006155F9">
          <w:rPr>
            <w:noProof/>
            <w:webHidden/>
          </w:rPr>
          <w:fldChar w:fldCharType="begin"/>
        </w:r>
        <w:r w:rsidR="006155F9">
          <w:rPr>
            <w:noProof/>
            <w:webHidden/>
          </w:rPr>
          <w:instrText xml:space="preserve"> PAGEREF _Toc65104111 \h </w:instrText>
        </w:r>
        <w:r w:rsidR="006155F9">
          <w:rPr>
            <w:noProof/>
            <w:webHidden/>
          </w:rPr>
        </w:r>
        <w:r w:rsidR="006155F9">
          <w:rPr>
            <w:noProof/>
            <w:webHidden/>
          </w:rPr>
          <w:fldChar w:fldCharType="separate"/>
        </w:r>
        <w:r w:rsidR="006155F9">
          <w:rPr>
            <w:noProof/>
            <w:webHidden/>
          </w:rPr>
          <w:t>161</w:t>
        </w:r>
        <w:r w:rsidR="006155F9">
          <w:rPr>
            <w:noProof/>
            <w:webHidden/>
          </w:rPr>
          <w:fldChar w:fldCharType="end"/>
        </w:r>
      </w:hyperlink>
    </w:p>
    <w:p w14:paraId="2561B8B5" w14:textId="2113F3C4" w:rsidR="006155F9" w:rsidRDefault="001C0DEA">
      <w:pPr>
        <w:pStyle w:val="21"/>
        <w:rPr>
          <w:rFonts w:asciiTheme="minorHAnsi" w:eastAsiaTheme="minorEastAsia" w:hAnsiTheme="minorHAnsi" w:cstheme="minorBidi"/>
          <w:noProof/>
          <w:sz w:val="24"/>
          <w:szCs w:val="24"/>
          <w:lang w:eastAsia="ru-RU"/>
        </w:rPr>
      </w:pPr>
      <w:hyperlink w:anchor="_Toc65104112" w:history="1">
        <w:r w:rsidR="006155F9" w:rsidRPr="000A0B24">
          <w:rPr>
            <w:rStyle w:val="affd"/>
            <w:noProof/>
          </w:rPr>
          <w:t>7.14 Диагностика и лечение септического шока и острой дыхательной недостаточности у гематологических пациентов</w:t>
        </w:r>
        <w:r w:rsidR="006155F9">
          <w:rPr>
            <w:noProof/>
            <w:webHidden/>
          </w:rPr>
          <w:tab/>
        </w:r>
        <w:r w:rsidR="006155F9">
          <w:rPr>
            <w:noProof/>
            <w:webHidden/>
          </w:rPr>
          <w:fldChar w:fldCharType="begin"/>
        </w:r>
        <w:r w:rsidR="006155F9">
          <w:rPr>
            <w:noProof/>
            <w:webHidden/>
          </w:rPr>
          <w:instrText xml:space="preserve"> PAGEREF _Toc65104112 \h </w:instrText>
        </w:r>
        <w:r w:rsidR="006155F9">
          <w:rPr>
            <w:noProof/>
            <w:webHidden/>
          </w:rPr>
        </w:r>
        <w:r w:rsidR="006155F9">
          <w:rPr>
            <w:noProof/>
            <w:webHidden/>
          </w:rPr>
          <w:fldChar w:fldCharType="separate"/>
        </w:r>
        <w:r w:rsidR="006155F9">
          <w:rPr>
            <w:noProof/>
            <w:webHidden/>
          </w:rPr>
          <w:t>164</w:t>
        </w:r>
        <w:r w:rsidR="006155F9">
          <w:rPr>
            <w:noProof/>
            <w:webHidden/>
          </w:rPr>
          <w:fldChar w:fldCharType="end"/>
        </w:r>
      </w:hyperlink>
    </w:p>
    <w:p w14:paraId="30F7ACCE" w14:textId="2F131F8B" w:rsidR="006155F9" w:rsidRDefault="001C0DEA">
      <w:pPr>
        <w:pStyle w:val="21"/>
        <w:rPr>
          <w:rFonts w:asciiTheme="minorHAnsi" w:eastAsiaTheme="minorEastAsia" w:hAnsiTheme="minorHAnsi" w:cstheme="minorBidi"/>
          <w:noProof/>
          <w:sz w:val="24"/>
          <w:szCs w:val="24"/>
          <w:lang w:eastAsia="ru-RU"/>
        </w:rPr>
      </w:pPr>
      <w:hyperlink w:anchor="_Toc65104113" w:history="1">
        <w:r w:rsidR="006155F9" w:rsidRPr="000A0B24">
          <w:rPr>
            <w:rStyle w:val="affd"/>
            <w:noProof/>
          </w:rPr>
          <w:t xml:space="preserve">7.15 </w:t>
        </w:r>
        <w:r w:rsidR="006155F9" w:rsidRPr="000A0B24">
          <w:rPr>
            <w:rStyle w:val="affd"/>
            <w:rFonts w:eastAsia="Times New Roman"/>
            <w:noProof/>
            <w:shd w:val="clear" w:color="auto" w:fill="FFFFFF"/>
          </w:rPr>
          <w:t>Диагностика и лечение болевого синдрома</w:t>
        </w:r>
        <w:r w:rsidR="006155F9">
          <w:rPr>
            <w:noProof/>
            <w:webHidden/>
          </w:rPr>
          <w:tab/>
        </w:r>
        <w:r w:rsidR="006155F9">
          <w:rPr>
            <w:noProof/>
            <w:webHidden/>
          </w:rPr>
          <w:fldChar w:fldCharType="begin"/>
        </w:r>
        <w:r w:rsidR="006155F9">
          <w:rPr>
            <w:noProof/>
            <w:webHidden/>
          </w:rPr>
          <w:instrText xml:space="preserve"> PAGEREF _Toc65104113 \h </w:instrText>
        </w:r>
        <w:r w:rsidR="006155F9">
          <w:rPr>
            <w:noProof/>
            <w:webHidden/>
          </w:rPr>
        </w:r>
        <w:r w:rsidR="006155F9">
          <w:rPr>
            <w:noProof/>
            <w:webHidden/>
          </w:rPr>
          <w:fldChar w:fldCharType="separate"/>
        </w:r>
        <w:r w:rsidR="006155F9">
          <w:rPr>
            <w:noProof/>
            <w:webHidden/>
          </w:rPr>
          <w:t>193</w:t>
        </w:r>
        <w:r w:rsidR="006155F9">
          <w:rPr>
            <w:noProof/>
            <w:webHidden/>
          </w:rPr>
          <w:fldChar w:fldCharType="end"/>
        </w:r>
      </w:hyperlink>
    </w:p>
    <w:p w14:paraId="28AD2564" w14:textId="562934F5" w:rsidR="006155F9" w:rsidRDefault="001C0DEA">
      <w:pPr>
        <w:pStyle w:val="21"/>
        <w:rPr>
          <w:rFonts w:asciiTheme="minorHAnsi" w:eastAsiaTheme="minorEastAsia" w:hAnsiTheme="minorHAnsi" w:cstheme="minorBidi"/>
          <w:noProof/>
          <w:sz w:val="24"/>
          <w:szCs w:val="24"/>
          <w:lang w:eastAsia="ru-RU"/>
        </w:rPr>
      </w:pPr>
      <w:hyperlink w:anchor="_Toc65104114" w:history="1">
        <w:r w:rsidR="006155F9" w:rsidRPr="000A0B24">
          <w:rPr>
            <w:rStyle w:val="affd"/>
            <w:noProof/>
          </w:rPr>
          <w:t>7.16 Диагностика и лечение неврологических проявлений при гематологических заболеваниях</w:t>
        </w:r>
        <w:r w:rsidR="006155F9">
          <w:rPr>
            <w:noProof/>
            <w:webHidden/>
          </w:rPr>
          <w:tab/>
        </w:r>
        <w:r w:rsidR="006155F9">
          <w:rPr>
            <w:noProof/>
            <w:webHidden/>
          </w:rPr>
          <w:fldChar w:fldCharType="begin"/>
        </w:r>
        <w:r w:rsidR="006155F9">
          <w:rPr>
            <w:noProof/>
            <w:webHidden/>
          </w:rPr>
          <w:instrText xml:space="preserve"> PAGEREF _Toc65104114 \h </w:instrText>
        </w:r>
        <w:r w:rsidR="006155F9">
          <w:rPr>
            <w:noProof/>
            <w:webHidden/>
          </w:rPr>
        </w:r>
        <w:r w:rsidR="006155F9">
          <w:rPr>
            <w:noProof/>
            <w:webHidden/>
          </w:rPr>
          <w:fldChar w:fldCharType="separate"/>
        </w:r>
        <w:r w:rsidR="006155F9">
          <w:rPr>
            <w:noProof/>
            <w:webHidden/>
          </w:rPr>
          <w:t>203</w:t>
        </w:r>
        <w:r w:rsidR="006155F9">
          <w:rPr>
            <w:noProof/>
            <w:webHidden/>
          </w:rPr>
          <w:fldChar w:fldCharType="end"/>
        </w:r>
      </w:hyperlink>
    </w:p>
    <w:p w14:paraId="15803CE8" w14:textId="0FABD7DE" w:rsidR="006155F9" w:rsidRDefault="001C0DEA">
      <w:pPr>
        <w:pStyle w:val="21"/>
        <w:rPr>
          <w:rFonts w:asciiTheme="minorHAnsi" w:eastAsiaTheme="minorEastAsia" w:hAnsiTheme="minorHAnsi" w:cstheme="minorBidi"/>
          <w:noProof/>
          <w:sz w:val="24"/>
          <w:szCs w:val="24"/>
          <w:lang w:eastAsia="ru-RU"/>
        </w:rPr>
      </w:pPr>
      <w:hyperlink w:anchor="_Toc65104115" w:history="1">
        <w:r w:rsidR="006155F9" w:rsidRPr="000A0B24">
          <w:rPr>
            <w:rStyle w:val="affd"/>
            <w:noProof/>
          </w:rPr>
          <w:t>7.17 Диагностика и лечение психических расстройств у пациентов с гематологическими  заболеваниями</w:t>
        </w:r>
        <w:r w:rsidR="006155F9">
          <w:rPr>
            <w:noProof/>
            <w:webHidden/>
          </w:rPr>
          <w:tab/>
        </w:r>
        <w:r w:rsidR="006155F9">
          <w:rPr>
            <w:noProof/>
            <w:webHidden/>
          </w:rPr>
          <w:fldChar w:fldCharType="begin"/>
        </w:r>
        <w:r w:rsidR="006155F9">
          <w:rPr>
            <w:noProof/>
            <w:webHidden/>
          </w:rPr>
          <w:instrText xml:space="preserve"> PAGEREF _Toc65104115 \h </w:instrText>
        </w:r>
        <w:r w:rsidR="006155F9">
          <w:rPr>
            <w:noProof/>
            <w:webHidden/>
          </w:rPr>
        </w:r>
        <w:r w:rsidR="006155F9">
          <w:rPr>
            <w:noProof/>
            <w:webHidden/>
          </w:rPr>
          <w:fldChar w:fldCharType="separate"/>
        </w:r>
        <w:r w:rsidR="006155F9">
          <w:rPr>
            <w:noProof/>
            <w:webHidden/>
          </w:rPr>
          <w:t>218</w:t>
        </w:r>
        <w:r w:rsidR="006155F9">
          <w:rPr>
            <w:noProof/>
            <w:webHidden/>
          </w:rPr>
          <w:fldChar w:fldCharType="end"/>
        </w:r>
      </w:hyperlink>
    </w:p>
    <w:p w14:paraId="73AD4002" w14:textId="0A874676" w:rsidR="006155F9" w:rsidRDefault="001C0DEA">
      <w:pPr>
        <w:pStyle w:val="21"/>
        <w:rPr>
          <w:rFonts w:asciiTheme="minorHAnsi" w:eastAsiaTheme="minorEastAsia" w:hAnsiTheme="minorHAnsi" w:cstheme="minorBidi"/>
          <w:noProof/>
          <w:sz w:val="24"/>
          <w:szCs w:val="24"/>
          <w:lang w:eastAsia="ru-RU"/>
        </w:rPr>
      </w:pPr>
      <w:hyperlink w:anchor="_Toc65104116" w:history="1">
        <w:r w:rsidR="006155F9" w:rsidRPr="000A0B24">
          <w:rPr>
            <w:rStyle w:val="affd"/>
            <w:noProof/>
          </w:rPr>
          <w:t>7.18 Кардиологическое обследование и лечение пациентов с гематологическими заболеваниями</w:t>
        </w:r>
        <w:r w:rsidR="006155F9">
          <w:rPr>
            <w:noProof/>
            <w:webHidden/>
          </w:rPr>
          <w:tab/>
        </w:r>
        <w:r w:rsidR="006155F9">
          <w:rPr>
            <w:noProof/>
            <w:webHidden/>
          </w:rPr>
          <w:fldChar w:fldCharType="begin"/>
        </w:r>
        <w:r w:rsidR="006155F9">
          <w:rPr>
            <w:noProof/>
            <w:webHidden/>
          </w:rPr>
          <w:instrText xml:space="preserve"> PAGEREF _Toc65104116 \h </w:instrText>
        </w:r>
        <w:r w:rsidR="006155F9">
          <w:rPr>
            <w:noProof/>
            <w:webHidden/>
          </w:rPr>
        </w:r>
        <w:r w:rsidR="006155F9">
          <w:rPr>
            <w:noProof/>
            <w:webHidden/>
          </w:rPr>
          <w:fldChar w:fldCharType="separate"/>
        </w:r>
        <w:r w:rsidR="006155F9">
          <w:rPr>
            <w:noProof/>
            <w:webHidden/>
          </w:rPr>
          <w:t>221</w:t>
        </w:r>
        <w:r w:rsidR="006155F9">
          <w:rPr>
            <w:noProof/>
            <w:webHidden/>
          </w:rPr>
          <w:fldChar w:fldCharType="end"/>
        </w:r>
      </w:hyperlink>
    </w:p>
    <w:p w14:paraId="587D819D" w14:textId="6A998B64" w:rsidR="006155F9" w:rsidRDefault="001C0DEA">
      <w:pPr>
        <w:pStyle w:val="21"/>
        <w:rPr>
          <w:rFonts w:asciiTheme="minorHAnsi" w:eastAsiaTheme="minorEastAsia" w:hAnsiTheme="minorHAnsi" w:cstheme="minorBidi"/>
          <w:noProof/>
          <w:sz w:val="24"/>
          <w:szCs w:val="24"/>
          <w:lang w:eastAsia="ru-RU"/>
        </w:rPr>
      </w:pPr>
      <w:hyperlink w:anchor="_Toc65104117" w:history="1">
        <w:r w:rsidR="006155F9" w:rsidRPr="000A0B24">
          <w:rPr>
            <w:rStyle w:val="affd"/>
            <w:noProof/>
          </w:rPr>
          <w:t>Критерии оценки качества медицинской помощи</w:t>
        </w:r>
        <w:r w:rsidR="006155F9">
          <w:rPr>
            <w:noProof/>
            <w:webHidden/>
          </w:rPr>
          <w:tab/>
        </w:r>
        <w:r w:rsidR="006155F9">
          <w:rPr>
            <w:noProof/>
            <w:webHidden/>
          </w:rPr>
          <w:fldChar w:fldCharType="begin"/>
        </w:r>
        <w:r w:rsidR="006155F9">
          <w:rPr>
            <w:noProof/>
            <w:webHidden/>
          </w:rPr>
          <w:instrText xml:space="preserve"> PAGEREF _Toc65104117 \h </w:instrText>
        </w:r>
        <w:r w:rsidR="006155F9">
          <w:rPr>
            <w:noProof/>
            <w:webHidden/>
          </w:rPr>
        </w:r>
        <w:r w:rsidR="006155F9">
          <w:rPr>
            <w:noProof/>
            <w:webHidden/>
          </w:rPr>
          <w:fldChar w:fldCharType="separate"/>
        </w:r>
        <w:r w:rsidR="006155F9">
          <w:rPr>
            <w:noProof/>
            <w:webHidden/>
          </w:rPr>
          <w:t>233</w:t>
        </w:r>
        <w:r w:rsidR="006155F9">
          <w:rPr>
            <w:noProof/>
            <w:webHidden/>
          </w:rPr>
          <w:fldChar w:fldCharType="end"/>
        </w:r>
      </w:hyperlink>
    </w:p>
    <w:p w14:paraId="61E24BA9" w14:textId="27E3B75C" w:rsidR="006155F9" w:rsidRDefault="001C0DEA">
      <w:pPr>
        <w:pStyle w:val="21"/>
        <w:rPr>
          <w:rFonts w:asciiTheme="minorHAnsi" w:eastAsiaTheme="minorEastAsia" w:hAnsiTheme="minorHAnsi" w:cstheme="minorBidi"/>
          <w:noProof/>
          <w:sz w:val="24"/>
          <w:szCs w:val="24"/>
          <w:lang w:eastAsia="ru-RU"/>
        </w:rPr>
      </w:pPr>
      <w:hyperlink w:anchor="_Toc65104118" w:history="1">
        <w:r w:rsidR="006155F9" w:rsidRPr="000A0B24">
          <w:rPr>
            <w:rStyle w:val="affd"/>
            <w:noProof/>
          </w:rPr>
          <w:t>Приложение А1. Состав рабочей группы по разработке и пересмотру клинических рекомендаций</w:t>
        </w:r>
        <w:r w:rsidR="006155F9">
          <w:rPr>
            <w:noProof/>
            <w:webHidden/>
          </w:rPr>
          <w:tab/>
        </w:r>
        <w:r w:rsidR="006155F9">
          <w:rPr>
            <w:noProof/>
            <w:webHidden/>
          </w:rPr>
          <w:fldChar w:fldCharType="begin"/>
        </w:r>
        <w:r w:rsidR="006155F9">
          <w:rPr>
            <w:noProof/>
            <w:webHidden/>
          </w:rPr>
          <w:instrText xml:space="preserve"> PAGEREF _Toc65104118 \h </w:instrText>
        </w:r>
        <w:r w:rsidR="006155F9">
          <w:rPr>
            <w:noProof/>
            <w:webHidden/>
          </w:rPr>
        </w:r>
        <w:r w:rsidR="006155F9">
          <w:rPr>
            <w:noProof/>
            <w:webHidden/>
          </w:rPr>
          <w:fldChar w:fldCharType="separate"/>
        </w:r>
        <w:r w:rsidR="006155F9">
          <w:rPr>
            <w:noProof/>
            <w:webHidden/>
          </w:rPr>
          <w:t>254</w:t>
        </w:r>
        <w:r w:rsidR="006155F9">
          <w:rPr>
            <w:noProof/>
            <w:webHidden/>
          </w:rPr>
          <w:fldChar w:fldCharType="end"/>
        </w:r>
      </w:hyperlink>
    </w:p>
    <w:p w14:paraId="417D7440" w14:textId="2C7788C7" w:rsidR="006155F9" w:rsidRDefault="001C0DEA">
      <w:pPr>
        <w:pStyle w:val="21"/>
        <w:rPr>
          <w:rFonts w:asciiTheme="minorHAnsi" w:eastAsiaTheme="minorEastAsia" w:hAnsiTheme="minorHAnsi" w:cstheme="minorBidi"/>
          <w:noProof/>
          <w:sz w:val="24"/>
          <w:szCs w:val="24"/>
          <w:lang w:eastAsia="ru-RU"/>
        </w:rPr>
      </w:pPr>
      <w:hyperlink w:anchor="_Toc65104119" w:history="1">
        <w:r w:rsidR="006155F9" w:rsidRPr="000A0B24">
          <w:rPr>
            <w:rStyle w:val="affd"/>
            <w:noProof/>
          </w:rPr>
          <w:t>Приложение А2. Методология разработки клинических рекомендаций</w:t>
        </w:r>
        <w:r w:rsidR="006155F9">
          <w:rPr>
            <w:noProof/>
            <w:webHidden/>
          </w:rPr>
          <w:tab/>
        </w:r>
        <w:r w:rsidR="006155F9">
          <w:rPr>
            <w:noProof/>
            <w:webHidden/>
          </w:rPr>
          <w:fldChar w:fldCharType="begin"/>
        </w:r>
        <w:r w:rsidR="006155F9">
          <w:rPr>
            <w:noProof/>
            <w:webHidden/>
          </w:rPr>
          <w:instrText xml:space="preserve"> PAGEREF _Toc65104119 \h </w:instrText>
        </w:r>
        <w:r w:rsidR="006155F9">
          <w:rPr>
            <w:noProof/>
            <w:webHidden/>
          </w:rPr>
        </w:r>
        <w:r w:rsidR="006155F9">
          <w:rPr>
            <w:noProof/>
            <w:webHidden/>
          </w:rPr>
          <w:fldChar w:fldCharType="separate"/>
        </w:r>
        <w:r w:rsidR="006155F9">
          <w:rPr>
            <w:noProof/>
            <w:webHidden/>
          </w:rPr>
          <w:t>258</w:t>
        </w:r>
        <w:r w:rsidR="006155F9">
          <w:rPr>
            <w:noProof/>
            <w:webHidden/>
          </w:rPr>
          <w:fldChar w:fldCharType="end"/>
        </w:r>
      </w:hyperlink>
    </w:p>
    <w:p w14:paraId="04E19DA3" w14:textId="3220B61E" w:rsidR="006155F9" w:rsidRDefault="001C0DEA">
      <w:pPr>
        <w:pStyle w:val="21"/>
        <w:rPr>
          <w:rFonts w:asciiTheme="minorHAnsi" w:eastAsiaTheme="minorEastAsia" w:hAnsiTheme="minorHAnsi" w:cstheme="minorBidi"/>
          <w:noProof/>
          <w:sz w:val="24"/>
          <w:szCs w:val="24"/>
          <w:lang w:eastAsia="ru-RU"/>
        </w:rPr>
      </w:pPr>
      <w:hyperlink w:anchor="_Toc65104120" w:history="1">
        <w:r w:rsidR="006155F9" w:rsidRPr="000A0B24">
          <w:rPr>
            <w:rStyle w:val="affd"/>
            <w:noProof/>
          </w:rPr>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r w:rsidR="006155F9">
          <w:rPr>
            <w:noProof/>
            <w:webHidden/>
          </w:rPr>
          <w:tab/>
        </w:r>
        <w:r w:rsidR="006155F9">
          <w:rPr>
            <w:noProof/>
            <w:webHidden/>
          </w:rPr>
          <w:fldChar w:fldCharType="begin"/>
        </w:r>
        <w:r w:rsidR="006155F9">
          <w:rPr>
            <w:noProof/>
            <w:webHidden/>
          </w:rPr>
          <w:instrText xml:space="preserve"> PAGEREF _Toc65104120 \h </w:instrText>
        </w:r>
        <w:r w:rsidR="006155F9">
          <w:rPr>
            <w:noProof/>
            <w:webHidden/>
          </w:rPr>
        </w:r>
        <w:r w:rsidR="006155F9">
          <w:rPr>
            <w:noProof/>
            <w:webHidden/>
          </w:rPr>
          <w:fldChar w:fldCharType="separate"/>
        </w:r>
        <w:r w:rsidR="006155F9">
          <w:rPr>
            <w:noProof/>
            <w:webHidden/>
          </w:rPr>
          <w:t>262</w:t>
        </w:r>
        <w:r w:rsidR="006155F9">
          <w:rPr>
            <w:noProof/>
            <w:webHidden/>
          </w:rPr>
          <w:fldChar w:fldCharType="end"/>
        </w:r>
      </w:hyperlink>
    </w:p>
    <w:p w14:paraId="5E691648" w14:textId="27E74E3C" w:rsidR="006155F9" w:rsidRDefault="001C0DEA">
      <w:pPr>
        <w:pStyle w:val="21"/>
        <w:rPr>
          <w:rFonts w:asciiTheme="minorHAnsi" w:eastAsiaTheme="minorEastAsia" w:hAnsiTheme="minorHAnsi" w:cstheme="minorBidi"/>
          <w:noProof/>
          <w:sz w:val="24"/>
          <w:szCs w:val="24"/>
          <w:lang w:eastAsia="ru-RU"/>
        </w:rPr>
      </w:pPr>
      <w:hyperlink w:anchor="_Toc65104121" w:history="1">
        <w:r w:rsidR="006155F9" w:rsidRPr="000A0B24">
          <w:rPr>
            <w:rStyle w:val="affd"/>
            <w:noProof/>
          </w:rPr>
          <w:t>Приложение А3.1. Варианты курсов индукции и консолидации</w:t>
        </w:r>
        <w:r w:rsidR="006155F9">
          <w:rPr>
            <w:noProof/>
            <w:webHidden/>
          </w:rPr>
          <w:tab/>
        </w:r>
        <w:r w:rsidR="006155F9">
          <w:rPr>
            <w:noProof/>
            <w:webHidden/>
          </w:rPr>
          <w:fldChar w:fldCharType="begin"/>
        </w:r>
        <w:r w:rsidR="006155F9">
          <w:rPr>
            <w:noProof/>
            <w:webHidden/>
          </w:rPr>
          <w:instrText xml:space="preserve"> PAGEREF _Toc65104121 \h </w:instrText>
        </w:r>
        <w:r w:rsidR="006155F9">
          <w:rPr>
            <w:noProof/>
            <w:webHidden/>
          </w:rPr>
        </w:r>
        <w:r w:rsidR="006155F9">
          <w:rPr>
            <w:noProof/>
            <w:webHidden/>
          </w:rPr>
          <w:fldChar w:fldCharType="separate"/>
        </w:r>
        <w:r w:rsidR="006155F9">
          <w:rPr>
            <w:noProof/>
            <w:webHidden/>
          </w:rPr>
          <w:t>263</w:t>
        </w:r>
        <w:r w:rsidR="006155F9">
          <w:rPr>
            <w:noProof/>
            <w:webHidden/>
          </w:rPr>
          <w:fldChar w:fldCharType="end"/>
        </w:r>
      </w:hyperlink>
    </w:p>
    <w:p w14:paraId="0088BE79" w14:textId="6962F5A3" w:rsidR="006155F9" w:rsidRDefault="001C0DEA">
      <w:pPr>
        <w:pStyle w:val="21"/>
        <w:rPr>
          <w:rFonts w:asciiTheme="minorHAnsi" w:eastAsiaTheme="minorEastAsia" w:hAnsiTheme="minorHAnsi" w:cstheme="minorBidi"/>
          <w:noProof/>
          <w:sz w:val="24"/>
          <w:szCs w:val="24"/>
          <w:lang w:eastAsia="ru-RU"/>
        </w:rPr>
      </w:pPr>
      <w:hyperlink w:anchor="_Toc65104122" w:history="1">
        <w:r w:rsidR="006155F9" w:rsidRPr="000A0B24">
          <w:rPr>
            <w:rStyle w:val="affd"/>
            <w:noProof/>
          </w:rPr>
          <w:t>Приложение А3.2. Рекомендации по назначению ЭПСП</w:t>
        </w:r>
        <w:r w:rsidR="006155F9">
          <w:rPr>
            <w:noProof/>
            <w:webHidden/>
          </w:rPr>
          <w:tab/>
        </w:r>
        <w:r w:rsidR="006155F9">
          <w:rPr>
            <w:noProof/>
            <w:webHidden/>
          </w:rPr>
          <w:fldChar w:fldCharType="begin"/>
        </w:r>
        <w:r w:rsidR="006155F9">
          <w:rPr>
            <w:noProof/>
            <w:webHidden/>
          </w:rPr>
          <w:instrText xml:space="preserve"> PAGEREF _Toc65104122 \h </w:instrText>
        </w:r>
        <w:r w:rsidR="006155F9">
          <w:rPr>
            <w:noProof/>
            <w:webHidden/>
          </w:rPr>
        </w:r>
        <w:r w:rsidR="006155F9">
          <w:rPr>
            <w:noProof/>
            <w:webHidden/>
          </w:rPr>
          <w:fldChar w:fldCharType="separate"/>
        </w:r>
        <w:r w:rsidR="006155F9">
          <w:rPr>
            <w:noProof/>
            <w:webHidden/>
          </w:rPr>
          <w:t>264</w:t>
        </w:r>
        <w:r w:rsidR="006155F9">
          <w:rPr>
            <w:noProof/>
            <w:webHidden/>
          </w:rPr>
          <w:fldChar w:fldCharType="end"/>
        </w:r>
      </w:hyperlink>
    </w:p>
    <w:p w14:paraId="18FFD42B" w14:textId="17B337C6" w:rsidR="006155F9" w:rsidRDefault="001C0DEA">
      <w:pPr>
        <w:pStyle w:val="21"/>
        <w:rPr>
          <w:rFonts w:asciiTheme="minorHAnsi" w:eastAsiaTheme="minorEastAsia" w:hAnsiTheme="minorHAnsi" w:cstheme="minorBidi"/>
          <w:noProof/>
          <w:sz w:val="24"/>
          <w:szCs w:val="24"/>
          <w:lang w:eastAsia="ru-RU"/>
        </w:rPr>
      </w:pPr>
      <w:hyperlink w:anchor="_Toc65104123" w:history="1">
        <w:r w:rsidR="006155F9" w:rsidRPr="000A0B24">
          <w:rPr>
            <w:rStyle w:val="affd"/>
            <w:noProof/>
          </w:rPr>
          <w:t xml:space="preserve">Приложение А3.3. </w:t>
        </w:r>
        <w:r w:rsidR="006155F9" w:rsidRPr="000A0B24">
          <w:rPr>
            <w:rStyle w:val="affd"/>
            <w:rFonts w:eastAsia="Arial Unicode MS"/>
            <w:noProof/>
          </w:rPr>
          <w:t>Протоколы выполнения аспирационного и биопсийного исследования костного мозга</w:t>
        </w:r>
        <w:r w:rsidR="006155F9">
          <w:rPr>
            <w:noProof/>
            <w:webHidden/>
          </w:rPr>
          <w:tab/>
        </w:r>
        <w:r w:rsidR="006155F9">
          <w:rPr>
            <w:noProof/>
            <w:webHidden/>
          </w:rPr>
          <w:fldChar w:fldCharType="begin"/>
        </w:r>
        <w:r w:rsidR="006155F9">
          <w:rPr>
            <w:noProof/>
            <w:webHidden/>
          </w:rPr>
          <w:instrText xml:space="preserve"> PAGEREF _Toc65104123 \h </w:instrText>
        </w:r>
        <w:r w:rsidR="006155F9">
          <w:rPr>
            <w:noProof/>
            <w:webHidden/>
          </w:rPr>
        </w:r>
        <w:r w:rsidR="006155F9">
          <w:rPr>
            <w:noProof/>
            <w:webHidden/>
          </w:rPr>
          <w:fldChar w:fldCharType="separate"/>
        </w:r>
        <w:r w:rsidR="006155F9">
          <w:rPr>
            <w:noProof/>
            <w:webHidden/>
          </w:rPr>
          <w:t>264</w:t>
        </w:r>
        <w:r w:rsidR="006155F9">
          <w:rPr>
            <w:noProof/>
            <w:webHidden/>
          </w:rPr>
          <w:fldChar w:fldCharType="end"/>
        </w:r>
      </w:hyperlink>
    </w:p>
    <w:p w14:paraId="297B2F8B" w14:textId="547205CE" w:rsidR="006155F9" w:rsidRDefault="001C0DEA">
      <w:pPr>
        <w:pStyle w:val="21"/>
        <w:rPr>
          <w:rFonts w:asciiTheme="minorHAnsi" w:eastAsiaTheme="minorEastAsia" w:hAnsiTheme="minorHAnsi" w:cstheme="minorBidi"/>
          <w:noProof/>
          <w:sz w:val="24"/>
          <w:szCs w:val="24"/>
          <w:lang w:eastAsia="ru-RU"/>
        </w:rPr>
      </w:pPr>
      <w:hyperlink w:anchor="_Toc65104124" w:history="1">
        <w:r w:rsidR="006155F9" w:rsidRPr="000A0B24">
          <w:rPr>
            <w:rStyle w:val="affd"/>
            <w:noProof/>
          </w:rPr>
          <w:t xml:space="preserve">Приложение А3.4. </w:t>
        </w:r>
        <w:r w:rsidR="006155F9" w:rsidRPr="000A0B24">
          <w:rPr>
            <w:rStyle w:val="affd"/>
            <w:bCs/>
            <w:noProof/>
          </w:rPr>
          <w:t>Обеспечение сосудистого доступа</w:t>
        </w:r>
        <w:r w:rsidR="006155F9">
          <w:rPr>
            <w:noProof/>
            <w:webHidden/>
          </w:rPr>
          <w:tab/>
        </w:r>
        <w:r w:rsidR="006155F9">
          <w:rPr>
            <w:noProof/>
            <w:webHidden/>
          </w:rPr>
          <w:fldChar w:fldCharType="begin"/>
        </w:r>
        <w:r w:rsidR="006155F9">
          <w:rPr>
            <w:noProof/>
            <w:webHidden/>
          </w:rPr>
          <w:instrText xml:space="preserve"> PAGEREF _Toc65104124 \h </w:instrText>
        </w:r>
        <w:r w:rsidR="006155F9">
          <w:rPr>
            <w:noProof/>
            <w:webHidden/>
          </w:rPr>
        </w:r>
        <w:r w:rsidR="006155F9">
          <w:rPr>
            <w:noProof/>
            <w:webHidden/>
          </w:rPr>
          <w:fldChar w:fldCharType="separate"/>
        </w:r>
        <w:r w:rsidR="006155F9">
          <w:rPr>
            <w:noProof/>
            <w:webHidden/>
          </w:rPr>
          <w:t>274</w:t>
        </w:r>
        <w:r w:rsidR="006155F9">
          <w:rPr>
            <w:noProof/>
            <w:webHidden/>
          </w:rPr>
          <w:fldChar w:fldCharType="end"/>
        </w:r>
      </w:hyperlink>
    </w:p>
    <w:p w14:paraId="75DBB621" w14:textId="1579D76E" w:rsidR="006155F9" w:rsidRDefault="001C0DEA">
      <w:pPr>
        <w:pStyle w:val="21"/>
        <w:rPr>
          <w:rFonts w:asciiTheme="minorHAnsi" w:eastAsiaTheme="minorEastAsia" w:hAnsiTheme="minorHAnsi" w:cstheme="minorBidi"/>
          <w:noProof/>
          <w:sz w:val="24"/>
          <w:szCs w:val="24"/>
          <w:lang w:eastAsia="ru-RU"/>
        </w:rPr>
      </w:pPr>
      <w:hyperlink w:anchor="_Toc65104125" w:history="1">
        <w:r w:rsidR="006155F9" w:rsidRPr="000A0B24">
          <w:rPr>
            <w:rStyle w:val="affd"/>
            <w:noProof/>
          </w:rPr>
          <w:t>Приложение А3.5. Применение компонентов донорской крови у гематологических пациентов</w:t>
        </w:r>
        <w:r w:rsidR="006155F9">
          <w:rPr>
            <w:noProof/>
            <w:webHidden/>
          </w:rPr>
          <w:tab/>
        </w:r>
        <w:r w:rsidR="006155F9">
          <w:rPr>
            <w:noProof/>
            <w:webHidden/>
          </w:rPr>
          <w:fldChar w:fldCharType="begin"/>
        </w:r>
        <w:r w:rsidR="006155F9">
          <w:rPr>
            <w:noProof/>
            <w:webHidden/>
          </w:rPr>
          <w:instrText xml:space="preserve"> PAGEREF _Toc65104125 \h </w:instrText>
        </w:r>
        <w:r w:rsidR="006155F9">
          <w:rPr>
            <w:noProof/>
            <w:webHidden/>
          </w:rPr>
        </w:r>
        <w:r w:rsidR="006155F9">
          <w:rPr>
            <w:noProof/>
            <w:webHidden/>
          </w:rPr>
          <w:fldChar w:fldCharType="separate"/>
        </w:r>
        <w:r w:rsidR="006155F9">
          <w:rPr>
            <w:noProof/>
            <w:webHidden/>
          </w:rPr>
          <w:t>287</w:t>
        </w:r>
        <w:r w:rsidR="006155F9">
          <w:rPr>
            <w:noProof/>
            <w:webHidden/>
          </w:rPr>
          <w:fldChar w:fldCharType="end"/>
        </w:r>
      </w:hyperlink>
    </w:p>
    <w:p w14:paraId="08E71540" w14:textId="3DEB3508" w:rsidR="006155F9" w:rsidRDefault="001C0DEA">
      <w:pPr>
        <w:pStyle w:val="21"/>
        <w:rPr>
          <w:rFonts w:asciiTheme="minorHAnsi" w:eastAsiaTheme="minorEastAsia" w:hAnsiTheme="minorHAnsi" w:cstheme="minorBidi"/>
          <w:noProof/>
          <w:sz w:val="24"/>
          <w:szCs w:val="24"/>
          <w:lang w:eastAsia="ru-RU"/>
        </w:rPr>
      </w:pPr>
      <w:hyperlink w:anchor="_Toc65104126" w:history="1">
        <w:r w:rsidR="006155F9" w:rsidRPr="000A0B24">
          <w:rPr>
            <w:rStyle w:val="affd"/>
            <w:noProof/>
          </w:rPr>
          <w:t>Приложение А3.6. Лечение гематологического пациента в отделении реанимации и интенсивной терапии</w:t>
        </w:r>
        <w:r w:rsidR="006155F9">
          <w:rPr>
            <w:noProof/>
            <w:webHidden/>
          </w:rPr>
          <w:tab/>
        </w:r>
        <w:r w:rsidR="006155F9">
          <w:rPr>
            <w:noProof/>
            <w:webHidden/>
          </w:rPr>
          <w:fldChar w:fldCharType="begin"/>
        </w:r>
        <w:r w:rsidR="006155F9">
          <w:rPr>
            <w:noProof/>
            <w:webHidden/>
          </w:rPr>
          <w:instrText xml:space="preserve"> PAGEREF _Toc65104126 \h </w:instrText>
        </w:r>
        <w:r w:rsidR="006155F9">
          <w:rPr>
            <w:noProof/>
            <w:webHidden/>
          </w:rPr>
        </w:r>
        <w:r w:rsidR="006155F9">
          <w:rPr>
            <w:noProof/>
            <w:webHidden/>
          </w:rPr>
          <w:fldChar w:fldCharType="separate"/>
        </w:r>
        <w:r w:rsidR="006155F9">
          <w:rPr>
            <w:noProof/>
            <w:webHidden/>
          </w:rPr>
          <w:t>306</w:t>
        </w:r>
        <w:r w:rsidR="006155F9">
          <w:rPr>
            <w:noProof/>
            <w:webHidden/>
          </w:rPr>
          <w:fldChar w:fldCharType="end"/>
        </w:r>
      </w:hyperlink>
    </w:p>
    <w:p w14:paraId="242700DC" w14:textId="23E61F41" w:rsidR="006155F9" w:rsidRDefault="001C0DEA">
      <w:pPr>
        <w:pStyle w:val="21"/>
        <w:rPr>
          <w:rFonts w:asciiTheme="minorHAnsi" w:eastAsiaTheme="minorEastAsia" w:hAnsiTheme="minorHAnsi" w:cstheme="minorBidi"/>
          <w:noProof/>
          <w:sz w:val="24"/>
          <w:szCs w:val="24"/>
          <w:lang w:eastAsia="ru-RU"/>
        </w:rPr>
      </w:pPr>
      <w:hyperlink w:anchor="_Toc65104127" w:history="1">
        <w:r w:rsidR="006155F9" w:rsidRPr="000A0B24">
          <w:rPr>
            <w:rStyle w:val="affd"/>
            <w:noProof/>
          </w:rPr>
          <w:t>Приложение А3.7. Инфузионная терапия у гематологических пациентов</w:t>
        </w:r>
        <w:r w:rsidR="006155F9">
          <w:rPr>
            <w:noProof/>
            <w:webHidden/>
          </w:rPr>
          <w:tab/>
        </w:r>
        <w:r w:rsidR="006155F9">
          <w:rPr>
            <w:noProof/>
            <w:webHidden/>
          </w:rPr>
          <w:fldChar w:fldCharType="begin"/>
        </w:r>
        <w:r w:rsidR="006155F9">
          <w:rPr>
            <w:noProof/>
            <w:webHidden/>
          </w:rPr>
          <w:instrText xml:space="preserve"> PAGEREF _Toc65104127 \h </w:instrText>
        </w:r>
        <w:r w:rsidR="006155F9">
          <w:rPr>
            <w:noProof/>
            <w:webHidden/>
          </w:rPr>
        </w:r>
        <w:r w:rsidR="006155F9">
          <w:rPr>
            <w:noProof/>
            <w:webHidden/>
          </w:rPr>
          <w:fldChar w:fldCharType="separate"/>
        </w:r>
        <w:r w:rsidR="006155F9">
          <w:rPr>
            <w:noProof/>
            <w:webHidden/>
          </w:rPr>
          <w:t>315</w:t>
        </w:r>
        <w:r w:rsidR="006155F9">
          <w:rPr>
            <w:noProof/>
            <w:webHidden/>
          </w:rPr>
          <w:fldChar w:fldCharType="end"/>
        </w:r>
      </w:hyperlink>
    </w:p>
    <w:p w14:paraId="0758ABC7" w14:textId="632B2D55" w:rsidR="006155F9" w:rsidRDefault="001C0DEA">
      <w:pPr>
        <w:pStyle w:val="21"/>
        <w:rPr>
          <w:rFonts w:asciiTheme="minorHAnsi" w:eastAsiaTheme="minorEastAsia" w:hAnsiTheme="minorHAnsi" w:cstheme="minorBidi"/>
          <w:noProof/>
          <w:sz w:val="24"/>
          <w:szCs w:val="24"/>
          <w:lang w:eastAsia="ru-RU"/>
        </w:rPr>
      </w:pPr>
      <w:hyperlink w:anchor="_Toc65104128" w:history="1">
        <w:r w:rsidR="006155F9" w:rsidRPr="000A0B24">
          <w:rPr>
            <w:rStyle w:val="affd"/>
            <w:noProof/>
          </w:rPr>
          <w:t>Приложение А3.8. Парентеральное питание у гематологических пациентов</w:t>
        </w:r>
        <w:r w:rsidR="006155F9">
          <w:rPr>
            <w:noProof/>
            <w:webHidden/>
          </w:rPr>
          <w:tab/>
        </w:r>
        <w:r w:rsidR="006155F9">
          <w:rPr>
            <w:noProof/>
            <w:webHidden/>
          </w:rPr>
          <w:fldChar w:fldCharType="begin"/>
        </w:r>
        <w:r w:rsidR="006155F9">
          <w:rPr>
            <w:noProof/>
            <w:webHidden/>
          </w:rPr>
          <w:instrText xml:space="preserve"> PAGEREF _Toc65104128 \h </w:instrText>
        </w:r>
        <w:r w:rsidR="006155F9">
          <w:rPr>
            <w:noProof/>
            <w:webHidden/>
          </w:rPr>
        </w:r>
        <w:r w:rsidR="006155F9">
          <w:rPr>
            <w:noProof/>
            <w:webHidden/>
          </w:rPr>
          <w:fldChar w:fldCharType="separate"/>
        </w:r>
        <w:r w:rsidR="006155F9">
          <w:rPr>
            <w:noProof/>
            <w:webHidden/>
          </w:rPr>
          <w:t>319</w:t>
        </w:r>
        <w:r w:rsidR="006155F9">
          <w:rPr>
            <w:noProof/>
            <w:webHidden/>
          </w:rPr>
          <w:fldChar w:fldCharType="end"/>
        </w:r>
      </w:hyperlink>
    </w:p>
    <w:p w14:paraId="6FC29914" w14:textId="6EBF2554" w:rsidR="006155F9" w:rsidRDefault="001C0DEA">
      <w:pPr>
        <w:pStyle w:val="21"/>
        <w:rPr>
          <w:rFonts w:asciiTheme="minorHAnsi" w:eastAsiaTheme="minorEastAsia" w:hAnsiTheme="minorHAnsi" w:cstheme="minorBidi"/>
          <w:noProof/>
          <w:sz w:val="24"/>
          <w:szCs w:val="24"/>
          <w:lang w:eastAsia="ru-RU"/>
        </w:rPr>
      </w:pPr>
      <w:hyperlink w:anchor="_Toc65104129" w:history="1">
        <w:r w:rsidR="006155F9" w:rsidRPr="000A0B24">
          <w:rPr>
            <w:rStyle w:val="affd"/>
            <w:noProof/>
          </w:rPr>
          <w:t>Приложение А3.9. Спленэктомия у пациентов с гематологическими заболеваниями</w:t>
        </w:r>
        <w:r w:rsidR="006155F9">
          <w:rPr>
            <w:noProof/>
            <w:webHidden/>
          </w:rPr>
          <w:tab/>
        </w:r>
        <w:r w:rsidR="006155F9">
          <w:rPr>
            <w:noProof/>
            <w:webHidden/>
          </w:rPr>
          <w:fldChar w:fldCharType="begin"/>
        </w:r>
        <w:r w:rsidR="006155F9">
          <w:rPr>
            <w:noProof/>
            <w:webHidden/>
          </w:rPr>
          <w:instrText xml:space="preserve"> PAGEREF _Toc65104129 \h </w:instrText>
        </w:r>
        <w:r w:rsidR="006155F9">
          <w:rPr>
            <w:noProof/>
            <w:webHidden/>
          </w:rPr>
        </w:r>
        <w:r w:rsidR="006155F9">
          <w:rPr>
            <w:noProof/>
            <w:webHidden/>
          </w:rPr>
          <w:fldChar w:fldCharType="separate"/>
        </w:r>
        <w:r w:rsidR="006155F9">
          <w:rPr>
            <w:noProof/>
            <w:webHidden/>
          </w:rPr>
          <w:t>328</w:t>
        </w:r>
        <w:r w:rsidR="006155F9">
          <w:rPr>
            <w:noProof/>
            <w:webHidden/>
          </w:rPr>
          <w:fldChar w:fldCharType="end"/>
        </w:r>
      </w:hyperlink>
    </w:p>
    <w:p w14:paraId="17777F6A" w14:textId="78B7DF2C" w:rsidR="006155F9" w:rsidRDefault="001C0DEA">
      <w:pPr>
        <w:pStyle w:val="21"/>
        <w:rPr>
          <w:rFonts w:asciiTheme="minorHAnsi" w:eastAsiaTheme="minorEastAsia" w:hAnsiTheme="minorHAnsi" w:cstheme="minorBidi"/>
          <w:noProof/>
          <w:sz w:val="24"/>
          <w:szCs w:val="24"/>
          <w:lang w:eastAsia="ru-RU"/>
        </w:rPr>
      </w:pPr>
      <w:hyperlink w:anchor="_Toc65104130" w:history="1">
        <w:r w:rsidR="006155F9" w:rsidRPr="000A0B24">
          <w:rPr>
            <w:rStyle w:val="affd"/>
            <w:noProof/>
          </w:rPr>
          <w:t>Приложение А3.10. Проведение трансплантации аллогенных гемопоэтических стволовых клеток</w:t>
        </w:r>
        <w:r w:rsidR="006155F9">
          <w:rPr>
            <w:noProof/>
            <w:webHidden/>
          </w:rPr>
          <w:tab/>
        </w:r>
        <w:r w:rsidR="006155F9">
          <w:rPr>
            <w:noProof/>
            <w:webHidden/>
          </w:rPr>
          <w:fldChar w:fldCharType="begin"/>
        </w:r>
        <w:r w:rsidR="006155F9">
          <w:rPr>
            <w:noProof/>
            <w:webHidden/>
          </w:rPr>
          <w:instrText xml:space="preserve"> PAGEREF _Toc65104130 \h </w:instrText>
        </w:r>
        <w:r w:rsidR="006155F9">
          <w:rPr>
            <w:noProof/>
            <w:webHidden/>
          </w:rPr>
        </w:r>
        <w:r w:rsidR="006155F9">
          <w:rPr>
            <w:noProof/>
            <w:webHidden/>
          </w:rPr>
          <w:fldChar w:fldCharType="separate"/>
        </w:r>
        <w:r w:rsidR="006155F9">
          <w:rPr>
            <w:noProof/>
            <w:webHidden/>
          </w:rPr>
          <w:t>337</w:t>
        </w:r>
        <w:r w:rsidR="006155F9">
          <w:rPr>
            <w:noProof/>
            <w:webHidden/>
          </w:rPr>
          <w:fldChar w:fldCharType="end"/>
        </w:r>
      </w:hyperlink>
    </w:p>
    <w:p w14:paraId="5E5FD5C1" w14:textId="4A6CF1DB" w:rsidR="006155F9" w:rsidRDefault="001C0DEA">
      <w:pPr>
        <w:pStyle w:val="21"/>
        <w:rPr>
          <w:rFonts w:asciiTheme="minorHAnsi" w:eastAsiaTheme="minorEastAsia" w:hAnsiTheme="minorHAnsi" w:cstheme="minorBidi"/>
          <w:noProof/>
          <w:sz w:val="24"/>
          <w:szCs w:val="24"/>
          <w:lang w:eastAsia="ru-RU"/>
        </w:rPr>
      </w:pPr>
      <w:hyperlink w:anchor="_Toc65104131" w:history="1">
        <w:r w:rsidR="006155F9" w:rsidRPr="000A0B24">
          <w:rPr>
            <w:rStyle w:val="affd"/>
            <w:noProof/>
          </w:rPr>
          <w:t>Приложение Б. Алгоритмы действий врача</w:t>
        </w:r>
        <w:r w:rsidR="006155F9">
          <w:rPr>
            <w:noProof/>
            <w:webHidden/>
          </w:rPr>
          <w:tab/>
        </w:r>
        <w:r w:rsidR="006155F9">
          <w:rPr>
            <w:noProof/>
            <w:webHidden/>
          </w:rPr>
          <w:fldChar w:fldCharType="begin"/>
        </w:r>
        <w:r w:rsidR="006155F9">
          <w:rPr>
            <w:noProof/>
            <w:webHidden/>
          </w:rPr>
          <w:instrText xml:space="preserve"> PAGEREF _Toc65104131 \h </w:instrText>
        </w:r>
        <w:r w:rsidR="006155F9">
          <w:rPr>
            <w:noProof/>
            <w:webHidden/>
          </w:rPr>
        </w:r>
        <w:r w:rsidR="006155F9">
          <w:rPr>
            <w:noProof/>
            <w:webHidden/>
          </w:rPr>
          <w:fldChar w:fldCharType="separate"/>
        </w:r>
        <w:r w:rsidR="006155F9">
          <w:rPr>
            <w:noProof/>
            <w:webHidden/>
          </w:rPr>
          <w:t>458</w:t>
        </w:r>
        <w:r w:rsidR="006155F9">
          <w:rPr>
            <w:noProof/>
            <w:webHidden/>
          </w:rPr>
          <w:fldChar w:fldCharType="end"/>
        </w:r>
      </w:hyperlink>
    </w:p>
    <w:p w14:paraId="1D983B8F" w14:textId="05AD2402" w:rsidR="006155F9" w:rsidRDefault="001C0DEA">
      <w:pPr>
        <w:pStyle w:val="21"/>
        <w:rPr>
          <w:rFonts w:asciiTheme="minorHAnsi" w:eastAsiaTheme="minorEastAsia" w:hAnsiTheme="minorHAnsi" w:cstheme="minorBidi"/>
          <w:noProof/>
          <w:sz w:val="24"/>
          <w:szCs w:val="24"/>
          <w:lang w:eastAsia="ru-RU"/>
        </w:rPr>
      </w:pPr>
      <w:hyperlink w:anchor="_Toc65104132" w:history="1">
        <w:r w:rsidR="006155F9" w:rsidRPr="000A0B24">
          <w:rPr>
            <w:rStyle w:val="affd"/>
            <w:noProof/>
          </w:rPr>
          <w:t>Приложение В. Информация для пациентов</w:t>
        </w:r>
        <w:r w:rsidR="006155F9">
          <w:rPr>
            <w:noProof/>
            <w:webHidden/>
          </w:rPr>
          <w:tab/>
        </w:r>
        <w:r w:rsidR="006155F9">
          <w:rPr>
            <w:noProof/>
            <w:webHidden/>
          </w:rPr>
          <w:fldChar w:fldCharType="begin"/>
        </w:r>
        <w:r w:rsidR="006155F9">
          <w:rPr>
            <w:noProof/>
            <w:webHidden/>
          </w:rPr>
          <w:instrText xml:space="preserve"> PAGEREF _Toc65104132 \h </w:instrText>
        </w:r>
        <w:r w:rsidR="006155F9">
          <w:rPr>
            <w:noProof/>
            <w:webHidden/>
          </w:rPr>
        </w:r>
        <w:r w:rsidR="006155F9">
          <w:rPr>
            <w:noProof/>
            <w:webHidden/>
          </w:rPr>
          <w:fldChar w:fldCharType="separate"/>
        </w:r>
        <w:r w:rsidR="006155F9">
          <w:rPr>
            <w:noProof/>
            <w:webHidden/>
          </w:rPr>
          <w:t>460</w:t>
        </w:r>
        <w:r w:rsidR="006155F9">
          <w:rPr>
            <w:noProof/>
            <w:webHidden/>
          </w:rPr>
          <w:fldChar w:fldCharType="end"/>
        </w:r>
      </w:hyperlink>
    </w:p>
    <w:p w14:paraId="7431ACBF" w14:textId="467FF0CF" w:rsidR="006155F9" w:rsidRDefault="001C0DEA">
      <w:pPr>
        <w:pStyle w:val="21"/>
        <w:rPr>
          <w:rFonts w:asciiTheme="minorHAnsi" w:eastAsiaTheme="minorEastAsia" w:hAnsiTheme="minorHAnsi" w:cstheme="minorBidi"/>
          <w:noProof/>
          <w:sz w:val="24"/>
          <w:szCs w:val="24"/>
          <w:lang w:eastAsia="ru-RU"/>
        </w:rPr>
      </w:pPr>
      <w:hyperlink w:anchor="_Toc65104133" w:history="1">
        <w:r w:rsidR="006155F9" w:rsidRPr="000A0B24">
          <w:rPr>
            <w:rStyle w:val="affd"/>
            <w:noProof/>
          </w:rPr>
          <w:t>Приложение Г1. Оценка эффективности терапии МДС</w:t>
        </w:r>
        <w:r w:rsidR="006155F9">
          <w:rPr>
            <w:noProof/>
            <w:webHidden/>
          </w:rPr>
          <w:tab/>
        </w:r>
        <w:r w:rsidR="006155F9">
          <w:rPr>
            <w:noProof/>
            <w:webHidden/>
          </w:rPr>
          <w:fldChar w:fldCharType="begin"/>
        </w:r>
        <w:r w:rsidR="006155F9">
          <w:rPr>
            <w:noProof/>
            <w:webHidden/>
          </w:rPr>
          <w:instrText xml:space="preserve"> PAGEREF _Toc65104133 \h </w:instrText>
        </w:r>
        <w:r w:rsidR="006155F9">
          <w:rPr>
            <w:noProof/>
            <w:webHidden/>
          </w:rPr>
        </w:r>
        <w:r w:rsidR="006155F9">
          <w:rPr>
            <w:noProof/>
            <w:webHidden/>
          </w:rPr>
          <w:fldChar w:fldCharType="separate"/>
        </w:r>
        <w:r w:rsidR="006155F9">
          <w:rPr>
            <w:noProof/>
            <w:webHidden/>
          </w:rPr>
          <w:t>462</w:t>
        </w:r>
        <w:r w:rsidR="006155F9">
          <w:rPr>
            <w:noProof/>
            <w:webHidden/>
          </w:rPr>
          <w:fldChar w:fldCharType="end"/>
        </w:r>
      </w:hyperlink>
    </w:p>
    <w:p w14:paraId="30BD0663" w14:textId="6768DC02" w:rsidR="006155F9" w:rsidRDefault="001C0DEA">
      <w:pPr>
        <w:pStyle w:val="21"/>
        <w:rPr>
          <w:rFonts w:asciiTheme="minorHAnsi" w:eastAsiaTheme="minorEastAsia" w:hAnsiTheme="minorHAnsi" w:cstheme="minorBidi"/>
          <w:noProof/>
          <w:sz w:val="24"/>
          <w:szCs w:val="24"/>
          <w:lang w:eastAsia="ru-RU"/>
        </w:rPr>
      </w:pPr>
      <w:hyperlink w:anchor="_Toc65104134" w:history="1">
        <w:r w:rsidR="006155F9" w:rsidRPr="000A0B24">
          <w:rPr>
            <w:rStyle w:val="affd"/>
            <w:noProof/>
          </w:rPr>
          <w:t>Приложение Г2. Шкала коморбидности для пациентов с МДС</w:t>
        </w:r>
        <w:r w:rsidR="006155F9">
          <w:rPr>
            <w:noProof/>
            <w:webHidden/>
          </w:rPr>
          <w:tab/>
        </w:r>
        <w:r w:rsidR="006155F9">
          <w:rPr>
            <w:noProof/>
            <w:webHidden/>
          </w:rPr>
          <w:fldChar w:fldCharType="begin"/>
        </w:r>
        <w:r w:rsidR="006155F9">
          <w:rPr>
            <w:noProof/>
            <w:webHidden/>
          </w:rPr>
          <w:instrText xml:space="preserve"> PAGEREF _Toc65104134 \h </w:instrText>
        </w:r>
        <w:r w:rsidR="006155F9">
          <w:rPr>
            <w:noProof/>
            <w:webHidden/>
          </w:rPr>
        </w:r>
        <w:r w:rsidR="006155F9">
          <w:rPr>
            <w:noProof/>
            <w:webHidden/>
          </w:rPr>
          <w:fldChar w:fldCharType="separate"/>
        </w:r>
        <w:r w:rsidR="006155F9">
          <w:rPr>
            <w:noProof/>
            <w:webHidden/>
          </w:rPr>
          <w:t>464</w:t>
        </w:r>
        <w:r w:rsidR="006155F9">
          <w:rPr>
            <w:noProof/>
            <w:webHidden/>
          </w:rPr>
          <w:fldChar w:fldCharType="end"/>
        </w:r>
      </w:hyperlink>
    </w:p>
    <w:p w14:paraId="5EAAC620" w14:textId="77AA60E3" w:rsidR="006155F9" w:rsidRDefault="001C0DEA">
      <w:pPr>
        <w:pStyle w:val="21"/>
        <w:rPr>
          <w:rFonts w:asciiTheme="minorHAnsi" w:eastAsiaTheme="minorEastAsia" w:hAnsiTheme="minorHAnsi" w:cstheme="minorBidi"/>
          <w:noProof/>
          <w:sz w:val="24"/>
          <w:szCs w:val="24"/>
          <w:lang w:eastAsia="ru-RU"/>
        </w:rPr>
      </w:pPr>
      <w:hyperlink w:anchor="_Toc65104135" w:history="1">
        <w:r w:rsidR="006155F9" w:rsidRPr="000A0B24">
          <w:rPr>
            <w:rStyle w:val="affd"/>
            <w:noProof/>
          </w:rPr>
          <w:t>Приложение Г3. Шкала коморбидности для пациентов, которым планируется трансплантация гемопоэтических стволовых клеток</w:t>
        </w:r>
        <w:r w:rsidR="006155F9">
          <w:rPr>
            <w:noProof/>
            <w:webHidden/>
          </w:rPr>
          <w:tab/>
        </w:r>
        <w:r w:rsidR="006155F9">
          <w:rPr>
            <w:noProof/>
            <w:webHidden/>
          </w:rPr>
          <w:fldChar w:fldCharType="begin"/>
        </w:r>
        <w:r w:rsidR="006155F9">
          <w:rPr>
            <w:noProof/>
            <w:webHidden/>
          </w:rPr>
          <w:instrText xml:space="preserve"> PAGEREF _Toc65104135 \h </w:instrText>
        </w:r>
        <w:r w:rsidR="006155F9">
          <w:rPr>
            <w:noProof/>
            <w:webHidden/>
          </w:rPr>
        </w:r>
        <w:r w:rsidR="006155F9">
          <w:rPr>
            <w:noProof/>
            <w:webHidden/>
          </w:rPr>
          <w:fldChar w:fldCharType="separate"/>
        </w:r>
        <w:r w:rsidR="006155F9">
          <w:rPr>
            <w:noProof/>
            <w:webHidden/>
          </w:rPr>
          <w:t>466</w:t>
        </w:r>
        <w:r w:rsidR="006155F9">
          <w:rPr>
            <w:noProof/>
            <w:webHidden/>
          </w:rPr>
          <w:fldChar w:fldCharType="end"/>
        </w:r>
      </w:hyperlink>
    </w:p>
    <w:p w14:paraId="587FA260" w14:textId="0F76A1DD" w:rsidR="006155F9" w:rsidRDefault="001C0DEA">
      <w:pPr>
        <w:pStyle w:val="21"/>
        <w:rPr>
          <w:rFonts w:asciiTheme="minorHAnsi" w:eastAsiaTheme="minorEastAsia" w:hAnsiTheme="minorHAnsi" w:cstheme="minorBidi"/>
          <w:noProof/>
          <w:sz w:val="24"/>
          <w:szCs w:val="24"/>
          <w:lang w:eastAsia="ru-RU"/>
        </w:rPr>
      </w:pPr>
      <w:hyperlink w:anchor="_Toc65104136" w:history="1">
        <w:r w:rsidR="006155F9" w:rsidRPr="000A0B24">
          <w:rPr>
            <w:rStyle w:val="affd"/>
            <w:noProof/>
          </w:rPr>
          <w:t xml:space="preserve">Приложение Г4. Шкала </w:t>
        </w:r>
        <w:r w:rsidR="006155F9" w:rsidRPr="000A0B24">
          <w:rPr>
            <w:rStyle w:val="affd"/>
            <w:noProof/>
            <w:lang w:val="en-US"/>
          </w:rPr>
          <w:t>EBMT</w:t>
        </w:r>
        <w:r w:rsidR="006155F9" w:rsidRPr="000A0B24">
          <w:rPr>
            <w:rStyle w:val="affd"/>
            <w:noProof/>
          </w:rPr>
          <w:t xml:space="preserve"> для расчета трансплантационного риска</w:t>
        </w:r>
        <w:r w:rsidR="006155F9">
          <w:rPr>
            <w:noProof/>
            <w:webHidden/>
          </w:rPr>
          <w:tab/>
        </w:r>
        <w:r w:rsidR="006155F9">
          <w:rPr>
            <w:noProof/>
            <w:webHidden/>
          </w:rPr>
          <w:fldChar w:fldCharType="begin"/>
        </w:r>
        <w:r w:rsidR="006155F9">
          <w:rPr>
            <w:noProof/>
            <w:webHidden/>
          </w:rPr>
          <w:instrText xml:space="preserve"> PAGEREF _Toc65104136 \h </w:instrText>
        </w:r>
        <w:r w:rsidR="006155F9">
          <w:rPr>
            <w:noProof/>
            <w:webHidden/>
          </w:rPr>
        </w:r>
        <w:r w:rsidR="006155F9">
          <w:rPr>
            <w:noProof/>
            <w:webHidden/>
          </w:rPr>
          <w:fldChar w:fldCharType="separate"/>
        </w:r>
        <w:r w:rsidR="006155F9">
          <w:rPr>
            <w:noProof/>
            <w:webHidden/>
          </w:rPr>
          <w:t>467</w:t>
        </w:r>
        <w:r w:rsidR="006155F9">
          <w:rPr>
            <w:noProof/>
            <w:webHidden/>
          </w:rPr>
          <w:fldChar w:fldCharType="end"/>
        </w:r>
      </w:hyperlink>
    </w:p>
    <w:p w14:paraId="0D4BF92A" w14:textId="3385142B" w:rsidR="00F20CFD" w:rsidRPr="006A377C" w:rsidRDefault="00F20CFD" w:rsidP="007626C2">
      <w:pPr>
        <w:spacing w:line="240" w:lineRule="auto"/>
        <w:rPr>
          <w:b/>
          <w:bCs/>
          <w:noProof/>
          <w:szCs w:val="24"/>
        </w:rPr>
      </w:pPr>
      <w:r w:rsidRPr="00FC71C2">
        <w:rPr>
          <w:szCs w:val="24"/>
        </w:rPr>
        <w:fldChar w:fldCharType="end"/>
      </w:r>
    </w:p>
    <w:p w14:paraId="36A2772E" w14:textId="77777777" w:rsidR="00F20CFD" w:rsidRPr="006A377C" w:rsidRDefault="00F20CFD" w:rsidP="00EA7BF5">
      <w:pPr>
        <w:jc w:val="center"/>
        <w:rPr>
          <w:b/>
          <w:bCs/>
          <w:noProof/>
          <w:szCs w:val="24"/>
        </w:rPr>
      </w:pPr>
    </w:p>
    <w:p w14:paraId="0596F460" w14:textId="77777777" w:rsidR="00F20CFD" w:rsidRDefault="00F20CFD" w:rsidP="007626C2">
      <w:pPr>
        <w:rPr>
          <w:sz w:val="28"/>
          <w:szCs w:val="28"/>
        </w:rPr>
      </w:pPr>
    </w:p>
    <w:p w14:paraId="0B29CB83" w14:textId="77777777" w:rsidR="00F20CFD" w:rsidRPr="00C413F9" w:rsidRDefault="000E50F7" w:rsidP="00C413F9">
      <w:pPr>
        <w:pStyle w:val="2"/>
        <w:jc w:val="center"/>
        <w:rPr>
          <w:sz w:val="28"/>
          <w:szCs w:val="28"/>
          <w:u w:val="none"/>
        </w:rPr>
      </w:pPr>
      <w:r>
        <w:rPr>
          <w:sz w:val="28"/>
          <w:szCs w:val="28"/>
          <w:u w:val="none"/>
        </w:rPr>
        <w:br w:type="page"/>
      </w:r>
      <w:bookmarkStart w:id="1" w:name="_Toc65104076"/>
      <w:r w:rsidR="00F20CFD" w:rsidRPr="00C413F9">
        <w:rPr>
          <w:sz w:val="28"/>
          <w:szCs w:val="28"/>
          <w:u w:val="none"/>
        </w:rPr>
        <w:lastRenderedPageBreak/>
        <w:t>Список сокращений</w:t>
      </w:r>
      <w:bookmarkEnd w:id="1"/>
    </w:p>
    <w:p w14:paraId="5D7122C0" w14:textId="77777777" w:rsidR="00F20CFD" w:rsidRPr="00F636D0" w:rsidRDefault="00F20CFD" w:rsidP="00EA7BF5">
      <w:pPr>
        <w:divId w:val="1423330498"/>
        <w:rPr>
          <w:szCs w:val="24"/>
        </w:rPr>
      </w:pPr>
    </w:p>
    <w:p w14:paraId="584F0880" w14:textId="77777777" w:rsidR="00F20CFD" w:rsidRPr="006A377C" w:rsidRDefault="00F20CFD" w:rsidP="00EA7BF5">
      <w:pPr>
        <w:divId w:val="1423330498"/>
        <w:rPr>
          <w:szCs w:val="24"/>
        </w:rPr>
      </w:pPr>
      <w:r w:rsidRPr="006A377C">
        <w:rPr>
          <w:szCs w:val="24"/>
        </w:rPr>
        <w:t>Алло-ТГСК – трансплантация аллогенных гемопоэтических стволовых клеток</w:t>
      </w:r>
    </w:p>
    <w:p w14:paraId="6B05EDCA" w14:textId="77777777" w:rsidR="00F20CFD" w:rsidRPr="006A377C" w:rsidRDefault="00F20CFD" w:rsidP="00EA7BF5">
      <w:pPr>
        <w:divId w:val="1423330498"/>
        <w:rPr>
          <w:szCs w:val="24"/>
        </w:rPr>
      </w:pPr>
      <w:r w:rsidRPr="006A377C">
        <w:rPr>
          <w:szCs w:val="24"/>
        </w:rPr>
        <w:t>АЛТ – аланинаминотрансфераза</w:t>
      </w:r>
    </w:p>
    <w:p w14:paraId="5D804FAC" w14:textId="77777777" w:rsidR="00F20CFD" w:rsidRPr="006A377C" w:rsidRDefault="00F20CFD" w:rsidP="00EA7BF5">
      <w:pPr>
        <w:divId w:val="1423330498"/>
        <w:rPr>
          <w:szCs w:val="24"/>
        </w:rPr>
      </w:pPr>
      <w:r w:rsidRPr="006A377C">
        <w:rPr>
          <w:szCs w:val="24"/>
        </w:rPr>
        <w:t>Анти-ДНК – антитела к ДНК</w:t>
      </w:r>
    </w:p>
    <w:p w14:paraId="1E7D6BE7" w14:textId="77777777" w:rsidR="00F20CFD" w:rsidRPr="006A377C" w:rsidRDefault="00F20CFD" w:rsidP="00EA7BF5">
      <w:pPr>
        <w:divId w:val="1423330498"/>
        <w:rPr>
          <w:szCs w:val="24"/>
        </w:rPr>
      </w:pPr>
      <w:r w:rsidRPr="006A377C">
        <w:rPr>
          <w:szCs w:val="24"/>
        </w:rPr>
        <w:t>АСЛ-О – антистрептолизин-О</w:t>
      </w:r>
    </w:p>
    <w:p w14:paraId="4CA13E68" w14:textId="77777777" w:rsidR="00F20CFD" w:rsidRPr="006A377C" w:rsidRDefault="00F20CFD" w:rsidP="00EA7BF5">
      <w:pPr>
        <w:divId w:val="1423330498"/>
        <w:rPr>
          <w:szCs w:val="24"/>
        </w:rPr>
      </w:pPr>
      <w:r w:rsidRPr="006A377C">
        <w:rPr>
          <w:szCs w:val="24"/>
        </w:rPr>
        <w:t>АСТ – аспартатаминотрансфераза</w:t>
      </w:r>
    </w:p>
    <w:p w14:paraId="60E3EC2D" w14:textId="77777777" w:rsidR="00F20CFD" w:rsidRPr="006A377C" w:rsidRDefault="00F20CFD" w:rsidP="00EA7BF5">
      <w:pPr>
        <w:divId w:val="1423330498"/>
        <w:rPr>
          <w:szCs w:val="24"/>
        </w:rPr>
      </w:pPr>
      <w:r w:rsidRPr="006A377C">
        <w:rPr>
          <w:szCs w:val="24"/>
        </w:rPr>
        <w:t>АТГ – антитимоцитарный глобулин</w:t>
      </w:r>
    </w:p>
    <w:p w14:paraId="22E876BB" w14:textId="77777777" w:rsidR="00F20CFD" w:rsidRPr="006A377C" w:rsidRDefault="00F20CFD" w:rsidP="00EA7BF5">
      <w:pPr>
        <w:divId w:val="1423330498"/>
        <w:rPr>
          <w:szCs w:val="24"/>
        </w:rPr>
      </w:pPr>
      <w:r w:rsidRPr="006A377C">
        <w:rPr>
          <w:szCs w:val="24"/>
        </w:rPr>
        <w:t>АТ-ТПО – антитела к тиреоидной пероксидазе</w:t>
      </w:r>
    </w:p>
    <w:p w14:paraId="4B1FAB7D" w14:textId="77777777" w:rsidR="00F20CFD" w:rsidRPr="006A377C" w:rsidRDefault="00F20CFD" w:rsidP="00EA7BF5">
      <w:pPr>
        <w:divId w:val="1423330498"/>
        <w:rPr>
          <w:szCs w:val="24"/>
        </w:rPr>
      </w:pPr>
      <w:r w:rsidRPr="006A377C">
        <w:rPr>
          <w:szCs w:val="24"/>
        </w:rPr>
        <w:t>АЧН – абсолютное число нейтрофилов</w:t>
      </w:r>
    </w:p>
    <w:p w14:paraId="1902C629" w14:textId="77777777" w:rsidR="00F20CFD" w:rsidRPr="006A377C" w:rsidRDefault="00F20CFD" w:rsidP="00EA7BF5">
      <w:pPr>
        <w:divId w:val="1423330498"/>
        <w:rPr>
          <w:szCs w:val="24"/>
        </w:rPr>
      </w:pPr>
      <w:r w:rsidRPr="006A377C">
        <w:rPr>
          <w:szCs w:val="24"/>
        </w:rPr>
        <w:t>АЧТВ – активированное частичное тромбопластиновое время</w:t>
      </w:r>
    </w:p>
    <w:p w14:paraId="1A78CE04" w14:textId="77777777" w:rsidR="00F20CFD" w:rsidRPr="006A377C" w:rsidRDefault="00F20CFD" w:rsidP="00EA7BF5">
      <w:pPr>
        <w:divId w:val="1423330498"/>
        <w:rPr>
          <w:szCs w:val="24"/>
        </w:rPr>
      </w:pPr>
      <w:r w:rsidRPr="006A377C">
        <w:rPr>
          <w:szCs w:val="24"/>
        </w:rPr>
        <w:t>БЛРС – бета-лактамазы расширенного спектра</w:t>
      </w:r>
    </w:p>
    <w:p w14:paraId="27842EFE" w14:textId="77777777" w:rsidR="00F20CFD" w:rsidRPr="006A377C" w:rsidRDefault="00F20CFD" w:rsidP="00EA7BF5">
      <w:pPr>
        <w:divId w:val="1423330498"/>
        <w:rPr>
          <w:szCs w:val="24"/>
        </w:rPr>
      </w:pPr>
      <w:r w:rsidRPr="006A377C">
        <w:rPr>
          <w:szCs w:val="24"/>
        </w:rPr>
        <w:t>ВИЧ – вирус иммунодефицита человека</w:t>
      </w:r>
    </w:p>
    <w:p w14:paraId="150BA150" w14:textId="77777777" w:rsidR="00F20CFD" w:rsidRPr="006A377C" w:rsidRDefault="00F20CFD" w:rsidP="00EA7BF5">
      <w:pPr>
        <w:divId w:val="1423330498"/>
        <w:rPr>
          <w:szCs w:val="24"/>
        </w:rPr>
      </w:pPr>
      <w:r w:rsidRPr="006A377C">
        <w:rPr>
          <w:szCs w:val="24"/>
        </w:rPr>
        <w:t>ВКЛ – волосатоклеточный лейкоз</w:t>
      </w:r>
    </w:p>
    <w:p w14:paraId="7A384822" w14:textId="77777777" w:rsidR="00F20CFD" w:rsidRPr="006A377C" w:rsidRDefault="00F20CFD" w:rsidP="00EA7BF5">
      <w:pPr>
        <w:divId w:val="1423330498"/>
        <w:rPr>
          <w:szCs w:val="24"/>
        </w:rPr>
      </w:pPr>
      <w:r w:rsidRPr="006A377C">
        <w:rPr>
          <w:szCs w:val="24"/>
        </w:rPr>
        <w:t>ВОЗ – Всемирная организация здравоохранения</w:t>
      </w:r>
    </w:p>
    <w:p w14:paraId="5C344AE5" w14:textId="77777777" w:rsidR="00F20CFD" w:rsidRPr="006A377C" w:rsidRDefault="00F20CFD" w:rsidP="00EA7BF5">
      <w:pPr>
        <w:divId w:val="1423330498"/>
        <w:rPr>
          <w:szCs w:val="24"/>
        </w:rPr>
      </w:pPr>
      <w:r w:rsidRPr="006A377C">
        <w:rPr>
          <w:szCs w:val="24"/>
        </w:rPr>
        <w:t>ГИФ – гипоксией индуцированный фактор</w:t>
      </w:r>
    </w:p>
    <w:p w14:paraId="5D2A077C" w14:textId="77777777" w:rsidR="00F20CFD" w:rsidRPr="006A377C" w:rsidRDefault="00F20CFD" w:rsidP="00EA7BF5">
      <w:pPr>
        <w:divId w:val="1423330498"/>
        <w:rPr>
          <w:szCs w:val="24"/>
        </w:rPr>
      </w:pPr>
      <w:r w:rsidRPr="006A377C">
        <w:rPr>
          <w:szCs w:val="24"/>
        </w:rPr>
        <w:t xml:space="preserve">Г-КСФ – </w:t>
      </w:r>
      <w:r w:rsidR="00121E6A" w:rsidRPr="00D530D2">
        <w:rPr>
          <w:szCs w:val="24"/>
        </w:rPr>
        <w:t>реко</w:t>
      </w:r>
      <w:r w:rsidR="00121E6A">
        <w:rPr>
          <w:szCs w:val="24"/>
        </w:rPr>
        <w:t xml:space="preserve">мбинантный человеческий </w:t>
      </w:r>
      <w:r w:rsidRPr="006A377C">
        <w:rPr>
          <w:szCs w:val="24"/>
        </w:rPr>
        <w:t>гранулоцитарный колониестимулирующий фактор</w:t>
      </w:r>
    </w:p>
    <w:p w14:paraId="306E0726" w14:textId="77777777" w:rsidR="00F20CFD" w:rsidRPr="006A377C" w:rsidRDefault="00F20CFD" w:rsidP="00EA7BF5">
      <w:pPr>
        <w:divId w:val="1423330498"/>
        <w:rPr>
          <w:szCs w:val="24"/>
        </w:rPr>
      </w:pPr>
      <w:r w:rsidRPr="006A377C">
        <w:rPr>
          <w:szCs w:val="24"/>
        </w:rPr>
        <w:t>ГСК – гемопоэтические стволовые клетки</w:t>
      </w:r>
    </w:p>
    <w:p w14:paraId="08151440" w14:textId="77777777" w:rsidR="00F20CFD" w:rsidRPr="006A377C" w:rsidRDefault="00F20CFD" w:rsidP="00EA7BF5">
      <w:pPr>
        <w:divId w:val="1423330498"/>
        <w:rPr>
          <w:szCs w:val="24"/>
        </w:rPr>
      </w:pPr>
      <w:r w:rsidRPr="006A377C">
        <w:rPr>
          <w:szCs w:val="24"/>
        </w:rPr>
        <w:t>ДНК – дезоксирибонуклеиновая кислота</w:t>
      </w:r>
    </w:p>
    <w:p w14:paraId="2BB68DC1" w14:textId="77777777" w:rsidR="00F20CFD" w:rsidRPr="006A377C" w:rsidRDefault="00F20CFD" w:rsidP="00EA7BF5">
      <w:pPr>
        <w:divId w:val="1423330498"/>
        <w:rPr>
          <w:szCs w:val="24"/>
        </w:rPr>
      </w:pPr>
      <w:r w:rsidRPr="006A377C">
        <w:rPr>
          <w:szCs w:val="24"/>
        </w:rPr>
        <w:t>ЖКТ – желудочно-кишечный тракт</w:t>
      </w:r>
    </w:p>
    <w:p w14:paraId="1568E8ED" w14:textId="77777777" w:rsidR="00F20CFD" w:rsidRPr="006A377C" w:rsidRDefault="00F20CFD" w:rsidP="00EA7BF5">
      <w:pPr>
        <w:divId w:val="1423330498"/>
        <w:rPr>
          <w:szCs w:val="24"/>
        </w:rPr>
      </w:pPr>
      <w:r w:rsidRPr="006A377C">
        <w:rPr>
          <w:szCs w:val="24"/>
        </w:rPr>
        <w:t>ИБ-1 – избыток бластов-1</w:t>
      </w:r>
    </w:p>
    <w:p w14:paraId="74BC8E55" w14:textId="77777777" w:rsidR="00F20CFD" w:rsidRPr="006A377C" w:rsidRDefault="00F20CFD" w:rsidP="00EA7BF5">
      <w:pPr>
        <w:divId w:val="1423330498"/>
        <w:rPr>
          <w:szCs w:val="24"/>
        </w:rPr>
      </w:pPr>
      <w:r w:rsidRPr="006A377C">
        <w:rPr>
          <w:szCs w:val="24"/>
        </w:rPr>
        <w:t>ИБ-2 – избыток бластов-2</w:t>
      </w:r>
    </w:p>
    <w:p w14:paraId="00AD429A" w14:textId="77777777" w:rsidR="00F20CFD" w:rsidRPr="006A377C" w:rsidRDefault="00F20CFD" w:rsidP="00EA7BF5">
      <w:pPr>
        <w:divId w:val="1423330498"/>
        <w:rPr>
          <w:szCs w:val="24"/>
        </w:rPr>
      </w:pPr>
      <w:r w:rsidRPr="006A377C">
        <w:rPr>
          <w:szCs w:val="24"/>
        </w:rPr>
        <w:t>ИГХ – иммуногистохимические методы</w:t>
      </w:r>
    </w:p>
    <w:p w14:paraId="11E0BAD5" w14:textId="77777777" w:rsidR="00F20CFD" w:rsidRPr="006A377C" w:rsidRDefault="00F20CFD" w:rsidP="00EA7BF5">
      <w:pPr>
        <w:divId w:val="1423330498"/>
        <w:rPr>
          <w:szCs w:val="24"/>
        </w:rPr>
      </w:pPr>
      <w:r w:rsidRPr="006A377C">
        <w:rPr>
          <w:szCs w:val="24"/>
        </w:rPr>
        <w:t>ИМТ – индекс массы тела</w:t>
      </w:r>
    </w:p>
    <w:p w14:paraId="756C2949" w14:textId="77777777" w:rsidR="00F20CFD" w:rsidRPr="006A377C" w:rsidRDefault="00F20CFD" w:rsidP="00EA7BF5">
      <w:pPr>
        <w:divId w:val="1423330498"/>
        <w:rPr>
          <w:szCs w:val="24"/>
        </w:rPr>
      </w:pPr>
      <w:r w:rsidRPr="006A377C">
        <w:rPr>
          <w:szCs w:val="24"/>
        </w:rPr>
        <w:t>ИСТ – иммуносупрессивная терапия</w:t>
      </w:r>
    </w:p>
    <w:p w14:paraId="5178CBCB" w14:textId="77777777" w:rsidR="00F20CFD" w:rsidRPr="006A377C" w:rsidRDefault="00F20CFD" w:rsidP="00EA7BF5">
      <w:pPr>
        <w:divId w:val="1423330498"/>
        <w:rPr>
          <w:szCs w:val="24"/>
        </w:rPr>
      </w:pPr>
      <w:r w:rsidRPr="006A377C">
        <w:rPr>
          <w:szCs w:val="24"/>
        </w:rPr>
        <w:t>КИ – клинические исследования</w:t>
      </w:r>
    </w:p>
    <w:p w14:paraId="222F0D21" w14:textId="77777777" w:rsidR="00F20CFD" w:rsidRPr="006A377C" w:rsidRDefault="00F20CFD" w:rsidP="00EA7BF5">
      <w:pPr>
        <w:divId w:val="1423330498"/>
        <w:rPr>
          <w:szCs w:val="24"/>
        </w:rPr>
      </w:pPr>
      <w:r w:rsidRPr="006A377C">
        <w:rPr>
          <w:szCs w:val="24"/>
        </w:rPr>
        <w:t>КМ – костный мозг</w:t>
      </w:r>
    </w:p>
    <w:p w14:paraId="0217716D" w14:textId="77777777" w:rsidR="00F20CFD" w:rsidRPr="006A377C" w:rsidRDefault="00F20CFD" w:rsidP="00EA7BF5">
      <w:pPr>
        <w:divId w:val="1423330498"/>
        <w:rPr>
          <w:szCs w:val="24"/>
        </w:rPr>
      </w:pPr>
      <w:r w:rsidRPr="006A377C">
        <w:rPr>
          <w:szCs w:val="24"/>
        </w:rPr>
        <w:t>КС – кольцевые сидеробласты</w:t>
      </w:r>
    </w:p>
    <w:p w14:paraId="58670C2F" w14:textId="77777777" w:rsidR="00F20CFD" w:rsidRPr="006A377C" w:rsidRDefault="00F20CFD" w:rsidP="00EA7BF5">
      <w:pPr>
        <w:divId w:val="1423330498"/>
        <w:rPr>
          <w:szCs w:val="24"/>
        </w:rPr>
      </w:pPr>
      <w:r w:rsidRPr="006A377C">
        <w:rPr>
          <w:szCs w:val="24"/>
        </w:rPr>
        <w:t>КТ – компьютерная томография</w:t>
      </w:r>
    </w:p>
    <w:p w14:paraId="044B39A7" w14:textId="77777777" w:rsidR="00F20CFD" w:rsidRPr="006A377C" w:rsidRDefault="00F20CFD" w:rsidP="00EA7BF5">
      <w:pPr>
        <w:divId w:val="1423330498"/>
        <w:rPr>
          <w:szCs w:val="24"/>
        </w:rPr>
      </w:pPr>
      <w:r w:rsidRPr="006A377C">
        <w:rPr>
          <w:szCs w:val="24"/>
        </w:rPr>
        <w:t>ЛД – линейная дисплазия</w:t>
      </w:r>
    </w:p>
    <w:p w14:paraId="54EF663A" w14:textId="77777777" w:rsidR="00F20CFD" w:rsidRPr="006A377C" w:rsidRDefault="00F20CFD" w:rsidP="00EA7BF5">
      <w:pPr>
        <w:divId w:val="1423330498"/>
        <w:rPr>
          <w:szCs w:val="24"/>
        </w:rPr>
      </w:pPr>
      <w:r w:rsidRPr="006A377C">
        <w:rPr>
          <w:szCs w:val="24"/>
        </w:rPr>
        <w:t>ЛДГ – лактатдегидрогеназа</w:t>
      </w:r>
    </w:p>
    <w:p w14:paraId="7F319F80" w14:textId="77777777" w:rsidR="00F20CFD" w:rsidRPr="006A377C" w:rsidRDefault="00F20CFD" w:rsidP="00EA7BF5">
      <w:pPr>
        <w:divId w:val="1423330498"/>
        <w:rPr>
          <w:szCs w:val="24"/>
        </w:rPr>
      </w:pPr>
      <w:r w:rsidRPr="006A377C">
        <w:rPr>
          <w:szCs w:val="24"/>
        </w:rPr>
        <w:t>МД – мультилинейная дисплазия</w:t>
      </w:r>
    </w:p>
    <w:p w14:paraId="2DC0E8F0" w14:textId="77777777" w:rsidR="00F20CFD" w:rsidRPr="006A377C" w:rsidRDefault="00F20CFD" w:rsidP="00EA7BF5">
      <w:pPr>
        <w:divId w:val="1423330498"/>
        <w:rPr>
          <w:szCs w:val="24"/>
        </w:rPr>
      </w:pPr>
      <w:r w:rsidRPr="006A377C">
        <w:rPr>
          <w:szCs w:val="24"/>
        </w:rPr>
        <w:t>МДС – миелодиспластический синдром</w:t>
      </w:r>
    </w:p>
    <w:p w14:paraId="5CB50758" w14:textId="77777777" w:rsidR="00F20CFD" w:rsidRPr="006A377C" w:rsidRDefault="00F20CFD" w:rsidP="00EA7BF5">
      <w:pPr>
        <w:pStyle w:val="Number"/>
        <w:spacing w:line="360" w:lineRule="auto"/>
        <w:ind w:left="0" w:firstLine="0"/>
        <w:divId w:val="1423330498"/>
        <w:rPr>
          <w:color w:val="auto"/>
        </w:rPr>
      </w:pPr>
      <w:r w:rsidRPr="006A377C">
        <w:rPr>
          <w:color w:val="auto"/>
        </w:rPr>
        <w:t>МДС-5</w:t>
      </w:r>
      <w:r w:rsidRPr="006A377C">
        <w:rPr>
          <w:color w:val="auto"/>
          <w:lang w:val="en-US"/>
        </w:rPr>
        <w:t>q</w:t>
      </w:r>
      <w:r w:rsidRPr="006A377C">
        <w:rPr>
          <w:color w:val="auto"/>
        </w:rPr>
        <w:t xml:space="preserve"> – МДС с изолированной делецией длинного плеча 5-й хромосомы</w:t>
      </w:r>
    </w:p>
    <w:p w14:paraId="27E791BD" w14:textId="77777777" w:rsidR="00F20CFD" w:rsidRPr="006A377C" w:rsidRDefault="00F20CFD" w:rsidP="00EA7BF5">
      <w:pPr>
        <w:pStyle w:val="Number"/>
        <w:spacing w:line="360" w:lineRule="auto"/>
        <w:ind w:left="0" w:firstLine="0"/>
        <w:divId w:val="1423330498"/>
        <w:rPr>
          <w:color w:val="auto"/>
        </w:rPr>
      </w:pPr>
      <w:r w:rsidRPr="006A377C">
        <w:rPr>
          <w:color w:val="auto"/>
        </w:rPr>
        <w:lastRenderedPageBreak/>
        <w:t>МДС-Н – МДС неклассифицируемый</w:t>
      </w:r>
    </w:p>
    <w:p w14:paraId="79CEC02C" w14:textId="77777777" w:rsidR="00F20CFD" w:rsidRPr="006A377C" w:rsidRDefault="00F20CFD" w:rsidP="00EA7BF5">
      <w:pPr>
        <w:divId w:val="1423330498"/>
        <w:rPr>
          <w:szCs w:val="24"/>
        </w:rPr>
      </w:pPr>
      <w:r w:rsidRPr="006A377C">
        <w:rPr>
          <w:szCs w:val="24"/>
        </w:rPr>
        <w:t>МДЦ – малые дозы цитарабина</w:t>
      </w:r>
    </w:p>
    <w:p w14:paraId="0BAF40E3" w14:textId="77777777" w:rsidR="00F20CFD" w:rsidRPr="006A377C" w:rsidRDefault="00F20CFD" w:rsidP="00EA7BF5">
      <w:pPr>
        <w:divId w:val="1423330498"/>
        <w:rPr>
          <w:szCs w:val="24"/>
        </w:rPr>
      </w:pPr>
      <w:r w:rsidRPr="006A377C">
        <w:rPr>
          <w:szCs w:val="24"/>
        </w:rPr>
        <w:t>МОБ – минимальная остаточная болезнь</w:t>
      </w:r>
    </w:p>
    <w:p w14:paraId="5D590354" w14:textId="77777777" w:rsidR="00F20CFD" w:rsidRPr="006A377C" w:rsidRDefault="00F20CFD" w:rsidP="00EA7BF5">
      <w:pPr>
        <w:divId w:val="1423330498"/>
        <w:rPr>
          <w:szCs w:val="24"/>
        </w:rPr>
      </w:pPr>
      <w:r w:rsidRPr="006A377C">
        <w:rPr>
          <w:szCs w:val="24"/>
        </w:rPr>
        <w:t>МРТ – магнитно-резонансная томография</w:t>
      </w:r>
    </w:p>
    <w:p w14:paraId="3AE19691" w14:textId="77777777" w:rsidR="00F20CFD" w:rsidRPr="006A377C" w:rsidRDefault="00F20CFD" w:rsidP="00EA7BF5">
      <w:pPr>
        <w:divId w:val="1423330498"/>
        <w:rPr>
          <w:szCs w:val="24"/>
        </w:rPr>
      </w:pPr>
      <w:r w:rsidRPr="006A377C">
        <w:rPr>
          <w:szCs w:val="24"/>
        </w:rPr>
        <w:t>ОВ – общая выживаемость</w:t>
      </w:r>
    </w:p>
    <w:p w14:paraId="7B5A0579" w14:textId="77777777" w:rsidR="00F20CFD" w:rsidRPr="006A377C" w:rsidRDefault="00F20CFD" w:rsidP="00EA7BF5">
      <w:pPr>
        <w:divId w:val="1423330498"/>
        <w:rPr>
          <w:szCs w:val="24"/>
        </w:rPr>
      </w:pPr>
      <w:r w:rsidRPr="006A377C">
        <w:rPr>
          <w:szCs w:val="24"/>
        </w:rPr>
        <w:t>ОЛ – острый лейкоз</w:t>
      </w:r>
    </w:p>
    <w:p w14:paraId="4790FA21" w14:textId="77777777" w:rsidR="00F20CFD" w:rsidRPr="006A377C" w:rsidRDefault="00F20CFD" w:rsidP="00EA7BF5">
      <w:pPr>
        <w:divId w:val="1423330498"/>
        <w:rPr>
          <w:szCs w:val="24"/>
        </w:rPr>
      </w:pPr>
      <w:r w:rsidRPr="006A377C">
        <w:rPr>
          <w:szCs w:val="24"/>
        </w:rPr>
        <w:t>ОЛЛ – острый лимфобластный лейкоз</w:t>
      </w:r>
    </w:p>
    <w:p w14:paraId="1FD8918B" w14:textId="77777777" w:rsidR="00F20CFD" w:rsidRPr="006A377C" w:rsidRDefault="00F20CFD" w:rsidP="00EA7BF5">
      <w:pPr>
        <w:divId w:val="1423330498"/>
        <w:rPr>
          <w:szCs w:val="24"/>
        </w:rPr>
      </w:pPr>
      <w:r w:rsidRPr="006A377C">
        <w:rPr>
          <w:szCs w:val="24"/>
        </w:rPr>
        <w:t>ОМЛ – острый миелоидный лейкоз</w:t>
      </w:r>
    </w:p>
    <w:p w14:paraId="525434E5" w14:textId="77777777" w:rsidR="00F20CFD" w:rsidRPr="006A377C" w:rsidRDefault="00F20CFD" w:rsidP="00EA7BF5">
      <w:pPr>
        <w:divId w:val="1423330498"/>
        <w:rPr>
          <w:szCs w:val="24"/>
        </w:rPr>
      </w:pPr>
      <w:r w:rsidRPr="006A377C">
        <w:rPr>
          <w:szCs w:val="24"/>
        </w:rPr>
        <w:t>ПК – периферическая кровь</w:t>
      </w:r>
    </w:p>
    <w:p w14:paraId="037E2643" w14:textId="77777777" w:rsidR="00F20CFD" w:rsidRPr="006A377C" w:rsidRDefault="00F20CFD" w:rsidP="00EA7BF5">
      <w:pPr>
        <w:divId w:val="1423330498"/>
        <w:rPr>
          <w:szCs w:val="24"/>
        </w:rPr>
      </w:pPr>
      <w:r w:rsidRPr="006A377C">
        <w:rPr>
          <w:szCs w:val="24"/>
        </w:rPr>
        <w:t>ПНГ – пароксизмальная ночная гемоглобинурия</w:t>
      </w:r>
    </w:p>
    <w:p w14:paraId="198E8F7D" w14:textId="77777777" w:rsidR="00F20CFD" w:rsidRPr="006A377C" w:rsidRDefault="00F20CFD" w:rsidP="00EA7BF5">
      <w:pPr>
        <w:divId w:val="1423330498"/>
        <w:rPr>
          <w:szCs w:val="24"/>
        </w:rPr>
      </w:pPr>
      <w:r w:rsidRPr="006A377C">
        <w:rPr>
          <w:szCs w:val="24"/>
        </w:rPr>
        <w:t>ПР – полная ремиссия</w:t>
      </w:r>
    </w:p>
    <w:p w14:paraId="0D237C44" w14:textId="77777777" w:rsidR="00F20CFD" w:rsidRPr="006A377C" w:rsidRDefault="00F20CFD" w:rsidP="00EA7BF5">
      <w:pPr>
        <w:divId w:val="1423330498"/>
        <w:rPr>
          <w:szCs w:val="24"/>
        </w:rPr>
      </w:pPr>
      <w:r w:rsidRPr="006A377C">
        <w:rPr>
          <w:szCs w:val="24"/>
        </w:rPr>
        <w:t>ПХТ – полихимиотерапия</w:t>
      </w:r>
    </w:p>
    <w:p w14:paraId="2562E59E" w14:textId="77777777" w:rsidR="00F20CFD" w:rsidRPr="006A377C" w:rsidRDefault="00F20CFD" w:rsidP="00EA7BF5">
      <w:pPr>
        <w:divId w:val="1423330498"/>
        <w:rPr>
          <w:szCs w:val="24"/>
        </w:rPr>
      </w:pPr>
      <w:r w:rsidRPr="006A377C">
        <w:rPr>
          <w:szCs w:val="24"/>
        </w:rPr>
        <w:t>ПЦР – полимеразная цепная реакция</w:t>
      </w:r>
    </w:p>
    <w:p w14:paraId="5E0F989E" w14:textId="77777777" w:rsidR="00F20CFD" w:rsidRPr="006A377C" w:rsidRDefault="00F20CFD" w:rsidP="00EA7BF5">
      <w:pPr>
        <w:divId w:val="1423330498"/>
        <w:rPr>
          <w:szCs w:val="24"/>
        </w:rPr>
      </w:pPr>
      <w:r w:rsidRPr="006A377C">
        <w:rPr>
          <w:szCs w:val="24"/>
        </w:rPr>
        <w:t>СРБ – С-реактивный белок</w:t>
      </w:r>
    </w:p>
    <w:p w14:paraId="175EC469" w14:textId="77777777" w:rsidR="00F20CFD" w:rsidRPr="006A377C" w:rsidRDefault="00F20CFD" w:rsidP="00EA7BF5">
      <w:pPr>
        <w:divId w:val="1423330498"/>
        <w:rPr>
          <w:szCs w:val="24"/>
        </w:rPr>
      </w:pPr>
      <w:r w:rsidRPr="006A377C">
        <w:rPr>
          <w:szCs w:val="24"/>
        </w:rPr>
        <w:t>Т3 – трийодтиронин</w:t>
      </w:r>
    </w:p>
    <w:p w14:paraId="29A1AFE9" w14:textId="77777777" w:rsidR="00F20CFD" w:rsidRPr="006A377C" w:rsidRDefault="00F20CFD" w:rsidP="00EA7BF5">
      <w:pPr>
        <w:divId w:val="1423330498"/>
        <w:rPr>
          <w:szCs w:val="24"/>
        </w:rPr>
      </w:pPr>
      <w:r w:rsidRPr="006A377C">
        <w:rPr>
          <w:szCs w:val="24"/>
        </w:rPr>
        <w:t>Т4св – тироксин свободный</w:t>
      </w:r>
    </w:p>
    <w:p w14:paraId="3AE6473A" w14:textId="77777777" w:rsidR="00F20CFD" w:rsidRPr="006A377C" w:rsidRDefault="00F20CFD" w:rsidP="00EA7BF5">
      <w:pPr>
        <w:divId w:val="1423330498"/>
        <w:rPr>
          <w:szCs w:val="24"/>
        </w:rPr>
      </w:pPr>
      <w:r w:rsidRPr="006A377C">
        <w:rPr>
          <w:szCs w:val="24"/>
        </w:rPr>
        <w:t>ТКМ – трансплантация костного мозга</w:t>
      </w:r>
    </w:p>
    <w:p w14:paraId="2F473DC9" w14:textId="77777777" w:rsidR="00F20CFD" w:rsidRPr="006A377C" w:rsidRDefault="00F20CFD" w:rsidP="00EA7BF5">
      <w:pPr>
        <w:divId w:val="1423330498"/>
        <w:rPr>
          <w:szCs w:val="24"/>
        </w:rPr>
      </w:pPr>
      <w:r w:rsidRPr="006A377C">
        <w:rPr>
          <w:szCs w:val="24"/>
        </w:rPr>
        <w:t>ТТГ – тиреотропный гормон</w:t>
      </w:r>
    </w:p>
    <w:p w14:paraId="5B1A06F5" w14:textId="77777777" w:rsidR="00F20CFD" w:rsidRPr="006A377C" w:rsidRDefault="00F20CFD" w:rsidP="00EA7BF5">
      <w:pPr>
        <w:divId w:val="1423330498"/>
        <w:rPr>
          <w:szCs w:val="24"/>
        </w:rPr>
      </w:pPr>
      <w:r w:rsidRPr="006A377C">
        <w:rPr>
          <w:szCs w:val="24"/>
        </w:rPr>
        <w:t>УДД – уровень достоверности доказательств</w:t>
      </w:r>
    </w:p>
    <w:p w14:paraId="1089D506" w14:textId="77777777" w:rsidR="00F20CFD" w:rsidRPr="006A377C" w:rsidRDefault="00F20CFD" w:rsidP="00EA7BF5">
      <w:pPr>
        <w:divId w:val="1423330498"/>
        <w:rPr>
          <w:szCs w:val="24"/>
        </w:rPr>
      </w:pPr>
      <w:r w:rsidRPr="006A377C">
        <w:rPr>
          <w:szCs w:val="24"/>
        </w:rPr>
        <w:t>УЗИ – ультразвуковое исследование</w:t>
      </w:r>
    </w:p>
    <w:p w14:paraId="12BE0FDD" w14:textId="77777777" w:rsidR="00F20CFD" w:rsidRPr="006A377C" w:rsidRDefault="00F20CFD" w:rsidP="00EA7BF5">
      <w:pPr>
        <w:tabs>
          <w:tab w:val="left" w:pos="4515"/>
        </w:tabs>
        <w:divId w:val="1423330498"/>
        <w:rPr>
          <w:szCs w:val="24"/>
        </w:rPr>
      </w:pPr>
      <w:r w:rsidRPr="006A377C">
        <w:rPr>
          <w:szCs w:val="24"/>
        </w:rPr>
        <w:t>УУР</w:t>
      </w:r>
      <w:r w:rsidRPr="006A377C">
        <w:rPr>
          <w:b/>
          <w:szCs w:val="24"/>
        </w:rPr>
        <w:t xml:space="preserve"> </w:t>
      </w:r>
      <w:r w:rsidRPr="006A377C">
        <w:rPr>
          <w:szCs w:val="24"/>
        </w:rPr>
        <w:t xml:space="preserve">– уровень убедительности рекомендаций </w:t>
      </w:r>
    </w:p>
    <w:p w14:paraId="20734C1B" w14:textId="77777777" w:rsidR="00F20CFD" w:rsidRPr="006A377C" w:rsidRDefault="00F20CFD" w:rsidP="00EA7BF5">
      <w:pPr>
        <w:divId w:val="1423330498"/>
        <w:rPr>
          <w:szCs w:val="24"/>
        </w:rPr>
      </w:pPr>
      <w:r w:rsidRPr="006A377C">
        <w:rPr>
          <w:szCs w:val="24"/>
        </w:rPr>
        <w:t>ХТ – химиотерапия</w:t>
      </w:r>
    </w:p>
    <w:p w14:paraId="023B71D8" w14:textId="77777777" w:rsidR="00F20CFD" w:rsidRPr="006A377C" w:rsidRDefault="00F20CFD" w:rsidP="00EA7BF5">
      <w:pPr>
        <w:divId w:val="1423330498"/>
        <w:rPr>
          <w:szCs w:val="24"/>
        </w:rPr>
      </w:pPr>
      <w:r w:rsidRPr="006A377C">
        <w:rPr>
          <w:szCs w:val="24"/>
        </w:rPr>
        <w:t>ЦНС – центральная нервная система</w:t>
      </w:r>
    </w:p>
    <w:p w14:paraId="3D8B0A44" w14:textId="77777777" w:rsidR="00F20CFD" w:rsidRPr="006A377C" w:rsidRDefault="00F20CFD" w:rsidP="00EA7BF5">
      <w:pPr>
        <w:divId w:val="1423330498"/>
        <w:rPr>
          <w:szCs w:val="24"/>
        </w:rPr>
      </w:pPr>
      <w:r w:rsidRPr="006A377C">
        <w:rPr>
          <w:szCs w:val="24"/>
        </w:rPr>
        <w:t>ЦСА – циклоспорин А</w:t>
      </w:r>
    </w:p>
    <w:p w14:paraId="1A159F49" w14:textId="77777777" w:rsidR="00F20CFD" w:rsidRPr="006A377C" w:rsidRDefault="00F20CFD" w:rsidP="00EA7BF5">
      <w:pPr>
        <w:divId w:val="1423330498"/>
        <w:rPr>
          <w:szCs w:val="24"/>
        </w:rPr>
      </w:pPr>
      <w:r w:rsidRPr="006A377C">
        <w:rPr>
          <w:szCs w:val="24"/>
        </w:rPr>
        <w:t>ЧР – частичная ремиссия</w:t>
      </w:r>
    </w:p>
    <w:p w14:paraId="4A8C7010" w14:textId="77777777" w:rsidR="00F20CFD" w:rsidRPr="006A377C" w:rsidRDefault="00F20CFD" w:rsidP="00EA7BF5">
      <w:pPr>
        <w:divId w:val="1423330498"/>
        <w:rPr>
          <w:szCs w:val="24"/>
        </w:rPr>
      </w:pPr>
      <w:r w:rsidRPr="006A377C">
        <w:rPr>
          <w:szCs w:val="24"/>
        </w:rPr>
        <w:t>ЭБВ – вирус Эпштейна–Барр</w:t>
      </w:r>
    </w:p>
    <w:p w14:paraId="08B3E6AA" w14:textId="77777777" w:rsidR="00F20CFD" w:rsidRPr="006A377C" w:rsidRDefault="00F20CFD" w:rsidP="00EA7BF5">
      <w:pPr>
        <w:divId w:val="1423330498"/>
        <w:rPr>
          <w:szCs w:val="24"/>
        </w:rPr>
      </w:pPr>
      <w:r w:rsidRPr="006A377C">
        <w:rPr>
          <w:szCs w:val="24"/>
        </w:rPr>
        <w:t>ЭГДС – эзофагогастродуоденоскопия</w:t>
      </w:r>
    </w:p>
    <w:p w14:paraId="78A4BADB" w14:textId="77777777" w:rsidR="00F20CFD" w:rsidRPr="006A377C" w:rsidRDefault="00F20CFD" w:rsidP="00EA7BF5">
      <w:pPr>
        <w:divId w:val="1423330498"/>
        <w:rPr>
          <w:szCs w:val="24"/>
        </w:rPr>
      </w:pPr>
      <w:r w:rsidRPr="006A377C">
        <w:rPr>
          <w:szCs w:val="24"/>
        </w:rPr>
        <w:t>ЭКГ – электрокардиография</w:t>
      </w:r>
    </w:p>
    <w:p w14:paraId="62A15F1D" w14:textId="77777777" w:rsidR="00F20CFD" w:rsidRPr="006A377C" w:rsidRDefault="00F20CFD" w:rsidP="00EA7BF5">
      <w:pPr>
        <w:divId w:val="1423330498"/>
        <w:rPr>
          <w:szCs w:val="24"/>
        </w:rPr>
      </w:pPr>
      <w:r w:rsidRPr="006A377C">
        <w:rPr>
          <w:szCs w:val="24"/>
        </w:rPr>
        <w:t>ЭПО – эритропоэтин</w:t>
      </w:r>
    </w:p>
    <w:p w14:paraId="63CAC99A" w14:textId="77777777" w:rsidR="00F20CFD" w:rsidRPr="006A377C" w:rsidRDefault="00F20CFD" w:rsidP="00EA7BF5">
      <w:pPr>
        <w:divId w:val="1423330498"/>
        <w:rPr>
          <w:szCs w:val="24"/>
        </w:rPr>
      </w:pPr>
      <w:r w:rsidRPr="006A377C">
        <w:rPr>
          <w:szCs w:val="24"/>
        </w:rPr>
        <w:t>ЭПСП – эритропоэзстимулирующие препараты</w:t>
      </w:r>
    </w:p>
    <w:p w14:paraId="75A512A0" w14:textId="77777777" w:rsidR="00F20CFD" w:rsidRPr="006A377C" w:rsidRDefault="00F20CFD" w:rsidP="00EA7BF5">
      <w:pPr>
        <w:divId w:val="1423330498"/>
        <w:rPr>
          <w:szCs w:val="24"/>
        </w:rPr>
      </w:pPr>
      <w:r w:rsidRPr="006A377C">
        <w:rPr>
          <w:szCs w:val="24"/>
        </w:rPr>
        <w:t>ЭхоКГ – эхокардиография</w:t>
      </w:r>
    </w:p>
    <w:p w14:paraId="58C883BA" w14:textId="77777777" w:rsidR="00F20CFD" w:rsidRPr="006A377C" w:rsidRDefault="00F20CFD" w:rsidP="00EA7BF5">
      <w:pPr>
        <w:divId w:val="1423330498"/>
        <w:rPr>
          <w:szCs w:val="24"/>
        </w:rPr>
      </w:pPr>
      <w:r w:rsidRPr="006A377C">
        <w:rPr>
          <w:szCs w:val="24"/>
          <w:lang w:val="en-US"/>
        </w:rPr>
        <w:t>EBMT</w:t>
      </w:r>
      <w:r w:rsidRPr="006A377C">
        <w:rPr>
          <w:szCs w:val="24"/>
        </w:rPr>
        <w:t xml:space="preserve"> – Европейское общество по трансплантации крови и костного мозга</w:t>
      </w:r>
    </w:p>
    <w:p w14:paraId="1F725D4D" w14:textId="77777777" w:rsidR="00F20CFD" w:rsidRPr="006A377C" w:rsidRDefault="00F20CFD" w:rsidP="00EA7BF5">
      <w:pPr>
        <w:divId w:val="1423330498"/>
        <w:rPr>
          <w:szCs w:val="24"/>
        </w:rPr>
      </w:pPr>
      <w:r w:rsidRPr="006A377C">
        <w:rPr>
          <w:szCs w:val="24"/>
        </w:rPr>
        <w:t>FISH – флюоресцентная in situ гибридизация</w:t>
      </w:r>
    </w:p>
    <w:p w14:paraId="01720794" w14:textId="77777777" w:rsidR="00F20CFD" w:rsidRPr="006A377C" w:rsidRDefault="00F20CFD" w:rsidP="00EA7BF5">
      <w:pPr>
        <w:divId w:val="1423330498"/>
        <w:rPr>
          <w:szCs w:val="24"/>
        </w:rPr>
      </w:pPr>
      <w:r w:rsidRPr="006A377C">
        <w:rPr>
          <w:szCs w:val="24"/>
        </w:rPr>
        <w:t>Н</w:t>
      </w:r>
      <w:r w:rsidRPr="006A377C">
        <w:rPr>
          <w:szCs w:val="24"/>
          <w:lang w:val="en-US"/>
        </w:rPr>
        <w:t>b</w:t>
      </w:r>
      <w:r w:rsidRPr="006A377C">
        <w:rPr>
          <w:szCs w:val="24"/>
        </w:rPr>
        <w:t xml:space="preserve"> – гемоглобин</w:t>
      </w:r>
    </w:p>
    <w:p w14:paraId="0E995983" w14:textId="77777777" w:rsidR="00F20CFD" w:rsidRPr="006A377C" w:rsidRDefault="00F20CFD" w:rsidP="00EA7BF5">
      <w:pPr>
        <w:divId w:val="1423330498"/>
        <w:rPr>
          <w:szCs w:val="24"/>
        </w:rPr>
      </w:pPr>
      <w:r w:rsidRPr="006A377C">
        <w:rPr>
          <w:szCs w:val="24"/>
          <w:lang w:val="en-US"/>
        </w:rPr>
        <w:t>IBMTR</w:t>
      </w:r>
      <w:r w:rsidRPr="006A377C">
        <w:rPr>
          <w:szCs w:val="24"/>
        </w:rPr>
        <w:t xml:space="preserve"> – Международная база данных регистров по трансплантации костного мозга</w:t>
      </w:r>
    </w:p>
    <w:p w14:paraId="2C0BB888" w14:textId="77777777" w:rsidR="00F20CFD" w:rsidRPr="006A377C" w:rsidRDefault="00F20CFD" w:rsidP="00EA7BF5">
      <w:pPr>
        <w:divId w:val="1423330498"/>
        <w:rPr>
          <w:szCs w:val="24"/>
        </w:rPr>
      </w:pPr>
      <w:r w:rsidRPr="006A377C">
        <w:rPr>
          <w:szCs w:val="24"/>
          <w:lang w:val="en-US"/>
        </w:rPr>
        <w:lastRenderedPageBreak/>
        <w:t>IPSS</w:t>
      </w:r>
      <w:r w:rsidRPr="006A377C">
        <w:rPr>
          <w:szCs w:val="24"/>
        </w:rPr>
        <w:t xml:space="preserve"> – интернациональная прогностическая шкала</w:t>
      </w:r>
    </w:p>
    <w:p w14:paraId="58B2F263" w14:textId="77777777" w:rsidR="00F20CFD" w:rsidRPr="006A377C" w:rsidRDefault="00F20CFD" w:rsidP="00EA7BF5">
      <w:pPr>
        <w:divId w:val="1423330498"/>
        <w:rPr>
          <w:szCs w:val="24"/>
        </w:rPr>
      </w:pPr>
      <w:r w:rsidRPr="006A377C">
        <w:rPr>
          <w:szCs w:val="24"/>
          <w:lang w:val="en-US"/>
        </w:rPr>
        <w:t>IPSS</w:t>
      </w:r>
      <w:r w:rsidRPr="006A377C">
        <w:rPr>
          <w:szCs w:val="24"/>
        </w:rPr>
        <w:t>-</w:t>
      </w:r>
      <w:r w:rsidRPr="006A377C">
        <w:rPr>
          <w:szCs w:val="24"/>
          <w:lang w:val="en-US"/>
        </w:rPr>
        <w:t>R</w:t>
      </w:r>
      <w:r w:rsidRPr="006A377C">
        <w:rPr>
          <w:szCs w:val="24"/>
        </w:rPr>
        <w:t xml:space="preserve"> – пересмотренная интернациональная прогностическая шкала</w:t>
      </w:r>
    </w:p>
    <w:p w14:paraId="6409B244" w14:textId="77777777" w:rsidR="00F20CFD" w:rsidRPr="006A377C" w:rsidRDefault="00F20CFD" w:rsidP="00EA7BF5">
      <w:pPr>
        <w:divId w:val="1423330498"/>
        <w:rPr>
          <w:szCs w:val="24"/>
        </w:rPr>
      </w:pPr>
      <w:r w:rsidRPr="006A377C">
        <w:rPr>
          <w:szCs w:val="24"/>
          <w:lang w:val="en-US"/>
        </w:rPr>
        <w:t>MDS</w:t>
      </w:r>
      <w:r w:rsidRPr="006A377C">
        <w:rPr>
          <w:szCs w:val="24"/>
        </w:rPr>
        <w:t>-</w:t>
      </w:r>
      <w:r w:rsidRPr="006A377C">
        <w:rPr>
          <w:szCs w:val="24"/>
          <w:lang w:val="en-US"/>
        </w:rPr>
        <w:t>CI</w:t>
      </w:r>
      <w:r w:rsidRPr="006A377C">
        <w:rPr>
          <w:szCs w:val="24"/>
        </w:rPr>
        <w:t xml:space="preserve"> – специфичный индекс коморбидности</w:t>
      </w:r>
    </w:p>
    <w:p w14:paraId="6308CB3E" w14:textId="77777777" w:rsidR="00F20CFD" w:rsidRPr="006A377C" w:rsidRDefault="00F20CFD" w:rsidP="00EA7BF5">
      <w:pPr>
        <w:divId w:val="1423330498"/>
        <w:rPr>
          <w:szCs w:val="24"/>
        </w:rPr>
      </w:pPr>
      <w:r w:rsidRPr="006A377C">
        <w:rPr>
          <w:szCs w:val="24"/>
        </w:rPr>
        <w:t>NCCN – Национальная общественная противораковая сеть</w:t>
      </w:r>
    </w:p>
    <w:p w14:paraId="636A02FB" w14:textId="77777777" w:rsidR="00F20CFD" w:rsidRPr="006A377C" w:rsidRDefault="00F20CFD" w:rsidP="00EA7BF5">
      <w:pPr>
        <w:divId w:val="1423330498"/>
        <w:rPr>
          <w:szCs w:val="24"/>
        </w:rPr>
      </w:pPr>
      <w:r w:rsidRPr="006A377C">
        <w:rPr>
          <w:szCs w:val="24"/>
          <w:lang w:val="en-US"/>
        </w:rPr>
        <w:t>WPSS</w:t>
      </w:r>
      <w:r w:rsidRPr="006A377C">
        <w:rPr>
          <w:szCs w:val="24"/>
        </w:rPr>
        <w:t xml:space="preserve"> – прогностическая шкала, основанная на ВОЗ классификации</w:t>
      </w:r>
    </w:p>
    <w:p w14:paraId="750141E1" w14:textId="77777777" w:rsidR="00F20CFD" w:rsidRPr="006A377C" w:rsidRDefault="00F20CFD" w:rsidP="00647454">
      <w:pPr>
        <w:divId w:val="1423330498"/>
        <w:rPr>
          <w:rFonts w:eastAsia="GalsLightC"/>
          <w:szCs w:val="24"/>
        </w:rPr>
      </w:pPr>
      <w:r w:rsidRPr="006A377C">
        <w:rPr>
          <w:rFonts w:eastAsia="GalsLightC"/>
          <w:szCs w:val="24"/>
        </w:rPr>
        <w:t>** – жизненно необходимые и важнейшие лекарственные препараты</w:t>
      </w:r>
    </w:p>
    <w:p w14:paraId="4C4947C1" w14:textId="77777777" w:rsidR="00F20CFD" w:rsidRPr="006A377C" w:rsidRDefault="00F20CFD" w:rsidP="00647454">
      <w:pPr>
        <w:divId w:val="1423330498"/>
        <w:rPr>
          <w:rFonts w:eastAsia="GalsLightC"/>
          <w:szCs w:val="24"/>
        </w:rPr>
      </w:pPr>
      <w:r w:rsidRPr="006A377C">
        <w:rPr>
          <w:rFonts w:eastAsia="GalsLightC"/>
          <w:szCs w:val="24"/>
        </w:rPr>
        <w:t># – препарат, применяющийся не в</w:t>
      </w:r>
      <w:r w:rsidRPr="006A377C">
        <w:rPr>
          <w:szCs w:val="24"/>
        </w:rPr>
        <w:t xml:space="preserve"> соответствии с показаниями к применению и противопоказаниями, способами применения и дозами, содержащимися в инструкции по применению лекарственного препарата</w:t>
      </w:r>
      <w:r w:rsidRPr="006A377C">
        <w:rPr>
          <w:rFonts w:eastAsia="GalsLightC"/>
          <w:szCs w:val="24"/>
        </w:rPr>
        <w:t xml:space="preserve"> (офф-лейбл)</w:t>
      </w:r>
    </w:p>
    <w:p w14:paraId="32528A0F" w14:textId="77777777" w:rsidR="00F20CFD" w:rsidRPr="006A377C" w:rsidRDefault="00F20CFD" w:rsidP="00EA7BF5">
      <w:pPr>
        <w:divId w:val="1423330498"/>
        <w:rPr>
          <w:szCs w:val="24"/>
        </w:rPr>
      </w:pPr>
    </w:p>
    <w:p w14:paraId="23873E36" w14:textId="77777777" w:rsidR="00F20CFD" w:rsidRDefault="00F20CFD" w:rsidP="007626C2"/>
    <w:p w14:paraId="166A7284" w14:textId="77777777" w:rsidR="00F20CFD" w:rsidRDefault="00F20CFD" w:rsidP="007626C2"/>
    <w:p w14:paraId="0CB7DDB7" w14:textId="77777777" w:rsidR="00F20CFD" w:rsidRDefault="00F20CFD" w:rsidP="007626C2"/>
    <w:p w14:paraId="04C16BF5" w14:textId="77777777" w:rsidR="00F20CFD" w:rsidRDefault="00F20CFD" w:rsidP="007626C2"/>
    <w:p w14:paraId="0B574B82" w14:textId="77777777" w:rsidR="00F20CFD" w:rsidRDefault="00F20CFD" w:rsidP="007626C2"/>
    <w:p w14:paraId="2EF861DD" w14:textId="77777777" w:rsidR="00F20CFD" w:rsidRPr="00C413F9" w:rsidRDefault="008834A3" w:rsidP="007626C2">
      <w:pPr>
        <w:pStyle w:val="2"/>
        <w:ind w:firstLine="0"/>
        <w:jc w:val="center"/>
        <w:rPr>
          <w:sz w:val="28"/>
          <w:szCs w:val="28"/>
          <w:u w:val="none"/>
        </w:rPr>
      </w:pPr>
      <w:r>
        <w:rPr>
          <w:sz w:val="28"/>
          <w:szCs w:val="28"/>
          <w:u w:val="none"/>
        </w:rPr>
        <w:br w:type="page"/>
      </w:r>
      <w:bookmarkStart w:id="2" w:name="_Toc65104077"/>
      <w:r w:rsidR="00F20CFD" w:rsidRPr="00C413F9">
        <w:rPr>
          <w:sz w:val="28"/>
          <w:szCs w:val="28"/>
          <w:u w:val="none"/>
        </w:rPr>
        <w:lastRenderedPageBreak/>
        <w:t>Термины и определения</w:t>
      </w:r>
      <w:bookmarkEnd w:id="2"/>
    </w:p>
    <w:p w14:paraId="09CF3880" w14:textId="77777777" w:rsidR="0058252D" w:rsidRPr="00BA0B85" w:rsidRDefault="00EE1DD1">
      <w:pPr>
        <w:ind w:firstLine="709"/>
        <w:rPr>
          <w:szCs w:val="24"/>
        </w:rPr>
      </w:pPr>
      <w:r w:rsidRPr="007626C2">
        <w:rPr>
          <w:b/>
          <w:bCs/>
          <w:szCs w:val="24"/>
        </w:rPr>
        <w:t>Анемический синдром</w:t>
      </w:r>
      <w:r w:rsidRPr="00BA0B85">
        <w:rPr>
          <w:szCs w:val="24"/>
        </w:rPr>
        <w:t xml:space="preserve"> – анемические жалобы (слабость, головокружение, одышка при физической нагрузке, сердцебиение) могут быть разной степени выраженности и встречаются в 80–90% случаев МДС.</w:t>
      </w:r>
    </w:p>
    <w:p w14:paraId="6DB7387A" w14:textId="77777777" w:rsidR="0058252D" w:rsidRPr="00BA0B85" w:rsidRDefault="0058252D">
      <w:pPr>
        <w:ind w:firstLine="709"/>
        <w:rPr>
          <w:szCs w:val="24"/>
        </w:rPr>
      </w:pPr>
      <w:r w:rsidRPr="007626C2">
        <w:rPr>
          <w:b/>
          <w:bCs/>
          <w:szCs w:val="24"/>
        </w:rPr>
        <w:t>В-симптомы</w:t>
      </w:r>
      <w:r w:rsidRPr="007626C2">
        <w:rPr>
          <w:szCs w:val="24"/>
        </w:rPr>
        <w:t xml:space="preserve"> – </w:t>
      </w:r>
      <w:r w:rsidRPr="00BA0B85">
        <w:rPr>
          <w:szCs w:val="24"/>
        </w:rPr>
        <w:t>снижение массы тела, субфебрилитет в вечернее время, потливость</w:t>
      </w:r>
    </w:p>
    <w:p w14:paraId="28FE8015" w14:textId="77777777" w:rsidR="00EE1DD1" w:rsidRPr="00BA0B85" w:rsidRDefault="00EE1DD1" w:rsidP="00EE1DD1">
      <w:pPr>
        <w:ind w:firstLine="709"/>
        <w:rPr>
          <w:szCs w:val="24"/>
        </w:rPr>
      </w:pPr>
      <w:r w:rsidRPr="007626C2">
        <w:rPr>
          <w:b/>
          <w:bCs/>
          <w:szCs w:val="24"/>
        </w:rPr>
        <w:t>Геморрагический синдром</w:t>
      </w:r>
      <w:r w:rsidRPr="007626C2">
        <w:rPr>
          <w:szCs w:val="24"/>
        </w:rPr>
        <w:t xml:space="preserve"> –</w:t>
      </w:r>
      <w:r w:rsidRPr="00BA0B85">
        <w:rPr>
          <w:szCs w:val="24"/>
        </w:rPr>
        <w:t xml:space="preserve"> клинически значимая тромбоцитопения в анализах крови отмечена в 25</w:t>
      </w:r>
      <w:r w:rsidRPr="007626C2">
        <w:rPr>
          <w:szCs w:val="24"/>
        </w:rPr>
        <w:t>–</w:t>
      </w:r>
      <w:r w:rsidRPr="00BA0B85">
        <w:rPr>
          <w:szCs w:val="24"/>
        </w:rPr>
        <w:t>70% случаев, геморрагические проявления в дебюте заболевания отмечены в 15</w:t>
      </w:r>
      <w:r w:rsidRPr="007626C2">
        <w:rPr>
          <w:szCs w:val="24"/>
        </w:rPr>
        <w:t>–</w:t>
      </w:r>
      <w:r w:rsidRPr="00BA0B85">
        <w:rPr>
          <w:szCs w:val="24"/>
        </w:rPr>
        <w:t>30% (петехиальные высыпания на коже и слизистых, носовые, десневые, маточные, почечные и желудочно-кишечные кровотечения, кровоизлияния в склеры и головной мозг) и отражают не только степень тромбоцитопении, но и тромбоцитопатии.</w:t>
      </w:r>
    </w:p>
    <w:p w14:paraId="46845E80" w14:textId="77777777" w:rsidR="00EE1DD1" w:rsidRPr="002630A6" w:rsidRDefault="00EE1DD1">
      <w:pPr>
        <w:ind w:firstLine="709"/>
        <w:rPr>
          <w:bCs/>
          <w:szCs w:val="24"/>
        </w:rPr>
      </w:pPr>
      <w:r w:rsidRPr="007626C2">
        <w:rPr>
          <w:b/>
          <w:szCs w:val="24"/>
        </w:rPr>
        <w:t>Дисплазия</w:t>
      </w:r>
      <w:r w:rsidRPr="00BA0B85">
        <w:rPr>
          <w:bCs/>
          <w:szCs w:val="24"/>
        </w:rPr>
        <w:t xml:space="preserve"> (от греч. δυσ dys – нарушение и πλάθω plaseo – образую) – морфологические отклонения от нормального развития, выявляемые на всех уровнях от клетки до тканей, органов и отдельных частей тела. Под дисмиелопоэзом подразумевают любые количественные и качественные нарушения, которые определяются в гемопоэтических клетках и кроветворной ткани костного мозга. При дифференцированном подсчете миелокариоцитов в миелограмме необходимо исследовать не менее 500 ядросодержащих клеток костного мозга, при подсчете лейкоцитов в периферической крови – не менее 200. Диагностически значимой дисплазией считается ситуация, когда доля клеток с признаками дисплазии превышает 10% от 100 подсчитанных эритрокариоцитов, 100 гранулоцитов и не менее 30 мегакариоцитов.</w:t>
      </w:r>
    </w:p>
    <w:p w14:paraId="5F2A292B" w14:textId="77777777" w:rsidR="00EE1DD1" w:rsidRPr="002630A6" w:rsidRDefault="00EE1DD1">
      <w:pPr>
        <w:ind w:firstLine="709"/>
        <w:rPr>
          <w:bCs/>
          <w:szCs w:val="24"/>
        </w:rPr>
      </w:pPr>
      <w:r w:rsidRPr="007626C2">
        <w:rPr>
          <w:b/>
          <w:szCs w:val="24"/>
        </w:rPr>
        <w:t>Иммуносупрессивная терапия (ИСТ)</w:t>
      </w:r>
      <w:r w:rsidRPr="00BA0B85">
        <w:rPr>
          <w:bCs/>
          <w:szCs w:val="24"/>
        </w:rPr>
        <w:t xml:space="preserve"> – комплекс лечебных мероприятий, проводимых поэтапно в течение года и более, включающий циклоспорин (ЦСА), антитимоцитарный глобулин (АТГ) и другие методы ИСТ, позволяющий добиться максимально положительного эффекта и длительной выживаемости пациентов с гипопластичными формами МДС.</w:t>
      </w:r>
    </w:p>
    <w:p w14:paraId="6F7A3A33" w14:textId="77777777" w:rsidR="00EE1DD1" w:rsidRPr="00BA0B85" w:rsidRDefault="00EE1DD1" w:rsidP="00EE1DD1">
      <w:pPr>
        <w:ind w:firstLine="709"/>
        <w:rPr>
          <w:szCs w:val="24"/>
        </w:rPr>
      </w:pPr>
      <w:r w:rsidRPr="007626C2">
        <w:rPr>
          <w:b/>
          <w:bCs/>
          <w:szCs w:val="24"/>
        </w:rPr>
        <w:t>Инфекционные осложнения</w:t>
      </w:r>
      <w:r w:rsidRPr="007626C2">
        <w:rPr>
          <w:szCs w:val="24"/>
        </w:rPr>
        <w:t xml:space="preserve"> </w:t>
      </w:r>
      <w:r w:rsidRPr="00BA0B85">
        <w:rPr>
          <w:szCs w:val="24"/>
        </w:rPr>
        <w:t>– увеличение частоты инфекционных осложнений (10</w:t>
      </w:r>
      <w:r w:rsidRPr="007626C2">
        <w:rPr>
          <w:szCs w:val="24"/>
        </w:rPr>
        <w:t>–</w:t>
      </w:r>
      <w:r w:rsidRPr="00BA0B85">
        <w:rPr>
          <w:szCs w:val="24"/>
        </w:rPr>
        <w:t>40%) обусловлено нейтропенией и дисфункцией гранулоцитов, которая проявляется нарушением фагоцитарной адгезии, хемотаксисом. Наиболее частыми из инфекционных проявлений являются бактериальные пневмонии, абсцессы кожи и оппортунистические инфекции, включая вирусные, пневмоцистные, микобактериальные.</w:t>
      </w:r>
    </w:p>
    <w:p w14:paraId="3F179FBA" w14:textId="77777777" w:rsidR="00EE1DD1" w:rsidRDefault="00EE1DD1" w:rsidP="00EE1DD1">
      <w:pPr>
        <w:ind w:firstLine="709"/>
        <w:rPr>
          <w:bCs/>
          <w:szCs w:val="24"/>
        </w:rPr>
      </w:pPr>
      <w:r w:rsidRPr="007626C2">
        <w:rPr>
          <w:b/>
          <w:szCs w:val="24"/>
        </w:rPr>
        <w:t>Костномозговая ремиссия</w:t>
      </w:r>
      <w:r w:rsidRPr="00BA0B85">
        <w:rPr>
          <w:bCs/>
          <w:szCs w:val="24"/>
        </w:rPr>
        <w:t xml:space="preserve"> – снижение бластных клеток в костном мозге 5% и менее, и это снижение более чем на 50% от исходных значений, при этом в периферической крови нет полного восстановления показателей гемограммы.</w:t>
      </w:r>
    </w:p>
    <w:p w14:paraId="08577D50" w14:textId="77777777" w:rsidR="00FA5F54" w:rsidRDefault="00FA5F54" w:rsidP="00FA5F54">
      <w:pPr>
        <w:ind w:firstLine="709"/>
        <w:rPr>
          <w:bCs/>
          <w:szCs w:val="24"/>
        </w:rPr>
      </w:pPr>
      <w:r w:rsidRPr="007626C2">
        <w:rPr>
          <w:b/>
          <w:szCs w:val="24"/>
        </w:rPr>
        <w:t>Миелодиспластически</w:t>
      </w:r>
      <w:r>
        <w:rPr>
          <w:b/>
          <w:szCs w:val="24"/>
        </w:rPr>
        <w:t>й</w:t>
      </w:r>
      <w:r w:rsidRPr="007626C2">
        <w:rPr>
          <w:b/>
          <w:szCs w:val="24"/>
        </w:rPr>
        <w:t xml:space="preserve"> синдром (МДС)</w:t>
      </w:r>
      <w:r w:rsidRPr="00BA0B85">
        <w:rPr>
          <w:bCs/>
          <w:szCs w:val="24"/>
        </w:rPr>
        <w:t xml:space="preserve"> – гетерогенная группа клональных заболеваний системы крови, возникающих вследствие мутации гемопоэтической стволовой </w:t>
      </w:r>
      <w:r w:rsidRPr="00BA0B85">
        <w:rPr>
          <w:bCs/>
          <w:szCs w:val="24"/>
        </w:rPr>
        <w:lastRenderedPageBreak/>
        <w:t xml:space="preserve">клетки и характеризующихся цитопенией, </w:t>
      </w:r>
      <w:r w:rsidR="008C65B1">
        <w:rPr>
          <w:bCs/>
          <w:szCs w:val="24"/>
        </w:rPr>
        <w:t>как результат</w:t>
      </w:r>
      <w:r w:rsidR="00C22485">
        <w:rPr>
          <w:bCs/>
          <w:szCs w:val="24"/>
        </w:rPr>
        <w:t xml:space="preserve"> неэффективного гемопоэза, </w:t>
      </w:r>
      <w:r w:rsidRPr="00BA0B85">
        <w:rPr>
          <w:bCs/>
          <w:szCs w:val="24"/>
        </w:rPr>
        <w:t>признаками дисмиелопоэза и высоким риском трансформации в острый лейкоз (</w:t>
      </w:r>
      <w:r>
        <w:rPr>
          <w:bCs/>
          <w:szCs w:val="24"/>
        </w:rPr>
        <w:t>ОЛ).</w:t>
      </w:r>
    </w:p>
    <w:p w14:paraId="1F6F1844" w14:textId="77777777" w:rsidR="00C11DE9" w:rsidRPr="00BA0B85" w:rsidRDefault="00C11DE9" w:rsidP="00C11DE9">
      <w:pPr>
        <w:ind w:firstLine="709"/>
        <w:rPr>
          <w:bCs/>
          <w:szCs w:val="24"/>
        </w:rPr>
      </w:pPr>
      <w:r>
        <w:rPr>
          <w:b/>
          <w:szCs w:val="24"/>
        </w:rPr>
        <w:t xml:space="preserve">МДС с линейной ( однолинейной) дисплазией –вариант МДС, </w:t>
      </w:r>
      <w:r w:rsidRPr="00BA0B85">
        <w:rPr>
          <w:bCs/>
          <w:szCs w:val="24"/>
        </w:rPr>
        <w:t xml:space="preserve"> для которого характерна</w:t>
      </w:r>
      <w:r w:rsidR="00652FCC">
        <w:rPr>
          <w:bCs/>
          <w:szCs w:val="24"/>
        </w:rPr>
        <w:t xml:space="preserve"> </w:t>
      </w:r>
      <w:r>
        <w:rPr>
          <w:bCs/>
          <w:szCs w:val="24"/>
        </w:rPr>
        <w:t xml:space="preserve">одно-двух ростковая цитопения, </w:t>
      </w:r>
      <w:r w:rsidRPr="00BA0B85">
        <w:rPr>
          <w:bCs/>
          <w:szCs w:val="24"/>
        </w:rPr>
        <w:t>, без увеличения процента бластных клеток в периферической крови (&lt;1%) и костном мозге (&lt;5%), без увеличения кольцевых  сидеробластов и абсолютного моноцитоза в периферической крови, при этом дисплазия более чем в 10% клеток выявляется только в</w:t>
      </w:r>
      <w:r>
        <w:rPr>
          <w:bCs/>
          <w:szCs w:val="24"/>
        </w:rPr>
        <w:t xml:space="preserve"> 1 ростке кроветворения.</w:t>
      </w:r>
      <w:r w:rsidR="00FA5F54">
        <w:rPr>
          <w:bCs/>
          <w:szCs w:val="24"/>
        </w:rPr>
        <w:t xml:space="preserve"> Наиболее часто у этих пациентов ведущим симптомом является анемия.</w:t>
      </w:r>
      <w:r>
        <w:rPr>
          <w:bCs/>
          <w:szCs w:val="24"/>
        </w:rPr>
        <w:t xml:space="preserve">  </w:t>
      </w:r>
      <w:r w:rsidRPr="00BA0B85">
        <w:rPr>
          <w:bCs/>
          <w:szCs w:val="24"/>
        </w:rPr>
        <w:t xml:space="preserve"> </w:t>
      </w:r>
    </w:p>
    <w:p w14:paraId="0402B702" w14:textId="77777777" w:rsidR="00EE1DD1" w:rsidRPr="00BA0B85" w:rsidRDefault="00EE1DD1" w:rsidP="00EE1DD1">
      <w:pPr>
        <w:ind w:firstLine="709"/>
        <w:rPr>
          <w:bCs/>
          <w:szCs w:val="24"/>
        </w:rPr>
      </w:pPr>
      <w:r w:rsidRPr="007626C2">
        <w:rPr>
          <w:b/>
          <w:szCs w:val="24"/>
        </w:rPr>
        <w:t>МДС с кольцевыми сидеробластами (КС) и линейной</w:t>
      </w:r>
      <w:r w:rsidR="00113DB3" w:rsidRPr="00535CCC">
        <w:rPr>
          <w:b/>
          <w:szCs w:val="24"/>
        </w:rPr>
        <w:t xml:space="preserve"> (</w:t>
      </w:r>
      <w:r w:rsidR="00113DB3">
        <w:rPr>
          <w:b/>
          <w:szCs w:val="24"/>
        </w:rPr>
        <w:t xml:space="preserve">однолинейной) </w:t>
      </w:r>
      <w:r w:rsidRPr="007626C2">
        <w:rPr>
          <w:b/>
          <w:szCs w:val="24"/>
        </w:rPr>
        <w:t xml:space="preserve"> дисплазией</w:t>
      </w:r>
      <w:r w:rsidRPr="00BA0B85">
        <w:rPr>
          <w:bCs/>
          <w:szCs w:val="24"/>
        </w:rPr>
        <w:t xml:space="preserve"> – вариант МДС, для которого характерна анемия, чаще нормо- или макроцитарного характера; диагностически значимым является обнаружение кольцевых сидеробластов в костном мозге в 15% и более от клеток красного ряда, вне зависимости от наличия мутации гена </w:t>
      </w:r>
      <w:r w:rsidRPr="00BA0B85">
        <w:rPr>
          <w:bCs/>
          <w:i/>
          <w:szCs w:val="24"/>
          <w:lang w:val="en-US"/>
        </w:rPr>
        <w:t>SF</w:t>
      </w:r>
      <w:r w:rsidRPr="00BA0B85">
        <w:rPr>
          <w:bCs/>
          <w:i/>
          <w:szCs w:val="24"/>
        </w:rPr>
        <w:t xml:space="preserve">3B1, </w:t>
      </w:r>
      <w:r w:rsidRPr="00BA0B85">
        <w:rPr>
          <w:bCs/>
          <w:szCs w:val="24"/>
        </w:rPr>
        <w:t xml:space="preserve">а при ее наличии </w:t>
      </w:r>
      <w:r w:rsidR="00113DB3">
        <w:rPr>
          <w:bCs/>
          <w:szCs w:val="24"/>
        </w:rPr>
        <w:t xml:space="preserve">диагностически значимым является обнаружение </w:t>
      </w:r>
      <w:r w:rsidRPr="00BA0B85">
        <w:rPr>
          <w:bCs/>
          <w:szCs w:val="24"/>
        </w:rPr>
        <w:t>5</w:t>
      </w:r>
      <w:r w:rsidR="00113DB3">
        <w:rPr>
          <w:bCs/>
          <w:szCs w:val="24"/>
        </w:rPr>
        <w:t xml:space="preserve"> и более кольцевых сидеробластов</w:t>
      </w:r>
      <w:r w:rsidRPr="00BA0B85">
        <w:rPr>
          <w:bCs/>
          <w:szCs w:val="24"/>
        </w:rPr>
        <w:t>;</w:t>
      </w:r>
      <w:r w:rsidRPr="00BA0B85">
        <w:rPr>
          <w:bCs/>
          <w:i/>
          <w:szCs w:val="24"/>
        </w:rPr>
        <w:t xml:space="preserve"> </w:t>
      </w:r>
      <w:r w:rsidRPr="00BA0B85">
        <w:rPr>
          <w:bCs/>
          <w:szCs w:val="24"/>
        </w:rPr>
        <w:t>без увеличения процента бластных клеток в периферической крови (&lt;1%) и костном мозге (&lt;5%), без абсолютного моноцитоза в периферической крови, при этом дисплазия выявляется в клетках красного ряда более чем в 10%, в гранулоцитарном и мегакариоцитарном ростках – менее чем в 10%.</w:t>
      </w:r>
    </w:p>
    <w:p w14:paraId="77337415" w14:textId="77777777" w:rsidR="00EE1DD1" w:rsidRPr="00BA0B85" w:rsidRDefault="00EE1DD1" w:rsidP="00EE1DD1">
      <w:pPr>
        <w:ind w:firstLine="709"/>
        <w:rPr>
          <w:bCs/>
          <w:szCs w:val="24"/>
        </w:rPr>
      </w:pPr>
      <w:r w:rsidRPr="007626C2">
        <w:rPr>
          <w:b/>
          <w:szCs w:val="24"/>
        </w:rPr>
        <w:t>МДС с КС и мультилинейной дисплазией</w:t>
      </w:r>
      <w:r w:rsidRPr="00BA0B85">
        <w:rPr>
          <w:bCs/>
          <w:szCs w:val="24"/>
        </w:rPr>
        <w:t xml:space="preserve"> – вариант МДС, для которого характерна цитопения любой степени выраженности; диагностически значимым является обнаружение кольцевых сидеробластов в костном мозге в 15% и более от клеток красного ряда, вне зависимости от наличия мутации гена </w:t>
      </w:r>
      <w:r w:rsidRPr="00BA0B85">
        <w:rPr>
          <w:bCs/>
          <w:i/>
          <w:szCs w:val="24"/>
          <w:lang w:val="en-US"/>
        </w:rPr>
        <w:t>SF</w:t>
      </w:r>
      <w:r w:rsidRPr="00BA0B85">
        <w:rPr>
          <w:bCs/>
          <w:i/>
          <w:szCs w:val="24"/>
        </w:rPr>
        <w:t xml:space="preserve">3B1, </w:t>
      </w:r>
      <w:r w:rsidRPr="00BA0B85">
        <w:rPr>
          <w:bCs/>
          <w:szCs w:val="24"/>
        </w:rPr>
        <w:t>а при ее наличии</w:t>
      </w:r>
      <w:r w:rsidR="00113DB3" w:rsidRPr="00113DB3">
        <w:rPr>
          <w:bCs/>
          <w:szCs w:val="24"/>
        </w:rPr>
        <w:t xml:space="preserve"> </w:t>
      </w:r>
      <w:r w:rsidR="00113DB3">
        <w:rPr>
          <w:bCs/>
          <w:szCs w:val="24"/>
        </w:rPr>
        <w:t>диагностически значимым</w:t>
      </w:r>
      <w:r w:rsidRPr="00BA0B85">
        <w:rPr>
          <w:bCs/>
          <w:szCs w:val="24"/>
        </w:rPr>
        <w:t xml:space="preserve"> </w:t>
      </w:r>
      <w:r w:rsidR="00113DB3">
        <w:rPr>
          <w:bCs/>
          <w:szCs w:val="24"/>
        </w:rPr>
        <w:t xml:space="preserve">является обнаружение </w:t>
      </w:r>
      <w:r w:rsidRPr="00BA0B85">
        <w:rPr>
          <w:bCs/>
          <w:szCs w:val="24"/>
        </w:rPr>
        <w:t>5</w:t>
      </w:r>
      <w:r w:rsidR="00113DB3">
        <w:rPr>
          <w:bCs/>
          <w:szCs w:val="24"/>
        </w:rPr>
        <w:t>и более кольцевых сидеробластов</w:t>
      </w:r>
      <w:r w:rsidRPr="00BA0B85">
        <w:rPr>
          <w:bCs/>
          <w:szCs w:val="24"/>
        </w:rPr>
        <w:t>;</w:t>
      </w:r>
      <w:r w:rsidRPr="00BA0B85">
        <w:rPr>
          <w:bCs/>
          <w:i/>
          <w:szCs w:val="24"/>
        </w:rPr>
        <w:t xml:space="preserve"> </w:t>
      </w:r>
      <w:r w:rsidRPr="00BA0B85">
        <w:rPr>
          <w:bCs/>
          <w:szCs w:val="24"/>
        </w:rPr>
        <w:t>без увеличения процента бластных клеток в периферической крови (&lt;1%) и костном мозге (&lt;5%), без абсолютного моноцитоза в периферической крови, при этом дисплазия выявляется в клетках эритроидного, гранулоцитарного и/или мегакариоцитарного ростков более чем в 10%.</w:t>
      </w:r>
    </w:p>
    <w:p w14:paraId="0BF937DA" w14:textId="77777777" w:rsidR="00EE1DD1" w:rsidRPr="00BA0B85" w:rsidRDefault="00EE1DD1" w:rsidP="00EE1DD1">
      <w:pPr>
        <w:ind w:firstLine="709"/>
        <w:rPr>
          <w:bCs/>
          <w:szCs w:val="24"/>
        </w:rPr>
      </w:pPr>
      <w:r w:rsidRPr="007626C2">
        <w:rPr>
          <w:b/>
          <w:szCs w:val="24"/>
        </w:rPr>
        <w:t>МДС с мультилинейной (множественной) дисплазией</w:t>
      </w:r>
      <w:r w:rsidRPr="00BA0B85">
        <w:rPr>
          <w:bCs/>
          <w:szCs w:val="24"/>
        </w:rPr>
        <w:t xml:space="preserve"> – вариант МДС, для которого характерна цитопения любой степени выраженности, без увеличения процента бластных клеток в периферической крови (&lt;1%) и костном мозге (&lt;5%), без абсолютного моноцитоза в периферической крови, при этом дисплазия выявляется более чем в 10% клеток двух и более ростков кроветворения.</w:t>
      </w:r>
    </w:p>
    <w:p w14:paraId="72E06129" w14:textId="77777777" w:rsidR="00EE1DD1" w:rsidRPr="00BA0B85" w:rsidRDefault="00EE1DD1" w:rsidP="00EE1DD1">
      <w:pPr>
        <w:ind w:firstLine="709"/>
        <w:rPr>
          <w:bCs/>
          <w:szCs w:val="24"/>
        </w:rPr>
      </w:pPr>
      <w:r w:rsidRPr="007626C2">
        <w:rPr>
          <w:b/>
          <w:szCs w:val="24"/>
        </w:rPr>
        <w:t>МДС с избытком бластов-1</w:t>
      </w:r>
      <w:r w:rsidRPr="00BA0B85">
        <w:rPr>
          <w:bCs/>
          <w:szCs w:val="24"/>
        </w:rPr>
        <w:t xml:space="preserve"> – вариант МДС, для которого характерна цитопения любой степени выраженности без абсолютного моноцитоза, при этом бласты без палочек Ауэра в периферической крови составляют менее 5%, а в костном мозге – от 5,0 до 9,9%, </w:t>
      </w:r>
      <w:r w:rsidRPr="00BA0B85">
        <w:rPr>
          <w:bCs/>
          <w:szCs w:val="24"/>
        </w:rPr>
        <w:lastRenderedPageBreak/>
        <w:t xml:space="preserve">процент кольцевых сидеробластов может быть любой, вне зависимости от мутации гена </w:t>
      </w:r>
      <w:r w:rsidRPr="00BA0B85">
        <w:rPr>
          <w:bCs/>
          <w:i/>
          <w:szCs w:val="24"/>
          <w:lang w:val="en-US"/>
        </w:rPr>
        <w:t>SF</w:t>
      </w:r>
      <w:r w:rsidRPr="00BA0B85">
        <w:rPr>
          <w:bCs/>
          <w:i/>
          <w:szCs w:val="24"/>
        </w:rPr>
        <w:t>3</w:t>
      </w:r>
      <w:r w:rsidRPr="00BA0B85">
        <w:rPr>
          <w:bCs/>
          <w:i/>
          <w:szCs w:val="24"/>
          <w:lang w:val="en-US"/>
        </w:rPr>
        <w:t>B</w:t>
      </w:r>
      <w:r w:rsidRPr="00BA0B85">
        <w:rPr>
          <w:bCs/>
          <w:i/>
          <w:szCs w:val="24"/>
        </w:rPr>
        <w:t>1,</w:t>
      </w:r>
      <w:r w:rsidRPr="00BA0B85">
        <w:rPr>
          <w:bCs/>
          <w:szCs w:val="24"/>
        </w:rPr>
        <w:t xml:space="preserve"> так же, как и </w:t>
      </w:r>
      <w:r w:rsidR="00113DB3">
        <w:rPr>
          <w:bCs/>
          <w:szCs w:val="24"/>
        </w:rPr>
        <w:t xml:space="preserve"> </w:t>
      </w:r>
      <w:r w:rsidR="00C11DE9">
        <w:rPr>
          <w:bCs/>
          <w:szCs w:val="24"/>
        </w:rPr>
        <w:t>количество клеток с</w:t>
      </w:r>
      <w:r w:rsidR="00113DB3" w:rsidRPr="00BA0B85">
        <w:rPr>
          <w:bCs/>
          <w:szCs w:val="24"/>
        </w:rPr>
        <w:t xml:space="preserve"> </w:t>
      </w:r>
      <w:r w:rsidRPr="00BA0B85">
        <w:rPr>
          <w:bCs/>
          <w:szCs w:val="24"/>
        </w:rPr>
        <w:t>дисплази</w:t>
      </w:r>
      <w:r w:rsidR="00C11DE9">
        <w:rPr>
          <w:bCs/>
          <w:szCs w:val="24"/>
        </w:rPr>
        <w:t>ей</w:t>
      </w:r>
      <w:r w:rsidRPr="00BA0B85">
        <w:rPr>
          <w:bCs/>
          <w:szCs w:val="24"/>
        </w:rPr>
        <w:t>.</w:t>
      </w:r>
    </w:p>
    <w:p w14:paraId="24FC603A" w14:textId="77777777" w:rsidR="00EE1DD1" w:rsidRPr="00BA0B85" w:rsidRDefault="00EE1DD1" w:rsidP="00EE1DD1">
      <w:pPr>
        <w:ind w:firstLine="709"/>
        <w:rPr>
          <w:bCs/>
          <w:szCs w:val="24"/>
        </w:rPr>
      </w:pPr>
      <w:r w:rsidRPr="007626C2">
        <w:rPr>
          <w:b/>
          <w:szCs w:val="24"/>
        </w:rPr>
        <w:t>МДС с избытком бластов-2</w:t>
      </w:r>
      <w:r w:rsidRPr="00BA0B85">
        <w:rPr>
          <w:bCs/>
          <w:szCs w:val="24"/>
        </w:rPr>
        <w:t xml:space="preserve"> – вариант МДС, для которого характерна цитопения любой степени выраженности без абсолютного моноцитоза, при этом бласты, возможно с палочками Ауэра, в периферической крови составляют от 5 до 19,9%, в костном мозге – от 10 до 19,9%, процент кольцевых сидеробластов может быть любой, так же, как и </w:t>
      </w:r>
      <w:r w:rsidR="00C11DE9">
        <w:rPr>
          <w:bCs/>
          <w:szCs w:val="24"/>
        </w:rPr>
        <w:t xml:space="preserve">количество клеток с </w:t>
      </w:r>
      <w:r w:rsidRPr="00BA0B85">
        <w:rPr>
          <w:bCs/>
          <w:szCs w:val="24"/>
        </w:rPr>
        <w:t>дисплази</w:t>
      </w:r>
      <w:r w:rsidR="00C11DE9">
        <w:rPr>
          <w:bCs/>
          <w:szCs w:val="24"/>
        </w:rPr>
        <w:t>ей</w:t>
      </w:r>
      <w:r w:rsidRPr="00BA0B85">
        <w:rPr>
          <w:bCs/>
          <w:szCs w:val="24"/>
        </w:rPr>
        <w:t>. В случае, когда при МДС с избытком бластов-1 в бластных клетках выявляют палочки Ауэра, верифицируют диагноз МДС с избытком бластов-2.</w:t>
      </w:r>
    </w:p>
    <w:p w14:paraId="01044E24" w14:textId="77777777" w:rsidR="00EE1DD1" w:rsidRPr="00BA0B85" w:rsidRDefault="00EE1DD1" w:rsidP="00EE1DD1">
      <w:pPr>
        <w:ind w:firstLine="709"/>
        <w:rPr>
          <w:bCs/>
          <w:szCs w:val="24"/>
        </w:rPr>
      </w:pPr>
      <w:r w:rsidRPr="007626C2">
        <w:rPr>
          <w:b/>
          <w:szCs w:val="24"/>
        </w:rPr>
        <w:t>МДС с изолированной делецией (5q) (МДС-5</w:t>
      </w:r>
      <w:r w:rsidRPr="007626C2">
        <w:rPr>
          <w:b/>
          <w:szCs w:val="24"/>
          <w:lang w:val="en-US"/>
        </w:rPr>
        <w:t>q</w:t>
      </w:r>
      <w:r w:rsidR="00A366A9">
        <w:rPr>
          <w:b/>
          <w:szCs w:val="24"/>
        </w:rPr>
        <w:t>-</w:t>
      </w:r>
      <w:r w:rsidRPr="007626C2">
        <w:rPr>
          <w:b/>
          <w:szCs w:val="24"/>
        </w:rPr>
        <w:t>)</w:t>
      </w:r>
      <w:r w:rsidRPr="00BA0B85">
        <w:rPr>
          <w:bCs/>
          <w:szCs w:val="24"/>
        </w:rPr>
        <w:t xml:space="preserve"> – вариант МДС, для которого характерна анемия (Нв &lt;100 г/л), чаще макроцитарного характера, возможно в сочетании с нормальным или повышенным количеством тромбоцитов, без увеличения процента бластных клеток в периферической крови (&lt;1%) и костном мозге (&lt;5%), абсолютного моноцитоза в периферической крови, при этом дисплазия выявляется в клетках эритроидного ряда и мегакариоцитах, при цитогенетическом исследовании костного мозга определяется изолированная делеция (5q), или в сочетании с другой аномалией, за исключением 7-й хромосомы.</w:t>
      </w:r>
    </w:p>
    <w:p w14:paraId="1D366FFB" w14:textId="77777777" w:rsidR="00C77687" w:rsidRDefault="00EE1DD1">
      <w:pPr>
        <w:ind w:firstLine="709"/>
        <w:rPr>
          <w:bCs/>
          <w:szCs w:val="24"/>
        </w:rPr>
      </w:pPr>
      <w:r w:rsidRPr="007626C2">
        <w:rPr>
          <w:b/>
          <w:szCs w:val="24"/>
        </w:rPr>
        <w:t>МДС неклассифицируемый (МДС-Н)</w:t>
      </w:r>
      <w:r w:rsidR="00C77687">
        <w:rPr>
          <w:bCs/>
          <w:szCs w:val="24"/>
        </w:rPr>
        <w:t>:</w:t>
      </w:r>
    </w:p>
    <w:p w14:paraId="4C72ACCD" w14:textId="77777777" w:rsidR="00C77687" w:rsidRDefault="00EE1DD1" w:rsidP="005F2F2B">
      <w:pPr>
        <w:pStyle w:val="aff"/>
        <w:numPr>
          <w:ilvl w:val="0"/>
          <w:numId w:val="30"/>
        </w:numPr>
        <w:rPr>
          <w:bCs/>
          <w:szCs w:val="24"/>
        </w:rPr>
      </w:pPr>
      <w:r w:rsidRPr="00C77687">
        <w:rPr>
          <w:bCs/>
          <w:szCs w:val="24"/>
        </w:rPr>
        <w:t>вариант МДС</w:t>
      </w:r>
      <w:r w:rsidR="00C77687">
        <w:rPr>
          <w:bCs/>
          <w:szCs w:val="24"/>
        </w:rPr>
        <w:t>, с критериями МДС-ЛД</w:t>
      </w:r>
      <w:r w:rsidR="00652FCC">
        <w:rPr>
          <w:bCs/>
          <w:szCs w:val="24"/>
        </w:rPr>
        <w:t xml:space="preserve">, МДС-КС-ЛД, МДС-КС-МД, </w:t>
      </w:r>
      <w:r w:rsidR="00C77687">
        <w:rPr>
          <w:bCs/>
          <w:szCs w:val="24"/>
        </w:rPr>
        <w:t xml:space="preserve"> МДС-МД</w:t>
      </w:r>
      <w:r w:rsidR="00652FCC">
        <w:rPr>
          <w:bCs/>
          <w:szCs w:val="24"/>
        </w:rPr>
        <w:t xml:space="preserve"> и МДС-5</w:t>
      </w:r>
      <w:r w:rsidR="00652FCC">
        <w:rPr>
          <w:bCs/>
          <w:szCs w:val="24"/>
          <w:lang w:val="en-US"/>
        </w:rPr>
        <w:t>q</w:t>
      </w:r>
      <w:r w:rsidR="00A366A9">
        <w:rPr>
          <w:bCs/>
          <w:szCs w:val="24"/>
        </w:rPr>
        <w:t>-</w:t>
      </w:r>
      <w:r w:rsidR="00C77687">
        <w:rPr>
          <w:bCs/>
          <w:szCs w:val="24"/>
        </w:rPr>
        <w:t xml:space="preserve">, но </w:t>
      </w:r>
      <w:r w:rsidR="00535CCC">
        <w:rPr>
          <w:bCs/>
          <w:szCs w:val="24"/>
        </w:rPr>
        <w:t>с</w:t>
      </w:r>
      <w:r w:rsidR="00C77687">
        <w:rPr>
          <w:bCs/>
          <w:szCs w:val="24"/>
        </w:rPr>
        <w:t xml:space="preserve"> количество</w:t>
      </w:r>
      <w:r w:rsidR="00C22485">
        <w:rPr>
          <w:bCs/>
          <w:szCs w:val="24"/>
        </w:rPr>
        <w:t>м</w:t>
      </w:r>
      <w:r w:rsidR="00C77687">
        <w:rPr>
          <w:bCs/>
          <w:szCs w:val="24"/>
        </w:rPr>
        <w:t xml:space="preserve"> </w:t>
      </w:r>
      <w:r w:rsidRPr="00C77687">
        <w:rPr>
          <w:bCs/>
          <w:szCs w:val="24"/>
        </w:rPr>
        <w:t xml:space="preserve">бластных клеток в периферической крови </w:t>
      </w:r>
      <w:r w:rsidR="00C77687">
        <w:rPr>
          <w:bCs/>
          <w:szCs w:val="24"/>
        </w:rPr>
        <w:t>=</w:t>
      </w:r>
      <w:r w:rsidRPr="00C77687">
        <w:rPr>
          <w:bCs/>
          <w:szCs w:val="24"/>
        </w:rPr>
        <w:t>1%,</w:t>
      </w:r>
      <w:r w:rsidR="00C77687">
        <w:rPr>
          <w:bCs/>
          <w:szCs w:val="24"/>
        </w:rPr>
        <w:t xml:space="preserve"> при двух и более измерениях;</w:t>
      </w:r>
    </w:p>
    <w:p w14:paraId="665C17CA" w14:textId="77777777" w:rsidR="00C77687" w:rsidRDefault="00253C2C" w:rsidP="005F2F2B">
      <w:pPr>
        <w:pStyle w:val="aff"/>
        <w:numPr>
          <w:ilvl w:val="0"/>
          <w:numId w:val="30"/>
        </w:numPr>
        <w:rPr>
          <w:bCs/>
          <w:szCs w:val="24"/>
        </w:rPr>
      </w:pPr>
      <w:r>
        <w:rPr>
          <w:bCs/>
          <w:szCs w:val="24"/>
        </w:rPr>
        <w:t>в</w:t>
      </w:r>
      <w:r w:rsidR="00C77687">
        <w:rPr>
          <w:bCs/>
          <w:szCs w:val="24"/>
        </w:rPr>
        <w:t>ариант</w:t>
      </w:r>
      <w:r w:rsidR="00652FCC">
        <w:rPr>
          <w:bCs/>
          <w:szCs w:val="24"/>
        </w:rPr>
        <w:t>ы</w:t>
      </w:r>
      <w:r w:rsidR="00C77687">
        <w:rPr>
          <w:bCs/>
          <w:szCs w:val="24"/>
        </w:rPr>
        <w:t xml:space="preserve"> МДС</w:t>
      </w:r>
      <w:r w:rsidR="00652FCC">
        <w:rPr>
          <w:bCs/>
          <w:szCs w:val="24"/>
        </w:rPr>
        <w:t>-ЛД, МДС-КС-ЛД и МДС-5</w:t>
      </w:r>
      <w:r w:rsidR="00652FCC">
        <w:rPr>
          <w:bCs/>
          <w:szCs w:val="24"/>
          <w:lang w:val="en-US"/>
        </w:rPr>
        <w:t>q</w:t>
      </w:r>
      <w:r w:rsidR="00A366A9">
        <w:rPr>
          <w:bCs/>
          <w:szCs w:val="24"/>
        </w:rPr>
        <w:t>-</w:t>
      </w:r>
      <w:r w:rsidR="00C77687">
        <w:rPr>
          <w:bCs/>
          <w:szCs w:val="24"/>
        </w:rPr>
        <w:t>, при котор</w:t>
      </w:r>
      <w:r w:rsidR="00B67AAF">
        <w:rPr>
          <w:bCs/>
          <w:szCs w:val="24"/>
        </w:rPr>
        <w:t>ых</w:t>
      </w:r>
      <w:r w:rsidR="00C77687">
        <w:rPr>
          <w:bCs/>
          <w:szCs w:val="24"/>
        </w:rPr>
        <w:t xml:space="preserve"> выявля</w:t>
      </w:r>
      <w:r w:rsidR="00B67AAF">
        <w:rPr>
          <w:bCs/>
          <w:szCs w:val="24"/>
        </w:rPr>
        <w:t>ю</w:t>
      </w:r>
      <w:r w:rsidR="00C77687">
        <w:rPr>
          <w:bCs/>
          <w:szCs w:val="24"/>
        </w:rPr>
        <w:t xml:space="preserve">тся клинически значимая </w:t>
      </w:r>
      <w:r w:rsidR="00B67AAF">
        <w:rPr>
          <w:bCs/>
          <w:szCs w:val="24"/>
        </w:rPr>
        <w:t>пан</w:t>
      </w:r>
      <w:r w:rsidR="00C77687">
        <w:rPr>
          <w:bCs/>
          <w:szCs w:val="24"/>
        </w:rPr>
        <w:t>цитопения</w:t>
      </w:r>
      <w:r>
        <w:rPr>
          <w:bCs/>
          <w:szCs w:val="24"/>
        </w:rPr>
        <w:t>;</w:t>
      </w:r>
    </w:p>
    <w:p w14:paraId="76098456" w14:textId="77777777" w:rsidR="00EE1DD1" w:rsidRPr="00253C2C" w:rsidRDefault="00253C2C" w:rsidP="005F2F2B">
      <w:pPr>
        <w:pStyle w:val="aff"/>
        <w:numPr>
          <w:ilvl w:val="0"/>
          <w:numId w:val="30"/>
        </w:numPr>
        <w:rPr>
          <w:bCs/>
          <w:szCs w:val="24"/>
        </w:rPr>
      </w:pPr>
      <w:r>
        <w:rPr>
          <w:bCs/>
          <w:szCs w:val="24"/>
        </w:rPr>
        <w:t>вариант МДС, при котором выявляется клинически значимая цитопения</w:t>
      </w:r>
      <w:r w:rsidR="00B67AAF">
        <w:rPr>
          <w:bCs/>
          <w:szCs w:val="24"/>
        </w:rPr>
        <w:t xml:space="preserve"> с бластемией </w:t>
      </w:r>
      <w:r w:rsidR="00B67AAF" w:rsidRPr="00B118A2">
        <w:rPr>
          <w:bCs/>
          <w:szCs w:val="24"/>
        </w:rPr>
        <w:t>&lt;2%</w:t>
      </w:r>
      <w:r w:rsidR="00B67AAF" w:rsidRPr="00B67AAF">
        <w:rPr>
          <w:bCs/>
          <w:szCs w:val="24"/>
        </w:rPr>
        <w:t xml:space="preserve">, и бластными клетками </w:t>
      </w:r>
      <w:r w:rsidR="00B67AAF" w:rsidRPr="00B118A2">
        <w:rPr>
          <w:bCs/>
          <w:szCs w:val="24"/>
        </w:rPr>
        <w:t>&lt;5%</w:t>
      </w:r>
      <w:r w:rsidR="00B67AAF">
        <w:rPr>
          <w:bCs/>
          <w:szCs w:val="24"/>
        </w:rPr>
        <w:t xml:space="preserve"> в костном мозге</w:t>
      </w:r>
      <w:r>
        <w:rPr>
          <w:bCs/>
          <w:szCs w:val="24"/>
        </w:rPr>
        <w:t>, но</w:t>
      </w:r>
      <w:r w:rsidR="00EE1DD1" w:rsidRPr="00C77687">
        <w:rPr>
          <w:bCs/>
          <w:szCs w:val="24"/>
        </w:rPr>
        <w:t xml:space="preserve"> дисплазия выявляется менее чем в 10% клеток в </w:t>
      </w:r>
      <w:r w:rsidR="00B67AAF">
        <w:rPr>
          <w:bCs/>
          <w:szCs w:val="24"/>
        </w:rPr>
        <w:t xml:space="preserve">любого </w:t>
      </w:r>
      <w:r w:rsidR="00EE1DD1" w:rsidRPr="00C77687">
        <w:rPr>
          <w:bCs/>
          <w:szCs w:val="24"/>
        </w:rPr>
        <w:t xml:space="preserve"> ростка кроветворения, при этом обнаруживаются цитогенетические аномалии, патогномоничные для МДС.</w:t>
      </w:r>
    </w:p>
    <w:p w14:paraId="6626BCEB" w14:textId="77777777" w:rsidR="00EE1DD1" w:rsidRPr="00BA0B85" w:rsidRDefault="00EE1DD1" w:rsidP="00EE1DD1">
      <w:pPr>
        <w:ind w:firstLine="709"/>
        <w:rPr>
          <w:bCs/>
          <w:szCs w:val="24"/>
        </w:rPr>
      </w:pPr>
      <w:r w:rsidRPr="007626C2">
        <w:rPr>
          <w:b/>
          <w:szCs w:val="24"/>
        </w:rPr>
        <w:t>МДС низкого риска</w:t>
      </w:r>
      <w:r w:rsidRPr="00BA0B85">
        <w:rPr>
          <w:bCs/>
          <w:szCs w:val="24"/>
        </w:rPr>
        <w:t xml:space="preserve"> – группа</w:t>
      </w:r>
      <w:r w:rsidR="00535CCC">
        <w:rPr>
          <w:bCs/>
          <w:szCs w:val="24"/>
        </w:rPr>
        <w:t xml:space="preserve"> </w:t>
      </w:r>
      <w:r w:rsidR="00FA5F54">
        <w:rPr>
          <w:bCs/>
          <w:szCs w:val="24"/>
        </w:rPr>
        <w:t>пациентов</w:t>
      </w:r>
      <w:r w:rsidRPr="00BA0B85">
        <w:rPr>
          <w:bCs/>
          <w:szCs w:val="24"/>
        </w:rPr>
        <w:t xml:space="preserve">, у которых при подсчете прогностических индексов определена группа низкого риска и промежуточного-1 по шкале </w:t>
      </w:r>
      <w:r w:rsidRPr="00BA0B85">
        <w:rPr>
          <w:bCs/>
          <w:szCs w:val="24"/>
          <w:lang w:val="en-US"/>
        </w:rPr>
        <w:t>IPSS</w:t>
      </w:r>
      <w:r w:rsidRPr="00BA0B85">
        <w:rPr>
          <w:bCs/>
          <w:szCs w:val="24"/>
        </w:rPr>
        <w:t xml:space="preserve">, очень низкого, низкого и промежуточного риска по шкале </w:t>
      </w:r>
      <w:r w:rsidRPr="00BA0B85">
        <w:rPr>
          <w:bCs/>
          <w:szCs w:val="24"/>
          <w:lang w:val="en-US"/>
        </w:rPr>
        <w:t>IPSS</w:t>
      </w:r>
      <w:r w:rsidRPr="00BA0B85">
        <w:rPr>
          <w:bCs/>
          <w:szCs w:val="24"/>
        </w:rPr>
        <w:t>-</w:t>
      </w:r>
      <w:r w:rsidRPr="00BA0B85">
        <w:rPr>
          <w:bCs/>
          <w:szCs w:val="24"/>
          <w:lang w:val="en-US"/>
        </w:rPr>
        <w:t>R</w:t>
      </w:r>
      <w:r w:rsidRPr="00BA0B85">
        <w:rPr>
          <w:bCs/>
          <w:szCs w:val="24"/>
        </w:rPr>
        <w:t>.</w:t>
      </w:r>
    </w:p>
    <w:p w14:paraId="772A6FF0" w14:textId="77777777" w:rsidR="00EE1DD1" w:rsidRPr="00BA0B85" w:rsidRDefault="00EE1DD1">
      <w:pPr>
        <w:ind w:firstLine="709"/>
        <w:rPr>
          <w:bCs/>
          <w:szCs w:val="24"/>
        </w:rPr>
      </w:pPr>
      <w:r w:rsidRPr="007626C2">
        <w:rPr>
          <w:b/>
          <w:szCs w:val="24"/>
        </w:rPr>
        <w:t>МДС высокого риска</w:t>
      </w:r>
      <w:r w:rsidRPr="00BA0B85">
        <w:rPr>
          <w:bCs/>
          <w:szCs w:val="24"/>
        </w:rPr>
        <w:t xml:space="preserve"> – группа </w:t>
      </w:r>
      <w:r w:rsidR="00FA5F54">
        <w:rPr>
          <w:bCs/>
          <w:szCs w:val="24"/>
        </w:rPr>
        <w:t>пациентов</w:t>
      </w:r>
      <w:r w:rsidRPr="00BA0B85">
        <w:rPr>
          <w:bCs/>
          <w:szCs w:val="24"/>
        </w:rPr>
        <w:t>, у которых при подсчете прогностических индексов определена группа промежуточного-2 и высокого риска по шкале IPSS, промежуточного, высокого и очень высокого риска по шкале IPSS-R.</w:t>
      </w:r>
    </w:p>
    <w:p w14:paraId="321551F5" w14:textId="77777777" w:rsidR="00EE1DD1" w:rsidRPr="00BA0B85" w:rsidRDefault="00EE1DD1" w:rsidP="00EE1DD1">
      <w:pPr>
        <w:ind w:firstLine="709"/>
        <w:rPr>
          <w:bCs/>
          <w:szCs w:val="24"/>
        </w:rPr>
      </w:pPr>
      <w:r w:rsidRPr="007626C2">
        <w:rPr>
          <w:b/>
        </w:rPr>
        <w:t>Нейтрофильный ответ</w:t>
      </w:r>
      <w:r w:rsidRPr="00BA0B85">
        <w:rPr>
          <w:bCs/>
        </w:rPr>
        <w:t xml:space="preserve"> – увеличение числа нейтрофилов более чем на 100% от исходных значений.</w:t>
      </w:r>
    </w:p>
    <w:p w14:paraId="76F602EF" w14:textId="77777777" w:rsidR="00EE1DD1" w:rsidRPr="00BA0B85" w:rsidRDefault="00EE1DD1" w:rsidP="00EE1DD1">
      <w:pPr>
        <w:ind w:firstLine="709"/>
        <w:rPr>
          <w:bCs/>
          <w:szCs w:val="24"/>
        </w:rPr>
      </w:pPr>
      <w:r w:rsidRPr="007626C2">
        <w:rPr>
          <w:b/>
          <w:szCs w:val="24"/>
        </w:rPr>
        <w:t>Неудача лечения</w:t>
      </w:r>
      <w:r w:rsidRPr="00BA0B85">
        <w:rPr>
          <w:bCs/>
          <w:szCs w:val="24"/>
        </w:rPr>
        <w:t xml:space="preserve"> – летальный исход на фоне терапии или прогрессия заболевания.</w:t>
      </w:r>
    </w:p>
    <w:p w14:paraId="56DB9058" w14:textId="77777777" w:rsidR="00EE1DD1" w:rsidRPr="00BA0B85" w:rsidRDefault="00EE1DD1" w:rsidP="00EE1DD1">
      <w:pPr>
        <w:ind w:firstLine="709"/>
        <w:rPr>
          <w:bCs/>
          <w:szCs w:val="24"/>
        </w:rPr>
      </w:pPr>
      <w:r w:rsidRPr="007626C2">
        <w:rPr>
          <w:b/>
          <w:szCs w:val="24"/>
        </w:rPr>
        <w:lastRenderedPageBreak/>
        <w:t>Общая выживаемость (ОВ)</w:t>
      </w:r>
      <w:r w:rsidR="007626C2">
        <w:rPr>
          <w:bCs/>
          <w:szCs w:val="24"/>
        </w:rPr>
        <w:t xml:space="preserve"> – д</w:t>
      </w:r>
      <w:r w:rsidRPr="00BA0B85">
        <w:rPr>
          <w:bCs/>
          <w:szCs w:val="24"/>
        </w:rPr>
        <w:t>ля оценки ОВ анализируют временные параметры всех пациентов, включенных в исследование. Точкой отсчета является день начала терапии. Событием считается только смерть пациента от любой причины (ранняя летальность, смерть в период ремиссии от любой причины, смерть в период рецидива).</w:t>
      </w:r>
    </w:p>
    <w:p w14:paraId="403D742F" w14:textId="77777777" w:rsidR="00EE1DD1" w:rsidRPr="00BA0B85" w:rsidRDefault="00EE1DD1" w:rsidP="00EE1DD1">
      <w:pPr>
        <w:ind w:firstLine="709"/>
        <w:rPr>
          <w:bCs/>
          <w:szCs w:val="24"/>
        </w:rPr>
      </w:pPr>
      <w:r w:rsidRPr="007626C2">
        <w:rPr>
          <w:b/>
          <w:szCs w:val="24"/>
        </w:rPr>
        <w:t>Острый лейкоз (ОЛ)</w:t>
      </w:r>
      <w:r w:rsidRPr="00BA0B85">
        <w:rPr>
          <w:bCs/>
          <w:szCs w:val="24"/>
        </w:rPr>
        <w:t xml:space="preserve"> – гетерогенная группа клональных заболеваний системы крови, возникающих вследствие мутации гемопоэтической стволовой клетки (ГСК) и приводящих к увеличению бластных клеток более 20% в костном мозге и/или периферической крови. По направленности бластных клеток ОЛ разделяют на:</w:t>
      </w:r>
    </w:p>
    <w:p w14:paraId="109EFE5A" w14:textId="77777777" w:rsidR="00EE1DD1" w:rsidRPr="00BA0B85" w:rsidRDefault="00EE1DD1" w:rsidP="00EE1DD1">
      <w:pPr>
        <w:ind w:firstLine="709"/>
        <w:rPr>
          <w:bCs/>
          <w:szCs w:val="24"/>
        </w:rPr>
      </w:pPr>
      <w:r w:rsidRPr="007626C2">
        <w:rPr>
          <w:b/>
          <w:szCs w:val="24"/>
        </w:rPr>
        <w:t>Острый миелоидный лейкоз (ОМЛ)</w:t>
      </w:r>
      <w:r w:rsidRPr="00BA0B85">
        <w:rPr>
          <w:bCs/>
          <w:szCs w:val="24"/>
        </w:rPr>
        <w:t xml:space="preserve"> – миелоидная направленность бластных клеток.</w:t>
      </w:r>
    </w:p>
    <w:p w14:paraId="3E907CEA" w14:textId="77777777" w:rsidR="00EE1DD1" w:rsidRPr="00BA0B85" w:rsidRDefault="00EE1DD1" w:rsidP="00EE1DD1">
      <w:pPr>
        <w:ind w:firstLine="709"/>
        <w:rPr>
          <w:bCs/>
          <w:szCs w:val="24"/>
        </w:rPr>
      </w:pPr>
      <w:r w:rsidRPr="007626C2">
        <w:rPr>
          <w:b/>
          <w:szCs w:val="24"/>
        </w:rPr>
        <w:t>Острый лимфобластный лейкоз (ОЛЛ)</w:t>
      </w:r>
      <w:r w:rsidRPr="00BA0B85">
        <w:rPr>
          <w:bCs/>
          <w:szCs w:val="24"/>
        </w:rPr>
        <w:t xml:space="preserve"> – лимфоидная направленность бластных клеток.</w:t>
      </w:r>
    </w:p>
    <w:p w14:paraId="4814FC04" w14:textId="77777777" w:rsidR="00EE1DD1" w:rsidRPr="00BA0B85" w:rsidRDefault="00EE1DD1" w:rsidP="00EE1DD1">
      <w:pPr>
        <w:ind w:firstLine="709"/>
        <w:rPr>
          <w:bCs/>
          <w:szCs w:val="24"/>
        </w:rPr>
      </w:pPr>
      <w:r w:rsidRPr="007626C2">
        <w:rPr>
          <w:b/>
          <w:szCs w:val="24"/>
        </w:rPr>
        <w:t>Полная ремиссия (ПР)</w:t>
      </w:r>
      <w:r w:rsidRPr="00BA0B85">
        <w:rPr>
          <w:bCs/>
          <w:szCs w:val="24"/>
        </w:rPr>
        <w:t xml:space="preserve"> – состояние кроветворной ткани, при котором гемоглобин &gt;110,0 г/л, нейтрофилы ≥1,0×10</w:t>
      </w:r>
      <w:r w:rsidRPr="00BA0B85">
        <w:rPr>
          <w:bCs/>
          <w:szCs w:val="24"/>
          <w:vertAlign w:val="superscript"/>
        </w:rPr>
        <w:t>9</w:t>
      </w:r>
      <w:r w:rsidRPr="00BA0B85">
        <w:rPr>
          <w:bCs/>
          <w:szCs w:val="24"/>
        </w:rPr>
        <w:t>/л, бластные клетки отсутствуют, тромбоциты &gt;100,0×10</w:t>
      </w:r>
      <w:r w:rsidRPr="00BA0B85">
        <w:rPr>
          <w:bCs/>
          <w:szCs w:val="24"/>
          <w:vertAlign w:val="superscript"/>
        </w:rPr>
        <w:t>9</w:t>
      </w:r>
      <w:r w:rsidRPr="00BA0B85">
        <w:rPr>
          <w:bCs/>
          <w:szCs w:val="24"/>
        </w:rPr>
        <w:t>/л, бластные клетки в костном мозге &lt;5%, возможна персистирующая дисплазия.</w:t>
      </w:r>
    </w:p>
    <w:p w14:paraId="68150B94" w14:textId="77777777" w:rsidR="00EE1DD1" w:rsidRPr="00BA0B85" w:rsidRDefault="00EE1DD1">
      <w:pPr>
        <w:ind w:firstLine="709"/>
        <w:rPr>
          <w:bCs/>
          <w:szCs w:val="24"/>
        </w:rPr>
      </w:pPr>
      <w:r w:rsidRPr="007626C2">
        <w:rPr>
          <w:b/>
          <w:szCs w:val="24"/>
        </w:rPr>
        <w:t>Полихимиотерапия (ПХТ)</w:t>
      </w:r>
      <w:r w:rsidRPr="00BA0B85">
        <w:rPr>
          <w:bCs/>
          <w:szCs w:val="24"/>
        </w:rPr>
        <w:t xml:space="preserve"> – наиболее оправданное сочетание цитостатических препаратов, которое позволяет добиться максимально положительного эффекта, в частности ПР, при онкогематологических заболеваниях.</w:t>
      </w:r>
    </w:p>
    <w:p w14:paraId="0A6A1CB6" w14:textId="77777777" w:rsidR="00EE1DD1" w:rsidRPr="00BA0B85" w:rsidRDefault="00EE1DD1">
      <w:pPr>
        <w:ind w:firstLine="709"/>
        <w:rPr>
          <w:bCs/>
          <w:szCs w:val="24"/>
        </w:rPr>
      </w:pPr>
      <w:r w:rsidRPr="007626C2">
        <w:rPr>
          <w:b/>
          <w:szCs w:val="24"/>
        </w:rPr>
        <w:t>Прогрессия заболевания</w:t>
      </w:r>
      <w:r w:rsidRPr="00BA0B85">
        <w:rPr>
          <w:bCs/>
          <w:szCs w:val="24"/>
        </w:rPr>
        <w:t xml:space="preserve"> – увеличение количества бластных клеток более чем на 50% и переход из первоначального варианта МДС в более продвинутый (МЛС-ЛД:РА в МДС-МД, МДС-МД в МДС-ИБ-1, МДС-ИБ-1 в МДС-ИБ-2) (характеристика вариантов МДС представлена в разделе 1.5. «Классификация заболевания или состояния (группы заболеваний или состояний)», в табл. 1), при этом в анализах крови может отмечаться снижение показателей на 50% от максимальных значений и снижение Нв более чем на 20 г/л, появление трансфузионной зависимости. При стабильных показателях бластных клеток усугубление цитопении также является признаком прогрессии заболевания.</w:t>
      </w:r>
    </w:p>
    <w:p w14:paraId="23DC33D5" w14:textId="77777777" w:rsidR="00EE1DD1" w:rsidRPr="00BA0B85" w:rsidRDefault="00EE1DD1" w:rsidP="00EE1DD1">
      <w:pPr>
        <w:ind w:firstLine="709"/>
        <w:rPr>
          <w:bCs/>
          <w:szCs w:val="24"/>
        </w:rPr>
      </w:pPr>
      <w:r w:rsidRPr="007626C2">
        <w:rPr>
          <w:b/>
          <w:szCs w:val="24"/>
        </w:rPr>
        <w:t>Рецидив после ПР</w:t>
      </w:r>
      <w:r w:rsidRPr="00BA0B85">
        <w:rPr>
          <w:bCs/>
          <w:szCs w:val="24"/>
        </w:rPr>
        <w:t xml:space="preserve"> – увеличение количества бластных клеток &gt;5%; снижение на 50% и более числа тромбоцитов и нейтрофилов от максимальных значений во время ремиссии; снижение показателей </w:t>
      </w:r>
      <w:r w:rsidR="007626C2">
        <w:rPr>
          <w:bCs/>
          <w:szCs w:val="24"/>
        </w:rPr>
        <w:t>гемоглобина</w:t>
      </w:r>
      <w:r w:rsidR="007626C2" w:rsidRPr="00BA0B85">
        <w:rPr>
          <w:bCs/>
          <w:szCs w:val="24"/>
        </w:rPr>
        <w:t xml:space="preserve"> </w:t>
      </w:r>
      <w:r w:rsidRPr="00BA0B85">
        <w:rPr>
          <w:bCs/>
          <w:szCs w:val="24"/>
        </w:rPr>
        <w:t>на 15 г/л и более, появление трансфузионной зависимости от эритроцитсодержащих компонентов.</w:t>
      </w:r>
    </w:p>
    <w:p w14:paraId="51BD3151" w14:textId="77777777" w:rsidR="0058252D" w:rsidRPr="002630A6" w:rsidRDefault="0058252D">
      <w:pPr>
        <w:ind w:firstLine="709"/>
        <w:rPr>
          <w:szCs w:val="24"/>
        </w:rPr>
      </w:pPr>
      <w:r w:rsidRPr="007626C2">
        <w:rPr>
          <w:b/>
          <w:bCs/>
          <w:szCs w:val="24"/>
        </w:rPr>
        <w:t>Спленомегалия</w:t>
      </w:r>
      <w:r w:rsidRPr="00BA0B85">
        <w:rPr>
          <w:szCs w:val="24"/>
        </w:rPr>
        <w:t xml:space="preserve"> – селезенка может быть увеличена незначительно, </w:t>
      </w:r>
      <w:r w:rsidR="00535CCC">
        <w:rPr>
          <w:szCs w:val="24"/>
        </w:rPr>
        <w:t>на 1-</w:t>
      </w:r>
      <w:r w:rsidRPr="00BA0B85">
        <w:rPr>
          <w:szCs w:val="24"/>
        </w:rPr>
        <w:t>2 см.</w:t>
      </w:r>
    </w:p>
    <w:p w14:paraId="6219E071" w14:textId="77777777" w:rsidR="0058252D" w:rsidRPr="00BA0B85" w:rsidRDefault="0058252D">
      <w:pPr>
        <w:ind w:firstLine="709"/>
        <w:rPr>
          <w:bCs/>
          <w:szCs w:val="24"/>
        </w:rPr>
      </w:pPr>
      <w:r w:rsidRPr="007626C2">
        <w:rPr>
          <w:b/>
          <w:szCs w:val="24"/>
        </w:rPr>
        <w:t>Стабилизация</w:t>
      </w:r>
      <w:r w:rsidRPr="00BA0B85">
        <w:rPr>
          <w:bCs/>
          <w:szCs w:val="24"/>
        </w:rPr>
        <w:t xml:space="preserve"> – отсутствие частичной ремиссии, но нет признаков прогрессирования в течение более 8 недель.</w:t>
      </w:r>
    </w:p>
    <w:p w14:paraId="15C43E19" w14:textId="77777777" w:rsidR="00EE1DD1" w:rsidRPr="00BA0B85" w:rsidRDefault="00EE1DD1" w:rsidP="00EE1DD1">
      <w:pPr>
        <w:ind w:firstLine="709"/>
        <w:rPr>
          <w:bCs/>
          <w:szCs w:val="24"/>
        </w:rPr>
      </w:pPr>
      <w:r w:rsidRPr="007626C2">
        <w:rPr>
          <w:b/>
          <w:szCs w:val="24"/>
        </w:rPr>
        <w:t>Трансформация/прогрессия</w:t>
      </w:r>
      <w:r w:rsidR="007626C2">
        <w:rPr>
          <w:bCs/>
          <w:szCs w:val="24"/>
        </w:rPr>
        <w:t xml:space="preserve"> –</w:t>
      </w:r>
      <w:r w:rsidRPr="00BA0B85">
        <w:rPr>
          <w:bCs/>
          <w:szCs w:val="24"/>
        </w:rPr>
        <w:t xml:space="preserve"> в ОМЛ констатируется при обнаружении в пунктате костного мозга (КМ) или периферической крови более 20% бластных клеток.</w:t>
      </w:r>
    </w:p>
    <w:p w14:paraId="248EFFE7" w14:textId="77777777" w:rsidR="00EE1DD1" w:rsidRPr="00BA0B85" w:rsidRDefault="00EE1DD1" w:rsidP="00EE1DD1">
      <w:pPr>
        <w:ind w:firstLine="709"/>
        <w:rPr>
          <w:bCs/>
          <w:szCs w:val="24"/>
        </w:rPr>
      </w:pPr>
      <w:r w:rsidRPr="007626C2">
        <w:rPr>
          <w:b/>
          <w:szCs w:val="24"/>
        </w:rPr>
        <w:lastRenderedPageBreak/>
        <w:t>Трансплантация гемопоэтических клеток крови</w:t>
      </w:r>
      <w:r w:rsidRPr="00BA0B85">
        <w:rPr>
          <w:bCs/>
          <w:szCs w:val="24"/>
        </w:rPr>
        <w:t xml:space="preserve"> – под этим термином объединены трансплантация ГСК периферической крови, КМ и пуповинной (плацентарной) крови.</w:t>
      </w:r>
    </w:p>
    <w:p w14:paraId="1CFC0AF3" w14:textId="77777777" w:rsidR="00EE1DD1" w:rsidRPr="00BA0B85" w:rsidRDefault="00EE1DD1" w:rsidP="00EE1DD1">
      <w:pPr>
        <w:ind w:firstLine="709"/>
        <w:rPr>
          <w:bCs/>
          <w:szCs w:val="24"/>
        </w:rPr>
      </w:pPr>
      <w:r w:rsidRPr="007626C2">
        <w:rPr>
          <w:b/>
          <w:szCs w:val="24"/>
        </w:rPr>
        <w:t>Тромбоцитный концентрат</w:t>
      </w:r>
      <w:r w:rsidRPr="00BA0B85">
        <w:rPr>
          <w:bCs/>
          <w:szCs w:val="24"/>
        </w:rPr>
        <w:t xml:space="preserve"> – компонент донорской крови, содержащий тромбоциты.</w:t>
      </w:r>
    </w:p>
    <w:p w14:paraId="0C3CD171" w14:textId="77777777" w:rsidR="0058252D" w:rsidRPr="00BA0B85" w:rsidRDefault="0058252D" w:rsidP="0058252D">
      <w:pPr>
        <w:ind w:firstLine="709"/>
        <w:rPr>
          <w:bCs/>
          <w:szCs w:val="24"/>
        </w:rPr>
      </w:pPr>
      <w:r w:rsidRPr="007626C2">
        <w:rPr>
          <w:b/>
          <w:szCs w:val="24"/>
        </w:rPr>
        <w:t>Тромбоцитарный ответ</w:t>
      </w:r>
      <w:r w:rsidRPr="00BA0B85">
        <w:rPr>
          <w:bCs/>
          <w:szCs w:val="24"/>
        </w:rPr>
        <w:t xml:space="preserve"> – увеличение числа тромбоцитов &gt;30×10</w:t>
      </w:r>
      <w:r w:rsidRPr="00BA0B85">
        <w:rPr>
          <w:bCs/>
          <w:szCs w:val="24"/>
          <w:vertAlign w:val="superscript"/>
        </w:rPr>
        <w:t>9</w:t>
      </w:r>
      <w:r w:rsidRPr="00BA0B85">
        <w:rPr>
          <w:bCs/>
          <w:szCs w:val="24"/>
        </w:rPr>
        <w:t>/л, снижение зависимости от трансфузий тромбоцитных концентратов.</w:t>
      </w:r>
    </w:p>
    <w:p w14:paraId="143B8244" w14:textId="77777777" w:rsidR="0058252D" w:rsidRPr="00BA0B85" w:rsidRDefault="0058252D" w:rsidP="0058252D">
      <w:pPr>
        <w:ind w:firstLine="709"/>
        <w:rPr>
          <w:bCs/>
          <w:szCs w:val="24"/>
        </w:rPr>
      </w:pPr>
      <w:r w:rsidRPr="007626C2">
        <w:rPr>
          <w:b/>
          <w:szCs w:val="24"/>
        </w:rPr>
        <w:t>Цитогенетическая ремиссия</w:t>
      </w:r>
      <w:r w:rsidRPr="00BA0B85">
        <w:rPr>
          <w:bCs/>
          <w:szCs w:val="24"/>
        </w:rPr>
        <w:t xml:space="preserve"> – это полная клинико-гематологическая ремиссия, при этом цитогенетическими методами не выявляются исходные аномалии кариотипа; кариотип должен быть нормальным. Уменьшение количества клеток с хромосомными нарушениями минимум на 50% оценивается как частичный цитогенетический ответ.</w:t>
      </w:r>
    </w:p>
    <w:p w14:paraId="4A01369B" w14:textId="77777777" w:rsidR="0058252D" w:rsidRPr="00BA0B85" w:rsidRDefault="0058252D" w:rsidP="0058252D">
      <w:pPr>
        <w:ind w:firstLine="709"/>
        <w:rPr>
          <w:bCs/>
          <w:szCs w:val="24"/>
        </w:rPr>
      </w:pPr>
      <w:r w:rsidRPr="007626C2">
        <w:rPr>
          <w:b/>
          <w:szCs w:val="24"/>
        </w:rPr>
        <w:t>Частичная ремиссия (ЧР)</w:t>
      </w:r>
      <w:r w:rsidRPr="00BA0B85">
        <w:rPr>
          <w:bCs/>
          <w:szCs w:val="24"/>
        </w:rPr>
        <w:t xml:space="preserve"> – те же критерии, что и для ПР, однако бластные клетки в костном мозге составляют более 5%.</w:t>
      </w:r>
    </w:p>
    <w:p w14:paraId="2B98B239" w14:textId="77777777" w:rsidR="0058252D" w:rsidRPr="00BA0B85" w:rsidRDefault="0058252D" w:rsidP="0058252D">
      <w:pPr>
        <w:ind w:firstLine="709"/>
        <w:rPr>
          <w:bCs/>
          <w:szCs w:val="24"/>
        </w:rPr>
      </w:pPr>
      <w:r w:rsidRPr="007626C2">
        <w:rPr>
          <w:b/>
          <w:szCs w:val="24"/>
        </w:rPr>
        <w:t>Эритроидный ответ</w:t>
      </w:r>
      <w:r w:rsidRPr="00BA0B85">
        <w:rPr>
          <w:bCs/>
          <w:szCs w:val="24"/>
        </w:rPr>
        <w:t xml:space="preserve"> – повышение уровня гемоглобина на 15 г/л и более, снижение зависимости от трансфузий эритроцитсодержащими компонентами.</w:t>
      </w:r>
    </w:p>
    <w:p w14:paraId="1BFA0D5A" w14:textId="77777777" w:rsidR="0058252D" w:rsidRPr="00BA0B85" w:rsidRDefault="0058252D" w:rsidP="0058252D">
      <w:pPr>
        <w:ind w:firstLine="709"/>
        <w:rPr>
          <w:bCs/>
          <w:szCs w:val="24"/>
        </w:rPr>
      </w:pPr>
      <w:r w:rsidRPr="007626C2">
        <w:rPr>
          <w:b/>
          <w:szCs w:val="24"/>
        </w:rPr>
        <w:t>Эритроцитсодержащие компоненты</w:t>
      </w:r>
      <w:r w:rsidRPr="00BA0B85">
        <w:rPr>
          <w:bCs/>
          <w:szCs w:val="24"/>
        </w:rPr>
        <w:t xml:space="preserve"> </w:t>
      </w:r>
      <w:r w:rsidR="009C09EF">
        <w:rPr>
          <w:bCs/>
          <w:szCs w:val="24"/>
        </w:rPr>
        <w:t>донорской крови</w:t>
      </w:r>
      <w:r w:rsidRPr="00BA0B85">
        <w:rPr>
          <w:bCs/>
          <w:szCs w:val="24"/>
        </w:rPr>
        <w:t>– компоненты донорской крови, содержащие эритроциты (эритроцитная масса, эритроцитная взвесь и т. д.).</w:t>
      </w:r>
    </w:p>
    <w:p w14:paraId="62DEE499" w14:textId="77777777" w:rsidR="0058252D" w:rsidRPr="00BA0B85" w:rsidRDefault="0058252D" w:rsidP="0058252D">
      <w:pPr>
        <w:ind w:firstLine="709"/>
        <w:rPr>
          <w:bCs/>
          <w:szCs w:val="24"/>
        </w:rPr>
      </w:pPr>
    </w:p>
    <w:p w14:paraId="1BF4B68C" w14:textId="77777777" w:rsidR="0058252D" w:rsidRPr="00BA0B85" w:rsidRDefault="0058252D" w:rsidP="00EE1DD1">
      <w:pPr>
        <w:ind w:firstLine="709"/>
        <w:rPr>
          <w:bCs/>
          <w:szCs w:val="24"/>
        </w:rPr>
      </w:pPr>
    </w:p>
    <w:p w14:paraId="160BE118" w14:textId="77777777" w:rsidR="00EE1DD1" w:rsidRPr="00BA0B85" w:rsidRDefault="00EE1DD1" w:rsidP="00EE1DD1">
      <w:pPr>
        <w:ind w:firstLine="709"/>
        <w:rPr>
          <w:bCs/>
          <w:szCs w:val="24"/>
        </w:rPr>
      </w:pPr>
    </w:p>
    <w:p w14:paraId="60C70D17" w14:textId="77777777" w:rsidR="00EE1DD1" w:rsidRPr="00BA0B85" w:rsidRDefault="00EE1DD1" w:rsidP="00EE1DD1">
      <w:pPr>
        <w:ind w:firstLine="709"/>
        <w:rPr>
          <w:bCs/>
          <w:szCs w:val="24"/>
        </w:rPr>
      </w:pPr>
    </w:p>
    <w:p w14:paraId="4F4E0E1C" w14:textId="77777777" w:rsidR="00EE1DD1" w:rsidRPr="00BA0B85" w:rsidRDefault="00EE1DD1" w:rsidP="00EE1DD1">
      <w:pPr>
        <w:ind w:firstLine="709"/>
        <w:rPr>
          <w:szCs w:val="24"/>
        </w:rPr>
      </w:pPr>
    </w:p>
    <w:p w14:paraId="00803173" w14:textId="77777777" w:rsidR="00EE1DD1" w:rsidRDefault="00EE1DD1" w:rsidP="00EE1DD1">
      <w:pPr>
        <w:ind w:firstLine="709"/>
        <w:rPr>
          <w:szCs w:val="24"/>
        </w:rPr>
      </w:pPr>
    </w:p>
    <w:p w14:paraId="50F5C41F" w14:textId="77777777" w:rsidR="00EE1DD1" w:rsidRDefault="00EE1DD1" w:rsidP="00EE1DD1">
      <w:pPr>
        <w:ind w:firstLine="709"/>
        <w:rPr>
          <w:szCs w:val="24"/>
        </w:rPr>
      </w:pPr>
    </w:p>
    <w:p w14:paraId="7F71ADB4" w14:textId="77777777" w:rsidR="00EE1DD1" w:rsidRDefault="00EE1DD1" w:rsidP="00EE1DD1">
      <w:pPr>
        <w:ind w:firstLine="709"/>
        <w:rPr>
          <w:szCs w:val="24"/>
        </w:rPr>
      </w:pPr>
    </w:p>
    <w:p w14:paraId="4721D2E4" w14:textId="77777777" w:rsidR="00EE1DD1" w:rsidRPr="00717CB4" w:rsidRDefault="00EE1DD1" w:rsidP="00EE1DD1">
      <w:pPr>
        <w:ind w:firstLine="709"/>
        <w:rPr>
          <w:szCs w:val="24"/>
        </w:rPr>
      </w:pPr>
    </w:p>
    <w:p w14:paraId="77A46272" w14:textId="77777777" w:rsidR="00F20CFD" w:rsidRPr="006A377C" w:rsidRDefault="00F20CFD" w:rsidP="007626C2">
      <w:pPr>
        <w:ind w:firstLine="709"/>
        <w:rPr>
          <w:rStyle w:val="12"/>
          <w:b w:val="0"/>
        </w:rPr>
      </w:pPr>
      <w:r w:rsidRPr="006A377C">
        <w:rPr>
          <w:szCs w:val="24"/>
        </w:rPr>
        <w:br w:type="page"/>
      </w:r>
      <w:bookmarkStart w:id="3" w:name="_Toc65104078"/>
      <w:r w:rsidRPr="00C413F9">
        <w:rPr>
          <w:rStyle w:val="20"/>
          <w:sz w:val="28"/>
          <w:szCs w:val="28"/>
          <w:u w:val="none"/>
        </w:rPr>
        <w:lastRenderedPageBreak/>
        <w:t>1. Краткая информация по заболеванию или состоянию (группе заболеваний или состояний)</w:t>
      </w:r>
      <w:bookmarkEnd w:id="3"/>
    </w:p>
    <w:p w14:paraId="7861A5A6" w14:textId="77777777" w:rsidR="00F20CFD" w:rsidRPr="006A377C" w:rsidRDefault="00F20CFD" w:rsidP="00D66F20">
      <w:pPr>
        <w:pStyle w:val="2"/>
      </w:pPr>
      <w:bookmarkStart w:id="4" w:name="_Toc65104079"/>
      <w:r w:rsidRPr="006A377C">
        <w:t xml:space="preserve">1.1. </w:t>
      </w:r>
      <w:r w:rsidR="000E7254" w:rsidRPr="00535CCC">
        <w:t>Определение заболевания или состояния (группы заболеваний или состояний)</w:t>
      </w:r>
      <w:bookmarkEnd w:id="4"/>
      <w:r w:rsidRPr="006A377C">
        <w:t xml:space="preserve"> </w:t>
      </w:r>
    </w:p>
    <w:p w14:paraId="551CC36B" w14:textId="77777777" w:rsidR="00F20CFD" w:rsidRPr="006A377C" w:rsidRDefault="00F20CFD" w:rsidP="00EA7BF5">
      <w:pPr>
        <w:ind w:firstLine="709"/>
        <w:rPr>
          <w:szCs w:val="24"/>
        </w:rPr>
      </w:pPr>
      <w:r w:rsidRPr="006A377C">
        <w:rPr>
          <w:szCs w:val="24"/>
        </w:rPr>
        <w:t xml:space="preserve">Миелодиспластические синдромы представляют собой гетерогенную группу клональных заболеваний системы крови, характеризующихся цитопенией, признаками дисмиелопоэза и высоким риском трансформации в ОМЛ </w:t>
      </w:r>
      <w:r w:rsidRPr="006A377C">
        <w:rPr>
          <w:szCs w:val="24"/>
        </w:rPr>
        <w:fldChar w:fldCharType="begin" w:fldLock="1"/>
      </w:r>
      <w:r w:rsidR="00255EFA">
        <w:rPr>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id":"ITEM-2","itemData":{"author":[{"dropping-particle":"","family":"Ширин","given":"А.Д.","non-dropping-particle":"","parse-names":false,"suffix":""},{"dropping-particle":"","family":"Френкель","given":"М.А.","non-dropping-particle":"","parse-names":false,"suffix":""}],"container-title":"Клиническая онкогематология: руководство для врачей. Под ред. Волковой М.А.. 2-е изд., перераб. и доп.","id":"ITEM-2","issued":{"date-parts":[["2007"]]},"page":"502-551","title":"Миелодиспластические синдромы","type":"chapter"},"uris":["http://www.mendeley.com/documents/?uuid=9f2eca44-a3a8-4eb4-90b5-a52e4e769482"]}],"mendeley":{"formattedCitation":"[1,2]","plainTextFormattedCitation":"[1,2]","previouslyFormattedCitation":"[1,2]"},"properties":{"noteIndex":0},"schema":"https://github.com/citation-style-language/schema/raw/master/csl-citation.json"}</w:instrText>
      </w:r>
      <w:r w:rsidRPr="006A377C">
        <w:rPr>
          <w:szCs w:val="24"/>
        </w:rPr>
        <w:fldChar w:fldCharType="separate"/>
      </w:r>
      <w:r w:rsidR="007626C2" w:rsidRPr="007626C2">
        <w:rPr>
          <w:noProof/>
          <w:szCs w:val="24"/>
        </w:rPr>
        <w:t>[1,2]</w:t>
      </w:r>
      <w:r w:rsidRPr="006A377C">
        <w:rPr>
          <w:szCs w:val="24"/>
        </w:rPr>
        <w:fldChar w:fldCharType="end"/>
      </w:r>
      <w:r w:rsidRPr="006A377C">
        <w:rPr>
          <w:szCs w:val="24"/>
        </w:rPr>
        <w:t>.</w:t>
      </w:r>
    </w:p>
    <w:p w14:paraId="4B81D249" w14:textId="77777777" w:rsidR="00F20CFD" w:rsidRPr="006A377C" w:rsidRDefault="00F20CFD" w:rsidP="00D66F20">
      <w:pPr>
        <w:pStyle w:val="2"/>
      </w:pPr>
      <w:bookmarkStart w:id="5" w:name="_Toc65104080"/>
      <w:r w:rsidRPr="006A377C">
        <w:t xml:space="preserve">1.2. </w:t>
      </w:r>
      <w:r w:rsidR="000E7254" w:rsidRPr="00535CCC">
        <w:t>Этиология и патогенез заболевания или состояния (группы заболеваний или состояний)</w:t>
      </w:r>
      <w:bookmarkEnd w:id="5"/>
    </w:p>
    <w:p w14:paraId="4E6D225F" w14:textId="77777777" w:rsidR="00F20CFD" w:rsidRPr="006A377C" w:rsidRDefault="00F20CFD" w:rsidP="00EA7BF5">
      <w:pPr>
        <w:ind w:firstLine="709"/>
        <w:rPr>
          <w:szCs w:val="24"/>
        </w:rPr>
      </w:pPr>
      <w:r w:rsidRPr="006A377C">
        <w:rPr>
          <w:szCs w:val="24"/>
        </w:rPr>
        <w:t>В 80–90% случаев этиология МДС неизвестна, в 10–15% развитию заболевания предшествовала цитостатическая и/или лучевая терапия, которая проводилась по поводу системного поражения соединительной ткани или другого онкогематологического или онкологического процесса. Среди факторов, воздействие которых увеличивает риск развития МДС, можно выделить курение, контакт с бензином, инсектицидами, пестицидами, органическими веществами.</w:t>
      </w:r>
    </w:p>
    <w:p w14:paraId="4BCC66E9" w14:textId="77777777" w:rsidR="00F20CFD" w:rsidRPr="006A377C" w:rsidRDefault="00F20CFD" w:rsidP="00EA7BF5">
      <w:pPr>
        <w:ind w:firstLine="709"/>
        <w:rPr>
          <w:szCs w:val="24"/>
        </w:rPr>
      </w:pPr>
      <w:r w:rsidRPr="006A377C">
        <w:rPr>
          <w:szCs w:val="24"/>
        </w:rPr>
        <w:t>Изучение патогенеза МДС на протяжении нескольких десятков лет позволило выделить несколько основополагающих этапов развития этих заболеваний. Воздействие повреждающих факторов на плюрипотентные гемопоэтические стволовые клетки (ГСК) приводит к формированию клонального кроветворения, включающего все клеточные линии, реактивное изменение стромального микроокружения и лимфатической системы, что приводит к увеличению пролиферации и апоптоза в</w:t>
      </w:r>
      <w:r w:rsidR="00FC71C2">
        <w:rPr>
          <w:szCs w:val="24"/>
        </w:rPr>
        <w:t xml:space="preserve"> костном мозге</w:t>
      </w:r>
      <w:r w:rsidRPr="006A377C">
        <w:rPr>
          <w:szCs w:val="24"/>
        </w:rPr>
        <w:t xml:space="preserve"> </w:t>
      </w:r>
      <w:r w:rsidR="00FC71C2">
        <w:rPr>
          <w:szCs w:val="24"/>
        </w:rPr>
        <w:t>(</w:t>
      </w:r>
      <w:r w:rsidRPr="006A377C">
        <w:rPr>
          <w:szCs w:val="24"/>
        </w:rPr>
        <w:t>КМ</w:t>
      </w:r>
      <w:r w:rsidR="00FC71C2">
        <w:rPr>
          <w:szCs w:val="24"/>
        </w:rPr>
        <w:t>)</w:t>
      </w:r>
      <w:r w:rsidRPr="006A377C">
        <w:rPr>
          <w:szCs w:val="24"/>
        </w:rPr>
        <w:t xml:space="preserve">. Появление новых мутаций способствует дальнейшей клональной эволюции уже имеющегося патологического клона, что сопровождается уменьшением апоптоза и трансформацией в ОЛ </w:t>
      </w:r>
      <w:r w:rsidRPr="006A377C">
        <w:rPr>
          <w:szCs w:val="24"/>
        </w:rPr>
        <w:fldChar w:fldCharType="begin" w:fldLock="1"/>
      </w:r>
      <w:r w:rsidR="00255EFA">
        <w:rPr>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id":"ITEM-2","itemData":{"author":[{"dropping-particle":"","family":"Ширин","given":"А.Д.","non-dropping-particle":"","parse-names":false,"suffix":""},{"dropping-particle":"","family":"Френкель","given":"М.А.","non-dropping-particle":"","parse-names":false,"suffix":""}],"container-title":"Клиническая онкогематология: руководство для врачей. Под ред. Волковой М.А.. 2-е изд., перераб. и доп.","id":"ITEM-2","issued":{"date-parts":[["2007"]]},"page":"502-551","title":"Миелодиспластические синдромы","type":"chapter"},"uris":["http://www.mendeley.com/documents/?uuid=9f2eca44-a3a8-4eb4-90b5-a52e4e769482"]}],"mendeley":{"formattedCitation":"[1,2]","plainTextFormattedCitation":"[1,2]","previouslyFormattedCitation":"[1,2]"},"properties":{"noteIndex":0},"schema":"https://github.com/citation-style-language/schema/raw/master/csl-citation.json"}</w:instrText>
      </w:r>
      <w:r w:rsidRPr="006A377C">
        <w:rPr>
          <w:szCs w:val="24"/>
        </w:rPr>
        <w:fldChar w:fldCharType="separate"/>
      </w:r>
      <w:r w:rsidR="007626C2" w:rsidRPr="007626C2">
        <w:rPr>
          <w:noProof/>
          <w:szCs w:val="24"/>
        </w:rPr>
        <w:t>[1,2]</w:t>
      </w:r>
      <w:r w:rsidRPr="006A377C">
        <w:rPr>
          <w:szCs w:val="24"/>
        </w:rPr>
        <w:fldChar w:fldCharType="end"/>
      </w:r>
      <w:r w:rsidRPr="006A377C">
        <w:rPr>
          <w:szCs w:val="24"/>
        </w:rPr>
        <w:t>.</w:t>
      </w:r>
    </w:p>
    <w:p w14:paraId="7B94CEA9" w14:textId="77777777" w:rsidR="00F20CFD" w:rsidRPr="000E7254" w:rsidRDefault="00F20CFD" w:rsidP="00D66F20">
      <w:pPr>
        <w:pStyle w:val="2"/>
      </w:pPr>
      <w:bookmarkStart w:id="6" w:name="_Toc65104081"/>
      <w:r w:rsidRPr="000E7254">
        <w:t>1.3.</w:t>
      </w:r>
      <w:r w:rsidR="000E7254" w:rsidRPr="00535CCC">
        <w:rPr>
          <w:rFonts w:ascii="Times New Roman CYR" w:hAnsi="Times New Roman CYR" w:cs="Times New Roman CYR"/>
          <w:color w:val="000000"/>
          <w:lang w:eastAsia="ru-RU"/>
        </w:rPr>
        <w:t xml:space="preserve"> Эпидемиология заболевания или состояния (группы заболеваний или состояний)</w:t>
      </w:r>
      <w:bookmarkEnd w:id="6"/>
    </w:p>
    <w:p w14:paraId="16C91751" w14:textId="77777777" w:rsidR="00F20CFD" w:rsidRPr="006A377C" w:rsidRDefault="00F20CFD" w:rsidP="00EA7BF5">
      <w:pPr>
        <w:ind w:firstLine="709"/>
        <w:rPr>
          <w:szCs w:val="24"/>
        </w:rPr>
      </w:pPr>
      <w:r w:rsidRPr="006A377C">
        <w:rPr>
          <w:szCs w:val="24"/>
        </w:rPr>
        <w:t xml:space="preserve">В Европе и США заболеваемость в общей популяции составляет около 4–5 случаев на 100 тыс. населения в год. Более 80% пациентов МДС – это люди старше 60 лет. После 60 лет частота увеличивается до 20–50 случаев на 100 тыс. человек в год. В целом в Европе ежегодно диагностируют примерно 25 тыс. новых случаев. Учитывая неуклонное «старение» населения Европы, полагают, что число пациентов с МДС будет в ближайшие десятилетия лишь возрастать </w:t>
      </w:r>
      <w:r w:rsidRPr="006A377C">
        <w:rPr>
          <w:szCs w:val="24"/>
        </w:rPr>
        <w:fldChar w:fldCharType="begin" w:fldLock="1"/>
      </w:r>
      <w:r w:rsidRPr="006A377C">
        <w:rPr>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id":"ITEM-2","itemData":{"author":[{"dropping-particle":"","family":"Ширин","given":"А.Д.","non-dropping-particle":"","parse-names":false,"suffix":""},{"dropping-particle":"","family":"Френкель","given":"М.А.","non-dropping-particle":"","parse-names":false,"suffix":""}],"container-title":"Клиническая онкогематология: руководство для врачей. Под ред. Волковой М.А.. 2-е изд., перераб. и доп.","id":"ITEM-2","issued":{"date-parts":[["2007"]]},"page":"502-551","title":"Миелодиспластические синдромы","type":"chapter"},"uris":["http://www.mendeley.com/documents/?uuid=9f2eca44-a3a8-4eb4-90b5-a52e4e769482"]},{"id":"ITEM-3","itemData":{"DOI":"10.1002/ajh.24102","ISSN":"1096-8652","PMID":"26294090","abstract":"DISEASE OVERVIEW The myelodysplastic syndromes (MDS) are a very heterogeneous group of myeloid disorders characterized by peripheral blood cytopenias and increased risk of transformation to acute myelogenous leukemia (AML). MDS occurs more frequently in older males and in individuals with prior exposure to cytotoxic therapy. DIAGNOSIS Diagnosis of MDS is based on morphological evidence of dysplasia upon visual examination of a bone marrow aspirate and biopsy. Information obtained from additional studies such as karyotype, flow cytometry, or molecular genetics is complementary but not diagnostic. Risk-stratification: Prognosis of patients with MDS can be calculated using a number of scoring systems. In general, all these scoring systems include analysis of peripheral cytopenias, percentage of blasts in the bone marrow, and cytogenetic characteristics. The most commonly used system still is probably the International Prognostic Scoring System (IPSS). IPSS is being replaced by the new revised score IPSS-R. RISK-ADAPTED THERAPY Therapy is selected based on risk, transfusion needs, percent of bone marrow blasts, and more recently cytogenetic and mutational profiles. Goals of therapy are different in lower risk patients than in higher risk. In lower risk, the goal is to decrease transfusion needs and transformation to higher risk disease or AML, as well as to improve survival. In higher risk, the goal is to prolong survival. Current available therapies include growth factor support, lenalidomide, hypomethylating agents, intensive chemotherapy, and allogeneic stem cell transplantation. The use of lenalidomide has significant clinical activity in patients with lower risk disease, anemia, and a chromosome 5 alteration. 5-Azacitidine and decitabine have activity in higher risk MDS. 5-Azacitidine has been shown to improve survival in higher risk MDS. A number of new molecular lesions have been described in MDS that may serve as new therapeutic targets or aid in the selection of currently available agents. Additional supportive care measures may include the use of prophylactic antibiotics and iron chelation. Management of progressive or refractory disease: At the present time there are no approved interventions for patients with progressive or refractory disease particularly after hypomethylating based therapy. Options include participation in a clinical trial or cytarabine based therapy and stem cell transplantation.","author":[{"dropping-particle":"","family":"Garcia-Manero","given":"Guillermo","non-dropping-particle":"","parse-names":false,"suffix":""}],"container-title":"American journal of hematology","id":"ITEM-3","issue":"9","issued":{"date-parts":[["2015","9"]]},"page":"831-41","title":"Myelodysplastic syndromes: 2015 Update on diagnosis, risk-stratification and management.","type":"article-journal","volume":"90"},"uris":["http://www.mendeley.com/documents/?uuid=f71f5ed5-dc93-3fd3-b1f1-68c1270ac29e"]},{"id":"ITEM-4","itemData":{"DOI":"10.1182/blood-2013-03-492884","ISSN":"1528-0020","PMID":"23980065","abstract":"Within the myelodysplastic syndrome (MDS) work package of the European LeukemiaNet, an Expert Panel was selected according to the framework elements of the National Institutes of Health Consensus Development Program. A systematic review of the literature was performed that included indexed original papers, indexed reviews and educational papers, and abstracts of conference proceedings. Guidelines were developed on the basis of a list of patient- and therapy-oriented questions, and recommendations were formulated and ranked according to the supporting level of evidence. MDSs should be classified according to the 2008 World Health Organization criteria. An accurate risk assessment requires the evaluation of not only disease-related factors but also of those related to extrahematologic comorbidity. The assessment of individual risk enables the identification of fit patients with a poor prognosis who are candidates for up-front intensive treatments, primarily allogeneic stem cell transplantation. A high proportion of MDS patients are not eligible for potentially curative treatment because of advanced age and/or clinically relevant comorbidities and poor performance status. In these patients, the therapeutic intervention is aimed at preventing cytopenia-related morbidity and preserving quality of life. A number of new agents are being developed for which the available evidence is not sufficient to recommend routine use. The inclusion of patients into prospective clinical trials is strongly recommended.","author":[{"dropping-particle":"","family":"Malcovati","given":"Luca","non-dropping-particle":"","parse-names":false,"suffix":""},{"dropping-particle":"","family":"Hellström-Lindberg","given":"Eva","non-dropping-particle":"","parse-names":false,"suffix":""},{"dropping-particle":"","family":"Bowen","given":"David","non-dropping-particle":"","parse-names":false,"suffix":""},{"dropping-particle":"","family":"Adès","given":"Lionel","non-dropping-particle":"","parse-names":false,"suffix":""},{"dropping-particle":"","family":"Cermak","given":"Jaroslav","non-dropping-particle":"","parse-names":false,"suffix":""},{"dropping-particle":"","family":"Cañizo","given":"Consuelo","non-dropping-particle":"Del","parse-names":false,"suffix":""},{"dropping-particle":"","family":"Porta","given":"Matteo G","non-dropping-particle":"Della","parse-names":false,"suffix":""},{"dropping-particle":"","family":"Fenaux","given":"Pierre","non-dropping-particle":"","parse-names":false,"suffix":""},{"dropping-particle":"","family":"Gattermann","given":"Norbert","non-dropping-particle":"","parse-names":false,"suffix":""},{"dropping-particle":"","family":"Germing","given":"Ulrich","non-dropping-particle":"","parse-names":false,"suffix":""},{"dropping-particle":"","family":"Jansen","given":"Joop H","non-dropping-particle":"","parse-names":false,"suffix":""},{"dropping-particle":"","family":"Mittelman","given":"Moshe","non-dropping-particle":"","parse-names":false,"suffix":""},{"dropping-particle":"","family":"Mufti","given":"Ghulam","non-dropping-particle":"","parse-names":false,"suffix":""},{"dropping-particle":"","family":"Platzbecker","given":"Uwe","non-dropping-particle":"","parse-names":false,"suffix":""},{"dropping-particle":"","family":"Sanz","given":"Guillermo F","non-dropping-particle":"","parse-names":false,"suffix":""},{"dropping-particle":"","family":"Selleslag","given":"Dominik","non-dropping-particle":"","parse-names":false,"suffix":""},{"dropping-particle":"","family":"Skov-Holm","given":"Mette","non-dropping-particle":"","parse-names":false,"suffix":""},{"dropping-particle":"","family":"Stauder","given":"Reinhard","non-dropping-particle":"","parse-names":false,"suffix":""},{"dropping-particle":"","family":"Symeonidis","given":"Argiris","non-dropping-particle":"","parse-names":false,"suffix":""},{"dropping-particle":"","family":"Loosdrecht","given":"Arjan A","non-dropping-particle":"van de","parse-names":false,"suffix":""},{"dropping-particle":"","family":"Witte","given":"Theo","non-dropping-particle":"de","parse-names":false,"suffix":""},{"dropping-particle":"","family":"Cazzola","given":"Mario","non-dropping-particle":"","parse-names":false,"suffix":""},{"dropping-particle":"","family":"European Leukemia Net","given":"","non-dropping-particle":"","parse-names":false,"suffix":""}],"container-title":"Blood","id":"ITEM-4","issue":"17","issued":{"date-parts":[["2013","10","24"]]},"page":"2943-64","title":"Diagnosis and treatment of primary myelodysplastic syndromes in adults: recommendations from the European LeukemiaNet.","type":"article-journal","volume":"122"},"uris":["http://www.mendeley.com/documents/?uuid=8d575a93-ae56-3e05-b1b4-97a7de4aac98"]},{"id":"ITEM-5","itemData":{"author":[{"dropping-particle":"","family":"Greenberg","given":"P.L.","non-dropping-particle":"","parse-names":false,"suffix":""},{"dropping-particle":"","family":"Stone","given":"Richard M.","non-dropping-particle":"","parse-names":false,"suffix":""},{"dropping-particle":"","family":"Al-Kali","given":"Aref","non-dropping-particle":"","parse-names":false,"suffix":""},{"dropping-particle":"","family":"Bejar","given":"Rafael","non-dropping-particle":"","parse-names":false,"suffix":""},{"dropping-particle":"","family":"Bennett","given":"John M.","non-dropping-particle":"","parse-names":false,"suffix":""}],"id":"ITEM-5","issued":{"date-parts":[["2019"]]},"title":"NCCN Clinical Practice Guidelines in Oncology. Myelodysplastic syndromes","type":"article"},"uris":["http://www.mendeley.com/documents/?uuid=42bd97a2-0774-4214-9691-f403cd4a21df"]},{"id":"ITEM-6","itemData":{"DOI":"10.1200/JCO.2009.25.2395","ISSN":"1527-7755","PMID":"20421543","abstract":"PURPOSE To determine the incidence and complications of myelodysplastic syndromes (MDS) among Medicare beneficiaries. METHODS Retrospective review of 2003 Medicare Standard Analytic Files utilizing International Classification of Diseases for Oncology ninth edition CM code 238.7 to identify new MDS patients, with 3-year follow-up. RESULTS Among 1,394,343 individuals in Medicare Standard Analytic Files age &gt; or = 65 years, 162 per 100,000 were coded as newly diagnosed MDS during 2003 yielding a calculated 45,000 new cases in the United States Medicare &gt; or = 65 years population. Patients with MDS were older (median age, 77 years), and over-represented by males. Among patients with MDS diagnosed during first quarter of 2003, 73.2% suffered cardiac-related events during 3-year follow-up, which exceeded the Medicare population (54.5%; P &lt; .01) even when age adjusted (odds ratio, 2.10; P &lt; .01). Significant increases in prevalence of diabetes (40.0% v 33.1%), dyspnea (49.4% v 28.5%), hepatic diseases (0.8% v 0.2%), and infections (sepsis: 22.5% v 6.1%) were noted in MDS (all P &lt; .01) compared with the Medicare population. Patients with MDS requiring RBC transfusions had greater prevalence of these comorbidities. Acute myeloid leukemia developed within 3 years in 9.6%, with increased transformation among transfused (24.6%; P &lt; .001). The 3-year Kaplan-Meier age-adjusted survival for MDS was 60.0%, which was significantly lower than the Medicare population (84.7%; hazard ratio, 3.08; P &lt; .001), and mortality was further increased among transfused MDS (P &lt; .01). In 2003, median payment for MDS was $16,181, compared to $1,575 for the Medicare population (P &lt; .001). CONCLUSION MDS is a common hematologic malignancy of the elderly, which places patients at risk for comorbid conditions. Transfusion dependency identifies patients with MDS at additional increased risk of organ impairment and shortened survival.","author":[{"dropping-particle":"","family":"Goldberg","given":"Stuart L","non-dropping-particle":"","parse-names":false,"suffix":""},{"dropping-particle":"","family":"Chen","given":"Er","non-dropping-particle":"","parse-names":false,"suffix":""},{"dropping-particle":"","family":"Corral","given":"Mitra","non-dropping-particle":"","parse-names":false,"suffix":""},{"dropping-particle":"","family":"Guo","given":"Amy","non-dropping-particle":"","parse-names":false,"suffix":""},{"dropping-particle":"","family":"Mody-Patel","given":"Nikita","non-dropping-particle":"","parse-names":false,"suffix":""},{"dropping-particle":"","family":"Pecora","given":"Andrew L","non-dropping-particle":"","parse-names":false,"suffix":""},{"dropping-particle":"","family":"Laouri","given":"Marianne","non-dropping-particle":"","parse-names":false,"suffix":""}],"container-title":"Journal of clinical oncology : official journal of the American Society of Clinical Oncology","id":"ITEM-6","issue":"17","issued":{"date-parts":[["2010","6","10"]]},"page":"2847-52","title":"Incidence and clinical complications of myelodysplastic syndromes among United States Medicare beneficiaries.","type":"article-journal","volume":"28"},"uris":["http://www.mendeley.com/documents/?uuid=f47f7be7-3b9c-3bc4-8ffe-1d407405f0ee"]}],"mendeley":{"formattedCitation":"[1–6]","plainTextFormattedCitation":"[1–6]","previouslyFormattedCitation":"[1–6]"},"properties":{"noteIndex":0},"schema":"https://github.com/citation-style-language/schema/raw/master/csl-citation.json"}</w:instrText>
      </w:r>
      <w:r w:rsidRPr="006A377C">
        <w:rPr>
          <w:szCs w:val="24"/>
        </w:rPr>
        <w:fldChar w:fldCharType="separate"/>
      </w:r>
      <w:r w:rsidRPr="006A377C">
        <w:rPr>
          <w:noProof/>
          <w:szCs w:val="24"/>
        </w:rPr>
        <w:t>[1–6]</w:t>
      </w:r>
      <w:r w:rsidRPr="006A377C">
        <w:rPr>
          <w:szCs w:val="24"/>
        </w:rPr>
        <w:fldChar w:fldCharType="end"/>
      </w:r>
      <w:r w:rsidRPr="006A377C">
        <w:rPr>
          <w:szCs w:val="24"/>
        </w:rPr>
        <w:t>.</w:t>
      </w:r>
    </w:p>
    <w:p w14:paraId="3B9043E3" w14:textId="77777777" w:rsidR="00F20CFD" w:rsidRPr="006A377C" w:rsidRDefault="00F20CFD" w:rsidP="00EA7BF5">
      <w:pPr>
        <w:ind w:firstLine="709"/>
        <w:rPr>
          <w:szCs w:val="24"/>
        </w:rPr>
      </w:pPr>
      <w:r w:rsidRPr="006A377C">
        <w:rPr>
          <w:szCs w:val="24"/>
        </w:rPr>
        <w:t>Статистических данных о заболеваемости и распространенности МДС в России нет.</w:t>
      </w:r>
    </w:p>
    <w:p w14:paraId="28891D8E" w14:textId="77777777" w:rsidR="00F20CFD" w:rsidRPr="000E7254" w:rsidRDefault="00F20CFD" w:rsidP="00D66F20">
      <w:pPr>
        <w:pStyle w:val="2"/>
      </w:pPr>
      <w:bookmarkStart w:id="7" w:name="_Toc65104082"/>
      <w:r w:rsidRPr="000E7254">
        <w:lastRenderedPageBreak/>
        <w:t xml:space="preserve">1.4. </w:t>
      </w:r>
      <w:r w:rsidR="000E7254" w:rsidRPr="007626C2">
        <w:rPr>
          <w:rFonts w:ascii="Times New Roman CYR" w:hAnsi="Times New Roman CYR" w:cs="Times New Roman CYR"/>
          <w:color w:val="000000"/>
          <w:lang w:eastAsia="ru-RU"/>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bookmarkEnd w:id="7"/>
    </w:p>
    <w:p w14:paraId="2F3F8C01" w14:textId="77777777" w:rsidR="00F20CFD" w:rsidRPr="006A377C" w:rsidRDefault="00F20CFD" w:rsidP="00EA7BF5">
      <w:pPr>
        <w:ind w:firstLine="709"/>
        <w:rPr>
          <w:b/>
          <w:szCs w:val="24"/>
        </w:rPr>
      </w:pPr>
      <w:r w:rsidRPr="006A377C">
        <w:rPr>
          <w:b/>
          <w:szCs w:val="24"/>
        </w:rPr>
        <w:t>Миелодиспластические синдромы (D46)</w:t>
      </w:r>
    </w:p>
    <w:p w14:paraId="33EADDC7" w14:textId="77777777" w:rsidR="00F20CFD" w:rsidRPr="006A377C" w:rsidRDefault="00F20CFD" w:rsidP="00EA7BF5">
      <w:pPr>
        <w:ind w:firstLine="709"/>
        <w:rPr>
          <w:szCs w:val="24"/>
        </w:rPr>
      </w:pPr>
      <w:r w:rsidRPr="006A377C">
        <w:rPr>
          <w:b/>
          <w:szCs w:val="24"/>
        </w:rPr>
        <w:t>D46.0</w:t>
      </w:r>
      <w:r w:rsidRPr="006A377C">
        <w:rPr>
          <w:szCs w:val="24"/>
        </w:rPr>
        <w:t xml:space="preserve"> Рефрактерная анемия без сидеробластов, так обозначенная;</w:t>
      </w:r>
    </w:p>
    <w:p w14:paraId="544AE5D9" w14:textId="77777777" w:rsidR="00F20CFD" w:rsidRPr="006A377C" w:rsidRDefault="00F20CFD" w:rsidP="00EA7BF5">
      <w:pPr>
        <w:ind w:firstLine="709"/>
        <w:rPr>
          <w:szCs w:val="24"/>
        </w:rPr>
      </w:pPr>
      <w:r w:rsidRPr="006A377C">
        <w:rPr>
          <w:b/>
          <w:szCs w:val="24"/>
        </w:rPr>
        <w:t>D46.1</w:t>
      </w:r>
      <w:r w:rsidRPr="006A377C">
        <w:rPr>
          <w:szCs w:val="24"/>
        </w:rPr>
        <w:t xml:space="preserve"> Рефрактерная анемия с сидеробластами;</w:t>
      </w:r>
    </w:p>
    <w:p w14:paraId="58608568" w14:textId="77777777" w:rsidR="00F20CFD" w:rsidRPr="006A377C" w:rsidRDefault="00F20CFD" w:rsidP="00EA7BF5">
      <w:pPr>
        <w:ind w:firstLine="709"/>
        <w:rPr>
          <w:szCs w:val="24"/>
        </w:rPr>
      </w:pPr>
      <w:r w:rsidRPr="006A377C">
        <w:rPr>
          <w:b/>
          <w:szCs w:val="24"/>
        </w:rPr>
        <w:t>D46.2</w:t>
      </w:r>
      <w:r w:rsidRPr="006A377C">
        <w:rPr>
          <w:szCs w:val="24"/>
        </w:rPr>
        <w:t xml:space="preserve"> Рефрактерная анемия c избытком бластов</w:t>
      </w:r>
    </w:p>
    <w:p w14:paraId="09EABCE1" w14:textId="77777777" w:rsidR="00F20CFD" w:rsidRPr="006A377C" w:rsidRDefault="00F20CFD" w:rsidP="00EA7BF5">
      <w:pPr>
        <w:ind w:firstLine="709"/>
        <w:rPr>
          <w:szCs w:val="24"/>
        </w:rPr>
      </w:pPr>
      <w:r w:rsidRPr="006A377C">
        <w:rPr>
          <w:b/>
          <w:szCs w:val="24"/>
        </w:rPr>
        <w:t>D46.3</w:t>
      </w:r>
      <w:r w:rsidRPr="006A377C">
        <w:rPr>
          <w:szCs w:val="24"/>
        </w:rPr>
        <w:t xml:space="preserve"> Рефрактерная анемия с избытком бластов с трансформацией</w:t>
      </w:r>
    </w:p>
    <w:p w14:paraId="0D5CABE7" w14:textId="77777777" w:rsidR="00F20CFD" w:rsidRPr="006A377C" w:rsidRDefault="00F20CFD" w:rsidP="00EA7BF5">
      <w:pPr>
        <w:ind w:firstLine="709"/>
        <w:rPr>
          <w:szCs w:val="24"/>
        </w:rPr>
      </w:pPr>
      <w:r w:rsidRPr="006A377C">
        <w:rPr>
          <w:b/>
          <w:szCs w:val="24"/>
        </w:rPr>
        <w:t>D46.4</w:t>
      </w:r>
      <w:r w:rsidRPr="006A377C">
        <w:rPr>
          <w:szCs w:val="24"/>
        </w:rPr>
        <w:t xml:space="preserve"> Рефрактерная анемия неуточненная</w:t>
      </w:r>
    </w:p>
    <w:p w14:paraId="373B7E2E" w14:textId="77777777" w:rsidR="00F20CFD" w:rsidRPr="006A377C" w:rsidRDefault="00F20CFD" w:rsidP="00EA7BF5">
      <w:pPr>
        <w:ind w:firstLine="709"/>
        <w:rPr>
          <w:szCs w:val="24"/>
        </w:rPr>
      </w:pPr>
      <w:r w:rsidRPr="006A377C">
        <w:rPr>
          <w:b/>
          <w:szCs w:val="24"/>
        </w:rPr>
        <w:t xml:space="preserve">D46.7 </w:t>
      </w:r>
      <w:r w:rsidRPr="006A377C">
        <w:rPr>
          <w:szCs w:val="24"/>
        </w:rPr>
        <w:t>Другие МДС</w:t>
      </w:r>
    </w:p>
    <w:p w14:paraId="00648C92" w14:textId="77777777" w:rsidR="00F20CFD" w:rsidRPr="006A377C" w:rsidRDefault="00F20CFD" w:rsidP="00EA7BF5">
      <w:pPr>
        <w:ind w:firstLine="709"/>
        <w:rPr>
          <w:szCs w:val="24"/>
        </w:rPr>
      </w:pPr>
      <w:r w:rsidRPr="006A377C">
        <w:rPr>
          <w:b/>
          <w:szCs w:val="24"/>
        </w:rPr>
        <w:t xml:space="preserve">D46.9 </w:t>
      </w:r>
      <w:r w:rsidRPr="006A377C">
        <w:rPr>
          <w:szCs w:val="24"/>
        </w:rPr>
        <w:t>МДС неуточненный</w:t>
      </w:r>
    </w:p>
    <w:p w14:paraId="2C71790F" w14:textId="77777777" w:rsidR="00F20CFD" w:rsidRPr="006A377C" w:rsidRDefault="00F20CFD" w:rsidP="00D66F20">
      <w:pPr>
        <w:pStyle w:val="2"/>
      </w:pPr>
      <w:bookmarkStart w:id="8" w:name="_Toc65104083"/>
      <w:r w:rsidRPr="006A377C">
        <w:t xml:space="preserve">1.5. </w:t>
      </w:r>
      <w:r w:rsidR="000E7254" w:rsidRPr="007626C2">
        <w:t>Классификация заболевания или состояния (группы заболеваний или состояний)</w:t>
      </w:r>
      <w:bookmarkEnd w:id="8"/>
    </w:p>
    <w:p w14:paraId="183DFAE3" w14:textId="1EB499F3" w:rsidR="00F20CFD" w:rsidRPr="006A377C" w:rsidRDefault="00F20CFD" w:rsidP="00EA7BF5">
      <w:pPr>
        <w:ind w:firstLine="709"/>
        <w:rPr>
          <w:szCs w:val="24"/>
        </w:rPr>
      </w:pPr>
      <w:r w:rsidRPr="006A377C">
        <w:rPr>
          <w:szCs w:val="24"/>
        </w:rPr>
        <w:t xml:space="preserve">С 2000 г. при верификации диагноза МДС использовали классификации Всемирной организации здравоохранения (ВОЗ) (пересмотр от 2008 г. </w:t>
      </w:r>
      <w:r w:rsidRPr="006A377C">
        <w:rPr>
          <w:szCs w:val="24"/>
        </w:rPr>
        <w:fldChar w:fldCharType="begin" w:fldLock="1"/>
      </w:r>
      <w:r w:rsidR="00F15197">
        <w:rPr>
          <w:szCs w:val="24"/>
        </w:rPr>
        <w:instrText>ADDIN CSL_CITATION {"citationItems":[{"id":"ITEM-1","itemData":{"ISBN":"9789283224310","abstract":"4th ed. This book is the third volume in the new WHO series on histological and genetic typing of human tumors. This authoritative, concise reference book covers the entire range of leukaemias and lymphomas. It provides an international standard for oncologists and pathologists and will serve as an indispensable guide for use in the design of studies monitoring response to therapy and clinical outcome. Diagnostic criteria, pathological features, and associated genetic alterations are described in a strictly disease-oriented manner. Sections on all recognized neoplasms and their variants include new ICD-O codes, incidence, age and sex distribution, location, clinical signs and symptoms, pathology, genetics, and predictive factors. The book, prepared by 130 authors from 22 countries, contains more than 1,000 color photographs, numerous magnetic resonance and ultrasound images, CT scans, charts, and 2,500 references. This book is in the series commonly referred to as the \"Blue Book\" series. Introduction and overview of the classification of the myeloid neoplasms -- Myeloproliferative neoplasms -- Myeloid and lymphoid neoplasms with eosinophilia and abnormalities of PDGFRA, PDGFRB or FGFR1 -- Myelodysplastic/myeloproliferative neoplasms -- Myelodysplastic syndromes -- Acute myeloid leukaemia (AML) and related precursor neoplasms -- Acute leukaemias of ambiguous lineage -- Introduction and overview of the classification of the lymphoid neoplasms -- Precursor lymphoid neoplasms -- Mature B-cell neoplasms -- Mature T-and NK-cell neoplasms -- Hodgkin lymphoma -- Immunodeficiency-associated lymphoproliferative disorders -- Histiocytic and dendritic cell neoplasms.","author":[{"dropping-particle":"","family":"Swerdlow","given":"Steven H.","non-dropping-particle":"","parse-names":false,"suffix":""},{"dropping-particle":"","family":"Campo","given":"E.","non-dropping-particle":"","parse-names":false,"suffix":""},{"dropping-particle":"","family":"Harris","given":"NL.","non-dropping-particle":"","parse-names":false,"suffix":""},{"dropping-particle":"","family":"Jaffe","given":"E.S.","non-dropping-particle":"","parse-names":false,"suffix":""},{"dropping-particle":"","family":"Pileri","given":"S.A.","non-dropping-particle":"","parse-names":false,"suffix":""},{"dropping-particle":"","family":"Stein","given":"H","non-dropping-particle":"","parse-names":false,"suffix":""},{"dropping-particle":"","family":"Thiele","given":"J.","non-dropping-particle":"","parse-names":false,"suffix":""},{"dropping-particle":"","family":"Vardiman","given":"J.W.","non-dropping-particle":"","parse-names":false,"suffix":""}],"id":"ITEM-1","issued":{"date-parts":[["2008"]]},"number-of-pages":"439","publisher":"International Agency for Research on Cancer","title":"WHO classification of tumours of haematopoietic and lymphoid tissues","type":"book"},"uris":["http://www.mendeley.com/documents/?uuid=d41cda03-cdae-4f5d-a08a-c80f3befab43"]}],"mendeley":{"formattedCitation":"[7]","plainTextFormattedCitation":"[7]","previouslyFormattedCitation":"[7]"},"properties":{"noteIndex":0},"schema":"https://github.com/citation-style-language/schema/raw/master/csl-citation.json"}</w:instrText>
      </w:r>
      <w:r w:rsidRPr="006A377C">
        <w:rPr>
          <w:szCs w:val="24"/>
        </w:rPr>
        <w:fldChar w:fldCharType="separate"/>
      </w:r>
      <w:r w:rsidRPr="006A377C">
        <w:rPr>
          <w:noProof/>
          <w:szCs w:val="24"/>
        </w:rPr>
        <w:t>[7]</w:t>
      </w:r>
      <w:r w:rsidRPr="006A377C">
        <w:rPr>
          <w:szCs w:val="24"/>
        </w:rPr>
        <w:fldChar w:fldCharType="end"/>
      </w:r>
      <w:r w:rsidRPr="006A377C">
        <w:rPr>
          <w:szCs w:val="24"/>
        </w:rPr>
        <w:t>), в которую в 2017 году после очередного пересмотра были внесены существенные изменения:</w:t>
      </w:r>
    </w:p>
    <w:p w14:paraId="1CCE8E70" w14:textId="77777777" w:rsidR="00F20CFD" w:rsidRPr="006A377C" w:rsidRDefault="00F20CFD" w:rsidP="005F2F2B">
      <w:pPr>
        <w:pStyle w:val="aff"/>
        <w:numPr>
          <w:ilvl w:val="0"/>
          <w:numId w:val="9"/>
        </w:numPr>
        <w:ind w:left="0" w:firstLine="0"/>
        <w:rPr>
          <w:szCs w:val="24"/>
        </w:rPr>
      </w:pPr>
      <w:r w:rsidRPr="006A377C">
        <w:rPr>
          <w:szCs w:val="24"/>
        </w:rPr>
        <w:t>Изменение номенклатуры МДС. В настоящей классификации исключено ключевое понятие «рефрактерная анемия» для всех вариантов МДС. Для современного обозначения вариантов МДС ключевым стало понятие «миелодиспластический синдром». Например, МДС с</w:t>
      </w:r>
      <w:r w:rsidR="00BF1E35">
        <w:rPr>
          <w:szCs w:val="24"/>
        </w:rPr>
        <w:t xml:space="preserve"> кольцевыми сидеробластами</w:t>
      </w:r>
      <w:r w:rsidRPr="006A377C">
        <w:rPr>
          <w:szCs w:val="24"/>
        </w:rPr>
        <w:t xml:space="preserve"> </w:t>
      </w:r>
      <w:r w:rsidR="00BF1E35">
        <w:rPr>
          <w:szCs w:val="24"/>
        </w:rPr>
        <w:t>(</w:t>
      </w:r>
      <w:r w:rsidRPr="006A377C">
        <w:rPr>
          <w:szCs w:val="24"/>
        </w:rPr>
        <w:t>КС</w:t>
      </w:r>
      <w:r w:rsidR="00BF1E35">
        <w:rPr>
          <w:szCs w:val="24"/>
        </w:rPr>
        <w:t>)</w:t>
      </w:r>
      <w:r w:rsidRPr="006A377C">
        <w:rPr>
          <w:szCs w:val="24"/>
        </w:rPr>
        <w:t xml:space="preserve"> и мультилинейной дисплазией, МДС с избытком бластов-2;</w:t>
      </w:r>
    </w:p>
    <w:p w14:paraId="3B3B2C77" w14:textId="77777777" w:rsidR="00F20CFD" w:rsidRPr="006A377C" w:rsidRDefault="00F20CFD" w:rsidP="005F2F2B">
      <w:pPr>
        <w:pStyle w:val="aff"/>
        <w:numPr>
          <w:ilvl w:val="0"/>
          <w:numId w:val="9"/>
        </w:numPr>
        <w:ind w:left="0" w:firstLine="0"/>
        <w:rPr>
          <w:szCs w:val="24"/>
        </w:rPr>
      </w:pPr>
      <w:r w:rsidRPr="006A377C">
        <w:rPr>
          <w:szCs w:val="24"/>
        </w:rPr>
        <w:t xml:space="preserve">Особенности подсчета бластных клеток в КМ </w:t>
      </w:r>
      <w:r w:rsidR="00C323D2">
        <w:rPr>
          <w:szCs w:val="24"/>
        </w:rPr>
        <w:t xml:space="preserve">от всех </w:t>
      </w:r>
      <w:r w:rsidR="00B67AAF">
        <w:rPr>
          <w:szCs w:val="24"/>
        </w:rPr>
        <w:t xml:space="preserve">ядросодержащих </w:t>
      </w:r>
      <w:r w:rsidR="00C323D2">
        <w:rPr>
          <w:szCs w:val="24"/>
        </w:rPr>
        <w:t>клеток костного мозга</w:t>
      </w:r>
      <w:r w:rsidRPr="006A377C">
        <w:rPr>
          <w:szCs w:val="24"/>
        </w:rPr>
        <w:t>;</w:t>
      </w:r>
    </w:p>
    <w:p w14:paraId="68259989" w14:textId="77777777" w:rsidR="00F20CFD" w:rsidRPr="006A377C" w:rsidRDefault="00F20CFD" w:rsidP="005F2F2B">
      <w:pPr>
        <w:pStyle w:val="aff"/>
        <w:numPr>
          <w:ilvl w:val="0"/>
          <w:numId w:val="9"/>
        </w:numPr>
        <w:ind w:left="0" w:firstLine="0"/>
        <w:rPr>
          <w:szCs w:val="24"/>
        </w:rPr>
      </w:pPr>
      <w:r w:rsidRPr="006A377C">
        <w:rPr>
          <w:szCs w:val="24"/>
        </w:rPr>
        <w:t xml:space="preserve">Интерпретация увеличенного количества кольцевых сидеробластов в зависимости от наличия или отсутствия мутации в гене </w:t>
      </w:r>
      <w:r w:rsidRPr="006A377C">
        <w:rPr>
          <w:i/>
          <w:szCs w:val="24"/>
          <w:lang w:val="en-US"/>
        </w:rPr>
        <w:t>SF</w:t>
      </w:r>
      <w:r w:rsidRPr="006A377C">
        <w:rPr>
          <w:i/>
          <w:szCs w:val="24"/>
        </w:rPr>
        <w:t>3</w:t>
      </w:r>
      <w:r w:rsidRPr="006A377C">
        <w:rPr>
          <w:i/>
          <w:szCs w:val="24"/>
          <w:lang w:val="en-US"/>
        </w:rPr>
        <w:t>B</w:t>
      </w:r>
      <w:r w:rsidRPr="006A377C">
        <w:rPr>
          <w:i/>
          <w:szCs w:val="24"/>
        </w:rPr>
        <w:t xml:space="preserve">1: </w:t>
      </w:r>
      <w:r w:rsidRPr="006A377C">
        <w:rPr>
          <w:szCs w:val="24"/>
        </w:rPr>
        <w:t xml:space="preserve">при наличии мутации в гене </w:t>
      </w:r>
      <w:r w:rsidRPr="006A377C">
        <w:rPr>
          <w:i/>
          <w:szCs w:val="24"/>
          <w:lang w:val="en-US"/>
        </w:rPr>
        <w:t>SF</w:t>
      </w:r>
      <w:r w:rsidRPr="006A377C">
        <w:rPr>
          <w:i/>
          <w:szCs w:val="24"/>
        </w:rPr>
        <w:t>3</w:t>
      </w:r>
      <w:r w:rsidRPr="006A377C">
        <w:rPr>
          <w:i/>
          <w:szCs w:val="24"/>
          <w:lang w:val="en-US"/>
        </w:rPr>
        <w:t>B</w:t>
      </w:r>
      <w:r w:rsidRPr="006A377C">
        <w:rPr>
          <w:i/>
          <w:szCs w:val="24"/>
        </w:rPr>
        <w:t xml:space="preserve">1 </w:t>
      </w:r>
      <w:r w:rsidRPr="006A377C">
        <w:rPr>
          <w:szCs w:val="24"/>
        </w:rPr>
        <w:t>пороговое значение кольцевых сидеробластов ≥5%, при ее отсутствии или невозможности определения ≥15%;</w:t>
      </w:r>
    </w:p>
    <w:p w14:paraId="0580017A" w14:textId="77777777" w:rsidR="00F20CFD" w:rsidRPr="006A377C" w:rsidRDefault="00F20CFD" w:rsidP="005F2F2B">
      <w:pPr>
        <w:pStyle w:val="aff"/>
        <w:numPr>
          <w:ilvl w:val="0"/>
          <w:numId w:val="9"/>
        </w:numPr>
        <w:ind w:left="0" w:firstLine="0"/>
        <w:rPr>
          <w:szCs w:val="24"/>
        </w:rPr>
      </w:pPr>
      <w:r w:rsidRPr="006A377C">
        <w:rPr>
          <w:szCs w:val="24"/>
        </w:rPr>
        <w:t xml:space="preserve">У пациентов МДС с делецией длинного плеча 5-й хромосомы допустимо выявление еще одной аномалии кариотипа, за исключением </w:t>
      </w:r>
      <w:r w:rsidR="00DB0690">
        <w:rPr>
          <w:szCs w:val="24"/>
        </w:rPr>
        <w:t xml:space="preserve">аберрации </w:t>
      </w:r>
      <w:r w:rsidRPr="006A377C">
        <w:rPr>
          <w:szCs w:val="24"/>
        </w:rPr>
        <w:t>7-й хромосомы.</w:t>
      </w:r>
    </w:p>
    <w:p w14:paraId="1AC55D98" w14:textId="77777777" w:rsidR="00F20CFD" w:rsidRPr="006A377C" w:rsidRDefault="00F20CFD" w:rsidP="00EA7BF5">
      <w:pPr>
        <w:ind w:firstLine="709"/>
        <w:rPr>
          <w:szCs w:val="24"/>
        </w:rPr>
      </w:pPr>
      <w:r w:rsidRPr="006A377C">
        <w:rPr>
          <w:szCs w:val="24"/>
        </w:rPr>
        <w:t xml:space="preserve">Учитывая вышеизложенное, варианты МДС в соответствии с актуальными критериями ВОЗ от 2017 года представлены ниже </w:t>
      </w:r>
      <w:r w:rsidRPr="006A377C">
        <w:rPr>
          <w:szCs w:val="24"/>
        </w:rPr>
        <w:fldChar w:fldCharType="begin" w:fldLock="1"/>
      </w:r>
      <w:r w:rsidRPr="006A377C">
        <w:rPr>
          <w:szCs w:val="24"/>
        </w:rPr>
        <w:instrText>ADDIN CSL_CITATION {"citationItems":[{"id":"ITEM-1","itemData":{"ISBN":"9789283244943","abstract":"Revised 4th edition. Introduction and overview of the classification of the myeloid neoplasms -- Myeloproliferative neoplasms -- Mastocytosis -- Myeloid/lymphoid neoplasms with eosinophilia and gene rearrangement -- Myelodysplastic/myeloproliferative neoplasms -- Myelodysplastic syndromes -- Myeloid neoplasms with germline predisposition -- Acute myeloid leukaemia and related precursor neoplasms -- Blastic plasmacytoid dendritic cell neoplasm -- Acute leukaemias of ambiguous lineage -- Introduction and overview of the classification of the lymphoid neoplasms -- Precursor lymphoid neoplasms -- Mature B-cell neoplasms -- Mature T- and NK-cell neoplasms -- Hodgkin lymphomas -- Immunodeficiency-associated lymphoproliferative disorders -- Histiocytic and dendritic cell neoplasms.","author":[{"dropping-particle":"","family":"Swerdlow","given":"Steven H.","non-dropping-particle":"","parse-names":false,"suffix":""},{"dropping-particle":"","family":"Campo","given":"Elias","non-dropping-particle":"","parse-names":false,"suffix":""},{"dropping-particle":"","family":"Harris","given":"Nancy Lee","non-dropping-particle":"","parse-names":false,"suffix":""},{"dropping-particle":"","family":"Jaffe","given":"Elaine S.","non-dropping-particle":"","parse-names":false,"suffix":""},{"dropping-particle":"","family":"Pileri","given":"Stefano A.","non-dropping-particle":"","parse-names":false,"suffix":""},{"dropping-particle":"","family":"Stein","given":"Harald","non-dropping-particle":"","parse-names":false,"suffix":""},{"dropping-particle":"","family":"Thiele","given":"Jürgen","non-dropping-particle":"","parse-names":false,"suffix":""}],"editor":[{"dropping-particle":"","family":"Swerdlow SH, Campo E, Harris NL, Jaffe ES, Pileri SA, Stein H","given":"Thiele J","non-dropping-particle":"","parse-names":false,"suffix":""}],"id":"ITEM-1","issued":{"date-parts":[["2017"]]},"number-of-pages":"585","title":"WHO classification of tumours of haematopoietic and lymphoid tissues. Revised 4th ed. Lyon, France: International Agency for Research in Cancer (IARC)","type":"book"},"uris":["http://www.mendeley.com/documents/?uuid=b06b14d2-e846-3ead-b23a-17e93b076e13"]}],"mendeley":{"formattedCitation":"[8]","plainTextFormattedCitation":"[8]","previouslyFormattedCitation":"[8]"},"properties":{"noteIndex":0},"schema":"https://github.com/citation-style-language/schema/raw/master/csl-citation.json"}</w:instrText>
      </w:r>
      <w:r w:rsidRPr="006A377C">
        <w:rPr>
          <w:szCs w:val="24"/>
        </w:rPr>
        <w:fldChar w:fldCharType="separate"/>
      </w:r>
      <w:r w:rsidRPr="006A377C">
        <w:rPr>
          <w:noProof/>
          <w:szCs w:val="24"/>
        </w:rPr>
        <w:t>[8]</w:t>
      </w:r>
      <w:r w:rsidRPr="006A377C">
        <w:rPr>
          <w:szCs w:val="24"/>
        </w:rPr>
        <w:fldChar w:fldCharType="end"/>
      </w:r>
      <w:r w:rsidRPr="006A377C">
        <w:rPr>
          <w:szCs w:val="24"/>
        </w:rPr>
        <w:t>.</w:t>
      </w:r>
    </w:p>
    <w:p w14:paraId="20A45382" w14:textId="77777777" w:rsidR="00F20CFD" w:rsidRPr="006A377C" w:rsidRDefault="00F20CFD" w:rsidP="005F2F2B">
      <w:pPr>
        <w:pStyle w:val="Number"/>
        <w:numPr>
          <w:ilvl w:val="0"/>
          <w:numId w:val="18"/>
        </w:numPr>
        <w:spacing w:line="360" w:lineRule="auto"/>
        <w:rPr>
          <w:color w:val="auto"/>
        </w:rPr>
      </w:pPr>
      <w:r w:rsidRPr="006A377C">
        <w:rPr>
          <w:color w:val="auto"/>
        </w:rPr>
        <w:t>МДС с линейной</w:t>
      </w:r>
      <w:r w:rsidR="00C323D2">
        <w:rPr>
          <w:color w:val="auto"/>
        </w:rPr>
        <w:t xml:space="preserve"> (однолинейной) </w:t>
      </w:r>
      <w:r w:rsidRPr="006A377C">
        <w:rPr>
          <w:color w:val="auto"/>
        </w:rPr>
        <w:t>дисплазией (ЛД):</w:t>
      </w:r>
    </w:p>
    <w:p w14:paraId="5B245A0C" w14:textId="77777777" w:rsidR="00F20CFD" w:rsidRPr="006A377C" w:rsidRDefault="00F20CFD" w:rsidP="00EA7BF5">
      <w:pPr>
        <w:pStyle w:val="Number"/>
        <w:spacing w:line="360" w:lineRule="auto"/>
        <w:rPr>
          <w:color w:val="auto"/>
        </w:rPr>
      </w:pPr>
      <w:r w:rsidRPr="006A377C">
        <w:rPr>
          <w:color w:val="auto"/>
        </w:rPr>
        <w:t>2. МДС с мультилинейной дисплазией (МДС-МД).</w:t>
      </w:r>
    </w:p>
    <w:p w14:paraId="1C9F6490" w14:textId="77777777" w:rsidR="00F20CFD" w:rsidRPr="006A377C" w:rsidRDefault="00F20CFD" w:rsidP="00EA7BF5">
      <w:pPr>
        <w:pStyle w:val="Number"/>
        <w:spacing w:line="360" w:lineRule="auto"/>
        <w:ind w:firstLine="0"/>
        <w:rPr>
          <w:color w:val="auto"/>
        </w:rPr>
      </w:pPr>
      <w:r w:rsidRPr="006A377C">
        <w:rPr>
          <w:color w:val="auto"/>
        </w:rPr>
        <w:t>3. МДС с кольцевыми сидеробластами (МДС-КС):</w:t>
      </w:r>
    </w:p>
    <w:p w14:paraId="29E1B8DD" w14:textId="77777777" w:rsidR="00F20CFD" w:rsidRPr="006A377C" w:rsidRDefault="00F20CFD" w:rsidP="006837A5">
      <w:pPr>
        <w:pStyle w:val="Number"/>
        <w:spacing w:line="360" w:lineRule="auto"/>
        <w:ind w:firstLine="702"/>
        <w:rPr>
          <w:color w:val="auto"/>
        </w:rPr>
      </w:pPr>
      <w:r w:rsidRPr="006A377C">
        <w:rPr>
          <w:color w:val="auto"/>
        </w:rPr>
        <w:lastRenderedPageBreak/>
        <w:t>– МДС с кольцевыми сидеробластами и линейной дисплазией (МДС-КС-ЛД).</w:t>
      </w:r>
    </w:p>
    <w:p w14:paraId="537DB3E0" w14:textId="77777777" w:rsidR="00F20CFD" w:rsidRPr="006A377C" w:rsidRDefault="00F20CFD" w:rsidP="006837A5">
      <w:pPr>
        <w:pStyle w:val="Number"/>
        <w:spacing w:line="360" w:lineRule="auto"/>
        <w:ind w:firstLine="702"/>
        <w:rPr>
          <w:color w:val="auto"/>
        </w:rPr>
      </w:pPr>
      <w:r w:rsidRPr="006A377C">
        <w:rPr>
          <w:color w:val="auto"/>
        </w:rPr>
        <w:t>– МДС с кольцевыми сидеробластами и мультилинейной дисплазией (МДС-КС-МД).</w:t>
      </w:r>
    </w:p>
    <w:p w14:paraId="186A7E0E" w14:textId="77777777" w:rsidR="00F20CFD" w:rsidRPr="006A377C" w:rsidRDefault="00F20CFD" w:rsidP="00EA7BF5">
      <w:pPr>
        <w:pStyle w:val="Number"/>
        <w:spacing w:line="360" w:lineRule="auto"/>
        <w:ind w:firstLine="0"/>
        <w:rPr>
          <w:color w:val="auto"/>
        </w:rPr>
      </w:pPr>
      <w:r w:rsidRPr="006A377C">
        <w:rPr>
          <w:color w:val="auto"/>
        </w:rPr>
        <w:t>4. МДС с изолированной делецией длинного плеча 5-й хромосомы (МДС-5q–)</w:t>
      </w:r>
    </w:p>
    <w:p w14:paraId="4872A538" w14:textId="77777777" w:rsidR="00F20CFD" w:rsidRPr="006A377C" w:rsidRDefault="00F20CFD" w:rsidP="00EA7BF5">
      <w:pPr>
        <w:pStyle w:val="Number"/>
        <w:spacing w:line="360" w:lineRule="auto"/>
        <w:rPr>
          <w:color w:val="auto"/>
        </w:rPr>
      </w:pPr>
      <w:r w:rsidRPr="006A377C">
        <w:rPr>
          <w:color w:val="auto"/>
        </w:rPr>
        <w:t>5. МДС с избытком бластов</w:t>
      </w:r>
    </w:p>
    <w:p w14:paraId="71392FC8" w14:textId="77777777" w:rsidR="00F20CFD" w:rsidRPr="006A377C" w:rsidRDefault="00F20CFD" w:rsidP="00EA7BF5">
      <w:pPr>
        <w:pStyle w:val="Number"/>
        <w:spacing w:line="360" w:lineRule="auto"/>
        <w:ind w:firstLine="709"/>
        <w:rPr>
          <w:color w:val="auto"/>
        </w:rPr>
      </w:pPr>
      <w:r w:rsidRPr="006A377C">
        <w:rPr>
          <w:color w:val="auto"/>
        </w:rPr>
        <w:t>– МДС с избытком бластов-1 (МДС-ИБ-1);</w:t>
      </w:r>
    </w:p>
    <w:p w14:paraId="39EAEEB6" w14:textId="77777777" w:rsidR="00F20CFD" w:rsidRPr="006A377C" w:rsidRDefault="00F20CFD" w:rsidP="00EA7BF5">
      <w:pPr>
        <w:pStyle w:val="Number"/>
        <w:spacing w:line="360" w:lineRule="auto"/>
        <w:ind w:firstLine="709"/>
        <w:rPr>
          <w:color w:val="auto"/>
        </w:rPr>
      </w:pPr>
      <w:r w:rsidRPr="006A377C">
        <w:rPr>
          <w:color w:val="auto"/>
        </w:rPr>
        <w:t>– МДС с избытком бластов-2 (МДС-ИБ-2);</w:t>
      </w:r>
    </w:p>
    <w:p w14:paraId="04D49B0E" w14:textId="77777777" w:rsidR="00F20CFD" w:rsidRPr="006A377C" w:rsidRDefault="00F20CFD" w:rsidP="00EA7BF5">
      <w:pPr>
        <w:pStyle w:val="Number"/>
        <w:spacing w:line="360" w:lineRule="auto"/>
        <w:rPr>
          <w:color w:val="auto"/>
        </w:rPr>
      </w:pPr>
      <w:r w:rsidRPr="006A377C">
        <w:rPr>
          <w:color w:val="auto"/>
        </w:rPr>
        <w:t>6. МДС неклассифицируемый (МДС-Н).</w:t>
      </w:r>
    </w:p>
    <w:p w14:paraId="6B4D20E1" w14:textId="77777777" w:rsidR="00F20CFD" w:rsidRPr="006A377C" w:rsidRDefault="00F20CFD" w:rsidP="00EA7BF5">
      <w:pPr>
        <w:ind w:firstLine="709"/>
        <w:rPr>
          <w:szCs w:val="24"/>
        </w:rPr>
      </w:pPr>
      <w:r w:rsidRPr="006A377C">
        <w:rPr>
          <w:szCs w:val="24"/>
        </w:rPr>
        <w:t>Критерии вариантов МДС представлены в таблице 1.</w:t>
      </w:r>
    </w:p>
    <w:p w14:paraId="08F34BCE" w14:textId="77777777" w:rsidR="00F20CFD" w:rsidRPr="006A377C" w:rsidRDefault="00F20CFD" w:rsidP="00FD2E94">
      <w:pPr>
        <w:rPr>
          <w:b/>
          <w:szCs w:val="24"/>
        </w:rPr>
      </w:pPr>
      <w:r w:rsidRPr="006A377C">
        <w:rPr>
          <w:b/>
          <w:szCs w:val="24"/>
        </w:rPr>
        <w:t xml:space="preserve">Таблица 1. </w:t>
      </w:r>
      <w:r w:rsidRPr="006A377C">
        <w:rPr>
          <w:szCs w:val="24"/>
        </w:rPr>
        <w:t xml:space="preserve">Классификация МДС ВОЗ 2017 г. </w:t>
      </w:r>
      <w:r w:rsidRPr="006A377C">
        <w:rPr>
          <w:szCs w:val="24"/>
        </w:rPr>
        <w:fldChar w:fldCharType="begin" w:fldLock="1"/>
      </w:r>
      <w:r w:rsidRPr="006A377C">
        <w:rPr>
          <w:szCs w:val="24"/>
        </w:rPr>
        <w:instrText>ADDIN CSL_CITATION {"citationItems":[{"id":"ITEM-1","itemData":{"ISBN":"9789283244943","abstract":"Revised 4th edition. Introduction and overview of the classification of the myeloid neoplasms -- Myeloproliferative neoplasms -- Mastocytosis -- Myeloid/lymphoid neoplasms with eosinophilia and gene rearrangement -- Myelodysplastic/myeloproliferative neoplasms -- Myelodysplastic syndromes -- Myeloid neoplasms with germline predisposition -- Acute myeloid leukaemia and related precursor neoplasms -- Blastic plasmacytoid dendritic cell neoplasm -- Acute leukaemias of ambiguous lineage -- Introduction and overview of the classification of the lymphoid neoplasms -- Precursor lymphoid neoplasms -- Mature B-cell neoplasms -- Mature T- and NK-cell neoplasms -- Hodgkin lymphomas -- Immunodeficiency-associated lymphoproliferative disorders -- Histiocytic and dendritic cell neoplasms.","author":[{"dropping-particle":"","family":"Swerdlow","given":"Steven H.","non-dropping-particle":"","parse-names":false,"suffix":""},{"dropping-particle":"","family":"Campo","given":"Elias","non-dropping-particle":"","parse-names":false,"suffix":""},{"dropping-particle":"","family":"Harris","given":"Nancy Lee","non-dropping-particle":"","parse-names":false,"suffix":""},{"dropping-particle":"","family":"Jaffe","given":"Elaine S.","non-dropping-particle":"","parse-names":false,"suffix":""},{"dropping-particle":"","family":"Pileri","given":"Stefano A.","non-dropping-particle":"","parse-names":false,"suffix":""},{"dropping-particle":"","family":"Stein","given":"Harald","non-dropping-particle":"","parse-names":false,"suffix":""},{"dropping-particle":"","family":"Thiele","given":"Jürgen","non-dropping-particle":"","parse-names":false,"suffix":""}],"editor":[{"dropping-particle":"","family":"Swerdlow SH, Campo E, Harris NL, Jaffe ES, Pileri SA, Stein H","given":"Thiele J","non-dropping-particle":"","parse-names":false,"suffix":""}],"id":"ITEM-1","issued":{"date-parts":[["2017"]]},"number-of-pages":"585","title":"WHO classification of tumours of haematopoietic and lymphoid tissues. Revised 4th ed. Lyon, France: International Agency for Research in Cancer (IARC)","type":"book"},"uris":["http://www.mendeley.com/documents/?uuid=b06b14d2-e846-3ead-b23a-17e93b076e13"]}],"mendeley":{"formattedCitation":"[8]","plainTextFormattedCitation":"[8]","previouslyFormattedCitation":"[8]"},"properties":{"noteIndex":0},"schema":"https://github.com/citation-style-language/schema/raw/master/csl-citation.json"}</w:instrText>
      </w:r>
      <w:r w:rsidRPr="006A377C">
        <w:rPr>
          <w:szCs w:val="24"/>
        </w:rPr>
        <w:fldChar w:fldCharType="separate"/>
      </w:r>
      <w:r w:rsidRPr="006A377C">
        <w:rPr>
          <w:noProof/>
          <w:szCs w:val="24"/>
        </w:rPr>
        <w:t>[8]</w:t>
      </w:r>
      <w:r w:rsidRPr="006A377C">
        <w:rPr>
          <w:szCs w:val="24"/>
        </w:rPr>
        <w:fldChar w:fldCharType="end"/>
      </w:r>
    </w:p>
    <w:tbl>
      <w:tblPr>
        <w:tblW w:w="978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9"/>
        <w:gridCol w:w="1418"/>
        <w:gridCol w:w="1559"/>
        <w:gridCol w:w="1701"/>
        <w:gridCol w:w="1417"/>
        <w:gridCol w:w="1418"/>
      </w:tblGrid>
      <w:tr w:rsidR="00F20CFD" w:rsidRPr="001E3EF7" w14:paraId="3AB315CA" w14:textId="77777777" w:rsidTr="00610E58">
        <w:tc>
          <w:tcPr>
            <w:tcW w:w="2269" w:type="dxa"/>
          </w:tcPr>
          <w:p w14:paraId="78AFDF3F" w14:textId="77777777" w:rsidR="00F20CFD" w:rsidRPr="001E3EF7" w:rsidRDefault="00F20CFD" w:rsidP="001E3EF7">
            <w:pPr>
              <w:pStyle w:val="table-head-bold"/>
              <w:spacing w:line="360" w:lineRule="auto"/>
              <w:jc w:val="center"/>
              <w:rPr>
                <w:sz w:val="24"/>
                <w:szCs w:val="24"/>
              </w:rPr>
            </w:pPr>
            <w:r w:rsidRPr="001E3EF7">
              <w:rPr>
                <w:sz w:val="24"/>
                <w:szCs w:val="24"/>
              </w:rPr>
              <w:t>Вариант</w:t>
            </w:r>
          </w:p>
        </w:tc>
        <w:tc>
          <w:tcPr>
            <w:tcW w:w="1418" w:type="dxa"/>
          </w:tcPr>
          <w:p w14:paraId="0E1463AF" w14:textId="77777777" w:rsidR="00F20CFD" w:rsidRPr="001E3EF7" w:rsidRDefault="00F20CFD" w:rsidP="001E3EF7">
            <w:pPr>
              <w:pStyle w:val="table-head-bold"/>
              <w:spacing w:line="360" w:lineRule="auto"/>
              <w:ind w:left="0"/>
              <w:jc w:val="center"/>
              <w:rPr>
                <w:b w:val="0"/>
                <w:sz w:val="24"/>
                <w:szCs w:val="24"/>
              </w:rPr>
            </w:pPr>
            <w:r w:rsidRPr="001E3EF7">
              <w:rPr>
                <w:b w:val="0"/>
                <w:sz w:val="24"/>
                <w:szCs w:val="24"/>
              </w:rPr>
              <w:t>Дисплазия,</w:t>
            </w:r>
            <w:r w:rsidRPr="001E3EF7">
              <w:rPr>
                <w:b w:val="0"/>
                <w:sz w:val="24"/>
                <w:szCs w:val="24"/>
                <w:lang w:val="en-US"/>
              </w:rPr>
              <w:t xml:space="preserve"> </w:t>
            </w:r>
            <w:r w:rsidRPr="001E3EF7">
              <w:rPr>
                <w:b w:val="0"/>
                <w:sz w:val="24"/>
                <w:szCs w:val="24"/>
              </w:rPr>
              <w:t>количество ростков</w:t>
            </w:r>
          </w:p>
        </w:tc>
        <w:tc>
          <w:tcPr>
            <w:tcW w:w="1559" w:type="dxa"/>
          </w:tcPr>
          <w:p w14:paraId="3F40E45A" w14:textId="77777777" w:rsidR="00F20CFD" w:rsidRPr="001E3EF7" w:rsidRDefault="00F20CFD" w:rsidP="001E3EF7">
            <w:pPr>
              <w:pStyle w:val="table-head-bold"/>
              <w:spacing w:line="360" w:lineRule="auto"/>
              <w:ind w:left="0"/>
              <w:jc w:val="center"/>
              <w:rPr>
                <w:b w:val="0"/>
                <w:sz w:val="24"/>
                <w:szCs w:val="24"/>
                <w:vertAlign w:val="superscript"/>
              </w:rPr>
            </w:pPr>
            <w:r w:rsidRPr="001E3EF7">
              <w:rPr>
                <w:b w:val="0"/>
                <w:sz w:val="24"/>
                <w:szCs w:val="24"/>
              </w:rPr>
              <w:t>Цитопения</w:t>
            </w:r>
            <w:r w:rsidRPr="001E3EF7">
              <w:rPr>
                <w:b w:val="0"/>
                <w:sz w:val="24"/>
                <w:szCs w:val="24"/>
                <w:vertAlign w:val="superscript"/>
              </w:rPr>
              <w:t>а</w:t>
            </w:r>
            <w:r w:rsidRPr="001E3EF7">
              <w:rPr>
                <w:b w:val="0"/>
                <w:sz w:val="24"/>
                <w:szCs w:val="24"/>
              </w:rPr>
              <w:t>, количество ростков</w:t>
            </w:r>
          </w:p>
        </w:tc>
        <w:tc>
          <w:tcPr>
            <w:tcW w:w="1701" w:type="dxa"/>
          </w:tcPr>
          <w:p w14:paraId="378517E1" w14:textId="77777777" w:rsidR="00F20CFD" w:rsidRPr="001E3EF7" w:rsidRDefault="00F20CFD" w:rsidP="001E3EF7">
            <w:pPr>
              <w:pStyle w:val="table-head-bold"/>
              <w:spacing w:line="360" w:lineRule="auto"/>
              <w:ind w:left="0"/>
              <w:jc w:val="center"/>
              <w:rPr>
                <w:b w:val="0"/>
                <w:sz w:val="24"/>
                <w:szCs w:val="24"/>
              </w:rPr>
            </w:pPr>
            <w:r w:rsidRPr="001E3EF7">
              <w:rPr>
                <w:b w:val="0"/>
                <w:sz w:val="24"/>
                <w:szCs w:val="24"/>
              </w:rPr>
              <w:t xml:space="preserve">Кольцевые сидеробласты (при мутации </w:t>
            </w:r>
            <w:r w:rsidRPr="001E3EF7">
              <w:rPr>
                <w:b w:val="0"/>
                <w:i/>
                <w:sz w:val="24"/>
                <w:szCs w:val="24"/>
                <w:lang w:val="en-US"/>
              </w:rPr>
              <w:t>SF</w:t>
            </w:r>
            <w:r w:rsidRPr="001E3EF7">
              <w:rPr>
                <w:b w:val="0"/>
                <w:i/>
                <w:sz w:val="24"/>
                <w:szCs w:val="24"/>
              </w:rPr>
              <w:t>3</w:t>
            </w:r>
            <w:r w:rsidRPr="001E3EF7">
              <w:rPr>
                <w:b w:val="0"/>
                <w:i/>
                <w:sz w:val="24"/>
                <w:szCs w:val="24"/>
                <w:lang w:val="en-US"/>
              </w:rPr>
              <w:t>B</w:t>
            </w:r>
            <w:r w:rsidRPr="001E3EF7">
              <w:rPr>
                <w:b w:val="0"/>
                <w:i/>
                <w:sz w:val="24"/>
                <w:szCs w:val="24"/>
              </w:rPr>
              <w:t>1)</w:t>
            </w:r>
            <w:r w:rsidRPr="001E3EF7">
              <w:rPr>
                <w:b w:val="0"/>
                <w:sz w:val="24"/>
                <w:szCs w:val="24"/>
              </w:rPr>
              <w:t>, %</w:t>
            </w:r>
          </w:p>
        </w:tc>
        <w:tc>
          <w:tcPr>
            <w:tcW w:w="1417" w:type="dxa"/>
          </w:tcPr>
          <w:p w14:paraId="07F1DBA6" w14:textId="77777777" w:rsidR="00F20CFD" w:rsidRPr="001E3EF7" w:rsidRDefault="00F20CFD" w:rsidP="001E3EF7">
            <w:pPr>
              <w:pStyle w:val="table-head-bold"/>
              <w:spacing w:line="360" w:lineRule="auto"/>
              <w:ind w:left="0"/>
              <w:jc w:val="center"/>
              <w:rPr>
                <w:b w:val="0"/>
                <w:sz w:val="24"/>
                <w:szCs w:val="24"/>
              </w:rPr>
            </w:pPr>
            <w:r w:rsidRPr="001E3EF7">
              <w:rPr>
                <w:b w:val="0"/>
                <w:sz w:val="24"/>
                <w:szCs w:val="24"/>
              </w:rPr>
              <w:t>Бластные клетки в КМ и ПК, %</w:t>
            </w:r>
          </w:p>
        </w:tc>
        <w:tc>
          <w:tcPr>
            <w:tcW w:w="1418" w:type="dxa"/>
          </w:tcPr>
          <w:p w14:paraId="648418AA" w14:textId="77777777" w:rsidR="00F20CFD" w:rsidRPr="001E3EF7" w:rsidRDefault="00F20CFD" w:rsidP="001E3EF7">
            <w:pPr>
              <w:pStyle w:val="table-head-bold"/>
              <w:spacing w:line="360" w:lineRule="auto"/>
              <w:ind w:left="0"/>
              <w:jc w:val="center"/>
              <w:rPr>
                <w:b w:val="0"/>
                <w:sz w:val="24"/>
                <w:szCs w:val="24"/>
              </w:rPr>
            </w:pPr>
            <w:r w:rsidRPr="001E3EF7">
              <w:rPr>
                <w:b w:val="0"/>
                <w:sz w:val="24"/>
                <w:szCs w:val="24"/>
              </w:rPr>
              <w:t>Особен-ности кариотипа</w:t>
            </w:r>
          </w:p>
        </w:tc>
      </w:tr>
      <w:tr w:rsidR="00F20CFD" w:rsidRPr="001E3EF7" w14:paraId="709B3E6D" w14:textId="77777777" w:rsidTr="00610E58">
        <w:tc>
          <w:tcPr>
            <w:tcW w:w="2269" w:type="dxa"/>
          </w:tcPr>
          <w:p w14:paraId="0357ACAB" w14:textId="77777777" w:rsidR="00A366A9" w:rsidRPr="00635146" w:rsidRDefault="00C323D2" w:rsidP="001E3EF7">
            <w:pPr>
              <w:pStyle w:val="table-text-1"/>
              <w:spacing w:line="360" w:lineRule="auto"/>
              <w:ind w:left="0"/>
              <w:rPr>
                <w:b/>
                <w:sz w:val="24"/>
                <w:szCs w:val="24"/>
                <w:lang w:val="ru-RU"/>
              </w:rPr>
            </w:pPr>
            <w:r w:rsidRPr="001E3EF7">
              <w:rPr>
                <w:b/>
                <w:sz w:val="24"/>
                <w:szCs w:val="24"/>
                <w:lang w:val="ru-RU"/>
              </w:rPr>
              <w:t xml:space="preserve">МДС с линейной дисплазией </w:t>
            </w:r>
          </w:p>
          <w:p w14:paraId="5587DE22" w14:textId="77777777" w:rsidR="00C323D2" w:rsidRDefault="00C323D2" w:rsidP="001E3EF7">
            <w:pPr>
              <w:pStyle w:val="table-text-1"/>
              <w:spacing w:line="360" w:lineRule="auto"/>
              <w:ind w:left="0"/>
              <w:rPr>
                <w:sz w:val="24"/>
                <w:szCs w:val="24"/>
                <w:lang w:val="ru-RU"/>
              </w:rPr>
            </w:pPr>
            <w:r w:rsidRPr="001E3EF7">
              <w:rPr>
                <w:b/>
                <w:sz w:val="24"/>
                <w:szCs w:val="24"/>
                <w:lang w:val="ru-RU"/>
              </w:rPr>
              <w:t>(МДС-ЛД)</w:t>
            </w:r>
          </w:p>
          <w:p w14:paraId="5861992A" w14:textId="77777777" w:rsidR="00C323D2" w:rsidRDefault="00C323D2" w:rsidP="001E3EF7">
            <w:pPr>
              <w:pStyle w:val="table-text-1"/>
              <w:spacing w:line="360" w:lineRule="auto"/>
              <w:ind w:left="0"/>
              <w:rPr>
                <w:sz w:val="24"/>
                <w:szCs w:val="24"/>
                <w:lang w:val="ru-RU"/>
              </w:rPr>
            </w:pPr>
          </w:p>
          <w:p w14:paraId="333DBFCB" w14:textId="77777777" w:rsidR="00F20CFD" w:rsidRPr="001E3EF7" w:rsidRDefault="00F20CFD" w:rsidP="001E3EF7">
            <w:pPr>
              <w:pStyle w:val="table-text-1"/>
              <w:spacing w:line="360" w:lineRule="auto"/>
              <w:ind w:left="0"/>
              <w:rPr>
                <w:sz w:val="24"/>
                <w:szCs w:val="24"/>
                <w:lang w:val="ru-RU"/>
              </w:rPr>
            </w:pPr>
          </w:p>
        </w:tc>
        <w:tc>
          <w:tcPr>
            <w:tcW w:w="1418" w:type="dxa"/>
          </w:tcPr>
          <w:p w14:paraId="62F398EC" w14:textId="77777777" w:rsidR="00F20CFD" w:rsidRPr="001E3EF7" w:rsidRDefault="00F20CFD" w:rsidP="001E3EF7">
            <w:pPr>
              <w:pStyle w:val="table-text-0"/>
              <w:spacing w:line="360" w:lineRule="auto"/>
              <w:jc w:val="center"/>
              <w:rPr>
                <w:sz w:val="24"/>
                <w:szCs w:val="24"/>
              </w:rPr>
            </w:pPr>
            <w:r w:rsidRPr="001E3EF7">
              <w:rPr>
                <w:sz w:val="24"/>
                <w:szCs w:val="24"/>
              </w:rPr>
              <w:t>1</w:t>
            </w:r>
          </w:p>
        </w:tc>
        <w:tc>
          <w:tcPr>
            <w:tcW w:w="1559" w:type="dxa"/>
          </w:tcPr>
          <w:p w14:paraId="363E8F32" w14:textId="77777777" w:rsidR="00F20CFD" w:rsidRPr="001E3EF7" w:rsidRDefault="00F20CFD" w:rsidP="001E3EF7">
            <w:pPr>
              <w:pStyle w:val="table-text-0"/>
              <w:spacing w:line="360" w:lineRule="auto"/>
              <w:jc w:val="center"/>
              <w:rPr>
                <w:sz w:val="24"/>
                <w:szCs w:val="24"/>
              </w:rPr>
            </w:pPr>
            <w:r w:rsidRPr="001E3EF7">
              <w:rPr>
                <w:sz w:val="24"/>
                <w:szCs w:val="24"/>
              </w:rPr>
              <w:t>1</w:t>
            </w:r>
            <w:r w:rsidRPr="001E3EF7">
              <w:rPr>
                <w:szCs w:val="24"/>
              </w:rPr>
              <w:t>–</w:t>
            </w:r>
            <w:r w:rsidRPr="001E3EF7">
              <w:rPr>
                <w:sz w:val="24"/>
                <w:szCs w:val="24"/>
              </w:rPr>
              <w:t>2</w:t>
            </w:r>
          </w:p>
        </w:tc>
        <w:tc>
          <w:tcPr>
            <w:tcW w:w="1701" w:type="dxa"/>
          </w:tcPr>
          <w:p w14:paraId="19083580" w14:textId="77777777" w:rsidR="00F20CFD" w:rsidRPr="001E3EF7" w:rsidRDefault="00F20CFD" w:rsidP="001E3EF7">
            <w:pPr>
              <w:pStyle w:val="table-text-0"/>
              <w:spacing w:line="360" w:lineRule="auto"/>
              <w:jc w:val="center"/>
              <w:rPr>
                <w:sz w:val="24"/>
                <w:szCs w:val="24"/>
                <w:vertAlign w:val="superscript"/>
              </w:rPr>
            </w:pPr>
            <w:r w:rsidRPr="001E3EF7">
              <w:rPr>
                <w:sz w:val="24"/>
                <w:szCs w:val="24"/>
              </w:rPr>
              <w:t>&lt;15 (&lt;5)</w:t>
            </w:r>
          </w:p>
        </w:tc>
        <w:tc>
          <w:tcPr>
            <w:tcW w:w="1417" w:type="dxa"/>
          </w:tcPr>
          <w:p w14:paraId="6AF93C26" w14:textId="77777777" w:rsidR="00F20CFD" w:rsidRPr="001E3EF7" w:rsidRDefault="00F20CFD" w:rsidP="001E3EF7">
            <w:pPr>
              <w:pStyle w:val="table-text-0"/>
              <w:spacing w:line="360" w:lineRule="auto"/>
              <w:ind w:left="0"/>
              <w:jc w:val="center"/>
              <w:rPr>
                <w:sz w:val="24"/>
                <w:szCs w:val="24"/>
                <w:lang w:val="ru-RU"/>
              </w:rPr>
            </w:pPr>
            <w:r w:rsidRPr="001E3EF7">
              <w:rPr>
                <w:sz w:val="24"/>
                <w:szCs w:val="24"/>
                <w:lang w:val="ru-RU"/>
              </w:rPr>
              <w:t>КМ &lt;5,</w:t>
            </w:r>
          </w:p>
          <w:p w14:paraId="76857709" w14:textId="77777777" w:rsidR="00F20CFD" w:rsidRPr="001E3EF7" w:rsidRDefault="00F20CFD" w:rsidP="001E3EF7">
            <w:pPr>
              <w:pStyle w:val="table-text-0"/>
              <w:spacing w:line="360" w:lineRule="auto"/>
              <w:ind w:left="0"/>
              <w:jc w:val="center"/>
              <w:rPr>
                <w:sz w:val="24"/>
                <w:szCs w:val="24"/>
                <w:lang w:val="ru-RU"/>
              </w:rPr>
            </w:pPr>
            <w:r w:rsidRPr="001E3EF7">
              <w:rPr>
                <w:sz w:val="24"/>
                <w:szCs w:val="24"/>
                <w:lang w:val="ru-RU"/>
              </w:rPr>
              <w:t>ПК &lt;1, палочки Ауэра – нет</w:t>
            </w:r>
          </w:p>
        </w:tc>
        <w:tc>
          <w:tcPr>
            <w:tcW w:w="1418" w:type="dxa"/>
          </w:tcPr>
          <w:p w14:paraId="79349093" w14:textId="77777777" w:rsidR="00F20CFD" w:rsidRPr="001E3EF7" w:rsidRDefault="00F20CFD" w:rsidP="001E3EF7">
            <w:pPr>
              <w:pStyle w:val="table-text-0"/>
              <w:spacing w:line="360" w:lineRule="auto"/>
              <w:jc w:val="center"/>
              <w:rPr>
                <w:sz w:val="24"/>
                <w:szCs w:val="24"/>
                <w:lang w:val="ru-RU"/>
              </w:rPr>
            </w:pPr>
            <w:r w:rsidRPr="001E3EF7">
              <w:rPr>
                <w:sz w:val="24"/>
                <w:szCs w:val="24"/>
              </w:rPr>
              <w:t>Любой, кроме 5q–</w:t>
            </w:r>
          </w:p>
        </w:tc>
      </w:tr>
      <w:tr w:rsidR="00F20CFD" w:rsidRPr="001E3EF7" w14:paraId="5B0DC61D" w14:textId="77777777" w:rsidTr="00610E58">
        <w:tc>
          <w:tcPr>
            <w:tcW w:w="2269" w:type="dxa"/>
          </w:tcPr>
          <w:p w14:paraId="0EB6D283" w14:textId="77777777" w:rsidR="00F20CFD" w:rsidRPr="001E3EF7" w:rsidRDefault="00F20CFD" w:rsidP="001E3EF7">
            <w:pPr>
              <w:pStyle w:val="table-text-0"/>
              <w:spacing w:line="360" w:lineRule="auto"/>
              <w:rPr>
                <w:b/>
                <w:sz w:val="24"/>
                <w:szCs w:val="24"/>
                <w:lang w:val="ru-RU"/>
              </w:rPr>
            </w:pPr>
            <w:r w:rsidRPr="001E3EF7">
              <w:rPr>
                <w:b/>
                <w:sz w:val="24"/>
                <w:szCs w:val="24"/>
                <w:lang w:val="ru-RU"/>
              </w:rPr>
              <w:t>МДС с мультилинейной дисплазией (МДС-МД)</w:t>
            </w:r>
          </w:p>
        </w:tc>
        <w:tc>
          <w:tcPr>
            <w:tcW w:w="1418" w:type="dxa"/>
          </w:tcPr>
          <w:p w14:paraId="16B6A942" w14:textId="77777777" w:rsidR="00F20CFD" w:rsidRPr="001E3EF7" w:rsidRDefault="00F20CFD" w:rsidP="001E3EF7">
            <w:pPr>
              <w:pStyle w:val="table-text-0"/>
              <w:spacing w:line="360" w:lineRule="auto"/>
              <w:jc w:val="center"/>
              <w:rPr>
                <w:sz w:val="24"/>
                <w:szCs w:val="24"/>
              </w:rPr>
            </w:pPr>
            <w:r w:rsidRPr="001E3EF7">
              <w:rPr>
                <w:sz w:val="24"/>
                <w:szCs w:val="24"/>
              </w:rPr>
              <w:t>2</w:t>
            </w:r>
            <w:r w:rsidRPr="001E3EF7">
              <w:rPr>
                <w:szCs w:val="24"/>
              </w:rPr>
              <w:t>–</w:t>
            </w:r>
            <w:r w:rsidRPr="001E3EF7">
              <w:rPr>
                <w:sz w:val="24"/>
                <w:szCs w:val="24"/>
              </w:rPr>
              <w:t>3</w:t>
            </w:r>
          </w:p>
        </w:tc>
        <w:tc>
          <w:tcPr>
            <w:tcW w:w="1559" w:type="dxa"/>
          </w:tcPr>
          <w:p w14:paraId="78880F42" w14:textId="77777777" w:rsidR="00F20CFD" w:rsidRPr="001E3EF7" w:rsidRDefault="00F20CFD" w:rsidP="001E3EF7">
            <w:pPr>
              <w:pStyle w:val="table-text-0"/>
              <w:spacing w:line="360" w:lineRule="auto"/>
              <w:jc w:val="center"/>
              <w:rPr>
                <w:sz w:val="24"/>
                <w:szCs w:val="24"/>
              </w:rPr>
            </w:pPr>
            <w:r w:rsidRPr="001E3EF7">
              <w:rPr>
                <w:sz w:val="24"/>
                <w:szCs w:val="24"/>
              </w:rPr>
              <w:t>1</w:t>
            </w:r>
            <w:r w:rsidRPr="001E3EF7">
              <w:rPr>
                <w:szCs w:val="24"/>
              </w:rPr>
              <w:t>–</w:t>
            </w:r>
            <w:r w:rsidRPr="001E3EF7">
              <w:rPr>
                <w:sz w:val="24"/>
                <w:szCs w:val="24"/>
              </w:rPr>
              <w:t>3</w:t>
            </w:r>
          </w:p>
        </w:tc>
        <w:tc>
          <w:tcPr>
            <w:tcW w:w="1701" w:type="dxa"/>
          </w:tcPr>
          <w:p w14:paraId="16BE3F5B" w14:textId="77777777" w:rsidR="00F20CFD" w:rsidRPr="001E3EF7" w:rsidRDefault="00F20CFD" w:rsidP="001E3EF7">
            <w:pPr>
              <w:pStyle w:val="table-text-0"/>
              <w:spacing w:line="360" w:lineRule="auto"/>
              <w:jc w:val="center"/>
              <w:rPr>
                <w:sz w:val="24"/>
                <w:szCs w:val="24"/>
                <w:vertAlign w:val="superscript"/>
              </w:rPr>
            </w:pPr>
            <w:r w:rsidRPr="001E3EF7">
              <w:rPr>
                <w:sz w:val="24"/>
                <w:szCs w:val="24"/>
              </w:rPr>
              <w:t>&lt;15 (</w:t>
            </w:r>
            <w:r w:rsidRPr="001E3EF7">
              <w:rPr>
                <w:sz w:val="24"/>
                <w:szCs w:val="24"/>
                <w:lang w:val="ru-RU"/>
              </w:rPr>
              <w:t xml:space="preserve"> </w:t>
            </w:r>
            <w:r w:rsidRPr="001E3EF7">
              <w:rPr>
                <w:sz w:val="24"/>
                <w:szCs w:val="24"/>
              </w:rPr>
              <w:t>&lt;5)</w:t>
            </w:r>
          </w:p>
        </w:tc>
        <w:tc>
          <w:tcPr>
            <w:tcW w:w="1417" w:type="dxa"/>
          </w:tcPr>
          <w:p w14:paraId="1B913A96" w14:textId="77777777" w:rsidR="00F20CFD" w:rsidRPr="001E3EF7" w:rsidRDefault="00F20CFD" w:rsidP="001E3EF7">
            <w:pPr>
              <w:pStyle w:val="table-text-0"/>
              <w:spacing w:line="360" w:lineRule="auto"/>
              <w:ind w:left="0"/>
              <w:jc w:val="center"/>
              <w:rPr>
                <w:sz w:val="24"/>
                <w:szCs w:val="24"/>
                <w:lang w:val="ru-RU"/>
              </w:rPr>
            </w:pPr>
            <w:r w:rsidRPr="001E3EF7">
              <w:rPr>
                <w:sz w:val="24"/>
                <w:szCs w:val="24"/>
                <w:lang w:val="ru-RU"/>
              </w:rPr>
              <w:t>КМ &lt;5,</w:t>
            </w:r>
          </w:p>
          <w:p w14:paraId="2D814CA2" w14:textId="77777777" w:rsidR="00F20CFD" w:rsidRPr="001E3EF7" w:rsidRDefault="00F20CFD" w:rsidP="001E3EF7">
            <w:pPr>
              <w:pStyle w:val="table-text-0"/>
              <w:spacing w:line="360" w:lineRule="auto"/>
              <w:ind w:left="0"/>
              <w:jc w:val="center"/>
              <w:rPr>
                <w:sz w:val="24"/>
                <w:szCs w:val="24"/>
                <w:lang w:val="ru-RU"/>
              </w:rPr>
            </w:pPr>
            <w:r w:rsidRPr="001E3EF7">
              <w:rPr>
                <w:sz w:val="24"/>
                <w:szCs w:val="24"/>
                <w:lang w:val="ru-RU"/>
              </w:rPr>
              <w:t xml:space="preserve">ПК &lt;1, палочки Ауэра </w:t>
            </w:r>
            <w:r w:rsidRPr="001E3EF7">
              <w:rPr>
                <w:szCs w:val="24"/>
                <w:lang w:val="ru-RU"/>
              </w:rPr>
              <w:t>–</w:t>
            </w:r>
            <w:r w:rsidRPr="001E3EF7">
              <w:rPr>
                <w:sz w:val="24"/>
                <w:szCs w:val="24"/>
                <w:lang w:val="ru-RU"/>
              </w:rPr>
              <w:t xml:space="preserve"> нет</w:t>
            </w:r>
          </w:p>
        </w:tc>
        <w:tc>
          <w:tcPr>
            <w:tcW w:w="1418" w:type="dxa"/>
          </w:tcPr>
          <w:p w14:paraId="5465A8E9" w14:textId="77777777" w:rsidR="00F20CFD" w:rsidRPr="001E3EF7" w:rsidRDefault="00F20CFD" w:rsidP="001E3EF7">
            <w:pPr>
              <w:pStyle w:val="table-text-0"/>
              <w:spacing w:line="360" w:lineRule="auto"/>
              <w:jc w:val="center"/>
              <w:rPr>
                <w:sz w:val="24"/>
                <w:szCs w:val="24"/>
                <w:lang w:val="ru-RU"/>
              </w:rPr>
            </w:pPr>
            <w:r w:rsidRPr="001E3EF7">
              <w:rPr>
                <w:sz w:val="24"/>
                <w:szCs w:val="24"/>
              </w:rPr>
              <w:t>Любой, кроме 5q–</w:t>
            </w:r>
          </w:p>
        </w:tc>
      </w:tr>
      <w:tr w:rsidR="00F20CFD" w:rsidRPr="001E3EF7" w14:paraId="62C47D86" w14:textId="77777777" w:rsidTr="00610E58">
        <w:tc>
          <w:tcPr>
            <w:tcW w:w="9782" w:type="dxa"/>
            <w:gridSpan w:val="6"/>
          </w:tcPr>
          <w:p w14:paraId="3A762DB6" w14:textId="77777777" w:rsidR="00F20CFD" w:rsidRPr="001E3EF7" w:rsidRDefault="00F20CFD" w:rsidP="001E3EF7">
            <w:pPr>
              <w:pStyle w:val="table-text-0"/>
              <w:spacing w:line="360" w:lineRule="auto"/>
              <w:rPr>
                <w:b/>
                <w:sz w:val="24"/>
                <w:szCs w:val="24"/>
                <w:lang w:val="ru-RU"/>
              </w:rPr>
            </w:pPr>
            <w:r w:rsidRPr="001E3EF7">
              <w:rPr>
                <w:b/>
                <w:sz w:val="24"/>
                <w:szCs w:val="24"/>
                <w:lang w:val="ru-RU"/>
              </w:rPr>
              <w:t>МДС с кольцевыми сидеробластами (МДС-КС)</w:t>
            </w:r>
          </w:p>
        </w:tc>
      </w:tr>
      <w:tr w:rsidR="00F20CFD" w:rsidRPr="001E3EF7" w14:paraId="34D71106" w14:textId="77777777" w:rsidTr="00610E58">
        <w:tc>
          <w:tcPr>
            <w:tcW w:w="2269" w:type="dxa"/>
          </w:tcPr>
          <w:p w14:paraId="271078CA" w14:textId="77777777" w:rsidR="00F20CFD" w:rsidRDefault="00F20CFD" w:rsidP="001E3EF7">
            <w:pPr>
              <w:pStyle w:val="table-text-1"/>
              <w:spacing w:line="360" w:lineRule="auto"/>
              <w:ind w:left="0"/>
              <w:rPr>
                <w:sz w:val="24"/>
                <w:szCs w:val="24"/>
                <w:lang w:val="ru-RU"/>
              </w:rPr>
            </w:pPr>
            <w:r w:rsidRPr="001E3EF7">
              <w:rPr>
                <w:sz w:val="24"/>
                <w:szCs w:val="24"/>
                <w:lang w:val="ru-RU"/>
              </w:rPr>
              <w:t>МДС-КС и линейной дисплазией</w:t>
            </w:r>
          </w:p>
          <w:p w14:paraId="3DF6A191" w14:textId="77777777" w:rsidR="00A366A9" w:rsidRPr="001E3EF7" w:rsidRDefault="00A366A9" w:rsidP="001E3EF7">
            <w:pPr>
              <w:pStyle w:val="table-text-1"/>
              <w:spacing w:line="360" w:lineRule="auto"/>
              <w:ind w:left="0"/>
              <w:rPr>
                <w:sz w:val="24"/>
                <w:szCs w:val="24"/>
                <w:lang w:val="ru-RU"/>
              </w:rPr>
            </w:pPr>
            <w:r>
              <w:rPr>
                <w:sz w:val="24"/>
                <w:szCs w:val="24"/>
                <w:lang w:val="ru-RU"/>
              </w:rPr>
              <w:t>(МДС-КС-ЛД)</w:t>
            </w:r>
          </w:p>
          <w:p w14:paraId="39A11CC1" w14:textId="77777777" w:rsidR="00F20CFD" w:rsidRPr="001E3EF7" w:rsidRDefault="00F20CFD" w:rsidP="001E3EF7">
            <w:pPr>
              <w:pStyle w:val="table-text-1"/>
              <w:spacing w:line="360" w:lineRule="auto"/>
              <w:ind w:left="0"/>
              <w:rPr>
                <w:sz w:val="24"/>
                <w:szCs w:val="24"/>
                <w:lang w:val="ru-RU"/>
              </w:rPr>
            </w:pPr>
          </w:p>
        </w:tc>
        <w:tc>
          <w:tcPr>
            <w:tcW w:w="1418" w:type="dxa"/>
          </w:tcPr>
          <w:p w14:paraId="74D8F339" w14:textId="77777777" w:rsidR="00F20CFD" w:rsidRPr="001E3EF7" w:rsidRDefault="00F20CFD" w:rsidP="001E3EF7">
            <w:pPr>
              <w:pStyle w:val="table-text-0"/>
              <w:spacing w:line="360" w:lineRule="auto"/>
              <w:jc w:val="center"/>
              <w:rPr>
                <w:sz w:val="24"/>
                <w:szCs w:val="24"/>
              </w:rPr>
            </w:pPr>
            <w:r w:rsidRPr="001E3EF7">
              <w:rPr>
                <w:sz w:val="24"/>
                <w:szCs w:val="24"/>
              </w:rPr>
              <w:t>1</w:t>
            </w:r>
          </w:p>
        </w:tc>
        <w:tc>
          <w:tcPr>
            <w:tcW w:w="1559" w:type="dxa"/>
          </w:tcPr>
          <w:p w14:paraId="41F7CD1D" w14:textId="77777777" w:rsidR="00F20CFD" w:rsidRPr="001E3EF7" w:rsidRDefault="00F20CFD" w:rsidP="001E3EF7">
            <w:pPr>
              <w:pStyle w:val="table-text-0"/>
              <w:spacing w:line="360" w:lineRule="auto"/>
              <w:jc w:val="center"/>
              <w:rPr>
                <w:sz w:val="24"/>
                <w:szCs w:val="24"/>
              </w:rPr>
            </w:pPr>
            <w:r w:rsidRPr="001E3EF7">
              <w:rPr>
                <w:sz w:val="24"/>
                <w:szCs w:val="24"/>
              </w:rPr>
              <w:t>1</w:t>
            </w:r>
            <w:r w:rsidRPr="001E3EF7">
              <w:rPr>
                <w:szCs w:val="24"/>
              </w:rPr>
              <w:t>–</w:t>
            </w:r>
            <w:r w:rsidRPr="001E3EF7">
              <w:rPr>
                <w:sz w:val="24"/>
                <w:szCs w:val="24"/>
              </w:rPr>
              <w:t>2</w:t>
            </w:r>
          </w:p>
        </w:tc>
        <w:tc>
          <w:tcPr>
            <w:tcW w:w="1701" w:type="dxa"/>
          </w:tcPr>
          <w:p w14:paraId="5A84B1AB" w14:textId="77777777" w:rsidR="00F20CFD" w:rsidRPr="001E3EF7" w:rsidRDefault="00F20CFD" w:rsidP="001E3EF7">
            <w:pPr>
              <w:pStyle w:val="table-text-0"/>
              <w:spacing w:line="360" w:lineRule="auto"/>
              <w:jc w:val="center"/>
              <w:rPr>
                <w:sz w:val="24"/>
                <w:szCs w:val="24"/>
              </w:rPr>
            </w:pPr>
            <w:r w:rsidRPr="001E3EF7">
              <w:rPr>
                <w:sz w:val="24"/>
                <w:szCs w:val="24"/>
                <w:u w:val="single"/>
                <w:lang w:val="ru-RU"/>
              </w:rPr>
              <w:t>&gt;</w:t>
            </w:r>
            <w:r w:rsidRPr="001E3EF7">
              <w:rPr>
                <w:sz w:val="24"/>
                <w:szCs w:val="24"/>
              </w:rPr>
              <w:t>15</w:t>
            </w:r>
          </w:p>
          <w:p w14:paraId="2FA0C8AF" w14:textId="77777777" w:rsidR="00F20CFD" w:rsidRPr="001E3EF7" w:rsidRDefault="00F20CFD" w:rsidP="001E3EF7">
            <w:pPr>
              <w:pStyle w:val="table-text-0"/>
              <w:spacing w:line="360" w:lineRule="auto"/>
              <w:jc w:val="center"/>
              <w:rPr>
                <w:sz w:val="24"/>
                <w:szCs w:val="24"/>
                <w:vertAlign w:val="superscript"/>
              </w:rPr>
            </w:pPr>
            <w:r w:rsidRPr="001E3EF7">
              <w:rPr>
                <w:sz w:val="24"/>
                <w:szCs w:val="24"/>
                <w:lang w:val="ru-RU"/>
              </w:rPr>
              <w:t xml:space="preserve">( </w:t>
            </w:r>
            <w:r w:rsidRPr="001E3EF7">
              <w:rPr>
                <w:sz w:val="24"/>
                <w:szCs w:val="24"/>
                <w:u w:val="single"/>
                <w:lang w:val="ru-RU"/>
              </w:rPr>
              <w:t>&gt;</w:t>
            </w:r>
            <w:r w:rsidRPr="001E3EF7">
              <w:rPr>
                <w:sz w:val="24"/>
                <w:szCs w:val="24"/>
                <w:lang w:val="ru-RU"/>
              </w:rPr>
              <w:t>5</w:t>
            </w:r>
            <w:r w:rsidRPr="001E3EF7">
              <w:rPr>
                <w:sz w:val="24"/>
                <w:szCs w:val="24"/>
              </w:rPr>
              <w:t>)</w:t>
            </w:r>
          </w:p>
        </w:tc>
        <w:tc>
          <w:tcPr>
            <w:tcW w:w="1417" w:type="dxa"/>
          </w:tcPr>
          <w:p w14:paraId="463FBA11" w14:textId="77777777" w:rsidR="00F20CFD" w:rsidRPr="001E3EF7" w:rsidRDefault="00F20CFD" w:rsidP="001E3EF7">
            <w:pPr>
              <w:pStyle w:val="table-text-0"/>
              <w:spacing w:line="360" w:lineRule="auto"/>
              <w:ind w:left="0"/>
              <w:jc w:val="center"/>
              <w:rPr>
                <w:sz w:val="24"/>
                <w:szCs w:val="24"/>
                <w:lang w:val="ru-RU"/>
              </w:rPr>
            </w:pPr>
            <w:r w:rsidRPr="001E3EF7">
              <w:rPr>
                <w:sz w:val="24"/>
                <w:szCs w:val="24"/>
                <w:lang w:val="ru-RU"/>
              </w:rPr>
              <w:t>КМ &lt;5,</w:t>
            </w:r>
          </w:p>
          <w:p w14:paraId="15D1E583" w14:textId="77777777" w:rsidR="00F20CFD" w:rsidRPr="001E3EF7" w:rsidRDefault="00F20CFD" w:rsidP="001E3EF7">
            <w:pPr>
              <w:pStyle w:val="table-text-0"/>
              <w:spacing w:line="360" w:lineRule="auto"/>
              <w:ind w:left="0"/>
              <w:jc w:val="center"/>
              <w:rPr>
                <w:sz w:val="24"/>
                <w:szCs w:val="24"/>
                <w:lang w:val="ru-RU"/>
              </w:rPr>
            </w:pPr>
            <w:r w:rsidRPr="001E3EF7">
              <w:rPr>
                <w:sz w:val="24"/>
                <w:szCs w:val="24"/>
                <w:lang w:val="ru-RU"/>
              </w:rPr>
              <w:t>ПК &lt;1, палочки Ауэра – нет</w:t>
            </w:r>
          </w:p>
        </w:tc>
        <w:tc>
          <w:tcPr>
            <w:tcW w:w="1418" w:type="dxa"/>
          </w:tcPr>
          <w:p w14:paraId="305E8312" w14:textId="77777777" w:rsidR="00F20CFD" w:rsidRPr="001E3EF7" w:rsidRDefault="00F20CFD" w:rsidP="001E3EF7">
            <w:pPr>
              <w:pStyle w:val="table-text-0"/>
              <w:spacing w:line="360" w:lineRule="auto"/>
              <w:jc w:val="center"/>
              <w:rPr>
                <w:sz w:val="24"/>
                <w:szCs w:val="24"/>
                <w:lang w:val="ru-RU"/>
              </w:rPr>
            </w:pPr>
            <w:r w:rsidRPr="001E3EF7">
              <w:rPr>
                <w:sz w:val="24"/>
                <w:szCs w:val="24"/>
              </w:rPr>
              <w:t>Любой, кроме 5q–</w:t>
            </w:r>
          </w:p>
        </w:tc>
      </w:tr>
      <w:tr w:rsidR="00F20CFD" w:rsidRPr="001E3EF7" w14:paraId="1AFE314E" w14:textId="77777777" w:rsidTr="00610E58">
        <w:tc>
          <w:tcPr>
            <w:tcW w:w="2269" w:type="dxa"/>
          </w:tcPr>
          <w:p w14:paraId="39B4D198" w14:textId="77777777" w:rsidR="00F20CFD" w:rsidRDefault="00F20CFD" w:rsidP="001E3EF7">
            <w:pPr>
              <w:pStyle w:val="table-text-1"/>
              <w:spacing w:line="360" w:lineRule="auto"/>
              <w:ind w:left="0"/>
              <w:rPr>
                <w:sz w:val="24"/>
                <w:szCs w:val="24"/>
                <w:lang w:val="ru-RU"/>
              </w:rPr>
            </w:pPr>
            <w:r w:rsidRPr="001E3EF7">
              <w:rPr>
                <w:sz w:val="24"/>
                <w:szCs w:val="24"/>
                <w:lang w:val="ru-RU"/>
              </w:rPr>
              <w:t xml:space="preserve">МДС-КС и мультилинейной дисплазией </w:t>
            </w:r>
          </w:p>
          <w:p w14:paraId="68D999D2" w14:textId="77777777" w:rsidR="00A366A9" w:rsidRPr="001E3EF7" w:rsidRDefault="00A366A9" w:rsidP="001E3EF7">
            <w:pPr>
              <w:pStyle w:val="table-text-1"/>
              <w:spacing w:line="360" w:lineRule="auto"/>
              <w:ind w:left="0"/>
              <w:rPr>
                <w:sz w:val="24"/>
                <w:szCs w:val="24"/>
                <w:lang w:val="ru-RU"/>
              </w:rPr>
            </w:pPr>
            <w:r>
              <w:rPr>
                <w:sz w:val="24"/>
                <w:szCs w:val="24"/>
                <w:lang w:val="ru-RU"/>
              </w:rPr>
              <w:t>(МДС-КС-МД)</w:t>
            </w:r>
          </w:p>
        </w:tc>
        <w:tc>
          <w:tcPr>
            <w:tcW w:w="1418" w:type="dxa"/>
          </w:tcPr>
          <w:p w14:paraId="7EEEF2D0" w14:textId="77777777" w:rsidR="00F20CFD" w:rsidRPr="001E3EF7" w:rsidRDefault="00F20CFD" w:rsidP="001E3EF7">
            <w:pPr>
              <w:pStyle w:val="table-text-0"/>
              <w:spacing w:line="360" w:lineRule="auto"/>
              <w:jc w:val="center"/>
              <w:rPr>
                <w:sz w:val="24"/>
                <w:szCs w:val="24"/>
              </w:rPr>
            </w:pPr>
            <w:r w:rsidRPr="001E3EF7">
              <w:rPr>
                <w:sz w:val="24"/>
                <w:szCs w:val="24"/>
              </w:rPr>
              <w:t>2</w:t>
            </w:r>
            <w:r w:rsidRPr="001E3EF7">
              <w:rPr>
                <w:szCs w:val="24"/>
              </w:rPr>
              <w:t>–</w:t>
            </w:r>
            <w:r w:rsidRPr="001E3EF7">
              <w:rPr>
                <w:sz w:val="24"/>
                <w:szCs w:val="24"/>
              </w:rPr>
              <w:t>3</w:t>
            </w:r>
          </w:p>
        </w:tc>
        <w:tc>
          <w:tcPr>
            <w:tcW w:w="1559" w:type="dxa"/>
          </w:tcPr>
          <w:p w14:paraId="2FE61A7D" w14:textId="77777777" w:rsidR="00F20CFD" w:rsidRPr="001E3EF7" w:rsidRDefault="00F20CFD" w:rsidP="001E3EF7">
            <w:pPr>
              <w:pStyle w:val="table-text-0"/>
              <w:spacing w:line="360" w:lineRule="auto"/>
              <w:jc w:val="center"/>
              <w:rPr>
                <w:sz w:val="24"/>
                <w:szCs w:val="24"/>
              </w:rPr>
            </w:pPr>
            <w:r w:rsidRPr="001E3EF7">
              <w:rPr>
                <w:sz w:val="24"/>
                <w:szCs w:val="24"/>
              </w:rPr>
              <w:t>1</w:t>
            </w:r>
            <w:r w:rsidRPr="001E3EF7">
              <w:rPr>
                <w:szCs w:val="24"/>
              </w:rPr>
              <w:t>–</w:t>
            </w:r>
            <w:r w:rsidRPr="001E3EF7">
              <w:rPr>
                <w:sz w:val="24"/>
                <w:szCs w:val="24"/>
              </w:rPr>
              <w:t>3</w:t>
            </w:r>
          </w:p>
        </w:tc>
        <w:tc>
          <w:tcPr>
            <w:tcW w:w="1701" w:type="dxa"/>
          </w:tcPr>
          <w:p w14:paraId="2992E9E1" w14:textId="77777777" w:rsidR="00F20CFD" w:rsidRPr="001E3EF7" w:rsidRDefault="00F20CFD" w:rsidP="001E3EF7">
            <w:pPr>
              <w:pStyle w:val="table-text-0"/>
              <w:spacing w:line="360" w:lineRule="auto"/>
              <w:jc w:val="center"/>
              <w:rPr>
                <w:sz w:val="24"/>
                <w:szCs w:val="24"/>
                <w:vertAlign w:val="superscript"/>
                <w:lang w:val="ru-RU"/>
              </w:rPr>
            </w:pPr>
            <w:r w:rsidRPr="001E3EF7">
              <w:rPr>
                <w:sz w:val="24"/>
                <w:szCs w:val="24"/>
                <w:u w:val="single"/>
                <w:lang w:val="ru-RU"/>
              </w:rPr>
              <w:t>&gt;</w:t>
            </w:r>
            <w:r w:rsidRPr="001E3EF7">
              <w:rPr>
                <w:sz w:val="24"/>
                <w:szCs w:val="24"/>
              </w:rPr>
              <w:t>15</w:t>
            </w:r>
            <w:r w:rsidRPr="001E3EF7">
              <w:rPr>
                <w:sz w:val="24"/>
                <w:szCs w:val="24"/>
                <w:lang w:val="ru-RU"/>
              </w:rPr>
              <w:t xml:space="preserve"> ( </w:t>
            </w:r>
            <w:r w:rsidRPr="001E3EF7">
              <w:rPr>
                <w:sz w:val="24"/>
                <w:szCs w:val="24"/>
                <w:u w:val="single"/>
                <w:lang w:val="ru-RU"/>
              </w:rPr>
              <w:t>&gt;</w:t>
            </w:r>
            <w:r w:rsidRPr="001E3EF7">
              <w:rPr>
                <w:sz w:val="24"/>
                <w:szCs w:val="24"/>
                <w:lang w:val="ru-RU"/>
              </w:rPr>
              <w:t>5)</w:t>
            </w:r>
          </w:p>
        </w:tc>
        <w:tc>
          <w:tcPr>
            <w:tcW w:w="1417" w:type="dxa"/>
          </w:tcPr>
          <w:p w14:paraId="0423269F" w14:textId="77777777" w:rsidR="00F20CFD" w:rsidRPr="001E3EF7" w:rsidRDefault="00F20CFD" w:rsidP="001E3EF7">
            <w:pPr>
              <w:pStyle w:val="table-text-0"/>
              <w:spacing w:line="360" w:lineRule="auto"/>
              <w:ind w:left="0"/>
              <w:jc w:val="center"/>
              <w:rPr>
                <w:sz w:val="24"/>
                <w:szCs w:val="24"/>
                <w:lang w:val="ru-RU"/>
              </w:rPr>
            </w:pPr>
            <w:r w:rsidRPr="001E3EF7">
              <w:rPr>
                <w:sz w:val="24"/>
                <w:szCs w:val="24"/>
                <w:lang w:val="ru-RU"/>
              </w:rPr>
              <w:t>КМ &lt;5,</w:t>
            </w:r>
          </w:p>
          <w:p w14:paraId="538D58FC" w14:textId="77777777" w:rsidR="00F20CFD" w:rsidRPr="001E3EF7" w:rsidRDefault="00F20CFD" w:rsidP="001E3EF7">
            <w:pPr>
              <w:pStyle w:val="table-text-0"/>
              <w:spacing w:line="360" w:lineRule="auto"/>
              <w:ind w:left="0"/>
              <w:jc w:val="center"/>
              <w:rPr>
                <w:sz w:val="24"/>
                <w:szCs w:val="24"/>
                <w:lang w:val="ru-RU"/>
              </w:rPr>
            </w:pPr>
            <w:r w:rsidRPr="001E3EF7">
              <w:rPr>
                <w:sz w:val="24"/>
                <w:szCs w:val="24"/>
                <w:lang w:val="ru-RU"/>
              </w:rPr>
              <w:t xml:space="preserve">ПК &lt;1, палочки </w:t>
            </w:r>
            <w:r w:rsidRPr="001E3EF7">
              <w:rPr>
                <w:sz w:val="24"/>
                <w:szCs w:val="24"/>
                <w:lang w:val="ru-RU"/>
              </w:rPr>
              <w:lastRenderedPageBreak/>
              <w:t>Ауэра – нет</w:t>
            </w:r>
          </w:p>
        </w:tc>
        <w:tc>
          <w:tcPr>
            <w:tcW w:w="1418" w:type="dxa"/>
          </w:tcPr>
          <w:p w14:paraId="709B905D" w14:textId="77777777" w:rsidR="00F20CFD" w:rsidRPr="001E3EF7" w:rsidRDefault="00F20CFD" w:rsidP="001E3EF7">
            <w:pPr>
              <w:pStyle w:val="table-text-0"/>
              <w:spacing w:line="360" w:lineRule="auto"/>
              <w:jc w:val="center"/>
              <w:rPr>
                <w:sz w:val="24"/>
                <w:szCs w:val="24"/>
                <w:lang w:val="ru-RU"/>
              </w:rPr>
            </w:pPr>
            <w:r w:rsidRPr="001E3EF7">
              <w:rPr>
                <w:sz w:val="24"/>
                <w:szCs w:val="24"/>
              </w:rPr>
              <w:lastRenderedPageBreak/>
              <w:t>Любой, кроме 5q–</w:t>
            </w:r>
          </w:p>
        </w:tc>
      </w:tr>
      <w:tr w:rsidR="00F20CFD" w:rsidRPr="001E3EF7" w14:paraId="42C0B2CE" w14:textId="77777777" w:rsidTr="00610E58">
        <w:tc>
          <w:tcPr>
            <w:tcW w:w="2269" w:type="dxa"/>
          </w:tcPr>
          <w:p w14:paraId="24B63802" w14:textId="77777777" w:rsidR="00A366A9" w:rsidRPr="001E3EF7" w:rsidRDefault="00F20CFD" w:rsidP="001E3EF7">
            <w:pPr>
              <w:pStyle w:val="table-text-0"/>
              <w:spacing w:line="360" w:lineRule="auto"/>
              <w:ind w:left="0"/>
              <w:rPr>
                <w:b/>
                <w:sz w:val="24"/>
                <w:szCs w:val="24"/>
                <w:lang w:val="ru-RU"/>
              </w:rPr>
            </w:pPr>
            <w:r w:rsidRPr="001E3EF7">
              <w:rPr>
                <w:b/>
                <w:sz w:val="24"/>
                <w:szCs w:val="24"/>
                <w:lang w:val="ru-RU"/>
              </w:rPr>
              <w:t>МДС с изолированной делецией длинного плеча 5 хромосомы</w:t>
            </w:r>
          </w:p>
          <w:p w14:paraId="7D8F60D1" w14:textId="77777777" w:rsidR="00F20CFD" w:rsidRPr="001E3EF7" w:rsidRDefault="00A366A9" w:rsidP="001E3EF7">
            <w:pPr>
              <w:pStyle w:val="table-text-0"/>
              <w:spacing w:line="360" w:lineRule="auto"/>
              <w:ind w:left="0"/>
              <w:rPr>
                <w:sz w:val="24"/>
                <w:szCs w:val="24"/>
                <w:lang w:val="ru-RU"/>
              </w:rPr>
            </w:pPr>
            <w:r>
              <w:rPr>
                <w:sz w:val="24"/>
                <w:szCs w:val="24"/>
                <w:lang w:val="ru-RU"/>
              </w:rPr>
              <w:t>(МДС-5</w:t>
            </w:r>
            <w:r>
              <w:rPr>
                <w:sz w:val="24"/>
                <w:szCs w:val="24"/>
              </w:rPr>
              <w:t>q</w:t>
            </w:r>
            <w:r>
              <w:rPr>
                <w:sz w:val="24"/>
                <w:szCs w:val="24"/>
                <w:lang w:val="ru-RU"/>
              </w:rPr>
              <w:t>-)</w:t>
            </w:r>
          </w:p>
        </w:tc>
        <w:tc>
          <w:tcPr>
            <w:tcW w:w="1418" w:type="dxa"/>
          </w:tcPr>
          <w:p w14:paraId="008225B2" w14:textId="77777777" w:rsidR="00F20CFD" w:rsidRPr="001E3EF7" w:rsidRDefault="00F20CFD" w:rsidP="001E3EF7">
            <w:pPr>
              <w:pStyle w:val="table-text-0"/>
              <w:spacing w:line="360" w:lineRule="auto"/>
              <w:jc w:val="center"/>
              <w:rPr>
                <w:sz w:val="24"/>
                <w:szCs w:val="24"/>
              </w:rPr>
            </w:pPr>
            <w:r w:rsidRPr="001E3EF7">
              <w:rPr>
                <w:sz w:val="24"/>
                <w:szCs w:val="24"/>
              </w:rPr>
              <w:t>1</w:t>
            </w:r>
            <w:r w:rsidRPr="001E3EF7">
              <w:rPr>
                <w:szCs w:val="24"/>
              </w:rPr>
              <w:t>–</w:t>
            </w:r>
            <w:r w:rsidRPr="001E3EF7">
              <w:rPr>
                <w:sz w:val="24"/>
                <w:szCs w:val="24"/>
              </w:rPr>
              <w:t>3</w:t>
            </w:r>
          </w:p>
        </w:tc>
        <w:tc>
          <w:tcPr>
            <w:tcW w:w="1559" w:type="dxa"/>
          </w:tcPr>
          <w:p w14:paraId="1BECC335" w14:textId="77777777" w:rsidR="00F20CFD" w:rsidRPr="001E3EF7" w:rsidRDefault="00F20CFD" w:rsidP="001E3EF7">
            <w:pPr>
              <w:pStyle w:val="table-text-0"/>
              <w:spacing w:line="360" w:lineRule="auto"/>
              <w:jc w:val="center"/>
              <w:rPr>
                <w:sz w:val="24"/>
                <w:szCs w:val="24"/>
              </w:rPr>
            </w:pPr>
            <w:r w:rsidRPr="001E3EF7">
              <w:rPr>
                <w:sz w:val="24"/>
                <w:szCs w:val="24"/>
              </w:rPr>
              <w:t>1</w:t>
            </w:r>
            <w:r w:rsidRPr="001E3EF7">
              <w:rPr>
                <w:szCs w:val="24"/>
              </w:rPr>
              <w:t>–</w:t>
            </w:r>
            <w:r w:rsidRPr="001E3EF7">
              <w:rPr>
                <w:sz w:val="24"/>
                <w:szCs w:val="24"/>
              </w:rPr>
              <w:t>2</w:t>
            </w:r>
          </w:p>
        </w:tc>
        <w:tc>
          <w:tcPr>
            <w:tcW w:w="1701" w:type="dxa"/>
          </w:tcPr>
          <w:p w14:paraId="65097BCE" w14:textId="77777777" w:rsidR="00F20CFD" w:rsidRPr="001E3EF7" w:rsidRDefault="00F20CFD" w:rsidP="001E3EF7">
            <w:pPr>
              <w:pStyle w:val="table-text-0"/>
              <w:spacing w:line="360" w:lineRule="auto"/>
              <w:jc w:val="center"/>
              <w:rPr>
                <w:sz w:val="24"/>
                <w:szCs w:val="24"/>
              </w:rPr>
            </w:pPr>
            <w:r w:rsidRPr="001E3EF7">
              <w:rPr>
                <w:sz w:val="24"/>
                <w:szCs w:val="24"/>
              </w:rPr>
              <w:t>Нет или любой</w:t>
            </w:r>
          </w:p>
        </w:tc>
        <w:tc>
          <w:tcPr>
            <w:tcW w:w="1417" w:type="dxa"/>
          </w:tcPr>
          <w:p w14:paraId="37DF71FA" w14:textId="77777777" w:rsidR="00F20CFD" w:rsidRPr="001E3EF7" w:rsidRDefault="00F20CFD" w:rsidP="001E3EF7">
            <w:pPr>
              <w:pStyle w:val="table-text-0"/>
              <w:spacing w:line="360" w:lineRule="auto"/>
              <w:ind w:left="0"/>
              <w:jc w:val="center"/>
              <w:rPr>
                <w:sz w:val="24"/>
                <w:szCs w:val="24"/>
                <w:lang w:val="ru-RU"/>
              </w:rPr>
            </w:pPr>
            <w:r w:rsidRPr="001E3EF7">
              <w:rPr>
                <w:sz w:val="24"/>
                <w:szCs w:val="24"/>
                <w:lang w:val="ru-RU"/>
              </w:rPr>
              <w:t>КМ &lt;5,</w:t>
            </w:r>
          </w:p>
          <w:p w14:paraId="122467C7" w14:textId="77777777" w:rsidR="00F20CFD" w:rsidRPr="001E3EF7" w:rsidRDefault="00F20CFD" w:rsidP="001E3EF7">
            <w:pPr>
              <w:pStyle w:val="table-text-0"/>
              <w:spacing w:line="360" w:lineRule="auto"/>
              <w:ind w:left="0"/>
              <w:jc w:val="center"/>
              <w:rPr>
                <w:sz w:val="24"/>
                <w:szCs w:val="24"/>
                <w:lang w:val="ru-RU"/>
              </w:rPr>
            </w:pPr>
            <w:r w:rsidRPr="001E3EF7">
              <w:rPr>
                <w:sz w:val="24"/>
                <w:szCs w:val="24"/>
                <w:lang w:val="ru-RU"/>
              </w:rPr>
              <w:t xml:space="preserve">ПК &lt;1, палочки Ауэра </w:t>
            </w:r>
            <w:r w:rsidRPr="001E3EF7">
              <w:rPr>
                <w:szCs w:val="24"/>
                <w:lang w:val="ru-RU"/>
              </w:rPr>
              <w:t>–</w:t>
            </w:r>
            <w:r w:rsidRPr="001E3EF7">
              <w:rPr>
                <w:sz w:val="24"/>
                <w:szCs w:val="24"/>
                <w:lang w:val="ru-RU"/>
              </w:rPr>
              <w:t xml:space="preserve"> нет</w:t>
            </w:r>
          </w:p>
        </w:tc>
        <w:tc>
          <w:tcPr>
            <w:tcW w:w="1418" w:type="dxa"/>
          </w:tcPr>
          <w:p w14:paraId="19ADFC9C" w14:textId="77777777" w:rsidR="00F20CFD" w:rsidRPr="001E3EF7" w:rsidRDefault="00F20CFD" w:rsidP="001E3EF7">
            <w:pPr>
              <w:pStyle w:val="table-text-0"/>
              <w:spacing w:line="360" w:lineRule="auto"/>
              <w:ind w:left="0"/>
              <w:jc w:val="center"/>
              <w:rPr>
                <w:sz w:val="24"/>
                <w:szCs w:val="24"/>
                <w:lang w:val="ru-RU"/>
              </w:rPr>
            </w:pPr>
            <w:r w:rsidRPr="001E3EF7">
              <w:rPr>
                <w:sz w:val="24"/>
                <w:szCs w:val="24"/>
                <w:lang w:val="ru-RU"/>
              </w:rPr>
              <w:t>5q– +/</w:t>
            </w:r>
            <w:r w:rsidRPr="001E3EF7">
              <w:rPr>
                <w:szCs w:val="24"/>
                <w:lang w:val="ru-RU"/>
              </w:rPr>
              <w:t>–</w:t>
            </w:r>
            <w:r w:rsidRPr="001E3EF7">
              <w:rPr>
                <w:sz w:val="24"/>
                <w:szCs w:val="24"/>
                <w:lang w:val="ru-RU"/>
              </w:rPr>
              <w:t>1 добавочная аномалия за исключени-ем –7/7</w:t>
            </w:r>
            <w:r w:rsidRPr="001E3EF7">
              <w:rPr>
                <w:sz w:val="24"/>
                <w:szCs w:val="24"/>
              </w:rPr>
              <w:t>q</w:t>
            </w:r>
            <w:r w:rsidRPr="001E3EF7">
              <w:rPr>
                <w:sz w:val="24"/>
                <w:szCs w:val="24"/>
                <w:lang w:val="ru-RU"/>
              </w:rPr>
              <w:t>-</w:t>
            </w:r>
          </w:p>
        </w:tc>
      </w:tr>
      <w:tr w:rsidR="00F20CFD" w:rsidRPr="001E3EF7" w14:paraId="7225577B" w14:textId="77777777" w:rsidTr="00610E58">
        <w:tc>
          <w:tcPr>
            <w:tcW w:w="9782" w:type="dxa"/>
            <w:gridSpan w:val="6"/>
          </w:tcPr>
          <w:p w14:paraId="75986345" w14:textId="77777777" w:rsidR="00F20CFD" w:rsidRPr="001E3EF7" w:rsidRDefault="00F20CFD" w:rsidP="001E3EF7">
            <w:pPr>
              <w:pStyle w:val="table-text-0"/>
              <w:spacing w:line="360" w:lineRule="auto"/>
              <w:rPr>
                <w:b/>
                <w:sz w:val="24"/>
                <w:szCs w:val="24"/>
                <w:lang w:val="ru-RU"/>
              </w:rPr>
            </w:pPr>
            <w:r w:rsidRPr="001E3EF7">
              <w:rPr>
                <w:b/>
                <w:sz w:val="24"/>
                <w:szCs w:val="24"/>
                <w:lang w:val="ru-RU"/>
              </w:rPr>
              <w:t>МДС с избытком бластов (МДС-ИБ)</w:t>
            </w:r>
          </w:p>
        </w:tc>
      </w:tr>
      <w:tr w:rsidR="00F20CFD" w:rsidRPr="001E3EF7" w14:paraId="36A3608C" w14:textId="77777777" w:rsidTr="00610E58">
        <w:tc>
          <w:tcPr>
            <w:tcW w:w="2269" w:type="dxa"/>
          </w:tcPr>
          <w:p w14:paraId="1D9A0EFC" w14:textId="77777777" w:rsidR="00F20CFD" w:rsidRPr="001E3EF7" w:rsidRDefault="00F20CFD" w:rsidP="001E3EF7">
            <w:pPr>
              <w:pStyle w:val="table-text-1"/>
              <w:spacing w:line="360" w:lineRule="auto"/>
              <w:ind w:left="0"/>
              <w:rPr>
                <w:sz w:val="24"/>
                <w:szCs w:val="24"/>
              </w:rPr>
            </w:pPr>
            <w:r w:rsidRPr="001E3EF7">
              <w:rPr>
                <w:sz w:val="24"/>
                <w:szCs w:val="24"/>
              </w:rPr>
              <w:t>МДС-ИБ-1</w:t>
            </w:r>
          </w:p>
        </w:tc>
        <w:tc>
          <w:tcPr>
            <w:tcW w:w="1418" w:type="dxa"/>
          </w:tcPr>
          <w:p w14:paraId="3A3D926B" w14:textId="77777777" w:rsidR="00F20CFD" w:rsidRPr="001E3EF7" w:rsidRDefault="00F20CFD" w:rsidP="001E3EF7">
            <w:pPr>
              <w:pStyle w:val="table-text-0"/>
              <w:spacing w:line="360" w:lineRule="auto"/>
              <w:jc w:val="center"/>
              <w:rPr>
                <w:sz w:val="24"/>
                <w:szCs w:val="24"/>
              </w:rPr>
            </w:pPr>
            <w:r w:rsidRPr="001E3EF7">
              <w:rPr>
                <w:sz w:val="24"/>
                <w:szCs w:val="24"/>
              </w:rPr>
              <w:t>1</w:t>
            </w:r>
            <w:r w:rsidRPr="001E3EF7">
              <w:rPr>
                <w:szCs w:val="24"/>
              </w:rPr>
              <w:t>–</w:t>
            </w:r>
            <w:r w:rsidRPr="001E3EF7">
              <w:rPr>
                <w:sz w:val="24"/>
                <w:szCs w:val="24"/>
              </w:rPr>
              <w:t>3</w:t>
            </w:r>
          </w:p>
        </w:tc>
        <w:tc>
          <w:tcPr>
            <w:tcW w:w="1559" w:type="dxa"/>
          </w:tcPr>
          <w:p w14:paraId="6726E78A" w14:textId="77777777" w:rsidR="00F20CFD" w:rsidRPr="001E3EF7" w:rsidRDefault="00F20CFD" w:rsidP="001E3EF7">
            <w:pPr>
              <w:pStyle w:val="table-text-0"/>
              <w:spacing w:line="360" w:lineRule="auto"/>
              <w:jc w:val="center"/>
              <w:rPr>
                <w:sz w:val="24"/>
                <w:szCs w:val="24"/>
              </w:rPr>
            </w:pPr>
            <w:r w:rsidRPr="001E3EF7">
              <w:rPr>
                <w:sz w:val="24"/>
                <w:szCs w:val="24"/>
              </w:rPr>
              <w:t>1</w:t>
            </w:r>
            <w:r w:rsidRPr="001E3EF7">
              <w:rPr>
                <w:szCs w:val="24"/>
              </w:rPr>
              <w:t>–</w:t>
            </w:r>
            <w:r w:rsidRPr="001E3EF7">
              <w:rPr>
                <w:sz w:val="24"/>
                <w:szCs w:val="24"/>
              </w:rPr>
              <w:t>3</w:t>
            </w:r>
          </w:p>
        </w:tc>
        <w:tc>
          <w:tcPr>
            <w:tcW w:w="1701" w:type="dxa"/>
          </w:tcPr>
          <w:p w14:paraId="5A8D7CB6" w14:textId="77777777" w:rsidR="00F20CFD" w:rsidRPr="001E3EF7" w:rsidRDefault="00F20CFD" w:rsidP="001E3EF7">
            <w:pPr>
              <w:pStyle w:val="table-text-0"/>
              <w:spacing w:line="360" w:lineRule="auto"/>
              <w:jc w:val="center"/>
              <w:rPr>
                <w:sz w:val="24"/>
                <w:szCs w:val="24"/>
              </w:rPr>
            </w:pPr>
            <w:r w:rsidRPr="001E3EF7">
              <w:rPr>
                <w:sz w:val="24"/>
                <w:szCs w:val="24"/>
              </w:rPr>
              <w:t>Нет или любой</w:t>
            </w:r>
          </w:p>
        </w:tc>
        <w:tc>
          <w:tcPr>
            <w:tcW w:w="1417" w:type="dxa"/>
          </w:tcPr>
          <w:p w14:paraId="00F63B52" w14:textId="77777777" w:rsidR="00F20CFD" w:rsidRPr="001E3EF7" w:rsidRDefault="00F20CFD" w:rsidP="001E3EF7">
            <w:pPr>
              <w:pStyle w:val="table-text-0"/>
              <w:spacing w:line="360" w:lineRule="auto"/>
              <w:jc w:val="center"/>
              <w:rPr>
                <w:sz w:val="24"/>
                <w:szCs w:val="24"/>
                <w:lang w:val="ru-RU"/>
              </w:rPr>
            </w:pPr>
            <w:r w:rsidRPr="001E3EF7">
              <w:rPr>
                <w:sz w:val="24"/>
                <w:szCs w:val="24"/>
                <w:lang w:val="ru-RU"/>
              </w:rPr>
              <w:t xml:space="preserve">КМ &lt;10 (5–9), </w:t>
            </w:r>
          </w:p>
          <w:p w14:paraId="014E6D2B" w14:textId="77777777" w:rsidR="00F20CFD" w:rsidRPr="001E3EF7" w:rsidRDefault="00F20CFD" w:rsidP="001E3EF7">
            <w:pPr>
              <w:pStyle w:val="table-text-0"/>
              <w:spacing w:line="360" w:lineRule="auto"/>
              <w:jc w:val="center"/>
              <w:rPr>
                <w:sz w:val="24"/>
                <w:szCs w:val="24"/>
                <w:lang w:val="ru-RU"/>
              </w:rPr>
            </w:pPr>
            <w:r w:rsidRPr="001E3EF7">
              <w:rPr>
                <w:sz w:val="24"/>
                <w:szCs w:val="24"/>
                <w:lang w:val="ru-RU"/>
              </w:rPr>
              <w:t>ПК &lt;5</w:t>
            </w:r>
          </w:p>
          <w:p w14:paraId="38BEBCD3" w14:textId="77777777" w:rsidR="00F20CFD" w:rsidRPr="001E3EF7" w:rsidRDefault="00F20CFD" w:rsidP="001E3EF7">
            <w:pPr>
              <w:pStyle w:val="table-text-0"/>
              <w:spacing w:line="360" w:lineRule="auto"/>
              <w:jc w:val="center"/>
              <w:rPr>
                <w:sz w:val="24"/>
                <w:szCs w:val="24"/>
                <w:lang w:val="ru-RU"/>
              </w:rPr>
            </w:pPr>
            <w:r w:rsidRPr="001E3EF7">
              <w:rPr>
                <w:sz w:val="24"/>
                <w:szCs w:val="24"/>
                <w:lang w:val="ru-RU"/>
              </w:rPr>
              <w:t>(2–4), палочки Ауэра – нет</w:t>
            </w:r>
          </w:p>
        </w:tc>
        <w:tc>
          <w:tcPr>
            <w:tcW w:w="1418" w:type="dxa"/>
          </w:tcPr>
          <w:p w14:paraId="085EC475" w14:textId="77777777" w:rsidR="00F20CFD" w:rsidRPr="001E3EF7" w:rsidRDefault="00F20CFD" w:rsidP="001E3EF7">
            <w:pPr>
              <w:pStyle w:val="table-text-0"/>
              <w:spacing w:line="360" w:lineRule="auto"/>
              <w:jc w:val="center"/>
              <w:rPr>
                <w:sz w:val="24"/>
                <w:szCs w:val="24"/>
              </w:rPr>
            </w:pPr>
            <w:r w:rsidRPr="001E3EF7">
              <w:rPr>
                <w:sz w:val="24"/>
                <w:szCs w:val="24"/>
              </w:rPr>
              <w:t>Любой</w:t>
            </w:r>
          </w:p>
        </w:tc>
      </w:tr>
      <w:tr w:rsidR="00F20CFD" w:rsidRPr="001E3EF7" w14:paraId="7D1015B9" w14:textId="77777777" w:rsidTr="00610E58">
        <w:tc>
          <w:tcPr>
            <w:tcW w:w="2269" w:type="dxa"/>
          </w:tcPr>
          <w:p w14:paraId="34BB9C7F" w14:textId="77777777" w:rsidR="00F20CFD" w:rsidRPr="001E3EF7" w:rsidRDefault="00F20CFD" w:rsidP="001E3EF7">
            <w:pPr>
              <w:pStyle w:val="table-text-1"/>
              <w:spacing w:line="360" w:lineRule="auto"/>
              <w:ind w:left="0"/>
              <w:rPr>
                <w:sz w:val="24"/>
                <w:szCs w:val="24"/>
              </w:rPr>
            </w:pPr>
            <w:r w:rsidRPr="001E3EF7">
              <w:rPr>
                <w:sz w:val="24"/>
                <w:szCs w:val="24"/>
              </w:rPr>
              <w:t>МДС-ИБ-2</w:t>
            </w:r>
          </w:p>
        </w:tc>
        <w:tc>
          <w:tcPr>
            <w:tcW w:w="1418" w:type="dxa"/>
          </w:tcPr>
          <w:p w14:paraId="1C6F9279" w14:textId="77777777" w:rsidR="00F20CFD" w:rsidRPr="001E3EF7" w:rsidRDefault="00F20CFD" w:rsidP="001E3EF7">
            <w:pPr>
              <w:pStyle w:val="table-text-0"/>
              <w:spacing w:line="360" w:lineRule="auto"/>
              <w:jc w:val="center"/>
              <w:rPr>
                <w:sz w:val="24"/>
                <w:szCs w:val="24"/>
              </w:rPr>
            </w:pPr>
            <w:r w:rsidRPr="001E3EF7">
              <w:rPr>
                <w:sz w:val="24"/>
                <w:szCs w:val="24"/>
              </w:rPr>
              <w:t>1–3</w:t>
            </w:r>
          </w:p>
        </w:tc>
        <w:tc>
          <w:tcPr>
            <w:tcW w:w="1559" w:type="dxa"/>
          </w:tcPr>
          <w:p w14:paraId="7F52F9BB" w14:textId="77777777" w:rsidR="00F20CFD" w:rsidRPr="001E3EF7" w:rsidRDefault="00F20CFD" w:rsidP="001E3EF7">
            <w:pPr>
              <w:pStyle w:val="table-text-0"/>
              <w:spacing w:line="360" w:lineRule="auto"/>
              <w:jc w:val="center"/>
              <w:rPr>
                <w:sz w:val="24"/>
                <w:szCs w:val="24"/>
              </w:rPr>
            </w:pPr>
            <w:r w:rsidRPr="001E3EF7">
              <w:rPr>
                <w:sz w:val="24"/>
                <w:szCs w:val="24"/>
              </w:rPr>
              <w:t>1</w:t>
            </w:r>
            <w:r w:rsidRPr="001E3EF7">
              <w:rPr>
                <w:szCs w:val="24"/>
              </w:rPr>
              <w:t>–</w:t>
            </w:r>
            <w:r w:rsidRPr="001E3EF7">
              <w:rPr>
                <w:sz w:val="24"/>
                <w:szCs w:val="24"/>
              </w:rPr>
              <w:t>3</w:t>
            </w:r>
          </w:p>
        </w:tc>
        <w:tc>
          <w:tcPr>
            <w:tcW w:w="1701" w:type="dxa"/>
          </w:tcPr>
          <w:p w14:paraId="2D43699B" w14:textId="77777777" w:rsidR="00F20CFD" w:rsidRPr="001E3EF7" w:rsidRDefault="00F20CFD" w:rsidP="001E3EF7">
            <w:pPr>
              <w:pStyle w:val="table-text-0"/>
              <w:spacing w:line="360" w:lineRule="auto"/>
              <w:jc w:val="center"/>
              <w:rPr>
                <w:sz w:val="24"/>
                <w:szCs w:val="24"/>
                <w:lang w:val="ru-RU"/>
              </w:rPr>
            </w:pPr>
            <w:r w:rsidRPr="001E3EF7">
              <w:rPr>
                <w:sz w:val="24"/>
                <w:szCs w:val="24"/>
              </w:rPr>
              <w:t>Нет или любой</w:t>
            </w:r>
          </w:p>
        </w:tc>
        <w:tc>
          <w:tcPr>
            <w:tcW w:w="1417" w:type="dxa"/>
          </w:tcPr>
          <w:p w14:paraId="0E371DBA" w14:textId="77777777" w:rsidR="00F20CFD" w:rsidRPr="001E3EF7" w:rsidRDefault="00F20CFD" w:rsidP="001E3EF7">
            <w:pPr>
              <w:pStyle w:val="table-text-0"/>
              <w:spacing w:line="360" w:lineRule="auto"/>
              <w:jc w:val="center"/>
              <w:rPr>
                <w:sz w:val="24"/>
                <w:szCs w:val="24"/>
                <w:lang w:val="ru-RU"/>
              </w:rPr>
            </w:pPr>
            <w:r w:rsidRPr="001E3EF7">
              <w:rPr>
                <w:sz w:val="24"/>
                <w:szCs w:val="24"/>
              </w:rPr>
              <w:t>КМ</w:t>
            </w:r>
            <w:r w:rsidRPr="001E3EF7">
              <w:rPr>
                <w:sz w:val="24"/>
                <w:szCs w:val="24"/>
                <w:lang w:val="ru-RU"/>
              </w:rPr>
              <w:t xml:space="preserve"> </w:t>
            </w:r>
            <w:r w:rsidRPr="001E3EF7">
              <w:rPr>
                <w:sz w:val="24"/>
                <w:szCs w:val="24"/>
              </w:rPr>
              <w:t>10</w:t>
            </w:r>
            <w:r w:rsidRPr="001E3EF7">
              <w:rPr>
                <w:sz w:val="24"/>
                <w:szCs w:val="24"/>
                <w:lang w:val="ru-RU"/>
              </w:rPr>
              <w:t>–</w:t>
            </w:r>
            <w:r w:rsidRPr="001E3EF7">
              <w:rPr>
                <w:sz w:val="24"/>
                <w:szCs w:val="24"/>
              </w:rPr>
              <w:t>19</w:t>
            </w:r>
            <w:r w:rsidRPr="001E3EF7">
              <w:rPr>
                <w:sz w:val="24"/>
                <w:szCs w:val="24"/>
                <w:lang w:val="ru-RU"/>
              </w:rPr>
              <w:t xml:space="preserve">, </w:t>
            </w:r>
            <w:r w:rsidRPr="001E3EF7">
              <w:rPr>
                <w:sz w:val="24"/>
                <w:szCs w:val="24"/>
              </w:rPr>
              <w:t>ПК</w:t>
            </w:r>
            <w:r w:rsidRPr="001E3EF7">
              <w:rPr>
                <w:sz w:val="24"/>
                <w:szCs w:val="24"/>
                <w:lang w:val="ru-RU"/>
              </w:rPr>
              <w:t xml:space="preserve"> </w:t>
            </w:r>
            <w:r w:rsidRPr="001E3EF7">
              <w:rPr>
                <w:sz w:val="24"/>
                <w:szCs w:val="24"/>
              </w:rPr>
              <w:t>5–19,</w:t>
            </w:r>
            <w:r w:rsidRPr="001E3EF7">
              <w:rPr>
                <w:sz w:val="24"/>
                <w:szCs w:val="24"/>
                <w:lang w:val="ru-RU"/>
              </w:rPr>
              <w:t xml:space="preserve"> п</w:t>
            </w:r>
            <w:r w:rsidRPr="001E3EF7">
              <w:rPr>
                <w:sz w:val="24"/>
                <w:szCs w:val="24"/>
              </w:rPr>
              <w:t>алочки Ауэра</w:t>
            </w:r>
            <w:r w:rsidRPr="001E3EF7">
              <w:rPr>
                <w:sz w:val="24"/>
                <w:szCs w:val="24"/>
                <w:lang w:val="ru-RU"/>
              </w:rPr>
              <w:t xml:space="preserve"> </w:t>
            </w:r>
            <w:r w:rsidRPr="001E3EF7">
              <w:rPr>
                <w:szCs w:val="24"/>
                <w:lang w:val="ru-RU"/>
              </w:rPr>
              <w:t>–</w:t>
            </w:r>
            <w:r w:rsidRPr="001E3EF7">
              <w:rPr>
                <w:sz w:val="24"/>
                <w:szCs w:val="24"/>
                <w:lang w:val="ru-RU"/>
              </w:rPr>
              <w:t>/+</w:t>
            </w:r>
          </w:p>
        </w:tc>
        <w:tc>
          <w:tcPr>
            <w:tcW w:w="1418" w:type="dxa"/>
          </w:tcPr>
          <w:p w14:paraId="737C27CF" w14:textId="77777777" w:rsidR="00F20CFD" w:rsidRPr="001E3EF7" w:rsidRDefault="00F20CFD" w:rsidP="001E3EF7">
            <w:pPr>
              <w:pStyle w:val="table-text-0"/>
              <w:spacing w:line="360" w:lineRule="auto"/>
              <w:jc w:val="center"/>
              <w:rPr>
                <w:sz w:val="24"/>
                <w:szCs w:val="24"/>
              </w:rPr>
            </w:pPr>
            <w:r w:rsidRPr="001E3EF7">
              <w:rPr>
                <w:sz w:val="24"/>
                <w:szCs w:val="24"/>
              </w:rPr>
              <w:t>Любой</w:t>
            </w:r>
          </w:p>
        </w:tc>
      </w:tr>
      <w:tr w:rsidR="00F20CFD" w:rsidRPr="001E3EF7" w14:paraId="4137379D" w14:textId="77777777" w:rsidTr="00610E58">
        <w:tc>
          <w:tcPr>
            <w:tcW w:w="9782" w:type="dxa"/>
            <w:gridSpan w:val="6"/>
          </w:tcPr>
          <w:p w14:paraId="6D1E5F34" w14:textId="77777777" w:rsidR="00F20CFD" w:rsidRPr="001E3EF7" w:rsidRDefault="00F20CFD" w:rsidP="001E3EF7">
            <w:pPr>
              <w:pStyle w:val="table-text-0"/>
              <w:spacing w:line="360" w:lineRule="auto"/>
              <w:rPr>
                <w:b/>
                <w:sz w:val="24"/>
                <w:szCs w:val="24"/>
                <w:lang w:val="ru-RU"/>
              </w:rPr>
            </w:pPr>
            <w:r w:rsidRPr="001E3EF7">
              <w:rPr>
                <w:b/>
                <w:sz w:val="24"/>
                <w:szCs w:val="24"/>
              </w:rPr>
              <w:t>МДС неклассифицируемый</w:t>
            </w:r>
            <w:r w:rsidRPr="001E3EF7">
              <w:rPr>
                <w:b/>
                <w:sz w:val="24"/>
                <w:szCs w:val="24"/>
                <w:lang w:val="ru-RU"/>
              </w:rPr>
              <w:t xml:space="preserve"> (МДС-Н)</w:t>
            </w:r>
          </w:p>
        </w:tc>
      </w:tr>
      <w:tr w:rsidR="00F20CFD" w:rsidRPr="001E3EF7" w14:paraId="3A8DA735" w14:textId="77777777" w:rsidTr="00610E58">
        <w:tc>
          <w:tcPr>
            <w:tcW w:w="2269" w:type="dxa"/>
          </w:tcPr>
          <w:p w14:paraId="7E5D6743" w14:textId="77777777" w:rsidR="00F20CFD" w:rsidRPr="001E3EF7" w:rsidRDefault="00F20CFD" w:rsidP="001E3EF7">
            <w:pPr>
              <w:pStyle w:val="table-text-1"/>
              <w:spacing w:line="360" w:lineRule="auto"/>
              <w:ind w:left="0"/>
              <w:rPr>
                <w:sz w:val="24"/>
                <w:szCs w:val="24"/>
                <w:lang w:val="ru-RU"/>
              </w:rPr>
            </w:pPr>
            <w:r w:rsidRPr="001E3EF7">
              <w:rPr>
                <w:sz w:val="24"/>
                <w:szCs w:val="24"/>
              </w:rPr>
              <w:t>с 1% бластов в</w:t>
            </w:r>
            <w:r w:rsidRPr="001E3EF7">
              <w:rPr>
                <w:sz w:val="24"/>
                <w:szCs w:val="24"/>
                <w:lang w:val="ru-RU"/>
              </w:rPr>
              <w:t xml:space="preserve"> ПК </w:t>
            </w:r>
          </w:p>
        </w:tc>
        <w:tc>
          <w:tcPr>
            <w:tcW w:w="1418" w:type="dxa"/>
          </w:tcPr>
          <w:p w14:paraId="604F5E63" w14:textId="77777777" w:rsidR="00F20CFD" w:rsidRPr="001E3EF7" w:rsidRDefault="00F20CFD" w:rsidP="001E3EF7">
            <w:pPr>
              <w:pStyle w:val="table-text-0"/>
              <w:spacing w:line="360" w:lineRule="auto"/>
              <w:jc w:val="center"/>
              <w:rPr>
                <w:sz w:val="24"/>
                <w:szCs w:val="24"/>
              </w:rPr>
            </w:pPr>
            <w:r w:rsidRPr="001E3EF7">
              <w:rPr>
                <w:sz w:val="24"/>
                <w:szCs w:val="24"/>
              </w:rPr>
              <w:t>1–3</w:t>
            </w:r>
          </w:p>
        </w:tc>
        <w:tc>
          <w:tcPr>
            <w:tcW w:w="1559" w:type="dxa"/>
          </w:tcPr>
          <w:p w14:paraId="5FE4EF47" w14:textId="77777777" w:rsidR="00F20CFD" w:rsidRPr="001E3EF7" w:rsidRDefault="00F20CFD" w:rsidP="001E3EF7">
            <w:pPr>
              <w:pStyle w:val="table-text-0"/>
              <w:spacing w:line="360" w:lineRule="auto"/>
              <w:jc w:val="center"/>
              <w:rPr>
                <w:sz w:val="24"/>
                <w:szCs w:val="24"/>
              </w:rPr>
            </w:pPr>
            <w:r w:rsidRPr="001E3EF7">
              <w:rPr>
                <w:sz w:val="24"/>
                <w:szCs w:val="24"/>
              </w:rPr>
              <w:t>1–3</w:t>
            </w:r>
          </w:p>
        </w:tc>
        <w:tc>
          <w:tcPr>
            <w:tcW w:w="1701" w:type="dxa"/>
          </w:tcPr>
          <w:p w14:paraId="6CBC6589" w14:textId="77777777" w:rsidR="00F20CFD" w:rsidRPr="001E3EF7" w:rsidRDefault="00F20CFD" w:rsidP="001E3EF7">
            <w:pPr>
              <w:pStyle w:val="table-text-0"/>
              <w:spacing w:line="360" w:lineRule="auto"/>
              <w:jc w:val="center"/>
              <w:rPr>
                <w:sz w:val="24"/>
                <w:szCs w:val="24"/>
              </w:rPr>
            </w:pPr>
            <w:r w:rsidRPr="001E3EF7">
              <w:rPr>
                <w:sz w:val="24"/>
                <w:szCs w:val="24"/>
              </w:rPr>
              <w:t>Нет или любой</w:t>
            </w:r>
          </w:p>
        </w:tc>
        <w:tc>
          <w:tcPr>
            <w:tcW w:w="1417" w:type="dxa"/>
          </w:tcPr>
          <w:p w14:paraId="12902472" w14:textId="77777777" w:rsidR="00F20CFD" w:rsidRPr="001E3EF7" w:rsidRDefault="00F20CFD" w:rsidP="001E3EF7">
            <w:pPr>
              <w:pStyle w:val="table-text-0"/>
              <w:spacing w:line="360" w:lineRule="auto"/>
              <w:jc w:val="center"/>
              <w:rPr>
                <w:sz w:val="24"/>
                <w:szCs w:val="24"/>
                <w:lang w:val="ru-RU"/>
              </w:rPr>
            </w:pPr>
            <w:r w:rsidRPr="001E3EF7">
              <w:rPr>
                <w:sz w:val="24"/>
                <w:szCs w:val="24"/>
                <w:lang w:val="ru-RU"/>
              </w:rPr>
              <w:t>КМ &lt;5, ПК = 1</w:t>
            </w:r>
            <w:r w:rsidRPr="001E3EF7">
              <w:rPr>
                <w:sz w:val="24"/>
                <w:szCs w:val="24"/>
                <w:vertAlign w:val="superscript"/>
                <w:lang w:val="ru-RU"/>
              </w:rPr>
              <w:t>б</w:t>
            </w:r>
            <w:r w:rsidRPr="001E3EF7">
              <w:rPr>
                <w:sz w:val="24"/>
                <w:szCs w:val="24"/>
                <w:lang w:val="ru-RU"/>
              </w:rPr>
              <w:t>, палочки Ауэра – нет</w:t>
            </w:r>
          </w:p>
        </w:tc>
        <w:tc>
          <w:tcPr>
            <w:tcW w:w="1418" w:type="dxa"/>
          </w:tcPr>
          <w:p w14:paraId="3ED2DDA4" w14:textId="77777777" w:rsidR="00F20CFD" w:rsidRPr="001E3EF7" w:rsidRDefault="00F20CFD" w:rsidP="001E3EF7">
            <w:pPr>
              <w:pStyle w:val="table-text-0"/>
              <w:spacing w:line="360" w:lineRule="auto"/>
              <w:jc w:val="center"/>
              <w:rPr>
                <w:sz w:val="24"/>
                <w:szCs w:val="24"/>
              </w:rPr>
            </w:pPr>
            <w:r w:rsidRPr="001E3EF7">
              <w:rPr>
                <w:sz w:val="24"/>
                <w:szCs w:val="24"/>
              </w:rPr>
              <w:t>Любой</w:t>
            </w:r>
          </w:p>
        </w:tc>
      </w:tr>
      <w:tr w:rsidR="00F20CFD" w:rsidRPr="001E3EF7" w14:paraId="35ED09CB" w14:textId="77777777" w:rsidTr="00610E58">
        <w:tc>
          <w:tcPr>
            <w:tcW w:w="2269" w:type="dxa"/>
          </w:tcPr>
          <w:p w14:paraId="675472CB" w14:textId="77777777" w:rsidR="00F20CFD" w:rsidRPr="001E3EF7" w:rsidRDefault="00F20CFD" w:rsidP="001E3EF7">
            <w:pPr>
              <w:pStyle w:val="table-text-1"/>
              <w:spacing w:line="360" w:lineRule="auto"/>
              <w:ind w:left="0"/>
              <w:rPr>
                <w:b/>
                <w:sz w:val="24"/>
                <w:szCs w:val="24"/>
                <w:lang w:val="ru-RU"/>
              </w:rPr>
            </w:pPr>
            <w:r w:rsidRPr="001E3EF7">
              <w:rPr>
                <w:sz w:val="24"/>
                <w:szCs w:val="24"/>
                <w:lang w:val="ru-RU"/>
              </w:rPr>
              <w:t>с линейной дисплазией и панцитопенией</w:t>
            </w:r>
          </w:p>
        </w:tc>
        <w:tc>
          <w:tcPr>
            <w:tcW w:w="1418" w:type="dxa"/>
          </w:tcPr>
          <w:p w14:paraId="2DC4CE15" w14:textId="77777777" w:rsidR="00F20CFD" w:rsidRPr="001E3EF7" w:rsidRDefault="00F20CFD" w:rsidP="001E3EF7">
            <w:pPr>
              <w:pStyle w:val="table-text-0"/>
              <w:spacing w:line="360" w:lineRule="auto"/>
              <w:jc w:val="center"/>
              <w:rPr>
                <w:sz w:val="24"/>
                <w:szCs w:val="24"/>
              </w:rPr>
            </w:pPr>
            <w:r w:rsidRPr="001E3EF7">
              <w:rPr>
                <w:sz w:val="24"/>
                <w:szCs w:val="24"/>
              </w:rPr>
              <w:t>1</w:t>
            </w:r>
          </w:p>
        </w:tc>
        <w:tc>
          <w:tcPr>
            <w:tcW w:w="1559" w:type="dxa"/>
          </w:tcPr>
          <w:p w14:paraId="7222CA87" w14:textId="77777777" w:rsidR="00F20CFD" w:rsidRPr="001E3EF7" w:rsidRDefault="00F20CFD" w:rsidP="001E3EF7">
            <w:pPr>
              <w:pStyle w:val="table-text-0"/>
              <w:spacing w:line="360" w:lineRule="auto"/>
              <w:jc w:val="center"/>
              <w:rPr>
                <w:sz w:val="24"/>
                <w:szCs w:val="24"/>
              </w:rPr>
            </w:pPr>
            <w:r w:rsidRPr="001E3EF7">
              <w:rPr>
                <w:sz w:val="24"/>
                <w:szCs w:val="24"/>
              </w:rPr>
              <w:t>3</w:t>
            </w:r>
          </w:p>
        </w:tc>
        <w:tc>
          <w:tcPr>
            <w:tcW w:w="1701" w:type="dxa"/>
          </w:tcPr>
          <w:p w14:paraId="3BC08126" w14:textId="77777777" w:rsidR="00F20CFD" w:rsidRPr="001E3EF7" w:rsidRDefault="00F20CFD" w:rsidP="001E3EF7">
            <w:pPr>
              <w:pStyle w:val="table-text-0"/>
              <w:spacing w:line="360" w:lineRule="auto"/>
              <w:jc w:val="center"/>
              <w:rPr>
                <w:sz w:val="24"/>
                <w:szCs w:val="24"/>
                <w:lang w:val="ru-RU"/>
              </w:rPr>
            </w:pPr>
            <w:r w:rsidRPr="001E3EF7">
              <w:rPr>
                <w:sz w:val="24"/>
                <w:szCs w:val="24"/>
              </w:rPr>
              <w:t>Нет или любой</w:t>
            </w:r>
          </w:p>
        </w:tc>
        <w:tc>
          <w:tcPr>
            <w:tcW w:w="1417" w:type="dxa"/>
          </w:tcPr>
          <w:p w14:paraId="63275C0E" w14:textId="77777777" w:rsidR="00F20CFD" w:rsidRPr="001E3EF7" w:rsidRDefault="00F20CFD" w:rsidP="001E3EF7">
            <w:pPr>
              <w:pStyle w:val="table-text-0"/>
              <w:spacing w:line="360" w:lineRule="auto"/>
              <w:jc w:val="center"/>
              <w:rPr>
                <w:sz w:val="24"/>
                <w:szCs w:val="24"/>
                <w:lang w:val="ru-RU"/>
              </w:rPr>
            </w:pPr>
            <w:r w:rsidRPr="001E3EF7">
              <w:rPr>
                <w:sz w:val="24"/>
                <w:szCs w:val="24"/>
                <w:lang w:val="ru-RU"/>
              </w:rPr>
              <w:t>КМ &lt;5, ПК &lt;1, палочки Ауэра – нет</w:t>
            </w:r>
          </w:p>
        </w:tc>
        <w:tc>
          <w:tcPr>
            <w:tcW w:w="1418" w:type="dxa"/>
          </w:tcPr>
          <w:p w14:paraId="78036956" w14:textId="77777777" w:rsidR="00F20CFD" w:rsidRPr="001E3EF7" w:rsidRDefault="00F20CFD" w:rsidP="001E3EF7">
            <w:pPr>
              <w:pStyle w:val="table-text-0"/>
              <w:spacing w:line="360" w:lineRule="auto"/>
              <w:jc w:val="center"/>
              <w:rPr>
                <w:sz w:val="24"/>
                <w:szCs w:val="24"/>
                <w:lang w:val="ru-RU"/>
              </w:rPr>
            </w:pPr>
            <w:r w:rsidRPr="001E3EF7">
              <w:rPr>
                <w:sz w:val="24"/>
                <w:szCs w:val="24"/>
              </w:rPr>
              <w:t>Любой</w:t>
            </w:r>
          </w:p>
        </w:tc>
      </w:tr>
      <w:tr w:rsidR="00F20CFD" w:rsidRPr="001E3EF7" w14:paraId="2C7E0579" w14:textId="77777777" w:rsidTr="00610E58">
        <w:tc>
          <w:tcPr>
            <w:tcW w:w="2269" w:type="dxa"/>
          </w:tcPr>
          <w:p w14:paraId="619D8CD5" w14:textId="77777777" w:rsidR="00F20CFD" w:rsidRPr="001E3EF7" w:rsidRDefault="00F20CFD" w:rsidP="001E3EF7">
            <w:pPr>
              <w:pStyle w:val="table-text-1"/>
              <w:spacing w:line="360" w:lineRule="auto"/>
              <w:ind w:left="0"/>
              <w:rPr>
                <w:b/>
                <w:sz w:val="24"/>
                <w:szCs w:val="24"/>
              </w:rPr>
            </w:pPr>
            <w:r w:rsidRPr="001E3EF7">
              <w:rPr>
                <w:sz w:val="24"/>
                <w:szCs w:val="24"/>
              </w:rPr>
              <w:lastRenderedPageBreak/>
              <w:t>на основании цитогенетических изменений</w:t>
            </w:r>
          </w:p>
        </w:tc>
        <w:tc>
          <w:tcPr>
            <w:tcW w:w="1418" w:type="dxa"/>
          </w:tcPr>
          <w:p w14:paraId="7430AA48" w14:textId="77777777" w:rsidR="00F20CFD" w:rsidRPr="001E3EF7" w:rsidRDefault="00F20CFD" w:rsidP="001E3EF7">
            <w:pPr>
              <w:pStyle w:val="table-text-0"/>
              <w:spacing w:line="360" w:lineRule="auto"/>
              <w:jc w:val="center"/>
              <w:rPr>
                <w:sz w:val="24"/>
                <w:szCs w:val="24"/>
              </w:rPr>
            </w:pPr>
            <w:r w:rsidRPr="001E3EF7">
              <w:rPr>
                <w:sz w:val="24"/>
                <w:szCs w:val="24"/>
              </w:rPr>
              <w:t>0</w:t>
            </w:r>
          </w:p>
        </w:tc>
        <w:tc>
          <w:tcPr>
            <w:tcW w:w="1559" w:type="dxa"/>
          </w:tcPr>
          <w:p w14:paraId="0A01835F" w14:textId="77777777" w:rsidR="00F20CFD" w:rsidRPr="001E3EF7" w:rsidRDefault="00F20CFD" w:rsidP="001E3EF7">
            <w:pPr>
              <w:pStyle w:val="table-text-0"/>
              <w:spacing w:line="360" w:lineRule="auto"/>
              <w:jc w:val="center"/>
              <w:rPr>
                <w:sz w:val="24"/>
                <w:szCs w:val="24"/>
              </w:rPr>
            </w:pPr>
            <w:r w:rsidRPr="001E3EF7">
              <w:rPr>
                <w:sz w:val="24"/>
                <w:szCs w:val="24"/>
              </w:rPr>
              <w:t>1–3</w:t>
            </w:r>
          </w:p>
        </w:tc>
        <w:tc>
          <w:tcPr>
            <w:tcW w:w="1701" w:type="dxa"/>
          </w:tcPr>
          <w:p w14:paraId="771986AF" w14:textId="77777777" w:rsidR="00F20CFD" w:rsidRPr="001E3EF7" w:rsidRDefault="00F20CFD" w:rsidP="001E3EF7">
            <w:pPr>
              <w:pStyle w:val="table-text-0"/>
              <w:spacing w:line="360" w:lineRule="auto"/>
              <w:jc w:val="center"/>
              <w:rPr>
                <w:sz w:val="24"/>
                <w:szCs w:val="24"/>
                <w:vertAlign w:val="superscript"/>
                <w:lang w:val="ru-RU"/>
              </w:rPr>
            </w:pPr>
            <w:r w:rsidRPr="001E3EF7">
              <w:rPr>
                <w:sz w:val="24"/>
                <w:szCs w:val="24"/>
              </w:rPr>
              <w:t>&lt;15</w:t>
            </w:r>
            <w:r w:rsidRPr="001E3EF7">
              <w:rPr>
                <w:sz w:val="24"/>
                <w:szCs w:val="24"/>
                <w:vertAlign w:val="superscript"/>
                <w:lang w:val="ru-RU"/>
              </w:rPr>
              <w:t>в</w:t>
            </w:r>
          </w:p>
        </w:tc>
        <w:tc>
          <w:tcPr>
            <w:tcW w:w="1417" w:type="dxa"/>
          </w:tcPr>
          <w:p w14:paraId="2950EA1A" w14:textId="77777777" w:rsidR="00F20CFD" w:rsidRPr="001E3EF7" w:rsidRDefault="00F20CFD" w:rsidP="001E3EF7">
            <w:pPr>
              <w:pStyle w:val="table-text-0"/>
              <w:spacing w:line="360" w:lineRule="auto"/>
              <w:jc w:val="center"/>
              <w:rPr>
                <w:sz w:val="24"/>
                <w:szCs w:val="24"/>
                <w:lang w:val="ru-RU"/>
              </w:rPr>
            </w:pPr>
            <w:r w:rsidRPr="001E3EF7">
              <w:rPr>
                <w:sz w:val="24"/>
                <w:szCs w:val="24"/>
                <w:lang w:val="ru-RU"/>
              </w:rPr>
              <w:t>КМ &lt;5, ПК &lt;1, палочки Ауэра – нет</w:t>
            </w:r>
          </w:p>
        </w:tc>
        <w:tc>
          <w:tcPr>
            <w:tcW w:w="1418" w:type="dxa"/>
          </w:tcPr>
          <w:p w14:paraId="2031AB1C" w14:textId="77777777" w:rsidR="00F20CFD" w:rsidRPr="001E3EF7" w:rsidRDefault="00F20CFD" w:rsidP="001E3EF7">
            <w:pPr>
              <w:pStyle w:val="table-text-0"/>
              <w:spacing w:line="360" w:lineRule="auto"/>
              <w:jc w:val="center"/>
              <w:rPr>
                <w:sz w:val="24"/>
                <w:szCs w:val="24"/>
                <w:vertAlign w:val="superscript"/>
                <w:lang w:val="ru-RU"/>
              </w:rPr>
            </w:pPr>
            <w:r w:rsidRPr="001E3EF7">
              <w:rPr>
                <w:sz w:val="24"/>
                <w:szCs w:val="24"/>
              </w:rPr>
              <w:t>МДС</w:t>
            </w:r>
            <w:r w:rsidRPr="001E3EF7">
              <w:rPr>
                <w:sz w:val="24"/>
                <w:szCs w:val="24"/>
                <w:lang w:val="ru-RU"/>
              </w:rPr>
              <w:t>-</w:t>
            </w:r>
            <w:r w:rsidRPr="001E3EF7">
              <w:rPr>
                <w:sz w:val="24"/>
                <w:szCs w:val="24"/>
              </w:rPr>
              <w:t>аномалии</w:t>
            </w:r>
            <w:r w:rsidRPr="001E3EF7">
              <w:rPr>
                <w:sz w:val="24"/>
                <w:szCs w:val="24"/>
                <w:vertAlign w:val="superscript"/>
                <w:lang w:val="ru-RU"/>
              </w:rPr>
              <w:t>г</w:t>
            </w:r>
          </w:p>
        </w:tc>
      </w:tr>
      <w:tr w:rsidR="00F20CFD" w:rsidRPr="001E3EF7" w14:paraId="640A9E27" w14:textId="77777777" w:rsidTr="00610E58">
        <w:tc>
          <w:tcPr>
            <w:tcW w:w="9782" w:type="dxa"/>
            <w:gridSpan w:val="6"/>
          </w:tcPr>
          <w:p w14:paraId="79A4C48D" w14:textId="77777777" w:rsidR="00F20CFD" w:rsidRPr="001E3EF7" w:rsidRDefault="00F20CFD" w:rsidP="001E3EF7">
            <w:pPr>
              <w:pStyle w:val="table-ref"/>
              <w:spacing w:line="360" w:lineRule="auto"/>
              <w:rPr>
                <w:sz w:val="24"/>
                <w:szCs w:val="24"/>
              </w:rPr>
            </w:pPr>
            <w:r w:rsidRPr="001E3EF7">
              <w:rPr>
                <w:sz w:val="24"/>
                <w:szCs w:val="24"/>
              </w:rPr>
              <w:t xml:space="preserve">КМ – костный мозг; ПК – периферическая кровь. Дисплазия считается значимой, когда признаки дисплазии выявлены в </w:t>
            </w:r>
            <w:r w:rsidRPr="001E3EF7">
              <w:rPr>
                <w:sz w:val="24"/>
                <w:szCs w:val="24"/>
                <w:u w:val="single"/>
              </w:rPr>
              <w:t>&gt;</w:t>
            </w:r>
            <w:r w:rsidRPr="001E3EF7">
              <w:rPr>
                <w:sz w:val="24"/>
                <w:szCs w:val="24"/>
              </w:rPr>
              <w:t>10% клеток эритроидного, гранулоцитарного, мегакариоцитарного ростков.</w:t>
            </w:r>
          </w:p>
          <w:p w14:paraId="41154E02" w14:textId="77777777" w:rsidR="00F20CFD" w:rsidRPr="001E3EF7" w:rsidRDefault="00F20CFD" w:rsidP="001E3EF7">
            <w:pPr>
              <w:pStyle w:val="table-ref"/>
              <w:spacing w:line="360" w:lineRule="auto"/>
              <w:rPr>
                <w:sz w:val="24"/>
                <w:szCs w:val="24"/>
              </w:rPr>
            </w:pPr>
            <w:r w:rsidRPr="001E3EF7">
              <w:rPr>
                <w:sz w:val="24"/>
                <w:szCs w:val="24"/>
                <w:vertAlign w:val="superscript"/>
              </w:rPr>
              <w:t>а</w:t>
            </w:r>
            <w:r w:rsidRPr="001E3EF7">
              <w:rPr>
                <w:sz w:val="24"/>
                <w:szCs w:val="24"/>
              </w:rPr>
              <w:t xml:space="preserve"> Уровень гемоглобина &lt;100 г/л, количество нейтрофилов &lt;1,8</w:t>
            </w:r>
            <w:r w:rsidRPr="001E3EF7">
              <w:rPr>
                <w:rStyle w:val="Bullet2Char"/>
                <w:color w:val="auto"/>
              </w:rPr>
              <w:t>×</w:t>
            </w:r>
            <w:r w:rsidRPr="001E3EF7">
              <w:rPr>
                <w:sz w:val="24"/>
                <w:szCs w:val="24"/>
              </w:rPr>
              <w:t>10</w:t>
            </w:r>
            <w:r w:rsidRPr="001E3EF7">
              <w:rPr>
                <w:sz w:val="24"/>
                <w:szCs w:val="24"/>
                <w:vertAlign w:val="superscript"/>
              </w:rPr>
              <w:t>9</w:t>
            </w:r>
            <w:r w:rsidRPr="001E3EF7">
              <w:rPr>
                <w:sz w:val="24"/>
                <w:szCs w:val="24"/>
              </w:rPr>
              <w:t>/л, тромбоцитов &lt;100</w:t>
            </w:r>
            <w:r w:rsidRPr="001E3EF7">
              <w:rPr>
                <w:rStyle w:val="Bullet2Char"/>
                <w:color w:val="auto"/>
              </w:rPr>
              <w:t>×</w:t>
            </w:r>
            <w:r w:rsidRPr="001E3EF7">
              <w:rPr>
                <w:sz w:val="24"/>
                <w:szCs w:val="24"/>
              </w:rPr>
              <w:t>10</w:t>
            </w:r>
            <w:r w:rsidRPr="001E3EF7">
              <w:rPr>
                <w:sz w:val="24"/>
                <w:szCs w:val="24"/>
                <w:vertAlign w:val="superscript"/>
              </w:rPr>
              <w:t>9</w:t>
            </w:r>
            <w:r w:rsidRPr="001E3EF7">
              <w:rPr>
                <w:sz w:val="24"/>
                <w:szCs w:val="24"/>
              </w:rPr>
              <w:t>/л, моноцитов &lt;1,0</w:t>
            </w:r>
            <w:r w:rsidRPr="001E3EF7">
              <w:rPr>
                <w:rStyle w:val="Bullet2Char"/>
                <w:color w:val="auto"/>
              </w:rPr>
              <w:t>×</w:t>
            </w:r>
            <w:r w:rsidRPr="001E3EF7">
              <w:rPr>
                <w:sz w:val="24"/>
                <w:szCs w:val="24"/>
              </w:rPr>
              <w:t>10</w:t>
            </w:r>
            <w:r w:rsidRPr="001E3EF7">
              <w:rPr>
                <w:sz w:val="24"/>
                <w:szCs w:val="24"/>
                <w:vertAlign w:val="superscript"/>
              </w:rPr>
              <w:t>9</w:t>
            </w:r>
            <w:r w:rsidRPr="001E3EF7">
              <w:rPr>
                <w:sz w:val="24"/>
                <w:szCs w:val="24"/>
              </w:rPr>
              <w:t>/л.</w:t>
            </w:r>
          </w:p>
          <w:p w14:paraId="695E7512" w14:textId="77777777" w:rsidR="00F20CFD" w:rsidRPr="001E3EF7" w:rsidRDefault="00F20CFD" w:rsidP="001E3EF7">
            <w:pPr>
              <w:pStyle w:val="table-ref"/>
              <w:spacing w:line="360" w:lineRule="auto"/>
              <w:rPr>
                <w:sz w:val="24"/>
                <w:szCs w:val="24"/>
              </w:rPr>
            </w:pPr>
            <w:r w:rsidRPr="001E3EF7">
              <w:rPr>
                <w:sz w:val="24"/>
                <w:szCs w:val="24"/>
                <w:vertAlign w:val="superscript"/>
              </w:rPr>
              <w:t>б</w:t>
            </w:r>
            <w:r w:rsidRPr="001E3EF7">
              <w:rPr>
                <w:sz w:val="24"/>
                <w:szCs w:val="24"/>
              </w:rPr>
              <w:t xml:space="preserve"> Если бласты в ПК определены в 2 и более анализах.</w:t>
            </w:r>
          </w:p>
          <w:p w14:paraId="67BE2547" w14:textId="77777777" w:rsidR="00F20CFD" w:rsidRPr="001E3EF7" w:rsidRDefault="00F20CFD" w:rsidP="001E3EF7">
            <w:pPr>
              <w:pStyle w:val="table-ref"/>
              <w:spacing w:line="360" w:lineRule="auto"/>
              <w:rPr>
                <w:sz w:val="24"/>
                <w:szCs w:val="24"/>
              </w:rPr>
            </w:pPr>
            <w:r w:rsidRPr="001E3EF7">
              <w:rPr>
                <w:sz w:val="24"/>
                <w:szCs w:val="24"/>
                <w:vertAlign w:val="superscript"/>
              </w:rPr>
              <w:t>в</w:t>
            </w:r>
            <w:r w:rsidRPr="001E3EF7">
              <w:rPr>
                <w:sz w:val="24"/>
                <w:szCs w:val="24"/>
              </w:rPr>
              <w:t xml:space="preserve"> Если КС </w:t>
            </w:r>
            <w:r w:rsidRPr="001E3EF7">
              <w:rPr>
                <w:sz w:val="24"/>
                <w:szCs w:val="24"/>
                <w:u w:val="single"/>
              </w:rPr>
              <w:t>&gt;</w:t>
            </w:r>
            <w:r w:rsidRPr="001E3EF7">
              <w:rPr>
                <w:sz w:val="24"/>
                <w:szCs w:val="24"/>
              </w:rPr>
              <w:t xml:space="preserve">15%, то это МДС с КС и линейной дисплазией. </w:t>
            </w:r>
          </w:p>
          <w:p w14:paraId="04A90AA9" w14:textId="77777777" w:rsidR="00F20CFD" w:rsidRPr="001E3EF7" w:rsidRDefault="00F20CFD" w:rsidP="001E3EF7">
            <w:pPr>
              <w:pStyle w:val="table-ref"/>
              <w:spacing w:line="360" w:lineRule="auto"/>
              <w:rPr>
                <w:sz w:val="24"/>
                <w:szCs w:val="24"/>
              </w:rPr>
            </w:pPr>
            <w:r w:rsidRPr="001E3EF7">
              <w:rPr>
                <w:sz w:val="24"/>
                <w:szCs w:val="24"/>
                <w:vertAlign w:val="superscript"/>
              </w:rPr>
              <w:t>г</w:t>
            </w:r>
            <w:r w:rsidRPr="001E3EF7">
              <w:rPr>
                <w:sz w:val="24"/>
                <w:szCs w:val="24"/>
              </w:rPr>
              <w:t xml:space="preserve"> Аномалии кариотипа, наиболее часто встречающиеся при МДС: –5/5q–, –7/7</w:t>
            </w:r>
            <w:r w:rsidRPr="001E3EF7">
              <w:rPr>
                <w:sz w:val="24"/>
                <w:szCs w:val="24"/>
                <w:lang w:val="en-US"/>
              </w:rPr>
              <w:t>q</w:t>
            </w:r>
            <w:r w:rsidRPr="001E3EF7">
              <w:rPr>
                <w:sz w:val="24"/>
                <w:szCs w:val="24"/>
              </w:rPr>
              <w:t>-, изохромосома 17</w:t>
            </w:r>
            <w:r w:rsidRPr="001E3EF7">
              <w:rPr>
                <w:sz w:val="24"/>
                <w:szCs w:val="24"/>
                <w:lang w:val="en-US"/>
              </w:rPr>
              <w:t>q</w:t>
            </w:r>
            <w:r w:rsidRPr="001E3EF7">
              <w:rPr>
                <w:sz w:val="24"/>
                <w:szCs w:val="24"/>
              </w:rPr>
              <w:t>/</w:t>
            </w:r>
            <w:r w:rsidRPr="001E3EF7">
              <w:rPr>
                <w:sz w:val="24"/>
                <w:szCs w:val="24"/>
                <w:lang w:val="en-US"/>
              </w:rPr>
              <w:t>t</w:t>
            </w:r>
            <w:r w:rsidRPr="001E3EF7">
              <w:rPr>
                <w:sz w:val="24"/>
                <w:szCs w:val="24"/>
              </w:rPr>
              <w:t>(17</w:t>
            </w:r>
            <w:r w:rsidRPr="001E3EF7">
              <w:rPr>
                <w:sz w:val="24"/>
                <w:szCs w:val="24"/>
                <w:lang w:val="en-US"/>
              </w:rPr>
              <w:t>p</w:t>
            </w:r>
            <w:r w:rsidRPr="001E3EF7">
              <w:rPr>
                <w:sz w:val="24"/>
                <w:szCs w:val="24"/>
              </w:rPr>
              <w:t>), –13/13</w:t>
            </w:r>
            <w:r w:rsidRPr="001E3EF7">
              <w:rPr>
                <w:sz w:val="24"/>
                <w:szCs w:val="24"/>
                <w:lang w:val="en-US"/>
              </w:rPr>
              <w:t>q</w:t>
            </w:r>
            <w:r w:rsidRPr="001E3EF7">
              <w:rPr>
                <w:sz w:val="24"/>
                <w:szCs w:val="24"/>
              </w:rPr>
              <w:t>-, 11</w:t>
            </w:r>
            <w:r w:rsidRPr="001E3EF7">
              <w:rPr>
                <w:sz w:val="24"/>
                <w:szCs w:val="24"/>
                <w:lang w:val="en-US"/>
              </w:rPr>
              <w:t>q</w:t>
            </w:r>
            <w:r w:rsidRPr="001E3EF7">
              <w:rPr>
                <w:sz w:val="24"/>
                <w:szCs w:val="24"/>
              </w:rPr>
              <w:t>-, 12</w:t>
            </w:r>
            <w:r w:rsidRPr="001E3EF7">
              <w:rPr>
                <w:sz w:val="24"/>
                <w:szCs w:val="24"/>
                <w:lang w:val="en-US"/>
              </w:rPr>
              <w:t>p</w:t>
            </w:r>
            <w:r w:rsidRPr="001E3EF7">
              <w:rPr>
                <w:sz w:val="24"/>
                <w:szCs w:val="24"/>
              </w:rPr>
              <w:t>–/</w:t>
            </w:r>
            <w:r w:rsidRPr="001E3EF7">
              <w:rPr>
                <w:sz w:val="24"/>
                <w:szCs w:val="24"/>
                <w:lang w:val="en-US"/>
              </w:rPr>
              <w:t>t</w:t>
            </w:r>
            <w:r w:rsidRPr="001E3EF7">
              <w:rPr>
                <w:sz w:val="24"/>
                <w:szCs w:val="24"/>
              </w:rPr>
              <w:t>(12</w:t>
            </w:r>
            <w:r w:rsidRPr="001E3EF7">
              <w:rPr>
                <w:sz w:val="24"/>
                <w:szCs w:val="24"/>
                <w:lang w:val="en-US"/>
              </w:rPr>
              <w:t>p</w:t>
            </w:r>
            <w:r w:rsidRPr="001E3EF7">
              <w:rPr>
                <w:sz w:val="24"/>
                <w:szCs w:val="24"/>
              </w:rPr>
              <w:t>), 9</w:t>
            </w:r>
            <w:r w:rsidRPr="001E3EF7">
              <w:rPr>
                <w:sz w:val="24"/>
                <w:szCs w:val="24"/>
                <w:lang w:val="en-US"/>
              </w:rPr>
              <w:t>q</w:t>
            </w:r>
            <w:r w:rsidRPr="001E3EF7">
              <w:rPr>
                <w:sz w:val="24"/>
                <w:szCs w:val="24"/>
              </w:rPr>
              <w:t xml:space="preserve">-, </w:t>
            </w:r>
            <w:r w:rsidRPr="001E3EF7">
              <w:rPr>
                <w:sz w:val="24"/>
                <w:szCs w:val="24"/>
                <w:lang w:val="en-US"/>
              </w:rPr>
              <w:t>idic</w:t>
            </w:r>
            <w:r w:rsidRPr="001E3EF7">
              <w:rPr>
                <w:sz w:val="24"/>
                <w:szCs w:val="24"/>
              </w:rPr>
              <w:t>(</w:t>
            </w:r>
            <w:r w:rsidRPr="001E3EF7">
              <w:rPr>
                <w:sz w:val="24"/>
                <w:szCs w:val="24"/>
                <w:lang w:val="en-US"/>
              </w:rPr>
              <w:t>X</w:t>
            </w:r>
            <w:r w:rsidRPr="001E3EF7">
              <w:rPr>
                <w:sz w:val="24"/>
                <w:szCs w:val="24"/>
              </w:rPr>
              <w:t>)(</w:t>
            </w:r>
            <w:r w:rsidRPr="001E3EF7">
              <w:rPr>
                <w:sz w:val="24"/>
                <w:szCs w:val="24"/>
                <w:lang w:val="en-US"/>
              </w:rPr>
              <w:t>q</w:t>
            </w:r>
            <w:r w:rsidRPr="001E3EF7">
              <w:rPr>
                <w:sz w:val="24"/>
                <w:szCs w:val="24"/>
              </w:rPr>
              <w:t xml:space="preserve">13), </w:t>
            </w:r>
            <w:r w:rsidRPr="001E3EF7">
              <w:rPr>
                <w:sz w:val="24"/>
                <w:szCs w:val="24"/>
                <w:lang w:val="en-US"/>
              </w:rPr>
              <w:t>t</w:t>
            </w:r>
            <w:r w:rsidRPr="001E3EF7">
              <w:rPr>
                <w:sz w:val="24"/>
                <w:szCs w:val="24"/>
              </w:rPr>
              <w:t xml:space="preserve">(11;16), </w:t>
            </w:r>
            <w:r w:rsidRPr="001E3EF7">
              <w:rPr>
                <w:sz w:val="24"/>
                <w:szCs w:val="24"/>
                <w:lang w:val="en-US"/>
              </w:rPr>
              <w:t>t</w:t>
            </w:r>
            <w:r w:rsidRPr="001E3EF7">
              <w:rPr>
                <w:sz w:val="24"/>
                <w:szCs w:val="24"/>
              </w:rPr>
              <w:t xml:space="preserve">(3;21), </w:t>
            </w:r>
            <w:r w:rsidRPr="001E3EF7">
              <w:rPr>
                <w:sz w:val="24"/>
                <w:szCs w:val="24"/>
                <w:lang w:val="en-US"/>
              </w:rPr>
              <w:t>t</w:t>
            </w:r>
            <w:r w:rsidRPr="001E3EF7">
              <w:rPr>
                <w:sz w:val="24"/>
                <w:szCs w:val="24"/>
              </w:rPr>
              <w:t xml:space="preserve">(1;3), </w:t>
            </w:r>
            <w:r w:rsidRPr="001E3EF7">
              <w:rPr>
                <w:sz w:val="24"/>
                <w:szCs w:val="24"/>
                <w:lang w:val="en-US"/>
              </w:rPr>
              <w:t>t</w:t>
            </w:r>
            <w:r w:rsidRPr="001E3EF7">
              <w:rPr>
                <w:sz w:val="24"/>
                <w:szCs w:val="24"/>
              </w:rPr>
              <w:t xml:space="preserve">(2;11), </w:t>
            </w:r>
            <w:r w:rsidRPr="001E3EF7">
              <w:rPr>
                <w:sz w:val="24"/>
                <w:szCs w:val="24"/>
                <w:lang w:val="en-US"/>
              </w:rPr>
              <w:t>inv</w:t>
            </w:r>
            <w:r w:rsidRPr="001E3EF7">
              <w:rPr>
                <w:sz w:val="24"/>
                <w:szCs w:val="24"/>
              </w:rPr>
              <w:t>(3)/</w:t>
            </w:r>
            <w:r w:rsidRPr="001E3EF7">
              <w:rPr>
                <w:sz w:val="24"/>
                <w:szCs w:val="24"/>
                <w:lang w:val="en-US"/>
              </w:rPr>
              <w:t>t</w:t>
            </w:r>
            <w:r w:rsidRPr="001E3EF7">
              <w:rPr>
                <w:sz w:val="24"/>
                <w:szCs w:val="24"/>
              </w:rPr>
              <w:t xml:space="preserve">(3;3), </w:t>
            </w:r>
            <w:r w:rsidRPr="001E3EF7">
              <w:rPr>
                <w:sz w:val="24"/>
                <w:szCs w:val="24"/>
                <w:lang w:val="en-US"/>
              </w:rPr>
              <w:t>t</w:t>
            </w:r>
            <w:r w:rsidRPr="001E3EF7">
              <w:rPr>
                <w:sz w:val="24"/>
                <w:szCs w:val="24"/>
              </w:rPr>
              <w:t>(6;9). Аномалии кариотипа +8, 20</w:t>
            </w:r>
            <w:r w:rsidRPr="001E3EF7">
              <w:rPr>
                <w:sz w:val="24"/>
                <w:szCs w:val="24"/>
                <w:lang w:val="en-US"/>
              </w:rPr>
              <w:t>q</w:t>
            </w:r>
            <w:r w:rsidRPr="001E3EF7">
              <w:rPr>
                <w:sz w:val="24"/>
                <w:szCs w:val="24"/>
              </w:rPr>
              <w:t>-, –</w:t>
            </w:r>
            <w:r w:rsidRPr="001E3EF7">
              <w:rPr>
                <w:sz w:val="24"/>
                <w:szCs w:val="24"/>
                <w:lang w:val="en-US"/>
              </w:rPr>
              <w:t>Y</w:t>
            </w:r>
            <w:r w:rsidRPr="001E3EF7">
              <w:rPr>
                <w:sz w:val="24"/>
                <w:szCs w:val="24"/>
              </w:rPr>
              <w:t xml:space="preserve"> без морфологических критериев не являются поводом верифицировать МДС.</w:t>
            </w:r>
          </w:p>
        </w:tc>
      </w:tr>
    </w:tbl>
    <w:p w14:paraId="0662372E" w14:textId="77777777" w:rsidR="00F20CFD" w:rsidRPr="006A377C" w:rsidRDefault="00F20CFD" w:rsidP="00EA7BF5">
      <w:pPr>
        <w:ind w:firstLine="709"/>
        <w:rPr>
          <w:szCs w:val="24"/>
        </w:rPr>
      </w:pPr>
      <w:r w:rsidRPr="006A377C">
        <w:rPr>
          <w:szCs w:val="24"/>
        </w:rPr>
        <w:t>При гистологическом исследовании трепанобиоптатов у пациентов с МДС чаще всего выявляют нормо- или гиперклеточный КМ, и только в 10–15% случаев обнаруживается гипоплазия кроветворной ткани и в 10–15% – фиброз стромы 2–3 степени, что позволяет выделять МДС с гипоплазией кроветворения или МДС с фиброзом стромы. Данные особенности течения МДС целесообразно отражать в клиническом диагнозе, например: МДС с избытком бластов-1, протекающий с фиброзом стромы 2 степени; или МДС с мультилинейной дисплазией, протекающий с гипоплазией кроветворения.</w:t>
      </w:r>
    </w:p>
    <w:p w14:paraId="00EBA09A" w14:textId="77777777" w:rsidR="00F20CFD" w:rsidRPr="006A377C" w:rsidRDefault="00F20CFD" w:rsidP="00EA7BF5">
      <w:pPr>
        <w:ind w:firstLine="709"/>
        <w:rPr>
          <w:szCs w:val="24"/>
        </w:rPr>
      </w:pPr>
      <w:r w:rsidRPr="006A377C">
        <w:rPr>
          <w:szCs w:val="24"/>
        </w:rPr>
        <w:t xml:space="preserve">Данное уточнение позволяет предположить особенности течения заболевания, определить тактику терапии и ее эффективность, а также вероятность трансформации в ОЛ. </w:t>
      </w:r>
    </w:p>
    <w:p w14:paraId="6A7CF2F5" w14:textId="77777777" w:rsidR="00F20CFD" w:rsidRPr="006A377C" w:rsidRDefault="00F20CFD" w:rsidP="00EA7BF5">
      <w:pPr>
        <w:ind w:firstLine="709"/>
        <w:rPr>
          <w:szCs w:val="24"/>
        </w:rPr>
      </w:pPr>
      <w:r w:rsidRPr="006A377C">
        <w:rPr>
          <w:szCs w:val="24"/>
        </w:rPr>
        <w:t>Миелодиспластические синдромы, развившиеся после предшествующего цитостатического или лучевого воздействия, ранее называвшиеся «вторичными», в классификации ВОЗ 2017 г. отнесены в группу миелоидных неоплазий, связанных с предшествующей терапией.</w:t>
      </w:r>
    </w:p>
    <w:p w14:paraId="568197FD" w14:textId="77777777" w:rsidR="00F20CFD" w:rsidRPr="006A377C" w:rsidRDefault="00F20CFD" w:rsidP="00EA7BF5">
      <w:pPr>
        <w:ind w:firstLine="709"/>
        <w:rPr>
          <w:szCs w:val="24"/>
        </w:rPr>
      </w:pPr>
      <w:r w:rsidRPr="006A377C">
        <w:rPr>
          <w:szCs w:val="24"/>
        </w:rPr>
        <w:t>С учетом новой номенклатуры МДС в таблице 2 представлено соответствие вариантов МДС по классификации ВОЗ 2008 г. и ВОЗ 2017 г.</w:t>
      </w:r>
    </w:p>
    <w:p w14:paraId="44B0BB4C" w14:textId="3C51B1F3" w:rsidR="00F20CFD" w:rsidRPr="006A377C" w:rsidRDefault="00F20CFD" w:rsidP="00E10ED8">
      <w:pPr>
        <w:pStyle w:val="table-name"/>
        <w:spacing w:line="360" w:lineRule="auto"/>
        <w:ind w:firstLine="0"/>
        <w:rPr>
          <w:szCs w:val="24"/>
          <w:lang w:eastAsia="ko-KR"/>
        </w:rPr>
      </w:pPr>
      <w:r w:rsidRPr="006A377C">
        <w:rPr>
          <w:b/>
          <w:szCs w:val="24"/>
        </w:rPr>
        <w:t>Таблица 2.</w:t>
      </w:r>
      <w:r w:rsidRPr="006A377C">
        <w:rPr>
          <w:szCs w:val="24"/>
        </w:rPr>
        <w:t xml:space="preserve"> Соответствие вариантов МДС по классификации ВОЗ 2008 г. вариантам МДС по классификации ВОЗ 2017 г. </w:t>
      </w:r>
      <w:r w:rsidRPr="006A377C">
        <w:rPr>
          <w:szCs w:val="24"/>
        </w:rPr>
        <w:fldChar w:fldCharType="begin" w:fldLock="1"/>
      </w:r>
      <w:r w:rsidR="00F15197">
        <w:rPr>
          <w:szCs w:val="24"/>
        </w:rPr>
        <w:instrText>ADDIN CSL_CITATION {"citationItems":[{"id":"ITEM-1","itemData":{"ISBN":"9789283224310","abstract":"4th ed. This book is the third volume in the new WHO series on histological and genetic typing of human tumors. This authoritative, concise reference book covers the entire range of leukaemias and lymphomas. It provides an international standard for oncologists and pathologists and will serve as an indispensable guide for use in the design of studies monitoring response to therapy and clinical outcome. Diagnostic criteria, pathological features, and associated genetic alterations are described in a strictly disease-oriented manner. Sections on all recognized neoplasms and their variants include new ICD-O codes, incidence, age and sex distribution, location, clinical signs and symptoms, pathology, genetics, and predictive factors. The book, prepared by 130 authors from 22 countries, contains more than 1,000 color photographs, numerous magnetic resonance and ultrasound images, CT scans, charts, and 2,500 references. This book is in the series commonly referred to as the \"Blue Book\" series. Introduction and overview of the classification of the myeloid neoplasms -- Myeloproliferative neoplasms -- Myeloid and lymphoid neoplasms with eosinophilia and abnormalities of PDGFRA, PDGFRB or FGFR1 -- Myelodysplastic/myeloproliferative neoplasms -- Myelodysplastic syndromes -- Acute myeloid leukaemia (AML) and related precursor neoplasms -- Acute leukaemias of ambiguous lineage -- Introduction and overview of the classification of the lymphoid neoplasms -- Precursor lymphoid neoplasms -- Mature B-cell neoplasms -- Mature T-and NK-cell neoplasms -- Hodgkin lymphoma -- Immunodeficiency-associated lymphoproliferative disorders -- Histiocytic and dendritic cell neoplasms.","author":[{"dropping-particle":"","family":"Swerdlow","given":"Steven H.","non-dropping-particle":"","parse-names":false,"suffix":""},{"dropping-particle":"","family":"Campo","given":"E.","non-dropping-particle":"","parse-names":false,"suffix":""},{"dropping-particle":"","family":"Harris","given":"NL.","non-dropping-particle":"","parse-names":false,"suffix":""},{"dropping-particle":"","family":"Jaffe","given":"E.S.","non-dropping-particle":"","parse-names":false,"suffix":""},{"dropping-particle":"","family":"Pileri","given":"S.A.","non-dropping-particle":"","parse-names":false,"suffix":""},{"dropping-particle":"","family":"Stein","given":"H","non-dropping-particle":"","parse-names":false,"suffix":""},{"dropping-particle":"","family":"Thiele","given":"J.","non-dropping-particle":"","parse-names":false,"suffix":""},{"dropping-particle":"","family":"Vardiman","given":"J.W.","non-dropping-particle":"","parse-names":false,"suffix":""}],"id":"ITEM-1","issued":{"date-parts":[["2008"]]},"number-of-pages":"439","publisher":"International Agency for Research on Cancer","title":"WHO classification of tumours of haematopoietic and lymphoid tissues","type":"book"},"uris":["http://www.mendeley.com/documents/?uuid=d41cda03-cdae-4f5d-a08a-c80f3befab43"]},{"id":"ITEM-2","itemData":{"ISBN":"9789283244943","abstract":"Revised 4th edition. Introduction and overview of the classification of the myeloid neoplasms -- Myeloproliferative neoplasms -- Mastocytosis -- Myeloid/lymphoid neoplasms with eosinophilia and gene rearrangement -- Myelodysplastic/myeloproliferative neoplasms -- Myelodysplastic syndromes -- Myeloid neoplasms with germline predisposition -- Acute myeloid leukaemia and related precursor neoplasms -- Blastic plasmacytoid dendritic cell neoplasm -- Acute leukaemias of ambiguous lineage -- Introduction and overview of the classification of the lymphoid neoplasms -- Precursor lymphoid neoplasms -- Mature B-cell neoplasms -- Mature T- and NK-cell neoplasms -- Hodgkin lymphomas -- Immunodeficiency-associated lymphoproliferative disorders -- Histiocytic and dendritic cell neoplasms.","author":[{"dropping-particle":"","family":"Swerdlow","given":"Steven H.","non-dropping-particle":"","parse-names":false,"suffix":""},{"dropping-particle":"","family":"Campo","given":"Elias","non-dropping-particle":"","parse-names":false,"suffix":""},{"dropping-particle":"","family":"Harris","given":"Nancy Lee","non-dropping-particle":"","parse-names":false,"suffix":""},{"dropping-particle":"","family":"Jaffe","given":"Elaine S.","non-dropping-particle":"","parse-names":false,"suffix":""},{"dropping-particle":"","family":"Pileri","given":"Stefano A.","non-dropping-particle":"","parse-names":false,"suffix":""},{"dropping-particle":"","family":"Stein","given":"Harald","non-dropping-particle":"","parse-names":false,"suffix":""},{"dropping-particle":"","family":"Thiele","given":"Jürgen","non-dropping-particle":"","parse-names":false,"suffix":""}],"editor":[{"dropping-particle":"","family":"Swerdlow SH, Campo E, Harris NL, Jaffe ES, Pileri SA, Stein H","given":"Thiele J","non-dropping-particle":"","parse-names":false,"suffix":""}],"id":"ITEM-2","issued":{"date-parts":[["2017"]]},"number-of-pages":"585","title":"WHO classification of tumours of haematopoietic and lymphoid tissues. Revised 4th ed. Lyon, France: International Agency for Research in Cancer (IARC)","type":"book"},"uris":["http://www.mendeley.com/documents/?uuid=b06b14d2-e846-3ead-b23a-17e93b076e13"]}],"mendeley":{"formattedCitation":"[7,8]","plainTextFormattedCitation":"[7,8]","previouslyFormattedCitation":"[7,8]"},"properties":{"noteIndex":0},"schema":"https://github.com/citation-style-language/schema/raw/master/csl-citation.json"}</w:instrText>
      </w:r>
      <w:r w:rsidRPr="006A377C">
        <w:rPr>
          <w:szCs w:val="24"/>
        </w:rPr>
        <w:fldChar w:fldCharType="separate"/>
      </w:r>
      <w:r w:rsidR="007626C2" w:rsidRPr="007626C2">
        <w:rPr>
          <w:noProof/>
          <w:szCs w:val="24"/>
          <w:lang w:eastAsia="ko-KR"/>
        </w:rPr>
        <w:t>[7,8]</w:t>
      </w:r>
      <w:r w:rsidRPr="006A377C">
        <w:rPr>
          <w:szCs w:val="24"/>
        </w:rPr>
        <w:fldChar w:fldCharType="end"/>
      </w:r>
    </w:p>
    <w:tbl>
      <w:tblPr>
        <w:tblW w:w="9642"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020" w:firstRow="1" w:lastRow="0" w:firstColumn="0" w:lastColumn="0" w:noHBand="0" w:noVBand="0"/>
      </w:tblPr>
      <w:tblGrid>
        <w:gridCol w:w="4539"/>
        <w:gridCol w:w="5103"/>
      </w:tblGrid>
      <w:tr w:rsidR="00F20CFD" w:rsidRPr="001E3EF7" w14:paraId="6A79B29A" w14:textId="77777777">
        <w:tc>
          <w:tcPr>
            <w:tcW w:w="4539" w:type="dxa"/>
            <w:tcMar>
              <w:top w:w="72" w:type="dxa"/>
              <w:left w:w="144" w:type="dxa"/>
              <w:bottom w:w="72" w:type="dxa"/>
              <w:right w:w="144" w:type="dxa"/>
            </w:tcMar>
          </w:tcPr>
          <w:p w14:paraId="4B0E2C26" w14:textId="77777777" w:rsidR="00F20CFD" w:rsidRPr="006A377C" w:rsidRDefault="00F20CFD" w:rsidP="00EA7BF5">
            <w:pPr>
              <w:pStyle w:val="table-head-bold"/>
              <w:spacing w:line="360" w:lineRule="auto"/>
              <w:jc w:val="center"/>
              <w:rPr>
                <w:sz w:val="24"/>
                <w:szCs w:val="24"/>
                <w:lang w:eastAsia="ko-KR"/>
              </w:rPr>
            </w:pPr>
            <w:r w:rsidRPr="006A377C">
              <w:rPr>
                <w:rFonts w:eastAsia="Microsoft YaHei"/>
                <w:kern w:val="24"/>
                <w:sz w:val="24"/>
                <w:szCs w:val="24"/>
                <w:lang w:eastAsia="ko-KR"/>
              </w:rPr>
              <w:lastRenderedPageBreak/>
              <w:t>ВОЗ 2008 г.</w:t>
            </w:r>
          </w:p>
        </w:tc>
        <w:tc>
          <w:tcPr>
            <w:tcW w:w="5103" w:type="dxa"/>
            <w:tcMar>
              <w:top w:w="72" w:type="dxa"/>
              <w:left w:w="144" w:type="dxa"/>
              <w:bottom w:w="72" w:type="dxa"/>
              <w:right w:w="144" w:type="dxa"/>
            </w:tcMar>
          </w:tcPr>
          <w:p w14:paraId="79C089F7" w14:textId="77777777" w:rsidR="00F20CFD" w:rsidRPr="006A377C" w:rsidRDefault="00F20CFD" w:rsidP="00EA7BF5">
            <w:pPr>
              <w:pStyle w:val="table-head-bold"/>
              <w:spacing w:line="360" w:lineRule="auto"/>
              <w:jc w:val="center"/>
              <w:rPr>
                <w:sz w:val="24"/>
                <w:szCs w:val="24"/>
                <w:lang w:eastAsia="ko-KR"/>
              </w:rPr>
            </w:pPr>
            <w:r w:rsidRPr="006A377C">
              <w:rPr>
                <w:rFonts w:eastAsia="Microsoft YaHei"/>
                <w:kern w:val="24"/>
                <w:sz w:val="24"/>
                <w:szCs w:val="24"/>
                <w:lang w:eastAsia="ko-KR"/>
              </w:rPr>
              <w:t>ВОЗ 2017 г.</w:t>
            </w:r>
          </w:p>
        </w:tc>
      </w:tr>
      <w:tr w:rsidR="00F20CFD" w:rsidRPr="001E3EF7" w14:paraId="77F6EDBB" w14:textId="77777777">
        <w:tc>
          <w:tcPr>
            <w:tcW w:w="4539" w:type="dxa"/>
            <w:tcMar>
              <w:top w:w="72" w:type="dxa"/>
              <w:left w:w="144" w:type="dxa"/>
              <w:bottom w:w="72" w:type="dxa"/>
              <w:right w:w="144" w:type="dxa"/>
            </w:tcMar>
          </w:tcPr>
          <w:p w14:paraId="59C5B11C" w14:textId="77777777" w:rsidR="00F20CFD" w:rsidRPr="006A377C" w:rsidRDefault="00F20CFD" w:rsidP="00EA7BF5">
            <w:pPr>
              <w:pStyle w:val="table-text-0"/>
              <w:spacing w:line="360" w:lineRule="auto"/>
              <w:ind w:left="0"/>
              <w:rPr>
                <w:sz w:val="24"/>
                <w:szCs w:val="24"/>
                <w:lang w:val="ru-RU" w:eastAsia="ko-KR"/>
              </w:rPr>
            </w:pPr>
            <w:r w:rsidRPr="006A377C">
              <w:rPr>
                <w:rFonts w:eastAsia="Microsoft YaHei"/>
                <w:kern w:val="24"/>
                <w:sz w:val="24"/>
                <w:szCs w:val="24"/>
                <w:lang w:val="ru-RU" w:eastAsia="ko-KR"/>
              </w:rPr>
              <w:t>Рефрактерная цитопения с линейной дисплазией: РА, РТ, РН</w:t>
            </w:r>
          </w:p>
        </w:tc>
        <w:tc>
          <w:tcPr>
            <w:tcW w:w="5103" w:type="dxa"/>
            <w:tcMar>
              <w:top w:w="72" w:type="dxa"/>
              <w:left w:w="144" w:type="dxa"/>
              <w:bottom w:w="72" w:type="dxa"/>
              <w:right w:w="144" w:type="dxa"/>
            </w:tcMar>
          </w:tcPr>
          <w:p w14:paraId="10285FFC" w14:textId="77777777" w:rsidR="00F20CFD" w:rsidRPr="00B118A2" w:rsidRDefault="00F20CFD" w:rsidP="00EA7BF5">
            <w:pPr>
              <w:pStyle w:val="table-text-0"/>
              <w:spacing w:line="360" w:lineRule="auto"/>
              <w:rPr>
                <w:sz w:val="24"/>
                <w:szCs w:val="24"/>
                <w:lang w:val="ru-RU" w:eastAsia="ko-KR"/>
              </w:rPr>
            </w:pPr>
            <w:r w:rsidRPr="006A377C">
              <w:rPr>
                <w:rFonts w:eastAsia="Microsoft YaHei"/>
                <w:kern w:val="24"/>
                <w:sz w:val="24"/>
                <w:szCs w:val="24"/>
                <w:lang w:val="ru-RU" w:eastAsia="ko-KR"/>
              </w:rPr>
              <w:t>МДС с линейной дисплазией</w:t>
            </w:r>
          </w:p>
        </w:tc>
      </w:tr>
      <w:tr w:rsidR="00F20CFD" w:rsidRPr="001E3EF7" w14:paraId="5F692C34" w14:textId="77777777">
        <w:tc>
          <w:tcPr>
            <w:tcW w:w="4539" w:type="dxa"/>
            <w:tcMar>
              <w:top w:w="72" w:type="dxa"/>
              <w:left w:w="144" w:type="dxa"/>
              <w:bottom w:w="72" w:type="dxa"/>
              <w:right w:w="144" w:type="dxa"/>
            </w:tcMar>
          </w:tcPr>
          <w:p w14:paraId="570B1F0F" w14:textId="77777777" w:rsidR="00F20CFD" w:rsidRPr="006A377C" w:rsidRDefault="00F20CFD" w:rsidP="00EA7BF5">
            <w:pPr>
              <w:pStyle w:val="table-text-0"/>
              <w:spacing w:line="360" w:lineRule="auto"/>
              <w:ind w:left="0"/>
              <w:rPr>
                <w:sz w:val="24"/>
                <w:szCs w:val="24"/>
                <w:lang w:val="ru-RU" w:eastAsia="ko-KR"/>
              </w:rPr>
            </w:pPr>
            <w:r w:rsidRPr="006A377C">
              <w:rPr>
                <w:rFonts w:eastAsia="Microsoft YaHei"/>
                <w:kern w:val="24"/>
                <w:sz w:val="24"/>
                <w:szCs w:val="24"/>
                <w:lang w:val="ru-RU" w:eastAsia="ko-KR"/>
              </w:rPr>
              <w:t>Рефрактерная анемия с КС</w:t>
            </w:r>
          </w:p>
        </w:tc>
        <w:tc>
          <w:tcPr>
            <w:tcW w:w="5103" w:type="dxa"/>
            <w:tcMar>
              <w:top w:w="72" w:type="dxa"/>
              <w:left w:w="144" w:type="dxa"/>
              <w:bottom w:w="72" w:type="dxa"/>
              <w:right w:w="144" w:type="dxa"/>
            </w:tcMar>
          </w:tcPr>
          <w:p w14:paraId="60B373AA" w14:textId="77777777" w:rsidR="00F20CFD" w:rsidRPr="006A377C" w:rsidRDefault="00F20CFD" w:rsidP="00EA7BF5">
            <w:pPr>
              <w:pStyle w:val="table-text-0"/>
              <w:spacing w:line="360" w:lineRule="auto"/>
              <w:rPr>
                <w:sz w:val="24"/>
                <w:szCs w:val="24"/>
                <w:lang w:val="ru-RU" w:eastAsia="ko-KR"/>
              </w:rPr>
            </w:pPr>
            <w:r w:rsidRPr="006A377C">
              <w:rPr>
                <w:rFonts w:eastAsia="Microsoft YaHei"/>
                <w:kern w:val="24"/>
                <w:sz w:val="24"/>
                <w:szCs w:val="24"/>
                <w:lang w:val="ru-RU" w:eastAsia="ko-KR"/>
              </w:rPr>
              <w:t>МДС с КС и линейной дисплазией</w:t>
            </w:r>
          </w:p>
        </w:tc>
      </w:tr>
      <w:tr w:rsidR="00F20CFD" w:rsidRPr="001E3EF7" w14:paraId="1C42153A" w14:textId="77777777">
        <w:tc>
          <w:tcPr>
            <w:tcW w:w="4539" w:type="dxa"/>
            <w:tcMar>
              <w:top w:w="72" w:type="dxa"/>
              <w:left w:w="144" w:type="dxa"/>
              <w:bottom w:w="72" w:type="dxa"/>
              <w:right w:w="144" w:type="dxa"/>
            </w:tcMar>
          </w:tcPr>
          <w:p w14:paraId="60D1B2DC" w14:textId="77777777" w:rsidR="00F20CFD" w:rsidRPr="006A377C" w:rsidRDefault="00F20CFD" w:rsidP="00EA7BF5">
            <w:pPr>
              <w:pStyle w:val="table-text-0"/>
              <w:spacing w:line="360" w:lineRule="auto"/>
              <w:ind w:left="0"/>
              <w:rPr>
                <w:sz w:val="24"/>
                <w:szCs w:val="24"/>
                <w:lang w:val="ru-RU" w:eastAsia="ko-KR"/>
              </w:rPr>
            </w:pPr>
            <w:r w:rsidRPr="006A377C">
              <w:rPr>
                <w:rFonts w:eastAsia="Microsoft YaHei"/>
                <w:kern w:val="24"/>
                <w:sz w:val="24"/>
                <w:szCs w:val="24"/>
                <w:lang w:val="ru-RU" w:eastAsia="ko-KR"/>
              </w:rPr>
              <w:t>Рефрактерная цитопения с мультилинейной дисплазией</w:t>
            </w:r>
          </w:p>
        </w:tc>
        <w:tc>
          <w:tcPr>
            <w:tcW w:w="5103" w:type="dxa"/>
            <w:tcMar>
              <w:top w:w="72" w:type="dxa"/>
              <w:left w:w="144" w:type="dxa"/>
              <w:bottom w:w="72" w:type="dxa"/>
              <w:right w:w="144" w:type="dxa"/>
            </w:tcMar>
          </w:tcPr>
          <w:p w14:paraId="67C7984E" w14:textId="77777777" w:rsidR="00F20CFD" w:rsidRPr="006A377C" w:rsidRDefault="00F20CFD" w:rsidP="00EA7BF5">
            <w:pPr>
              <w:pStyle w:val="table-text-0"/>
              <w:spacing w:line="360" w:lineRule="auto"/>
              <w:rPr>
                <w:rFonts w:eastAsia="Microsoft YaHei"/>
                <w:kern w:val="24"/>
                <w:sz w:val="24"/>
                <w:szCs w:val="24"/>
                <w:lang w:val="ru-RU" w:eastAsia="ko-KR"/>
              </w:rPr>
            </w:pPr>
            <w:r w:rsidRPr="006A377C">
              <w:rPr>
                <w:rFonts w:eastAsia="Microsoft YaHei"/>
                <w:kern w:val="24"/>
                <w:sz w:val="24"/>
                <w:szCs w:val="24"/>
                <w:lang w:val="ru-RU" w:eastAsia="ko-KR"/>
              </w:rPr>
              <w:t>МДС с мультилинейной дисплазией</w:t>
            </w:r>
          </w:p>
          <w:p w14:paraId="6F2AE83C" w14:textId="77777777" w:rsidR="00F20CFD" w:rsidRPr="006A377C" w:rsidRDefault="00F20CFD" w:rsidP="00EA7BF5">
            <w:pPr>
              <w:pStyle w:val="table-text-0"/>
              <w:spacing w:line="360" w:lineRule="auto"/>
              <w:rPr>
                <w:rFonts w:eastAsia="Microsoft YaHei"/>
                <w:kern w:val="24"/>
                <w:sz w:val="24"/>
                <w:szCs w:val="24"/>
                <w:lang w:val="ru-RU" w:eastAsia="ko-KR"/>
              </w:rPr>
            </w:pPr>
            <w:r w:rsidRPr="006A377C">
              <w:rPr>
                <w:rFonts w:eastAsia="Microsoft YaHei"/>
                <w:kern w:val="24"/>
                <w:sz w:val="24"/>
                <w:szCs w:val="24"/>
                <w:lang w:val="ru-RU" w:eastAsia="ko-KR"/>
              </w:rPr>
              <w:t>МДС с КС и мультилинейной дисплазией</w:t>
            </w:r>
          </w:p>
          <w:p w14:paraId="5C1C4852" w14:textId="77777777" w:rsidR="00F20CFD" w:rsidRPr="006A377C" w:rsidRDefault="00F20CFD" w:rsidP="00EA7BF5">
            <w:pPr>
              <w:pStyle w:val="table-text-0"/>
              <w:spacing w:line="360" w:lineRule="auto"/>
              <w:rPr>
                <w:sz w:val="24"/>
                <w:szCs w:val="24"/>
                <w:lang w:val="ru-RU" w:eastAsia="ko-KR"/>
              </w:rPr>
            </w:pPr>
            <w:r w:rsidRPr="006A377C">
              <w:rPr>
                <w:rFonts w:eastAsia="Microsoft YaHei"/>
                <w:kern w:val="24"/>
                <w:sz w:val="24"/>
                <w:szCs w:val="24"/>
                <w:lang w:val="ru-RU" w:eastAsia="ko-KR"/>
              </w:rPr>
              <w:t xml:space="preserve">МДС с изолированной </w:t>
            </w:r>
            <w:r w:rsidRPr="006A377C">
              <w:rPr>
                <w:sz w:val="24"/>
                <w:szCs w:val="24"/>
                <w:lang w:val="ru-RU" w:eastAsia="ko-KR"/>
              </w:rPr>
              <w:t>делецией 5</w:t>
            </w:r>
            <w:r w:rsidRPr="006A377C">
              <w:rPr>
                <w:sz w:val="24"/>
                <w:szCs w:val="24"/>
                <w:lang w:eastAsia="ko-KR"/>
              </w:rPr>
              <w:t>q</w:t>
            </w:r>
          </w:p>
          <w:p w14:paraId="440F5BD0" w14:textId="77777777" w:rsidR="00F20CFD" w:rsidRPr="006A377C" w:rsidRDefault="00F20CFD" w:rsidP="00EA7BF5">
            <w:pPr>
              <w:pStyle w:val="table-text-0"/>
              <w:spacing w:line="360" w:lineRule="auto"/>
              <w:rPr>
                <w:sz w:val="24"/>
                <w:szCs w:val="24"/>
                <w:lang w:val="ru-RU"/>
              </w:rPr>
            </w:pPr>
            <w:r w:rsidRPr="006A377C">
              <w:rPr>
                <w:rFonts w:eastAsia="Microsoft YaHei"/>
                <w:kern w:val="24"/>
                <w:sz w:val="24"/>
                <w:szCs w:val="24"/>
                <w:lang w:val="ru-RU" w:eastAsia="ko-KR"/>
              </w:rPr>
              <w:t>МДС неклассифицируе</w:t>
            </w:r>
            <w:r w:rsidRPr="006A377C">
              <w:rPr>
                <w:rFonts w:eastAsia="Microsoft YaHei"/>
                <w:kern w:val="24"/>
                <w:sz w:val="24"/>
                <w:szCs w:val="24"/>
                <w:lang w:val="ru-RU"/>
              </w:rPr>
              <w:t>мый</w:t>
            </w:r>
          </w:p>
        </w:tc>
      </w:tr>
      <w:tr w:rsidR="00F20CFD" w:rsidRPr="001E3EF7" w14:paraId="4C948BD8" w14:textId="77777777">
        <w:tc>
          <w:tcPr>
            <w:tcW w:w="4539" w:type="dxa"/>
            <w:tcMar>
              <w:top w:w="72" w:type="dxa"/>
              <w:left w:w="144" w:type="dxa"/>
              <w:bottom w:w="72" w:type="dxa"/>
              <w:right w:w="144" w:type="dxa"/>
            </w:tcMar>
          </w:tcPr>
          <w:p w14:paraId="2E3523AB" w14:textId="77777777" w:rsidR="00F20CFD" w:rsidRPr="006A377C" w:rsidRDefault="00F20CFD" w:rsidP="00EA7BF5">
            <w:pPr>
              <w:pStyle w:val="table-text-0"/>
              <w:spacing w:line="360" w:lineRule="auto"/>
              <w:ind w:left="0"/>
              <w:rPr>
                <w:rFonts w:eastAsia="Microsoft YaHei"/>
                <w:kern w:val="24"/>
                <w:sz w:val="24"/>
                <w:szCs w:val="24"/>
                <w:lang w:val="ru-RU"/>
              </w:rPr>
            </w:pPr>
            <w:r w:rsidRPr="006A377C">
              <w:rPr>
                <w:rFonts w:eastAsia="Microsoft YaHei"/>
                <w:kern w:val="24"/>
                <w:sz w:val="24"/>
                <w:szCs w:val="24"/>
                <w:lang w:val="ru-RU"/>
              </w:rPr>
              <w:t xml:space="preserve">Рефрактерная анемия с избытком бластов-1 </w:t>
            </w:r>
          </w:p>
        </w:tc>
        <w:tc>
          <w:tcPr>
            <w:tcW w:w="5103" w:type="dxa"/>
            <w:tcMar>
              <w:top w:w="72" w:type="dxa"/>
              <w:left w:w="144" w:type="dxa"/>
              <w:bottom w:w="72" w:type="dxa"/>
              <w:right w:w="144" w:type="dxa"/>
            </w:tcMar>
          </w:tcPr>
          <w:p w14:paraId="47A6298B" w14:textId="77777777" w:rsidR="00F20CFD" w:rsidRPr="006A377C" w:rsidRDefault="00F20CFD" w:rsidP="00EA7BF5">
            <w:pPr>
              <w:pStyle w:val="table-text-0"/>
              <w:spacing w:line="360" w:lineRule="auto"/>
              <w:rPr>
                <w:sz w:val="24"/>
                <w:szCs w:val="24"/>
                <w:lang w:val="ru-RU"/>
              </w:rPr>
            </w:pPr>
            <w:r w:rsidRPr="006A377C">
              <w:rPr>
                <w:rFonts w:eastAsia="Microsoft YaHei"/>
                <w:kern w:val="24"/>
                <w:sz w:val="24"/>
                <w:szCs w:val="24"/>
                <w:lang w:val="ru-RU"/>
              </w:rPr>
              <w:t>МДС с избытком бластов-1</w:t>
            </w:r>
          </w:p>
        </w:tc>
      </w:tr>
      <w:tr w:rsidR="00F20CFD" w:rsidRPr="001E3EF7" w14:paraId="1641F815" w14:textId="77777777">
        <w:tc>
          <w:tcPr>
            <w:tcW w:w="4539" w:type="dxa"/>
            <w:tcMar>
              <w:top w:w="72" w:type="dxa"/>
              <w:left w:w="144" w:type="dxa"/>
              <w:bottom w:w="72" w:type="dxa"/>
              <w:right w:w="144" w:type="dxa"/>
            </w:tcMar>
          </w:tcPr>
          <w:p w14:paraId="79C5A8D8" w14:textId="77777777" w:rsidR="00F20CFD" w:rsidRPr="006A377C" w:rsidRDefault="00F20CFD" w:rsidP="00EA7BF5">
            <w:pPr>
              <w:pStyle w:val="table-text-1"/>
              <w:spacing w:line="360" w:lineRule="auto"/>
              <w:ind w:left="0"/>
              <w:rPr>
                <w:sz w:val="24"/>
                <w:szCs w:val="24"/>
                <w:lang w:val="ru-RU"/>
              </w:rPr>
            </w:pPr>
            <w:r w:rsidRPr="006A377C">
              <w:rPr>
                <w:rFonts w:eastAsia="Microsoft YaHei"/>
                <w:kern w:val="24"/>
                <w:sz w:val="24"/>
                <w:szCs w:val="24"/>
                <w:lang w:val="ru-RU"/>
              </w:rPr>
              <w:t xml:space="preserve">Рефрактерная анемия с избытком бластов-2 </w:t>
            </w:r>
          </w:p>
        </w:tc>
        <w:tc>
          <w:tcPr>
            <w:tcW w:w="5103" w:type="dxa"/>
            <w:tcMar>
              <w:top w:w="72" w:type="dxa"/>
              <w:left w:w="144" w:type="dxa"/>
              <w:bottom w:w="72" w:type="dxa"/>
              <w:right w:w="144" w:type="dxa"/>
            </w:tcMar>
          </w:tcPr>
          <w:p w14:paraId="2EEB5C55" w14:textId="77777777" w:rsidR="00F20CFD" w:rsidRPr="006A377C" w:rsidRDefault="00F20CFD" w:rsidP="00EA7BF5">
            <w:pPr>
              <w:pStyle w:val="table-text-1"/>
              <w:spacing w:line="360" w:lineRule="auto"/>
              <w:ind w:left="0"/>
              <w:rPr>
                <w:sz w:val="24"/>
                <w:szCs w:val="24"/>
                <w:lang w:val="ru-RU"/>
              </w:rPr>
            </w:pPr>
            <w:r w:rsidRPr="006A377C">
              <w:rPr>
                <w:rFonts w:eastAsia="Microsoft YaHei"/>
                <w:kern w:val="24"/>
                <w:sz w:val="24"/>
                <w:szCs w:val="24"/>
                <w:lang w:val="ru-RU"/>
              </w:rPr>
              <w:t xml:space="preserve"> МДС с избытком бластов-2</w:t>
            </w:r>
          </w:p>
        </w:tc>
      </w:tr>
      <w:tr w:rsidR="00F20CFD" w:rsidRPr="001E3EF7" w14:paraId="211BF878" w14:textId="77777777">
        <w:tc>
          <w:tcPr>
            <w:tcW w:w="4539" w:type="dxa"/>
            <w:tcMar>
              <w:top w:w="72" w:type="dxa"/>
              <w:left w:w="144" w:type="dxa"/>
              <w:bottom w:w="72" w:type="dxa"/>
              <w:right w:w="144" w:type="dxa"/>
            </w:tcMar>
          </w:tcPr>
          <w:p w14:paraId="7BD6F0E0" w14:textId="77777777" w:rsidR="00F20CFD" w:rsidRPr="006A377C" w:rsidRDefault="00F20CFD" w:rsidP="00EA7BF5">
            <w:pPr>
              <w:pStyle w:val="table-text-0"/>
              <w:spacing w:line="360" w:lineRule="auto"/>
              <w:ind w:left="0"/>
              <w:rPr>
                <w:sz w:val="24"/>
                <w:szCs w:val="24"/>
                <w:lang w:val="ru-RU"/>
              </w:rPr>
            </w:pPr>
            <w:r w:rsidRPr="006A377C">
              <w:rPr>
                <w:rFonts w:eastAsia="Microsoft YaHei"/>
                <w:kern w:val="24"/>
                <w:sz w:val="24"/>
                <w:szCs w:val="24"/>
                <w:lang w:val="ru-RU"/>
              </w:rPr>
              <w:t xml:space="preserve">МДС с изолированной </w:t>
            </w:r>
            <w:r w:rsidRPr="006A377C">
              <w:rPr>
                <w:sz w:val="24"/>
                <w:szCs w:val="24"/>
                <w:lang w:val="ru-RU"/>
              </w:rPr>
              <w:t>делецией 5</w:t>
            </w:r>
            <w:r w:rsidRPr="006A377C">
              <w:rPr>
                <w:sz w:val="24"/>
                <w:szCs w:val="24"/>
              </w:rPr>
              <w:t>q</w:t>
            </w:r>
          </w:p>
        </w:tc>
        <w:tc>
          <w:tcPr>
            <w:tcW w:w="5103" w:type="dxa"/>
            <w:tcMar>
              <w:top w:w="72" w:type="dxa"/>
              <w:left w:w="144" w:type="dxa"/>
              <w:bottom w:w="72" w:type="dxa"/>
              <w:right w:w="144" w:type="dxa"/>
            </w:tcMar>
          </w:tcPr>
          <w:p w14:paraId="7FE3CADD" w14:textId="77777777" w:rsidR="00F20CFD" w:rsidRPr="006A377C" w:rsidRDefault="00F20CFD" w:rsidP="00EA7BF5">
            <w:pPr>
              <w:pStyle w:val="table-text-0"/>
              <w:spacing w:line="360" w:lineRule="auto"/>
              <w:rPr>
                <w:sz w:val="24"/>
                <w:szCs w:val="24"/>
                <w:lang w:val="ru-RU"/>
              </w:rPr>
            </w:pPr>
            <w:r w:rsidRPr="006A377C">
              <w:rPr>
                <w:rFonts w:eastAsia="Microsoft YaHei"/>
                <w:kern w:val="24"/>
                <w:sz w:val="24"/>
                <w:szCs w:val="24"/>
                <w:lang w:val="ru-RU"/>
              </w:rPr>
              <w:t xml:space="preserve">МДС с изолированной </w:t>
            </w:r>
            <w:r w:rsidRPr="006A377C">
              <w:rPr>
                <w:sz w:val="24"/>
                <w:szCs w:val="24"/>
                <w:lang w:val="ru-RU"/>
              </w:rPr>
              <w:t>делецией 5</w:t>
            </w:r>
            <w:r w:rsidRPr="006A377C">
              <w:rPr>
                <w:sz w:val="24"/>
                <w:szCs w:val="24"/>
              </w:rPr>
              <w:t>q</w:t>
            </w:r>
          </w:p>
          <w:p w14:paraId="60EA8C79" w14:textId="77777777" w:rsidR="00F20CFD" w:rsidRPr="006A377C" w:rsidRDefault="00F20CFD" w:rsidP="00EA7BF5">
            <w:pPr>
              <w:pStyle w:val="table-text-0"/>
              <w:spacing w:line="360" w:lineRule="auto"/>
              <w:rPr>
                <w:sz w:val="24"/>
                <w:szCs w:val="24"/>
                <w:lang w:val="ru-RU"/>
              </w:rPr>
            </w:pPr>
            <w:r w:rsidRPr="006A377C">
              <w:rPr>
                <w:rFonts w:eastAsia="Microsoft YaHei"/>
                <w:kern w:val="24"/>
                <w:sz w:val="24"/>
                <w:szCs w:val="24"/>
                <w:lang w:val="ru-RU"/>
              </w:rPr>
              <w:t xml:space="preserve">МДС неклассифицируемый </w:t>
            </w:r>
          </w:p>
        </w:tc>
      </w:tr>
      <w:tr w:rsidR="00F20CFD" w:rsidRPr="001E3EF7" w14:paraId="476C6AFE" w14:textId="77777777">
        <w:tc>
          <w:tcPr>
            <w:tcW w:w="4539" w:type="dxa"/>
            <w:tcMar>
              <w:top w:w="72" w:type="dxa"/>
              <w:left w:w="144" w:type="dxa"/>
              <w:bottom w:w="72" w:type="dxa"/>
              <w:right w:w="144" w:type="dxa"/>
            </w:tcMar>
          </w:tcPr>
          <w:p w14:paraId="4917C665" w14:textId="77777777" w:rsidR="00F20CFD" w:rsidRPr="006A377C" w:rsidRDefault="00F20CFD" w:rsidP="00EA7BF5">
            <w:pPr>
              <w:pStyle w:val="table-text-0"/>
              <w:spacing w:line="360" w:lineRule="auto"/>
              <w:ind w:left="0"/>
              <w:rPr>
                <w:sz w:val="24"/>
                <w:szCs w:val="24"/>
                <w:lang w:val="ru-RU"/>
              </w:rPr>
            </w:pPr>
            <w:r w:rsidRPr="006A377C">
              <w:rPr>
                <w:rFonts w:eastAsia="Microsoft YaHei"/>
                <w:kern w:val="24"/>
                <w:sz w:val="24"/>
                <w:szCs w:val="24"/>
                <w:lang w:val="ru-RU"/>
              </w:rPr>
              <w:t>МДС неклассифицируемый</w:t>
            </w:r>
          </w:p>
        </w:tc>
        <w:tc>
          <w:tcPr>
            <w:tcW w:w="5103" w:type="dxa"/>
            <w:tcMar>
              <w:top w:w="72" w:type="dxa"/>
              <w:left w:w="144" w:type="dxa"/>
              <w:bottom w:w="72" w:type="dxa"/>
              <w:right w:w="144" w:type="dxa"/>
            </w:tcMar>
          </w:tcPr>
          <w:p w14:paraId="3022F060" w14:textId="77777777" w:rsidR="00F20CFD" w:rsidRPr="006A377C" w:rsidRDefault="00F20CFD" w:rsidP="00EA7BF5">
            <w:pPr>
              <w:pStyle w:val="table-text-0"/>
              <w:spacing w:line="360" w:lineRule="auto"/>
              <w:rPr>
                <w:sz w:val="24"/>
                <w:szCs w:val="24"/>
                <w:lang w:val="ru-RU"/>
              </w:rPr>
            </w:pPr>
            <w:r w:rsidRPr="006A377C">
              <w:rPr>
                <w:rFonts w:eastAsia="Microsoft YaHei"/>
                <w:kern w:val="24"/>
                <w:sz w:val="24"/>
                <w:szCs w:val="24"/>
                <w:lang w:val="ru-RU"/>
              </w:rPr>
              <w:t>МДС неклассифицируемый</w:t>
            </w:r>
          </w:p>
        </w:tc>
      </w:tr>
    </w:tbl>
    <w:p w14:paraId="25515D21" w14:textId="77777777" w:rsidR="00F20CFD" w:rsidRPr="006A377C" w:rsidRDefault="00F20CFD" w:rsidP="00E10ED8">
      <w:pPr>
        <w:pStyle w:val="2"/>
      </w:pPr>
      <w:bookmarkStart w:id="9" w:name="_Toc65104084"/>
      <w:r w:rsidRPr="000E7254">
        <w:t xml:space="preserve">1.6. </w:t>
      </w:r>
      <w:r w:rsidR="000E7254" w:rsidRPr="007626C2">
        <w:rPr>
          <w:rFonts w:ascii="Times New Roman CYR" w:hAnsi="Times New Roman CYR" w:cs="Times New Roman CYR"/>
          <w:color w:val="000000"/>
          <w:lang w:eastAsia="ru-RU"/>
        </w:rPr>
        <w:t>Клиническая картина заболевания или состояния (группы заболеваний или состояний)</w:t>
      </w:r>
      <w:bookmarkEnd w:id="9"/>
    </w:p>
    <w:p w14:paraId="3D6E8013" w14:textId="77777777" w:rsidR="00F20CFD" w:rsidRPr="006A377C" w:rsidRDefault="00F20CFD" w:rsidP="00EA7BF5">
      <w:pPr>
        <w:ind w:firstLine="709"/>
        <w:rPr>
          <w:szCs w:val="24"/>
        </w:rPr>
      </w:pPr>
      <w:r w:rsidRPr="006A377C">
        <w:rPr>
          <w:szCs w:val="24"/>
        </w:rPr>
        <w:t>Основные клинические проявления МДС неспецифичны и наиболее часто обусловлены как количественными, так и качественными изменениями системы кроветворения: цитопенический синдром (анемический синдром, геморрагический синдром, лейкопения)</w:t>
      </w:r>
      <w:r w:rsidR="008C65B1">
        <w:rPr>
          <w:szCs w:val="24"/>
        </w:rPr>
        <w:t>,</w:t>
      </w:r>
      <w:r w:rsidRPr="006A377C">
        <w:rPr>
          <w:szCs w:val="24"/>
        </w:rPr>
        <w:t xml:space="preserve"> инфекционные осложнения, В-симптомы, спленомегалия, аутоиммунные проявления.</w:t>
      </w:r>
    </w:p>
    <w:p w14:paraId="53341E83" w14:textId="77777777" w:rsidR="00F20CFD" w:rsidRPr="00F636D0" w:rsidRDefault="00F20CFD" w:rsidP="00C413F9">
      <w:pPr>
        <w:ind w:firstLine="709"/>
      </w:pPr>
      <w:r w:rsidRPr="006A377C">
        <w:rPr>
          <w:b/>
        </w:rPr>
        <w:t>Аутоиммунные проявления</w:t>
      </w:r>
      <w:r w:rsidRPr="006A377C">
        <w:t xml:space="preserve"> ~ в 10% случаев МДС манифестирует с аутоиммунного процесса: системный васкулит, некротический панникулит, серонегативный артрит, ревматическая полимиалгия, Кумбс-положительная гемолитическая анемия, перикардит, плеврит </w:t>
      </w:r>
      <w:r w:rsidRPr="006A377C">
        <w:fldChar w:fldCharType="begin" w:fldLock="1"/>
      </w:r>
      <w:r w:rsidRPr="006A377C">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id":"ITEM-2","itemData":{"author":[{"dropping-particle":"","family":"Ширин","given":"А.Д.","non-dropping-particle":"","parse-names":false,"suffix":""},{"dropping-particle":"","family":"Френкель","given":"М.А.","non-dropping-particle":"","parse-names":false,"suffix":""}],"container-title":"Клиническая онкогематология: руководство для врачей. Под ред. Волковой М.А.. 2-е изд., перераб. и доп.","id":"ITEM-2","issued":{"date-parts":[["2007"]]},"page":"502-551","title":"Миелодиспластические синдромы","type":"chapter"},"uris":["http://www.mendeley.com/documents/?uuid=9f2eca44-a3a8-4eb4-90b5-a52e4e769482"]},{"id":"ITEM-3","itemData":{"DOI":"10.1002/ajh.24102","ISSN":"1096-8652","PMID":"26294090","abstract":"DISEASE OVERVIEW The myelodysplastic syndromes (MDS) are a very heterogeneous group of myeloid disorders characterized by peripheral blood cytopenias and increased risk of transformation to acute myelogenous leukemia (AML). MDS occurs more frequently in older males and in individuals with prior exposure to cytotoxic therapy. DIAGNOSIS Diagnosis of MDS is based on morphological evidence of dysplasia upon visual examination of a bone marrow aspirate and biopsy. Information obtained from additional studies such as karyotype, flow cytometry, or molecular genetics is complementary but not diagnostic. Risk-stratification: Prognosis of patients with MDS can be calculated using a number of scoring systems. In general, all these scoring systems include analysis of peripheral cytopenias, percentage of blasts in the bone marrow, and cytogenetic characteristics. The most commonly used system still is probably the International Prognostic Scoring System (IPSS). IPSS is being replaced by the new revised score IPSS-R. RISK-ADAPTED THERAPY Therapy is selected based on risk, transfusion needs, percent of bone marrow blasts, and more recently cytogenetic and mutational profiles. Goals of therapy are different in lower risk patients than in higher risk. In lower risk, the goal is to decrease transfusion needs and transformation to higher risk disease or AML, as well as to improve survival. In higher risk, the goal is to prolong survival. Current available therapies include growth factor support, lenalidomide, hypomethylating agents, intensive chemotherapy, and allogeneic stem cell transplantation. The use of lenalidomide has significant clinical activity in patients with lower risk disease, anemia, and a chromosome 5 alteration. 5-Azacitidine and decitabine have activity in higher risk MDS. 5-Azacitidine has been shown to improve survival in higher risk MDS. A number of new molecular lesions have been described in MDS that may serve as new therapeutic targets or aid in the selection of currently available agents. Additional supportive care measures may include the use of prophylactic antibiotics and iron chelation. Management of progressive or refractory disease: At the present time there are no approved interventions for patients with progressive or refractory disease particularly after hypomethylating based therapy. Options include participation in a clinical trial or cytarabine based therapy and stem cell transplantation.","author":[{"dropping-particle":"","family":"Garcia-Manero","given":"Guillermo","non-dropping-particle":"","parse-names":false,"suffix":""}],"container-title":"American journal of hematology","id":"ITEM-3","issue":"9","issued":{"date-parts":[["2015","9"]]},"page":"831-41","title":"Myelodysplastic syndromes: 2015 Update on diagnosis, risk-stratification and management.","type":"article-journal","volume":"90"},"uris":["http://www.mendeley.com/documents/?uuid=f71f5ed5-dc93-3fd3-b1f1-68c1270ac29e"]},{"id":"ITEM-4","itemData":{"DOI":"10.1182/blood-2013-03-492884","ISSN":"1528-0020","PMID":"23980065","abstract":"Within the myelodysplastic syndrome (MDS) work package of the European LeukemiaNet, an Expert Panel was selected according to the framework elements of the National Institutes of Health Consensus Development Program. A systematic review of the literature was performed that included indexed original papers, indexed reviews and educational papers, and abstracts of conference proceedings. Guidelines were developed on the basis of a list of patient- and therapy-oriented questions, and recommendations were formulated and ranked according to the supporting level of evidence. MDSs should be classified according to the 2008 World Health Organization criteria. An accurate risk assessment requires the evaluation of not only disease-related factors but also of those related to extrahematologic comorbidity. The assessment of individual risk enables the identification of fit patients with a poor prognosis who are candidates for up-front intensive treatments, primarily allogeneic stem cell transplantation. A high proportion of MDS patients are not eligible for potentially curative treatment because of advanced age and/or clinically relevant comorbidities and poor performance status. In these patients, the therapeutic intervention is aimed at preventing cytopenia-related morbidity and preserving quality of life. A number of new agents are being developed for which the available evidence is not sufficient to recommend routine use. The inclusion of patients into prospective clinical trials is strongly recommended.","author":[{"dropping-particle":"","family":"Malcovati","given":"Luca","non-dropping-particle":"","parse-names":false,"suffix":""},{"dropping-particle":"","family":"Hellström-Lindberg","given":"Eva","non-dropping-particle":"","parse-names":false,"suffix":""},{"dropping-particle":"","family":"Bowen","given":"David","non-dropping-particle":"","parse-names":false,"suffix":""},{"dropping-particle":"","family":"Adès","given":"Lionel","non-dropping-particle":"","parse-names":false,"suffix":""},{"dropping-particle":"","family":"Cermak","given":"Jaroslav","non-dropping-particle":"","parse-names":false,"suffix":""},{"dropping-particle":"","family":"Cañizo","given":"Consuelo","non-dropping-particle":"Del","parse-names":false,"suffix":""},{"dropping-particle":"","family":"Porta","given":"Matteo G","non-dropping-particle":"Della","parse-names":false,"suffix":""},{"dropping-particle":"","family":"Fenaux","given":"Pierre","non-dropping-particle":"","parse-names":false,"suffix":""},{"dropping-particle":"","family":"Gattermann","given":"Norbert","non-dropping-particle":"","parse-names":false,"suffix":""},{"dropping-particle":"","family":"Germing","given":"Ulrich","non-dropping-particle":"","parse-names":false,"suffix":""},{"dropping-particle":"","family":"Jansen","given":"Joop H","non-dropping-particle":"","parse-names":false,"suffix":""},{"dropping-particle":"","family":"Mittelman","given":"Moshe","non-dropping-particle":"","parse-names":false,"suffix":""},{"dropping-particle":"","family":"Mufti","given":"Ghulam","non-dropping-particle":"","parse-names":false,"suffix":""},{"dropping-particle":"","family":"Platzbecker","given":"Uwe","non-dropping-particle":"","parse-names":false,"suffix":""},{"dropping-particle":"","family":"Sanz","given":"Guillermo F","non-dropping-particle":"","parse-names":false,"suffix":""},{"dropping-particle":"","family":"Selleslag","given":"Dominik","non-dropping-particle":"","parse-names":false,"suffix":""},{"dropping-particle":"","family":"Skov-Holm","given":"Mette","non-dropping-particle":"","parse-names":false,"suffix":""},{"dropping-particle":"","family":"Stauder","given":"Reinhard","non-dropping-particle":"","parse-names":false,"suffix":""},{"dropping-particle":"","family":"Symeonidis","given":"Argiris","non-dropping-particle":"","parse-names":false,"suffix":""},{"dropping-particle":"","family":"Loosdrecht","given":"Arjan A","non-dropping-particle":"van de","parse-names":false,"suffix":""},{"dropping-particle":"","family":"Witte","given":"Theo","non-dropping-particle":"de","parse-names":false,"suffix":""},{"dropping-particle":"","family":"Cazzola","given":"Mario","non-dropping-particle":"","parse-names":false,"suffix":""},{"dropping-particle":"","family":"European Leukemia Net","given":"","non-dropping-particle":"","parse-names":false,"suffix":""}],"container-title":"Blood","id":"ITEM-4","issue":"17","issued":{"date-parts":[["2013","10","24"]]},"page":"2943-64","title":"Diagnosis and treatment of primary myelodysplastic syndromes in adults: recommendations from the European LeukemiaNet.","type":"article-journal","volume":"122"},"uris":["http://www.mendeley.com/documents/?uuid=8d575a93-ae56-3e05-b1b4-97a7de4aac98"]},{"id":"ITEM-5","itemData":{"author":[{"dropping-particle":"","family":"Greenberg","given":"P.L.","non-dropping-particle":"","parse-names":false,"suffix":""},{"dropping-particle":"","family":"Stone","given":"Richard M.","non-dropping-particle":"","parse-names":false,"suffix":""},{"dropping-particle":"","family":"Al-Kali","given":"Aref","non-dropping-particle":"","parse-names":false,"suffix":""},{"dropping-particle":"","family":"Bejar","given":"Rafael","non-dropping-particle":"","parse-names":false,"suffix":""},{"dropping-particle":"","family":"Bennett","given":"John M.","non-dropping-particle":"","parse-names":false,"suffix":""}],"id":"ITEM-5","issued":{"date-parts":[["2019"]]},"title":"NCCN Clinical Practice Guidelines in Oncology. Myelodysplastic syndromes","type":"article"},"uris":["http://www.mendeley.com/documents/?uuid=42bd97a2-0774-4214-9691-f403cd4a21df"]}],"mendeley":{"formattedCitation":"[1–5]","plainTextFormattedCitation":"[1–5]","previouslyFormattedCitation":"[1–5]"},"properties":{"noteIndex":0},"schema":"https://github.com/citation-style-language/schema/raw/master/csl-citation.json"}</w:instrText>
      </w:r>
      <w:r w:rsidRPr="006A377C">
        <w:fldChar w:fldCharType="separate"/>
      </w:r>
      <w:r w:rsidRPr="006A377C">
        <w:rPr>
          <w:noProof/>
        </w:rPr>
        <w:t>[1–5]</w:t>
      </w:r>
      <w:r w:rsidRPr="006A377C">
        <w:fldChar w:fldCharType="end"/>
      </w:r>
      <w:r w:rsidRPr="006A377C">
        <w:t>.</w:t>
      </w:r>
    </w:p>
    <w:p w14:paraId="1183579E" w14:textId="77777777" w:rsidR="00F20CFD" w:rsidRPr="00C413F9" w:rsidRDefault="00265186" w:rsidP="00C413F9">
      <w:pPr>
        <w:pStyle w:val="2"/>
        <w:jc w:val="center"/>
        <w:rPr>
          <w:sz w:val="28"/>
          <w:szCs w:val="28"/>
          <w:u w:val="none"/>
        </w:rPr>
      </w:pPr>
      <w:r>
        <w:br w:type="page"/>
      </w:r>
      <w:bookmarkStart w:id="10" w:name="_Toc65104085"/>
      <w:r w:rsidR="00F20CFD" w:rsidRPr="00C413F9">
        <w:rPr>
          <w:sz w:val="28"/>
          <w:szCs w:val="28"/>
          <w:u w:val="none"/>
        </w:rPr>
        <w:lastRenderedPageBreak/>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bookmarkEnd w:id="10"/>
    </w:p>
    <w:p w14:paraId="76C4FB92" w14:textId="77777777" w:rsidR="00F20CFD" w:rsidRPr="006A377C" w:rsidRDefault="00F20CFD" w:rsidP="00EA7BF5">
      <w:pPr>
        <w:ind w:firstLine="709"/>
        <w:rPr>
          <w:i/>
          <w:szCs w:val="24"/>
        </w:rPr>
      </w:pPr>
      <w:r w:rsidRPr="006A377C">
        <w:rPr>
          <w:i/>
          <w:szCs w:val="24"/>
        </w:rPr>
        <w:t>Многие рекомендованные методы диагностики заболевания и связанных с ним состояний имеют ограниченную доказательную базу в соответствии со шкалами оценки уровня достоверности доказательств (УДД) и уровня убедительности рекомендаций (УУР) по причине отсутствия посвященных им клинических исследований. Несмотря на это, они являются необходимыми элементами обследования пациента для установления диагноза и выбора тактики лечения, так как более эффективные и доказанные методы в настоящее время не разработаны.</w:t>
      </w:r>
    </w:p>
    <w:p w14:paraId="7DF41290" w14:textId="77777777" w:rsidR="00F20CFD" w:rsidRPr="006A377C" w:rsidRDefault="00F20CFD" w:rsidP="00EA7BF5">
      <w:pPr>
        <w:pStyle w:val="Normal11"/>
        <w:spacing w:line="360" w:lineRule="auto"/>
        <w:ind w:firstLine="709"/>
        <w:rPr>
          <w:i/>
        </w:rPr>
      </w:pPr>
      <w:r w:rsidRPr="006A377C">
        <w:rPr>
          <w:i/>
        </w:rPr>
        <w:t>Для верификации диагноза МДС следует учитывать набор необходимых и решающих критериев.</w:t>
      </w:r>
    </w:p>
    <w:p w14:paraId="17790857" w14:textId="77777777" w:rsidR="00F20CFD" w:rsidRPr="006A377C" w:rsidRDefault="00F20CFD" w:rsidP="00EA7BF5">
      <w:pPr>
        <w:ind w:firstLine="709"/>
        <w:rPr>
          <w:b/>
          <w:i/>
          <w:szCs w:val="24"/>
        </w:rPr>
      </w:pPr>
      <w:r w:rsidRPr="006A377C">
        <w:rPr>
          <w:b/>
          <w:i/>
          <w:szCs w:val="24"/>
        </w:rPr>
        <w:t>1. Необходимые критерии</w:t>
      </w:r>
    </w:p>
    <w:p w14:paraId="1941A5FC" w14:textId="77777777" w:rsidR="00F20CFD" w:rsidRPr="006A377C" w:rsidRDefault="00F20CFD" w:rsidP="005F2F2B">
      <w:pPr>
        <w:pStyle w:val="FitzBullet"/>
        <w:numPr>
          <w:ilvl w:val="0"/>
          <w:numId w:val="10"/>
        </w:numPr>
        <w:tabs>
          <w:tab w:val="clear" w:pos="317"/>
          <w:tab w:val="left" w:pos="709"/>
        </w:tabs>
        <w:spacing w:line="360" w:lineRule="auto"/>
        <w:ind w:left="709" w:firstLine="0"/>
        <w:rPr>
          <w:i/>
          <w:color w:val="auto"/>
        </w:rPr>
      </w:pPr>
      <w:r w:rsidRPr="006A377C">
        <w:rPr>
          <w:i/>
          <w:color w:val="auto"/>
        </w:rPr>
        <w:t>Стабильная цитопения в 1 или более ростках в течение ≥4 месяцев, в частности:</w:t>
      </w:r>
    </w:p>
    <w:p w14:paraId="068966C1" w14:textId="77777777" w:rsidR="00F20CFD" w:rsidRPr="006A377C" w:rsidRDefault="00F20CFD" w:rsidP="00F4332F">
      <w:pPr>
        <w:pStyle w:val="FitzBullet"/>
        <w:tabs>
          <w:tab w:val="clear" w:pos="317"/>
          <w:tab w:val="left" w:pos="709"/>
        </w:tabs>
        <w:spacing w:line="360" w:lineRule="auto"/>
        <w:ind w:left="709" w:firstLine="0"/>
        <w:rPr>
          <w:i/>
          <w:color w:val="auto"/>
        </w:rPr>
      </w:pPr>
      <w:r w:rsidRPr="006A377C">
        <w:rPr>
          <w:rStyle w:val="Bullet2Char"/>
          <w:i/>
          <w:color w:val="auto"/>
        </w:rPr>
        <w:t>уровень гемоглобина &lt;110 г/л, количество нейтрофилов &lt;1,8×10</w:t>
      </w:r>
      <w:r w:rsidRPr="006A377C">
        <w:rPr>
          <w:rStyle w:val="Bullet2Char"/>
          <w:i/>
          <w:color w:val="auto"/>
          <w:vertAlign w:val="superscript"/>
        </w:rPr>
        <w:t>9</w:t>
      </w:r>
      <w:r w:rsidRPr="006A377C">
        <w:rPr>
          <w:rStyle w:val="Bullet2Char"/>
          <w:i/>
          <w:color w:val="auto"/>
        </w:rPr>
        <w:t>/л, тромбоцитов – &lt;100×10</w:t>
      </w:r>
      <w:r w:rsidRPr="006A377C">
        <w:rPr>
          <w:rStyle w:val="Bullet2Char"/>
          <w:i/>
          <w:color w:val="auto"/>
          <w:vertAlign w:val="superscript"/>
        </w:rPr>
        <w:t>9</w:t>
      </w:r>
      <w:r w:rsidRPr="006A377C">
        <w:rPr>
          <w:rStyle w:val="Bullet2Char"/>
          <w:i/>
          <w:color w:val="auto"/>
        </w:rPr>
        <w:t>/л</w:t>
      </w:r>
      <w:r w:rsidRPr="006A377C">
        <w:rPr>
          <w:i/>
          <w:color w:val="auto"/>
        </w:rPr>
        <w:t>.</w:t>
      </w:r>
    </w:p>
    <w:p w14:paraId="6037A20C" w14:textId="77777777" w:rsidR="00F20CFD" w:rsidRPr="006A377C" w:rsidRDefault="00F20CFD" w:rsidP="005F2F2B">
      <w:pPr>
        <w:pStyle w:val="FitzBullet"/>
        <w:numPr>
          <w:ilvl w:val="0"/>
          <w:numId w:val="11"/>
        </w:numPr>
        <w:tabs>
          <w:tab w:val="clear" w:pos="317"/>
          <w:tab w:val="left" w:pos="709"/>
        </w:tabs>
        <w:spacing w:line="360" w:lineRule="auto"/>
        <w:ind w:left="709" w:firstLine="0"/>
        <w:rPr>
          <w:i/>
          <w:color w:val="auto"/>
        </w:rPr>
      </w:pPr>
      <w:r w:rsidRPr="006A377C">
        <w:rPr>
          <w:i/>
          <w:color w:val="auto"/>
        </w:rPr>
        <w:t>Отсутствие других гематологических и негематологических заболеваний, которые протекают с цитопениями.</w:t>
      </w:r>
    </w:p>
    <w:p w14:paraId="51509F71" w14:textId="77777777" w:rsidR="00F20CFD" w:rsidRPr="006A377C" w:rsidRDefault="00F20CFD" w:rsidP="00EA7BF5">
      <w:pPr>
        <w:ind w:firstLine="709"/>
        <w:rPr>
          <w:b/>
          <w:i/>
          <w:szCs w:val="24"/>
          <w:lang w:val="en-US"/>
        </w:rPr>
      </w:pPr>
      <w:r w:rsidRPr="006A377C">
        <w:rPr>
          <w:b/>
          <w:i/>
          <w:szCs w:val="24"/>
        </w:rPr>
        <w:t>2. Решающие критерии</w:t>
      </w:r>
    </w:p>
    <w:p w14:paraId="1D01A046" w14:textId="77777777" w:rsidR="00F20CFD" w:rsidRPr="006A377C" w:rsidRDefault="00F20CFD" w:rsidP="005F2F2B">
      <w:pPr>
        <w:pStyle w:val="FitzBullet"/>
        <w:numPr>
          <w:ilvl w:val="0"/>
          <w:numId w:val="12"/>
        </w:numPr>
        <w:tabs>
          <w:tab w:val="clear" w:pos="317"/>
          <w:tab w:val="left" w:pos="709"/>
        </w:tabs>
        <w:spacing w:line="360" w:lineRule="auto"/>
        <w:ind w:left="709" w:firstLine="0"/>
        <w:rPr>
          <w:i/>
          <w:color w:val="auto"/>
        </w:rPr>
      </w:pPr>
      <w:r w:rsidRPr="006A377C">
        <w:rPr>
          <w:i/>
          <w:color w:val="auto"/>
        </w:rPr>
        <w:t>Дисплазия ≥10% от всех клеток эритроидного и/или гранулоцитарного, и/или мегакариоцитарного ростков, выявленная при морфологическом исследовании костного мозга.</w:t>
      </w:r>
    </w:p>
    <w:p w14:paraId="626E5852" w14:textId="77777777" w:rsidR="00F20CFD" w:rsidRPr="006A377C" w:rsidRDefault="00F20CFD" w:rsidP="005F2F2B">
      <w:pPr>
        <w:pStyle w:val="FitzBullet"/>
        <w:numPr>
          <w:ilvl w:val="0"/>
          <w:numId w:val="13"/>
        </w:numPr>
        <w:tabs>
          <w:tab w:val="clear" w:pos="317"/>
          <w:tab w:val="left" w:pos="709"/>
        </w:tabs>
        <w:spacing w:line="360" w:lineRule="auto"/>
        <w:ind w:left="709" w:firstLine="0"/>
        <w:rPr>
          <w:i/>
          <w:color w:val="auto"/>
        </w:rPr>
      </w:pPr>
      <w:r w:rsidRPr="006A377C">
        <w:rPr>
          <w:i/>
          <w:color w:val="auto"/>
        </w:rPr>
        <w:t xml:space="preserve">≥15% КС или ≥5% КС в сочетании с мутацией </w:t>
      </w:r>
      <w:r w:rsidRPr="006A377C">
        <w:rPr>
          <w:i/>
          <w:color w:val="auto"/>
          <w:lang w:val="en-US"/>
        </w:rPr>
        <w:t>SF</w:t>
      </w:r>
      <w:r w:rsidRPr="006A377C">
        <w:rPr>
          <w:i/>
          <w:color w:val="auto"/>
        </w:rPr>
        <w:t>3</w:t>
      </w:r>
      <w:r w:rsidRPr="006A377C">
        <w:rPr>
          <w:i/>
          <w:color w:val="auto"/>
          <w:lang w:val="en-US"/>
        </w:rPr>
        <w:t>B</w:t>
      </w:r>
      <w:r w:rsidRPr="006A377C">
        <w:rPr>
          <w:i/>
          <w:color w:val="auto"/>
        </w:rPr>
        <w:t>1.</w:t>
      </w:r>
    </w:p>
    <w:p w14:paraId="3E3F3926" w14:textId="77777777" w:rsidR="00F20CFD" w:rsidRPr="006A377C" w:rsidRDefault="00F20CFD" w:rsidP="005F2F2B">
      <w:pPr>
        <w:pStyle w:val="FitzBullet"/>
        <w:numPr>
          <w:ilvl w:val="0"/>
          <w:numId w:val="14"/>
        </w:numPr>
        <w:tabs>
          <w:tab w:val="clear" w:pos="317"/>
          <w:tab w:val="left" w:pos="709"/>
        </w:tabs>
        <w:spacing w:line="360" w:lineRule="auto"/>
        <w:ind w:left="709" w:firstLine="0"/>
        <w:rPr>
          <w:i/>
          <w:color w:val="auto"/>
        </w:rPr>
      </w:pPr>
      <w:r w:rsidRPr="006A377C">
        <w:rPr>
          <w:i/>
          <w:color w:val="auto"/>
        </w:rPr>
        <w:t>5</w:t>
      </w:r>
      <w:r w:rsidRPr="006A377C">
        <w:rPr>
          <w:color w:val="auto"/>
        </w:rPr>
        <w:t>–</w:t>
      </w:r>
      <w:r w:rsidRPr="006A377C">
        <w:rPr>
          <w:i/>
          <w:color w:val="auto"/>
        </w:rPr>
        <w:t>19% бластных клеток в КМ или 2–19% бластных клеток в периферической крови.</w:t>
      </w:r>
    </w:p>
    <w:p w14:paraId="1A804E35" w14:textId="77777777" w:rsidR="00F20CFD" w:rsidRPr="006A377C" w:rsidRDefault="00F20CFD" w:rsidP="005F2F2B">
      <w:pPr>
        <w:pStyle w:val="FitzBullet"/>
        <w:numPr>
          <w:ilvl w:val="0"/>
          <w:numId w:val="15"/>
        </w:numPr>
        <w:tabs>
          <w:tab w:val="clear" w:pos="317"/>
          <w:tab w:val="left" w:pos="709"/>
        </w:tabs>
        <w:spacing w:line="360" w:lineRule="auto"/>
        <w:ind w:left="709" w:firstLine="0"/>
        <w:rPr>
          <w:i/>
          <w:color w:val="auto"/>
        </w:rPr>
      </w:pPr>
      <w:r w:rsidRPr="006A377C">
        <w:rPr>
          <w:i/>
          <w:color w:val="auto"/>
        </w:rPr>
        <w:t>Типичные аномалии кариотипа (–7, 5</w:t>
      </w:r>
      <w:r w:rsidRPr="006A377C">
        <w:rPr>
          <w:i/>
          <w:color w:val="auto"/>
          <w:lang w:val="en-US"/>
        </w:rPr>
        <w:t>q</w:t>
      </w:r>
      <w:r w:rsidRPr="006A377C">
        <w:rPr>
          <w:i/>
          <w:color w:val="auto"/>
        </w:rPr>
        <w:t xml:space="preserve">– и др.), выявленные при стандартном цитогенетическом исследовании или методом </w:t>
      </w:r>
      <w:r w:rsidRPr="006A377C">
        <w:rPr>
          <w:i/>
          <w:color w:val="auto"/>
          <w:lang w:val="en-US"/>
        </w:rPr>
        <w:t>FISH</w:t>
      </w:r>
      <w:r w:rsidRPr="006A377C">
        <w:rPr>
          <w:i/>
          <w:color w:val="auto"/>
        </w:rPr>
        <w:t>.</w:t>
      </w:r>
    </w:p>
    <w:p w14:paraId="47451435" w14:textId="77777777" w:rsidR="00F20CFD" w:rsidRPr="006A377C" w:rsidRDefault="00F20CFD" w:rsidP="00EA7BF5">
      <w:pPr>
        <w:ind w:firstLine="709"/>
        <w:rPr>
          <w:b/>
          <w:i/>
          <w:szCs w:val="24"/>
        </w:rPr>
      </w:pPr>
      <w:r w:rsidRPr="006A377C">
        <w:rPr>
          <w:b/>
          <w:i/>
          <w:szCs w:val="24"/>
        </w:rPr>
        <w:t>3. Дополнительные критерии</w:t>
      </w:r>
    </w:p>
    <w:p w14:paraId="4024FDA3" w14:textId="77777777" w:rsidR="00F20CFD" w:rsidRPr="006A377C" w:rsidRDefault="00F20CFD" w:rsidP="00F4332F">
      <w:pPr>
        <w:kinsoku w:val="0"/>
        <w:overflowPunct w:val="0"/>
        <w:spacing w:before="160"/>
        <w:ind w:left="709"/>
        <w:textAlignment w:val="baseline"/>
        <w:rPr>
          <w:i/>
          <w:szCs w:val="24"/>
        </w:rPr>
      </w:pPr>
      <w:r w:rsidRPr="006A377C">
        <w:rPr>
          <w:i/>
          <w:szCs w:val="24"/>
        </w:rPr>
        <w:t>Если есть необходимые критерии (1), но нет решающих критериев (2), но есть клиническая картина,</w:t>
      </w:r>
      <w:r w:rsidRPr="006A377C">
        <w:rPr>
          <w:b/>
          <w:i/>
          <w:szCs w:val="24"/>
        </w:rPr>
        <w:t xml:space="preserve"> </w:t>
      </w:r>
      <w:r w:rsidRPr="006A377C">
        <w:rPr>
          <w:i/>
          <w:szCs w:val="24"/>
        </w:rPr>
        <w:t>обусловленная макроцитарной анемией и трансфузионной зависимостью, то подтверждением диагноза могут быть:</w:t>
      </w:r>
    </w:p>
    <w:p w14:paraId="66231B86" w14:textId="77777777" w:rsidR="00F20CFD" w:rsidRPr="006A377C" w:rsidRDefault="00F20CFD" w:rsidP="00F4332F">
      <w:pPr>
        <w:pStyle w:val="aff"/>
        <w:kinsoku w:val="0"/>
        <w:overflowPunct w:val="0"/>
        <w:autoSpaceDE w:val="0"/>
        <w:autoSpaceDN w:val="0"/>
        <w:adjustRightInd w:val="0"/>
        <w:spacing w:before="160"/>
        <w:ind w:left="709"/>
        <w:textAlignment w:val="baseline"/>
        <w:rPr>
          <w:i/>
          <w:szCs w:val="24"/>
        </w:rPr>
      </w:pPr>
      <w:r w:rsidRPr="006A377C">
        <w:rPr>
          <w:i/>
          <w:szCs w:val="24"/>
        </w:rPr>
        <w:lastRenderedPageBreak/>
        <w:t>● Атипичный иммунофенотип клеток КМ со множественными МДС-ассоциированными аберрациями, выявленный при иммунофенотипировании и подтверждающий моноклональную популяцию эритроидных и миелоидных клеток.</w:t>
      </w:r>
    </w:p>
    <w:p w14:paraId="6BE3BE31" w14:textId="77777777" w:rsidR="00F20CFD" w:rsidRPr="006A377C" w:rsidRDefault="00F20CFD" w:rsidP="00F4332F">
      <w:pPr>
        <w:pStyle w:val="aff"/>
        <w:kinsoku w:val="0"/>
        <w:overflowPunct w:val="0"/>
        <w:autoSpaceDE w:val="0"/>
        <w:autoSpaceDN w:val="0"/>
        <w:adjustRightInd w:val="0"/>
        <w:spacing w:before="160"/>
        <w:ind w:left="709"/>
        <w:textAlignment w:val="baseline"/>
        <w:rPr>
          <w:i/>
          <w:szCs w:val="24"/>
        </w:rPr>
      </w:pPr>
      <w:r w:rsidRPr="006A377C">
        <w:rPr>
          <w:i/>
          <w:szCs w:val="24"/>
        </w:rPr>
        <w:t xml:space="preserve">● Изменения в гистологической картине КМ, в том числе и при иммуногистохимическом исследовании, подтверждающие МДС </w:t>
      </w:r>
      <w:r w:rsidRPr="006A377C">
        <w:rPr>
          <w:i/>
          <w:szCs w:val="24"/>
        </w:rPr>
        <w:fldChar w:fldCharType="begin" w:fldLock="1"/>
      </w:r>
      <w:r w:rsidRPr="006A377C">
        <w:rPr>
          <w:i/>
          <w:szCs w:val="24"/>
        </w:rPr>
        <w:instrText>ADDIN CSL_CITATION {"citationItems":[{"id":"ITEM-1","itemData":{"DOI":"10.18632/oncotarget.19008","abstract":"© Valent et al. Myelodysplastic syndromes (MDS) comprise a heterogeneous group of myeloid neoplasms characterized by peripheral cytopenia, dysplasia, and a variable clinical course with about 30% risk to transform to secondary acute myeloid leukemia (AML). In the past 15 years, diagnostic evaluations, prognostication, and treatment of MDS have improved substantially. However, with the discovery of molecular markers and advent of novel targeted therapies, new challenges have emerged in the complex field of MDS. For example, MDS-related molecular lesions may be detectable in healthy individuals and increase in prevalence with age. Other patients exhibit persistent cytopenia of unknown etiology without dysplasia. Although these conditions are potential pre-phases of MDS they may also transform into other bone marrow neoplasms. Recently identified molecular, cytogenetic, and flow-based parameters may add in the delineation and prognostication of these conditions. However, no generally accepted integrated classification and no related criteria are as yet available. In an attempt to address this challenge, an international consensus group discussed these issues in a working conference in July 2016. The outcomes of this conference are summarized in the present article which includes criteria and a proposal for the classification of pre-MDS conditions as well as updated minimal diagnostic criteria of MDS. Moreover, we propose diagnostic standards to delineate between 'normal', pre-MDS, and MDS. These standards and criteria should facilitate diagnostic and prognostic evaluations in clinical studies as well as in clinical practice.","author":[{"dropping-particle":"","family":"Valent","given":"Peter","non-dropping-particle":"","parse-names":false,"suffix":""},{"dropping-particle":"","family":"Orazi","given":"Attilio","non-dropping-particle":"","parse-names":false,"suffix":""},{"dropping-particle":"","family":"Steensma","given":"David P.","non-dropping-particle":"","parse-names":false,"suffix":""},{"dropping-particle":"","family":"Ebert","given":"Benjamin L.","non-dropping-particle":"","parse-names":false,"suffix":""},{"dropping-particle":"","family":"Haase","given":"Detlef","non-dropping-particle":"","parse-names":false,"suffix":""},{"dropping-particle":"","family":"Malcovati","given":"Luca","non-dropping-particle":"","parse-names":false,"suffix":""},{"dropping-particle":"","family":"Loosdrecht","given":"Arjan A.","non-dropping-particle":"van de","parse-names":false,"suffix":""},{"dropping-particle":"","family":"Haferlach","given":"Torsten","non-dropping-particle":"","parse-names":false,"suffix":""},{"dropping-particle":"","family":"Westers","given":"Theresia M.","non-dropping-particle":"","parse-names":false,"suffix":""},{"dropping-particle":"","family":"Wells","given":"Denise A.","non-dropping-particle":"","parse-names":false,"suffix":""},{"dropping-particle":"","family":"Giagounidis","given":"Aristoteles","non-dropping-particle":"","parse-names":false,"suffix":""},{"dropping-particle":"","family":"Loken","given":"Michael","non-dropping-particle":"","parse-names":false,"suffix":""},{"dropping-particle":"","family":"Orfao","given":"Alberto","non-dropping-particle":"","parse-names":false,"suffix":""},{"dropping-particle":"","family":"Lübbert","given":"Michael","non-dropping-particle":"","parse-names":false,"suffix":""},{"dropping-particle":"","family":"Ganser","given":"Arnold","non-dropping-particle":"","parse-names":false,"suffix":""},{"dropping-particle":"","family":"Hofmann","given":"Wolf-Karsten","non-dropping-particle":"","parse-names":false,"suffix":""},{"dropping-particle":"","family":"Ogata","given":"Kiyoyuki","non-dropping-particle":"","parse-names":false,"suffix":""},{"dropping-particle":"","family":"Schanz","given":"Julie","non-dropping-particle":"","parse-names":false,"suffix":""},{"dropping-particle":"","family":"Béné","given":"Marie C.","non-dropping-particle":"","parse-names":false,"suffix":""},{"dropping-particle":"","family":"Hoermann","given":"Gregor","non-dropping-particle":"","parse-names":false,"suffix":""},{"dropping-particle":"","family":"Sperr","given":"Wolfgang R.","non-dropping-particle":"","parse-names":false,"suffix":""},{"dropping-particle":"","family":"Sotlar","given":"Karl","non-dropping-particle":"","parse-names":false,"suffix":""},{"dropping-particle":"","family":"Bettelheim","given":"Peter","non-dropping-particle":"","parse-names":false,"suffix":""},{"dropping-particle":"","family":"Stauder","given":"Reinhard","non-dropping-particle":"","parse-names":false,"suffix":""},{"dropping-particle":"","family":"Pfeilstöcker","given":"Michael","non-dropping-particle":"","parse-names":false,"suffix":""},{"dropping-particle":"","family":"Horny","given":"Hans-Peter","non-dropping-particle":"","parse-names":false,"suffix":""},{"dropping-particle":"","family":"Germing","given":"Ulrich","non-dropping-particle":"","parse-names":false,"suffix":""},{"dropping-particle":"","family":"Greenberg","given":"Peter","non-dropping-particle":"","parse-names":false,"suffix":""},{"dropping-particle":"","family":"Bennett","given":"John M.","non-dropping-particle":"","parse-names":false,"suffix":""}],"container-title":"Oncotarget","id":"ITEM-1","issue":"43","issued":{"date-parts":[["2017","9","26"]]},"publisher":"Impact Journals, LLC","title":"Proposed minimal diagnostic criteria for myelodysplastic syndromes (MDS) and potential pre-MDS conditions","type":"article-journal","volume":"8"},"uris":["http://www.mendeley.com/documents/?uuid=ee15b730-a098-3d84-8430-e0a5dee2c205"]}],"mendeley":{"formattedCitation":"[9]","plainTextFormattedCitation":"[9]","previouslyFormattedCitation":"[9]"},"properties":{"noteIndex":0},"schema":"https://github.com/citation-style-language/schema/raw/master/csl-citation.json"}</w:instrText>
      </w:r>
      <w:r w:rsidRPr="006A377C">
        <w:rPr>
          <w:i/>
          <w:szCs w:val="24"/>
        </w:rPr>
        <w:fldChar w:fldCharType="separate"/>
      </w:r>
      <w:r w:rsidRPr="006A377C">
        <w:rPr>
          <w:noProof/>
          <w:szCs w:val="24"/>
        </w:rPr>
        <w:t>[9]</w:t>
      </w:r>
      <w:r w:rsidRPr="006A377C">
        <w:rPr>
          <w:i/>
          <w:szCs w:val="24"/>
        </w:rPr>
        <w:fldChar w:fldCharType="end"/>
      </w:r>
      <w:r w:rsidRPr="006A377C">
        <w:rPr>
          <w:i/>
          <w:szCs w:val="24"/>
        </w:rPr>
        <w:t>.</w:t>
      </w:r>
    </w:p>
    <w:p w14:paraId="1B0447D4" w14:textId="77777777" w:rsidR="00F20CFD" w:rsidRPr="006A377C" w:rsidRDefault="00F20CFD" w:rsidP="00F4332F">
      <w:pPr>
        <w:ind w:firstLine="709"/>
        <w:rPr>
          <w:i/>
          <w:szCs w:val="24"/>
        </w:rPr>
      </w:pPr>
      <w:r w:rsidRPr="006A377C">
        <w:rPr>
          <w:i/>
          <w:szCs w:val="24"/>
        </w:rPr>
        <w:t>Диагноз МДС подтверждают и при менее значимой цитопении (например, гемоглобин 115 г/л, количество тромбоцитов &gt;100</w:t>
      </w:r>
      <w:r w:rsidRPr="006A377C">
        <w:rPr>
          <w:rStyle w:val="Bullet2Char"/>
          <w:rFonts w:eastAsia="Calibri"/>
          <w:i/>
          <w:color w:val="auto"/>
        </w:rPr>
        <w:t>×</w:t>
      </w:r>
      <w:r w:rsidRPr="006A377C">
        <w:rPr>
          <w:i/>
          <w:szCs w:val="24"/>
        </w:rPr>
        <w:t>10</w:t>
      </w:r>
      <w:r w:rsidRPr="006A377C">
        <w:rPr>
          <w:i/>
          <w:szCs w:val="24"/>
          <w:vertAlign w:val="superscript"/>
        </w:rPr>
        <w:t>9</w:t>
      </w:r>
      <w:r w:rsidRPr="006A377C">
        <w:rPr>
          <w:i/>
          <w:szCs w:val="24"/>
        </w:rPr>
        <w:t>/л), если при цитогенетическом исследовании КМ выявлены достоверные изменения кариотипа, характерные для МДС.</w:t>
      </w:r>
    </w:p>
    <w:p w14:paraId="0E444465" w14:textId="77777777" w:rsidR="00F20CFD" w:rsidRPr="006A377C" w:rsidRDefault="00F20CFD" w:rsidP="00EA7BF5">
      <w:pPr>
        <w:ind w:firstLine="709"/>
        <w:rPr>
          <w:i/>
          <w:iCs/>
          <w:szCs w:val="24"/>
        </w:rPr>
      </w:pPr>
      <w:r w:rsidRPr="006A377C">
        <w:rPr>
          <w:i/>
          <w:iCs/>
          <w:szCs w:val="24"/>
        </w:rPr>
        <w:t>Признаки миелодисплазии могут выявляться в КМ или периферической крови не только при МДС, но и при других заболеваниях неклонального характера.</w:t>
      </w:r>
    </w:p>
    <w:p w14:paraId="6C0088E4" w14:textId="77777777" w:rsidR="00F20CFD" w:rsidRPr="006A377C" w:rsidRDefault="00F20CFD" w:rsidP="00EA7BF5">
      <w:pPr>
        <w:ind w:firstLine="709"/>
        <w:rPr>
          <w:i/>
          <w:iCs/>
          <w:szCs w:val="24"/>
        </w:rPr>
      </w:pPr>
      <w:r w:rsidRPr="006A377C">
        <w:rPr>
          <w:i/>
          <w:iCs/>
          <w:szCs w:val="24"/>
        </w:rPr>
        <w:t>1. Дизэритропоэз может наблюдаться при:</w:t>
      </w:r>
    </w:p>
    <w:p w14:paraId="6B90877D" w14:textId="77777777" w:rsidR="00F20CFD" w:rsidRPr="006A377C" w:rsidRDefault="00F20CFD" w:rsidP="00EA7BF5">
      <w:pPr>
        <w:pStyle w:val="aff"/>
        <w:numPr>
          <w:ilvl w:val="0"/>
          <w:numId w:val="2"/>
        </w:numPr>
        <w:rPr>
          <w:i/>
          <w:iCs/>
          <w:szCs w:val="24"/>
        </w:rPr>
      </w:pPr>
      <w:r w:rsidRPr="006A377C">
        <w:rPr>
          <w:i/>
          <w:iCs/>
          <w:szCs w:val="24"/>
        </w:rPr>
        <w:t>В</w:t>
      </w:r>
      <w:r w:rsidRPr="006A377C">
        <w:rPr>
          <w:i/>
          <w:iCs/>
          <w:szCs w:val="24"/>
          <w:vertAlign w:val="subscript"/>
        </w:rPr>
        <w:t>12</w:t>
      </w:r>
      <w:r w:rsidRPr="006A377C">
        <w:rPr>
          <w:i/>
          <w:iCs/>
          <w:szCs w:val="24"/>
        </w:rPr>
        <w:t>/фолатдефицитных анемиях;</w:t>
      </w:r>
    </w:p>
    <w:p w14:paraId="22AABF92" w14:textId="77777777" w:rsidR="00F20CFD" w:rsidRPr="006A377C" w:rsidRDefault="00F20CFD" w:rsidP="00EA7BF5">
      <w:pPr>
        <w:pStyle w:val="aff"/>
        <w:numPr>
          <w:ilvl w:val="0"/>
          <w:numId w:val="2"/>
        </w:numPr>
        <w:rPr>
          <w:i/>
          <w:iCs/>
          <w:szCs w:val="24"/>
        </w:rPr>
      </w:pPr>
      <w:r w:rsidRPr="006A377C">
        <w:rPr>
          <w:i/>
          <w:iCs/>
          <w:szCs w:val="24"/>
        </w:rPr>
        <w:t>врожденной дизэритропоэтической анемии;</w:t>
      </w:r>
    </w:p>
    <w:p w14:paraId="0B8412F1" w14:textId="77777777" w:rsidR="00F20CFD" w:rsidRPr="006A377C" w:rsidRDefault="00F20CFD" w:rsidP="00EA7BF5">
      <w:pPr>
        <w:pStyle w:val="aff"/>
        <w:numPr>
          <w:ilvl w:val="0"/>
          <w:numId w:val="2"/>
        </w:numPr>
        <w:rPr>
          <w:i/>
          <w:iCs/>
          <w:szCs w:val="24"/>
        </w:rPr>
      </w:pPr>
      <w:r w:rsidRPr="006A377C">
        <w:rPr>
          <w:i/>
          <w:iCs/>
          <w:szCs w:val="24"/>
        </w:rPr>
        <w:t>аутоиммунных гемолитических анемиях;</w:t>
      </w:r>
    </w:p>
    <w:p w14:paraId="64D7654A" w14:textId="77777777" w:rsidR="00F20CFD" w:rsidRPr="006A377C" w:rsidRDefault="00F20CFD" w:rsidP="00EA7BF5">
      <w:pPr>
        <w:pStyle w:val="aff"/>
        <w:numPr>
          <w:ilvl w:val="0"/>
          <w:numId w:val="2"/>
        </w:numPr>
        <w:rPr>
          <w:i/>
          <w:iCs/>
          <w:szCs w:val="24"/>
        </w:rPr>
      </w:pPr>
      <w:r w:rsidRPr="006A377C">
        <w:rPr>
          <w:i/>
          <w:iCs/>
          <w:szCs w:val="24"/>
        </w:rPr>
        <w:t>пароксизмальной ночной гемоглобинурии (ПНГ);</w:t>
      </w:r>
    </w:p>
    <w:p w14:paraId="3655BB80" w14:textId="77777777" w:rsidR="00F20CFD" w:rsidRPr="006A377C" w:rsidRDefault="00F20CFD" w:rsidP="00EA7BF5">
      <w:pPr>
        <w:pStyle w:val="aff"/>
        <w:numPr>
          <w:ilvl w:val="0"/>
          <w:numId w:val="2"/>
        </w:numPr>
        <w:rPr>
          <w:i/>
          <w:iCs/>
          <w:szCs w:val="24"/>
        </w:rPr>
      </w:pPr>
      <w:r w:rsidRPr="006A377C">
        <w:rPr>
          <w:i/>
          <w:iCs/>
          <w:szCs w:val="24"/>
        </w:rPr>
        <w:t>алкогольной интоксикации;</w:t>
      </w:r>
    </w:p>
    <w:p w14:paraId="1206DB65" w14:textId="77777777" w:rsidR="00F20CFD" w:rsidRPr="006A377C" w:rsidRDefault="00F20CFD" w:rsidP="00EA7BF5">
      <w:pPr>
        <w:pStyle w:val="aff"/>
        <w:numPr>
          <w:ilvl w:val="0"/>
          <w:numId w:val="2"/>
        </w:numPr>
        <w:rPr>
          <w:i/>
          <w:iCs/>
          <w:szCs w:val="24"/>
        </w:rPr>
      </w:pPr>
      <w:r w:rsidRPr="006A377C">
        <w:rPr>
          <w:i/>
          <w:iCs/>
          <w:szCs w:val="24"/>
        </w:rPr>
        <w:t>вирусных инфекциях (гепатиты В и С, вирус иммунодефицита человека (ВИЧ), вирус Эпштейна–Барр (ЭБВ), парвовирус B19);</w:t>
      </w:r>
    </w:p>
    <w:p w14:paraId="2C1B6684" w14:textId="77777777" w:rsidR="00F20CFD" w:rsidRPr="006A377C" w:rsidRDefault="00F20CFD" w:rsidP="00EA7BF5">
      <w:pPr>
        <w:pStyle w:val="aff"/>
        <w:numPr>
          <w:ilvl w:val="0"/>
          <w:numId w:val="2"/>
        </w:numPr>
        <w:rPr>
          <w:i/>
          <w:iCs/>
          <w:szCs w:val="24"/>
        </w:rPr>
      </w:pPr>
      <w:r w:rsidRPr="006A377C">
        <w:rPr>
          <w:i/>
          <w:iCs/>
          <w:szCs w:val="24"/>
        </w:rPr>
        <w:t>инфекционных заболеваниях (милиарный туберкулез, малярия, лейшманиоз);</w:t>
      </w:r>
    </w:p>
    <w:p w14:paraId="3238B1F7" w14:textId="77777777" w:rsidR="00F20CFD" w:rsidRPr="006A377C" w:rsidRDefault="00F20CFD" w:rsidP="00EA7BF5">
      <w:pPr>
        <w:pStyle w:val="aff"/>
        <w:numPr>
          <w:ilvl w:val="0"/>
          <w:numId w:val="2"/>
        </w:numPr>
        <w:rPr>
          <w:i/>
          <w:iCs/>
          <w:szCs w:val="24"/>
        </w:rPr>
      </w:pPr>
      <w:r w:rsidRPr="006A377C">
        <w:rPr>
          <w:i/>
          <w:iCs/>
          <w:szCs w:val="24"/>
        </w:rPr>
        <w:t>отравлении бензином, свинцом и другими тяжелыми металлами;</w:t>
      </w:r>
    </w:p>
    <w:p w14:paraId="44102CAB" w14:textId="77777777" w:rsidR="00F20CFD" w:rsidRPr="006A377C" w:rsidRDefault="00F20CFD" w:rsidP="00EA7BF5">
      <w:pPr>
        <w:pStyle w:val="aff"/>
        <w:numPr>
          <w:ilvl w:val="0"/>
          <w:numId w:val="2"/>
        </w:numPr>
        <w:rPr>
          <w:i/>
          <w:iCs/>
          <w:szCs w:val="24"/>
        </w:rPr>
      </w:pPr>
      <w:r w:rsidRPr="006A377C">
        <w:rPr>
          <w:i/>
          <w:iCs/>
          <w:szCs w:val="24"/>
        </w:rPr>
        <w:t>как проявление паранеопластической реакции, в том числе при вовлечении КМ при лимфомах/лейкозах;</w:t>
      </w:r>
    </w:p>
    <w:p w14:paraId="3B8E7117" w14:textId="77777777" w:rsidR="00F20CFD" w:rsidRPr="006A377C" w:rsidRDefault="00F20CFD" w:rsidP="00EA7BF5">
      <w:pPr>
        <w:pStyle w:val="aff"/>
        <w:numPr>
          <w:ilvl w:val="0"/>
          <w:numId w:val="2"/>
        </w:numPr>
        <w:rPr>
          <w:i/>
          <w:iCs/>
          <w:szCs w:val="24"/>
        </w:rPr>
      </w:pPr>
      <w:r w:rsidRPr="006A377C">
        <w:rPr>
          <w:i/>
          <w:iCs/>
          <w:szCs w:val="24"/>
        </w:rPr>
        <w:t>аутоиммунных заболеваниях (системная красная волчанка, аутоиммунный тиреоидит);</w:t>
      </w:r>
    </w:p>
    <w:p w14:paraId="62955872" w14:textId="77777777" w:rsidR="00F20CFD" w:rsidRPr="006A377C" w:rsidRDefault="00F20CFD" w:rsidP="00EA7BF5">
      <w:pPr>
        <w:pStyle w:val="aff"/>
        <w:numPr>
          <w:ilvl w:val="0"/>
          <w:numId w:val="2"/>
        </w:numPr>
        <w:rPr>
          <w:i/>
          <w:iCs/>
          <w:szCs w:val="24"/>
        </w:rPr>
      </w:pPr>
      <w:r w:rsidRPr="006A377C">
        <w:rPr>
          <w:i/>
          <w:iCs/>
          <w:szCs w:val="24"/>
        </w:rPr>
        <w:t xml:space="preserve">дефиците меди и/или избыточном поступлении цинка с пищей </w:t>
      </w:r>
      <w:r w:rsidRPr="006A377C">
        <w:rPr>
          <w:i/>
          <w:iCs/>
          <w:szCs w:val="24"/>
        </w:rPr>
        <w:fldChar w:fldCharType="begin" w:fldLock="1"/>
      </w:r>
      <w:r w:rsidR="00255EFA">
        <w:rPr>
          <w:i/>
          <w:iCs/>
          <w:szCs w:val="24"/>
        </w:rPr>
        <w:instrText>ADDIN CSL_CITATION {"citationItems":[{"id":"ITEM-1","itemData":{"DOI":"10.1182/blood-2002-01-0256","ISSN":"0006-4971","PMID":"12149237","abstract":"We describe a woman with severe neutropenia and dependency on red blood cell transfusions who had previously undergone Billroth II surgery and whose bone marrow (BM) showed morphologic characteristics typical of myelodysplastic syndrome (MDS) with ringed sideroblasts. She had transient reversal of anemia and severe neutropenia after therapy with erythropoietin and granulocyte colony-stimulating factor. Because of relapse while receiving growth factors, the patient was referred for allogeneic BM transplantation. A pretransplantation nutritional evaluation revealed severe copper deficiency, and her hematologic abnormalities resolved fully with copper therapy. This case shows that copper deficiency should be an integral part of the differential diagnosis of sideroblastic MDS, even in patients not requiring parenteral nutrition.","author":[{"dropping-particle":"","family":"Gregg","given":"Xylina T","non-dropping-particle":"","parse-names":false,"suffix":""},{"dropping-particle":"","family":"Reddy","given":"Vishnu","non-dropping-particle":"","parse-names":false,"suffix":""},{"dropping-particle":"","family":"Prchal","given":"Josef T","non-dropping-particle":"","parse-names":false,"suffix":""}],"container-title":"Blood","id":"ITEM-1","issue":"4","issued":{"date-parts":[["2002","8","15"]]},"page":"1493-5","title":"Copper deficiency masquerading as myelodysplastic syndrome.","type":"article-journal","volume":"100"},"uris":["http://www.mendeley.com/documents/?uuid=1d2f893c-8a88-3830-b2ca-3768b6cb92ff"]},{"id":"ITEM-2","itemData":{"ISSN":"0820-3946","PMID":"12874162","abstract":"Zinc is a common supplement and is widely available as a standard component of many over-the-counter products. A number of reports have identified an association between excessive zinc intake and severe cytopenia. We report a case of zinc-induced copper deficiency in a young adult to illustrate this under-recognized cause of anemia and neutropenia.","author":[{"dropping-particle":"","family":"Irving","given":"Julie A","non-dropping-particle":"","parse-names":false,"suffix":""},{"dropping-particle":"","family":"Mattman","given":"Andre","non-dropping-particle":"","parse-names":false,"suffix":""},{"dropping-particle":"","family":"Lockitch","given":"Gillian","non-dropping-particle":"","parse-names":false,"suffix":""},{"dropping-particle":"","family":"Farrell","given":"Kevin","non-dropping-particle":"","parse-names":false,"suffix":""},{"dropping-particle":"","family":"Wadsworth","given":"Louis D","non-dropping-particle":"","parse-names":false,"suffix":""}],"container-title":"CMAJ : Canadian Medical Association journal = journal de l'Association medicale canadienne","id":"ITEM-2","issue":"2","issued":{"date-parts":[["2003","7","22"]]},"page":"129-31","title":"Element of caution: a case of reversible cytopenias associated with excessive zinc supplementation.","type":"article-journal","volume":"169"},"uris":["http://www.mendeley.com/documents/?uuid=f055fe5b-6102-365b-979c-323335352c18"]}],"mendeley":{"formattedCitation":"[10,11]","plainTextFormattedCitation":"[10,11]","previouslyFormattedCitation":"[10,11]"},"properties":{"noteIndex":0},"schema":"https://github.com/citation-style-language/schema/raw/master/csl-citation.json"}</w:instrText>
      </w:r>
      <w:r w:rsidRPr="006A377C">
        <w:rPr>
          <w:i/>
          <w:iCs/>
          <w:szCs w:val="24"/>
        </w:rPr>
        <w:fldChar w:fldCharType="separate"/>
      </w:r>
      <w:r w:rsidR="007626C2" w:rsidRPr="007626C2">
        <w:rPr>
          <w:iCs/>
          <w:noProof/>
          <w:szCs w:val="24"/>
        </w:rPr>
        <w:t>[10,11]</w:t>
      </w:r>
      <w:r w:rsidRPr="006A377C">
        <w:rPr>
          <w:i/>
          <w:iCs/>
          <w:szCs w:val="24"/>
        </w:rPr>
        <w:fldChar w:fldCharType="end"/>
      </w:r>
      <w:r w:rsidRPr="006A377C">
        <w:rPr>
          <w:i/>
          <w:iCs/>
          <w:szCs w:val="24"/>
        </w:rPr>
        <w:t>.</w:t>
      </w:r>
    </w:p>
    <w:p w14:paraId="166EE622" w14:textId="77777777" w:rsidR="00F20CFD" w:rsidRPr="006A377C" w:rsidRDefault="00F20CFD" w:rsidP="00EA7BF5">
      <w:pPr>
        <w:ind w:firstLine="709"/>
        <w:rPr>
          <w:i/>
          <w:iCs/>
          <w:szCs w:val="24"/>
        </w:rPr>
      </w:pPr>
      <w:r w:rsidRPr="006A377C">
        <w:rPr>
          <w:i/>
          <w:iCs/>
          <w:szCs w:val="24"/>
        </w:rPr>
        <w:t>2. Дисгранулопоэз может наблюдаться:</w:t>
      </w:r>
    </w:p>
    <w:p w14:paraId="377F5C3A" w14:textId="77777777" w:rsidR="00F20CFD" w:rsidRPr="006A377C" w:rsidRDefault="00F20CFD" w:rsidP="00EA7BF5">
      <w:pPr>
        <w:pStyle w:val="aff"/>
        <w:numPr>
          <w:ilvl w:val="0"/>
          <w:numId w:val="2"/>
        </w:numPr>
        <w:rPr>
          <w:i/>
          <w:iCs/>
          <w:szCs w:val="24"/>
        </w:rPr>
      </w:pPr>
      <w:r w:rsidRPr="006A377C">
        <w:rPr>
          <w:i/>
          <w:iCs/>
          <w:szCs w:val="24"/>
        </w:rPr>
        <w:t>при использовании лекарственных препаратов (</w:t>
      </w:r>
      <w:r w:rsidR="00D530D2">
        <w:rPr>
          <w:i/>
          <w:iCs/>
          <w:szCs w:val="24"/>
        </w:rPr>
        <w:t xml:space="preserve">человеческий рекомбинантный </w:t>
      </w:r>
      <w:r w:rsidRPr="006A377C">
        <w:rPr>
          <w:i/>
          <w:iCs/>
          <w:szCs w:val="24"/>
        </w:rPr>
        <w:t>гранулоцитарный колониестимулирующий фактор (Г-КСФ), иммунодепрессанты);</w:t>
      </w:r>
    </w:p>
    <w:p w14:paraId="2C01E78D" w14:textId="77777777" w:rsidR="00F20CFD" w:rsidRPr="006A377C" w:rsidRDefault="00F20CFD" w:rsidP="00EA7BF5">
      <w:pPr>
        <w:pStyle w:val="aff"/>
        <w:numPr>
          <w:ilvl w:val="0"/>
          <w:numId w:val="2"/>
        </w:numPr>
        <w:rPr>
          <w:i/>
          <w:iCs/>
          <w:szCs w:val="24"/>
        </w:rPr>
      </w:pPr>
      <w:r w:rsidRPr="006A377C">
        <w:rPr>
          <w:i/>
          <w:iCs/>
          <w:szCs w:val="24"/>
        </w:rPr>
        <w:t>при вирусных инфекциях (ВИЧ, ЭБВ);</w:t>
      </w:r>
    </w:p>
    <w:p w14:paraId="601CD4D4" w14:textId="77777777" w:rsidR="00F20CFD" w:rsidRPr="006A377C" w:rsidRDefault="00F20CFD" w:rsidP="00EA7BF5">
      <w:pPr>
        <w:pStyle w:val="aff"/>
        <w:numPr>
          <w:ilvl w:val="0"/>
          <w:numId w:val="2"/>
        </w:numPr>
        <w:rPr>
          <w:i/>
          <w:iCs/>
          <w:szCs w:val="24"/>
        </w:rPr>
      </w:pPr>
      <w:r w:rsidRPr="006A377C">
        <w:rPr>
          <w:i/>
          <w:iCs/>
          <w:szCs w:val="24"/>
        </w:rPr>
        <w:t>как проявление паранеопластической реакции;</w:t>
      </w:r>
    </w:p>
    <w:p w14:paraId="4D1DA33B" w14:textId="77777777" w:rsidR="00F20CFD" w:rsidRPr="006A377C" w:rsidRDefault="00F20CFD" w:rsidP="00EA7BF5">
      <w:pPr>
        <w:pStyle w:val="aff"/>
        <w:numPr>
          <w:ilvl w:val="0"/>
          <w:numId w:val="2"/>
        </w:numPr>
        <w:rPr>
          <w:i/>
          <w:iCs/>
          <w:szCs w:val="24"/>
        </w:rPr>
      </w:pPr>
      <w:r w:rsidRPr="006A377C">
        <w:rPr>
          <w:i/>
          <w:iCs/>
          <w:szCs w:val="24"/>
        </w:rPr>
        <w:t>после химиотерапии (ХТ) и в период восстановления КМ.</w:t>
      </w:r>
    </w:p>
    <w:p w14:paraId="050BDC96" w14:textId="77777777" w:rsidR="00F20CFD" w:rsidRPr="006A377C" w:rsidRDefault="00F20CFD" w:rsidP="00EA7BF5">
      <w:pPr>
        <w:ind w:firstLine="709"/>
        <w:rPr>
          <w:i/>
          <w:iCs/>
          <w:szCs w:val="24"/>
        </w:rPr>
      </w:pPr>
      <w:r w:rsidRPr="006A377C">
        <w:rPr>
          <w:i/>
          <w:iCs/>
          <w:szCs w:val="24"/>
        </w:rPr>
        <w:t>3. Дисмегакариоцитопоэз может наблюдаться:</w:t>
      </w:r>
    </w:p>
    <w:p w14:paraId="331A2B47" w14:textId="77777777" w:rsidR="00F20CFD" w:rsidRPr="006A377C" w:rsidRDefault="00F20CFD" w:rsidP="00EA7BF5">
      <w:pPr>
        <w:pStyle w:val="aff"/>
        <w:numPr>
          <w:ilvl w:val="0"/>
          <w:numId w:val="3"/>
        </w:numPr>
        <w:ind w:left="993" w:hanging="284"/>
        <w:rPr>
          <w:i/>
          <w:iCs/>
          <w:szCs w:val="24"/>
        </w:rPr>
      </w:pPr>
      <w:r w:rsidRPr="006A377C">
        <w:rPr>
          <w:i/>
          <w:iCs/>
          <w:szCs w:val="24"/>
        </w:rPr>
        <w:lastRenderedPageBreak/>
        <w:t>при ВИЧ-инфекции;</w:t>
      </w:r>
    </w:p>
    <w:p w14:paraId="0DFB12E5" w14:textId="77777777" w:rsidR="00F20CFD" w:rsidRPr="006A377C" w:rsidRDefault="00F20CFD" w:rsidP="00EA7BF5">
      <w:pPr>
        <w:pStyle w:val="aff"/>
        <w:numPr>
          <w:ilvl w:val="0"/>
          <w:numId w:val="3"/>
        </w:numPr>
        <w:ind w:left="993" w:hanging="284"/>
        <w:rPr>
          <w:i/>
          <w:iCs/>
          <w:szCs w:val="24"/>
        </w:rPr>
      </w:pPr>
      <w:r w:rsidRPr="006A377C">
        <w:rPr>
          <w:i/>
          <w:iCs/>
          <w:szCs w:val="24"/>
        </w:rPr>
        <w:t>реактивном/паранеопластическом миелофиброзе;</w:t>
      </w:r>
    </w:p>
    <w:p w14:paraId="74109555" w14:textId="77777777" w:rsidR="00F20CFD" w:rsidRPr="006A377C" w:rsidRDefault="00F20CFD" w:rsidP="00EA7BF5">
      <w:pPr>
        <w:pStyle w:val="aff"/>
        <w:numPr>
          <w:ilvl w:val="0"/>
          <w:numId w:val="3"/>
        </w:numPr>
        <w:ind w:left="993" w:hanging="284"/>
        <w:rPr>
          <w:i/>
          <w:iCs/>
          <w:szCs w:val="24"/>
        </w:rPr>
      </w:pPr>
      <w:r w:rsidRPr="006A377C">
        <w:rPr>
          <w:i/>
          <w:iCs/>
          <w:szCs w:val="24"/>
        </w:rPr>
        <w:t>после трансплантации костного мозга (ТКМ) и проведенной химиотерапии.</w:t>
      </w:r>
    </w:p>
    <w:p w14:paraId="3B3DDC49" w14:textId="77777777" w:rsidR="00F20CFD" w:rsidRPr="006A377C" w:rsidRDefault="00F20CFD" w:rsidP="00C15149">
      <w:pPr>
        <w:ind w:left="993"/>
        <w:rPr>
          <w:i/>
          <w:szCs w:val="24"/>
        </w:rPr>
      </w:pPr>
      <w:r w:rsidRPr="006A377C">
        <w:rPr>
          <w:i/>
          <w:szCs w:val="24"/>
        </w:rPr>
        <w:t>Очень важно при проведении дифференциальной диагностики МДС учитывать анамнестические данные об имеющихся хронических заболеваниях, которые могут протекать с цитопеническим синдромом, предшествующих химио- или лучевой терапии, иммунотерапии, лечении препаратами радиоактивного йода, профессиональных вредностях, связанных с воздействием вредных веществ (особенно бензола), употреблении алкоголя, курении, склонности к спонтанным кровотечениям и инфекциям. У молодых пациентов необходимо принять во внимание состояния, указывающие на наследственные нарушения гемопоэза, такие как анемия Фанкони и заболевания, связанные с нарушением длины теломер (наследственный дискератоз и др.). Для пожилых пациентов необходимо исключить вторичный характер изменений, в первую очередь ассоциированный с солидными опухолями. При отсутствии увеличения количества бластных клеток и/или характерных аномалий кариотипа диагноз МДС является диагнозом исключения, требующим тщательного и пристального обследования и динамического исследования костного мозга.</w:t>
      </w:r>
    </w:p>
    <w:p w14:paraId="4F38A07B" w14:textId="77777777" w:rsidR="00F20CFD" w:rsidRPr="006A377C" w:rsidRDefault="00F20CFD" w:rsidP="00E10ED8">
      <w:pPr>
        <w:pStyle w:val="2"/>
      </w:pPr>
      <w:bookmarkStart w:id="11" w:name="_Toc65104086"/>
      <w:r w:rsidRPr="006A377C">
        <w:t>2.1. Жалобы и анамнез</w:t>
      </w:r>
      <w:bookmarkEnd w:id="11"/>
    </w:p>
    <w:p w14:paraId="4A715EDB" w14:textId="77777777" w:rsidR="00F20CFD" w:rsidRPr="000718A1" w:rsidRDefault="00F20CFD" w:rsidP="00E868DE">
      <w:r w:rsidRPr="006A377C">
        <w:rPr>
          <w:szCs w:val="24"/>
        </w:rPr>
        <w:t xml:space="preserve">У всех пациентов при подозрении на МДС </w:t>
      </w:r>
      <w:r w:rsidR="000718A1">
        <w:rPr>
          <w:szCs w:val="24"/>
        </w:rPr>
        <w:t>с целью уточнения диагноза и выявления клинически значимых сопутствующих заболеваний</w:t>
      </w:r>
      <w:r w:rsidR="000718A1" w:rsidRPr="006A377C" w:rsidDel="000718A1">
        <w:rPr>
          <w:szCs w:val="24"/>
        </w:rPr>
        <w:t xml:space="preserve"> </w:t>
      </w:r>
      <w:r w:rsidR="000718A1">
        <w:rPr>
          <w:szCs w:val="24"/>
        </w:rPr>
        <w:t>п</w:t>
      </w:r>
      <w:r w:rsidR="000718A1" w:rsidRPr="006A377C">
        <w:rPr>
          <w:szCs w:val="24"/>
        </w:rPr>
        <w:t xml:space="preserve">ри сборе </w:t>
      </w:r>
      <w:r w:rsidR="000718A1">
        <w:rPr>
          <w:szCs w:val="24"/>
        </w:rPr>
        <w:t xml:space="preserve">жалоб и </w:t>
      </w:r>
      <w:r w:rsidR="000718A1" w:rsidRPr="006A377C">
        <w:rPr>
          <w:szCs w:val="24"/>
        </w:rPr>
        <w:t xml:space="preserve">анамнеза </w:t>
      </w:r>
      <w:r w:rsidRPr="006A377C">
        <w:rPr>
          <w:b/>
          <w:szCs w:val="24"/>
        </w:rPr>
        <w:t>рекомендуется</w:t>
      </w:r>
      <w:r w:rsidRPr="006A377C">
        <w:rPr>
          <w:szCs w:val="24"/>
        </w:rPr>
        <w:t xml:space="preserve"> обращать внимание на время появления первых жалоб, динамику развития заболевания, наличие сопутствующей патологии, профессиональные вредности и условия жизни пациента, ранее проводимую терапию по поводу других заболеваний</w:t>
      </w:r>
      <w:r w:rsidR="000718A1">
        <w:rPr>
          <w:szCs w:val="24"/>
        </w:rPr>
        <w:t xml:space="preserve"> (</w:t>
      </w:r>
      <w:r w:rsidRPr="006A377C">
        <w:rPr>
          <w:szCs w:val="24"/>
        </w:rPr>
        <w:t>особенно онкогематологических, аутоиммунных и др.</w:t>
      </w:r>
      <w:r w:rsidR="000718A1">
        <w:rPr>
          <w:szCs w:val="24"/>
        </w:rPr>
        <w:t xml:space="preserve">) </w:t>
      </w:r>
      <w:r w:rsidRPr="006A377C">
        <w:rPr>
          <w:szCs w:val="24"/>
        </w:rPr>
        <w:fldChar w:fldCharType="begin" w:fldLock="1"/>
      </w:r>
      <w:r w:rsidRPr="006A377C">
        <w:rPr>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id":"ITEM-2","itemData":{"author":[{"dropping-particle":"","family":"Ширин","given":"А.Д.","non-dropping-particle":"","parse-names":false,"suffix":""},{"dropping-particle":"","family":"Френкель","given":"М.А.","non-dropping-particle":"","parse-names":false,"suffix":""}],"container-title":"Клиническая онкогематология: руководство для врачей. Под ред. Волковой М.А.. 2-е изд., перераб. и доп.","id":"ITEM-2","issued":{"date-parts":[["2007"]]},"page":"502-551","title":"Миелодиспластические синдромы","type":"chapter"},"uris":["http://www.mendeley.com/documents/?uuid=9f2eca44-a3a8-4eb4-90b5-a52e4e769482"]},{"id":"ITEM-3","itemData":{"DOI":"10.1002/ajh.24102","ISSN":"1096-8652","PMID":"26294090","abstract":"DISEASE OVERVIEW The myelodysplastic syndromes (MDS) are a very heterogeneous group of myeloid disorders characterized by peripheral blood cytopenias and increased risk of transformation to acute myelogenous leukemia (AML). MDS occurs more frequently in older males and in individuals with prior exposure to cytotoxic therapy. DIAGNOSIS Diagnosis of MDS is based on morphological evidence of dysplasia upon visual examination of a bone marrow aspirate and biopsy. Information obtained from additional studies such as karyotype, flow cytometry, or molecular genetics is complementary but not diagnostic. Risk-stratification: Prognosis of patients with MDS can be calculated using a number of scoring systems. In general, all these scoring systems include analysis of peripheral cytopenias, percentage of blasts in the bone marrow, and cytogenetic characteristics. The most commonly used system still is probably the International Prognostic Scoring System (IPSS). IPSS is being replaced by the new revised score IPSS-R. RISK-ADAPTED THERAPY Therapy is selected based on risk, transfusion needs, percent of bone marrow blasts, and more recently cytogenetic and mutational profiles. Goals of therapy are different in lower risk patients than in higher risk. In lower risk, the goal is to decrease transfusion needs and transformation to higher risk disease or AML, as well as to improve survival. In higher risk, the goal is to prolong survival. Current available therapies include growth factor support, lenalidomide, hypomethylating agents, intensive chemotherapy, and allogeneic stem cell transplantation. The use of lenalidomide has significant clinical activity in patients with lower risk disease, anemia, and a chromosome 5 alteration. 5-Azacitidine and decitabine have activity in higher risk MDS. 5-Azacitidine has been shown to improve survival in higher risk MDS. A number of new molecular lesions have been described in MDS that may serve as new therapeutic targets or aid in the selection of currently available agents. Additional supportive care measures may include the use of prophylactic antibiotics and iron chelation. Management of progressive or refractory disease: At the present time there are no approved interventions for patients with progressive or refractory disease particularly after hypomethylating based therapy. Options include participation in a clinical trial or cytarabine based therapy and stem cell transplantation.","author":[{"dropping-particle":"","family":"Garcia-Manero","given":"Guillermo","non-dropping-particle":"","parse-names":false,"suffix":""}],"container-title":"American journal of hematology","id":"ITEM-3","issue":"9","issued":{"date-parts":[["2015","9"]]},"page":"831-41","title":"Myelodysplastic syndromes: 2015 Update on diagnosis, risk-stratification and management.","type":"article-journal","volume":"90"},"uris":["http://www.mendeley.com/documents/?uuid=f71f5ed5-dc93-3fd3-b1f1-68c1270ac29e"]},{"id":"ITEM-4","itemData":{"DOI":"10.1182/blood-2013-03-492884","ISSN":"1528-0020","PMID":"23980065","abstract":"Within the myelodysplastic syndrome (MDS) work package of the European LeukemiaNet, an Expert Panel was selected according to the framework elements of the National Institutes of Health Consensus Development Program. A systematic review of the literature was performed that included indexed original papers, indexed reviews and educational papers, and abstracts of conference proceedings. Guidelines were developed on the basis of a list of patient- and therapy-oriented questions, and recommendations were formulated and ranked according to the supporting level of evidence. MDSs should be classified according to the 2008 World Health Organization criteria. An accurate risk assessment requires the evaluation of not only disease-related factors but also of those related to extrahematologic comorbidity. The assessment of individual risk enables the identification of fit patients with a poor prognosis who are candidates for up-front intensive treatments, primarily allogeneic stem cell transplantation. A high proportion of MDS patients are not eligible for potentially curative treatment because of advanced age and/or clinically relevant comorbidities and poor performance status. In these patients, the therapeutic intervention is aimed at preventing cytopenia-related morbidity and preserving quality of life. A number of new agents are being developed for which the available evidence is not sufficient to recommend routine use. The inclusion of patients into prospective clinical trials is strongly recommended.","author":[{"dropping-particle":"","family":"Malcovati","given":"Luca","non-dropping-particle":"","parse-names":false,"suffix":""},{"dropping-particle":"","family":"Hellström-Lindberg","given":"Eva","non-dropping-particle":"","parse-names":false,"suffix":""},{"dropping-particle":"","family":"Bowen","given":"David","non-dropping-particle":"","parse-names":false,"suffix":""},{"dropping-particle":"","family":"Adès","given":"Lionel","non-dropping-particle":"","parse-names":false,"suffix":""},{"dropping-particle":"","family":"Cermak","given":"Jaroslav","non-dropping-particle":"","parse-names":false,"suffix":""},{"dropping-particle":"","family":"Cañizo","given":"Consuelo","non-dropping-particle":"Del","parse-names":false,"suffix":""},{"dropping-particle":"","family":"Porta","given":"Matteo G","non-dropping-particle":"Della","parse-names":false,"suffix":""},{"dropping-particle":"","family":"Fenaux","given":"Pierre","non-dropping-particle":"","parse-names":false,"suffix":""},{"dropping-particle":"","family":"Gattermann","given":"Norbert","non-dropping-particle":"","parse-names":false,"suffix":""},{"dropping-particle":"","family":"Germing","given":"Ulrich","non-dropping-particle":"","parse-names":false,"suffix":""},{"dropping-particle":"","family":"Jansen","given":"Joop H","non-dropping-particle":"","parse-names":false,"suffix":""},{"dropping-particle":"","family":"Mittelman","given":"Moshe","non-dropping-particle":"","parse-names":false,"suffix":""},{"dropping-particle":"","family":"Mufti","given":"Ghulam","non-dropping-particle":"","parse-names":false,"suffix":""},{"dropping-particle":"","family":"Platzbecker","given":"Uwe","non-dropping-particle":"","parse-names":false,"suffix":""},{"dropping-particle":"","family":"Sanz","given":"Guillermo F","non-dropping-particle":"","parse-names":false,"suffix":""},{"dropping-particle":"","family":"Selleslag","given":"Dominik","non-dropping-particle":"","parse-names":false,"suffix":""},{"dropping-particle":"","family":"Skov-Holm","given":"Mette","non-dropping-particle":"","parse-names":false,"suffix":""},{"dropping-particle":"","family":"Stauder","given":"Reinhard","non-dropping-particle":"","parse-names":false,"suffix":""},{"dropping-particle":"","family":"Symeonidis","given":"Argiris","non-dropping-particle":"","parse-names":false,"suffix":""},{"dropping-particle":"","family":"Loosdrecht","given":"Arjan A","non-dropping-particle":"van de","parse-names":false,"suffix":""},{"dropping-particle":"","family":"Witte","given":"Theo","non-dropping-particle":"de","parse-names":false,"suffix":""},{"dropping-particle":"","family":"Cazzola","given":"Mario","non-dropping-particle":"","parse-names":false,"suffix":""},{"dropping-particle":"","family":"European Leukemia Net","given":"","non-dropping-particle":"","parse-names":false,"suffix":""}],"container-title":"Blood","id":"ITEM-4","issue":"17","issued":{"date-parts":[["2013","10","24"]]},"page":"2943-64","title":"Diagnosis and treatment of primary myelodysplastic syndromes in adults: recommendations from the European LeukemiaNet.","type":"article-journal","volume":"122"},"uris":["http://www.mendeley.com/documents/?uuid=8d575a93-ae56-3e05-b1b4-97a7de4aac98"]},{"id":"ITEM-5","itemData":{"author":[{"dropping-particle":"","family":"Greenberg","given":"P.L.","non-dropping-particle":"","parse-names":false,"suffix":""},{"dropping-particle":"","family":"Stone","given":"Richard M.","non-dropping-particle":"","parse-names":false,"suffix":""},{"dropping-particle":"","family":"Al-Kali","given":"Aref","non-dropping-particle":"","parse-names":false,"suffix":""},{"dropping-particle":"","family":"Bejar","given":"Rafael","non-dropping-particle":"","parse-names":false,"suffix":""},{"dropping-particle":"","family":"Bennett","given":"John M.","non-dropping-particle":"","parse-names":false,"suffix":""}],"id":"ITEM-5","issued":{"date-parts":[["2019"]]},"title":"NCCN Clinical Practice Guidelines in Oncology. Myelodysplastic syndromes","type":"article"},"uris":["http://www.mendeley.com/documents/?uuid=42bd97a2-0774-4214-9691-f403cd4a21df"]}],"mendeley":{"formattedCitation":"[1–5]","plainTextFormattedCitation":"[1–5]","previouslyFormattedCitation":"[1–5]"},"properties":{"noteIndex":0},"schema":"https://github.com/citation-style-language/schema/raw/master/csl-citation.json"}</w:instrText>
      </w:r>
      <w:r w:rsidRPr="006A377C">
        <w:rPr>
          <w:szCs w:val="24"/>
        </w:rPr>
        <w:fldChar w:fldCharType="separate"/>
      </w:r>
      <w:r w:rsidRPr="006A377C">
        <w:rPr>
          <w:noProof/>
          <w:szCs w:val="24"/>
        </w:rPr>
        <w:t>[1–5]</w:t>
      </w:r>
      <w:r w:rsidRPr="006A377C">
        <w:rPr>
          <w:szCs w:val="24"/>
        </w:rPr>
        <w:fldChar w:fldCharType="end"/>
      </w:r>
      <w:r w:rsidRPr="006A377C">
        <w:rPr>
          <w:szCs w:val="24"/>
        </w:rPr>
        <w:t>.</w:t>
      </w:r>
    </w:p>
    <w:p w14:paraId="7A50DF08" w14:textId="77777777" w:rsidR="00F20CFD" w:rsidRPr="006A377C" w:rsidRDefault="00F20CFD" w:rsidP="00F4332F">
      <w:pPr>
        <w:ind w:left="709"/>
        <w:rPr>
          <w:szCs w:val="24"/>
        </w:rPr>
      </w:pPr>
      <w:r w:rsidRPr="006A377C">
        <w:rPr>
          <w:b/>
          <w:szCs w:val="24"/>
        </w:rPr>
        <w:t xml:space="preserve">Уровень убедительности рекомендаций </w:t>
      </w:r>
      <w:r w:rsidRPr="006A377C">
        <w:rPr>
          <w:b/>
          <w:szCs w:val="24"/>
          <w:lang w:val="en-US"/>
        </w:rPr>
        <w:t>C</w:t>
      </w:r>
      <w:r w:rsidRPr="006A377C">
        <w:rPr>
          <w:b/>
          <w:szCs w:val="24"/>
        </w:rPr>
        <w:t xml:space="preserve"> (уровень достоверности доказательств – 5)</w:t>
      </w:r>
    </w:p>
    <w:p w14:paraId="0B893031" w14:textId="77777777" w:rsidR="00F20CFD" w:rsidRPr="006A377C" w:rsidRDefault="00F20CFD" w:rsidP="00F4332F">
      <w:pPr>
        <w:ind w:left="709"/>
        <w:rPr>
          <w:i/>
          <w:szCs w:val="24"/>
        </w:rPr>
      </w:pPr>
      <w:r w:rsidRPr="006A377C">
        <w:rPr>
          <w:b/>
          <w:szCs w:val="24"/>
        </w:rPr>
        <w:t xml:space="preserve">Комментарии: </w:t>
      </w:r>
      <w:r w:rsidRPr="006A377C">
        <w:rPr>
          <w:i/>
          <w:szCs w:val="24"/>
        </w:rPr>
        <w:t>при МДС специфических жалоб не существует. Наиболее часто поводом для обращения являются анемические жалобы (слабость, утомляемость, снижение толерантности к физическим нагрузкам), реже – геморрагический синдром и инфекционные осложнения; продолжительность анамнеза от 1 месяца до нескольких лет.</w:t>
      </w:r>
    </w:p>
    <w:p w14:paraId="290A8C10" w14:textId="77777777" w:rsidR="00F20CFD" w:rsidRPr="006A377C" w:rsidRDefault="00F20CFD" w:rsidP="00E10ED8">
      <w:pPr>
        <w:pStyle w:val="2"/>
      </w:pPr>
      <w:bookmarkStart w:id="12" w:name="_Toc65104087"/>
      <w:r w:rsidRPr="006A377C">
        <w:t>2.2. Физикальное обследование</w:t>
      </w:r>
      <w:bookmarkEnd w:id="12"/>
    </w:p>
    <w:p w14:paraId="14AC0780" w14:textId="77777777" w:rsidR="00F20CFD" w:rsidRPr="006A377C" w:rsidRDefault="00F20CFD" w:rsidP="005F2F2B">
      <w:pPr>
        <w:pStyle w:val="aff"/>
        <w:numPr>
          <w:ilvl w:val="0"/>
          <w:numId w:val="17"/>
        </w:numPr>
        <w:ind w:left="709" w:hanging="425"/>
        <w:rPr>
          <w:szCs w:val="24"/>
        </w:rPr>
      </w:pPr>
      <w:r w:rsidRPr="006A377C">
        <w:rPr>
          <w:szCs w:val="24"/>
        </w:rPr>
        <w:lastRenderedPageBreak/>
        <w:t xml:space="preserve">Всем пациентам с подозрением на МДС или подтвержденным МДС </w:t>
      </w:r>
      <w:r w:rsidRPr="006A377C">
        <w:rPr>
          <w:b/>
          <w:szCs w:val="24"/>
        </w:rPr>
        <w:t xml:space="preserve">рекомендуется </w:t>
      </w:r>
      <w:r w:rsidRPr="006A377C">
        <w:rPr>
          <w:szCs w:val="24"/>
        </w:rPr>
        <w:t xml:space="preserve">проводить физикальное обследование для верификации диагноза и динамического наблюдения </w:t>
      </w:r>
      <w:r w:rsidRPr="006A377C">
        <w:rPr>
          <w:szCs w:val="24"/>
        </w:rPr>
        <w:fldChar w:fldCharType="begin" w:fldLock="1"/>
      </w:r>
      <w:r w:rsidRPr="006A377C">
        <w:rPr>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id":"ITEM-2","itemData":{"author":[{"dropping-particle":"","family":"Ширин","given":"А.Д.","non-dropping-particle":"","parse-names":false,"suffix":""},{"dropping-particle":"","family":"Френкель","given":"М.А.","non-dropping-particle":"","parse-names":false,"suffix":""}],"container-title":"Клиническая онкогематология: руководство для врачей. Под ред. Волковой М.А.. 2-е изд., перераб. и доп.","id":"ITEM-2","issued":{"date-parts":[["2007"]]},"page":"502-551","title":"Миелодиспластические синдромы","type":"chapter"},"uris":["http://www.mendeley.com/documents/?uuid=9f2eca44-a3a8-4eb4-90b5-a52e4e769482"]},{"id":"ITEM-3","itemData":{"DOI":"10.1002/ajh.24102","ISSN":"1096-8652","PMID":"26294090","abstract":"DISEASE OVERVIEW The myelodysplastic syndromes (MDS) are a very heterogeneous group of myeloid disorders characterized by peripheral blood cytopenias and increased risk of transformation to acute myelogenous leukemia (AML). MDS occurs more frequently in older males and in individuals with prior exposure to cytotoxic therapy. DIAGNOSIS Diagnosis of MDS is based on morphological evidence of dysplasia upon visual examination of a bone marrow aspirate and biopsy. Information obtained from additional studies such as karyotype, flow cytometry, or molecular genetics is complementary but not diagnostic. Risk-stratification: Prognosis of patients with MDS can be calculated using a number of scoring systems. In general, all these scoring systems include analysis of peripheral cytopenias, percentage of blasts in the bone marrow, and cytogenetic characteristics. The most commonly used system still is probably the International Prognostic Scoring System (IPSS). IPSS is being replaced by the new revised score IPSS-R. RISK-ADAPTED THERAPY Therapy is selected based on risk, transfusion needs, percent of bone marrow blasts, and more recently cytogenetic and mutational profiles. Goals of therapy are different in lower risk patients than in higher risk. In lower risk, the goal is to decrease transfusion needs and transformation to higher risk disease or AML, as well as to improve survival. In higher risk, the goal is to prolong survival. Current available therapies include growth factor support, lenalidomide, hypomethylating agents, intensive chemotherapy, and allogeneic stem cell transplantation. The use of lenalidomide has significant clinical activity in patients with lower risk disease, anemia, and a chromosome 5 alteration. 5-Azacitidine and decitabine have activity in higher risk MDS. 5-Azacitidine has been shown to improve survival in higher risk MDS. A number of new molecular lesions have been described in MDS that may serve as new therapeutic targets or aid in the selection of currently available agents. Additional supportive care measures may include the use of prophylactic antibiotics and iron chelation. Management of progressive or refractory disease: At the present time there are no approved interventions for patients with progressive or refractory disease particularly after hypomethylating based therapy. Options include participation in a clinical trial or cytarabine based therapy and stem cell transplantation.","author":[{"dropping-particle":"","family":"Garcia-Manero","given":"Guillermo","non-dropping-particle":"","parse-names":false,"suffix":""}],"container-title":"American journal of hematology","id":"ITEM-3","issue":"9","issued":{"date-parts":[["2015","9"]]},"page":"831-41","title":"Myelodysplastic syndromes: 2015 Update on diagnosis, risk-stratification and management.","type":"article-journal","volume":"90"},"uris":["http://www.mendeley.com/documents/?uuid=f71f5ed5-dc93-3fd3-b1f1-68c1270ac29e"]},{"id":"ITEM-4","itemData":{"DOI":"10.1182/blood-2013-03-492884","ISSN":"1528-0020","PMID":"23980065","abstract":"Within the myelodysplastic syndrome (MDS) work package of the European LeukemiaNet, an Expert Panel was selected according to the framework elements of the National Institutes of Health Consensus Development Program. A systematic review of the literature was performed that included indexed original papers, indexed reviews and educational papers, and abstracts of conference proceedings. Guidelines were developed on the basis of a list of patient- and therapy-oriented questions, and recommendations were formulated and ranked according to the supporting level of evidence. MDSs should be classified according to the 2008 World Health Organization criteria. An accurate risk assessment requires the evaluation of not only disease-related factors but also of those related to extrahematologic comorbidity. The assessment of individual risk enables the identification of fit patients with a poor prognosis who are candidates for up-front intensive treatments, primarily allogeneic stem cell transplantation. A high proportion of MDS patients are not eligible for potentially curative treatment because of advanced age and/or clinically relevant comorbidities and poor performance status. In these patients, the therapeutic intervention is aimed at preventing cytopenia-related morbidity and preserving quality of life. A number of new agents are being developed for which the available evidence is not sufficient to recommend routine use. The inclusion of patients into prospective clinical trials is strongly recommended.","author":[{"dropping-particle":"","family":"Malcovati","given":"Luca","non-dropping-particle":"","parse-names":false,"suffix":""},{"dropping-particle":"","family":"Hellström-Lindberg","given":"Eva","non-dropping-particle":"","parse-names":false,"suffix":""},{"dropping-particle":"","family":"Bowen","given":"David","non-dropping-particle":"","parse-names":false,"suffix":""},{"dropping-particle":"","family":"Adès","given":"Lionel","non-dropping-particle":"","parse-names":false,"suffix":""},{"dropping-particle":"","family":"Cermak","given":"Jaroslav","non-dropping-particle":"","parse-names":false,"suffix":""},{"dropping-particle":"","family":"Cañizo","given":"Consuelo","non-dropping-particle":"Del","parse-names":false,"suffix":""},{"dropping-particle":"","family":"Porta","given":"Matteo G","non-dropping-particle":"Della","parse-names":false,"suffix":""},{"dropping-particle":"","family":"Fenaux","given":"Pierre","non-dropping-particle":"","parse-names":false,"suffix":""},{"dropping-particle":"","family":"Gattermann","given":"Norbert","non-dropping-particle":"","parse-names":false,"suffix":""},{"dropping-particle":"","family":"Germing","given":"Ulrich","non-dropping-particle":"","parse-names":false,"suffix":""},{"dropping-particle":"","family":"Jansen","given":"Joop H","non-dropping-particle":"","parse-names":false,"suffix":""},{"dropping-particle":"","family":"Mittelman","given":"Moshe","non-dropping-particle":"","parse-names":false,"suffix":""},{"dropping-particle":"","family":"Mufti","given":"Ghulam","non-dropping-particle":"","parse-names":false,"suffix":""},{"dropping-particle":"","family":"Platzbecker","given":"Uwe","non-dropping-particle":"","parse-names":false,"suffix":""},{"dropping-particle":"","family":"Sanz","given":"Guillermo F","non-dropping-particle":"","parse-names":false,"suffix":""},{"dropping-particle":"","family":"Selleslag","given":"Dominik","non-dropping-particle":"","parse-names":false,"suffix":""},{"dropping-particle":"","family":"Skov-Holm","given":"Mette","non-dropping-particle":"","parse-names":false,"suffix":""},{"dropping-particle":"","family":"Stauder","given":"Reinhard","non-dropping-particle":"","parse-names":false,"suffix":""},{"dropping-particle":"","family":"Symeonidis","given":"Argiris","non-dropping-particle":"","parse-names":false,"suffix":""},{"dropping-particle":"","family":"Loosdrecht","given":"Arjan A","non-dropping-particle":"van de","parse-names":false,"suffix":""},{"dropping-particle":"","family":"Witte","given":"Theo","non-dropping-particle":"de","parse-names":false,"suffix":""},{"dropping-particle":"","family":"Cazzola","given":"Mario","non-dropping-particle":"","parse-names":false,"suffix":""},{"dropping-particle":"","family":"European Leukemia Net","given":"","non-dropping-particle":"","parse-names":false,"suffix":""}],"container-title":"Blood","id":"ITEM-4","issue":"17","issued":{"date-parts":[["2013","10","24"]]},"page":"2943-64","title":"Diagnosis and treatment of primary myelodysplastic syndromes in adults: recommendations from the European LeukemiaNet.","type":"article-journal","volume":"122"},"uris":["http://www.mendeley.com/documents/?uuid=8d575a93-ae56-3e05-b1b4-97a7de4aac98"]}],"mendeley":{"formattedCitation":"[1–4]","plainTextFormattedCitation":"[1–4]","previouslyFormattedCitation":"[1–4]"},"properties":{"noteIndex":0},"schema":"https://github.com/citation-style-language/schema/raw/master/csl-citation.json"}</w:instrText>
      </w:r>
      <w:r w:rsidRPr="006A377C">
        <w:rPr>
          <w:szCs w:val="24"/>
        </w:rPr>
        <w:fldChar w:fldCharType="separate"/>
      </w:r>
      <w:r w:rsidRPr="006A377C">
        <w:rPr>
          <w:noProof/>
          <w:szCs w:val="24"/>
        </w:rPr>
        <w:t>[1–4]</w:t>
      </w:r>
      <w:r w:rsidRPr="006A377C">
        <w:rPr>
          <w:szCs w:val="24"/>
        </w:rPr>
        <w:fldChar w:fldCharType="end"/>
      </w:r>
      <w:r w:rsidRPr="006A377C">
        <w:rPr>
          <w:szCs w:val="24"/>
        </w:rPr>
        <w:t>.</w:t>
      </w:r>
    </w:p>
    <w:p w14:paraId="26A86A21" w14:textId="77777777" w:rsidR="00F20CFD" w:rsidRPr="006A377C" w:rsidRDefault="00F20CFD" w:rsidP="005A1245">
      <w:pPr>
        <w:ind w:left="709" w:hanging="1"/>
        <w:rPr>
          <w:szCs w:val="24"/>
        </w:rPr>
      </w:pPr>
      <w:r w:rsidRPr="006A377C">
        <w:rPr>
          <w:b/>
          <w:szCs w:val="24"/>
        </w:rPr>
        <w:t xml:space="preserve">Уровень убедительности рекомендаций </w:t>
      </w:r>
      <w:r w:rsidRPr="006A377C">
        <w:rPr>
          <w:b/>
          <w:szCs w:val="24"/>
          <w:lang w:val="en-US"/>
        </w:rPr>
        <w:t>C</w:t>
      </w:r>
      <w:r w:rsidRPr="006A377C">
        <w:rPr>
          <w:b/>
          <w:szCs w:val="24"/>
        </w:rPr>
        <w:t xml:space="preserve"> (уровень достоверности доказательств – 5)</w:t>
      </w:r>
    </w:p>
    <w:p w14:paraId="25FC4969" w14:textId="77777777" w:rsidR="00F20CFD" w:rsidRPr="006A377C" w:rsidRDefault="00F20CFD" w:rsidP="005A1245">
      <w:pPr>
        <w:ind w:left="709" w:hanging="1"/>
        <w:rPr>
          <w:i/>
          <w:szCs w:val="24"/>
        </w:rPr>
      </w:pPr>
      <w:r w:rsidRPr="006A377C">
        <w:rPr>
          <w:b/>
          <w:szCs w:val="24"/>
        </w:rPr>
        <w:t xml:space="preserve">Комментарии: </w:t>
      </w:r>
      <w:r w:rsidRPr="006A377C">
        <w:rPr>
          <w:i/>
          <w:szCs w:val="24"/>
        </w:rPr>
        <w:t>при физикальном осмотре необходимо оценивать: состояние кожных покровов, слизистых; наличие или отсутствие признаков геморрагического и отечного синдрома; специфического поражения кожи, гепатоспленомегалии, лимфоаденопатии; признаков дисфункции ЦНС, сердечно-сосудистой, легочной, мочевыделительной, эндокринной и костно-суставной систем, органов желудочно-кишечного тракта. Для расчета площади поверхности тела необходимо измерение роста и массы тела, и перед каждым курсом терапии – веса пациента для актуализации данных.</w:t>
      </w:r>
    </w:p>
    <w:p w14:paraId="5A98F751" w14:textId="77777777" w:rsidR="00F20CFD" w:rsidRPr="006A377C" w:rsidRDefault="00F20CFD" w:rsidP="00EA7BF5">
      <w:pPr>
        <w:pStyle w:val="2"/>
      </w:pPr>
      <w:bookmarkStart w:id="13" w:name="_Toc65104088"/>
      <w:r w:rsidRPr="006A377C">
        <w:t xml:space="preserve">2.3. </w:t>
      </w:r>
      <w:r w:rsidR="00B4028D" w:rsidRPr="00E868DE">
        <w:t>Лабораторные диагностические исследования</w:t>
      </w:r>
      <w:bookmarkEnd w:id="13"/>
    </w:p>
    <w:p w14:paraId="3954C4C7" w14:textId="77777777" w:rsidR="00F20CFD" w:rsidRPr="006A377C" w:rsidRDefault="00F20CFD" w:rsidP="007C78A6">
      <w:pPr>
        <w:ind w:left="709" w:hanging="1"/>
        <w:rPr>
          <w:i/>
          <w:szCs w:val="24"/>
        </w:rPr>
      </w:pPr>
      <w:r w:rsidRPr="006A377C">
        <w:rPr>
          <w:i/>
          <w:szCs w:val="24"/>
        </w:rPr>
        <w:t>Ведущими симптомами МДС являются цитопении, которые диагностируют при стойком снижении гематологических показателей ниже пороговых значений: Hb &lt;110 г/л и/или абсолютного числа нейтрофилов (АЧН) &lt;1,8×10</w:t>
      </w:r>
      <w:r w:rsidRPr="006A377C">
        <w:rPr>
          <w:i/>
          <w:szCs w:val="24"/>
          <w:vertAlign w:val="superscript"/>
        </w:rPr>
        <w:t>9</w:t>
      </w:r>
      <w:r w:rsidRPr="006A377C">
        <w:rPr>
          <w:i/>
          <w:szCs w:val="24"/>
        </w:rPr>
        <w:t>/л, и/или тромбоцитов &lt;100×10</w:t>
      </w:r>
      <w:r w:rsidRPr="006A377C">
        <w:rPr>
          <w:i/>
          <w:szCs w:val="24"/>
          <w:vertAlign w:val="superscript"/>
        </w:rPr>
        <w:t>9</w:t>
      </w:r>
      <w:r w:rsidRPr="006A377C">
        <w:rPr>
          <w:i/>
          <w:szCs w:val="24"/>
        </w:rPr>
        <w:t xml:space="preserve">/л. Все диагностические процедуры направлены на исключение реактивных цитопений или других клональных заболеваний кроветворной системы. </w:t>
      </w:r>
    </w:p>
    <w:p w14:paraId="040DE4C8" w14:textId="77777777" w:rsidR="00F20CFD" w:rsidRPr="006A377C" w:rsidRDefault="00F20CFD" w:rsidP="007C78A6">
      <w:pPr>
        <w:ind w:left="709" w:hanging="1"/>
        <w:rPr>
          <w:i/>
          <w:szCs w:val="24"/>
        </w:rPr>
      </w:pPr>
      <w:r w:rsidRPr="006A377C">
        <w:rPr>
          <w:i/>
          <w:szCs w:val="24"/>
        </w:rPr>
        <w:t>Спектр лабораторных исследований, который поможет в верификации диагноза МДС, представлен ниже.</w:t>
      </w:r>
    </w:p>
    <w:p w14:paraId="240E8202" w14:textId="77777777" w:rsidR="00F20CFD" w:rsidRPr="006A377C" w:rsidRDefault="00F20CFD" w:rsidP="007C78A6">
      <w:pPr>
        <w:ind w:left="709" w:hanging="1"/>
        <w:rPr>
          <w:i/>
          <w:szCs w:val="24"/>
        </w:rPr>
      </w:pPr>
      <w:r w:rsidRPr="006A377C">
        <w:rPr>
          <w:i/>
          <w:szCs w:val="24"/>
        </w:rPr>
        <w:t>После полного терапевтического обследования пациента, исключившего «вторичный» характер цитопении, необходимо проведение гематологического обследования, которое включает в себя:</w:t>
      </w:r>
    </w:p>
    <w:p w14:paraId="5B9E46CA" w14:textId="77777777" w:rsidR="00F20CFD" w:rsidRPr="006A377C" w:rsidRDefault="00F20CFD" w:rsidP="007C78A6">
      <w:pPr>
        <w:pStyle w:val="aff"/>
        <w:numPr>
          <w:ilvl w:val="0"/>
          <w:numId w:val="2"/>
        </w:numPr>
        <w:ind w:left="709" w:hanging="425"/>
        <w:rPr>
          <w:i/>
          <w:szCs w:val="24"/>
        </w:rPr>
      </w:pPr>
      <w:r w:rsidRPr="006A377C">
        <w:rPr>
          <w:i/>
          <w:szCs w:val="24"/>
        </w:rPr>
        <w:t>пункцию костного мозга с исследованием аспирата КМ:</w:t>
      </w:r>
    </w:p>
    <w:p w14:paraId="620E98D5" w14:textId="77777777" w:rsidR="00F20CFD" w:rsidRPr="006A377C" w:rsidRDefault="00F20CFD" w:rsidP="007C78A6">
      <w:pPr>
        <w:pStyle w:val="aff"/>
        <w:ind w:left="709" w:hanging="1"/>
        <w:rPr>
          <w:i/>
          <w:szCs w:val="24"/>
        </w:rPr>
      </w:pPr>
      <w:r w:rsidRPr="006A377C">
        <w:rPr>
          <w:i/>
          <w:szCs w:val="24"/>
        </w:rPr>
        <w:t>– цитологическое исследование КМ для выявления качественных и количественных изменений в клеточном составе КМ;</w:t>
      </w:r>
    </w:p>
    <w:p w14:paraId="650A2155" w14:textId="77777777" w:rsidR="00F20CFD" w:rsidRPr="006A377C" w:rsidRDefault="00F20CFD" w:rsidP="007C78A6">
      <w:pPr>
        <w:pStyle w:val="aff"/>
        <w:ind w:left="709" w:hanging="1"/>
        <w:rPr>
          <w:i/>
          <w:szCs w:val="24"/>
        </w:rPr>
      </w:pPr>
      <w:r w:rsidRPr="006A377C">
        <w:rPr>
          <w:i/>
          <w:szCs w:val="24"/>
        </w:rPr>
        <w:t xml:space="preserve">– цитохимическое исследование клеток эритроидного ряда на наличие кольцевых форм сидеробластов; </w:t>
      </w:r>
    </w:p>
    <w:p w14:paraId="50ADA0AE" w14:textId="77777777" w:rsidR="00F20CFD" w:rsidRPr="006A377C" w:rsidRDefault="00F20CFD" w:rsidP="007C78A6">
      <w:pPr>
        <w:pStyle w:val="aff"/>
        <w:ind w:left="709" w:hanging="1"/>
        <w:rPr>
          <w:i/>
          <w:szCs w:val="24"/>
        </w:rPr>
      </w:pPr>
      <w:r w:rsidRPr="006A377C">
        <w:rPr>
          <w:i/>
          <w:szCs w:val="24"/>
        </w:rPr>
        <w:t>– цитогенетическое исследование для определения кариотипа;</w:t>
      </w:r>
    </w:p>
    <w:p w14:paraId="2FFA1525" w14:textId="77777777" w:rsidR="00F20CFD" w:rsidRPr="006A377C" w:rsidRDefault="00F20CFD" w:rsidP="007C78A6">
      <w:pPr>
        <w:pStyle w:val="aff"/>
        <w:ind w:left="709" w:hanging="1"/>
        <w:rPr>
          <w:i/>
          <w:szCs w:val="24"/>
        </w:rPr>
      </w:pPr>
      <w:r w:rsidRPr="006A377C">
        <w:rPr>
          <w:i/>
          <w:szCs w:val="24"/>
        </w:rPr>
        <w:t>– иммунофенотипическое исследование КМ для выявления цитометрических признаков дисмиелоплэза;</w:t>
      </w:r>
    </w:p>
    <w:p w14:paraId="2809EF6E" w14:textId="77777777" w:rsidR="00F20CFD" w:rsidRPr="006A377C" w:rsidRDefault="00F20CFD" w:rsidP="007C78A6">
      <w:pPr>
        <w:pStyle w:val="aff"/>
        <w:ind w:left="709" w:hanging="1"/>
        <w:rPr>
          <w:i/>
          <w:szCs w:val="24"/>
        </w:rPr>
      </w:pPr>
      <w:r w:rsidRPr="006A377C">
        <w:rPr>
          <w:i/>
          <w:szCs w:val="24"/>
        </w:rPr>
        <w:t>– молекулярное исследование для выявления особенностей заболевания;</w:t>
      </w:r>
    </w:p>
    <w:p w14:paraId="20331146" w14:textId="77777777" w:rsidR="00F20CFD" w:rsidRPr="006A377C" w:rsidRDefault="00F20CFD" w:rsidP="007C78A6">
      <w:pPr>
        <w:pStyle w:val="aff"/>
        <w:numPr>
          <w:ilvl w:val="0"/>
          <w:numId w:val="2"/>
        </w:numPr>
        <w:ind w:left="709" w:hanging="425"/>
        <w:rPr>
          <w:i/>
          <w:szCs w:val="24"/>
        </w:rPr>
      </w:pPr>
      <w:r w:rsidRPr="006A377C">
        <w:rPr>
          <w:i/>
          <w:szCs w:val="24"/>
        </w:rPr>
        <w:lastRenderedPageBreak/>
        <w:t>трепанобиопсию КМ с последующим гистологическим и при необходимости иммуногистохимическим исследованием КМ.</w:t>
      </w:r>
    </w:p>
    <w:p w14:paraId="622A7AC0" w14:textId="77777777" w:rsidR="00F20CFD" w:rsidRPr="006A377C" w:rsidRDefault="00F20CFD" w:rsidP="007C78A6">
      <w:pPr>
        <w:ind w:left="709" w:hanging="1"/>
        <w:rPr>
          <w:i/>
          <w:szCs w:val="24"/>
        </w:rPr>
      </w:pPr>
      <w:r w:rsidRPr="006A377C">
        <w:rPr>
          <w:i/>
          <w:szCs w:val="24"/>
        </w:rPr>
        <w:t>Первичное подтверждение МДС целесообразно проводить в специализированных гематологических центрах (отделениях). Для адекватной верификации диагноза и оценки динамики течения болезни требуются повторные исследования КМ через несколько недель, месяцев или даже лет.</w:t>
      </w:r>
    </w:p>
    <w:p w14:paraId="12B40D2A" w14:textId="77777777" w:rsidR="00F20CFD" w:rsidRPr="006A377C" w:rsidRDefault="00F20CFD" w:rsidP="007C78A6">
      <w:pPr>
        <w:ind w:left="709" w:hanging="1"/>
        <w:rPr>
          <w:i/>
          <w:szCs w:val="24"/>
        </w:rPr>
      </w:pPr>
      <w:r w:rsidRPr="006A377C">
        <w:rPr>
          <w:i/>
          <w:szCs w:val="24"/>
        </w:rPr>
        <w:t>Диагноз МДС является правомочным, если после 4 месцев наблюдения не было диагностировано любое другое гематологическое или негематологическое заболевание, которое могло бы объяснить наличие цитопении.</w:t>
      </w:r>
    </w:p>
    <w:p w14:paraId="2069CFF0" w14:textId="77777777" w:rsidR="00F20CFD" w:rsidRPr="006A377C" w:rsidRDefault="00F20CFD" w:rsidP="007C78A6">
      <w:pPr>
        <w:ind w:left="709" w:hanging="1"/>
        <w:rPr>
          <w:i/>
          <w:szCs w:val="24"/>
        </w:rPr>
      </w:pPr>
      <w:r w:rsidRPr="006A377C">
        <w:rPr>
          <w:i/>
          <w:szCs w:val="24"/>
        </w:rPr>
        <w:t xml:space="preserve">Для верификации диагноза, определения варианта заболевания и выбора тактики терапии необходимо провести полное терапевтическое и гематологическое обследование </w:t>
      </w:r>
      <w:r w:rsidRPr="006A377C">
        <w:rPr>
          <w:szCs w:val="24"/>
        </w:rPr>
        <w:fldChar w:fldCharType="begin" w:fldLock="1"/>
      </w:r>
      <w:r w:rsidRPr="006A377C">
        <w:rPr>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id":"ITEM-2","itemData":{"author":[{"dropping-particle":"","family":"Ширин","given":"А.Д.","non-dropping-particle":"","parse-names":false,"suffix":""},{"dropping-particle":"","family":"Френкель","given":"М.А.","non-dropping-particle":"","parse-names":false,"suffix":""}],"container-title":"Клиническая онкогематология: руководство для врачей. Под ред. Волковой М.А.. 2-е изд., перераб. и доп.","id":"ITEM-2","issued":{"date-parts":[["2007"]]},"page":"502-551","title":"Миелодиспластические синдромы","type":"chapter"},"uris":["http://www.mendeley.com/documents/?uuid=9f2eca44-a3a8-4eb4-90b5-a52e4e769482"]},{"id":"ITEM-3","itemData":{"DOI":"10.1002/ajh.24102","ISSN":"1096-8652","PMID":"26294090","abstract":"DISEASE OVERVIEW The myelodysplastic syndromes (MDS) are a very heterogeneous group of myeloid disorders characterized by peripheral blood cytopenias and increased risk of transformation to acute myelogenous leukemia (AML). MDS occurs more frequently in older males and in individuals with prior exposure to cytotoxic therapy. DIAGNOSIS Diagnosis of MDS is based on morphological evidence of dysplasia upon visual examination of a bone marrow aspirate and biopsy. Information obtained from additional studies such as karyotype, flow cytometry, or molecular genetics is complementary but not diagnostic. Risk-stratification: Prognosis of patients with MDS can be calculated using a number of scoring systems. In general, all these scoring systems include analysis of peripheral cytopenias, percentage of blasts in the bone marrow, and cytogenetic characteristics. The most commonly used system still is probably the International Prognostic Scoring System (IPSS). IPSS is being replaced by the new revised score IPSS-R. RISK-ADAPTED THERAPY Therapy is selected based on risk, transfusion needs, percent of bone marrow blasts, and more recently cytogenetic and mutational profiles. Goals of therapy are different in lower risk patients than in higher risk. In lower risk, the goal is to decrease transfusion needs and transformation to higher risk disease or AML, as well as to improve survival. In higher risk, the goal is to prolong survival. Current available therapies include growth factor support, lenalidomide, hypomethylating agents, intensive chemotherapy, and allogeneic stem cell transplantation. The use of lenalidomide has significant clinical activity in patients with lower risk disease, anemia, and a chromosome 5 alteration. 5-Azacitidine and decitabine have activity in higher risk MDS. 5-Azacitidine has been shown to improve survival in higher risk MDS. A number of new molecular lesions have been described in MDS that may serve as new therapeutic targets or aid in the selection of currently available agents. Additional supportive care measures may include the use of prophylactic antibiotics and iron chelation. Management of progressive or refractory disease: At the present time there are no approved interventions for patients with progressive or refractory disease particularly after hypomethylating based therapy. Options include participation in a clinical trial or cytarabine based therapy and stem cell transplantation.","author":[{"dropping-particle":"","family":"Garcia-Manero","given":"Guillermo","non-dropping-particle":"","parse-names":false,"suffix":""}],"container-title":"American journal of hematology","id":"ITEM-3","issue":"9","issued":{"date-parts":[["2015","9"]]},"page":"831-41","title":"Myelodysplastic syndromes: 2015 Update on diagnosis, risk-stratification and management.","type":"article-journal","volume":"90"},"uris":["http://www.mendeley.com/documents/?uuid=f71f5ed5-dc93-3fd3-b1f1-68c1270ac29e"]},{"id":"ITEM-4","itemData":{"DOI":"10.1182/blood-2013-03-492884","ISSN":"1528-0020","PMID":"23980065","abstract":"Within the myelodysplastic syndrome (MDS) work package of the European LeukemiaNet, an Expert Panel was selected according to the framework elements of the National Institutes of Health Consensus Development Program. A systematic review of the literature was performed that included indexed original papers, indexed reviews and educational papers, and abstracts of conference proceedings. Guidelines were developed on the basis of a list of patient- and therapy-oriented questions, and recommendations were formulated and ranked according to the supporting level of evidence. MDSs should be classified according to the 2008 World Health Organization criteria. An accurate risk assessment requires the evaluation of not only disease-related factors but also of those related to extrahematologic comorbidity. The assessment of individual risk enables the identification of fit patients with a poor prognosis who are candidates for up-front intensive treatments, primarily allogeneic stem cell transplantation. A high proportion of MDS patients are not eligible for potentially curative treatment because of advanced age and/or clinically relevant comorbidities and poor performance status. In these patients, the therapeutic intervention is aimed at preventing cytopenia-related morbidity and preserving quality of life. A number of new agents are being developed for which the available evidence is not sufficient to recommend routine use. The inclusion of patients into prospective clinical trials is strongly recommended.","author":[{"dropping-particle":"","family":"Malcovati","given":"Luca","non-dropping-particle":"","parse-names":false,"suffix":""},{"dropping-particle":"","family":"Hellström-Lindberg","given":"Eva","non-dropping-particle":"","parse-names":false,"suffix":""},{"dropping-particle":"","family":"Bowen","given":"David","non-dropping-particle":"","parse-names":false,"suffix":""},{"dropping-particle":"","family":"Adès","given":"Lionel","non-dropping-particle":"","parse-names":false,"suffix":""},{"dropping-particle":"","family":"Cermak","given":"Jaroslav","non-dropping-particle":"","parse-names":false,"suffix":""},{"dropping-particle":"","family":"Cañizo","given":"Consuelo","non-dropping-particle":"Del","parse-names":false,"suffix":""},{"dropping-particle":"","family":"Porta","given":"Matteo G","non-dropping-particle":"Della","parse-names":false,"suffix":""},{"dropping-particle":"","family":"Fenaux","given":"Pierre","non-dropping-particle":"","parse-names":false,"suffix":""},{"dropping-particle":"","family":"Gattermann","given":"Norbert","non-dropping-particle":"","parse-names":false,"suffix":""},{"dropping-particle":"","family":"Germing","given":"Ulrich","non-dropping-particle":"","parse-names":false,"suffix":""},{"dropping-particle":"","family":"Jansen","given":"Joop H","non-dropping-particle":"","parse-names":false,"suffix":""},{"dropping-particle":"","family":"Mittelman","given":"Moshe","non-dropping-particle":"","parse-names":false,"suffix":""},{"dropping-particle":"","family":"Mufti","given":"Ghulam","non-dropping-particle":"","parse-names":false,"suffix":""},{"dropping-particle":"","family":"Platzbecker","given":"Uwe","non-dropping-particle":"","parse-names":false,"suffix":""},{"dropping-particle":"","family":"Sanz","given":"Guillermo F","non-dropping-particle":"","parse-names":false,"suffix":""},{"dropping-particle":"","family":"Selleslag","given":"Dominik","non-dropping-particle":"","parse-names":false,"suffix":""},{"dropping-particle":"","family":"Skov-Holm","given":"Mette","non-dropping-particle":"","parse-names":false,"suffix":""},{"dropping-particle":"","family":"Stauder","given":"Reinhard","non-dropping-particle":"","parse-names":false,"suffix":""},{"dropping-particle":"","family":"Symeonidis","given":"Argiris","non-dropping-particle":"","parse-names":false,"suffix":""},{"dropping-particle":"","family":"Loosdrecht","given":"Arjan A","non-dropping-particle":"van de","parse-names":false,"suffix":""},{"dropping-particle":"","family":"Witte","given":"Theo","non-dropping-particle":"de","parse-names":false,"suffix":""},{"dropping-particle":"","family":"Cazzola","given":"Mario","non-dropping-particle":"","parse-names":false,"suffix":""},{"dropping-particle":"","family":"European Leukemia Net","given":"","non-dropping-particle":"","parse-names":false,"suffix":""}],"container-title":"Blood","id":"ITEM-4","issue":"17","issued":{"date-parts":[["2013","10","24"]]},"page":"2943-64","title":"Diagnosis and treatment of primary myelodysplastic syndromes in adults: recommendations from the European LeukemiaNet.","type":"article-journal","volume":"122"},"uris":["http://www.mendeley.com/documents/?uuid=8d575a93-ae56-3e05-b1b4-97a7de4aac98"]},{"id":"ITEM-5","itemData":{"author":[{"dropping-particle":"","family":"Greenberg","given":"P.L.","non-dropping-particle":"","parse-names":false,"suffix":""},{"dropping-particle":"","family":"Stone","given":"Richard M.","non-dropping-particle":"","parse-names":false,"suffix":""},{"dropping-particle":"","family":"Al-Kali","given":"Aref","non-dropping-particle":"","parse-names":false,"suffix":""},{"dropping-particle":"","family":"Bejar","given":"Rafael","non-dropping-particle":"","parse-names":false,"suffix":""},{"dropping-particle":"","family":"Bennett","given":"John M.","non-dropping-particle":"","parse-names":false,"suffix":""}],"id":"ITEM-5","issued":{"date-parts":[["2019"]]},"title":"NCCN Clinical Practice Guidelines in Oncology. Myelodysplastic syndromes","type":"article"},"uris":["http://www.mendeley.com/documents/?uuid=42bd97a2-0774-4214-9691-f403cd4a21df"]}],"mendeley":{"formattedCitation":"[1–5]","plainTextFormattedCitation":"[1–5]","previouslyFormattedCitation":"[1–5]"},"properties":{"noteIndex":0},"schema":"https://github.com/citation-style-language/schema/raw/master/csl-citation.json"}</w:instrText>
      </w:r>
      <w:r w:rsidRPr="006A377C">
        <w:rPr>
          <w:szCs w:val="24"/>
        </w:rPr>
        <w:fldChar w:fldCharType="separate"/>
      </w:r>
      <w:r w:rsidRPr="006A377C">
        <w:rPr>
          <w:noProof/>
          <w:szCs w:val="24"/>
        </w:rPr>
        <w:t>[1–5]</w:t>
      </w:r>
      <w:r w:rsidRPr="006A377C">
        <w:rPr>
          <w:szCs w:val="24"/>
        </w:rPr>
        <w:fldChar w:fldCharType="end"/>
      </w:r>
      <w:r w:rsidRPr="006A377C">
        <w:rPr>
          <w:i/>
          <w:szCs w:val="24"/>
        </w:rPr>
        <w:t>.</w:t>
      </w:r>
    </w:p>
    <w:p w14:paraId="165AEF33" w14:textId="77777777" w:rsidR="00F20CFD" w:rsidRPr="006A377C" w:rsidRDefault="00F20CFD" w:rsidP="007C78A6">
      <w:pPr>
        <w:ind w:left="709" w:hanging="425"/>
        <w:rPr>
          <w:i/>
          <w:szCs w:val="24"/>
        </w:rPr>
      </w:pPr>
    </w:p>
    <w:p w14:paraId="3997362B" w14:textId="77777777" w:rsidR="00F20CFD" w:rsidRPr="006A377C" w:rsidRDefault="00F20CFD" w:rsidP="005F2F2B">
      <w:pPr>
        <w:pStyle w:val="aff"/>
        <w:numPr>
          <w:ilvl w:val="0"/>
          <w:numId w:val="16"/>
        </w:numPr>
        <w:ind w:left="709" w:hanging="425"/>
        <w:rPr>
          <w:szCs w:val="24"/>
        </w:rPr>
      </w:pPr>
      <w:r w:rsidRPr="006A377C">
        <w:rPr>
          <w:szCs w:val="24"/>
        </w:rPr>
        <w:t xml:space="preserve">Всем пациентам при подозрении на МДС, а также после верификации заболевания в течение всего периода наблюдения и лечения </w:t>
      </w:r>
      <w:r w:rsidRPr="006A377C">
        <w:rPr>
          <w:b/>
          <w:szCs w:val="24"/>
        </w:rPr>
        <w:t>рекомендуется</w:t>
      </w:r>
      <w:r w:rsidRPr="006A377C">
        <w:rPr>
          <w:szCs w:val="24"/>
        </w:rPr>
        <w:t xml:space="preserve"> </w:t>
      </w:r>
      <w:r w:rsidR="000A4642">
        <w:rPr>
          <w:szCs w:val="24"/>
        </w:rPr>
        <w:t>выполнение общего (</w:t>
      </w:r>
      <w:r w:rsidRPr="006A377C">
        <w:rPr>
          <w:szCs w:val="24"/>
        </w:rPr>
        <w:t>клинического</w:t>
      </w:r>
      <w:r w:rsidR="000A4642">
        <w:rPr>
          <w:szCs w:val="24"/>
        </w:rPr>
        <w:t>)</w:t>
      </w:r>
      <w:r w:rsidRPr="006A377C">
        <w:rPr>
          <w:szCs w:val="24"/>
        </w:rPr>
        <w:t xml:space="preserve"> анализа крови</w:t>
      </w:r>
      <w:r w:rsidR="00E868DE">
        <w:rPr>
          <w:szCs w:val="24"/>
        </w:rPr>
        <w:t xml:space="preserve"> развернутого</w:t>
      </w:r>
      <w:r w:rsidRPr="006A377C">
        <w:rPr>
          <w:szCs w:val="24"/>
        </w:rPr>
        <w:t xml:space="preserve"> с подсчетом лейкоцитарной формулы</w:t>
      </w:r>
      <w:r w:rsidRPr="004D14FF">
        <w:rPr>
          <w:szCs w:val="24"/>
        </w:rPr>
        <w:t>, с подсчетом количества тромбоцитов и ретикулоцитов</w:t>
      </w:r>
      <w:r w:rsidR="00BB2B00">
        <w:rPr>
          <w:szCs w:val="24"/>
        </w:rPr>
        <w:t xml:space="preserve"> на автоматическом анализаторе</w:t>
      </w:r>
      <w:r w:rsidR="000A4642" w:rsidRPr="004D14FF">
        <w:rPr>
          <w:szCs w:val="24"/>
        </w:rPr>
        <w:t xml:space="preserve"> с целью </w:t>
      </w:r>
      <w:r w:rsidR="000A4642" w:rsidRPr="00255EFA">
        <w:t>определения принадлежности к группе риска (</w:t>
      </w:r>
      <w:r w:rsidR="00255EFA">
        <w:t>см.</w:t>
      </w:r>
      <w:r w:rsidR="00B63F37">
        <w:t xml:space="preserve"> раздел 7.1 данных рекомендаций</w:t>
      </w:r>
      <w:r w:rsidR="000A4642" w:rsidRPr="00255EFA">
        <w:t>) и выбора тактики лечения</w:t>
      </w:r>
      <w:r w:rsidRPr="004D14FF">
        <w:rPr>
          <w:szCs w:val="24"/>
        </w:rPr>
        <w:t xml:space="preserve"> </w:t>
      </w:r>
      <w:r w:rsidRPr="004D14FF">
        <w:rPr>
          <w:szCs w:val="24"/>
        </w:rPr>
        <w:fldChar w:fldCharType="begin" w:fldLock="1"/>
      </w:r>
      <w:r w:rsidR="00255EFA">
        <w:rPr>
          <w:szCs w:val="24"/>
        </w:rPr>
        <w:instrText>ADDIN CSL_CITATION {"citationItems":[{"id":"ITEM-1","itemData":{"DOI":"10.1038/sj.leu.2403876","ISSN":"14765551","abstract":"Determining the percentage of peripheral blood (PB) and bone marrow (BM) blasts is important for diagnosing and classifying acute myeloid leukemia (AML) and myelodysplastic syndromes (MDS). Although most patients with acute leukemia or MDS have a higher percentage of BM blasts than PB blasts, the relative proportion is reversed in some patients. We explored the clinical relevance of this phenomenon in MDS (n=446), AML (n=1314), and acute lymphoblastic leukemia (ALL) (n=385). Among patients with MDS or ALL, but not AML, having a higher blast percentage in PB than in BM was associated with significantly shorter survival. In multivariate analyses, these associations were independent of other relevant predictors, including cytogenetic status. Our findings suggest that MDS and ALL patients who have a higher percentage of PB blasts than BM blasts have more aggressive disease. These data also suggest that MDS classification schemes should take into account the percentage of blasts in PB differently from the percentage of blasts in BM. © 2005 Nature Publishing Group All rights reserved.","author":[{"dropping-particle":"","family":"Amin","given":"H. M.","non-dropping-particle":"","parse-names":false,"suffix":""},{"dropping-particle":"","family":"Yang","given":"Y.","non-dropping-particle":"","parse-names":false,"suffix":""},{"dropping-particle":"","family":"Shen","given":"Y.","non-dropping-particle":"","parse-names":false,"suffix":""},{"dropping-particle":"","family":"Estey","given":"E. H.","non-dropping-particle":"","parse-names":false,"suffix":""},{"dropping-particle":"","family":"Giles","given":"F. J.","non-dropping-particle":"","parse-names":false,"suffix":""},{"dropping-particle":"","family":"Pierce","given":"S. A.","non-dropping-particle":"","parse-names":false,"suffix":""},{"dropping-particle":"","family":"Kantarjian","given":"H. M.","non-dropping-particle":"","parse-names":false,"suffix":""},{"dropping-particle":"","family":"O'Brien","given":"S. M.","non-dropping-particle":"","parse-names":false,"suffix":""},{"dropping-particle":"","family":"Jilani","given":"I.","non-dropping-particle":"","parse-names":false,"suffix":""},{"dropping-particle":"","family":"Albitar","given":"M.","non-dropping-particle":"","parse-names":false,"suffix":""}],"container-title":"Leukemia","id":"ITEM-1","issue":"9","issued":{"date-parts":[["2005"]]},"page":"1567-1572","publisher":"Nature Publishing Group","title":"Having a higher blast percentage in circulation than bone marrow: Clinical implications in myelodysplastic syndrome and acute lymphoid and myeloid leukemias","type":"article-journal","volume":"19"},"uris":["http://www.mendeley.com/documents/?uuid=8a8ad91d-6ca3-3454-941e-2dfd84aa6016"]}],"mendeley":{"formattedCitation":"[12]","plainTextFormattedCitation":"[12]","previouslyFormattedCitation":"[12]"},"properties":{"noteIndex":0},"schema":"https://github.com/citation-style-language/schema/raw/master/csl-citation.json"}</w:instrText>
      </w:r>
      <w:r w:rsidRPr="004D14FF">
        <w:rPr>
          <w:szCs w:val="24"/>
        </w:rPr>
        <w:fldChar w:fldCharType="separate"/>
      </w:r>
      <w:r w:rsidR="00255EFA" w:rsidRPr="00255EFA">
        <w:rPr>
          <w:noProof/>
          <w:szCs w:val="24"/>
        </w:rPr>
        <w:t>[12]</w:t>
      </w:r>
      <w:r w:rsidRPr="004D14FF">
        <w:rPr>
          <w:szCs w:val="24"/>
        </w:rPr>
        <w:fldChar w:fldCharType="end"/>
      </w:r>
      <w:r w:rsidRPr="004D14FF">
        <w:rPr>
          <w:szCs w:val="24"/>
        </w:rPr>
        <w:t>.</w:t>
      </w:r>
    </w:p>
    <w:p w14:paraId="7905E3C3" w14:textId="77777777" w:rsidR="00F20CFD" w:rsidRPr="006A377C" w:rsidRDefault="00F20CFD" w:rsidP="007C78A6">
      <w:pPr>
        <w:ind w:left="709" w:hanging="1"/>
        <w:rPr>
          <w:b/>
          <w:szCs w:val="24"/>
        </w:rPr>
      </w:pPr>
      <w:r w:rsidRPr="00EC74B2">
        <w:rPr>
          <w:b/>
          <w:szCs w:val="24"/>
        </w:rPr>
        <w:t>Уровень убедительности рекомендаций А (уровень достоверности доказательств – 2)</w:t>
      </w:r>
    </w:p>
    <w:p w14:paraId="71FFAF5D" w14:textId="77777777" w:rsidR="00F20CFD" w:rsidRPr="006A377C" w:rsidRDefault="00F20CFD" w:rsidP="007C78A6">
      <w:pPr>
        <w:pStyle w:val="FitzBullet"/>
        <w:tabs>
          <w:tab w:val="clear" w:pos="317"/>
        </w:tabs>
        <w:spacing w:line="360" w:lineRule="auto"/>
        <w:ind w:left="709" w:hanging="1"/>
        <w:rPr>
          <w:i/>
          <w:color w:val="auto"/>
        </w:rPr>
      </w:pPr>
      <w:r w:rsidRPr="006A377C">
        <w:rPr>
          <w:b/>
          <w:color w:val="auto"/>
        </w:rPr>
        <w:t xml:space="preserve">Комментарии: </w:t>
      </w:r>
      <w:r w:rsidRPr="006A377C">
        <w:rPr>
          <w:i/>
          <w:color w:val="auto"/>
        </w:rPr>
        <w:t xml:space="preserve">выявленные изменения </w:t>
      </w:r>
      <w:r w:rsidRPr="006A377C">
        <w:rPr>
          <w:rStyle w:val="Bullet2Char"/>
          <w:i/>
          <w:color w:val="auto"/>
        </w:rPr>
        <w:t>(гемоглобин &lt;110 г/л и/или абсолютное число нейтрофилов &lt;1,8</w:t>
      </w:r>
      <w:r w:rsidRPr="006A377C">
        <w:rPr>
          <w:i/>
          <w:color w:val="auto"/>
        </w:rPr>
        <w:t>×</w:t>
      </w:r>
      <w:r w:rsidRPr="006A377C">
        <w:rPr>
          <w:rStyle w:val="Bullet2Char"/>
          <w:i/>
          <w:color w:val="auto"/>
        </w:rPr>
        <w:t>10</w:t>
      </w:r>
      <w:r w:rsidRPr="006A377C">
        <w:rPr>
          <w:rStyle w:val="Bullet2Char"/>
          <w:i/>
          <w:color w:val="auto"/>
          <w:vertAlign w:val="superscript"/>
        </w:rPr>
        <w:t>9</w:t>
      </w:r>
      <w:r w:rsidRPr="006A377C">
        <w:rPr>
          <w:rStyle w:val="Bullet2Char"/>
          <w:i/>
          <w:color w:val="auto"/>
        </w:rPr>
        <w:t>/л и/или тромбоцитов – &lt;100</w:t>
      </w:r>
      <w:r w:rsidRPr="006A377C">
        <w:rPr>
          <w:i/>
          <w:color w:val="auto"/>
        </w:rPr>
        <w:t>×</w:t>
      </w:r>
      <w:r w:rsidRPr="006A377C">
        <w:rPr>
          <w:rStyle w:val="Bullet2Char"/>
          <w:i/>
          <w:color w:val="auto"/>
        </w:rPr>
        <w:t>10</w:t>
      </w:r>
      <w:r w:rsidRPr="006A377C">
        <w:rPr>
          <w:rStyle w:val="Bullet2Char"/>
          <w:i/>
          <w:color w:val="auto"/>
          <w:vertAlign w:val="superscript"/>
        </w:rPr>
        <w:t>9</w:t>
      </w:r>
      <w:r w:rsidRPr="006A377C">
        <w:rPr>
          <w:rStyle w:val="Bullet2Char"/>
          <w:i/>
          <w:color w:val="auto"/>
        </w:rPr>
        <w:t>/л</w:t>
      </w:r>
      <w:r w:rsidRPr="006A377C">
        <w:rPr>
          <w:i/>
          <w:color w:val="auto"/>
        </w:rPr>
        <w:t xml:space="preserve"> при наличии признаков дисмиелопоэза и других критериев МДС) позволят верифицировать диагноз МДС, определить принадлежность к группе риска и помогут в выборе тактики терапии. Частота исследования зависит от варианта МДС, клинических проявлений и проводимой терапии и может колебаться от ежедневного исследования до ежеквартального.</w:t>
      </w:r>
      <w:r w:rsidR="00BB2B00">
        <w:rPr>
          <w:i/>
          <w:color w:val="auto"/>
        </w:rPr>
        <w:t xml:space="preserve"> При частом определении, особенно в период проведения терапии, возможно выполнение клинического анализа крови на автоматическом анализаторе, без подсчета лейкоцитарной формулы в ручном режим</w:t>
      </w:r>
      <w:r w:rsidR="00535CCC">
        <w:rPr>
          <w:i/>
          <w:color w:val="auto"/>
        </w:rPr>
        <w:t>е</w:t>
      </w:r>
      <w:r w:rsidR="00BB2B00">
        <w:rPr>
          <w:i/>
          <w:color w:val="auto"/>
        </w:rPr>
        <w:t>.</w:t>
      </w:r>
    </w:p>
    <w:p w14:paraId="78F788FB" w14:textId="77777777" w:rsidR="00F20CFD" w:rsidRPr="006A377C" w:rsidRDefault="00F20CFD" w:rsidP="005A1245">
      <w:pPr>
        <w:pStyle w:val="FitzBullet"/>
        <w:tabs>
          <w:tab w:val="clear" w:pos="317"/>
          <w:tab w:val="left" w:pos="284"/>
        </w:tabs>
        <w:spacing w:line="360" w:lineRule="auto"/>
        <w:ind w:left="708" w:firstLine="1"/>
        <w:rPr>
          <w:i/>
          <w:color w:val="auto"/>
        </w:rPr>
      </w:pPr>
      <w:r w:rsidRPr="006A377C">
        <w:rPr>
          <w:i/>
          <w:color w:val="auto"/>
        </w:rPr>
        <w:t>При тромбоцитопении целесообразен пересчет по методу Фонио, особенно на момент верификации диагноза МДС, так как при наличии гигантских форм тромбоцитов возможно заниженное количество тромбоцитов при подсчете на автоматическом анализаторе.</w:t>
      </w:r>
    </w:p>
    <w:p w14:paraId="4B4EEB4F" w14:textId="77777777" w:rsidR="00F20CFD" w:rsidRPr="006A377C" w:rsidRDefault="00F20CFD" w:rsidP="005F2F2B">
      <w:pPr>
        <w:pStyle w:val="aff"/>
        <w:numPr>
          <w:ilvl w:val="0"/>
          <w:numId w:val="16"/>
        </w:numPr>
        <w:ind w:left="709" w:hanging="425"/>
        <w:rPr>
          <w:szCs w:val="24"/>
        </w:rPr>
      </w:pPr>
      <w:r w:rsidRPr="006A377C">
        <w:rPr>
          <w:szCs w:val="24"/>
        </w:rPr>
        <w:lastRenderedPageBreak/>
        <w:t xml:space="preserve">Всем пациентам при подозрении на МДС, а также после верификации заболевания в течение всего периода наблюдения и лечения МДС </w:t>
      </w:r>
      <w:r w:rsidRPr="006A377C">
        <w:rPr>
          <w:b/>
          <w:szCs w:val="24"/>
        </w:rPr>
        <w:t>рекомендуется</w:t>
      </w:r>
      <w:r w:rsidRPr="006A377C">
        <w:rPr>
          <w:szCs w:val="24"/>
        </w:rPr>
        <w:t xml:space="preserve"> </w:t>
      </w:r>
      <w:r w:rsidR="00961895">
        <w:rPr>
          <w:szCs w:val="24"/>
        </w:rPr>
        <w:t>выполнение</w:t>
      </w:r>
      <w:r w:rsidR="00961895" w:rsidRPr="006A377C">
        <w:rPr>
          <w:szCs w:val="24"/>
        </w:rPr>
        <w:t xml:space="preserve"> </w:t>
      </w:r>
      <w:r w:rsidRPr="006A377C">
        <w:rPr>
          <w:szCs w:val="24"/>
        </w:rPr>
        <w:t xml:space="preserve">общего </w:t>
      </w:r>
      <w:r w:rsidR="00961895">
        <w:rPr>
          <w:szCs w:val="24"/>
        </w:rPr>
        <w:t xml:space="preserve">(клинического) </w:t>
      </w:r>
      <w:r w:rsidRPr="006A377C">
        <w:rPr>
          <w:szCs w:val="24"/>
        </w:rPr>
        <w:t xml:space="preserve">анализа мочи для диагностики сопутствующей патологии, а также для оценки развития нефротоксичности на фоне проводимой терапии </w:t>
      </w:r>
      <w:r w:rsidRPr="006A377C">
        <w:rPr>
          <w:szCs w:val="24"/>
        </w:rPr>
        <w:fldChar w:fldCharType="begin" w:fldLock="1"/>
      </w:r>
      <w:r w:rsidR="00D530D2">
        <w:rPr>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id":"ITEM-2","itemData":{"author":[{"dropping-particle":"","family":"Ширин","given":"А.Д.","non-dropping-particle":"","parse-names":false,"suffix":""},{"dropping-particle":"","family":"Френкель","given":"М.А.","non-dropping-particle":"","parse-names":false,"suffix":""}],"container-title":"Клиническая онкогематология: руководство для врачей. Под ред. Волковой М.А.. 2-е изд., перераб. и доп.","id":"ITEM-2","issued":{"date-parts":[["2007"]]},"page":"502-551","title":"Миелодиспластические синдромы","type":"chapter"},"uris":["http://www.mendeley.com/documents/?uuid=9f2eca44-a3a8-4eb4-90b5-a52e4e769482"]}],"mendeley":{"formattedCitation":"[1,2]","plainTextFormattedCitation":"[1,2]","previouslyFormattedCitation":"[1,2]"},"properties":{"noteIndex":0},"schema":"https://github.com/citation-style-language/schema/raw/master/csl-citation.json"}</w:instrText>
      </w:r>
      <w:r w:rsidRPr="006A377C">
        <w:rPr>
          <w:szCs w:val="24"/>
        </w:rPr>
        <w:fldChar w:fldCharType="separate"/>
      </w:r>
      <w:r w:rsidR="00D530D2" w:rsidRPr="00D530D2">
        <w:rPr>
          <w:noProof/>
          <w:szCs w:val="24"/>
        </w:rPr>
        <w:t>[1,2]</w:t>
      </w:r>
      <w:r w:rsidRPr="006A377C">
        <w:rPr>
          <w:szCs w:val="24"/>
        </w:rPr>
        <w:fldChar w:fldCharType="end"/>
      </w:r>
      <w:r w:rsidRPr="006A377C">
        <w:rPr>
          <w:szCs w:val="24"/>
        </w:rPr>
        <w:t>.</w:t>
      </w:r>
    </w:p>
    <w:p w14:paraId="2DA625B8" w14:textId="77777777" w:rsidR="00F20CFD" w:rsidRPr="006A377C" w:rsidRDefault="00F20CFD" w:rsidP="007C78A6">
      <w:pPr>
        <w:ind w:left="709" w:hanging="1"/>
        <w:rPr>
          <w:b/>
          <w:szCs w:val="24"/>
        </w:rPr>
      </w:pPr>
      <w:r w:rsidRPr="006A377C">
        <w:rPr>
          <w:b/>
          <w:szCs w:val="24"/>
        </w:rPr>
        <w:t xml:space="preserve">Уровень убедительности рекомендаций </w:t>
      </w:r>
      <w:r w:rsidRPr="006A377C">
        <w:rPr>
          <w:b/>
          <w:szCs w:val="24"/>
          <w:lang w:val="en-US"/>
        </w:rPr>
        <w:t>C</w:t>
      </w:r>
      <w:r w:rsidRPr="006A377C">
        <w:rPr>
          <w:b/>
          <w:szCs w:val="24"/>
        </w:rPr>
        <w:t xml:space="preserve"> (уровень достоверности доказательств – 5)</w:t>
      </w:r>
    </w:p>
    <w:p w14:paraId="5A01CC86" w14:textId="77777777" w:rsidR="00F20CFD" w:rsidRPr="006A377C" w:rsidRDefault="00F20CFD" w:rsidP="007C78A6">
      <w:pPr>
        <w:ind w:left="709" w:hanging="1"/>
        <w:rPr>
          <w:b/>
          <w:i/>
          <w:szCs w:val="24"/>
        </w:rPr>
      </w:pPr>
      <w:r w:rsidRPr="006A377C">
        <w:rPr>
          <w:b/>
          <w:szCs w:val="24"/>
        </w:rPr>
        <w:t>Комментарии</w:t>
      </w:r>
      <w:r w:rsidRPr="006A377C">
        <w:rPr>
          <w:b/>
          <w:i/>
          <w:szCs w:val="24"/>
        </w:rPr>
        <w:t xml:space="preserve">: </w:t>
      </w:r>
      <w:r w:rsidRPr="006A377C">
        <w:rPr>
          <w:i/>
          <w:szCs w:val="24"/>
        </w:rPr>
        <w:t>частота исследования зависит от варианта МДС, клинических проявлений и проводимой терапии, и может колебаться от ежедневного исследования до ежегодного.</w:t>
      </w:r>
    </w:p>
    <w:p w14:paraId="121011DD" w14:textId="77777777" w:rsidR="00F20CFD" w:rsidRPr="006A377C" w:rsidRDefault="00F20CFD" w:rsidP="005F2F2B">
      <w:pPr>
        <w:pStyle w:val="aff"/>
        <w:numPr>
          <w:ilvl w:val="0"/>
          <w:numId w:val="16"/>
        </w:numPr>
        <w:ind w:left="709" w:hanging="425"/>
        <w:rPr>
          <w:szCs w:val="24"/>
        </w:rPr>
      </w:pPr>
      <w:r w:rsidRPr="006A377C">
        <w:rPr>
          <w:szCs w:val="24"/>
        </w:rPr>
        <w:t xml:space="preserve">Всем пациентам при подозрении на МДС, после верификации заболевания в течение всего периода наблюдения и лечения </w:t>
      </w:r>
      <w:r w:rsidRPr="006A377C">
        <w:rPr>
          <w:b/>
          <w:szCs w:val="24"/>
        </w:rPr>
        <w:t>рекомендуется</w:t>
      </w:r>
      <w:r w:rsidRPr="006A377C">
        <w:rPr>
          <w:szCs w:val="24"/>
        </w:rPr>
        <w:t xml:space="preserve"> выполнение биохимического</w:t>
      </w:r>
      <w:r w:rsidR="00961895">
        <w:rPr>
          <w:szCs w:val="24"/>
        </w:rPr>
        <w:t xml:space="preserve"> общетерапевтичекого</w:t>
      </w:r>
      <w:r w:rsidRPr="006A377C">
        <w:rPr>
          <w:szCs w:val="24"/>
        </w:rPr>
        <w:t xml:space="preserve"> анализа крови с определением уровня общего белка, альбуминов и глобулинов, мочевины, креатинина, билирубина общего, прямого и непрямого; аланинаминотрансферазы, аспартатаминотрансферазы, щелочной фосфатазы, лактатдегидрогеназы, уровня холестерина, триглицеридов, глюкозы для выявления сопутствующей патологии и определения тактики терапии МДС </w:t>
      </w:r>
      <w:r w:rsidRPr="006A377C">
        <w:rPr>
          <w:szCs w:val="24"/>
        </w:rPr>
        <w:fldChar w:fldCharType="begin" w:fldLock="1"/>
      </w:r>
      <w:r w:rsidR="00255EFA">
        <w:rPr>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id":"ITEM-2","itemData":{"author":[{"dropping-particle":"","family":"Ширин","given":"А.Д.","non-dropping-particle":"","parse-names":false,"suffix":""},{"dropping-particle":"","family":"Френкель","given":"М.А.","non-dropping-particle":"","parse-names":false,"suffix":""}],"container-title":"Клиническая онкогематология: руководство для врачей. Под ред. Волковой М.А.. 2-е изд., перераб. и доп.","id":"ITEM-2","issued":{"date-parts":[["2007"]]},"page":"502-551","title":"Миелодиспластические синдромы","type":"chapter"},"uris":["http://www.mendeley.com/documents/?uuid=9f2eca44-a3a8-4eb4-90b5-a52e4e769482"]},{"id":"ITEM-3","itemData":{"DOI":"10.1182/blood-2013-03-492884","ISSN":"1528-0020","PMID":"23980065","abstract":"Within the myelodysplastic syndrome (MDS) work package of the European LeukemiaNet, an Expert Panel was selected according to the framework elements of the National Institutes of Health Consensus Development Program. A systematic review of the literature was performed that included indexed original papers, indexed reviews and educational papers, and abstracts of conference proceedings. Guidelines were developed on the basis of a list of patient- and therapy-oriented questions, and recommendations were formulated and ranked according to the supporting level of evidence. MDSs should be classified according to the 2008 World Health Organization criteria. An accurate risk assessment requires the evaluation of not only disease-related factors but also of those related to extrahematologic comorbidity. The assessment of individual risk enables the identification of fit patients with a poor prognosis who are candidates for up-front intensive treatments, primarily allogeneic stem cell transplantation. A high proportion of MDS patients are not eligible for potentially curative treatment because of advanced age and/or clinically relevant comorbidities and poor performance status. In these patients, the therapeutic intervention is aimed at preventing cytopenia-related morbidity and preserving quality of life. A number of new agents are being developed for which the available evidence is not sufficient to recommend routine use. The inclusion of patients into prospective clinical trials is strongly recommended.","author":[{"dropping-particle":"","family":"Malcovati","given":"Luca","non-dropping-particle":"","parse-names":false,"suffix":""},{"dropping-particle":"","family":"Hellström-Lindberg","given":"Eva","non-dropping-particle":"","parse-names":false,"suffix":""},{"dropping-particle":"","family":"Bowen","given":"David","non-dropping-particle":"","parse-names":false,"suffix":""},{"dropping-particle":"","family":"Adès","given":"Lionel","non-dropping-particle":"","parse-names":false,"suffix":""},{"dropping-particle":"","family":"Cermak","given":"Jaroslav","non-dropping-particle":"","parse-names":false,"suffix":""},{"dropping-particle":"","family":"Cañizo","given":"Consuelo","non-dropping-particle":"Del","parse-names":false,"suffix":""},{"dropping-particle":"","family":"Porta","given":"Matteo G","non-dropping-particle":"Della","parse-names":false,"suffix":""},{"dropping-particle":"","family":"Fenaux","given":"Pierre","non-dropping-particle":"","parse-names":false,"suffix":""},{"dropping-particle":"","family":"Gattermann","given":"Norbert","non-dropping-particle":"","parse-names":false,"suffix":""},{"dropping-particle":"","family":"Germing","given":"Ulrich","non-dropping-particle":"","parse-names":false,"suffix":""},{"dropping-particle":"","family":"Jansen","given":"Joop H","non-dropping-particle":"","parse-names":false,"suffix":""},{"dropping-particle":"","family":"Mittelman","given":"Moshe","non-dropping-particle":"","parse-names":false,"suffix":""},{"dropping-particle":"","family":"Mufti","given":"Ghulam","non-dropping-particle":"","parse-names":false,"suffix":""},{"dropping-particle":"","family":"Platzbecker","given":"Uwe","non-dropping-particle":"","parse-names":false,"suffix":""},{"dropping-particle":"","family":"Sanz","given":"Guillermo F","non-dropping-particle":"","parse-names":false,"suffix":""},{"dropping-particle":"","family":"Selleslag","given":"Dominik","non-dropping-particle":"","parse-names":false,"suffix":""},{"dropping-particle":"","family":"Skov-Holm","given":"Mette","non-dropping-particle":"","parse-names":false,"suffix":""},{"dropping-particle":"","family":"Stauder","given":"Reinhard","non-dropping-particle":"","parse-names":false,"suffix":""},{"dropping-particle":"","family":"Symeonidis","given":"Argiris","non-dropping-particle":"","parse-names":false,"suffix":""},{"dropping-particle":"","family":"Loosdrecht","given":"Arjan A","non-dropping-particle":"van de","parse-names":false,"suffix":""},{"dropping-particle":"","family":"Witte","given":"Theo","non-dropping-particle":"de","parse-names":false,"suffix":""},{"dropping-particle":"","family":"Cazzola","given":"Mario","non-dropping-particle":"","parse-names":false,"suffix":""},{"dropping-particle":"","family":"European Leukemia Net","given":"","non-dropping-particle":"","parse-names":false,"suffix":""}],"container-title":"Blood","id":"ITEM-3","issue":"17","issued":{"date-parts":[["2013","10","24"]]},"page":"2943-64","title":"Diagnosis and treatment of primary myelodysplastic syndromes in adults: recommendations from the European LeukemiaNet.","type":"article-journal","volume":"122"},"uris":["http://www.mendeley.com/documents/?uuid=8d575a93-ae56-3e05-b1b4-97a7de4aac98"]},{"id":"ITEM-4","itemData":{"author":[{"dropping-particle":"","family":"Greenberg","given":"P.L.","non-dropping-particle":"","parse-names":false,"suffix":""},{"dropping-particle":"","family":"Stone","given":"Richard M.","non-dropping-particle":"","parse-names":false,"suffix":""},{"dropping-particle":"","family":"Al-Kali","given":"Aref","non-dropping-particle":"","parse-names":false,"suffix":""},{"dropping-particle":"","family":"Bejar","given":"Rafael","non-dropping-particle":"","parse-names":false,"suffix":""},{"dropping-particle":"","family":"Bennett","given":"John M.","non-dropping-particle":"","parse-names":false,"suffix":""}],"id":"ITEM-4","issued":{"date-parts":[["2019"]]},"title":"NCCN Clinical Practice Guidelines in Oncology. Myelodysplastic syndromes","type":"article"},"uris":["http://www.mendeley.com/documents/?uuid=42bd97a2-0774-4214-9691-f403cd4a21df"]}],"mendeley":{"formattedCitation":"[1,2,4,5]","plainTextFormattedCitation":"[1,2,4,5]","previouslyFormattedCitation":"[1,2,4,5]"},"properties":{"noteIndex":0},"schema":"https://github.com/citation-style-language/schema/raw/master/csl-citation.json"}</w:instrText>
      </w:r>
      <w:r w:rsidRPr="006A377C">
        <w:rPr>
          <w:szCs w:val="24"/>
        </w:rPr>
        <w:fldChar w:fldCharType="separate"/>
      </w:r>
      <w:r w:rsidR="007626C2" w:rsidRPr="007626C2">
        <w:rPr>
          <w:noProof/>
          <w:szCs w:val="24"/>
        </w:rPr>
        <w:t>[1,2,4,5]</w:t>
      </w:r>
      <w:r w:rsidRPr="006A377C">
        <w:rPr>
          <w:szCs w:val="24"/>
        </w:rPr>
        <w:fldChar w:fldCharType="end"/>
      </w:r>
      <w:r w:rsidRPr="006A377C">
        <w:rPr>
          <w:szCs w:val="24"/>
        </w:rPr>
        <w:t>.</w:t>
      </w:r>
    </w:p>
    <w:p w14:paraId="0D8A1551" w14:textId="77777777" w:rsidR="00F20CFD" w:rsidRPr="006A377C" w:rsidRDefault="00F20CFD" w:rsidP="007C78A6">
      <w:pPr>
        <w:ind w:left="709" w:hanging="1"/>
        <w:rPr>
          <w:b/>
          <w:szCs w:val="24"/>
        </w:rPr>
      </w:pPr>
      <w:r w:rsidRPr="006A377C">
        <w:rPr>
          <w:b/>
          <w:szCs w:val="24"/>
        </w:rPr>
        <w:t xml:space="preserve">Уровень убедительности рекомендаций </w:t>
      </w:r>
      <w:r w:rsidRPr="006A377C">
        <w:rPr>
          <w:b/>
          <w:szCs w:val="24"/>
          <w:lang w:val="en-US"/>
        </w:rPr>
        <w:t>C</w:t>
      </w:r>
      <w:r w:rsidRPr="006A377C">
        <w:rPr>
          <w:b/>
          <w:szCs w:val="24"/>
        </w:rPr>
        <w:t xml:space="preserve"> (уровень достоверности доказательств – 5)</w:t>
      </w:r>
    </w:p>
    <w:p w14:paraId="05608997" w14:textId="77777777" w:rsidR="00F20CFD" w:rsidRPr="006A377C" w:rsidRDefault="00F20CFD" w:rsidP="007C78A6">
      <w:pPr>
        <w:ind w:left="709" w:hanging="1"/>
        <w:rPr>
          <w:i/>
          <w:szCs w:val="24"/>
        </w:rPr>
      </w:pPr>
      <w:r w:rsidRPr="006A377C">
        <w:rPr>
          <w:b/>
          <w:szCs w:val="24"/>
        </w:rPr>
        <w:t xml:space="preserve">Комментарии: </w:t>
      </w:r>
      <w:r w:rsidRPr="006A377C">
        <w:rPr>
          <w:i/>
          <w:szCs w:val="24"/>
        </w:rPr>
        <w:t>верификация отклонений от нормальных значений поможет определить объем опухолевой массы, наличие признаков гемолиза и сопутствующей патологии, а также оценить развитие побочных явлений на фоне проводимой терапии.</w:t>
      </w:r>
      <w:r w:rsidRPr="006A377C">
        <w:rPr>
          <w:szCs w:val="24"/>
        </w:rPr>
        <w:t xml:space="preserve"> </w:t>
      </w:r>
      <w:r w:rsidRPr="006A377C">
        <w:rPr>
          <w:i/>
          <w:szCs w:val="24"/>
        </w:rPr>
        <w:t>Частота исследования зависит от варианта МДС, клинических проявлений и проводимой терапии и может колебаться от ежедневного исследования до ежеквартального.</w:t>
      </w:r>
    </w:p>
    <w:p w14:paraId="638B0C11" w14:textId="77777777" w:rsidR="00F20CFD" w:rsidRPr="006A377C" w:rsidRDefault="00F20CFD" w:rsidP="005F2F2B">
      <w:pPr>
        <w:pStyle w:val="aff"/>
        <w:numPr>
          <w:ilvl w:val="0"/>
          <w:numId w:val="16"/>
        </w:numPr>
        <w:ind w:left="709" w:hanging="425"/>
        <w:rPr>
          <w:szCs w:val="24"/>
        </w:rPr>
      </w:pPr>
      <w:r w:rsidRPr="006A377C">
        <w:rPr>
          <w:szCs w:val="24"/>
        </w:rPr>
        <w:t xml:space="preserve">Всем пациентам при подозрении на МДС, а также после верификации заболевания, во время всего периода наблюдения и лечения </w:t>
      </w:r>
      <w:r w:rsidRPr="006A377C">
        <w:rPr>
          <w:b/>
          <w:szCs w:val="24"/>
        </w:rPr>
        <w:t>рекомендуется</w:t>
      </w:r>
      <w:r w:rsidRPr="006A377C">
        <w:rPr>
          <w:szCs w:val="24"/>
        </w:rPr>
        <w:t xml:space="preserve"> исследование сывороточных показателей метаболизма железа (железо, общая железосвязывающая способность сыворотки, ферритин, трансферрин, насыщение трансферрина железом), с периодичностью 1 раз в 3–6 месяцев для оценки наличия или отсутствия дефицита железа, а также определения исходного уровня ферритина сыворотки крови и его изменения на фоне терапии, своевременного назначения хелаторной терапии и оценки ее эффективности</w:t>
      </w:r>
      <w:r w:rsidRPr="006A377C">
        <w:rPr>
          <w:i/>
          <w:szCs w:val="24"/>
        </w:rPr>
        <w:t xml:space="preserve"> </w:t>
      </w:r>
      <w:r w:rsidRPr="006A377C">
        <w:rPr>
          <w:szCs w:val="24"/>
        </w:rPr>
        <w:fldChar w:fldCharType="begin" w:fldLock="1"/>
      </w:r>
      <w:r w:rsidR="00255EFA">
        <w:rPr>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id":"ITEM-2","itemData":{"author":[{"dropping-particle":"","family":"Ширин","given":"А.Д.","non-dropping-particle":"","parse-names":false,"suffix":""},{"dropping-particle":"","family":"Френкель","given":"М.А.","non-dropping-particle":"","parse-names":false,"suffix":""}],"container-title":"Клиническая онкогематология: руководство для врачей. Под ред. Волковой М.А.. 2-е изд., перераб. и доп.","id":"ITEM-2","issued":{"date-parts":[["2007"]]},"page":"502-551","title":"Миелодиспластические синдромы","type":"chapter"},"uris":["http://www.mendeley.com/documents/?uuid=9f2eca44-a3a8-4eb4-90b5-a52e4e769482"]},{"id":"ITEM-3","itemData":{"DOI":"10.1182/blood-2013-03-492884","ISSN":"1528-0020","PMID":"23980065","abstract":"Within the myelodysplastic syndrome (MDS) work package of the European LeukemiaNet, an Expert Panel was selected according to the framework elements of the National Institutes of Health Consensus Development Program. A systematic review of the literature was performed that included indexed original papers, indexed reviews and educational papers, and abstracts of conference proceedings. Guidelines were developed on the basis of a list of patient- and therapy-oriented questions, and recommendations were formulated and ranked according to the supporting level of evidence. MDSs should be classified according to the 2008 World Health Organization criteria. An accurate risk assessment requires the evaluation of not only disease-related factors but also of those related to extrahematologic comorbidity. The assessment of individual risk enables the identification of fit patients with a poor prognosis who are candidates for up-front intensive treatments, primarily allogeneic stem cell transplantation. A high proportion of MDS patients are not eligible for potentially curative treatment because of advanced age and/or clinically relevant comorbidities and poor performance status. In these patients, the therapeutic intervention is aimed at preventing cytopenia-related morbidity and preserving quality of life. A number of new agents are being developed for which the available evidence is not sufficient to recommend routine use. The inclusion of patients into prospective clinical trials is strongly recommended.","author":[{"dropping-particle":"","family":"Malcovati","given":"Luca","non-dropping-particle":"","parse-names":false,"suffix":""},{"dropping-particle":"","family":"Hellström-Lindberg","given":"Eva","non-dropping-particle":"","parse-names":false,"suffix":""},{"dropping-particle":"","family":"Bowen","given":"David","non-dropping-particle":"","parse-names":false,"suffix":""},{"dropping-particle":"","family":"Adès","given":"Lionel","non-dropping-particle":"","parse-names":false,"suffix":""},{"dropping-particle":"","family":"Cermak","given":"Jaroslav","non-dropping-particle":"","parse-names":false,"suffix":""},{"dropping-particle":"","family":"Cañizo","given":"Consuelo","non-dropping-particle":"Del","parse-names":false,"suffix":""},{"dropping-particle":"","family":"Porta","given":"Matteo G","non-dropping-particle":"Della","parse-names":false,"suffix":""},{"dropping-particle":"","family":"Fenaux","given":"Pierre","non-dropping-particle":"","parse-names":false,"suffix":""},{"dropping-particle":"","family":"Gattermann","given":"Norbert","non-dropping-particle":"","parse-names":false,"suffix":""},{"dropping-particle":"","family":"Germing","given":"Ulrich","non-dropping-particle":"","parse-names":false,"suffix":""},{"dropping-particle":"","family":"Jansen","given":"Joop H","non-dropping-particle":"","parse-names":false,"suffix":""},{"dropping-particle":"","family":"Mittelman","given":"Moshe","non-dropping-particle":"","parse-names":false,"suffix":""},{"dropping-particle":"","family":"Mufti","given":"Ghulam","non-dropping-particle":"","parse-names":false,"suffix":""},{"dropping-particle":"","family":"Platzbecker","given":"Uwe","non-dropping-particle":"","parse-names":false,"suffix":""},{"dropping-particle":"","family":"Sanz","given":"Guillermo F","non-dropping-particle":"","parse-names":false,"suffix":""},{"dropping-particle":"","family":"Selleslag","given":"Dominik","non-dropping-particle":"","parse-names":false,"suffix":""},{"dropping-particle":"","family":"Skov-Holm","given":"Mette","non-dropping-particle":"","parse-names":false,"suffix":""},{"dropping-particle":"","family":"Stauder","given":"Reinhard","non-dropping-particle":"","parse-names":false,"suffix":""},{"dropping-particle":"","family":"Symeonidis","given":"Argiris","non-dropping-particle":"","parse-names":false,"suffix":""},{"dropping-particle":"","family":"Loosdrecht","given":"Arjan A","non-dropping-particle":"van de","parse-names":false,"suffix":""},{"dropping-particle":"","family":"Witte","given":"Theo","non-dropping-particle":"de","parse-names":false,"suffix":""},{"dropping-particle":"","family":"Cazzola","given":"Mario","non-dropping-particle":"","parse-names":false,"suffix":""},{"dropping-particle":"","family":"European Leukemia Net","given":"","non-dropping-particle":"","parse-names":false,"suffix":""}],"container-title":"Blood","id":"ITEM-3","issue":"17","issued":{"date-parts":[["2013","10","24"]]},"page":"2943-64","title":"Diagnosis and treatment of primary myelodysplastic syndromes in adults: recommendations from the European LeukemiaNet.","type":"article-journal","volume":"122"},"uris":["http://www.mendeley.com/documents/?uuid=8d575a93-ae56-3e05-b1b4-97a7de4aac98"]},{"id":"ITEM-4","itemData":{"author":[{"dropping-particle":"","family":"Greenberg","given":"P.L.","non-dropping-particle":"","parse-names":false,"suffix":""},{"dropping-particle":"","family":"Stone","given":"Richard M.","non-dropping-particle":"","parse-names":false,"suffix":""},{"dropping-particle":"","family":"Al-Kali","given":"Aref","non-dropping-particle":"","parse-names":false,"suffix":""},{"dropping-particle":"","family":"Bejar","given":"Rafael","non-dropping-particle":"","parse-names":false,"suffix":""},{"dropping-particle":"","family":"Bennett","given":"John M.","non-dropping-particle":"","parse-names":false,"suffix":""}],"id":"ITEM-4","issued":{"date-parts":[["2019"]]},"title":"NCCN Clinical Practice Guidelines in Oncology. Myelodysplastic syndromes","type":"article"},"uris":["http://www.mendeley.com/documents/?uuid=42bd97a2-0774-4214-9691-f403cd4a21df"]}],"mendeley":{"formattedCitation":"[1,2,4,5]","plainTextFormattedCitation":"[1,2,4,5]","previouslyFormattedCitation":"[1,2,4,5]"},"properties":{"noteIndex":0},"schema":"https://github.com/citation-style-language/schema/raw/master/csl-citation.json"}</w:instrText>
      </w:r>
      <w:r w:rsidRPr="006A377C">
        <w:rPr>
          <w:szCs w:val="24"/>
        </w:rPr>
        <w:fldChar w:fldCharType="separate"/>
      </w:r>
      <w:r w:rsidR="007626C2" w:rsidRPr="007626C2">
        <w:rPr>
          <w:noProof/>
          <w:szCs w:val="24"/>
        </w:rPr>
        <w:t>[1,2,4,5]</w:t>
      </w:r>
      <w:r w:rsidRPr="006A377C">
        <w:rPr>
          <w:szCs w:val="24"/>
        </w:rPr>
        <w:fldChar w:fldCharType="end"/>
      </w:r>
      <w:r w:rsidRPr="006A377C">
        <w:rPr>
          <w:szCs w:val="24"/>
        </w:rPr>
        <w:t>.</w:t>
      </w:r>
    </w:p>
    <w:p w14:paraId="685ADA70" w14:textId="77777777" w:rsidR="00F20CFD" w:rsidRPr="006A377C" w:rsidRDefault="00F20CFD" w:rsidP="007C78A6">
      <w:pPr>
        <w:pStyle w:val="aff"/>
        <w:ind w:left="709" w:hanging="1"/>
        <w:rPr>
          <w:szCs w:val="24"/>
        </w:rPr>
      </w:pPr>
      <w:r w:rsidRPr="006A377C">
        <w:rPr>
          <w:b/>
          <w:szCs w:val="24"/>
        </w:rPr>
        <w:t>Комментарии</w:t>
      </w:r>
      <w:r w:rsidRPr="006A377C">
        <w:rPr>
          <w:b/>
          <w:i/>
          <w:szCs w:val="24"/>
        </w:rPr>
        <w:t xml:space="preserve">: </w:t>
      </w:r>
      <w:r w:rsidRPr="006A377C">
        <w:rPr>
          <w:i/>
          <w:szCs w:val="24"/>
        </w:rPr>
        <w:t>при повышении ферритина сыворотки целесообразно определять концентрацию С-реактивного белка (СРБ) для исключения воспалительного характера изменений.</w:t>
      </w:r>
    </w:p>
    <w:p w14:paraId="007AFAF8" w14:textId="77777777" w:rsidR="00F20CFD" w:rsidRPr="006A377C" w:rsidRDefault="00F20CFD" w:rsidP="007C78A6">
      <w:pPr>
        <w:ind w:left="709" w:hanging="1"/>
        <w:rPr>
          <w:b/>
          <w:szCs w:val="24"/>
        </w:rPr>
      </w:pPr>
      <w:r w:rsidRPr="006A377C">
        <w:rPr>
          <w:b/>
          <w:szCs w:val="24"/>
        </w:rPr>
        <w:lastRenderedPageBreak/>
        <w:t xml:space="preserve">Уровень убедительности рекомендаций </w:t>
      </w:r>
      <w:r w:rsidRPr="006A377C">
        <w:rPr>
          <w:b/>
          <w:szCs w:val="24"/>
          <w:lang w:val="en-US"/>
        </w:rPr>
        <w:t>C</w:t>
      </w:r>
      <w:r w:rsidRPr="006A377C">
        <w:rPr>
          <w:b/>
          <w:szCs w:val="24"/>
        </w:rPr>
        <w:t xml:space="preserve"> (уровень достоверности доказательств – 5)</w:t>
      </w:r>
    </w:p>
    <w:p w14:paraId="08FAAE60" w14:textId="77777777" w:rsidR="00F20CFD" w:rsidRPr="006A377C" w:rsidRDefault="00F20CFD" w:rsidP="005F2F2B">
      <w:pPr>
        <w:pStyle w:val="aff"/>
        <w:numPr>
          <w:ilvl w:val="0"/>
          <w:numId w:val="16"/>
        </w:numPr>
        <w:ind w:left="709" w:hanging="425"/>
        <w:rPr>
          <w:szCs w:val="24"/>
        </w:rPr>
      </w:pPr>
      <w:r w:rsidRPr="006A377C">
        <w:rPr>
          <w:szCs w:val="24"/>
        </w:rPr>
        <w:t>Всем пациентам при подозрении на МДС</w:t>
      </w:r>
      <w:r w:rsidR="0077442B">
        <w:rPr>
          <w:szCs w:val="24"/>
        </w:rPr>
        <w:t>,</w:t>
      </w:r>
      <w:r w:rsidRPr="006A377C">
        <w:rPr>
          <w:szCs w:val="24"/>
        </w:rPr>
        <w:t xml:space="preserve"> после верификации диагноза в течение всего периода наблюдения и лечения </w:t>
      </w:r>
      <w:r w:rsidRPr="006A377C">
        <w:rPr>
          <w:b/>
          <w:szCs w:val="24"/>
        </w:rPr>
        <w:t>рекомендуется</w:t>
      </w:r>
      <w:r w:rsidRPr="006A377C">
        <w:rPr>
          <w:szCs w:val="24"/>
        </w:rPr>
        <w:t xml:space="preserve"> </w:t>
      </w:r>
      <w:r w:rsidR="005B7B49" w:rsidRPr="004D14FF">
        <w:rPr>
          <w:szCs w:val="24"/>
        </w:rPr>
        <w:t>о</w:t>
      </w:r>
      <w:r w:rsidR="005B7B49" w:rsidRPr="00255EFA">
        <w:rPr>
          <w:szCs w:val="24"/>
        </w:rPr>
        <w:t>пределение уровня витамина В12 (цианокобаламин)</w:t>
      </w:r>
      <w:r w:rsidR="0077442B">
        <w:rPr>
          <w:szCs w:val="24"/>
        </w:rPr>
        <w:t xml:space="preserve"> и </w:t>
      </w:r>
      <w:r w:rsidR="005B7B49" w:rsidRPr="00255EFA">
        <w:rPr>
          <w:szCs w:val="24"/>
        </w:rPr>
        <w:t xml:space="preserve"> фолиевой кислоты в сыворотке крови</w:t>
      </w:r>
      <w:r w:rsidR="005B7B49" w:rsidRPr="006A377C">
        <w:rPr>
          <w:szCs w:val="24"/>
        </w:rPr>
        <w:t xml:space="preserve"> </w:t>
      </w:r>
      <w:r w:rsidRPr="006A377C">
        <w:rPr>
          <w:szCs w:val="24"/>
        </w:rPr>
        <w:t>для оценки дефицита витаминов группы В и назначени</w:t>
      </w:r>
      <w:r w:rsidR="0077442B">
        <w:rPr>
          <w:szCs w:val="24"/>
        </w:rPr>
        <w:t>я</w:t>
      </w:r>
      <w:r w:rsidRPr="006A377C">
        <w:rPr>
          <w:szCs w:val="24"/>
        </w:rPr>
        <w:t xml:space="preserve"> соответствующей терапии</w:t>
      </w:r>
      <w:r w:rsidRPr="006A377C">
        <w:rPr>
          <w:i/>
          <w:szCs w:val="24"/>
        </w:rPr>
        <w:t xml:space="preserve"> </w:t>
      </w:r>
      <w:r w:rsidRPr="006A377C">
        <w:rPr>
          <w:szCs w:val="24"/>
        </w:rPr>
        <w:t xml:space="preserve">при их дефиците </w:t>
      </w:r>
      <w:r w:rsidRPr="006A377C">
        <w:rPr>
          <w:szCs w:val="24"/>
        </w:rPr>
        <w:fldChar w:fldCharType="begin" w:fldLock="1"/>
      </w:r>
      <w:r w:rsidR="00255EFA">
        <w:rPr>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id":"ITEM-2","itemData":{"author":[{"dropping-particle":"","family":"Ширин","given":"А.Д.","non-dropping-particle":"","parse-names":false,"suffix":""},{"dropping-particle":"","family":"Френкель","given":"М.А.","non-dropping-particle":"","parse-names":false,"suffix":""}],"container-title":"Клиническая онкогематология: руководство для врачей. Под ред. Волковой М.А.. 2-е изд., перераб. и доп.","id":"ITEM-2","issued":{"date-parts":[["2007"]]},"page":"502-551","title":"Миелодиспластические синдромы","type":"chapter"},"uris":["http://www.mendeley.com/documents/?uuid=9f2eca44-a3a8-4eb4-90b5-a52e4e769482"]},{"id":"ITEM-3","itemData":{"DOI":"10.1182/blood-2013-03-492884","ISSN":"1528-0020","PMID":"23980065","abstract":"Within the myelodysplastic syndrome (MDS) work package of the European LeukemiaNet, an Expert Panel was selected according to the framework elements of the National Institutes of Health Consensus Development Program. A systematic review of the literature was performed that included indexed original papers, indexed reviews and educational papers, and abstracts of conference proceedings. Guidelines were developed on the basis of a list of patient- and therapy-oriented questions, and recommendations were formulated and ranked according to the supporting level of evidence. MDSs should be classified according to the 2008 World Health Organization criteria. An accurate risk assessment requires the evaluation of not only disease-related factors but also of those related to extrahematologic comorbidity. The assessment of individual risk enables the identification of fit patients with a poor prognosis who are candidates for up-front intensive treatments, primarily allogeneic stem cell transplantation. A high proportion of MDS patients are not eligible for potentially curative treatment because of advanced age and/or clinically relevant comorbidities and poor performance status. In these patients, the therapeutic intervention is aimed at preventing cytopenia-related morbidity and preserving quality of life. A number of new agents are being developed for which the available evidence is not sufficient to recommend routine use. The inclusion of patients into prospective clinical trials is strongly recommended.","author":[{"dropping-particle":"","family":"Malcovati","given":"Luca","non-dropping-particle":"","parse-names":false,"suffix":""},{"dropping-particle":"","family":"Hellström-Lindberg","given":"Eva","non-dropping-particle":"","parse-names":false,"suffix":""},{"dropping-particle":"","family":"Bowen","given":"David","non-dropping-particle":"","parse-names":false,"suffix":""},{"dropping-particle":"","family":"Adès","given":"Lionel","non-dropping-particle":"","parse-names":false,"suffix":""},{"dropping-particle":"","family":"Cermak","given":"Jaroslav","non-dropping-particle":"","parse-names":false,"suffix":""},{"dropping-particle":"","family":"Cañizo","given":"Consuelo","non-dropping-particle":"Del","parse-names":false,"suffix":""},{"dropping-particle":"","family":"Porta","given":"Matteo G","non-dropping-particle":"Della","parse-names":false,"suffix":""},{"dropping-particle":"","family":"Fenaux","given":"Pierre","non-dropping-particle":"","parse-names":false,"suffix":""},{"dropping-particle":"","family":"Gattermann","given":"Norbert","non-dropping-particle":"","parse-names":false,"suffix":""},{"dropping-particle":"","family":"Germing","given":"Ulrich","non-dropping-particle":"","parse-names":false,"suffix":""},{"dropping-particle":"","family":"Jansen","given":"Joop H","non-dropping-particle":"","parse-names":false,"suffix":""},{"dropping-particle":"","family":"Mittelman","given":"Moshe","non-dropping-particle":"","parse-names":false,"suffix":""},{"dropping-particle":"","family":"Mufti","given":"Ghulam","non-dropping-particle":"","parse-names":false,"suffix":""},{"dropping-particle":"","family":"Platzbecker","given":"Uwe","non-dropping-particle":"","parse-names":false,"suffix":""},{"dropping-particle":"","family":"Sanz","given":"Guillermo F","non-dropping-particle":"","parse-names":false,"suffix":""},{"dropping-particle":"","family":"Selleslag","given":"Dominik","non-dropping-particle":"","parse-names":false,"suffix":""},{"dropping-particle":"","family":"Skov-Holm","given":"Mette","non-dropping-particle":"","parse-names":false,"suffix":""},{"dropping-particle":"","family":"Stauder","given":"Reinhard","non-dropping-particle":"","parse-names":false,"suffix":""},{"dropping-particle":"","family":"Symeonidis","given":"Argiris","non-dropping-particle":"","parse-names":false,"suffix":""},{"dropping-particle":"","family":"Loosdrecht","given":"Arjan A","non-dropping-particle":"van de","parse-names":false,"suffix":""},{"dropping-particle":"","family":"Witte","given":"Theo","non-dropping-particle":"de","parse-names":false,"suffix":""},{"dropping-particle":"","family":"Cazzola","given":"Mario","non-dropping-particle":"","parse-names":false,"suffix":""},{"dropping-particle":"","family":"European Leukemia Net","given":"","non-dropping-particle":"","parse-names":false,"suffix":""}],"container-title":"Blood","id":"ITEM-3","issue":"17","issued":{"date-parts":[["2013","10","24"]]},"page":"2943-64","title":"Diagnosis and treatment of primary myelodysplastic syndromes in adults: recommendations from the European LeukemiaNet.","type":"article-journal","volume":"122"},"uris":["http://www.mendeley.com/documents/?uuid=8d575a93-ae56-3e05-b1b4-97a7de4aac98"]},{"id":"ITEM-4","itemData":{"author":[{"dropping-particle":"","family":"Greenberg","given":"P.L.","non-dropping-particle":"","parse-names":false,"suffix":""},{"dropping-particle":"","family":"Stone","given":"Richard M.","non-dropping-particle":"","parse-names":false,"suffix":""},{"dropping-particle":"","family":"Al-Kali","given":"Aref","non-dropping-particle":"","parse-names":false,"suffix":""},{"dropping-particle":"","family":"Bejar","given":"Rafael","non-dropping-particle":"","parse-names":false,"suffix":""},{"dropping-particle":"","family":"Bennett","given":"John M.","non-dropping-particle":"","parse-names":false,"suffix":""}],"id":"ITEM-4","issued":{"date-parts":[["2019"]]},"title":"NCCN Clinical Practice Guidelines in Oncology. Myelodysplastic syndromes","type":"article"},"uris":["http://www.mendeley.com/documents/?uuid=42bd97a2-0774-4214-9691-f403cd4a21df"]}],"mendeley":{"formattedCitation":"[1,2,4,5]","plainTextFormattedCitation":"[1,2,4,5]","previouslyFormattedCitation":"[1,2,4,5]"},"properties":{"noteIndex":0},"schema":"https://github.com/citation-style-language/schema/raw/master/csl-citation.json"}</w:instrText>
      </w:r>
      <w:r w:rsidRPr="006A377C">
        <w:rPr>
          <w:szCs w:val="24"/>
        </w:rPr>
        <w:fldChar w:fldCharType="separate"/>
      </w:r>
      <w:r w:rsidR="007626C2" w:rsidRPr="007626C2">
        <w:rPr>
          <w:noProof/>
          <w:szCs w:val="24"/>
        </w:rPr>
        <w:t>[1,2,4,5]</w:t>
      </w:r>
      <w:r w:rsidRPr="006A377C">
        <w:rPr>
          <w:szCs w:val="24"/>
        </w:rPr>
        <w:fldChar w:fldCharType="end"/>
      </w:r>
      <w:r w:rsidRPr="006A377C">
        <w:rPr>
          <w:szCs w:val="24"/>
        </w:rPr>
        <w:t>.</w:t>
      </w:r>
    </w:p>
    <w:p w14:paraId="140047C9" w14:textId="77777777" w:rsidR="00F20CFD" w:rsidRDefault="00F20CFD" w:rsidP="007C78A6">
      <w:pPr>
        <w:ind w:left="709" w:hanging="1"/>
        <w:rPr>
          <w:b/>
          <w:szCs w:val="24"/>
        </w:rPr>
      </w:pPr>
      <w:r w:rsidRPr="006A377C">
        <w:rPr>
          <w:b/>
          <w:szCs w:val="24"/>
        </w:rPr>
        <w:t xml:space="preserve">Уровень убедительности рекомендаций </w:t>
      </w:r>
      <w:r w:rsidRPr="006A377C">
        <w:rPr>
          <w:b/>
          <w:szCs w:val="24"/>
          <w:lang w:val="en-US"/>
        </w:rPr>
        <w:t>C</w:t>
      </w:r>
      <w:r w:rsidRPr="006A377C">
        <w:rPr>
          <w:b/>
          <w:szCs w:val="24"/>
        </w:rPr>
        <w:t xml:space="preserve"> (уровень достоверности доказательств – 5)</w:t>
      </w:r>
    </w:p>
    <w:p w14:paraId="69CE9DC1" w14:textId="77777777" w:rsidR="0059374A" w:rsidRPr="00535CCC" w:rsidRDefault="0059374A" w:rsidP="007C78A6">
      <w:pPr>
        <w:ind w:left="709" w:hanging="1"/>
        <w:rPr>
          <w:b/>
          <w:i/>
          <w:szCs w:val="24"/>
        </w:rPr>
      </w:pPr>
      <w:r>
        <w:rPr>
          <w:b/>
          <w:szCs w:val="24"/>
        </w:rPr>
        <w:t xml:space="preserve">Комментарии: </w:t>
      </w:r>
      <w:r w:rsidRPr="00535CCC">
        <w:rPr>
          <w:i/>
          <w:szCs w:val="24"/>
        </w:rPr>
        <w:t>при проведении терапии МДС целесообразно определять знач</w:t>
      </w:r>
      <w:r>
        <w:rPr>
          <w:i/>
          <w:szCs w:val="24"/>
        </w:rPr>
        <w:t>е</w:t>
      </w:r>
      <w:r w:rsidRPr="0059374A">
        <w:rPr>
          <w:i/>
          <w:szCs w:val="24"/>
        </w:rPr>
        <w:t>н</w:t>
      </w:r>
      <w:r>
        <w:rPr>
          <w:i/>
          <w:szCs w:val="24"/>
        </w:rPr>
        <w:t>и</w:t>
      </w:r>
      <w:r w:rsidRPr="00535CCC">
        <w:rPr>
          <w:i/>
          <w:szCs w:val="24"/>
        </w:rPr>
        <w:t>я витамина В12 и фолиевой кислоты в сы</w:t>
      </w:r>
      <w:r>
        <w:rPr>
          <w:i/>
          <w:szCs w:val="24"/>
        </w:rPr>
        <w:t>в</w:t>
      </w:r>
      <w:r w:rsidRPr="00535CCC">
        <w:rPr>
          <w:i/>
          <w:szCs w:val="24"/>
        </w:rPr>
        <w:t>оротке крови от 1 до 4 раз в год.</w:t>
      </w:r>
    </w:p>
    <w:p w14:paraId="3686F25B" w14:textId="77777777" w:rsidR="00F20CFD" w:rsidRPr="006A377C" w:rsidRDefault="00F20CFD" w:rsidP="005F2F2B">
      <w:pPr>
        <w:pStyle w:val="aff"/>
        <w:numPr>
          <w:ilvl w:val="0"/>
          <w:numId w:val="16"/>
        </w:numPr>
        <w:ind w:left="709" w:hanging="425"/>
        <w:rPr>
          <w:b/>
          <w:szCs w:val="24"/>
        </w:rPr>
      </w:pPr>
      <w:r w:rsidRPr="006A377C">
        <w:rPr>
          <w:szCs w:val="24"/>
        </w:rPr>
        <w:t>Всем пациентам при верификации диагноза МДС из группы низкого риска</w:t>
      </w:r>
      <w:r w:rsidR="00255EFA">
        <w:rPr>
          <w:szCs w:val="24"/>
        </w:rPr>
        <w:t xml:space="preserve"> (см.</w:t>
      </w:r>
      <w:r w:rsidR="00B63F37">
        <w:rPr>
          <w:szCs w:val="24"/>
        </w:rPr>
        <w:t xml:space="preserve"> раздел 7.1 данных рекомендаций</w:t>
      </w:r>
      <w:r w:rsidR="00255EFA">
        <w:rPr>
          <w:szCs w:val="24"/>
        </w:rPr>
        <w:t>)</w:t>
      </w:r>
      <w:r w:rsidRPr="006A377C">
        <w:rPr>
          <w:szCs w:val="24"/>
        </w:rPr>
        <w:t xml:space="preserve"> </w:t>
      </w:r>
      <w:r w:rsidRPr="006A377C">
        <w:rPr>
          <w:b/>
          <w:szCs w:val="24"/>
        </w:rPr>
        <w:t>рекомендуется,</w:t>
      </w:r>
      <w:r w:rsidRPr="006A377C">
        <w:rPr>
          <w:szCs w:val="24"/>
        </w:rPr>
        <w:t xml:space="preserve"> до начала трансфузионной терапии эритроцитсодержащими компонентами, исследование </w:t>
      </w:r>
      <w:r w:rsidR="00CA3997" w:rsidRPr="00255EFA">
        <w:rPr>
          <w:szCs w:val="24"/>
        </w:rPr>
        <w:t>уровня эритропоэтина крови</w:t>
      </w:r>
      <w:r w:rsidR="00CA3997">
        <w:rPr>
          <w:rFonts w:ascii="Arial" w:hAnsi="Arial" w:cs="Arial"/>
          <w:color w:val="333333"/>
          <w:sz w:val="21"/>
          <w:szCs w:val="21"/>
          <w:shd w:val="clear" w:color="auto" w:fill="FFFFFF"/>
        </w:rPr>
        <w:t xml:space="preserve"> </w:t>
      </w:r>
      <w:r w:rsidRPr="006A377C">
        <w:rPr>
          <w:szCs w:val="24"/>
        </w:rPr>
        <w:t xml:space="preserve">для определения тактики терапии, в частности, возможности назначения эритропоэзстимулирующих препаратов (ЭПСП) для пациентов с анемиями </w:t>
      </w:r>
      <w:r w:rsidRPr="006A377C">
        <w:rPr>
          <w:szCs w:val="24"/>
        </w:rPr>
        <w:fldChar w:fldCharType="begin" w:fldLock="1"/>
      </w:r>
      <w:r w:rsidR="00255EFA">
        <w:rPr>
          <w:szCs w:val="24"/>
        </w:rPr>
        <w:instrText>ADDIN CSL_CITATION {"citationItems":[{"id":"ITEM-1","itemData":{"DOI":"10.1046/j.1365-2141.1997.4013211.x","ISSN":"0007-1048","PMID":"9375752","abstract":"Previous studies have shown that approximately 40% of patients with myelodysplastic syndrome (MDS) and anaemia respond to treatment with human recombinant granulocyte-CSF (G-CSF) plus erythropoietin (epo). The present study was designed to investigate pre-treatment variables for their ability to predict erythroid responses to this treatment. 98 patients with MDS (30 RA, 31 RARS, 32 RAEB, five RAEB-t) were treated with a combination of G-CSF (0.3-3.0 microg/kg/d, s.c.) and epo (60-300 U/kg/d, s.c.) for at least 10 weeks. Minimum criteria for erythroid response was a 100% reduction of red blood cell (RBC) transfusion need or an increase in haemoglobin level of &gt; or = 1.5 g/dl. 35 patients (36%) showed responses to treatment. Medium duration of response was 11-24 months. In multivariate analysis, serum erythropoietin levels and initial RBC-transfusion need retained high statistical significance (P &lt; 0.01). Using pre-treatment serum epo levels as a ternary variable (&lt; 100, 100-500 or &gt; 500 U/l) and RBC transfusion need as a binary variable (&lt; 2 or &gt; or = 2 units per month), the analysis provided a predictive score for erythroid response. This score divided patients into three groups: one group with a high probability of erythroid responses (74%), one intermediate group (23%) and one group with poor responses to treatment (7%). This predictive scoring system could be used in decisions regarding use of these cytokines for treating the anaemia of MDS, both for defining patients who should not be given the treatment and for selecting patients for inclusion in prospective trials.","author":[{"dropping-particle":"","family":"Hellström-Lindberg","given":"E","non-dropping-particle":"","parse-names":false,"suffix":""},{"dropping-particle":"","family":"Negrin","given":"R","non-dropping-particle":"","parse-names":false,"suffix":""},{"dropping-particle":"","family":"Stein","given":"R","non-dropping-particle":"","parse-names":false,"suffix":""},{"dropping-particle":"","family":"Krantz","given":"S","non-dropping-particle":"","parse-names":false,"suffix":""},{"dropping-particle":"","family":"Lindberg","given":"G","non-dropping-particle":"","parse-names":false,"suffix":""},{"dropping-particle":"","family":"Vardiman","given":"J","non-dropping-particle":"","parse-names":false,"suffix":""},{"dropping-particle":"","family":"Ost","given":"A","non-dropping-particle":"","parse-names":false,"suffix":""},{"dropping-particle":"","family":"Greenberg","given":"P","non-dropping-particle":"","parse-names":false,"suffix":""}],"container-title":"British journal of haematology","id":"ITEM-1","issue":"2","issued":{"date-parts":[["1997","11"]]},"page":"344-51","title":"Erythroid response to treatment with G-CSF plus erythropoietin for the anaemia of patients with myelodysplastic syndromes: proposal for a predictive model.","type":"article-journal","volume":"99"},"uris":["http://www.mendeley.com/documents/?uuid=c927aba2-af9f-3be8-a819-673b8c39d7c1"]}],"mendeley":{"formattedCitation":"[13]","plainTextFormattedCitation":"[13]","previouslyFormattedCitation":"[13]"},"properties":{"noteIndex":0},"schema":"https://github.com/citation-style-language/schema/raw/master/csl-citation.json"}</w:instrText>
      </w:r>
      <w:r w:rsidRPr="006A377C">
        <w:rPr>
          <w:szCs w:val="24"/>
        </w:rPr>
        <w:fldChar w:fldCharType="separate"/>
      </w:r>
      <w:r w:rsidR="00255EFA" w:rsidRPr="00255EFA">
        <w:rPr>
          <w:noProof/>
          <w:szCs w:val="24"/>
        </w:rPr>
        <w:t>[13]</w:t>
      </w:r>
      <w:r w:rsidRPr="006A377C">
        <w:rPr>
          <w:szCs w:val="24"/>
        </w:rPr>
        <w:fldChar w:fldCharType="end"/>
      </w:r>
      <w:r w:rsidRPr="006A377C">
        <w:rPr>
          <w:szCs w:val="24"/>
        </w:rPr>
        <w:t>.</w:t>
      </w:r>
    </w:p>
    <w:p w14:paraId="720C6B2A" w14:textId="77777777" w:rsidR="00F20CFD" w:rsidRPr="006A377C" w:rsidRDefault="00F20CFD" w:rsidP="007C78A6">
      <w:pPr>
        <w:ind w:left="709" w:hanging="1"/>
        <w:rPr>
          <w:b/>
          <w:szCs w:val="24"/>
        </w:rPr>
      </w:pPr>
      <w:r w:rsidRPr="00EC74B2">
        <w:rPr>
          <w:b/>
          <w:szCs w:val="24"/>
        </w:rPr>
        <w:t xml:space="preserve">Уровень убедительности рекомендаций </w:t>
      </w:r>
      <w:r w:rsidRPr="00EC74B2">
        <w:rPr>
          <w:b/>
          <w:szCs w:val="24"/>
          <w:lang w:val="en-US"/>
        </w:rPr>
        <w:t>A</w:t>
      </w:r>
      <w:r w:rsidRPr="00EC74B2">
        <w:rPr>
          <w:b/>
          <w:szCs w:val="24"/>
        </w:rPr>
        <w:t xml:space="preserve"> (уровень достоверности доказательств – </w:t>
      </w:r>
      <w:r w:rsidR="00C91043" w:rsidRPr="00EC74B2">
        <w:rPr>
          <w:b/>
          <w:szCs w:val="24"/>
        </w:rPr>
        <w:t>2</w:t>
      </w:r>
      <w:r w:rsidRPr="00EC74B2">
        <w:rPr>
          <w:b/>
          <w:szCs w:val="24"/>
        </w:rPr>
        <w:t>)</w:t>
      </w:r>
    </w:p>
    <w:p w14:paraId="61782FDA" w14:textId="77777777" w:rsidR="00F20CFD" w:rsidRPr="006A377C" w:rsidRDefault="00F20CFD" w:rsidP="005F2F2B">
      <w:pPr>
        <w:pStyle w:val="aff"/>
        <w:numPr>
          <w:ilvl w:val="0"/>
          <w:numId w:val="16"/>
        </w:numPr>
        <w:ind w:left="709" w:hanging="425"/>
        <w:rPr>
          <w:b/>
          <w:szCs w:val="24"/>
        </w:rPr>
      </w:pPr>
      <w:r w:rsidRPr="006A377C">
        <w:rPr>
          <w:szCs w:val="24"/>
        </w:rPr>
        <w:t xml:space="preserve">Всем пациентам для верификации диагноза МДС и на всем протяжении наблюдения при появлении клинико-лабораторной картины развития гемолитической анемии </w:t>
      </w:r>
      <w:r w:rsidRPr="006A377C">
        <w:rPr>
          <w:b/>
          <w:szCs w:val="24"/>
        </w:rPr>
        <w:t>рекомендуется</w:t>
      </w:r>
      <w:r w:rsidRPr="006A377C">
        <w:rPr>
          <w:szCs w:val="24"/>
        </w:rPr>
        <w:t xml:space="preserve"> выполнение прямой пробы Кумбса и исследование</w:t>
      </w:r>
      <w:r w:rsidR="004D14FF">
        <w:rPr>
          <w:szCs w:val="24"/>
        </w:rPr>
        <w:t xml:space="preserve"> уровня</w:t>
      </w:r>
      <w:r w:rsidRPr="006A377C">
        <w:rPr>
          <w:szCs w:val="24"/>
        </w:rPr>
        <w:t xml:space="preserve"> гаптоглобина</w:t>
      </w:r>
      <w:r w:rsidR="004D14FF">
        <w:rPr>
          <w:szCs w:val="24"/>
        </w:rPr>
        <w:t xml:space="preserve"> крови</w:t>
      </w:r>
      <w:r w:rsidRPr="006A377C">
        <w:rPr>
          <w:szCs w:val="24"/>
        </w:rPr>
        <w:t xml:space="preserve"> </w:t>
      </w:r>
      <w:r w:rsidRPr="006A377C">
        <w:rPr>
          <w:szCs w:val="24"/>
        </w:rPr>
        <w:fldChar w:fldCharType="begin" w:fldLock="1"/>
      </w:r>
      <w:r w:rsidR="00255EFA">
        <w:rPr>
          <w:szCs w:val="24"/>
        </w:rPr>
        <w:instrText>ADDIN CSL_CITATION {"citationItems":[{"id":"ITEM-1","itemData":{"DOI":"10.1016/j.autrev.2018.07.009","ISSN":"1873-0183","PMID":"30408583","abstract":"BACKGROUND We conducted a monocentric retrospective study of patients with myelodysplastic syndromes (MDS) and autoimmune or inflammatory disorders (AIMs) and a literature review. We analyzed the association with subgroups of the WHO 2016 MDS classification and patient's survival in a case control study. Risk factors associated with survival were analyzed by uni- and multivariate analysis. RESULTS From all MDS patients 11% presented with AIMs. These were heterogeneous and the most frequent where polyarthritis (25%) and autoimmune cytopenias (17%). No difference for frequency and type of AIMs was observed for the WHO 2016 MDS subgroups (p = .3). In the case control study WHO classification, karyotype abnormalities, IPSS-R and IPSS were similar in both groups. The overall survival from MDS diagnosis was better in the group with AIMs [10.3 ± 0.6 (IC95% 6.2-12.9) versus 4.8 ± 1.1 years (IC95% 4.2-8.7), p = .04]. The better survival was restricted to MDS with low or intermediate-1 IPSS [11.1 ± 1.5 (IC95% 9.9-NR) versus 8.7 ± 1.3 years (IC95% 4.8-10.3), p = .006]. The better survival was only observed when AIMs diagnosis was timely associated or appeared after MDS diagnosis (p = .04). Factors associated with a better overall survival and survival without AML were steroid dependence [respectively HR = 0.042, p = .003, (IC95% 0.005-0.33) and HR = 0.07, p = .002, (IC95% 0.013-0.39)], a diagnosis of AIMs and MDS timely associated [respectively HR = 0.05, p = .009, (IC95% 0.006-0.478) and HR = 0.1, p = .008, (IC95% 0.018-0.54)] or a diagnosis of AIMs after MDS [respectively HR = 0.024, p = .009, (IC95% 0.001-0.39) and HR = 0.04, p = .008, (IC95% 0.003-0.43)]. CONCLUSION Autoimmune and inflammatory diseases associated to MDS are heterogeneous. AIMs diagnosed after or concomitantly to MDS seems associated with a better survival. Prospective studies are necessary to demonstrate that autoimmunity is associated to a better control of the MDS clone.","author":[{"dropping-particle":"","family":"Seguier","given":"Julie","non-dropping-particle":"","parse-names":false,"suffix":""},{"dropping-particle":"","family":"Gelsi-Boyer","given":"Véronique","non-dropping-particle":"","parse-names":false,"suffix":""},{"dropping-particle":"","family":"Ebbo","given":"Mikael","non-dropping-particle":"","parse-names":false,"suffix":""},{"dropping-particle":"","family":"Hamidou","given":"Zeinab","non-dropping-particle":"","parse-names":false,"suffix":""},{"dropping-particle":"","family":"Charbonnier","given":"Aude","non-dropping-particle":"","parse-names":false,"suffix":""},{"dropping-particle":"","family":"Bernit","given":"Emmanuelle","non-dropping-particle":"","parse-names":false,"suffix":""},{"dropping-particle":"","family":"Durand","given":"Jean-Marc","non-dropping-particle":"","parse-names":false,"suffix":""},{"dropping-particle":"","family":"Harlé","given":"Jean-Robert","non-dropping-particle":"","parse-names":false,"suffix":""},{"dropping-particle":"","family":"Vey","given":"Norbert","non-dropping-particle":"","parse-names":false,"suffix":""},{"dropping-particle":"","family":"Schleinitz","given":"Nicolas","non-dropping-particle":"","parse-names":false,"suffix":""}],"container-title":"Autoimmunity reviews","id":"ITEM-1","issue":"1","issued":{"date-parts":[["2019","1"]]},"page":"36-42","title":"Autoimmune diseases in myelodysplastic syndrome favors patients survival: A case control study and literature review.","type":"article-journal","volume":"18"},"uris":["http://www.mendeley.com/documents/?uuid=2ee9b9fb-9d56-3dde-871b-d69c8bed98b8"]}],"mendeley":{"formattedCitation":"[14]","plainTextFormattedCitation":"[14]","previouslyFormattedCitation":"[14]"},"properties":{"noteIndex":0},"schema":"https://github.com/citation-style-language/schema/raw/master/csl-citation.json"}</w:instrText>
      </w:r>
      <w:r w:rsidRPr="006A377C">
        <w:rPr>
          <w:szCs w:val="24"/>
        </w:rPr>
        <w:fldChar w:fldCharType="separate"/>
      </w:r>
      <w:r w:rsidR="00255EFA" w:rsidRPr="00255EFA">
        <w:rPr>
          <w:noProof/>
          <w:szCs w:val="24"/>
        </w:rPr>
        <w:t>[14]</w:t>
      </w:r>
      <w:r w:rsidRPr="006A377C">
        <w:rPr>
          <w:szCs w:val="24"/>
        </w:rPr>
        <w:fldChar w:fldCharType="end"/>
      </w:r>
      <w:r w:rsidRPr="006A377C">
        <w:rPr>
          <w:szCs w:val="24"/>
          <w:lang w:val="en-US"/>
        </w:rPr>
        <w:t>.</w:t>
      </w:r>
    </w:p>
    <w:p w14:paraId="5AD0B94D" w14:textId="77777777" w:rsidR="00F20CFD" w:rsidRPr="006A377C" w:rsidRDefault="00F20CFD" w:rsidP="007C78A6">
      <w:pPr>
        <w:pStyle w:val="aff"/>
        <w:ind w:left="709" w:hanging="1"/>
        <w:rPr>
          <w:b/>
          <w:szCs w:val="24"/>
        </w:rPr>
      </w:pPr>
      <w:r w:rsidRPr="006A377C">
        <w:rPr>
          <w:b/>
          <w:szCs w:val="24"/>
        </w:rPr>
        <w:t xml:space="preserve">Уровень убедительности рекомендаций </w:t>
      </w:r>
      <w:r w:rsidR="009702CE">
        <w:rPr>
          <w:b/>
          <w:szCs w:val="24"/>
          <w:lang w:val="en-US"/>
        </w:rPr>
        <w:t>B</w:t>
      </w:r>
      <w:r w:rsidRPr="006A377C">
        <w:rPr>
          <w:b/>
          <w:szCs w:val="24"/>
        </w:rPr>
        <w:t xml:space="preserve"> (уровень достоверности доказательств – </w:t>
      </w:r>
      <w:r w:rsidR="009702CE">
        <w:rPr>
          <w:b/>
          <w:szCs w:val="24"/>
        </w:rPr>
        <w:t>3</w:t>
      </w:r>
      <w:r w:rsidRPr="006A377C">
        <w:rPr>
          <w:b/>
          <w:szCs w:val="24"/>
        </w:rPr>
        <w:t>)</w:t>
      </w:r>
    </w:p>
    <w:p w14:paraId="1461A986" w14:textId="77777777" w:rsidR="00F20CFD" w:rsidRPr="006A377C" w:rsidRDefault="00F20CFD" w:rsidP="007C78A6">
      <w:pPr>
        <w:ind w:left="709" w:hanging="1"/>
        <w:rPr>
          <w:b/>
          <w:i/>
          <w:szCs w:val="24"/>
        </w:rPr>
      </w:pPr>
      <w:r w:rsidRPr="006A377C">
        <w:rPr>
          <w:b/>
          <w:szCs w:val="24"/>
        </w:rPr>
        <w:t xml:space="preserve">Комментарии: </w:t>
      </w:r>
      <w:r w:rsidRPr="006A377C">
        <w:rPr>
          <w:i/>
          <w:szCs w:val="24"/>
        </w:rPr>
        <w:t>при появлении клинико-лабораторной картины развития гемолитической анемии необходимо исключить аутоиммунный характер изменений.</w:t>
      </w:r>
    </w:p>
    <w:p w14:paraId="01B13866" w14:textId="77777777" w:rsidR="00F20CFD" w:rsidRPr="006A377C" w:rsidRDefault="00F20CFD" w:rsidP="005F2F2B">
      <w:pPr>
        <w:pStyle w:val="aff"/>
        <w:numPr>
          <w:ilvl w:val="0"/>
          <w:numId w:val="16"/>
        </w:numPr>
        <w:ind w:left="709" w:hanging="425"/>
        <w:rPr>
          <w:szCs w:val="24"/>
        </w:rPr>
      </w:pPr>
      <w:r w:rsidRPr="006A377C">
        <w:rPr>
          <w:szCs w:val="24"/>
        </w:rPr>
        <w:t xml:space="preserve">Пациентам с количеством бластных клеток в КМ менее 5%, а также при наличии клинико-лабораторных признаков внутрисосудистого гемолиза при верификации диагноза МДС, а также при их появлении в период наблюдения и лечения </w:t>
      </w:r>
      <w:r w:rsidRPr="006A377C">
        <w:rPr>
          <w:b/>
          <w:szCs w:val="24"/>
        </w:rPr>
        <w:t>рекомендуется</w:t>
      </w:r>
      <w:r w:rsidRPr="006A377C">
        <w:rPr>
          <w:szCs w:val="24"/>
        </w:rPr>
        <w:t xml:space="preserve"> исследование крови методом проточной цитофлуориметрии для выявления клона клеток</w:t>
      </w:r>
      <w:r w:rsidR="0095528A">
        <w:rPr>
          <w:szCs w:val="24"/>
        </w:rPr>
        <w:t xml:space="preserve"> пароксизмальной ночной</w:t>
      </w:r>
      <w:r w:rsidR="0095528A" w:rsidRPr="006A377C">
        <w:rPr>
          <w:szCs w:val="24"/>
        </w:rPr>
        <w:t xml:space="preserve"> гемоглобинури</w:t>
      </w:r>
      <w:r w:rsidR="0095528A">
        <w:rPr>
          <w:szCs w:val="24"/>
        </w:rPr>
        <w:t>и</w:t>
      </w:r>
      <w:r w:rsidRPr="006A377C">
        <w:rPr>
          <w:szCs w:val="24"/>
        </w:rPr>
        <w:t xml:space="preserve"> </w:t>
      </w:r>
      <w:r w:rsidR="0095528A">
        <w:rPr>
          <w:szCs w:val="24"/>
        </w:rPr>
        <w:t>(</w:t>
      </w:r>
      <w:r w:rsidRPr="006A377C">
        <w:rPr>
          <w:szCs w:val="24"/>
        </w:rPr>
        <w:t>ПНГ</w:t>
      </w:r>
      <w:r w:rsidR="0095528A">
        <w:rPr>
          <w:szCs w:val="24"/>
        </w:rPr>
        <w:t>)</w:t>
      </w:r>
      <w:r w:rsidRPr="006A377C">
        <w:rPr>
          <w:szCs w:val="24"/>
        </w:rPr>
        <w:t xml:space="preserve"> </w:t>
      </w:r>
      <w:r w:rsidRPr="006A377C">
        <w:rPr>
          <w:szCs w:val="24"/>
        </w:rPr>
        <w:fldChar w:fldCharType="begin" w:fldLock="1"/>
      </w:r>
      <w:r w:rsidR="00255EFA">
        <w:rPr>
          <w:szCs w:val="24"/>
        </w:rPr>
        <w:instrText>ADDIN CSL_CITATION {"citationItems":[{"id":"ITEM-1","itemData":{"DOI":"10.1182/blood-2002-03-0799","ISSN":"00064971","abstract":"A minor population of blood cells deficient of glycosylphosphatidylinositol (GPI)-anchored membrane proteins is often detected in patients with aplastic anemia (AA), though the clinical significance of such paroxysmal nocturnal hemoglobinuria (PNH)-type cells remains unclear. To clarify this issue, we studied 164 patients with myelodysplastic syndrome (MDS) for the presence of CD55(-)CD59(-) granulocytes and red blood cells using sensitive flow cytometry. Among the different subgroups of MDS, a significant increase (ie, at least 0.003%) of PNH-type cells was detected in 21 of 119 patients with refractory anemia (RA); this frequency (17.6%) of RA patients with increased PNH-type cells (PNH(+) patients) was much lower than what we previously reported (52.0%) for AA patients. PNH(+) RA patients had distinct clinical features compared with RA patients without increased PNH-type cells (PNH(-) patients), such as less pronounced morphologic abnormality of blood cells, more severe thrombocytopenia, lower rates of karyotypic abnormality (4.8% vs 32.8%) and of progression to acute leukemia (0% vs 6.2%), higher probability of response to cyclosporine therapy (77.8% vs 0%), and higher incidence of HLA-DR15 (90.5% vs 18.5%). These data indicate that the presence of a minor population of PNH-type cells suggests a benign type of bone marrow failure, probably caused by an immunologic mechanism. To choose an appropriate therapy, peripheral blood should be tested using sensitive flow cytometry for the presence of PNH-type cells in all patients with bone marrow failure before treatment.","author":[{"dropping-particle":"","family":"Wang","given":"Hongbo","non-dropping-particle":"","parse-names":false,"suffix":""},{"dropping-particle":"","family":"Chuhjo","given":"Tatsuya","non-dropping-particle":"","parse-names":false,"suffix":""},{"dropping-particle":"","family":"Yasue","given":"Shizuka","non-dropping-particle":"","parse-names":false,"suffix":""},{"dropping-particle":"","family":"Omine","given":"Mitsuhiro","non-dropping-particle":"","parse-names":false,"suffix":""},{"dropping-particle":"","family":"Nakao","given":"Shinji","non-dropping-particle":"","parse-names":false,"suffix":""}],"container-title":"Blood","id":"ITEM-1","issue":"12","issued":{"date-parts":[["2002","12","1"]]},"page":"3897-3902","title":"Clinical significance of a minor population of paroxysmal nocturnal hemoglobinuria-type cells in bone marrow failure syndrome","type":"article-journal","volume":"100"},"uris":["http://www.mendeley.com/documents/?uuid=529c39e5-1d0a-3762-911e-298ccbc0bfe8"]}],"mendeley":{"formattedCitation":"[15]","plainTextFormattedCitation":"[15]","previouslyFormattedCitation":"[15]"},"properties":{"noteIndex":0},"schema":"https://github.com/citation-style-language/schema/raw/master/csl-citation.json"}</w:instrText>
      </w:r>
      <w:r w:rsidRPr="006A377C">
        <w:rPr>
          <w:szCs w:val="24"/>
        </w:rPr>
        <w:fldChar w:fldCharType="separate"/>
      </w:r>
      <w:r w:rsidR="00255EFA" w:rsidRPr="00255EFA">
        <w:rPr>
          <w:noProof/>
          <w:szCs w:val="24"/>
        </w:rPr>
        <w:t>[15]</w:t>
      </w:r>
      <w:r w:rsidRPr="006A377C">
        <w:rPr>
          <w:szCs w:val="24"/>
        </w:rPr>
        <w:fldChar w:fldCharType="end"/>
      </w:r>
      <w:r w:rsidRPr="006A377C">
        <w:rPr>
          <w:szCs w:val="24"/>
        </w:rPr>
        <w:t>.</w:t>
      </w:r>
    </w:p>
    <w:p w14:paraId="06CD55CF" w14:textId="77777777" w:rsidR="00F20CFD" w:rsidRPr="006A377C" w:rsidRDefault="00F20CFD" w:rsidP="007C78A6">
      <w:pPr>
        <w:ind w:left="709" w:hanging="1"/>
        <w:rPr>
          <w:b/>
          <w:szCs w:val="24"/>
        </w:rPr>
      </w:pPr>
      <w:r w:rsidRPr="006A377C">
        <w:rPr>
          <w:b/>
          <w:szCs w:val="24"/>
        </w:rPr>
        <w:t xml:space="preserve">Уровень убедительности рекомендаций </w:t>
      </w:r>
      <w:r w:rsidR="0095528A">
        <w:rPr>
          <w:b/>
          <w:szCs w:val="24"/>
        </w:rPr>
        <w:t>С</w:t>
      </w:r>
      <w:r w:rsidRPr="006A377C">
        <w:rPr>
          <w:b/>
          <w:szCs w:val="24"/>
        </w:rPr>
        <w:t xml:space="preserve"> (уровень достоверности доказательств – </w:t>
      </w:r>
      <w:r w:rsidR="0095528A">
        <w:rPr>
          <w:b/>
          <w:szCs w:val="24"/>
        </w:rPr>
        <w:t>4</w:t>
      </w:r>
      <w:r w:rsidRPr="006A377C">
        <w:rPr>
          <w:b/>
          <w:szCs w:val="24"/>
        </w:rPr>
        <w:t>)</w:t>
      </w:r>
    </w:p>
    <w:p w14:paraId="0E6194E3" w14:textId="77777777" w:rsidR="00F20CFD" w:rsidRPr="006A377C" w:rsidRDefault="00F20CFD" w:rsidP="007C78A6">
      <w:pPr>
        <w:ind w:left="709" w:hanging="1"/>
        <w:rPr>
          <w:i/>
          <w:szCs w:val="24"/>
        </w:rPr>
      </w:pPr>
      <w:r w:rsidRPr="006A377C">
        <w:rPr>
          <w:b/>
          <w:szCs w:val="24"/>
        </w:rPr>
        <w:lastRenderedPageBreak/>
        <w:t>Комментарии</w:t>
      </w:r>
      <w:r w:rsidRPr="006A377C">
        <w:rPr>
          <w:b/>
          <w:i/>
          <w:szCs w:val="24"/>
        </w:rPr>
        <w:t xml:space="preserve">: </w:t>
      </w:r>
      <w:r w:rsidRPr="006A377C">
        <w:rPr>
          <w:i/>
          <w:szCs w:val="24"/>
        </w:rPr>
        <w:t>наличие ПНГ-клона у пациентов с МДС определяется в 18</w:t>
      </w:r>
      <w:r w:rsidRPr="006A377C">
        <w:rPr>
          <w:noProof/>
          <w:szCs w:val="24"/>
        </w:rPr>
        <w:t>–</w:t>
      </w:r>
      <w:r w:rsidRPr="006A377C">
        <w:rPr>
          <w:i/>
          <w:szCs w:val="24"/>
        </w:rPr>
        <w:t>25% случаев, и размер клона может варьировать от минорного до клинически значимого. При обнаружении тромботических осложнений пациентам с ПНГ-клоном может потребоваться соответствующая терапия.</w:t>
      </w:r>
    </w:p>
    <w:p w14:paraId="509972CA" w14:textId="77777777" w:rsidR="00F20CFD" w:rsidRPr="006A377C" w:rsidRDefault="00F20CFD" w:rsidP="005F2F2B">
      <w:pPr>
        <w:pStyle w:val="aff"/>
        <w:numPr>
          <w:ilvl w:val="0"/>
          <w:numId w:val="16"/>
        </w:numPr>
        <w:ind w:left="709" w:hanging="425"/>
        <w:rPr>
          <w:szCs w:val="24"/>
        </w:rPr>
      </w:pPr>
      <w:r w:rsidRPr="006A377C">
        <w:rPr>
          <w:szCs w:val="24"/>
        </w:rPr>
        <w:t>Всем</w:t>
      </w:r>
      <w:r w:rsidRPr="006A377C">
        <w:rPr>
          <w:b/>
          <w:szCs w:val="24"/>
        </w:rPr>
        <w:t xml:space="preserve"> </w:t>
      </w:r>
      <w:r w:rsidRPr="006A377C">
        <w:rPr>
          <w:szCs w:val="24"/>
        </w:rPr>
        <w:t xml:space="preserve">пациентам при верификации МДС </w:t>
      </w:r>
      <w:r w:rsidRPr="006A377C">
        <w:rPr>
          <w:b/>
          <w:szCs w:val="24"/>
        </w:rPr>
        <w:t>рекомендуется</w:t>
      </w:r>
      <w:r w:rsidRPr="006A377C">
        <w:rPr>
          <w:szCs w:val="24"/>
        </w:rPr>
        <w:t xml:space="preserve"> исследование коагулограммы (АЧТВ, протромбин, фибриноген, агрегация тромбоцитов) во время проведения специфической терапии, перед инвазивными вмешательствами (стернальной пункцией, трепанобиопсией, установкой центрального венозного катетера, оперативными вмешательствами), для оценки состояния свертывающей системы крови, а также белок-синтетической функции печени </w:t>
      </w:r>
      <w:r w:rsidRPr="006A377C">
        <w:rPr>
          <w:szCs w:val="24"/>
        </w:rPr>
        <w:fldChar w:fldCharType="begin" w:fldLock="1"/>
      </w:r>
      <w:r w:rsidR="00255EFA">
        <w:rPr>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id":"ITEM-2","itemData":{"author":[{"dropping-particle":"","family":"Ширин","given":"А.Д.","non-dropping-particle":"","parse-names":false,"suffix":""},{"dropping-particle":"","family":"Френкель","given":"М.А.","non-dropping-particle":"","parse-names":false,"suffix":""}],"container-title":"Клиническая онкогематология: руководство для врачей. Под ред. Волковой М.А.. 2-е изд., перераб. и доп.","id":"ITEM-2","issued":{"date-parts":[["2007"]]},"page":"502-551","title":"Миелодиспластические синдромы","type":"chapter"},"uris":["http://www.mendeley.com/documents/?uuid=9f2eca44-a3a8-4eb4-90b5-a52e4e769482"]},{"id":"ITEM-3","itemData":{"DOI":"10.1182/blood-2013-03-492884","ISSN":"1528-0020","PMID":"23980065","abstract":"Within the myelodysplastic syndrome (MDS) work package of the European LeukemiaNet, an Expert Panel was selected according to the framework elements of the National Institutes of Health Consensus Development Program. A systematic review of the literature was performed that included indexed original papers, indexed reviews and educational papers, and abstracts of conference proceedings. Guidelines were developed on the basis of a list of patient- and therapy-oriented questions, and recommendations were formulated and ranked according to the supporting level of evidence. MDSs should be classified according to the 2008 World Health Organization criteria. An accurate risk assessment requires the evaluation of not only disease-related factors but also of those related to extrahematologic comorbidity. The assessment of individual risk enables the identification of fit patients with a poor prognosis who are candidates for up-front intensive treatments, primarily allogeneic stem cell transplantation. A high proportion of MDS patients are not eligible for potentially curative treatment because of advanced age and/or clinically relevant comorbidities and poor performance status. In these patients, the therapeutic intervention is aimed at preventing cytopenia-related morbidity and preserving quality of life. A number of new agents are being developed for which the available evidence is not sufficient to recommend routine use. The inclusion of patients into prospective clinical trials is strongly recommended.","author":[{"dropping-particle":"","family":"Malcovati","given":"Luca","non-dropping-particle":"","parse-names":false,"suffix":""},{"dropping-particle":"","family":"Hellström-Lindberg","given":"Eva","non-dropping-particle":"","parse-names":false,"suffix":""},{"dropping-particle":"","family":"Bowen","given":"David","non-dropping-particle":"","parse-names":false,"suffix":""},{"dropping-particle":"","family":"Adès","given":"Lionel","non-dropping-particle":"","parse-names":false,"suffix":""},{"dropping-particle":"","family":"Cermak","given":"Jaroslav","non-dropping-particle":"","parse-names":false,"suffix":""},{"dropping-particle":"","family":"Cañizo","given":"Consuelo","non-dropping-particle":"Del","parse-names":false,"suffix":""},{"dropping-particle":"","family":"Porta","given":"Matteo G","non-dropping-particle":"Della","parse-names":false,"suffix":""},{"dropping-particle":"","family":"Fenaux","given":"Pierre","non-dropping-particle":"","parse-names":false,"suffix":""},{"dropping-particle":"","family":"Gattermann","given":"Norbert","non-dropping-particle":"","parse-names":false,"suffix":""},{"dropping-particle":"","family":"Germing","given":"Ulrich","non-dropping-particle":"","parse-names":false,"suffix":""},{"dropping-particle":"","family":"Jansen","given":"Joop H","non-dropping-particle":"","parse-names":false,"suffix":""},{"dropping-particle":"","family":"Mittelman","given":"Moshe","non-dropping-particle":"","parse-names":false,"suffix":""},{"dropping-particle":"","family":"Mufti","given":"Ghulam","non-dropping-particle":"","parse-names":false,"suffix":""},{"dropping-particle":"","family":"Platzbecker","given":"Uwe","non-dropping-particle":"","parse-names":false,"suffix":""},{"dropping-particle":"","family":"Sanz","given":"Guillermo F","non-dropping-particle":"","parse-names":false,"suffix":""},{"dropping-particle":"","family":"Selleslag","given":"Dominik","non-dropping-particle":"","parse-names":false,"suffix":""},{"dropping-particle":"","family":"Skov-Holm","given":"Mette","non-dropping-particle":"","parse-names":false,"suffix":""},{"dropping-particle":"","family":"Stauder","given":"Reinhard","non-dropping-particle":"","parse-names":false,"suffix":""},{"dropping-particle":"","family":"Symeonidis","given":"Argiris","non-dropping-particle":"","parse-names":false,"suffix":""},{"dropping-particle":"","family":"Loosdrecht","given":"Arjan A","non-dropping-particle":"van de","parse-names":false,"suffix":""},{"dropping-particle":"","family":"Witte","given":"Theo","non-dropping-particle":"de","parse-names":false,"suffix":""},{"dropping-particle":"","family":"Cazzola","given":"Mario","non-dropping-particle":"","parse-names":false,"suffix":""},{"dropping-particle":"","family":"European Leukemia Net","given":"","non-dropping-particle":"","parse-names":false,"suffix":""}],"container-title":"Blood","id":"ITEM-3","issue":"17","issued":{"date-parts":[["2013","10","24"]]},"page":"2943-64","title":"Diagnosis and treatment of primary myelodysplastic syndromes in adults: recommendations from the European LeukemiaNet.","type":"article-journal","volume":"122"},"uris":["http://www.mendeley.com/documents/?uuid=8d575a93-ae56-3e05-b1b4-97a7de4aac98"]},{"id":"ITEM-4","itemData":{"author":[{"dropping-particle":"","family":"Greenberg","given":"P.L.","non-dropping-particle":"","parse-names":false,"suffix":""},{"dropping-particle":"","family":"Stone","given":"Richard M.","non-dropping-particle":"","parse-names":false,"suffix":""},{"dropping-particle":"","family":"Al-Kali","given":"Aref","non-dropping-particle":"","parse-names":false,"suffix":""},{"dropping-particle":"","family":"Bejar","given":"Rafael","non-dropping-particle":"","parse-names":false,"suffix":""},{"dropping-particle":"","family":"Bennett","given":"John M.","non-dropping-particle":"","parse-names":false,"suffix":""}],"id":"ITEM-4","issued":{"date-parts":[["2019"]]},"title":"NCCN Clinical Practice Guidelines in Oncology. Myelodysplastic syndromes","type":"article"},"uris":["http://www.mendeley.com/documents/?uuid=42bd97a2-0774-4214-9691-f403cd4a21df"]}],"mendeley":{"formattedCitation":"[1,2,4,5]","plainTextFormattedCitation":"[1,2,4,5]","previouslyFormattedCitation":"[1,2,4,5]"},"properties":{"noteIndex":0},"schema":"https://github.com/citation-style-language/schema/raw/master/csl-citation.json"}</w:instrText>
      </w:r>
      <w:r w:rsidRPr="006A377C">
        <w:rPr>
          <w:szCs w:val="24"/>
        </w:rPr>
        <w:fldChar w:fldCharType="separate"/>
      </w:r>
      <w:r w:rsidR="007626C2" w:rsidRPr="007626C2">
        <w:rPr>
          <w:noProof/>
          <w:szCs w:val="24"/>
        </w:rPr>
        <w:t>[1,2,4,5]</w:t>
      </w:r>
      <w:r w:rsidRPr="006A377C">
        <w:rPr>
          <w:szCs w:val="24"/>
        </w:rPr>
        <w:fldChar w:fldCharType="end"/>
      </w:r>
      <w:r w:rsidRPr="006A377C">
        <w:rPr>
          <w:szCs w:val="24"/>
        </w:rPr>
        <w:t>.</w:t>
      </w:r>
    </w:p>
    <w:p w14:paraId="29D59207" w14:textId="77777777" w:rsidR="00F20CFD" w:rsidRPr="006A377C" w:rsidRDefault="00F20CFD" w:rsidP="007C78A6">
      <w:pPr>
        <w:ind w:left="709" w:hanging="1"/>
        <w:rPr>
          <w:b/>
          <w:szCs w:val="24"/>
        </w:rPr>
      </w:pPr>
      <w:r w:rsidRPr="006A377C">
        <w:rPr>
          <w:b/>
          <w:szCs w:val="24"/>
        </w:rPr>
        <w:t>Уровень убедительности рекомендаций С (уровень достоверности доказательств – 5)</w:t>
      </w:r>
    </w:p>
    <w:p w14:paraId="014FE23A" w14:textId="77777777" w:rsidR="00F20CFD" w:rsidRPr="006A377C" w:rsidRDefault="00F20CFD" w:rsidP="007C78A6">
      <w:pPr>
        <w:ind w:left="709" w:hanging="1"/>
        <w:rPr>
          <w:i/>
          <w:szCs w:val="24"/>
        </w:rPr>
      </w:pPr>
      <w:r w:rsidRPr="006A377C">
        <w:rPr>
          <w:b/>
          <w:szCs w:val="24"/>
        </w:rPr>
        <w:t xml:space="preserve">Комментарии: </w:t>
      </w:r>
      <w:r w:rsidRPr="006A377C">
        <w:rPr>
          <w:i/>
          <w:szCs w:val="24"/>
        </w:rPr>
        <w:t>при выявлении изменений в свертывающей системе крови проводится их коррекция.</w:t>
      </w:r>
      <w:r w:rsidRPr="006A377C">
        <w:rPr>
          <w:b/>
          <w:i/>
          <w:szCs w:val="24"/>
        </w:rPr>
        <w:t xml:space="preserve"> </w:t>
      </w:r>
    </w:p>
    <w:p w14:paraId="70A669B7" w14:textId="77777777" w:rsidR="00F20CFD" w:rsidRPr="006A377C" w:rsidRDefault="00F20CFD" w:rsidP="005F2F2B">
      <w:pPr>
        <w:pStyle w:val="aff"/>
        <w:numPr>
          <w:ilvl w:val="0"/>
          <w:numId w:val="16"/>
        </w:numPr>
        <w:ind w:left="709" w:hanging="425"/>
        <w:rPr>
          <w:szCs w:val="24"/>
        </w:rPr>
      </w:pPr>
      <w:r w:rsidRPr="006A377C">
        <w:rPr>
          <w:szCs w:val="24"/>
        </w:rPr>
        <w:t xml:space="preserve">Всем пациентам с подозрением на МДС, а также подтвержденным диагнозом МДС при развитии тяжелых инфекционных осложнений во время проведения специфической терапии </w:t>
      </w:r>
      <w:r w:rsidRPr="006A377C">
        <w:rPr>
          <w:b/>
          <w:szCs w:val="24"/>
        </w:rPr>
        <w:t>рекомендуется</w:t>
      </w:r>
      <w:r w:rsidRPr="006A377C">
        <w:rPr>
          <w:szCs w:val="24"/>
        </w:rPr>
        <w:t xml:space="preserve"> иммунохимическое исследование белков сыворотки с определением уровня иммуноглобулинов классов G, A, M, парапротеинов, криоглобулинов, С-реактивного белка </w:t>
      </w:r>
      <w:r w:rsidRPr="006A377C">
        <w:rPr>
          <w:szCs w:val="24"/>
        </w:rPr>
        <w:fldChar w:fldCharType="begin" w:fldLock="1"/>
      </w:r>
      <w:r w:rsidR="00AE1E12">
        <w:rPr>
          <w:szCs w:val="24"/>
        </w:rPr>
        <w:instrText>ADDIN CSL_CITATION {"citationItems":[{"id":"ITEM-1","itemData":{"DOI":"10.1007/s12185-014-1570-6","ISSN":"1865-3774","PMID":"24687918","abstract":"We report a series of 14 patients with myelodysplastic syndrome (MDS) accompanied by a monoclonal gammopathy unrelated to therapy. Twelve of these had monoclonal gammopathy of undermined significance (MGUS) and two had smoldering multiple myeloma. These cases represent 10.2 % of all MDS cases seen at our institution over a 14-year period (January 2000 to December 2013). The incidence of MGUS was determined to be significantly higher in MDS than in age-matched concurrent controls by χ(2) test. Absence of prior chemotherapy and simultaneous presentation of MDS and MGUS in most cases suggest true co-occurrence of the two disorders. MGUS was found in all WHO subtypes of MDS with a wide range of risk factors. However, 11 out of the 12 MDS cases accompanied with MGUS had relatively low karyotypic risks. In addition, serum M protein levels remained largely unchanged in 4 cases of MGUS for which serial determinations were performed. These findings indicate that MGUS may not affect the prognosis of MDS.","author":[{"dropping-particle":"","family":"Yoshida","given":"Yataro","non-dropping-particle":"","parse-names":false,"suffix":""},{"dropping-particle":"","family":"Oguma","given":"Shigeru","non-dropping-particle":"","parse-names":false,"suffix":""},{"dropping-particle":"","family":"Ohno","given":"Hitoshi","non-dropping-particle":"","parse-names":false,"suffix":""},{"dropping-particle":"","family":"Nakabo","given":"Yukiharu","non-dropping-particle":"","parse-names":false,"suffix":""},{"dropping-particle":"","family":"Katsurada","given":"Tatsuya","non-dropping-particle":"","parse-names":false,"suffix":""},{"dropping-particle":"","family":"Kawahara","given":"Masahiro","non-dropping-particle":"","parse-names":false,"suffix":""},{"dropping-particle":"","family":"Kawabata","given":"Hiroshi","non-dropping-particle":"","parse-names":false,"suffix":""}],"container-title":"International journal of hematology","id":"ITEM-1","issue":"6","issued":{"date-parts":[["2014","6"]]},"page":"721-5","title":"Co-occurrence of monoclonal gammopathy and myelodysplasia: a retrospective study of fourteen cases.","type":"article-journal","volume":"99"},"uris":["http://www.mendeley.com/documents/?uuid=e836c37a-bbb0-3b72-8c11-af4283f0569a"]},{"id":"ITEM-2","itemData":{"DOI":"10.1111/j.1365-2141.1986.tb07504.x","ISSN":"13652141","abstract":"The immunoglobulin levels and autoantibody profiles of 104 patients with primary myelodysplastic syndromes (MDS), classified according to the FAB criteria, were analysed. Eight patients, four with coexistent non‐Hodgkin's lymphomas, three with chronic lymphocytic leukaemia and one with a lymphoplasmacytoma, were excluded from the final analysis of immunoglobulin levels. Serum protein electrophoresis and immunoelectro‐phoresis revealed the presence of monoclonal gammopathy in 12 patients (12·5%). Of the remaining 84 patients, a polyclonal rise in serum immunoglobulins was present in 27 (32%) while a further 16 (19%) had low immunoglobulin levels. The direct antiglobulin test was positive in eight out of 98 patients tested (8·1%), and organ and non‐organ specific autoantibodies were present in 15 out of 67 patients tested (22·3%). Two patients had associated pernicious anaemia (PA), two hypothyroidism, and one PA with hypothyroidism. Three patients had sero‐negative rheumatoid arthritis. These results demonstrate that there is a high incidence of immunological abnormalities in MDS. Copyright © 1986, Wiley Blackwell. All rights reserved","author":[{"dropping-particle":"","family":"Mufti","given":"G. J.","non-dropping-particle":"","parse-names":false,"suffix":""},{"dropping-particle":"","family":"Figes","given":"Ann","non-dropping-particle":"","parse-names":false,"suffix":""},{"dropping-particle":"","family":"Hamblin","given":"T. J.","non-dropping-particle":"","parse-names":false,"suffix":""},{"dropping-particle":"","family":"Oscier","given":"D. G.","non-dropping-particle":"","parse-names":false,"suffix":""},{"dropping-particle":"","family":"Copplestoni","given":"J. A.","non-dropping-particle":"","parse-names":false,"suffix":""}],"container-title":"British Journal of Haematology","id":"ITEM-2","issue":"1","issued":{"date-parts":[["1986"]]},"page":"143-147","title":"Immunological abnormalities in myelodysplastic syndromes I. SERUM IMMUNOGLOBULINS AND AUTOANTIBODIES","type":"article-journal","volume":"63"},"uris":["http://www.mendeley.com/documents/?uuid=d51bba53-1aa6-38e5-9f81-15bed2d44c70"]},{"id":"ITEM-3","itemData":{"DOI":"10.1002/acr.20504","ISSN":"21514658","abstract":"Objective: The presence of systemic and/or immune manifestations in myelodysplasia has been currently reported. The influence of these manifestations on the natural outcome of myelodysplastic syndrome has to be considered. We present a multicenter retrospective study (2002-2009) of patients with myelodysplastic syndrome disclosing systemic and/or immune manifestations. Methods: Forty-six patients with myelodysplasia presenting with systemic and/or immune manifestations were compared in terms of survival with 189 patients with myelodysplasia lacking these features. Results: The clinical picture in these cases consisted of fever (13%), arthralgia or arthritis (13%), and cutaneous manifestations (67%). Four cases of systemic vasculitis have been reported in our series, and they have a worse prognosis. Immune anomalies were recorded in 29% of the cases, and the presence of cryoglobulins was also associated with a worse prognosis. Conclusion: A difference in survival between patients with myelodysplastic syndrome with systemic manifestations and patients lacking these manifestations has been observed in the presence of systemic vasculitis and/or cryoglobulins. © 2011, American College of Rheumatology.","author":[{"dropping-particle":"","family":"Hollanda","given":"A.","non-dropping-particle":"De","parse-names":false,"suffix":""},{"dropping-particle":"","family":"Beucher","given":"A.","non-dropping-particle":"","parse-names":false,"suffix":""},{"dropping-particle":"","family":"Henrion","given":"D.","non-dropping-particle":"","parse-names":false,"suffix":""},{"dropping-particle":"","family":"Ghali","given":"A.","non-dropping-particle":"","parse-names":false,"suffix":""},{"dropping-particle":"","family":"Lavigne","given":"C.","non-dropping-particle":"","parse-names":false,"suffix":""},{"dropping-particle":"","family":"Lévesque","given":"H.","non-dropping-particle":"","parse-names":false,"suffix":""},{"dropping-particle":"","family":"Hamidou","given":"M.","non-dropping-particle":"","parse-names":false,"suffix":""},{"dropping-particle":"","family":"Subra","given":"J. F.","non-dropping-particle":"","parse-names":false,"suffix":""},{"dropping-particle":"","family":"Ifrah","given":"N.","non-dropping-particle":"","parse-names":false,"suffix":""},{"dropping-particle":"","family":"Belizna","given":"C.","non-dropping-particle":"","parse-names":false,"suffix":""}],"container-title":"Arthritis Care and Research","id":"ITEM-3","issue":"8","issued":{"date-parts":[["2011","8"]]},"page":"1188-1194","title":"Systemic and immune manifestations in myelodysplasia: A multicenter retrospective study","type":"article-journal","volume":"63"},"uris":["http://www.mendeley.com/documents/?uuid=cae7844e-62b5-3c15-9592-67e2f0957298"]}],"mendeley":{"formattedCitation":"[16–18]","plainTextFormattedCitation":"[16–18]","previouslyFormattedCitation":"[16–18]"},"properties":{"noteIndex":0},"schema":"https://github.com/citation-style-language/schema/raw/master/csl-citation.json"}</w:instrText>
      </w:r>
      <w:r w:rsidRPr="006A377C">
        <w:rPr>
          <w:szCs w:val="24"/>
        </w:rPr>
        <w:fldChar w:fldCharType="separate"/>
      </w:r>
      <w:r w:rsidR="00AE1E12" w:rsidRPr="00AE1E12">
        <w:rPr>
          <w:noProof/>
          <w:szCs w:val="24"/>
        </w:rPr>
        <w:t>[16–18]</w:t>
      </w:r>
      <w:r w:rsidRPr="006A377C">
        <w:rPr>
          <w:szCs w:val="24"/>
        </w:rPr>
        <w:fldChar w:fldCharType="end"/>
      </w:r>
      <w:r w:rsidRPr="006A377C">
        <w:rPr>
          <w:szCs w:val="24"/>
        </w:rPr>
        <w:t>.</w:t>
      </w:r>
    </w:p>
    <w:p w14:paraId="3B32767C" w14:textId="77777777" w:rsidR="00F20CFD" w:rsidRPr="006A377C" w:rsidRDefault="00F20CFD" w:rsidP="007C78A6">
      <w:pPr>
        <w:ind w:left="709" w:hanging="1"/>
        <w:rPr>
          <w:b/>
          <w:szCs w:val="24"/>
        </w:rPr>
      </w:pPr>
      <w:r w:rsidRPr="00357624">
        <w:rPr>
          <w:b/>
          <w:szCs w:val="24"/>
        </w:rPr>
        <w:t xml:space="preserve">Уровень убедительности рекомендаций </w:t>
      </w:r>
      <w:r w:rsidR="00D530D2" w:rsidRPr="00357624">
        <w:rPr>
          <w:b/>
          <w:szCs w:val="24"/>
        </w:rPr>
        <w:t xml:space="preserve">С </w:t>
      </w:r>
      <w:r w:rsidRPr="00357624">
        <w:rPr>
          <w:b/>
          <w:szCs w:val="24"/>
        </w:rPr>
        <w:t xml:space="preserve">(уровень достоверности доказательств – </w:t>
      </w:r>
      <w:r w:rsidR="00D530D2" w:rsidRPr="00357624">
        <w:rPr>
          <w:b/>
          <w:szCs w:val="24"/>
        </w:rPr>
        <w:t>4</w:t>
      </w:r>
      <w:r w:rsidRPr="00357624">
        <w:rPr>
          <w:b/>
          <w:szCs w:val="24"/>
        </w:rPr>
        <w:t>)</w:t>
      </w:r>
    </w:p>
    <w:p w14:paraId="19F852BC" w14:textId="77777777" w:rsidR="00F20CFD" w:rsidRPr="006A377C" w:rsidRDefault="00F20CFD" w:rsidP="007C78A6">
      <w:pPr>
        <w:ind w:left="709" w:hanging="1"/>
        <w:rPr>
          <w:i/>
          <w:szCs w:val="24"/>
        </w:rPr>
      </w:pPr>
      <w:r w:rsidRPr="006A377C">
        <w:rPr>
          <w:b/>
          <w:szCs w:val="24"/>
        </w:rPr>
        <w:t xml:space="preserve">Комментарии: </w:t>
      </w:r>
      <w:r w:rsidRPr="006A377C">
        <w:rPr>
          <w:i/>
          <w:szCs w:val="24"/>
        </w:rPr>
        <w:t>выявленные изменения позволят определить тактику сопроводительной терапии на разных этапах проведения специфической терапии МДС.</w:t>
      </w:r>
    </w:p>
    <w:p w14:paraId="668AA80C" w14:textId="77777777" w:rsidR="00F20CFD" w:rsidRPr="006A377C" w:rsidRDefault="00F20CFD" w:rsidP="005F2F2B">
      <w:pPr>
        <w:pStyle w:val="aff"/>
        <w:numPr>
          <w:ilvl w:val="0"/>
          <w:numId w:val="16"/>
        </w:numPr>
        <w:ind w:left="709" w:hanging="425"/>
        <w:rPr>
          <w:szCs w:val="24"/>
        </w:rPr>
      </w:pPr>
      <w:r w:rsidRPr="006A377C">
        <w:rPr>
          <w:szCs w:val="24"/>
        </w:rPr>
        <w:t xml:space="preserve">Всем пациентам с подозрением на МДС, а также при появлении симптомов, характерных для аутоиммунных заболеваний соединительной ткани, </w:t>
      </w:r>
      <w:r w:rsidRPr="006A377C">
        <w:rPr>
          <w:b/>
          <w:szCs w:val="24"/>
        </w:rPr>
        <w:t>рекомендуется</w:t>
      </w:r>
      <w:r w:rsidRPr="006A377C">
        <w:rPr>
          <w:szCs w:val="24"/>
        </w:rPr>
        <w:t xml:space="preserve"> исследование маркеров воспаления соединительной ткани (антистрептолизин–О (АСЛ-О), ревматоидный фактор, анти-ДНК) для диагностики аутоиммунных заболеваний </w:t>
      </w:r>
      <w:r w:rsidRPr="006A377C">
        <w:rPr>
          <w:szCs w:val="24"/>
        </w:rPr>
        <w:fldChar w:fldCharType="begin" w:fldLock="1"/>
      </w:r>
      <w:r w:rsidR="00AE1E12">
        <w:rPr>
          <w:szCs w:val="24"/>
        </w:rPr>
        <w:instrText>ADDIN CSL_CITATION {"citationItems":[{"id":"ITEM-1","itemData":{"DOI":"10.1159/000446062","ISSN":"0001-5792","author":[{"dropping-particle":"","family":"Wolach","given":"Ofir","non-dropping-particle":"","parse-names":false,"suffix":""},{"dropping-particle":"","family":"Stone","given":"Richard","non-dropping-particle":"","parse-names":false,"suffix":""}],"container-title":"Acta Haematologica","id":"ITEM-1","issue":"2","issued":{"date-parts":[["2016"]]},"page":"108-117","title":"Autoimmunity and Inflammation in Myelodysplastic Syndromes","type":"article-journal","volume":"136"},"uris":["http://www.mendeley.com/documents/?uuid=1a227a2a-01d7-36dc-b0b0-adf7a3c4da99"]}],"mendeley":{"formattedCitation":"[19]","plainTextFormattedCitation":"[19]","previouslyFormattedCitation":"[19]"},"properties":{"noteIndex":0},"schema":"https://github.com/citation-style-language/schema/raw/master/csl-citation.json"}</w:instrText>
      </w:r>
      <w:r w:rsidRPr="006A377C">
        <w:rPr>
          <w:szCs w:val="24"/>
        </w:rPr>
        <w:fldChar w:fldCharType="separate"/>
      </w:r>
      <w:r w:rsidR="00AE1E12" w:rsidRPr="00AE1E12">
        <w:rPr>
          <w:noProof/>
          <w:szCs w:val="24"/>
        </w:rPr>
        <w:t>[19]</w:t>
      </w:r>
      <w:r w:rsidRPr="006A377C">
        <w:rPr>
          <w:szCs w:val="24"/>
        </w:rPr>
        <w:fldChar w:fldCharType="end"/>
      </w:r>
      <w:r w:rsidRPr="006A377C">
        <w:rPr>
          <w:szCs w:val="24"/>
        </w:rPr>
        <w:t>.</w:t>
      </w:r>
    </w:p>
    <w:p w14:paraId="705DC593" w14:textId="77777777" w:rsidR="00F20CFD" w:rsidRPr="006A377C" w:rsidRDefault="00F20CFD" w:rsidP="007C78A6">
      <w:pPr>
        <w:ind w:left="709" w:hanging="1"/>
        <w:rPr>
          <w:b/>
          <w:szCs w:val="24"/>
        </w:rPr>
      </w:pPr>
      <w:r w:rsidRPr="00145301">
        <w:rPr>
          <w:b/>
          <w:szCs w:val="24"/>
        </w:rPr>
        <w:t xml:space="preserve">Уровень убедительности рекомендаций </w:t>
      </w:r>
      <w:r w:rsidR="00A615AD" w:rsidRPr="00145301">
        <w:rPr>
          <w:b/>
          <w:szCs w:val="24"/>
        </w:rPr>
        <w:t>С</w:t>
      </w:r>
      <w:r w:rsidRPr="00145301">
        <w:rPr>
          <w:b/>
          <w:szCs w:val="24"/>
        </w:rPr>
        <w:t xml:space="preserve"> (уровень достоверности доказательств – </w:t>
      </w:r>
      <w:r w:rsidR="00A615AD" w:rsidRPr="00145301">
        <w:rPr>
          <w:b/>
          <w:szCs w:val="24"/>
        </w:rPr>
        <w:t>5</w:t>
      </w:r>
      <w:r w:rsidRPr="00145301">
        <w:rPr>
          <w:b/>
          <w:szCs w:val="24"/>
        </w:rPr>
        <w:t>)</w:t>
      </w:r>
    </w:p>
    <w:p w14:paraId="587183D9" w14:textId="77777777" w:rsidR="00F20CFD" w:rsidRPr="006A377C" w:rsidRDefault="00F20CFD" w:rsidP="007C78A6">
      <w:pPr>
        <w:ind w:left="709" w:hanging="1"/>
        <w:rPr>
          <w:i/>
          <w:szCs w:val="24"/>
        </w:rPr>
      </w:pPr>
      <w:r w:rsidRPr="006A377C">
        <w:rPr>
          <w:b/>
          <w:szCs w:val="24"/>
        </w:rPr>
        <w:t xml:space="preserve">Комментарии: </w:t>
      </w:r>
      <w:r w:rsidRPr="006A377C">
        <w:rPr>
          <w:i/>
          <w:szCs w:val="24"/>
        </w:rPr>
        <w:t xml:space="preserve">аутоиммунные заболевания соединительной ткани нередко протекают с цитопеническим синдромом, что требует проведения дифференциальной диагностики МДС, в то же время при МДС в 10% случаев </w:t>
      </w:r>
      <w:r w:rsidRPr="006A377C">
        <w:rPr>
          <w:i/>
          <w:szCs w:val="24"/>
        </w:rPr>
        <w:lastRenderedPageBreak/>
        <w:t xml:space="preserve">выявляются симптомы и маркеры аутоиммунных заболеваний соединительной ткани. </w:t>
      </w:r>
    </w:p>
    <w:p w14:paraId="15DC07F5" w14:textId="77777777" w:rsidR="00F20CFD" w:rsidRPr="006A377C" w:rsidRDefault="00F20CFD" w:rsidP="005F2F2B">
      <w:pPr>
        <w:pStyle w:val="aff"/>
        <w:numPr>
          <w:ilvl w:val="0"/>
          <w:numId w:val="16"/>
        </w:numPr>
        <w:ind w:left="709" w:hanging="425"/>
        <w:rPr>
          <w:szCs w:val="24"/>
        </w:rPr>
      </w:pPr>
      <w:r w:rsidRPr="006A377C">
        <w:rPr>
          <w:szCs w:val="24"/>
        </w:rPr>
        <w:t xml:space="preserve">Всем пациентам с подозрением на МДС и во время дальнейшего лечения не менее 1 раза в год </w:t>
      </w:r>
      <w:r w:rsidRPr="006A377C">
        <w:rPr>
          <w:b/>
          <w:szCs w:val="24"/>
        </w:rPr>
        <w:t>рекомендуются</w:t>
      </w:r>
      <w:r w:rsidRPr="006A377C">
        <w:rPr>
          <w:szCs w:val="24"/>
        </w:rPr>
        <w:t xml:space="preserve"> определение антител классов M, G (IgM, IgG) к вирусу иммунодефицита человека ВИЧ-1/2 (Human immunodeficiency virus HIV 1/2) в крови; молекулярно-биологическое исследование крови на вирус гепатита B (Hepatitis B virus) и на вирус гепатита C (Hepatitis C virus); определение антител к бледной трепонеме (Treponema pallidum) в крови; для исключения наличия сопутствующей патологии </w:t>
      </w:r>
      <w:r w:rsidRPr="006A377C">
        <w:rPr>
          <w:szCs w:val="24"/>
        </w:rPr>
        <w:fldChar w:fldCharType="begin" w:fldLock="1"/>
      </w:r>
      <w:r w:rsidR="00255EFA">
        <w:rPr>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id":"ITEM-2","itemData":{"author":[{"dropping-particle":"","family":"Ширин","given":"А.Д.","non-dropping-particle":"","parse-names":false,"suffix":""},{"dropping-particle":"","family":"Френкель","given":"М.А.","non-dropping-particle":"","parse-names":false,"suffix":""}],"container-title":"Клиническая онкогематология: руководство для врачей. Под ред. Волковой М.А.. 2-е изд., перераб. и доп.","id":"ITEM-2","issued":{"date-parts":[["2007"]]},"page":"502-551","title":"Миелодиспластические синдромы","type":"chapter"},"uris":["http://www.mendeley.com/documents/?uuid=9f2eca44-a3a8-4eb4-90b5-a52e4e769482"]},{"id":"ITEM-3","itemData":{"DOI":"10.1182/blood-2013-03-492884","ISSN":"1528-0020","PMID":"23980065","abstract":"Within the myelodysplastic syndrome (MDS) work package of the European LeukemiaNet, an Expert Panel was selected according to the framework elements of the National Institutes of Health Consensus Development Program. A systematic review of the literature was performed that included indexed original papers, indexed reviews and educational papers, and abstracts of conference proceedings. Guidelines were developed on the basis of a list of patient- and therapy-oriented questions, and recommendations were formulated and ranked according to the supporting level of evidence. MDSs should be classified according to the 2008 World Health Organization criteria. An accurate risk assessment requires the evaluation of not only disease-related factors but also of those related to extrahematologic comorbidity. The assessment of individual risk enables the identification of fit patients with a poor prognosis who are candidates for up-front intensive treatments, primarily allogeneic stem cell transplantation. A high proportion of MDS patients are not eligible for potentially curative treatment because of advanced age and/or clinically relevant comorbidities and poor performance status. In these patients, the therapeutic intervention is aimed at preventing cytopenia-related morbidity and preserving quality of life. A number of new agents are being developed for which the available evidence is not sufficient to recommend routine use. The inclusion of patients into prospective clinical trials is strongly recommended.","author":[{"dropping-particle":"","family":"Malcovati","given":"Luca","non-dropping-particle":"","parse-names":false,"suffix":""},{"dropping-particle":"","family":"Hellström-Lindberg","given":"Eva","non-dropping-particle":"","parse-names":false,"suffix":""},{"dropping-particle":"","family":"Bowen","given":"David","non-dropping-particle":"","parse-names":false,"suffix":""},{"dropping-particle":"","family":"Adès","given":"Lionel","non-dropping-particle":"","parse-names":false,"suffix":""},{"dropping-particle":"","family":"Cermak","given":"Jaroslav","non-dropping-particle":"","parse-names":false,"suffix":""},{"dropping-particle":"","family":"Cañizo","given":"Consuelo","non-dropping-particle":"Del","parse-names":false,"suffix":""},{"dropping-particle":"","family":"Porta","given":"Matteo G","non-dropping-particle":"Della","parse-names":false,"suffix":""},{"dropping-particle":"","family":"Fenaux","given":"Pierre","non-dropping-particle":"","parse-names":false,"suffix":""},{"dropping-particle":"","family":"Gattermann","given":"Norbert","non-dropping-particle":"","parse-names":false,"suffix":""},{"dropping-particle":"","family":"Germing","given":"Ulrich","non-dropping-particle":"","parse-names":false,"suffix":""},{"dropping-particle":"","family":"Jansen","given":"Joop H","non-dropping-particle":"","parse-names":false,"suffix":""},{"dropping-particle":"","family":"Mittelman","given":"Moshe","non-dropping-particle":"","parse-names":false,"suffix":""},{"dropping-particle":"","family":"Mufti","given":"Ghulam","non-dropping-particle":"","parse-names":false,"suffix":""},{"dropping-particle":"","family":"Platzbecker","given":"Uwe","non-dropping-particle":"","parse-names":false,"suffix":""},{"dropping-particle":"","family":"Sanz","given":"Guillermo F","non-dropping-particle":"","parse-names":false,"suffix":""},{"dropping-particle":"","family":"Selleslag","given":"Dominik","non-dropping-particle":"","parse-names":false,"suffix":""},{"dropping-particle":"","family":"Skov-Holm","given":"Mette","non-dropping-particle":"","parse-names":false,"suffix":""},{"dropping-particle":"","family":"Stauder","given":"Reinhard","non-dropping-particle":"","parse-names":false,"suffix":""},{"dropping-particle":"","family":"Symeonidis","given":"Argiris","non-dropping-particle":"","parse-names":false,"suffix":""},{"dropping-particle":"","family":"Loosdrecht","given":"Arjan A","non-dropping-particle":"van de","parse-names":false,"suffix":""},{"dropping-particle":"","family":"Witte","given":"Theo","non-dropping-particle":"de","parse-names":false,"suffix":""},{"dropping-particle":"","family":"Cazzola","given":"Mario","non-dropping-particle":"","parse-names":false,"suffix":""},{"dropping-particle":"","family":"European Leukemia Net","given":"","non-dropping-particle":"","parse-names":false,"suffix":""}],"container-title":"Blood","id":"ITEM-3","issue":"17","issued":{"date-parts":[["2013","10","24"]]},"page":"2943-64","title":"Diagnosis and treatment of primary myelodysplastic syndromes in adults: recommendations from the European LeukemiaNet.","type":"article-journal","volume":"122"},"uris":["http://www.mendeley.com/documents/?uuid=8d575a93-ae56-3e05-b1b4-97a7de4aac98"]},{"id":"ITEM-4","itemData":{"author":[{"dropping-particle":"","family":"Greenberg","given":"P.L.","non-dropping-particle":"","parse-names":false,"suffix":""},{"dropping-particle":"","family":"Stone","given":"Richard M.","non-dropping-particle":"","parse-names":false,"suffix":""},{"dropping-particle":"","family":"Al-Kali","given":"Aref","non-dropping-particle":"","parse-names":false,"suffix":""},{"dropping-particle":"","family":"Bejar","given":"Rafael","non-dropping-particle":"","parse-names":false,"suffix":""},{"dropping-particle":"","family":"Bennett","given":"John M.","non-dropping-particle":"","parse-names":false,"suffix":""}],"id":"ITEM-4","issued":{"date-parts":[["2019"]]},"title":"NCCN Clinical Practice Guidelines in Oncology. Myelodysplastic syndromes","type":"article"},"uris":["http://www.mendeley.com/documents/?uuid=42bd97a2-0774-4214-9691-f403cd4a21df"]}],"mendeley":{"formattedCitation":"[1,2,4,5]","plainTextFormattedCitation":"[1,2,4,5]","previouslyFormattedCitation":"[1,2,4,5]"},"properties":{"noteIndex":0},"schema":"https://github.com/citation-style-language/schema/raw/master/csl-citation.json"}</w:instrText>
      </w:r>
      <w:r w:rsidRPr="006A377C">
        <w:rPr>
          <w:szCs w:val="24"/>
        </w:rPr>
        <w:fldChar w:fldCharType="separate"/>
      </w:r>
      <w:r w:rsidR="007626C2" w:rsidRPr="007626C2">
        <w:rPr>
          <w:noProof/>
          <w:szCs w:val="24"/>
        </w:rPr>
        <w:t>[1,2,4,5]</w:t>
      </w:r>
      <w:r w:rsidRPr="006A377C">
        <w:rPr>
          <w:szCs w:val="24"/>
        </w:rPr>
        <w:fldChar w:fldCharType="end"/>
      </w:r>
      <w:r w:rsidRPr="006A377C">
        <w:rPr>
          <w:szCs w:val="24"/>
        </w:rPr>
        <w:t>.</w:t>
      </w:r>
    </w:p>
    <w:p w14:paraId="3529F99A" w14:textId="77777777" w:rsidR="00F20CFD" w:rsidRPr="006A377C" w:rsidRDefault="00F20CFD" w:rsidP="007C78A6">
      <w:pPr>
        <w:ind w:left="709" w:hanging="1"/>
        <w:rPr>
          <w:b/>
          <w:szCs w:val="24"/>
        </w:rPr>
      </w:pPr>
      <w:r w:rsidRPr="006A377C">
        <w:rPr>
          <w:b/>
          <w:szCs w:val="24"/>
        </w:rPr>
        <w:t xml:space="preserve">Уровень убедительности рекомендаций </w:t>
      </w:r>
      <w:r w:rsidRPr="006A377C">
        <w:rPr>
          <w:b/>
          <w:szCs w:val="24"/>
          <w:lang w:val="en-US"/>
        </w:rPr>
        <w:t>C</w:t>
      </w:r>
      <w:r w:rsidRPr="006A377C">
        <w:rPr>
          <w:b/>
          <w:szCs w:val="24"/>
        </w:rPr>
        <w:t xml:space="preserve"> (уровень достоверности доказательств – 5)</w:t>
      </w:r>
    </w:p>
    <w:p w14:paraId="26595A3F" w14:textId="77777777" w:rsidR="00F20CFD" w:rsidRPr="006A377C" w:rsidRDefault="00F20CFD" w:rsidP="007C78A6">
      <w:pPr>
        <w:ind w:left="709" w:hanging="1"/>
        <w:rPr>
          <w:i/>
          <w:szCs w:val="24"/>
        </w:rPr>
      </w:pPr>
      <w:r w:rsidRPr="006A377C">
        <w:rPr>
          <w:b/>
          <w:szCs w:val="24"/>
        </w:rPr>
        <w:t>Комментарии</w:t>
      </w:r>
      <w:r w:rsidRPr="006A377C">
        <w:rPr>
          <w:b/>
          <w:i/>
          <w:szCs w:val="24"/>
        </w:rPr>
        <w:t xml:space="preserve">: </w:t>
      </w:r>
      <w:r w:rsidRPr="006A377C">
        <w:rPr>
          <w:i/>
          <w:szCs w:val="24"/>
        </w:rPr>
        <w:t>для исключения цитопении, связанной с инфицированием ВИЧ, при выявлении положительных маркеров – начало противовирусной и антибактериальной терапии. При подозрении на наличие острого или хронического вирусного гепатита проводится определение репликации вирусов гепатита В и С в сыворотке крови</w:t>
      </w:r>
      <w:r w:rsidRPr="006A377C">
        <w:rPr>
          <w:szCs w:val="24"/>
        </w:rPr>
        <w:t>.</w:t>
      </w:r>
      <w:r w:rsidRPr="006A377C">
        <w:rPr>
          <w:b/>
          <w:szCs w:val="24"/>
        </w:rPr>
        <w:t xml:space="preserve"> </w:t>
      </w:r>
      <w:r w:rsidRPr="006A377C">
        <w:rPr>
          <w:i/>
          <w:szCs w:val="24"/>
        </w:rPr>
        <w:t>При выявлении положительных маркеров – начало противовирусной терапии.</w:t>
      </w:r>
    </w:p>
    <w:p w14:paraId="4CE7D96F" w14:textId="77777777" w:rsidR="00F20CFD" w:rsidRPr="006A377C" w:rsidRDefault="00F20CFD" w:rsidP="005F2F2B">
      <w:pPr>
        <w:pStyle w:val="aff"/>
        <w:numPr>
          <w:ilvl w:val="0"/>
          <w:numId w:val="16"/>
        </w:numPr>
        <w:ind w:left="709" w:hanging="425"/>
        <w:rPr>
          <w:szCs w:val="24"/>
        </w:rPr>
      </w:pPr>
      <w:r w:rsidRPr="006A377C">
        <w:rPr>
          <w:szCs w:val="24"/>
        </w:rPr>
        <w:t>Пациентам с длительной цитопенией при наличии эпизодов субфебрильной или фебрильной лихорадки для верификации диагноза МДС, а также при проведении терапии МДС</w:t>
      </w:r>
      <w:r w:rsidR="00554FDC">
        <w:rPr>
          <w:szCs w:val="24"/>
        </w:rPr>
        <w:t xml:space="preserve"> с целью</w:t>
      </w:r>
      <w:r w:rsidR="00554FDC" w:rsidRPr="006A377C">
        <w:rPr>
          <w:szCs w:val="24"/>
        </w:rPr>
        <w:t xml:space="preserve"> исключения наличия сопутствующей патологии</w:t>
      </w:r>
      <w:r w:rsidRPr="006A377C">
        <w:rPr>
          <w:szCs w:val="24"/>
        </w:rPr>
        <w:t xml:space="preserve"> </w:t>
      </w:r>
      <w:r w:rsidRPr="006A377C">
        <w:rPr>
          <w:b/>
          <w:szCs w:val="24"/>
        </w:rPr>
        <w:t xml:space="preserve">рекомендуются </w:t>
      </w:r>
      <w:r w:rsidRPr="006A377C">
        <w:rPr>
          <w:szCs w:val="24"/>
        </w:rPr>
        <w:t>молекулярно-биологическое исследование крови на вирус простого герпеса (Herpes simplex virus); определение антител к вирусу простого герпеса (Herpes simplex virus) в крови; молекулярно-биологическое исследование крови на цитомегаловирус (Cytomegalovirus); определение антител классов M, G (IgM, IgG) к вирусу Эпштейна–Барр (Epstein–Barr virus) в крови</w:t>
      </w:r>
      <w:r w:rsidRPr="006A377C">
        <w:rPr>
          <w:bCs/>
          <w:szCs w:val="24"/>
        </w:rPr>
        <w:t xml:space="preserve"> </w:t>
      </w:r>
      <w:r w:rsidRPr="006A377C">
        <w:rPr>
          <w:szCs w:val="24"/>
        </w:rPr>
        <w:fldChar w:fldCharType="begin" w:fldLock="1"/>
      </w:r>
      <w:r w:rsidRPr="006A377C">
        <w:rPr>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mendeley":{"formattedCitation":"[1]","plainTextFormattedCitation":"[1]","previouslyFormattedCitation":"[1]"},"properties":{"noteIndex":0},"schema":"https://github.com/citation-style-language/schema/raw/master/csl-citation.json"}</w:instrText>
      </w:r>
      <w:r w:rsidRPr="006A377C">
        <w:rPr>
          <w:szCs w:val="24"/>
        </w:rPr>
        <w:fldChar w:fldCharType="separate"/>
      </w:r>
      <w:r w:rsidRPr="006A377C">
        <w:rPr>
          <w:noProof/>
          <w:szCs w:val="24"/>
        </w:rPr>
        <w:t>[1]</w:t>
      </w:r>
      <w:r w:rsidRPr="006A377C">
        <w:rPr>
          <w:szCs w:val="24"/>
        </w:rPr>
        <w:fldChar w:fldCharType="end"/>
      </w:r>
      <w:r w:rsidRPr="006A377C">
        <w:rPr>
          <w:szCs w:val="24"/>
        </w:rPr>
        <w:t>.</w:t>
      </w:r>
    </w:p>
    <w:p w14:paraId="758D5A27" w14:textId="77777777" w:rsidR="00F20CFD" w:rsidRPr="006A377C" w:rsidRDefault="00F20CFD" w:rsidP="007C78A6">
      <w:pPr>
        <w:ind w:left="709" w:hanging="1"/>
        <w:rPr>
          <w:b/>
          <w:szCs w:val="24"/>
        </w:rPr>
      </w:pPr>
      <w:r w:rsidRPr="00610BA2">
        <w:rPr>
          <w:b/>
          <w:szCs w:val="24"/>
        </w:rPr>
        <w:t>Уровень убедительности рекомендаций С (уровень достоверности доказательств – 5)</w:t>
      </w:r>
    </w:p>
    <w:p w14:paraId="4AC87A69" w14:textId="77777777" w:rsidR="00F20CFD" w:rsidRPr="006A377C" w:rsidRDefault="00F20CFD" w:rsidP="007C78A6">
      <w:pPr>
        <w:ind w:left="709" w:hanging="1"/>
        <w:rPr>
          <w:i/>
          <w:szCs w:val="24"/>
        </w:rPr>
      </w:pPr>
      <w:r w:rsidRPr="006A377C">
        <w:rPr>
          <w:b/>
          <w:szCs w:val="24"/>
        </w:rPr>
        <w:t>Комментарии</w:t>
      </w:r>
      <w:r w:rsidRPr="006A377C">
        <w:rPr>
          <w:b/>
          <w:i/>
          <w:szCs w:val="24"/>
        </w:rPr>
        <w:t xml:space="preserve">: </w:t>
      </w:r>
      <w:r w:rsidRPr="006A377C">
        <w:rPr>
          <w:i/>
          <w:szCs w:val="24"/>
        </w:rPr>
        <w:t xml:space="preserve">при выявлении положительных маркеров и наличии характерной клинической картины – начало противовирусной терапии. </w:t>
      </w:r>
    </w:p>
    <w:p w14:paraId="080CEBE2" w14:textId="77777777" w:rsidR="00F20CFD" w:rsidRPr="006A377C" w:rsidRDefault="00F20CFD" w:rsidP="005F2F2B">
      <w:pPr>
        <w:pStyle w:val="aff"/>
        <w:numPr>
          <w:ilvl w:val="0"/>
          <w:numId w:val="16"/>
        </w:numPr>
        <w:ind w:left="709" w:hanging="425"/>
        <w:rPr>
          <w:szCs w:val="24"/>
        </w:rPr>
      </w:pPr>
      <w:r w:rsidRPr="006A377C">
        <w:rPr>
          <w:szCs w:val="24"/>
        </w:rPr>
        <w:t xml:space="preserve">Всем пациентам с Нв&lt;100 г/л и красным ростком менее 10% </w:t>
      </w:r>
      <w:r w:rsidRPr="006A377C">
        <w:rPr>
          <w:b/>
          <w:szCs w:val="24"/>
        </w:rPr>
        <w:t xml:space="preserve">рекомендуется </w:t>
      </w:r>
      <w:r w:rsidRPr="006A377C">
        <w:rPr>
          <w:szCs w:val="24"/>
        </w:rPr>
        <w:t>молекулярно-биологическое исследование периферической крови и/или</w:t>
      </w:r>
      <w:r w:rsidR="00145301" w:rsidRPr="00DC5562">
        <w:rPr>
          <w:szCs w:val="24"/>
        </w:rPr>
        <w:t xml:space="preserve"> п</w:t>
      </w:r>
      <w:r w:rsidR="00145301">
        <w:rPr>
          <w:szCs w:val="24"/>
        </w:rPr>
        <w:t>унктата</w:t>
      </w:r>
      <w:r w:rsidRPr="006A377C">
        <w:rPr>
          <w:szCs w:val="24"/>
        </w:rPr>
        <w:t xml:space="preserve"> костного мозга на парвовирус B19 (Parvovirus B19)</w:t>
      </w:r>
      <w:r w:rsidRPr="006A377C">
        <w:rPr>
          <w:b/>
          <w:szCs w:val="24"/>
        </w:rPr>
        <w:t xml:space="preserve"> </w:t>
      </w:r>
      <w:r w:rsidRPr="006A377C">
        <w:rPr>
          <w:szCs w:val="24"/>
        </w:rPr>
        <w:t xml:space="preserve">для определения наличия инфицирования парвовирусом В19 </w:t>
      </w:r>
      <w:r w:rsidRPr="006A377C">
        <w:rPr>
          <w:szCs w:val="24"/>
        </w:rPr>
        <w:fldChar w:fldCharType="begin" w:fldLock="1"/>
      </w:r>
      <w:r w:rsidR="00AE1E12">
        <w:rPr>
          <w:szCs w:val="24"/>
        </w:rPr>
        <w:instrText>ADDIN CSL_CITATION {"citationItems":[{"id":"ITEM-1","itemData":{"DOI":"10.1080/08880010050120836","ISSN":"08880018","abstract":"The authors have seen transient pancytopenia with erythroid hypoplasia and striking trilineage myelodysplasia reminiscent of true myelodysplastic syndrome (MDS) in 3 children, 1 with thalassemia intermedia and the other 2 with previously undiagnosed hereditary spherocytosis. In these 3 children transient pancytopenia and myelodysplasia coincided with serological evidence of acute parvovirus-B19 (PV-B19) infection, strongly suggesting their relevance. It is of interest that these 3 cases were encountered within a period of 6 months. This might be an incidental event, but it might also be concluded that acute PV-B19 infection associated transient pancytopenia with morphological appearance of MDS may occur more frequently than reported in the literature. So, PV-B19-associated nonclonal MDS should be considered in the differential diagnosis of true clonal MDS.","author":[{"dropping-particle":"","family":"Yarali","given":"N.","non-dropping-particle":"","parse-names":false,"suffix":""},{"dropping-particle":"","family":"Duru","given":"F.","non-dropping-particle":"","parse-names":false,"suffix":""},{"dropping-particle":"","family":"Sipahi","given":"T.","non-dropping-particle":"","parse-names":false,"suffix":""},{"dropping-particle":"","family":"Kara","given":"A.","non-dropping-particle":"","parse-names":false,"suffix":""},{"dropping-particle":"","family":"Tezic","given":"T.","non-dropping-particle":"","parse-names":false,"suffix":""}],"container-title":"Pediatric Hematology and Oncology","id":"ITEM-1","issue":"6","issued":{"date-parts":[["2000"]]},"page":"475-482","publisher":"Taylor and Francis Inc.","title":"Parvovirus B19 infection reminiscent of myelodysplastic syndrome in three children with chronic hemolytic anemia","type":"article-journal","volume":"17"},"uris":["http://www.mendeley.com/documents/?uuid=263fce9a-c1ca-3a7a-a4d0-1d0e31b83a84"]}],"mendeley":{"formattedCitation":"[20]","plainTextFormattedCitation":"[20]","previouslyFormattedCitation":"[20]"},"properties":{"noteIndex":0},"schema":"https://github.com/citation-style-language/schema/raw/master/csl-citation.json"}</w:instrText>
      </w:r>
      <w:r w:rsidRPr="006A377C">
        <w:rPr>
          <w:szCs w:val="24"/>
        </w:rPr>
        <w:fldChar w:fldCharType="separate"/>
      </w:r>
      <w:r w:rsidR="00AE1E12" w:rsidRPr="00AE1E12">
        <w:rPr>
          <w:noProof/>
          <w:szCs w:val="24"/>
        </w:rPr>
        <w:t>[20]</w:t>
      </w:r>
      <w:r w:rsidRPr="006A377C">
        <w:rPr>
          <w:szCs w:val="24"/>
        </w:rPr>
        <w:fldChar w:fldCharType="end"/>
      </w:r>
      <w:r w:rsidRPr="006A377C">
        <w:rPr>
          <w:szCs w:val="24"/>
        </w:rPr>
        <w:t>.</w:t>
      </w:r>
    </w:p>
    <w:p w14:paraId="72C1F97E" w14:textId="77777777" w:rsidR="00F20CFD" w:rsidRPr="00145301" w:rsidRDefault="00F20CFD" w:rsidP="007C78A6">
      <w:pPr>
        <w:ind w:left="709" w:hanging="1"/>
        <w:rPr>
          <w:b/>
          <w:szCs w:val="24"/>
        </w:rPr>
      </w:pPr>
      <w:r w:rsidRPr="006A377C">
        <w:rPr>
          <w:b/>
          <w:szCs w:val="24"/>
        </w:rPr>
        <w:t xml:space="preserve">Уровень убедительности рекомендаций С (уровень достоверности доказательств – </w:t>
      </w:r>
      <w:r w:rsidR="00145301" w:rsidRPr="00DC5562">
        <w:rPr>
          <w:b/>
          <w:szCs w:val="24"/>
        </w:rPr>
        <w:t>4</w:t>
      </w:r>
    </w:p>
    <w:p w14:paraId="168D400D" w14:textId="77777777" w:rsidR="00F20CFD" w:rsidRPr="006A377C" w:rsidRDefault="00F20CFD" w:rsidP="007C78A6">
      <w:pPr>
        <w:ind w:left="709" w:hanging="1"/>
        <w:rPr>
          <w:i/>
          <w:szCs w:val="24"/>
        </w:rPr>
      </w:pPr>
      <w:r w:rsidRPr="006A377C">
        <w:rPr>
          <w:b/>
          <w:szCs w:val="24"/>
        </w:rPr>
        <w:lastRenderedPageBreak/>
        <w:t xml:space="preserve">Комментарии: </w:t>
      </w:r>
      <w:r w:rsidRPr="006A377C">
        <w:rPr>
          <w:i/>
          <w:szCs w:val="24"/>
        </w:rPr>
        <w:t xml:space="preserve">при выявлении положительных маркеров – начало специфической терапии. </w:t>
      </w:r>
    </w:p>
    <w:p w14:paraId="43DEEE24" w14:textId="77777777" w:rsidR="00F20CFD" w:rsidRPr="006A377C" w:rsidRDefault="00F20CFD" w:rsidP="005F2F2B">
      <w:pPr>
        <w:pStyle w:val="aff"/>
        <w:numPr>
          <w:ilvl w:val="0"/>
          <w:numId w:val="16"/>
        </w:numPr>
        <w:ind w:left="709" w:hanging="425"/>
        <w:rPr>
          <w:szCs w:val="24"/>
        </w:rPr>
      </w:pPr>
      <w:r w:rsidRPr="006A377C">
        <w:rPr>
          <w:szCs w:val="24"/>
        </w:rPr>
        <w:t xml:space="preserve">Пациентам с изолированной анемией, особенно в молодом возрасте, при наличии признаков гемолиза для верификации диагноза МДС </w:t>
      </w:r>
      <w:r w:rsidRPr="006A377C">
        <w:rPr>
          <w:b/>
          <w:szCs w:val="24"/>
        </w:rPr>
        <w:t>рекомендуется</w:t>
      </w:r>
      <w:r w:rsidRPr="006A377C">
        <w:rPr>
          <w:szCs w:val="24"/>
        </w:rPr>
        <w:t xml:space="preserve"> </w:t>
      </w:r>
      <w:r w:rsidR="00A139A6">
        <w:rPr>
          <w:szCs w:val="24"/>
        </w:rPr>
        <w:t>количественная оценка соотношения типов гемоглобина</w:t>
      </w:r>
      <w:r w:rsidRPr="006A377C">
        <w:rPr>
          <w:szCs w:val="24"/>
        </w:rPr>
        <w:t xml:space="preserve"> для исключения врожденной гемолитической анемии </w:t>
      </w:r>
      <w:r w:rsidRPr="006A377C">
        <w:rPr>
          <w:szCs w:val="24"/>
        </w:rPr>
        <w:fldChar w:fldCharType="begin" w:fldLock="1"/>
      </w:r>
      <w:r w:rsidR="00AE1E12">
        <w:rPr>
          <w:szCs w:val="24"/>
        </w:rPr>
        <w:instrText>ADDIN CSL_CITATION {"citationItems":[{"id":"ITEM-1","itemData":{"ISSN":"09715916","PMID":"22089618","abstract":"Haemoglobin (Hb) abnormalities though quite frequent, are generally detected in populations during surveys and programmes run for prevention of Hb disorders. Several methods are now available for detection of Hb abnormalities. In this review, the following are discussed: (i) the methods used for characterization of haemoglobin disorders; (ii) the problems linked to diagnosis of thalassaemic trait; (iii) the strategy for detection of common Hb variants; and (iv) the difficulties in identification of rare variants. The differences between developing and industrialized countries for the strategies employed in the diagnosis of abnormal haemoglobins are considered. We mention the limits and pitfalls for each approach and the necessity to characterize the abnormalities using at least two different methods. The recommended strategy is to use a combination of cation-exchange high performance chromatography (CE-HPLC), capillary electrophoresis (CE) and when possible isoelectric focusing (IEF). Difficult cases may demand further investigations requiring specialized protein and/or molecular biology techniques.","author":[{"dropping-particle":"","family":"Wajcman","given":"Henri","non-dropping-particle":"","parse-names":false,"suffix":""},{"dropping-particle":"","family":"Moradkhani","given":"Kamran","non-dropping-particle":"","parse-names":false,"suffix":""}],"container-title":"Indian Journal of Medical Research","id":"ITEM-1","issue":"10","issued":{"date-parts":[["2011","10"]]},"page":"538-546","title":"Abnormal haemoglobins: Detection &amp; characterization","type":"article","volume":"134"},"uris":["http://www.mendeley.com/documents/?uuid=e0745ca5-1567-3f10-a360-ee655a90eecb"]}],"mendeley":{"formattedCitation":"[21]","plainTextFormattedCitation":"[21]","previouslyFormattedCitation":"[21]"},"properties":{"noteIndex":0},"schema":"https://github.com/citation-style-language/schema/raw/master/csl-citation.json"}</w:instrText>
      </w:r>
      <w:r w:rsidRPr="006A377C">
        <w:rPr>
          <w:szCs w:val="24"/>
        </w:rPr>
        <w:fldChar w:fldCharType="separate"/>
      </w:r>
      <w:r w:rsidR="00AE1E12" w:rsidRPr="00AE1E12">
        <w:rPr>
          <w:noProof/>
          <w:szCs w:val="24"/>
        </w:rPr>
        <w:t>[21]</w:t>
      </w:r>
      <w:r w:rsidRPr="006A377C">
        <w:rPr>
          <w:szCs w:val="24"/>
        </w:rPr>
        <w:fldChar w:fldCharType="end"/>
      </w:r>
      <w:r w:rsidRPr="006A377C">
        <w:rPr>
          <w:szCs w:val="24"/>
        </w:rPr>
        <w:t>.</w:t>
      </w:r>
    </w:p>
    <w:p w14:paraId="5A62B67D" w14:textId="77777777" w:rsidR="00F20CFD" w:rsidRPr="006A377C" w:rsidRDefault="00F20CFD" w:rsidP="007C78A6">
      <w:pPr>
        <w:ind w:left="709" w:hanging="1"/>
        <w:rPr>
          <w:b/>
          <w:szCs w:val="24"/>
        </w:rPr>
      </w:pPr>
      <w:r w:rsidRPr="00A11A64">
        <w:rPr>
          <w:b/>
          <w:szCs w:val="24"/>
        </w:rPr>
        <w:t>Уровень убедительности рекомендаций С (уровень достоверности доказательств – 5)</w:t>
      </w:r>
    </w:p>
    <w:p w14:paraId="17FFCA54" w14:textId="77777777" w:rsidR="00F20CFD" w:rsidRPr="006A377C" w:rsidRDefault="00F20CFD" w:rsidP="007C78A6">
      <w:pPr>
        <w:ind w:left="709" w:hanging="1"/>
        <w:rPr>
          <w:szCs w:val="24"/>
        </w:rPr>
      </w:pPr>
      <w:r w:rsidRPr="006A377C">
        <w:rPr>
          <w:b/>
          <w:szCs w:val="24"/>
        </w:rPr>
        <w:t xml:space="preserve">Комментарии: </w:t>
      </w:r>
      <w:r w:rsidRPr="006A377C">
        <w:rPr>
          <w:i/>
          <w:szCs w:val="24"/>
        </w:rPr>
        <w:t>выполнение данного вида исследования возможно только в научных центрах и /или в рамках научных исследований.</w:t>
      </w:r>
      <w:r w:rsidRPr="006A377C">
        <w:rPr>
          <w:szCs w:val="24"/>
        </w:rPr>
        <w:t xml:space="preserve"> </w:t>
      </w:r>
    </w:p>
    <w:p w14:paraId="4B01C817" w14:textId="77777777" w:rsidR="00F20CFD" w:rsidRPr="006A377C" w:rsidRDefault="00F20CFD" w:rsidP="005F2F2B">
      <w:pPr>
        <w:pStyle w:val="aff"/>
        <w:numPr>
          <w:ilvl w:val="0"/>
          <w:numId w:val="16"/>
        </w:numPr>
        <w:ind w:left="709" w:hanging="425"/>
        <w:rPr>
          <w:b/>
          <w:szCs w:val="24"/>
        </w:rPr>
      </w:pPr>
      <w:r w:rsidRPr="006A377C">
        <w:rPr>
          <w:szCs w:val="24"/>
        </w:rPr>
        <w:t xml:space="preserve">Пациентам, у которых при цитохимическом исследовании эритрокариоцитов определяются КС более чем в 15%, </w:t>
      </w:r>
      <w:r w:rsidR="00D66C97">
        <w:rPr>
          <w:szCs w:val="24"/>
        </w:rPr>
        <w:t xml:space="preserve">для </w:t>
      </w:r>
      <w:r w:rsidRPr="006A377C">
        <w:rPr>
          <w:szCs w:val="24"/>
        </w:rPr>
        <w:t xml:space="preserve">исключения дефицита или избытка микроэлементов </w:t>
      </w:r>
      <w:r w:rsidR="00D66C97">
        <w:rPr>
          <w:szCs w:val="24"/>
        </w:rPr>
        <w:t>с целью диференциальной диагностики</w:t>
      </w:r>
      <w:r w:rsidR="00D66C97" w:rsidRPr="006A377C">
        <w:rPr>
          <w:b/>
          <w:szCs w:val="24"/>
        </w:rPr>
        <w:t xml:space="preserve"> </w:t>
      </w:r>
      <w:r w:rsidRPr="006A377C">
        <w:rPr>
          <w:b/>
          <w:szCs w:val="24"/>
        </w:rPr>
        <w:t>рекомендуется</w:t>
      </w:r>
      <w:r w:rsidRPr="006A377C">
        <w:rPr>
          <w:szCs w:val="24"/>
        </w:rPr>
        <w:t xml:space="preserve"> исследование</w:t>
      </w:r>
      <w:r w:rsidR="00BF1E35">
        <w:rPr>
          <w:szCs w:val="24"/>
        </w:rPr>
        <w:t xml:space="preserve"> уровней</w:t>
      </w:r>
      <w:r w:rsidRPr="006A377C">
        <w:rPr>
          <w:szCs w:val="24"/>
        </w:rPr>
        <w:t xml:space="preserve"> меди и цинка в сыворотке крови </w:t>
      </w:r>
      <w:r w:rsidRPr="006A377C">
        <w:rPr>
          <w:szCs w:val="24"/>
        </w:rPr>
        <w:fldChar w:fldCharType="begin" w:fldLock="1"/>
      </w:r>
      <w:r w:rsidR="00AE1E12">
        <w:rPr>
          <w:szCs w:val="24"/>
        </w:rPr>
        <w:instrText>ADDIN CSL_CITATION {"citationItems":[{"id":"ITEM-1","itemData":{"DOI":"10.3324/haematol.11314","ISSN":"03906078","abstract":"Copper deficiency is an etiology of anemia, neutropenia, and bone marrow dysplasia that may be under-recognized. We report 5 patients with clinical presentation consistent with MDS who were found to be deficient in copper and whose hematologic abnormalities resolved with copper supplementation. We recommend copper level assessment in patients suspected of having low-risk MDS, especially those with gastrointestinal disorders and neuropathy.","author":[{"dropping-particle":"","family":"Fong","given":"Thomas","non-dropping-particle":"","parse-names":false,"suffix":""},{"dropping-particle":"","family":"Vij","given":"Ravi","non-dropping-particle":"","parse-names":false,"suffix":""},{"dropping-particle":"","family":"Vijayan","given":"Anitha","non-dropping-particle":"","parse-names":false,"suffix":""},{"dropping-particle":"","family":"DiPersio","given":"John","non-dropping-particle":"","parse-names":false,"suffix":""},{"dropping-particle":"","family":"Blinder","given":"Morey","non-dropping-particle":"","parse-names":false,"suffix":""}],"container-title":"Haematologica","id":"ITEM-1","issue":"10","issued":{"date-parts":[["2007","10"]]},"page":"1429-1430","title":"Copper deficiency: An important consideration in the differential diagnosis of myelodysplastic syndrome","type":"article-journal","volume":"92"},"uris":["http://www.mendeley.com/documents/?uuid=c6e14166-2bcd-3542-a9c8-070d71ae367a"]},{"id":"ITEM-2","itemData":{"DOI":"10.1097/PAT.0000000000000080","ISSN":"1465-3931","PMID":"24614701","author":[{"dropping-particle":"","family":"Thakral","given":"Beenu","non-dropping-particle":"","parse-names":false,"suffix":""},{"dropping-particle":"","family":"Saluja","given":"Karan","non-dropping-particle":"","parse-names":false,"suffix":""},{"dropping-particle":"","family":"Eldibany","given":"Mohamed","non-dropping-particle":"","parse-names":false,"suffix":""}],"container-title":"Pathology","id":"ITEM-2","issue":"3","issued":{"date-parts":[["2014","4"]]},"page":"246-8","title":"Zinc-induced copper deficiency: a diagnostic pitfall of myelodysplastic syndrome.","type":"article-journal","volume":"46"},"uris":["http://www.mendeley.com/documents/?uuid=b2dc9cff-7c92-33f4-af70-04dc2e2d2d09"]}],"mendeley":{"formattedCitation":"[22,23]","plainTextFormattedCitation":"[22,23]","previouslyFormattedCitation":"[22,23]"},"properties":{"noteIndex":0},"schema":"https://github.com/citation-style-language/schema/raw/master/csl-citation.json"}</w:instrText>
      </w:r>
      <w:r w:rsidRPr="006A377C">
        <w:rPr>
          <w:szCs w:val="24"/>
        </w:rPr>
        <w:fldChar w:fldCharType="separate"/>
      </w:r>
      <w:r w:rsidR="00AE1E12" w:rsidRPr="00AE1E12">
        <w:rPr>
          <w:noProof/>
          <w:szCs w:val="24"/>
        </w:rPr>
        <w:t>[22,23]</w:t>
      </w:r>
      <w:r w:rsidRPr="006A377C">
        <w:rPr>
          <w:szCs w:val="24"/>
        </w:rPr>
        <w:fldChar w:fldCharType="end"/>
      </w:r>
      <w:r w:rsidRPr="006A377C">
        <w:rPr>
          <w:szCs w:val="24"/>
        </w:rPr>
        <w:t xml:space="preserve">. </w:t>
      </w:r>
    </w:p>
    <w:p w14:paraId="1E65F073" w14:textId="77777777" w:rsidR="00F20CFD" w:rsidRPr="006A377C" w:rsidRDefault="00F20CFD" w:rsidP="007C78A6">
      <w:pPr>
        <w:pStyle w:val="aff"/>
        <w:ind w:left="709" w:hanging="1"/>
        <w:rPr>
          <w:b/>
          <w:szCs w:val="24"/>
        </w:rPr>
      </w:pPr>
      <w:r w:rsidRPr="006A377C">
        <w:rPr>
          <w:b/>
          <w:szCs w:val="24"/>
        </w:rPr>
        <w:t xml:space="preserve">Уровень убедительности рекомендаций </w:t>
      </w:r>
      <w:r w:rsidR="00CE10B5">
        <w:rPr>
          <w:b/>
          <w:szCs w:val="24"/>
        </w:rPr>
        <w:t>С</w:t>
      </w:r>
      <w:r w:rsidRPr="006A377C">
        <w:rPr>
          <w:b/>
          <w:szCs w:val="24"/>
        </w:rPr>
        <w:t xml:space="preserve"> (уровень достоверности доказательств – </w:t>
      </w:r>
      <w:r w:rsidR="00CE10B5">
        <w:rPr>
          <w:b/>
          <w:szCs w:val="24"/>
        </w:rPr>
        <w:t>4</w:t>
      </w:r>
      <w:r w:rsidRPr="006A377C">
        <w:rPr>
          <w:b/>
          <w:szCs w:val="24"/>
        </w:rPr>
        <w:t>)</w:t>
      </w:r>
    </w:p>
    <w:p w14:paraId="47C63A4D" w14:textId="77777777" w:rsidR="00F20CFD" w:rsidRPr="006A377C" w:rsidRDefault="00F20CFD" w:rsidP="007C78A6">
      <w:pPr>
        <w:ind w:left="709" w:hanging="1"/>
        <w:rPr>
          <w:i/>
          <w:szCs w:val="24"/>
        </w:rPr>
      </w:pPr>
      <w:r w:rsidRPr="006A377C">
        <w:rPr>
          <w:b/>
          <w:szCs w:val="24"/>
        </w:rPr>
        <w:t xml:space="preserve">Комментарии: </w:t>
      </w:r>
      <w:r w:rsidRPr="006A377C">
        <w:rPr>
          <w:i/>
          <w:szCs w:val="24"/>
        </w:rPr>
        <w:t>при выявлении изменений – проведение их коррекции.</w:t>
      </w:r>
    </w:p>
    <w:p w14:paraId="1AB7839A" w14:textId="77777777" w:rsidR="00F20CFD" w:rsidRPr="00AE1E12" w:rsidRDefault="0059374A" w:rsidP="005F2F2B">
      <w:pPr>
        <w:pStyle w:val="aff"/>
        <w:numPr>
          <w:ilvl w:val="0"/>
          <w:numId w:val="16"/>
        </w:numPr>
        <w:ind w:left="709" w:hanging="425"/>
        <w:rPr>
          <w:szCs w:val="24"/>
        </w:rPr>
      </w:pPr>
      <w:r>
        <w:rPr>
          <w:szCs w:val="24"/>
        </w:rPr>
        <w:t>Всем п</w:t>
      </w:r>
      <w:r w:rsidR="00F20CFD" w:rsidRPr="006A377C">
        <w:rPr>
          <w:szCs w:val="24"/>
        </w:rPr>
        <w:t xml:space="preserve">ациентам с цитопеническим синдромом, а также при длительном наблюдении, </w:t>
      </w:r>
      <w:r w:rsidR="00F20CFD" w:rsidRPr="006A377C">
        <w:rPr>
          <w:b/>
          <w:szCs w:val="24"/>
        </w:rPr>
        <w:t>рекомендуется</w:t>
      </w:r>
      <w:r w:rsidR="00F20CFD" w:rsidRPr="006A377C">
        <w:rPr>
          <w:szCs w:val="24"/>
        </w:rPr>
        <w:t xml:space="preserve"> исследование </w:t>
      </w:r>
      <w:r w:rsidR="002637CD">
        <w:rPr>
          <w:szCs w:val="24"/>
        </w:rPr>
        <w:t xml:space="preserve">уровней </w:t>
      </w:r>
      <w:r w:rsidR="00F20CFD" w:rsidRPr="006A377C">
        <w:rPr>
          <w:szCs w:val="24"/>
        </w:rPr>
        <w:t>гормонов щитовидной железы и наличия антител (ТТГ, Т3, Т4 св</w:t>
      </w:r>
      <w:r w:rsidR="002713DD">
        <w:rPr>
          <w:szCs w:val="24"/>
        </w:rPr>
        <w:t>.</w:t>
      </w:r>
      <w:r w:rsidR="00F20CFD" w:rsidRPr="006A377C">
        <w:rPr>
          <w:szCs w:val="24"/>
        </w:rPr>
        <w:t xml:space="preserve">, АТТПО, антитела к тиреоглобулину) для </w:t>
      </w:r>
      <w:r w:rsidR="00F20CFD" w:rsidRPr="00AE1E12">
        <w:rPr>
          <w:szCs w:val="24"/>
        </w:rPr>
        <w:t>исключения гипотиреоза</w:t>
      </w:r>
      <w:r w:rsidR="00535CCC" w:rsidRPr="00AE1E12">
        <w:rPr>
          <w:szCs w:val="24"/>
        </w:rPr>
        <w:t xml:space="preserve"> в рамках дифференциальной диагностики</w:t>
      </w:r>
      <w:r w:rsidR="00F20CFD" w:rsidRPr="00AE1E12">
        <w:rPr>
          <w:szCs w:val="24"/>
        </w:rPr>
        <w:t xml:space="preserve"> </w:t>
      </w:r>
      <w:r w:rsidR="00F20CFD" w:rsidRPr="00AE1E12">
        <w:rPr>
          <w:szCs w:val="24"/>
        </w:rPr>
        <w:fldChar w:fldCharType="begin" w:fldLock="1"/>
      </w:r>
      <w:r w:rsidR="00AE1E12">
        <w:rPr>
          <w:szCs w:val="24"/>
        </w:rPr>
        <w:instrText>ADDIN CSL_CITATION {"citationItems":[{"id":"ITEM-1","itemData":{"ISSN":"2008-8892","PMID":"24575274","abstract":"BACKGROUND Thyroid hormones have a crucial role in metabolism and proliferation of blood cells. Thyroid dysfunction induces different effects on blood cells such as anemia, erythrocytosis leukopenia, thrombocytopenia, and in rare cases causes' pancytopenia. It also alter RBC indices include MCV, MCH, MCHC and RDW. Thus this study attempted to evaluate effect of hypo &amp; hyperthyroidism on blood cell count and RBC indices. MATERIALS AND METHODS This study performed on 102 patients with hypothyroid (14.1 years), 84 with hyperthyroid (15.6 years) and 118 healthy individuals (15.2 years) as control group. Initially patients TSH level of patients was determined by ELISA method, and then according to TSH ranges (0.3-5.5µIU/mL) patients were divided into two Hyperthyroidism (TSH&lt;0.3µIU/mL) and hypothyroidism (TSH&gt;5.5µIU/mL) groups. Then, complete blood count was measured by cell counter. Finally, obtained results were analyzed by SPSS software. RESULTS Analyzes of obtained data revealed statistically significant difference between two groups of patients in RBC count, MCH, MCHC, RDW, HB and HCT(P-value&lt;0.05), but the difference was not significant for WBC and PLT counts and MCV (P-value&gt;0.05). CONCLUSION In case of patients with unknown hematological dysfunctions, must be evaluated for thyroid hormones.","author":[{"dropping-particle":"","family":"Dorgalaleh","given":"A","non-dropping-particle":"","parse-names":false,"suffix":""},{"dropping-particle":"","family":"Mahmoodi","given":"M","non-dropping-particle":"","parse-names":false,"suffix":""},{"dropping-particle":"","family":"Varmaghani","given":"B","non-dropping-particle":"","parse-names":false,"suffix":""},{"dropping-particle":"","family":"Kiani Node","given":"F","non-dropping-particle":"","parse-names":false,"suffix":""},{"dropping-particle":"","family":"Saeeidi Kia","given":"O","non-dropping-particle":"","parse-names":false,"suffix":""},{"dropping-particle":"","family":"Alizadeh","given":"Sh","non-dropping-particle":"","parse-names":false,"suffix":""},{"dropping-particle":"","family":"Tabibian","given":"Sh","non-dropping-particle":"","parse-names":false,"suffix":""},{"dropping-particle":"","family":"Bamedi","given":"T","non-dropping-particle":"","parse-names":false,"suffix":""},{"dropping-particle":"","family":"Momeni","given":"M","non-dropping-particle":"","parse-names":false,"suffix":""},{"dropping-particle":"","family":"Abbasian","given":"S","non-dropping-particle":"","parse-names":false,"suffix":""},{"dropping-particle":"","family":"Kashani Khatib","given":"Z","non-dropping-particle":"","parse-names":false,"suffix":""}],"container-title":"Iranian journal of pediatric hematology and oncology","id":"ITEM-1","issue":"2","issued":{"date-parts":[["2013"]]},"page":"73-7","title":"Effect of thyroid dysfunctions on blood cell count and red blood cell indice.","type":"article-journal","volume":"3"},"uris":["http://www.mendeley.com/documents/?uuid=2f53861d-b571-37d8-806c-beb00ada1dbb"]}],"mendeley":{"formattedCitation":"[24]","plainTextFormattedCitation":"[24]","previouslyFormattedCitation":"[24]"},"properties":{"noteIndex":0},"schema":"https://github.com/citation-style-language/schema/raw/master/csl-citation.json"}</w:instrText>
      </w:r>
      <w:r w:rsidR="00F20CFD" w:rsidRPr="00AE1E12">
        <w:rPr>
          <w:szCs w:val="24"/>
        </w:rPr>
        <w:fldChar w:fldCharType="separate"/>
      </w:r>
      <w:r w:rsidR="00AE1E12" w:rsidRPr="00AE1E12">
        <w:rPr>
          <w:noProof/>
          <w:szCs w:val="24"/>
        </w:rPr>
        <w:t>[24]</w:t>
      </w:r>
      <w:r w:rsidR="00F20CFD" w:rsidRPr="00AE1E12">
        <w:rPr>
          <w:szCs w:val="24"/>
        </w:rPr>
        <w:fldChar w:fldCharType="end"/>
      </w:r>
      <w:r w:rsidR="00F20CFD" w:rsidRPr="00AE1E12">
        <w:rPr>
          <w:szCs w:val="24"/>
        </w:rPr>
        <w:t>.</w:t>
      </w:r>
    </w:p>
    <w:p w14:paraId="0D406671" w14:textId="77777777" w:rsidR="00F20CFD" w:rsidRPr="00AE1E12" w:rsidRDefault="00F20CFD" w:rsidP="007C78A6">
      <w:pPr>
        <w:ind w:left="709" w:hanging="1"/>
        <w:rPr>
          <w:b/>
          <w:szCs w:val="24"/>
        </w:rPr>
      </w:pPr>
      <w:r w:rsidRPr="00AE1E12">
        <w:rPr>
          <w:b/>
          <w:szCs w:val="24"/>
        </w:rPr>
        <w:t xml:space="preserve">Уровень убедительности рекомендаций </w:t>
      </w:r>
      <w:r w:rsidR="00AE1E12" w:rsidRPr="002A666E">
        <w:rPr>
          <w:b/>
          <w:szCs w:val="24"/>
        </w:rPr>
        <w:t>В</w:t>
      </w:r>
      <w:r w:rsidR="00AE1E12" w:rsidRPr="00AE1E12">
        <w:rPr>
          <w:b/>
          <w:szCs w:val="24"/>
        </w:rPr>
        <w:t xml:space="preserve"> </w:t>
      </w:r>
      <w:r w:rsidRPr="00AE1E12">
        <w:rPr>
          <w:b/>
          <w:szCs w:val="24"/>
        </w:rPr>
        <w:t xml:space="preserve">(уровень достоверности доказательств – </w:t>
      </w:r>
      <w:r w:rsidR="00AE1E12" w:rsidRPr="002A666E">
        <w:rPr>
          <w:b/>
          <w:szCs w:val="24"/>
        </w:rPr>
        <w:t>3</w:t>
      </w:r>
      <w:r w:rsidRPr="00AE1E12">
        <w:rPr>
          <w:b/>
          <w:szCs w:val="24"/>
        </w:rPr>
        <w:t>)</w:t>
      </w:r>
    </w:p>
    <w:p w14:paraId="7AA6B911" w14:textId="77777777" w:rsidR="00F20CFD" w:rsidRPr="006A377C" w:rsidRDefault="00F20CFD" w:rsidP="007C78A6">
      <w:pPr>
        <w:ind w:left="709" w:hanging="1"/>
        <w:rPr>
          <w:i/>
          <w:szCs w:val="24"/>
        </w:rPr>
      </w:pPr>
      <w:r w:rsidRPr="00AE1E12">
        <w:rPr>
          <w:b/>
          <w:szCs w:val="24"/>
        </w:rPr>
        <w:t xml:space="preserve">Комментарии: </w:t>
      </w:r>
      <w:r w:rsidRPr="00AE1E12">
        <w:rPr>
          <w:i/>
          <w:szCs w:val="24"/>
        </w:rPr>
        <w:t>при выявлении изменений – проведение их коррекции.</w:t>
      </w:r>
      <w:r w:rsidRPr="006A377C">
        <w:rPr>
          <w:i/>
          <w:szCs w:val="24"/>
        </w:rPr>
        <w:t xml:space="preserve"> </w:t>
      </w:r>
    </w:p>
    <w:p w14:paraId="6916ADF8" w14:textId="77777777" w:rsidR="00F20CFD" w:rsidRPr="006A377C" w:rsidRDefault="00F20CFD" w:rsidP="005F2F2B">
      <w:pPr>
        <w:pStyle w:val="aff"/>
        <w:numPr>
          <w:ilvl w:val="0"/>
          <w:numId w:val="16"/>
        </w:numPr>
        <w:ind w:left="709" w:hanging="425"/>
        <w:rPr>
          <w:szCs w:val="24"/>
        </w:rPr>
      </w:pPr>
      <w:r w:rsidRPr="006A377C">
        <w:rPr>
          <w:szCs w:val="24"/>
        </w:rPr>
        <w:t xml:space="preserve">Всем пациентам для верификации диагноза, определения группы риска по прогностическим шкалам, выявления прогрессии заболевания в МДС с избытком бластов или в ОЛ, констатации достижения ремиссии или резистентности к проводимой терапии </w:t>
      </w:r>
      <w:r w:rsidRPr="006A377C">
        <w:rPr>
          <w:b/>
          <w:szCs w:val="24"/>
        </w:rPr>
        <w:t>рекомендуются</w:t>
      </w:r>
      <w:r w:rsidRPr="006A377C">
        <w:rPr>
          <w:szCs w:val="24"/>
        </w:rPr>
        <w:t xml:space="preserve"> </w:t>
      </w:r>
      <w:r w:rsidRPr="006A377C">
        <w:rPr>
          <w:bCs/>
          <w:szCs w:val="24"/>
        </w:rPr>
        <w:t xml:space="preserve">получение цитологического препарата костного мозга путем пункции грудины или подвздошой кости с аспирацией костного мозга и последующим </w:t>
      </w:r>
      <w:r w:rsidRPr="006A377C">
        <w:rPr>
          <w:szCs w:val="24"/>
        </w:rPr>
        <w:t xml:space="preserve">цитологическим исследованием мазка КМ (миелограмма) с подсчетом состава КМ и оценка степени дисплазии в каждом ростке кроветворения. При получении «сухого» пунктата возможно использование отпечатков трепанобиоптата КМ </w:t>
      </w:r>
      <w:r w:rsidRPr="006A377C">
        <w:rPr>
          <w:szCs w:val="24"/>
        </w:rPr>
        <w:fldChar w:fldCharType="begin" w:fldLock="1"/>
      </w:r>
      <w:r w:rsidR="00AE1E12">
        <w:rPr>
          <w:szCs w:val="24"/>
        </w:rPr>
        <w:instrText>ADDIN CSL_CITATION {"citationItems":[{"id":"ITEM-1","itemData":{"DOI":"10.3324/haematol.13755","ISSN":"03906078","abstract":"Members of the French-American-British Cooperative Leukemia Working Group met to review cases of aplastic anemia, hypocellular myelodysplastic syndrome and hypocellular acute myeloid leukemia. Criteria were proposed and modified following three workshops. Additional input was obtained from another hematopathologist with a special interest in bone marrow histology and immunohistochemistry. Guidelines were recommended based on the workshop results as well as additional studies including selective immunohistochemistry, flow cytometry and cytogenetics.","author":[{"dropping-particle":"","family":"Bennett","given":"John M.","non-dropping-particle":"","parse-names":false,"suffix":""},{"dropping-particle":"","family":"Orazi","given":"Attilio","non-dropping-particle":"","parse-names":false,"suffix":""}],"container-title":"Haematologica","id":"ITEM-1","issue":"2","issued":{"date-parts":[["2009","2"]]},"page":"264-268","title":"Diagnostic criteria to distinguish hypocellular acute myeloid leukemia from hypocellular myelodysplastic syndromes and aplastic anemia: Recommendations for a standardized approach","type":"article-journal","volume":"94"},"uris":["http://www.mendeley.com/documents/?uuid=165bb17b-e7d7-3651-90c5-0fdf02ae3b1d"]},{"id":"ITEM-2","itemData":{"DOI":"10.1016/j.leukres.2016.04.009","ISSN":"1873-5835","PMID":"27107657","abstract":"Evaluation of megakaryocyte morphology is difficult but can be essential for the diagnosis of myelodysplastic syndromes (MDS) and other myeloid neoplasms. We agreed upon descriptions and provided images of megakaryoblasts and of normal and dysplastic megakaryocytes, which were used as a basis for assessing the concordance of expert morphologists in their recognition. We showed a high rate of concordance for the recognition of micromegakaryocytes and confirmed their strong association with hematologic neoplasia, including MDS. Concordance was also found to be good for the recognition of multinucleated megakaryocytes, which showed a significant association with MDS. However cytoplasmic abnormalities were found not to be useful in MDS recognition. The occurrence of appreciable numbers of nonlobulated and hypolobulated megakaryocytes in individuals without a myeloid neoplasm was confirmed. We demonstrated that subjects without a myeloid neoplasm can have some megakaryocytes that are assessed as 'dysplastic' or 'possibly dysplastic' and that to avoid over diagnosis of dysplasia, 'possibly dysplastic' forms should be excluded from the count of dysplastic cells. Our results demonstrate that the nature as well as the presence of megakaryocyte dysplasia is important in the diagnosis of MDS; although evaluation of 30 megakaryocytes is strongly recommended, it may be possible to recognize diagnostically important dysplasia when fewer megakaryocytes are present but highly diagnostic forms are seen.","author":[{"dropping-particle":"","family":"Goasguen","given":"Jean E","non-dropping-particle":"","parse-names":false,"suffix":""},{"dropping-particle":"","family":"Bennett","given":"John M","non-dropping-particle":"","parse-names":false,"suffix":""},{"dropping-particle":"","family":"Bain","given":"Barbara J","non-dropping-particle":"","parse-names":false,"suffix":""},{"dropping-particle":"","family":"Brunning","given":"Richard D","non-dropping-particle":"","parse-names":false,"suffix":""},{"dropping-particle":"","family":"Vallespí","given":"Maria-Teresa","non-dropping-particle":"","parse-names":false,"suffix":""},{"dropping-particle":"","family":"Tomonaga","given":"Masao","non-dropping-particle":"","parse-names":false,"suffix":""},{"dropping-particle":"","family":"Zini","given":"Gina","non-dropping-particle":"","parse-names":false,"suffix":""},{"dropping-particle":"","family":"Renault","given":"Alain","non-dropping-particle":"","parse-names":false,"suffix":""},{"dropping-particle":"","family":"International Working Group on Morphology of MDS IWGM-MDS","given":"","non-dropping-particle":"","parse-names":false,"suffix":""}],"container-title":"Leukemia research","id":"ITEM-2","issued":{"date-parts":[["2016"]]},"page":"75-81","title":"Quality control initiative on the evaluation of the dysmegakaryopoiesis in myeloid neoplasms: Difficulties in the assessment of dysplasia.","type":"article-journal","volume":"45"},"uris":["http://www.mendeley.com/documents/?uuid=028abb8b-633b-32a2-ba77-da1632cefb8f"]},{"id":"ITEM-3","itemData":{"DOI":"10.3324/haematol.13405","ISSN":"1592-8721","PMID":"18838480","abstract":"The classification of myelodysplastic syndromes is based on the morphological criteria proposed by the French-American-British (FAB) and World Health Organization (WHO) groups. Accurate enumeration of blast cells, although essential for diagnosis of myelodysplastic syndrome and for assignment to prognostic groups, is often difficult, due to imprecise criteria for the morphological definition of blasts and promyelocytes. An International Working Group on Morphology of Myelodysplastic Syndrome (IWGM-MDS) of hematopathologists and hematologists expert in the field of myelodysplastic syndrome reviewed the morphological features of bone marrows from all subtypes of myelodysplastic syndrome and agreed on a set of recommendations, including recommendations for the definition and enumeration of blast cells and ring sideroblasts. It is recommended that (1) agranular or granular blast cells be defined (replacing the previous type I, II and III blasts), (2) dysplastic promyelocytes be distinguished from cytologically normal promyelocytes and from granular blast cells, (3) sufficient cells be counted to give a precise blast percentage, particularly at thresholds that are important for diagnosis or prognosis and (4) ring sideroblasts be defined as erythroblasts in which there are a minimum of 5 siderotic granules covering at least a third of the nuclear circumference. Clear definitions and a differential count of a sufficient number of cells is likely to improve precision in the diagnosis and classification of myelodysplastic syndrome. Recommendations should be applied in the context of the WHO classification.","author":[{"dropping-particle":"","family":"Mufti","given":"Ghulam J","non-dropping-particle":"","parse-names":false,"suffix":""},{"dropping-particle":"","family":"Bennett","given":"John M","non-dropping-particle":"","parse-names":false,"suffix":""},{"dropping-particle":"","family":"Goasguen","given":"Jean","non-dropping-particle":"","parse-names":false,"suffix":""},{"dropping-particle":"","family":"Bain","given":"Barbara J","non-dropping-particle":"","parse-names":false,"suffix":""},{"dropping-particle":"","family":"Baumann","given":"Irith","non-dropping-particle":"","parse-names":false,"suffix":""},{"dropping-particle":"","family":"Brunning","given":"Richard","non-dropping-particle":"","parse-names":false,"suffix":""},{"dropping-particle":"","family":"Cazzola","given":"Mario","non-dropping-particle":"","parse-names":false,"suffix":""},{"dropping-particle":"","family":"Fenaux","given":"Pierre","non-dropping-particle":"","parse-names":false,"suffix":""},{"dropping-particle":"","family":"Germing","given":"Ulrich","non-dropping-particle":"","parse-names":false,"suffix":""},{"dropping-particle":"","family":"Hellström-Lindberg","given":"Eva","non-dropping-particle":"","parse-names":false,"suffix":""},{"dropping-particle":"","family":"Jinnai","given":"Itsuro","non-dropping-particle":"","parse-names":false,"suffix":""},{"dropping-particle":"","family":"Manabe","given":"Atsushi","non-dropping-particle":"","parse-names":false,"suffix":""},{"dropping-particle":"","family":"Matsuda","given":"Akira","non-dropping-particle":"","parse-names":false,"suffix":""},{"dropping-particle":"","family":"Niemeyer","given":"Charlotte M","non-dropping-particle":"","parse-names":false,"suffix":""},{"dropping-particle":"","family":"Sanz","given":"Guillermo","non-dropping-particle":"","parse-names":false,"suffix":""},{"dropping-particle":"","family":"Tomonaga","given":"Masao","non-dropping-particle":"","parse-names":false,"suffix":""},{"dropping-particle":"","family":"Vallespi","given":"Teresa","non-dropping-particle":"","parse-names":false,"suffix":""},{"dropping-particle":"","family":"Yoshimi","given":"Ayami","non-dropping-particle":"","parse-names":false,"suffix":""},{"dropping-particle":"","family":"International Working Group on Morphology of Myelodysplastic Syndrome","given":"","non-dropping-particle":"","parse-names":false,"suffix":""}],"container-title":"Haematologica","id":"ITEM-3","issue":"11","issued":{"date-parts":[["2008","11"]]},"page":"1712-7","title":"Diagnosis and classification of myelodysplastic syndrome: International Working Group on Morphology of myelodysplastic syndrome (IWGM-MDS) consensus proposals for the definition and enumeration of myeloblasts and ring sideroblasts.","type":"article-journal","volume":"93"},"uris":["http://www.mendeley.com/documents/?uuid=e9a04961-e7bd-3be7-a92d-4775bffdde86"]},{"id":"ITEM-4","itemData":{"DOI":"10.1002/ajh.24038","ISSN":"1096-8652","PMID":"25899435","abstract":"DISEASE OVERVIEW Ring sideroblasts (RS) are erythroid precursors with abnormal perinuclear mitochondrial iron accumulation. Two myeloid neoplasms defined by the presence of RS, include refractory anemia with ring sideroblasts (RARS) and RARS with thrombocytosis (RARS-T). DIAGNOSIS RARS is a lower risk myelodysplastic syndrome (MDS) with dysplasia limited to the erythroid lineage, &lt;5% bone marrow (BM) blasts and ≥15% BM RS. RARS-T is a provisional entity in the MDS/MPN (myeloproliferative neoplasm) overlap syndromes, with diagnostic features of RARS, along with a platelet count ≥450 × 10(9)/L and large atypical megakaryocytes similar to those observed in BCR-ABL1 negative MPN. Mutations and Karyotype: Mutations in the SF3B1 gene are seen in ≥80% of patients with RARS and RARS-T, and strongly correlate with the presence of BM RS; RARS-T patients have additional mutations such as, JAK2V617F (</w:instrText>
      </w:r>
      <w:r w:rsidR="00AE1E12">
        <w:rPr>
          <w:rFonts w:ascii="Cambria Math" w:hAnsi="Cambria Math" w:cs="Cambria Math"/>
          <w:szCs w:val="24"/>
        </w:rPr>
        <w:instrText>∼</w:instrText>
      </w:r>
      <w:r w:rsidR="00AE1E12">
        <w:rPr>
          <w:szCs w:val="24"/>
        </w:rPr>
        <w:instrText>60%), MPL (&lt;5%), and CALR (&lt;5%). Cytogenetic abnormalities are uncommon in both RARS and RARS-T. RISK STRATIFICATION Most patients with RARS are stratified into lower risk groups by the International Prognostic Scoring System (IPSS) for MDS and the revised IPSS. Disease outcome in RARS-T is better than that of RARS, but worse than that of essential thrombocytosis. Both RARS and RARS-T have a low risk of leukemic transformation. TREATMENT Anemia and iron overload are complications in both diseases and are managed similar to lower risk MDS. Aspirin therapy is reasonable in RARS-T, especially in the presence of JAK2V617F, but the value of platelet-lowering drugs is uncertain. Case reports of RARS-T therapy with lenalidomide warrant additional studies.","author":[{"dropping-particle":"","family":"Patnaik","given":"Mrinal M","non-dropping-particle":"","parse-names":false,"suffix":""},{"dropping-particle":"","family":"Tefferi","given":"Ayalew","non-dropping-particle":"","parse-names":false,"suffix":""}],"container-title":"American journal of hematology","id":"ITEM-4","issue":"6","issued":{"date-parts":[["2015","6"]]},"page":"549-59","title":"Refractory anemia with ring sideroblasts and RARS with thrombocytosis.","type":"article-journal","volume":"90"},"uris":["http://www.mendeley.com/documents/?uuid=25e6df22-6a08-3917-947f-e3ca59335d71"]}],"mendeley":{"formattedCitation":"[25–28]","plainTextFormattedCitation":"[25–28]","previouslyFormattedCitation":"[25–28]"},"properties":{"noteIndex":0},"schema":"https://github.com/citation-style-language/schema/raw/master/csl-citation.json"}</w:instrText>
      </w:r>
      <w:r w:rsidRPr="006A377C">
        <w:rPr>
          <w:szCs w:val="24"/>
        </w:rPr>
        <w:fldChar w:fldCharType="separate"/>
      </w:r>
      <w:r w:rsidR="00AE1E12" w:rsidRPr="00AE1E12">
        <w:rPr>
          <w:noProof/>
          <w:szCs w:val="24"/>
        </w:rPr>
        <w:t>[25–28]</w:t>
      </w:r>
      <w:r w:rsidRPr="006A377C">
        <w:rPr>
          <w:szCs w:val="24"/>
        </w:rPr>
        <w:fldChar w:fldCharType="end"/>
      </w:r>
      <w:r w:rsidRPr="006A377C">
        <w:rPr>
          <w:szCs w:val="24"/>
        </w:rPr>
        <w:t>.</w:t>
      </w:r>
    </w:p>
    <w:p w14:paraId="261CF968" w14:textId="77777777" w:rsidR="00F20CFD" w:rsidRPr="006A377C" w:rsidRDefault="00F20CFD" w:rsidP="007C78A6">
      <w:pPr>
        <w:ind w:left="709" w:hanging="1"/>
        <w:rPr>
          <w:b/>
          <w:szCs w:val="24"/>
        </w:rPr>
      </w:pPr>
      <w:r w:rsidRPr="006A377C">
        <w:rPr>
          <w:b/>
          <w:szCs w:val="24"/>
        </w:rPr>
        <w:t xml:space="preserve">Уровень убедительности рекомендаций </w:t>
      </w:r>
      <w:r w:rsidR="004600F2">
        <w:rPr>
          <w:b/>
          <w:szCs w:val="24"/>
          <w:lang w:val="en-US"/>
        </w:rPr>
        <w:t>C</w:t>
      </w:r>
      <w:r w:rsidRPr="006A377C">
        <w:rPr>
          <w:b/>
          <w:szCs w:val="24"/>
        </w:rPr>
        <w:t xml:space="preserve"> (уровень достоверности доказательств – </w:t>
      </w:r>
      <w:r w:rsidR="00A139A6">
        <w:rPr>
          <w:b/>
          <w:szCs w:val="24"/>
        </w:rPr>
        <w:t>5</w:t>
      </w:r>
      <w:r w:rsidRPr="006A377C">
        <w:rPr>
          <w:b/>
          <w:szCs w:val="24"/>
        </w:rPr>
        <w:t>)</w:t>
      </w:r>
    </w:p>
    <w:p w14:paraId="4098DD5A" w14:textId="77777777" w:rsidR="00F20CFD" w:rsidRPr="006A377C" w:rsidRDefault="00F20CFD" w:rsidP="007C78A6">
      <w:pPr>
        <w:ind w:left="709" w:hanging="1"/>
        <w:rPr>
          <w:i/>
          <w:szCs w:val="24"/>
        </w:rPr>
      </w:pPr>
      <w:r w:rsidRPr="006A377C">
        <w:rPr>
          <w:b/>
          <w:szCs w:val="24"/>
        </w:rPr>
        <w:lastRenderedPageBreak/>
        <w:t xml:space="preserve">Комментарии: </w:t>
      </w:r>
      <w:r w:rsidRPr="006A377C">
        <w:rPr>
          <w:i/>
          <w:szCs w:val="24"/>
        </w:rPr>
        <w:t xml:space="preserve">подсчет степени дисплазии необходим для верификации диагноза, впоследствии пересчитывать степень дисплазии необязательно. </w:t>
      </w:r>
    </w:p>
    <w:p w14:paraId="4370A5FA" w14:textId="77777777" w:rsidR="00F20CFD" w:rsidRPr="006A377C" w:rsidRDefault="00F20CFD" w:rsidP="005F2F2B">
      <w:pPr>
        <w:pStyle w:val="aff"/>
        <w:numPr>
          <w:ilvl w:val="0"/>
          <w:numId w:val="16"/>
        </w:numPr>
        <w:ind w:left="709" w:hanging="425"/>
        <w:rPr>
          <w:szCs w:val="24"/>
        </w:rPr>
      </w:pPr>
      <w:r w:rsidRPr="006A377C">
        <w:rPr>
          <w:szCs w:val="24"/>
        </w:rPr>
        <w:t xml:space="preserve">Пациентам, у которых при исследовании КМ выявлена дисплазия лишь в одном из ростков кроветворения менее чем в 10% клеток, нет увеличения количества бластов в периферической крови или КМ, КС составляют менее 15% от эритроидных предшественников и не выявлено цитогенетических аномалий, </w:t>
      </w:r>
      <w:r w:rsidRPr="006A377C">
        <w:rPr>
          <w:b/>
          <w:szCs w:val="24"/>
        </w:rPr>
        <w:t>рекомендуется</w:t>
      </w:r>
      <w:r w:rsidRPr="006A377C">
        <w:rPr>
          <w:szCs w:val="24"/>
        </w:rPr>
        <w:t xml:space="preserve"> повторное исследование </w:t>
      </w:r>
      <w:r w:rsidRPr="006A377C">
        <w:rPr>
          <w:bCs/>
          <w:szCs w:val="24"/>
        </w:rPr>
        <w:t xml:space="preserve">аспирата костного мозга </w:t>
      </w:r>
      <w:r w:rsidRPr="006A377C">
        <w:rPr>
          <w:szCs w:val="24"/>
        </w:rPr>
        <w:t xml:space="preserve">(миелограмма) через 1–6 месяцев, в зависимости от динамики клинических проявлений заболевания, для окончательной верификации МДС </w:t>
      </w:r>
      <w:r w:rsidRPr="006A377C">
        <w:rPr>
          <w:szCs w:val="24"/>
        </w:rPr>
        <w:fldChar w:fldCharType="begin" w:fldLock="1"/>
      </w:r>
      <w:r w:rsidR="00AE1E12">
        <w:rPr>
          <w:szCs w:val="24"/>
        </w:rPr>
        <w:instrText>ADDIN CSL_CITATION {"citationItems":[{"id":"ITEM-1","itemData":{"DOI":"10.3324/haematol.13755","ISSN":"03906078","abstract":"Members of the French-American-British Cooperative Leukemia Working Group met to review cases of aplastic anemia, hypocellular myelodysplastic syndrome and hypocellular acute myeloid leukemia. Criteria were proposed and modified following three workshops. Additional input was obtained from another hematopathologist with a special interest in bone marrow histology and immunohistochemistry. Guidelines were recommended based on the workshop results as well as additional studies including selective immunohistochemistry, flow cytometry and cytogenetics.","author":[{"dropping-particle":"","family":"Bennett","given":"John M.","non-dropping-particle":"","parse-names":false,"suffix":""},{"dropping-particle":"","family":"Orazi","given":"Attilio","non-dropping-particle":"","parse-names":false,"suffix":""}],"container-title":"Haematologica","id":"ITEM-1","issue":"2","issued":{"date-parts":[["2009","2"]]},"page":"264-268","title":"Diagnostic criteria to distinguish hypocellular acute myeloid leukemia from hypocellular myelodysplastic syndromes and aplastic anemia: Recommendations for a standardized approach","type":"article-journal","volume":"94"},"uris":["http://www.mendeley.com/documents/?uuid=165bb17b-e7d7-3651-90c5-0fdf02ae3b1d"]},{"id":"ITEM-2","itemData":{"DOI":"10.1016/j.leukres.2016.04.009","ISSN":"1873-5835","PMID":"27107657","abstract":"Evaluation of megakaryocyte morphology is difficult but can be essential for the diagnosis of myelodysplastic syndromes (MDS) and other myeloid neoplasms. We agreed upon descriptions and provided images of megakaryoblasts and of normal and dysplastic megakaryocytes, which were used as a basis for assessing the concordance of expert morphologists in their recognition. We showed a high rate of concordance for the recognition of micromegakaryocytes and confirmed their strong association with hematologic neoplasia, including MDS. Concordance was also found to be good for the recognition of multinucleated megakaryocytes, which showed a significant association with MDS. However cytoplasmic abnormalities were found not to be useful in MDS recognition. The occurrence of appreciable numbers of nonlobulated and hypolobulated megakaryocytes in individuals without a myeloid neoplasm was confirmed. We demonstrated that subjects without a myeloid neoplasm can have some megakaryocytes that are assessed as 'dysplastic' or 'possibly dysplastic' and that to avoid over diagnosis of dysplasia, 'possibly dysplastic' forms should be excluded from the count of dysplastic cells. Our results demonstrate that the nature as well as the presence of megakaryocyte dysplasia is important in the diagnosis of MDS; although evaluation of 30 megakaryocytes is strongly recommended, it may be possible to recognize diagnostically important dysplasia when fewer megakaryocytes are present but highly diagnostic forms are seen.","author":[{"dropping-particle":"","family":"Goasguen","given":"Jean E","non-dropping-particle":"","parse-names":false,"suffix":""},{"dropping-particle":"","family":"Bennett","given":"John M","non-dropping-particle":"","parse-names":false,"suffix":""},{"dropping-particle":"","family":"Bain","given":"Barbara J","non-dropping-particle":"","parse-names":false,"suffix":""},{"dropping-particle":"","family":"Brunning","given":"Richard D","non-dropping-particle":"","parse-names":false,"suffix":""},{"dropping-particle":"","family":"Vallespí","given":"Maria-Teresa","non-dropping-particle":"","parse-names":false,"suffix":""},{"dropping-particle":"","family":"Tomonaga","given":"Masao","non-dropping-particle":"","parse-names":false,"suffix":""},{"dropping-particle":"","family":"Zini","given":"Gina","non-dropping-particle":"","parse-names":false,"suffix":""},{"dropping-particle":"","family":"Renault","given":"Alain","non-dropping-particle":"","parse-names":false,"suffix":""},{"dropping-particle":"","family":"International Working Group on Morphology of MDS IWGM-MDS","given":"","non-dropping-particle":"","parse-names":false,"suffix":""}],"container-title":"Leukemia research","id":"ITEM-2","issued":{"date-parts":[["2016"]]},"page":"75-81","title":"Quality control initiative on the evaluation of the dysmegakaryopoiesis in myeloid neoplasms: Difficulties in the assessment of dysplasia.","type":"article-journal","volume":"45"},"uris":["http://www.mendeley.com/documents/?uuid=028abb8b-633b-32a2-ba77-da1632cefb8f"]},{"id":"ITEM-3","itemData":{"DOI":"10.3324/haematol.13405","ISSN":"1592-8721","PMID":"18838480","abstract":"The classification of myelodysplastic syndromes is based on the morphological criteria proposed by the French-American-British (FAB) and World Health Organization (WHO) groups. Accurate enumeration of blast cells, although essential for diagnosis of myelodysplastic syndrome and for assignment to prognostic groups, is often difficult, due to imprecise criteria for the morphological definition of blasts and promyelocytes. An International Working Group on Morphology of Myelodysplastic Syndrome (IWGM-MDS) of hematopathologists and hematologists expert in the field of myelodysplastic syndrome reviewed the morphological features of bone marrows from all subtypes of myelodysplastic syndrome and agreed on a set of recommendations, including recommendations for the definition and enumeration of blast cells and ring sideroblasts. It is recommended that (1) agranular or granular blast cells be defined (replacing the previous type I, II and III blasts), (2) dysplastic promyelocytes be distinguished from cytologically normal promyelocytes and from granular blast cells, (3) sufficient cells be counted to give a precise blast percentage, particularly at thresholds that are important for diagnosis or prognosis and (4) ring sideroblasts be defined as erythroblasts in which there are a minimum of 5 siderotic granules covering at least a third of the nuclear circumference. Clear definitions and a differential count of a sufficient number of cells is likely to improve precision in the diagnosis and classification of myelodysplastic syndrome. Recommendations should be applied in the context of the WHO classification.","author":[{"dropping-particle":"","family":"Mufti","given":"Ghulam J","non-dropping-particle":"","parse-names":false,"suffix":""},{"dropping-particle":"","family":"Bennett","given":"John M","non-dropping-particle":"","parse-names":false,"suffix":""},{"dropping-particle":"","family":"Goasguen","given":"Jean","non-dropping-particle":"","parse-names":false,"suffix":""},{"dropping-particle":"","family":"Bain","given":"Barbara J","non-dropping-particle":"","parse-names":false,"suffix":""},{"dropping-particle":"","family":"Baumann","given":"Irith","non-dropping-particle":"","parse-names":false,"suffix":""},{"dropping-particle":"","family":"Brunning","given":"Richard","non-dropping-particle":"","parse-names":false,"suffix":""},{"dropping-particle":"","family":"Cazzola","given":"Mario","non-dropping-particle":"","parse-names":false,"suffix":""},{"dropping-particle":"","family":"Fenaux","given":"Pierre","non-dropping-particle":"","parse-names":false,"suffix":""},{"dropping-particle":"","family":"Germing","given":"Ulrich","non-dropping-particle":"","parse-names":false,"suffix":""},{"dropping-particle":"","family":"Hellström-Lindberg","given":"Eva","non-dropping-particle":"","parse-names":false,"suffix":""},{"dropping-particle":"","family":"Jinnai","given":"Itsuro","non-dropping-particle":"","parse-names":false,"suffix":""},{"dropping-particle":"","family":"Manabe","given":"Atsushi","non-dropping-particle":"","parse-names":false,"suffix":""},{"dropping-particle":"","family":"Matsuda","given":"Akira","non-dropping-particle":"","parse-names":false,"suffix":""},{"dropping-particle":"","family":"Niemeyer","given":"Charlotte M","non-dropping-particle":"","parse-names":false,"suffix":""},{"dropping-particle":"","family":"Sanz","given":"Guillermo","non-dropping-particle":"","parse-names":false,"suffix":""},{"dropping-particle":"","family":"Tomonaga","given":"Masao","non-dropping-particle":"","parse-names":false,"suffix":""},{"dropping-particle":"","family":"Vallespi","given":"Teresa","non-dropping-particle":"","parse-names":false,"suffix":""},{"dropping-particle":"","family":"Yoshimi","given":"Ayami","non-dropping-particle":"","parse-names":false,"suffix":""},{"dropping-particle":"","family":"International Working Group on Morphology of Myelodysplastic Syndrome","given":"","non-dropping-particle":"","parse-names":false,"suffix":""}],"container-title":"Haematologica","id":"ITEM-3","issue":"11","issued":{"date-parts":[["2008","11"]]},"page":"1712-7","title":"Diagnosis and classification of myelodysplastic syndrome: International Working Group on Morphology of myelodysplastic syndrome (IWGM-MDS) consensus proposals for the definition and enumeration of myeloblasts and ring sideroblasts.","type":"article-journal","volume":"93"},"uris":["http://www.mendeley.com/documents/?uuid=e9a04961-e7bd-3be7-a92d-4775bffdde86"]}],"mendeley":{"formattedCitation":"[25–27]","plainTextFormattedCitation":"[25–27]","previouslyFormattedCitation":"[25–27]"},"properties":{"noteIndex":0},"schema":"https://github.com/citation-style-language/schema/raw/master/csl-citation.json"}</w:instrText>
      </w:r>
      <w:r w:rsidRPr="006A377C">
        <w:rPr>
          <w:szCs w:val="24"/>
        </w:rPr>
        <w:fldChar w:fldCharType="separate"/>
      </w:r>
      <w:r w:rsidR="00AE1E12" w:rsidRPr="00AE1E12">
        <w:rPr>
          <w:noProof/>
          <w:szCs w:val="24"/>
        </w:rPr>
        <w:t>[25–27]</w:t>
      </w:r>
      <w:r w:rsidRPr="006A377C">
        <w:rPr>
          <w:szCs w:val="24"/>
        </w:rPr>
        <w:fldChar w:fldCharType="end"/>
      </w:r>
      <w:r w:rsidRPr="006A377C">
        <w:rPr>
          <w:szCs w:val="24"/>
        </w:rPr>
        <w:t>.</w:t>
      </w:r>
    </w:p>
    <w:p w14:paraId="539C5152" w14:textId="77777777" w:rsidR="00F20CFD" w:rsidRPr="006A377C" w:rsidRDefault="00F20CFD" w:rsidP="007C78A6">
      <w:pPr>
        <w:ind w:left="709" w:hanging="1"/>
        <w:rPr>
          <w:b/>
          <w:szCs w:val="24"/>
        </w:rPr>
      </w:pPr>
      <w:r w:rsidRPr="00BC5709">
        <w:rPr>
          <w:b/>
          <w:szCs w:val="24"/>
        </w:rPr>
        <w:t xml:space="preserve">Уровень убедительности рекомендаций </w:t>
      </w:r>
      <w:r w:rsidR="00391824" w:rsidRPr="00BC5709">
        <w:rPr>
          <w:b/>
          <w:szCs w:val="24"/>
          <w:lang w:val="en-US"/>
        </w:rPr>
        <w:t>C</w:t>
      </w:r>
      <w:r w:rsidRPr="00BC5709">
        <w:rPr>
          <w:b/>
          <w:szCs w:val="24"/>
        </w:rPr>
        <w:t xml:space="preserve"> (уровень достоверности доказательств – </w:t>
      </w:r>
      <w:r w:rsidR="00391824" w:rsidRPr="00BC5709">
        <w:rPr>
          <w:b/>
          <w:szCs w:val="24"/>
        </w:rPr>
        <w:t>5</w:t>
      </w:r>
      <w:r w:rsidRPr="00BC5709">
        <w:rPr>
          <w:b/>
          <w:szCs w:val="24"/>
        </w:rPr>
        <w:t>)</w:t>
      </w:r>
    </w:p>
    <w:p w14:paraId="2EE8870A" w14:textId="77777777" w:rsidR="00F20CFD" w:rsidRPr="006A377C" w:rsidRDefault="00F20CFD" w:rsidP="007C78A6">
      <w:pPr>
        <w:ind w:left="709" w:hanging="1"/>
        <w:rPr>
          <w:i/>
          <w:szCs w:val="24"/>
        </w:rPr>
      </w:pPr>
      <w:r w:rsidRPr="006A377C">
        <w:rPr>
          <w:b/>
          <w:szCs w:val="24"/>
        </w:rPr>
        <w:t xml:space="preserve">Комментарии: </w:t>
      </w:r>
      <w:r w:rsidRPr="006A377C">
        <w:rPr>
          <w:i/>
          <w:szCs w:val="24"/>
        </w:rPr>
        <w:t xml:space="preserve">такие пациенты, как правило, имеют умеренную цитопению, и быстрое прогрессирование заболевания у них маловероятно. </w:t>
      </w:r>
    </w:p>
    <w:p w14:paraId="299152B7" w14:textId="77777777" w:rsidR="00F20CFD" w:rsidRPr="006A377C" w:rsidRDefault="00F20CFD" w:rsidP="005F2F2B">
      <w:pPr>
        <w:pStyle w:val="aff"/>
        <w:numPr>
          <w:ilvl w:val="0"/>
          <w:numId w:val="16"/>
        </w:numPr>
        <w:ind w:left="709" w:hanging="425"/>
        <w:rPr>
          <w:szCs w:val="24"/>
        </w:rPr>
      </w:pPr>
      <w:r w:rsidRPr="006A377C">
        <w:rPr>
          <w:szCs w:val="24"/>
        </w:rPr>
        <w:t xml:space="preserve">Всем пациентам для верификации диагноза МДС, выявления прогрессии заболевания и в ряде случаев для оценки эффективности терапии </w:t>
      </w:r>
      <w:r w:rsidRPr="006A377C">
        <w:rPr>
          <w:b/>
          <w:szCs w:val="24"/>
        </w:rPr>
        <w:t>рекомендуется</w:t>
      </w:r>
      <w:r w:rsidRPr="006A377C">
        <w:rPr>
          <w:szCs w:val="24"/>
        </w:rPr>
        <w:t xml:space="preserve"> цитохимическое исследование </w:t>
      </w:r>
      <w:r w:rsidR="00391824">
        <w:rPr>
          <w:szCs w:val="24"/>
        </w:rPr>
        <w:t>микро</w:t>
      </w:r>
      <w:r w:rsidRPr="006A377C">
        <w:rPr>
          <w:szCs w:val="24"/>
        </w:rPr>
        <w:t xml:space="preserve">препаратов КМ для выявления и подсчета кольцевых сидеробластов от общего количества эритрокариоцитов </w:t>
      </w:r>
      <w:r w:rsidRPr="006A377C">
        <w:rPr>
          <w:szCs w:val="24"/>
        </w:rPr>
        <w:fldChar w:fldCharType="begin" w:fldLock="1"/>
      </w:r>
      <w:r w:rsidR="00AE1E12">
        <w:rPr>
          <w:szCs w:val="24"/>
        </w:rPr>
        <w:instrText>ADDIN CSL_CITATION {"citationItems":[{"id":"ITEM-1","itemData":{"author":[{"dropping-particle":"","family":"Porta","given":"Matteo G.","non-dropping-particle":"Della","parse-names":false,"suffix":""},{"dropping-particle":"","family":"Malcovati","given":"Luca","non-dropping-particle":"","parse-names":false,"suffix":""},{"dropping-particle":"","family":"Galli","given":"Anna","non-dropping-particle":"","parse-names":false,"suffix":""},{"dropping-particle":"","family":"Boggi","given":"Sabrina","non-dropping-particle":"","parse-names":false,"suffix":""},{"dropping-particle":"","family":"Travaglino","given":"Erica","non-dropping-particle":"","parse-names":false,"suffix":""},{"dropping-particle":"","family":"Marseglia","given":"Carmela","non-dropping-particle":"","parse-names":false,"suffix":""},{"dropping-particle":"","family":"Maffioli","given":"Margherita","non-dropping-particle":"","parse-names":false,"suffix":""},{"dropping-particle":"","family":"Levi","given":"Sonia","non-dropping-particle":"","parse-names":false,"suffix":""},{"dropping-particle":"","family":"Arosio","given":"Paolo","non-dropping-particle":"","parse-names":false,"suffix":""},{"dropping-particle":"","family":"Invernizzi","given":"Rosangela","non-dropping-particle":"","parse-names":false,"suffix":""},{"dropping-particle":"","family":"Lazzarino","given":"Mario","non-dropping-particle":"","parse-names":false,"suffix":""},{"dropping-particle":"","family":"Cazzola","given":"Mario","non-dropping-particle":"","parse-names":false,"suffix":""}],"container-title":"Blood","id":"ITEM-1","issue":"11","issued":{"date-parts":[["2005"]]},"page":"3444","title":"Mitochondrial Ferritin Expression and Clonality of Hematopoiesis in Patients with Refractory Anemia with Ringed Sideroblasts.","type":"article-journal","volume":"106"},"uris":["http://www.mendeley.com/documents/?uuid=b8662773-57b1-3d39-b095-ef0d491566b9"]},{"id":"ITEM-2","itemData":{"DOI":"10.3324/haematol.13405","ISSN":"1592-8721","PMID":"18838480","abstract":"The classification of myelodysplastic syndromes is based on the morphological criteria proposed by the French-American-British (FAB) and World Health Organization (WHO) groups. Accurate enumeration of blast cells, although essential for diagnosis of myelodysplastic syndrome and for assignment to prognostic groups, is often difficult, due to imprecise criteria for the morphological definition of blasts and promyelocytes. An International Working Group on Morphology of Myelodysplastic Syndrome (IWGM-MDS) of hematopathologists and hematologists expert in the field of myelodysplastic syndrome reviewed the morphological features of bone marrows from all subtypes of myelodysplastic syndrome and agreed on a set of recommendations, including recommendations for the definition and enumeration of blast cells and ring sideroblasts. It is recommended that (1) agranular or granular blast cells be defined (replacing the previous type I, II and III blasts), (2) dysplastic promyelocytes be distinguished from cytologically normal promyelocytes and from granular blast cells, (3) sufficient cells be counted to give a precise blast percentage, particularly at thresholds that are important for diagnosis or prognosis and (4) ring sideroblasts be defined as erythroblasts in which there are a minimum of 5 siderotic granules covering at least a third of the nuclear circumference. Clear definitions and a differential count of a sufficient number of cells is likely to improve precision in the diagnosis and classification of myelodysplastic syndrome. Recommendations should be applied in the context of the WHO classification.","author":[{"dropping-particle":"","family":"Mufti","given":"Ghulam J","non-dropping-particle":"","parse-names":false,"suffix":""},{"dropping-particle":"","family":"Bennett","given":"John M","non-dropping-particle":"","parse-names":false,"suffix":""},{"dropping-particle":"","family":"Goasguen","given":"Jean","non-dropping-particle":"","parse-names":false,"suffix":""},{"dropping-particle":"","family":"Bain","given":"Barbara J","non-dropping-particle":"","parse-names":false,"suffix":""},{"dropping-particle":"","family":"Baumann","given":"Irith","non-dropping-particle":"","parse-names":false,"suffix":""},{"dropping-particle":"","family":"Brunning","given":"Richard","non-dropping-particle":"","parse-names":false,"suffix":""},{"dropping-particle":"","family":"Cazzola","given":"Mario","non-dropping-particle":"","parse-names":false,"suffix":""},{"dropping-particle":"","family":"Fenaux","given":"Pierre","non-dropping-particle":"","parse-names":false,"suffix":""},{"dropping-particle":"","family":"Germing","given":"Ulrich","non-dropping-particle":"","parse-names":false,"suffix":""},{"dropping-particle":"","family":"Hellström-Lindberg","given":"Eva","non-dropping-particle":"","parse-names":false,"suffix":""},{"dropping-particle":"","family":"Jinnai","given":"Itsuro","non-dropping-particle":"","parse-names":false,"suffix":""},{"dropping-particle":"","family":"Manabe","given":"Atsushi","non-dropping-particle":"","parse-names":false,"suffix":""},{"dropping-particle":"","family":"Matsuda","given":"Akira","non-dropping-particle":"","parse-names":false,"suffix":""},{"dropping-particle":"","family":"Niemeyer","given":"Charlotte M","non-dropping-particle":"","parse-names":false,"suffix":""},{"dropping-particle":"","family":"Sanz","given":"Guillermo","non-dropping-particle":"","parse-names":false,"suffix":""},{"dropping-particle":"","family":"Tomonaga","given":"Masao","non-dropping-particle":"","parse-names":false,"suffix":""},{"dropping-particle":"","family":"Vallespi","given":"Teresa","non-dropping-particle":"","parse-names":false,"suffix":""},{"dropping-particle":"","family":"Yoshimi","given":"Ayami","non-dropping-particle":"","parse-names":false,"suffix":""},{"dropping-particle":"","family":"International Working Group on Morphology of Myelodysplastic Syndrome","given":"","non-dropping-particle":"","parse-names":false,"suffix":""}],"container-title":"Haematologica","id":"ITEM-2","issue":"11","issued":{"date-parts":[["2008","11"]]},"page":"1712-7","title":"Diagnosis and classification of myelodysplastic syndrome: International Working Group on Morphology of myelodysplastic syndrome (IWGM-MDS) consensus proposals for the definition and enumeration of myeloblasts and ring sideroblasts.","type":"article-journal","volume":"93"},"uris":["http://www.mendeley.com/documents/?uuid=e9a04961-e7bd-3be7-a92d-4775bffdde86"]},{"id":"ITEM-3","itemData":{"DOI":"10.1002/ajh.24038","ISSN":"1096-8652","PMID":"25899435","abstract":"DISEASE OVERVIEW Ring sideroblasts (RS) are erythroid precursors with abnormal perinuclear mitochondrial iron accumulation. Two myeloid neoplasms defined by the presence of RS, include refractory anemia with ring sideroblasts (RARS) and RARS with thrombocytosis (RARS-T). DIAGNOSIS RARS is a lower risk myelodysplastic syndrome (MDS) with dysplasia limited to the erythroid lineage, &lt;5% bone marrow (BM) blasts and ≥15% BM RS. RARS-T is a provisional entity in the MDS/MPN (myeloproliferative neoplasm) overlap syndromes, with diagnostic features of RARS, along with a platelet count ≥450 × 10(9)/L and large atypical megakaryocytes similar to those observed in BCR-ABL1 negative MPN. Mutations and Karyotype: Mutations in the SF3B1 gene are seen in ≥80% of patients with RARS and RARS-T, and strongly correlate with the presence of BM RS; RARS-T patients have additional mutations such as, JAK2V617F (</w:instrText>
      </w:r>
      <w:r w:rsidR="00AE1E12">
        <w:rPr>
          <w:rFonts w:ascii="Cambria Math" w:hAnsi="Cambria Math" w:cs="Cambria Math"/>
          <w:szCs w:val="24"/>
        </w:rPr>
        <w:instrText>∼</w:instrText>
      </w:r>
      <w:r w:rsidR="00AE1E12">
        <w:rPr>
          <w:szCs w:val="24"/>
        </w:rPr>
        <w:instrText>60%), MPL (&lt;5%), and CALR (&lt;5%). Cytogenetic abnormalities are uncommon in both RARS and RARS-T. RISK STRATIFICATION Most patients with RARS are stratified into lower risk groups by the International Prognostic Scoring System (IPSS) for MDS and the revised IPSS. Disease outcome in RARS-T is better than that of RARS, but worse than that of essential thrombocytosis. Both RARS and RARS-T have a low risk of leukemic transformation. TREATMENT Anemia and iron overload are complications in both diseases and are managed similar to lower risk MDS. Aspirin therapy is reasonable in RARS-T, especially in the presence of JAK2V617F, but the value of platelet-lowering drugs is uncertain. Case reports of RARS-T therapy with lenalidomide warrant additional studies.","author":[{"dropping-particle":"","family":"Patnaik","given":"Mrinal M","non-dropping-particle":"","parse-names":false,"suffix":""},{"dropping-particle":"","family":"Tefferi","given":"Ayalew","non-dropping-particle":"","parse-names":false,"suffix":""}],"container-title":"American journal of hematology","id":"ITEM-3","issue":"6","issued":{"date-parts":[["2015","6"]]},"page":"549-59","title":"Refractory anemia with ring sideroblasts and RARS with thrombocytosis.","type":"article-journal","volume":"90"},"uris":["http://www.mendeley.com/documents/?uuid=25e6df22-6a08-3917-947f-e3ca59335d71"]}],"mendeley":{"formattedCitation":"[27–29]","plainTextFormattedCitation":"[27–29]","previouslyFormattedCitation":"[27–29]"},"properties":{"noteIndex":0},"schema":"https://github.com/citation-style-language/schema/raw/master/csl-citation.json"}</w:instrText>
      </w:r>
      <w:r w:rsidRPr="006A377C">
        <w:rPr>
          <w:szCs w:val="24"/>
        </w:rPr>
        <w:fldChar w:fldCharType="separate"/>
      </w:r>
      <w:r w:rsidR="00AE1E12" w:rsidRPr="00AE1E12">
        <w:rPr>
          <w:noProof/>
          <w:szCs w:val="24"/>
        </w:rPr>
        <w:t>[27–29]</w:t>
      </w:r>
      <w:r w:rsidRPr="006A377C">
        <w:rPr>
          <w:szCs w:val="24"/>
        </w:rPr>
        <w:fldChar w:fldCharType="end"/>
      </w:r>
      <w:r w:rsidRPr="006A377C">
        <w:rPr>
          <w:szCs w:val="24"/>
        </w:rPr>
        <w:t>.</w:t>
      </w:r>
    </w:p>
    <w:p w14:paraId="471F0647" w14:textId="77777777" w:rsidR="00F20CFD" w:rsidRPr="006A377C" w:rsidRDefault="00F20CFD" w:rsidP="007C78A6">
      <w:pPr>
        <w:ind w:left="709" w:hanging="1"/>
        <w:rPr>
          <w:b/>
          <w:szCs w:val="24"/>
        </w:rPr>
      </w:pPr>
      <w:r w:rsidRPr="006A377C">
        <w:rPr>
          <w:b/>
          <w:szCs w:val="24"/>
        </w:rPr>
        <w:t xml:space="preserve">Уровень убедительности рекомендаций </w:t>
      </w:r>
      <w:r w:rsidRPr="006A377C">
        <w:rPr>
          <w:b/>
          <w:szCs w:val="24"/>
          <w:lang w:val="en-US"/>
        </w:rPr>
        <w:t>C</w:t>
      </w:r>
      <w:r w:rsidRPr="006A377C">
        <w:rPr>
          <w:b/>
          <w:szCs w:val="24"/>
        </w:rPr>
        <w:t xml:space="preserve"> (уровень достоверности доказательств – 5)</w:t>
      </w:r>
    </w:p>
    <w:p w14:paraId="0C40BCCB" w14:textId="77777777" w:rsidR="00F20CFD" w:rsidRPr="006A377C" w:rsidRDefault="00F20CFD" w:rsidP="007C78A6">
      <w:pPr>
        <w:ind w:left="709" w:hanging="1"/>
        <w:rPr>
          <w:i/>
          <w:szCs w:val="24"/>
        </w:rPr>
      </w:pPr>
      <w:r w:rsidRPr="006A377C">
        <w:rPr>
          <w:b/>
          <w:szCs w:val="24"/>
        </w:rPr>
        <w:t>Комментарии</w:t>
      </w:r>
      <w:r w:rsidRPr="006A377C">
        <w:rPr>
          <w:i/>
          <w:szCs w:val="24"/>
        </w:rPr>
        <w:t xml:space="preserve">: с указанной целью применяется реакция с берлинской лазурью. На основании полученных результатов производится определение варианта МДС и выбор тактики терапии. </w:t>
      </w:r>
    </w:p>
    <w:p w14:paraId="2A9779E9" w14:textId="77777777" w:rsidR="00F20CFD" w:rsidRPr="006A377C" w:rsidRDefault="00F20CFD" w:rsidP="005F2F2B">
      <w:pPr>
        <w:pStyle w:val="aff"/>
        <w:numPr>
          <w:ilvl w:val="0"/>
          <w:numId w:val="16"/>
        </w:numPr>
        <w:ind w:left="709" w:hanging="425"/>
        <w:rPr>
          <w:szCs w:val="24"/>
        </w:rPr>
      </w:pPr>
      <w:r w:rsidRPr="006A377C">
        <w:rPr>
          <w:szCs w:val="24"/>
        </w:rPr>
        <w:t xml:space="preserve">Всем пациентам </w:t>
      </w:r>
      <w:r w:rsidRPr="006A377C">
        <w:rPr>
          <w:b/>
          <w:szCs w:val="24"/>
        </w:rPr>
        <w:t>рекомендуется</w:t>
      </w:r>
      <w:r w:rsidRPr="006A377C">
        <w:rPr>
          <w:szCs w:val="24"/>
        </w:rPr>
        <w:t xml:space="preserve"> цитогенетическое исследование (кариотип) клеток КМ для верификации диагноза МДС, определения группы риска в соответствии с критериями прогностических шкал, выявления клональной эволюции, констатации достижения цитогенетической ремиссии </w:t>
      </w:r>
      <w:r w:rsidRPr="006A377C">
        <w:rPr>
          <w:szCs w:val="24"/>
        </w:rPr>
        <w:fldChar w:fldCharType="begin" w:fldLock="1"/>
      </w:r>
      <w:r w:rsidR="00AE1E12">
        <w:rPr>
          <w:szCs w:val="24"/>
        </w:rPr>
        <w:instrText>ADDIN CSL_CITATION {"citationItems":[{"id":"ITEM-1","itemData":{"DOI":"10.1182/blood-2012-03-420489","ISSN":"00064971","abstract":"The International Prognostic Scoring Sytem (IPSS) is an important standard for ssessing prognosis of primary untreated adult patients with myelodysplastic syndromes (MDS). To refine the IPSS, MDS patient databases from international institutions were coalesced to assemble a much larger combined database (Revised-IPSS [IPSS-R], n = 7012, IPSS, n = 816) for analysis. Multiple statistically weighted clinical features were used to generate a prognostic categorization model. Bone marrow cytogenetics, marrow blast percentage, and cytopenias remained the basis of the new system. Novel components of the current analysis included: 5 rather than 3 cytogenetic prognostic subgroups with specific and new classifications of a number of less common cytogenetic subsets, splitting the low marrow blast percentage value, and depth of cytopenias. This model defined 5 rather than the 4 major prognostic categories that are present in the IPSS. Patient age, performance status, serum ferritin, and lactate dehydrogenase were significant additive features for survival but not for acute myeloid leukemia transformation. This system comprehensively integrated the numerous known clinical features into a method analyzing MDS patient prognosis more precisely than the initial IPSS. As such, this IPSS-R should prove beneficial for predicting the clinical outcomes of untreated MDS patients and aiding design and analysis of clinical trials in this disease. © 2012 by The American Society of Hematology.","author":[{"dropping-particle":"","family":"Greenberg","given":"Peter L.","non-dropping-particle":"","parse-names":false,"suffix":""},{"dropping-particle":"","family":"Tuechler","given":"Heinz","non-dropping-particle":"","parse-names":false,"suffix":""},{"dropping-particle":"","family":"Schanz","given":"Julie","non-dropping-particle":"","parse-names":false,"suffix":""},{"dropping-particle":"","family":"Sanz","given":"Guillermo","non-dropping-particle":"","parse-names":false,"suffix":""},{"dropping-particle":"","family":"Garcia-Manero","given":"Guillermo","non-dropping-particle":"","parse-names":false,"suffix":""},{"dropping-particle":"","family":"Solé","given":"Francesc","non-dropping-particle":"","parse-names":false,"suffix":""},{"dropping-particle":"","family":"Bennett","given":"John M.","non-dropping-particle":"","parse-names":false,"suffix":""},{"dropping-particle":"","family":"Bowen","given":"David","non-dropping-particle":"","parse-names":false,"suffix":""},{"dropping-particle":"","family":"Fenaux","given":"Pierre","non-dropping-particle":"","parse-names":false,"suffix":""},{"dropping-particle":"","family":"Dreyfus","given":"Francois","non-dropping-particle":"","parse-names":false,"suffix":""},{"dropping-particle":"","family":"Kantarjian","given":"Hagop","non-dropping-particle":"","parse-names":false,"suffix":""},{"dropping-particle":"","family":"Kuendgen","given":"Andrea","non-dropping-particle":"","parse-names":false,"suffix":""},{"dropping-particle":"","family":"Levis","given":"Alessandro","non-dropping-particle":"","parse-names":false,"suffix":""},{"dropping-particle":"","family":"Malcovati","given":"Luca","non-dropping-particle":"","parse-names":false,"suffix":""},{"dropping-particle":"","family":"Cazzola","given":"Mario","non-dropping-particle":"","parse-names":false,"suffix":""},{"dropping-particle":"","family":"Cermak","given":"Jaroslav","non-dropping-particle":"","parse-names":false,"suffix":""},{"dropping-particle":"","family":"Fonatsch","given":"Christa","non-dropping-particle":"","parse-names":false,"suffix":""},{"dropping-particle":"","family":"Beau","given":"Michelle M.","non-dropping-particle":"Le","parse-names":false,"suffix":""},{"dropping-particle":"","family":"Slovak","given":"Marilyn L.","non-dropping-particle":"","parse-names":false,"suffix":""},{"dropping-particle":"","family":"Krieger","given":"Otto","non-dropping-particle":"","parse-names":false,"suffix":""},{"dropping-particle":"","family":"Luebbert","given":"Michael","non-dropping-particle":"","parse-names":false,"suffix":""},{"dropping-particle":"","family":"Maciejewski","given":"Jaroslaw","non-dropping-particle":"","parse-names":false,"suffix":""},{"dropping-particle":"","family":"Magalhaes","given":"Silvia M.M.","non-dropping-particle":"","parse-names":false,"suffix":""},{"dropping-particle":"","family":"Miyazaki","given":"Yasushi","non-dropping-particle":"","parse-names":false,"suffix":""},{"dropping-particle":"","family":"Pfeilstöcker","given":"Michael","non-dropping-particle":"","parse-names":false,"suffix":""},{"dropping-particle":"","family":"Sekeres","given":"Mikkael","non-dropping-particle":"","parse-names":false,"suffix":""},{"dropping-particle":"","family":"Sperr","given":"Wolfgang R.","non-dropping-particle":"","parse-names":false,"suffix":""},{"dropping-particle":"","family":"Stauder","given":"Reinhard","non-dropping-particle":"","parse-names":false,"suffix":""},{"dropping-particle":"","family":"Tauro","given":"Sudhir","non-dropping-particle":"","parse-names":false,"suffix":""},{"dropping-particle":"","family":"Valent","given":"Peter","non-dropping-particle":"","parse-names":false,"suffix":""},{"dropping-particle":"","family":"Vallespi","given":"Teresa","non-dropping-particle":"","parse-names":false,"suffix":""},{"dropping-particle":"","family":"Loosdrecht","given":"Arjan A.","non-dropping-particle":"Van De","parse-names":false,"suffix":""},{"dropping-particle":"","family":"Germing","given":"Ulrich","non-dropping-particle":"","parse-names":false,"suffix":""},{"dropping-particle":"","family":"Haase","given":"Detlef","non-dropping-particle":"","parse-names":false,"suffix":""}],"container-title":"Blood","id":"ITEM-1","issue":"12","issued":{"date-parts":[["2012","9","20"]]},"page":"2454-2465","title":"Revised international prognostic scoring system for myelodysplastic syndromes","type":"article-journal","volume":"120"},"uris":["http://www.mendeley.com/documents/?uuid=b1c72144-0abd-346f-8404-90758124c8d4"]},{"id":"ITEM-2","itemData":{"DOI":"10.18632/oncotarget.19008","abstract":"© Valent et al. Myelodysplastic syndromes (MDS) comprise a heterogeneous group of myeloid neoplasms characterized by peripheral cytopenia, dysplasia, and a variable clinical course with about 30% risk to transform to secondary acute myeloid leukemia (AML). In the past 15 years, diagnostic evaluations, prognostication, and treatment of MDS have improved substantially. However, with the discovery of molecular markers and advent of novel targeted therapies, new challenges have emerged in the complex field of MDS. For example, MDS-related molecular lesions may be detectable in healthy individuals and increase in prevalence with age. Other patients exhibit persistent cytopenia of unknown etiology without dysplasia. Although these conditions are potential pre-phases of MDS they may also transform into other bone marrow neoplasms. Recently identified molecular, cytogenetic, and flow-based parameters may add in the delineation and prognostication of these conditions. However, no generally accepted integrated classification and no related criteria are as yet available. In an attempt to address this challenge, an international consensus group discussed these issues in a working conference in July 2016. The outcomes of this conference are summarized in the present article which includes criteria and a proposal for the classification of pre-MDS conditions as well as updated minimal diagnostic criteria of MDS. Moreover, we propose diagnostic standards to delineate between 'normal', pre-MDS, and MDS. These standards and criteria should facilitate diagnostic and prognostic evaluations in clinical studies as well as in clinical practice.","author":[{"dropping-particle":"","family":"Valent","given":"Peter","non-dropping-particle":"","parse-names":false,"suffix":""},{"dropping-particle":"","family":"Orazi","given":"Attilio","non-dropping-particle":"","parse-names":false,"suffix":""},{"dropping-particle":"","family":"Steensma","given":"David P.","non-dropping-particle":"","parse-names":false,"suffix":""},{"dropping-particle":"","family":"Ebert","given":"Benjamin L.","non-dropping-particle":"","parse-names":false,"suffix":""},{"dropping-particle":"","family":"Haase","given":"Detlef","non-dropping-particle":"","parse-names":false,"suffix":""},{"dropping-particle":"","family":"Malcovati","given":"Luca","non-dropping-particle":"","parse-names":false,"suffix":""},{"dropping-particle":"","family":"Loosdrecht","given":"Arjan A.","non-dropping-particle":"van de","parse-names":false,"suffix":""},{"dropping-particle":"","family":"Haferlach","given":"Torsten","non-dropping-particle":"","parse-names":false,"suffix":""},{"dropping-particle":"","family":"Westers","given":"Theresia M.","non-dropping-particle":"","parse-names":false,"suffix":""},{"dropping-particle":"","family":"Wells","given":"Denise A.","non-dropping-particle":"","parse-names":false,"suffix":""},{"dropping-particle":"","family":"Giagounidis","given":"Aristoteles","non-dropping-particle":"","parse-names":false,"suffix":""},{"dropping-particle":"","family":"Loken","given":"Michael","non-dropping-particle":"","parse-names":false,"suffix":""},{"dropping-particle":"","family":"Orfao","given":"Alberto","non-dropping-particle":"","parse-names":false,"suffix":""},{"dropping-particle":"","family":"Lübbert","given":"Michael","non-dropping-particle":"","parse-names":false,"suffix":""},{"dropping-particle":"","family":"Ganser","given":"Arnold","non-dropping-particle":"","parse-names":false,"suffix":""},{"dropping-particle":"","family":"Hofmann","given":"Wolf-Karsten","non-dropping-particle":"","parse-names":false,"suffix":""},{"dropping-particle":"","family":"Ogata","given":"Kiyoyuki","non-dropping-particle":"","parse-names":false,"suffix":""},{"dropping-particle":"","family":"Schanz","given":"Julie","non-dropping-particle":"","parse-names":false,"suffix":""},{"dropping-particle":"","family":"Béné","given":"Marie C.","non-dropping-particle":"","parse-names":false,"suffix":""},{"dropping-particle":"","family":"Hoermann","given":"Gregor","non-dropping-particle":"","parse-names":false,"suffix":""},{"dropping-particle":"","family":"Sperr","given":"Wolfgang R.","non-dropping-particle":"","parse-names":false,"suffix":""},{"dropping-particle":"","family":"Sotlar","given":"Karl","non-dropping-particle":"","parse-names":false,"suffix":""},{"dropping-particle":"","family":"Bettelheim","given":"Peter","non-dropping-particle":"","parse-names":false,"suffix":""},{"dropping-particle":"","family":"Stauder","given":"Reinhard","non-dropping-particle":"","parse-names":false,"suffix":""},{"dropping-particle":"","family":"Pfeilstöcker","given":"Michael","non-dropping-particle":"","parse-names":false,"suffix":""},{"dropping-particle":"","family":"Horny","given":"Hans-Peter","non-dropping-particle":"","parse-names":false,"suffix":""},{"dropping-particle":"","family":"Germing","given":"Ulrich","non-dropping-particle":"","parse-names":false,"suffix":""},{"dropping-particle":"","family":"Greenberg","given":"Peter","non-dropping-particle":"","parse-names":false,"suffix":""},{"dropping-particle":"","family":"Bennett","given":"John M.","non-dropping-particle":"","parse-names":false,"suffix":""}],"container-title":"Oncotarget","id":"ITEM-2","issue":"43","issued":{"date-parts":[["2017","9","26"]]},"publisher":"Impact Journals, LLC","title":"Proposed minimal diagnostic criteria for myelodysplastic syndromes (MDS) and potential pre-MDS conditions","type":"article-journal","volume":"8"},"uris":["http://www.mendeley.com/documents/?uuid=ee15b730-a098-3d84-8430-e0a5dee2c205"]},{"id":"ITEM-3","itemData":{"DOI":"10.1111/j.1365-2141.2007.06776.x","ISSN":"0007-1048","PMID":"17764468","abstract":"The present study analysed the clinicopathological features of nine myelodysplastic syndrome (MDS) patients in which del(20q) was the sole cytogenetic abnormality and a control group of 17 adult patients with idiopathic thrombocytopenic purpura (ITP). Seven of nine del(20q) patients were thrombocytopenic and six of nine were mildly anaemic at presentation. There was no significant morphological dysplasia identified in the del(20q) group as compared with the ITP group. These results indicate that MDS with del(20q) commonly presents with thrombocytopenia and has minimal morphological dysplasia. Cytogenetic analysis on adult patients undergoing bone marrow sampling for thrombocytopenia may help avoid misdiagnosis of MDS with del(20q) as ITP.","author":[{"dropping-particle":"","family":"Gupta","given":"Raavi","non-dropping-particle":"","parse-names":false,"suffix":""},{"dropping-particle":"","family":"Soupir","given":"Chad P","non-dropping-particle":"","parse-names":false,"suffix":""},{"dropping-particle":"","family":"Johari","given":"Vandita","non-dropping-particle":"","parse-names":false,"suffix":""},{"dropping-particle":"","family":"Hasserjian","given":"Robert P","non-dropping-particle":"","parse-names":false,"suffix":""}],"container-title":"British journal of haematology","id":"ITEM-3","issue":"2","issued":{"date-parts":[["2007","10"]]},"page":"265-8","title":"Myelodysplastic syndrome with isolated deletion of chromosome 20q: an indolent disease with minimal morphological dysplasia and frequent thrombocytopenic presentation.","type":"article-journal","volume":"139"},"uris":["http://www.mendeley.com/documents/?uuid=afe873eb-b989-3341-8506-a977922b9666"]},{"id":"ITEM-4","itemData":{"DOI":"10.4084/MJHID.2015.018","ISSN":"2035-3006","PMID":"25745545","abstract":"The 2008 WHO classification identified refractory cytopenia with unilineage dysplasia (RCUD) as a composite entity encompassing refractory anemia, refractory thrombocytopenia (RT), and refractory neutropenia (RN), characterized by 10% or more dysplastic cells in the bone marrow respective lineage. The diagnosis of RT and RN is complicated by several factors. Diagnosing RT first requires exclusion of familial thrombocytopenia, chronic auto-immune thrombocytopenia, concomitant medications, viral infections, or hypersplenism. Diagnosis of RN should also be made after ruling out differential diagnoses such as ethnic or familial neutropenia, as well as acquired, drug-induced, infection-related or malignancy-related neutropenia. An accurate quantification of dysplasia should be performed in order to distinguish RT or RN from the provisional entity named idiopathic cytopenia of unknown significance (ICUS). Cytogenetic analysis, and possibly in the future somatic mutation analysis (of genes most frequently mutated in MDS), and flow cytometry analysis aberrant antigen expression on myeloid cells may help in this differential diagnosis. Importantly, we and others found that, while isolated neutropenia and thrombocytopenia are not rare in MDS, those patients can generally be classified (according to WHO 2008 classification) as refractory cytopenia with multilineage dysplasia or refractory anemia with excess blasts, while RT and RN (according to WHO 2008) are quite rare. These results suggest in particular that identification of RT and RN as distinct entities could be reconsidered in future WHO classification updates.","author":[{"dropping-particle":"","family":"Gyan","given":"Emmanuel","non-dropping-particle":"","parse-names":false,"suffix":""},{"dropping-particle":"","family":"Dreyfus","given":"François","non-dropping-particle":"","parse-names":false,"suffix":""},{"dropping-particle":"","family":"Fenaux","given":"Pierre","non-dropping-particle":"","parse-names":false,"suffix":""}],"container-title":"Mediterranean journal of hematology and infectious diseases","id":"ITEM-4","issue":"1","issued":{"date-parts":[["2015"]]},"page":"e2015018","title":"Refractory thrombocytopenia and neutropenia: a diagnostic challenge.","type":"article-journal","volume":"7"},"uris":["http://www.mendeley.com/documents/?uuid=5e88bf33-f5d9-366c-8090-a554c5f4089a"]},{"id":"ITEM-5","itemData":{"DOI":"10.1038/leu.2010.231","ISSN":"1476-5551","PMID":"20882045","abstract":"This cooperative study assessed prognostic factors for overall survival (OS) and risk of transformation to acute myeloid leukemia (AML) in 541 patients with de novo myelodysplastic syndrome (MDS) and deletion 5q. Additional chromosomal abnormalities were strongly related to different patients' characteristics. In multivariate analysis, the most important predictors of both OS and AML transformation risk were number of chromosomal abnormalities (P&lt;0.001 for both outcomes), platelet count (P&lt;0.001 and P=0.001, respectively) and proportion of bone marrow blasts (P&lt;0.001 and P=0.016, respectively). The number of chromosomal abnormalities defined three risk categories for AML transformation (del(5q), del(5q)+1 and del(5q)+ ≥ 2 abnormalities) and two for OS (one group: del(5q) and del(5q)+1; and del(5q)+ ≥ 2 abnormalities, as the other one); with a median survival time of 58.0 and 6.8 months, respectively. Platelet count (P=0.001) and age (P=0.034) predicted OS in patients with '5q-syndrome'. This study demonstrates the importance of additional chromosomal abnormalities in MDS patients with deletion 5q, challenges the current '5q-syndrome' definition and constitutes a useful reference series to properly analyze the results of clinical trials in these patients.","author":[{"dropping-particle":"","family":"Mallo","given":"M","non-dropping-particle":"","parse-names":false,"suffix":""},{"dropping-particle":"","family":"Cervera","given":"J","non-dropping-particle":"","parse-names":false,"suffix":""},{"dropping-particle":"","family":"Schanz","given":"J","non-dropping-particle":"","parse-names":false,"suffix":""},{"dropping-particle":"","family":"Such","given":"E","non-dropping-particle":"","parse-names":false,"suffix":""},{"dropping-particle":"","family":"García-Manero","given":"G","non-dropping-particle":"","parse-names":false,"suffix":""},{"dropping-particle":"","family":"Luño","given":"E","non-dropping-particle":"","parse-names":false,"suffix":""},{"dropping-particle":"","family":"Steidl","given":"C","non-dropping-particle":"","parse-names":false,"suffix":""},{"dropping-particle":"","family":"Espinet","given":"B","non-dropping-particle":"","parse-names":false,"suffix":""},{"dropping-particle":"","family":"Vallespí","given":"T","non-dropping-particle":"","parse-names":false,"suffix":""},{"dropping-particle":"","family":"Germing","given":"U","non-dropping-particle":"","parse-names":false,"suffix":""},{"dropping-particle":"","family":"Blum","given":"S","non-dropping-particle":"","parse-names":false,"suffix":""},{"dropping-particle":"","family":"Ohyashiki","given":"K","non-dropping-particle":"","parse-names":false,"suffix":""},{"dropping-particle":"","family":"Grau","given":"J","non-dropping-particle":"","parse-names":false,"suffix":""},{"dropping-particle":"","family":"Pfeilstöcker","given":"M","non-dropping-particle":"","parse-names":false,"suffix":""},{"dropping-particle":"","family":"Hernández","given":"J M","non-dropping-particle":"","parse-names":false,"suffix":""},{"dropping-particle":"","family":"Noesslinger","given":"T","non-dropping-particle":"","parse-names":false,"suffix":""},{"dropping-particle":"","family":"Giagounidis","given":"A","non-dropping-particle":"","parse-names":false,"suffix":""},{"dropping-particle":"","family":"Aul","given":"C","non-dropping-particle":"","parse-names":false,"suffix":""},{"dropping-particle":"","family":"Calasanz","given":"M J","non-dropping-particle":"","parse-names":false,"suffix":""},{"dropping-particle":"","family":"Martín","given":"M L","non-dropping-particle":"","parse-names":false,"suffix":""},{"dropping-particle":"","family":"Valent","given":"P","non-dropping-particle":"","parse-names":false,"suffix":""},{"dropping-particle":"","family":"Collado","given":"R","non-dropping-particle":"","parse-names":false,"suffix":""},{"dropping-particle":"","family":"Haferlach","given":"C","non-dropping-particle":"","parse-names":false,"suffix":""},{"dropping-particle":"","family":"Fonatsch","given":"C","non-dropping-particle":"","parse-names":false,"suffix":""},{"dropping-particle":"","family":"Lübbert","given":"M","non-dropping-particle":"","parse-names":false,"suffix":""},{"dropping-particle":"","family":"Stauder","given":"R","non-dropping-particle":"","parse-names":false,"suffix":""},{"dropping-particle":"","family":"Hildebrandt","given":"B","non-dropping-particle":"","parse-names":false,"suffix":""},{"dropping-particle":"","family":"Krieger","given":"O","non-dropping-particle":"","parse-names":false,"suffix":""},{"dropping-particle":"","family":"Pedro","given":"C","non-dropping-particle":"","parse-names":false,"suffix":""},{"dropping-particle":"","family":"Arenillas","given":"L","non-dropping-particle":"","parse-names":false,"suffix":""},{"dropping-particle":"","family":"Sanz","given":"M Á","non-dropping-particle":"","parse-names":false,"suffix":""},{"dropping-particle":"","family":"Valencia","given":"A","non-dropping-particle":"","parse-names":false,"suffix":""},{"dropping-particle":"","family":"Florensa","given":"L","non-dropping-particle":"","parse-names":false,"suffix":""},{"dropping-particle":"","family":"Sanz","given":"G F","non-dropping-particle":"","parse-names":false,"suffix":""},{"dropping-particle":"","family":"Haase","given":"D","non-dropping-particle":"","parse-names":false,"suffix":""},{"dropping-particle":"","family":"Solé","given":"F","non-dropping-particle":"","parse-names":false,"suffix":""}],"container-title":"Leukemia","id":"ITEM-5","issue":"1","issued":{"date-parts":[["2011","1"]]},"page":"110-20","title":"Impact of adjunct cytogenetic abnormalities for prognostic stratification in patients with myelodysplastic syndrome and deletion 5q.","type":"article-journal","volume":"25"},"uris":["http://www.mendeley.com/documents/?uuid=e296f2ee-5681-30a0-9020-03c1f05ab1c7"]},{"id":"ITEM-6","itemData":{"DOI":"10.1016/j.leukres.2006.10.023","ISSN":"0145-2126","PMID":"17161457","abstract":"Myelodysplastic syndromes (MDS) are clinically heterogeneous, but the presence of specific cytogenetic abnormalities can predict disease manifestations, provide a basis for prognosis, and direct treatment. Conventional cytogenetic analysis is instrumental in identifying chromosomal abnormalities in MDS and novel genetic methods may provide supplementary information. Treatment with lenalidomide was recently shown to be effective in MDS, particularly in those cases with del(5q), resulting in durable cytogenetic remission and hematological responses. In this paradigm, diagnosis of the del(5q) abnormality would be essential to predicting response to therapy.","author":[{"dropping-particle":"","family":"Olney","given":"Harold J","non-dropping-particle":"","parse-names":false,"suffix":""},{"dropping-particle":"","family":"Beau","given":"Michelle M","non-dropping-particle":"Le","parse-names":false,"suffix":""}],"container-title":"Leukemia research","id":"ITEM-6","issue":"4","issued":{"date-parts":[["2007","4"]]},"page":"427-34","title":"Evaluation of recurring cytogenetic abnormalities in the treatment of myelodysplastic syndromes.","type":"article-journal","volume":"31"},"uris":["http://www.mendeley.com/documents/?uuid=fd663a71-942c-313f-8f62-1c74caf834bd"]},{"id":"ITEM-7","itemData":{"DOI":"10.3324/haematol.2013.096420","ISSN":"1592-8721","PMID":"24463215","abstract":"Acute myeloid leukemia and myelodysplastic syndrome with inv(3)(q21q26.2)/t(3;3)(q21;q26.2) have a poor prognosis. Indeed, the inv(3)(q21q26.2)/t(3;3)(q21;q26.2) has been recognized as a poor risk karyotype in the revised International Prognostic Scoring System. However, inv(3)(q21q26.2)/t(3;3)(q21;q26.2) is not among the cytogenetic abnormalities pathognomonic for diagnosis of acute myeloid leukemia irrespective of blast percentage in the 2008 WHO classification. This multicenter study evaluated the clinico-pathological features of acute myeloid leukemia/myelodysplastic syndrome patients with inv(3)(q21q26.2)/t(3;3)(q21;q26.2) and applied the revised International Prognostic Scoring System to myelodysplastic syndrome patients with inv(3)(q21q26.2)/t(3;3)(q21;q26.2). A total of 103 inv(3)(q21q26.2)/t(3;3)(q21;q26.2) patients were reviewed and had a median bone marrow blast count of 4% in myelodysplastic syndrome (n=40) and 52% in acute myeloid leukemia (n=63) (P&lt;0.001). Ninety-one percent of patients showed characteristic dysmegakaryopoiesis. There was no difference in overall survival between acute myeloid leukemia and myelodysplastic syndrome patients with inv(3)(q21q26.2)/t(3;3)(q21;q26.2) (12.9 vs. 7.9 months; P=0.16). Eighty-three percent of patients died (median follow up 7.9 months). Complex karyotype, monosomal karyotype and dysgranulopoiesis (but not blast percentage) were independent poor prognostic factors in the entire cohort on multivariable analysis. The revised International Prognostic Scoring System better reflected overall survival of inv(3)(q21q26.2)/t(3;3)(q21;q26.2) than the International Prognostic Scoring System but did not fully reflect the generally dismal prognosis. Our data support consideration of myelodysplastic syndrome with inv(3)(q21q26.2)/t(3;3)(q21;q26.2) as an acute myeloid leukemia with recurrent genetic abnormalities, irrespective of blast percentage.","author":[{"dropping-particle":"","family":"Rogers","given":"Heesun J","non-dropping-particle":"","parse-names":false,"suffix":""},{"dropping-particle":"","family":"Vardiman","given":"James W","non-dropping-particle":"","parse-names":false,"suffix":""},{"dropping-particle":"","family":"Anastasi","given":"John","non-dropping-particle":"","parse-names":false,"suffix":""},{"dropping-particle":"","family":"Raca","given":"Gordana","non-dropping-particle":"","parse-names":false,"suffix":""},{"dropping-particle":"","family":"Savage","given":"Natasha M","non-dropping-particle":"","parse-names":false,"suffix":""},{"dropping-particle":"","family":"Cherry","given":"Athena M","non-dropping-particle":"","parse-names":false,"suffix":""},{"dropping-particle":"","family":"Arber","given":"Daniel","non-dropping-particle":"","parse-names":false,"suffix":""},{"dropping-particle":"","family":"Moore","given":"Erika","non-dropping-particle":"","parse-names":false,"suffix":""},{"dropping-particle":"","family":"Morrissette","given":"Jennifer J D","non-dropping-particle":"","parse-names":false,"suffix":""},{"dropping-particle":"","family":"Bagg","given":"Adam","non-dropping-particle":"","parse-names":false,"suffix":""},{"dropping-particle":"","family":"Liu","given":"Yen-Chun","non-dropping-particle":"","parse-names":false,"suffix":""},{"dropping-particle":"","family":"Mathew","given":"Susan","non-dropping-particle":"","parse-names":false,"suffix":""},{"dropping-particle":"","family":"Orazi","given":"Attilio","non-dropping-particle":"","parse-names":false,"suffix":""},{"dropping-particle":"","family":"Lin","given":"Pei","non-dropping-particle":"","parse-names":false,"suffix":""},{"dropping-particle":"","family":"Wang","given":"Sa A","non-dropping-particle":"","parse-names":false,"suffix":""},{"dropping-particle":"","family":"Bueso-Ramos","given":"Carlos E","non-dropping-particle":"","parse-names":false,"suffix":""},{"dropping-particle":"","family":"Foucar","given":"Kathryn","non-dropping-particle":"","parse-names":false,"suffix":""},{"dropping-particle":"","family":"Hasserjian","given":"Robert P","non-dropping-particle":"","parse-names":false,"suffix":""},{"dropping-particle":"V","family":"Tiu","given":"Ramon","non-dropping-particle":"","parse-names":false,"suffix":""},{"dropping-particle":"","family":"Karafa","given":"Matthew","non-dropping-particle":"","parse-names":false,"suffix":""},{"dropping-particle":"","family":"Hsi","given":"Eric D","non-dropping-particle":"","parse-names":false,"suffix":""}],"container-title":"Haematologica","id":"ITEM-7","issue":"5","issued":{"date-parts":[["2014","5"]]},"page":"821-9","title":"Complex or monosomal karyotype and not blast percentage is associated with poor survival in acute myeloid leukemia and myelodysplastic syndrome patients with inv(3)(q21q26.2)/t(3;3)(q21;q26.2): a Bone Marrow Pathology Group study.","type":"article-journal","volume":"99"},"uris":["http://www.mendeley.com/documents/?uuid=a04f144e-7abe-3255-ae8d-75f437863885"]},{"id":"ITEM-8","itemData":{"DOI":"10.1200/JCO.2011.35.6394","ISBN":"1527-7755 (Electronic)\\r0732-183X (Linking)","ISSN":"0732183X","PMID":"22331955","abstract":"PURPOSE The karyotype is a strong independent prognostic factor in myelodysplastic syndromes (MDS). Since the implementation of the International Prognostic Scoring System (IPSS) in 1997, knowledge concerning the prognostic impact of abnormalities has increased substantially. The present study proposes a new and comprehensive cytogenetic scoring system based on an international data collection of 2,902 patients. PATIENTS AND METHODS Patients were included from the German-Austrian MDS Study Group (n = 1,193), the International MDS Risk Analysis Workshop (n = 816), the Spanish Hematological Cytogenetics Working Group (n = 849), and the International Working Group on MDS Cytogenetics (n = 44) databases. Patients with primary MDS and oligoblastic acute myeloid leukemia (AML) after MDS treated with supportive care only were evaluated for overall survival (OS) and AML evolution. Internal validation by bootstrap analysis and external validation in an independent patient cohort were performed to confirm the results. RESULTS In total, 19 cytogenetic categories were defined, providing clear prognostic classification in 91% of all patients. The abnormalities were classified into five prognostic subgroups (P &lt; .001): very good (median OS, 61 months; hazard ratio [HR], 0.5; n = 81); good (49 months; HR, 1.0 [reference category]; n = 1,809); intermediate (26 months; HR, 1.6; n = 529); poor (16 months; HR, 2.6; n = 148); and very poor (6 months; HR, 4.2; n = 187). The internal and external validations confirmed the results of the score. CONCLUSION In conclusion, these data should contribute to the ongoing efforts to update the IPSS by refining the cytogenetic risk categories.","author":[{"dropping-particle":"","family":"Schanz","given":"Julie","non-dropping-particle":"","parse-names":false,"suffix":""},{"dropping-particle":"","family":"Tüchler","given":"Heinz","non-dropping-particle":"","parse-names":false,"suffix":""},{"dropping-particle":"","family":"Solé","given":"Francesc","non-dropping-particle":"","parse-names":false,"suffix":""},{"dropping-particle":"","family":"Mallo","given":"Mar","non-dropping-particle":"","parse-names":false,"suffix":""},{"dropping-particle":"","family":"Luño","given":"Elisa","non-dropping-particle":"","parse-names":false,"suffix":""},{"dropping-particle":"","family":"Cervera","given":"José","non-dropping-particle":"","parse-names":false,"suffix":""},{"dropping-particle":"","family":"Granada","given":"Isabel","non-dropping-particle":"","parse-names":false,"suffix":""},{"dropping-particle":"","family":"Hildebrandt","given":"Barbara","non-dropping-particle":"","parse-names":false,"suffix":""},{"dropping-particle":"","family":"Slovak","given":"Marilyn L","non-dropping-particle":"","parse-names":false,"suffix":""},{"dropping-particle":"","family":"Ohyashiki","given":"Kazuma","non-dropping-particle":"","parse-names":false,"suffix":""},{"dropping-particle":"","family":"Steidl","given":"Christian","non-dropping-particle":"","parse-names":false,"suffix":""},{"dropping-particle":"","family":"Fonatsch","given":"Christa","non-dropping-particle":"","parse-names":false,"suffix":""},{"dropping-particle":"","family":"Pfeilstöcker","given":"Michael","non-dropping-particle":"","parse-names":false,"suffix":""},{"dropping-particle":"","family":"Nösslinger","given":"Thomas","non-dropping-particle":"","parse-names":false,"suffix":""},{"dropping-particle":"","family":"Valent","given":"Peter","non-dropping-particle":"","parse-names":false,"suffix":""},{"dropping-particle":"","family":"Giagounidis","given":"Aristoteles","non-dropping-particle":"","parse-names":false,"suffix":""},{"dropping-particle":"","family":"Aul","given":"Carlo","non-dropping-particle":"","parse-names":false,"suffix":""},{"dropping-particle":"","family":"Lübbert","given":"Michael","non-dropping-particle":"","parse-names":false,"suffix":""},{"dropping-particle":"","family":"Stauder","given":"Reinhard","non-dropping-particle":"","parse-names":false,"suffix":""},{"dropping-particle":"","family":"Krieger","given":"Otto","non-dropping-particle":"","parse-names":false,"suffix":""},{"dropping-particle":"","family":"Garcia-Manero","given":"Guillermo","non-dropping-particle":"","parse-names":false,"suffix":""},{"dropping-particle":"","family":"Faderl","given":"Stefan","non-dropping-particle":"","parse-names":false,"suffix":""},{"dropping-particle":"","family":"Pierce","given":"Sherry","non-dropping-particle":"","parse-names":false,"suffix":""},{"dropping-particle":"","family":"Beau","given":"Michelle M.","non-dropping-particle":"Le","parse-names":false,"suffix":""},{"dropping-particle":"","family":"Bennett","given":"John M","non-dropping-particle":"","parse-names":false,"suffix":""},{"dropping-particle":"","family":"Greenberg","given":"Peter","non-dropping-particle":"","parse-names":false,"suffix":""},{"dropping-particle":"","family":"Germing","given":"Ulrich","non-dropping-particle":"","parse-names":false,"suffix":""},{"dropping-particle":"","family":"Haase","given":"Detlef","non-dropping-particle":"","parse-names":false,"suffix":""}],"container-title":"Journal of Clinical Oncology","id":"ITEM-8","issue":"8","issued":{"date-parts":[["2012"]]},"page":"820-829","title":"New comprehensive cytogenetic scoring system for MDS and oligoblastic AML after MDS","type":"article-journal","volume":"30"},"uris":["http://www.mendeley.com/documents/?uuid=39d05547-6d1f-3dfd-a693-e4eb32be5e43"]},{"id":"ITEM-9","itemData":{"ISSN":"0145-2126","PMID":"12537976","abstract":"Cytogenetic abnormalities suggestive of a myeloid disorder are occasionally observed in the bone marrow (BM) cells of patients with morphologically and immunohistochemically unremarkable marrow aspirates and biopsies. Between 1994 and 2000, 55 such patients were seen at our institution (34 men; median age of 66 years). The indications for BM sampling included unexplained cytopenias (31 patients), staging or follow-up of a lymphoproliferative disorder or a plasma cell dyscrasia (18 patients), or another miscellaneous reason (6 patients). Specific cytogenetic abnormalities included a 20q deletion or monosomy 20 (10 patients), a chromosome 7 deletion (8 patients), +8 (5 patients), del(5q) or a 5q translocation (4 patients), and del(13q) (2 patients). Eleven patients had a complex karyotype. As of January 2002, 23 of the 55 patients were dead; median follow-up for living patients is 20 months. Of the 23 dead patients, 1 died of acute myelogenous leukemia (AML) and 6 of complications related to cytopenias. This study provides support for obtaining cytogenetic studies in patients with unexplained cytopenias if a morphologic explanation for the cytopenias is lacking. Continued follow-up of this heterogeneous cohort and further studies of similar patients will more clearly define the disease processes and prognosis for this constellation of laboratory findings.","author":[{"dropping-particle":"","family":"Steensma","given":"David P","non-dropping-particle":"","parse-names":false,"suffix":""},{"dropping-particle":"","family":"Dewald","given":"Gordon W","non-dropping-particle":"","parse-names":false,"suffix":""},{"dropping-particle":"","family":"Hodnefield","given":"Janice M","non-dropping-particle":"","parse-names":false,"suffix":""},{"dropping-particle":"","family":"Tefferi","given":"Ayalew","non-dropping-particle":"","parse-names":false,"suffix":""},{"dropping-particle":"","family":"Hanson","given":"Curtis A","non-dropping-particle":"","parse-names":false,"suffix":""}],"container-title":"Leukemia research","id":"ITEM-9","issue":"3","issued":{"date-parts":[["2003","3"]]},"page":"235-42","title":"Clonal cytogenetic abnormalities in bone marrow specimens without clear morphologic evidence of dysplasia: a form fruste of myelodysplasia?","type":"article-journal","volume":"27"},"uris":["http://www.mendeley.com/documents/?uuid=7510e91d-5b91-3144-baca-0d4896bdda9e"]},{"id":"ITEM-10","itemData":{"DOI":"10.1016/j.patbio.2006.04.007","ISSN":"0369-8114","PMID":"16697122","abstract":"Trisomy 8 as the sole abnormality is the most common karyotypic finding in acute myeloid leukemia (AML) and myelodysplastic syndromes (MDS), occurring in approximately 5% and 10% of the cytogenetically abnormal cases, respectively. However, despite the high frequency of +8, much remains to be elucidated as regards its epidemiology, etiology, clinical impact, association with other chromosomal abnormalities, cell of origin, and functional and pathogenetic consequences. Here, we summarize and review these various aspects of trisomy 8, focusing on AMLs and MDS harboring this abnormality as a single change.","author":[{"dropping-particle":"","family":"Paulsson","given":"K","non-dropping-particle":"","parse-names":false,"suffix":""},{"dropping-particle":"","family":"Johansson","given":"B","non-dropping-particle":"","parse-names":false,"suffix":""}],"container-title":"Pathologie-biologie","id":"ITEM-10","issue":"1","issued":{"date-parts":[["2007","2"]]},"page":"37-48","title":"Trisomy 8 as the sole chromosomal aberration in acute myeloid leukemia and myelodysplastic syndromes.","type":"article-journal","volume":"55"},"uris":["http://www.mendeley.com/documents/?uuid=d1c1930a-bac9-366f-8276-de8394897773"]}],"mendeley":{"formattedCitation":"[9,30–38]","plainTextFormattedCitation":"[9,30–38]","previouslyFormattedCitation":"[9,30–38]"},"properties":{"noteIndex":0},"schema":"https://github.com/citation-style-language/schema/raw/master/csl-citation.json"}</w:instrText>
      </w:r>
      <w:r w:rsidRPr="006A377C">
        <w:rPr>
          <w:szCs w:val="24"/>
        </w:rPr>
        <w:fldChar w:fldCharType="separate"/>
      </w:r>
      <w:r w:rsidR="00AE1E12" w:rsidRPr="00AE1E12">
        <w:rPr>
          <w:noProof/>
          <w:szCs w:val="24"/>
        </w:rPr>
        <w:t>[9,30–38]</w:t>
      </w:r>
      <w:r w:rsidRPr="006A377C">
        <w:rPr>
          <w:szCs w:val="24"/>
        </w:rPr>
        <w:fldChar w:fldCharType="end"/>
      </w:r>
      <w:r w:rsidRPr="006A377C">
        <w:rPr>
          <w:szCs w:val="24"/>
        </w:rPr>
        <w:t>.</w:t>
      </w:r>
    </w:p>
    <w:p w14:paraId="102CA209" w14:textId="77777777" w:rsidR="00F20CFD" w:rsidRPr="006A377C" w:rsidRDefault="00F20CFD" w:rsidP="007C78A6">
      <w:pPr>
        <w:ind w:left="709" w:hanging="1"/>
        <w:rPr>
          <w:b/>
          <w:szCs w:val="24"/>
        </w:rPr>
      </w:pPr>
      <w:r w:rsidRPr="00C30570">
        <w:rPr>
          <w:b/>
          <w:szCs w:val="24"/>
        </w:rPr>
        <w:t xml:space="preserve">Уровень убедительности рекомендаций </w:t>
      </w:r>
      <w:r w:rsidR="0020105C" w:rsidRPr="00C30570">
        <w:rPr>
          <w:b/>
          <w:szCs w:val="24"/>
        </w:rPr>
        <w:t>С</w:t>
      </w:r>
      <w:r w:rsidRPr="00C30570">
        <w:rPr>
          <w:b/>
          <w:szCs w:val="24"/>
        </w:rPr>
        <w:t xml:space="preserve"> (уровень достоверности доказательств – </w:t>
      </w:r>
      <w:r w:rsidR="00A11A64" w:rsidRPr="00C30570">
        <w:rPr>
          <w:b/>
          <w:szCs w:val="24"/>
        </w:rPr>
        <w:t>4</w:t>
      </w:r>
      <w:r w:rsidRPr="00C30570">
        <w:rPr>
          <w:b/>
          <w:szCs w:val="24"/>
        </w:rPr>
        <w:t>)</w:t>
      </w:r>
    </w:p>
    <w:p w14:paraId="1B50E433" w14:textId="77777777" w:rsidR="00F20CFD" w:rsidRPr="006A377C" w:rsidRDefault="00F20CFD" w:rsidP="007C78A6">
      <w:pPr>
        <w:ind w:left="709" w:hanging="1"/>
        <w:rPr>
          <w:i/>
          <w:szCs w:val="24"/>
        </w:rPr>
      </w:pPr>
      <w:r w:rsidRPr="006A377C">
        <w:rPr>
          <w:b/>
          <w:szCs w:val="24"/>
        </w:rPr>
        <w:t xml:space="preserve">Комментарии: </w:t>
      </w:r>
      <w:r w:rsidRPr="006A377C">
        <w:rPr>
          <w:i/>
          <w:szCs w:val="24"/>
        </w:rPr>
        <w:t xml:space="preserve">в соответствии с выявленными изменениями кариотипа будет определяться вариант МДС и решаться вопрос о тактике терапии. </w:t>
      </w:r>
    </w:p>
    <w:p w14:paraId="094F4376" w14:textId="77777777" w:rsidR="00F20CFD" w:rsidRPr="006A377C" w:rsidRDefault="00F20CFD" w:rsidP="005F2F2B">
      <w:pPr>
        <w:pStyle w:val="aff"/>
        <w:numPr>
          <w:ilvl w:val="0"/>
          <w:numId w:val="16"/>
        </w:numPr>
        <w:ind w:left="709" w:hanging="425"/>
        <w:rPr>
          <w:szCs w:val="24"/>
        </w:rPr>
      </w:pPr>
      <w:r w:rsidRPr="006A377C">
        <w:rPr>
          <w:szCs w:val="24"/>
        </w:rPr>
        <w:t xml:space="preserve">Всем пациентам с нормальным кариотипом, повторным отсутствием митозов при выполнении стандартного цитогенетического исследования на момент верификации диагноза, при малом количестве </w:t>
      </w:r>
      <w:r w:rsidR="00834DD1">
        <w:rPr>
          <w:szCs w:val="24"/>
        </w:rPr>
        <w:t>митозов или</w:t>
      </w:r>
      <w:r w:rsidR="005E5F16">
        <w:rPr>
          <w:szCs w:val="24"/>
        </w:rPr>
        <w:t xml:space="preserve"> малом количестве </w:t>
      </w:r>
      <w:r w:rsidR="00834DD1">
        <w:rPr>
          <w:szCs w:val="24"/>
        </w:rPr>
        <w:t xml:space="preserve"> </w:t>
      </w:r>
      <w:r w:rsidRPr="006A377C">
        <w:rPr>
          <w:szCs w:val="24"/>
        </w:rPr>
        <w:t xml:space="preserve">аномальных митозов, не позволяющим диагностировать аномалии кариотипа, для верификации диагноза МДС и определения группы прогноза, а также для оценки эффективности </w:t>
      </w:r>
      <w:r w:rsidRPr="006A377C">
        <w:rPr>
          <w:szCs w:val="24"/>
        </w:rPr>
        <w:lastRenderedPageBreak/>
        <w:t xml:space="preserve">терапии МДС, при наличии возможности, </w:t>
      </w:r>
      <w:r w:rsidRPr="006A377C">
        <w:rPr>
          <w:b/>
          <w:szCs w:val="24"/>
        </w:rPr>
        <w:t xml:space="preserve">рекомендуется </w:t>
      </w:r>
      <w:r w:rsidRPr="006A377C">
        <w:rPr>
          <w:szCs w:val="24"/>
        </w:rPr>
        <w:t>молекулярно-генетическое исследование</w:t>
      </w:r>
      <w:r w:rsidRPr="006A377C">
        <w:rPr>
          <w:b/>
          <w:szCs w:val="24"/>
        </w:rPr>
        <w:t xml:space="preserve"> </w:t>
      </w:r>
      <w:r w:rsidRPr="006A377C">
        <w:rPr>
          <w:szCs w:val="24"/>
        </w:rPr>
        <w:t xml:space="preserve">аспирата </w:t>
      </w:r>
      <w:r w:rsidRPr="006A377C">
        <w:rPr>
          <w:bCs/>
          <w:szCs w:val="24"/>
        </w:rPr>
        <w:t>костного мозга с применением метода флуоресцентной гибридизации in situ (FISH)</w:t>
      </w:r>
      <w:r w:rsidRPr="006A377C">
        <w:rPr>
          <w:szCs w:val="24"/>
        </w:rPr>
        <w:t xml:space="preserve"> с зондами к 5-, 7-, 8-, 3-й и других хромосомам </w:t>
      </w:r>
      <w:r w:rsidRPr="006A377C">
        <w:rPr>
          <w:szCs w:val="24"/>
        </w:rPr>
        <w:fldChar w:fldCharType="begin" w:fldLock="1"/>
      </w:r>
      <w:r w:rsidR="00AE1E12">
        <w:rPr>
          <w:szCs w:val="24"/>
        </w:rPr>
        <w:instrText>ADDIN CSL_CITATION {"citationItems":[{"id":"ITEM-1","itemData":{"ISSN":"0390-6078","PMID":"11325642","abstract":"BACKGROUND AND OBJECTIVES A pluripotent progenitor cell was demonstrated to be involved in myelodysplastic syndromes (MDS) with normal karyotype or with numerical chromosome aberrations, but the pattern of lineage involvement by the 5q31 deletion in the 5q- syndrome is unknown. We performed this study in order to define the distribution pattern of the 5q- anomaly better in the non-lymphoid cell compartment DESIGN AND METHODS Bone marrow (BM) smears from 8 patients with the 5q- syndrome were studied by a modification of the fluorescent in situ hybridization (FISH) technique that allowed direct visualization of cell morphology. A commercial LSI EGR1 probe (Vysis Inc.) for the 5q31 band was used simultaneously in dual-color experiments with a chromosome-5-centromeric probe (Vysis Inc.) on BM smears from 8 patients with the 5q-syndrome. As additional internal controls a chromosome-7-centromeric probe and a 7q31 probe were used. To establish the sensitivity limit of this approach 5 normal BM smears were studied. All 8 patients had the 5q- chromosome as the sole anomaly in 45% to 75% of the interphase cells. RESULTS For each patient 20-40 erythroblasts were analyzed: they were mostly proerythroblasts and basophilic erythroblasts. In all patients a clone carrying the 5q31 deletion was detected (35-50% of the cells, median 45%). Between 20-50 granulocyte precursors were scored; the 5q31 deletion was found in 40%-50% (median 45%) in all cases. The proportion of neutrophils carrying the 5q deletion was consistently lower than the corresponding value in promyelocytes (28.7% vs 45.6%). In the 20-25 megakaryocytes analyzable in all patients, the overall incidence of 5q31 deletion was 52-68%. Equal proportions of large multilobular megakaryocytes and hypolobular megakaryocytes characteristic of the 5q- syndrome were scored: the latter cells showed the 5q31 deletion more frequently than the former cells (93.6% vs 19.3% of the cells). In 66% to 100% of the cases (median 83%) a few cells with uncondensed nuclear chromatin pattern, and two or three prominent nucleoli with cytoplasmatic hypogranulation were seen in each sample carrying the 5q31 deletion. INTERPRETATION AND CONCLUSIONS We arrived at the following conclusions: i) the transformation in the 5q- syndrome involves an early progenitor cell retaining the ability to proceed along multiple differentiation pathways; ii) there is a preferential distribution of the 5q31 deletion within immature cells and morphological…","author":[{"dropping-particle":"","family":"Bigoni","given":"R","non-dropping-particle":"","parse-names":false,"suffix":""},{"dropping-particle":"","family":"Cuneo","given":"A","non-dropping-particle":"","parse-names":false,"suffix":""},{"dropping-particle":"","family":"Milani","given":"R","non-dropping-particle":"","parse-names":false,"suffix":""},{"dropping-particle":"","family":"Cavazzini","given":"F","non-dropping-particle":"","parse-names":false,"suffix":""},{"dropping-particle":"","family":"Bardi","given":"A","non-dropping-particle":"","parse-names":false,"suffix":""},{"dropping-particle":"","family":"Roberti","given":"M G","non-dropping-particle":"","parse-names":false,"suffix":""},{"dropping-particle":"","family":"Agostini","given":"P","non-dropping-particle":"","parse-names":false,"suffix":""},{"dropping-particle":"","family":"Porta","given":"M","non-dropping-particle":"della","parse-names":false,"suffix":""},{"dropping-particle":"","family":"Specchia","given":"G","non-dropping-particle":"","parse-names":false,"suffix":""},{"dropping-particle":"","family":"Rigolin","given":"G M","non-dropping-particle":"","parse-names":false,"suffix":""},{"dropping-particle":"","family":"Castoldi","given":"G","non-dropping-particle":"","parse-names":false,"suffix":""}],"container-title":"Haematologica","id":"ITEM-1","issue":"4","issued":{"date-parts":[["2001","4"]]},"page":"375-81","title":"Multilineage involvement in the 5q- syndrome: a fluorescent in situ hybridization study on bone marrow smears.","type":"article-journal","volume":"86"},"uris":["http://www.mendeley.com/documents/?uuid=5560dfd3-22ea-3b5f-bf63-ab07585cedc3"]}],"mendeley":{"formattedCitation":"[39]","plainTextFormattedCitation":"[39]","previouslyFormattedCitation":"[39]"},"properties":{"noteIndex":0},"schema":"https://github.com/citation-style-language/schema/raw/master/csl-citation.json"}</w:instrText>
      </w:r>
      <w:r w:rsidRPr="006A377C">
        <w:rPr>
          <w:szCs w:val="24"/>
        </w:rPr>
        <w:fldChar w:fldCharType="separate"/>
      </w:r>
      <w:r w:rsidR="00AE1E12" w:rsidRPr="00AE1E12">
        <w:rPr>
          <w:noProof/>
          <w:szCs w:val="24"/>
        </w:rPr>
        <w:t>[39]</w:t>
      </w:r>
      <w:r w:rsidRPr="006A377C">
        <w:rPr>
          <w:szCs w:val="24"/>
        </w:rPr>
        <w:fldChar w:fldCharType="end"/>
      </w:r>
      <w:r w:rsidRPr="006A377C">
        <w:rPr>
          <w:szCs w:val="24"/>
        </w:rPr>
        <w:t>.</w:t>
      </w:r>
    </w:p>
    <w:p w14:paraId="40DBAB8E" w14:textId="77777777" w:rsidR="00F20CFD" w:rsidRPr="006A377C" w:rsidRDefault="00F20CFD" w:rsidP="007C78A6">
      <w:pPr>
        <w:ind w:left="709" w:hanging="1"/>
        <w:rPr>
          <w:b/>
          <w:szCs w:val="24"/>
        </w:rPr>
      </w:pPr>
      <w:r w:rsidRPr="006A377C">
        <w:rPr>
          <w:b/>
          <w:szCs w:val="24"/>
        </w:rPr>
        <w:t xml:space="preserve">Уровень убедительности рекомендаций </w:t>
      </w:r>
      <w:r w:rsidRPr="006A377C">
        <w:rPr>
          <w:b/>
          <w:szCs w:val="24"/>
          <w:lang w:val="en-US"/>
        </w:rPr>
        <w:t>C</w:t>
      </w:r>
      <w:r w:rsidRPr="006A377C">
        <w:rPr>
          <w:b/>
          <w:szCs w:val="24"/>
        </w:rPr>
        <w:t xml:space="preserve"> (уровень достоверности доказательств – 5)</w:t>
      </w:r>
    </w:p>
    <w:p w14:paraId="46514E70" w14:textId="77777777" w:rsidR="00F20CFD" w:rsidRPr="006A377C" w:rsidRDefault="00F20CFD" w:rsidP="007C78A6">
      <w:pPr>
        <w:ind w:left="709" w:hanging="1"/>
        <w:rPr>
          <w:i/>
          <w:szCs w:val="24"/>
        </w:rPr>
      </w:pPr>
      <w:r w:rsidRPr="006A377C">
        <w:rPr>
          <w:b/>
          <w:szCs w:val="24"/>
        </w:rPr>
        <w:t>Комментарии</w:t>
      </w:r>
      <w:r w:rsidRPr="006A377C">
        <w:rPr>
          <w:szCs w:val="24"/>
        </w:rPr>
        <w:t xml:space="preserve">: </w:t>
      </w:r>
      <w:r w:rsidRPr="006A377C">
        <w:rPr>
          <w:i/>
          <w:szCs w:val="24"/>
        </w:rPr>
        <w:t xml:space="preserve">выявление скрытых аномалий кариотипа помогает верифицировать вариант заболевания и определяет выбор тактики терапии. На сегодняшний день возможность выполнения данного вида исследования есть только в научных центрах или в ряде специализированных лабораторий. </w:t>
      </w:r>
    </w:p>
    <w:p w14:paraId="383AEF16" w14:textId="77777777" w:rsidR="00F20CFD" w:rsidRPr="006A377C" w:rsidRDefault="00F20CFD" w:rsidP="005F2F2B">
      <w:pPr>
        <w:pStyle w:val="aff"/>
        <w:numPr>
          <w:ilvl w:val="0"/>
          <w:numId w:val="16"/>
        </w:numPr>
        <w:ind w:left="709" w:hanging="425"/>
        <w:rPr>
          <w:szCs w:val="24"/>
        </w:rPr>
      </w:pPr>
      <w:r w:rsidRPr="006A377C">
        <w:rPr>
          <w:szCs w:val="24"/>
        </w:rPr>
        <w:t xml:space="preserve">Всем пациентам </w:t>
      </w:r>
      <w:r w:rsidRPr="006A377C">
        <w:rPr>
          <w:b/>
          <w:szCs w:val="24"/>
        </w:rPr>
        <w:t xml:space="preserve">рекомендуются </w:t>
      </w:r>
      <w:r w:rsidRPr="006A377C">
        <w:rPr>
          <w:bCs/>
          <w:szCs w:val="24"/>
        </w:rPr>
        <w:t>получение гистологического препарата КМ</w:t>
      </w:r>
      <w:r w:rsidRPr="006A377C">
        <w:rPr>
          <w:b/>
          <w:szCs w:val="24"/>
        </w:rPr>
        <w:t xml:space="preserve"> </w:t>
      </w:r>
      <w:r w:rsidRPr="006A377C">
        <w:rPr>
          <w:szCs w:val="24"/>
        </w:rPr>
        <w:t xml:space="preserve">(трепанобиопсия), в ряде случаев (при верификации диагноза МДС, при необъяснимом усугублении цитопенического синдрома) – билатеральное, и </w:t>
      </w:r>
      <w:r w:rsidRPr="006A377C">
        <w:rPr>
          <w:bCs/>
          <w:szCs w:val="24"/>
        </w:rPr>
        <w:t>патолого-анатомическое исследование биопсийного (операционного) материала КМ</w:t>
      </w:r>
      <w:r w:rsidRPr="006A377C">
        <w:rPr>
          <w:szCs w:val="24"/>
        </w:rPr>
        <w:t xml:space="preserve"> для верификации диагноза МДС и динамического наблюдения </w:t>
      </w:r>
      <w:r w:rsidRPr="006A377C">
        <w:rPr>
          <w:szCs w:val="24"/>
        </w:rPr>
        <w:fldChar w:fldCharType="begin" w:fldLock="1"/>
      </w:r>
      <w:r w:rsidR="00AE1E12">
        <w:rPr>
          <w:szCs w:val="24"/>
        </w:rPr>
        <w:instrText>ADDIN CSL_CITATION {"citationItems":[{"id":"ITEM-1","itemData":{"DOI":"10.18632/oncotarget.19008","abstract":"© Valent et al. Myelodysplastic syndromes (MDS) comprise a heterogeneous group of myeloid neoplasms characterized by peripheral cytopenia, dysplasia, and a variable clinical course with about 30% risk to transform to secondary acute myeloid leukemia (AML). In the past 15 years, diagnostic evaluations, prognostication, and treatment of MDS have improved substantially. However, with the discovery of molecular markers and advent of novel targeted therapies, new challenges have emerged in the complex field of MDS. For example, MDS-related molecular lesions may be detectable in healthy individuals and increase in prevalence with age. Other patients exhibit persistent cytopenia of unknown etiology without dysplasia. Although these conditions are potential pre-phases of MDS they may also transform into other bone marrow neoplasms. Recently identified molecular, cytogenetic, and flow-based parameters may add in the delineation and prognostication of these conditions. However, no generally accepted integrated classification and no related criteria are as yet available. In an attempt to address this challenge, an international consensus group discussed these issues in a working conference in July 2016. The outcomes of this conference are summarized in the present article which includes criteria and a proposal for the classification of pre-MDS conditions as well as updated minimal diagnostic criteria of MDS. Moreover, we propose diagnostic standards to delineate between 'normal', pre-MDS, and MDS. These standards and criteria should facilitate diagnostic and prognostic evaluations in clinical studies as well as in clinical practice.","author":[{"dropping-particle":"","family":"Valent","given":"Peter","non-dropping-particle":"","parse-names":false,"suffix":""},{"dropping-particle":"","family":"Orazi","given":"Attilio","non-dropping-particle":"","parse-names":false,"suffix":""},{"dropping-particle":"","family":"Steensma","given":"David P.","non-dropping-particle":"","parse-names":false,"suffix":""},{"dropping-particle":"","family":"Ebert","given":"Benjamin L.","non-dropping-particle":"","parse-names":false,"suffix":""},{"dropping-particle":"","family":"Haase","given":"Detlef","non-dropping-particle":"","parse-names":false,"suffix":""},{"dropping-particle":"","family":"Malcovati","given":"Luca","non-dropping-particle":"","parse-names":false,"suffix":""},{"dropping-particle":"","family":"Loosdrecht","given":"Arjan A.","non-dropping-particle":"van de","parse-names":false,"suffix":""},{"dropping-particle":"","family":"Haferlach","given":"Torsten","non-dropping-particle":"","parse-names":false,"suffix":""},{"dropping-particle":"","family":"Westers","given":"Theresia M.","non-dropping-particle":"","parse-names":false,"suffix":""},{"dropping-particle":"","family":"Wells","given":"Denise A.","non-dropping-particle":"","parse-names":false,"suffix":""},{"dropping-particle":"","family":"Giagounidis","given":"Aristoteles","non-dropping-particle":"","parse-names":false,"suffix":""},{"dropping-particle":"","family":"Loken","given":"Michael","non-dropping-particle":"","parse-names":false,"suffix":""},{"dropping-particle":"","family":"Orfao","given":"Alberto","non-dropping-particle":"","parse-names":false,"suffix":""},{"dropping-particle":"","family":"Lübbert","given":"Michael","non-dropping-particle":"","parse-names":false,"suffix":""},{"dropping-particle":"","family":"Ganser","given":"Arnold","non-dropping-particle":"","parse-names":false,"suffix":""},{"dropping-particle":"","family":"Hofmann","given":"Wolf-Karsten","non-dropping-particle":"","parse-names":false,"suffix":""},{"dropping-particle":"","family":"Ogata","given":"Kiyoyuki","non-dropping-particle":"","parse-names":false,"suffix":""},{"dropping-particle":"","family":"Schanz","given":"Julie","non-dropping-particle":"","parse-names":false,"suffix":""},{"dropping-particle":"","family":"Béné","given":"Marie C.","non-dropping-particle":"","parse-names":false,"suffix":""},{"dropping-particle":"","family":"Hoermann","given":"Gregor","non-dropping-particle":"","parse-names":false,"suffix":""},{"dropping-particle":"","family":"Sperr","given":"Wolfgang R.","non-dropping-particle":"","parse-names":false,"suffix":""},{"dropping-particle":"","family":"Sotlar","given":"Karl","non-dropping-particle":"","parse-names":false,"suffix":""},{"dropping-particle":"","family":"Bettelheim","given":"Peter","non-dropping-particle":"","parse-names":false,"suffix":""},{"dropping-particle":"","family":"Stauder","given":"Reinhard","non-dropping-particle":"","parse-names":false,"suffix":""},{"dropping-particle":"","family":"Pfeilstöcker","given":"Michael","non-dropping-particle":"","parse-names":false,"suffix":""},{"dropping-particle":"","family":"Horny","given":"Hans-Peter","non-dropping-particle":"","parse-names":false,"suffix":""},{"dropping-particle":"","family":"Germing","given":"Ulrich","non-dropping-particle":"","parse-names":false,"suffix":""},{"dropping-particle":"","family":"Greenberg","given":"Peter","non-dropping-particle":"","parse-names":false,"suffix":""},{"dropping-particle":"","family":"Bennett","given":"John M.","non-dropping-particle":"","parse-names":false,"suffix":""}],"container-title":"Oncotarget","id":"ITEM-1","issue":"43","issued":{"date-parts":[["2017","9","26"]]},"publisher":"Impact Journals, LLC","title":"Proposed minimal diagnostic criteria for myelodysplastic syndromes (MDS) and potential pre-MDS conditions","type":"article-journal","volume":"8"},"uris":["http://www.mendeley.com/documents/?uuid=ee15b730-a098-3d84-8430-e0a5dee2c205"]},{"id":"ITEM-2","itemData":{"DOI":"10.1038/modpathol.2013.187","ISSN":"1530-0285","PMID":"24186132","abstract":"Bone marrow fibrosis has recently been recognized as an adverse histological feature in patients with primary myelodysplastic syndromes. In this study, we assessed the prognostic impact of bone marrow fibrosis in patients with primary myelodysplastic syndromes under the recently revised new risk stratification systems: the New Comprehensive Cytogenetic Scoring System and the Revised International Prognostic Scoring System. From 2002 to 2012, a total of 79 (13%) patients with primary myelodysplastic syndromes and moderate/severe bone marrow fibrosis were identified; and these patients were compared with a control group of 166 patients with myelodysplastic syndromes but no significant fibrosis. Bone marrow fibrosis predicted an inferior overall survival and leukemia event-free survival for patients who received no hematopoietic stem cell transplant in univariate and multivariate analysis. Eleven patients with bone marrow fibrosis and 32 control group patients underwent hematopoietic stem cell transplant; and bone marrow fibrosis was an independent risk for an inferior overall survival but not leukemia-free survival. In addition, 17 (4%) patients developed bone marrow fibrosis during the course of myelodysplastic syndromes, which was accompanied by clinical and cytogenetic evidence of disease progression. JAK2 V617F mutations were detected in 6 of the 28 patients with bone marrow fibrosis presenting at the time of diagnosis and 2 of the 7 patients with bone marrow fibrosis developing in the course of disease, significantly higher than the control group patients. We conclude that bone marrow fibrosis is an adverse risk feature in primary myelodysplastic syndromes in the current therapeutic era, and this risk feature is not captured by newly revised risk stratification systems. Inclusion of bone marrow fibrosis in patient assessment may further aid in risk-adapted therapeutic decisions.","author":[{"dropping-particle":"","family":"Fu","given":"Bin","non-dropping-particle":"","parse-names":false,"suffix":""},{"dropping-particle":"","family":"Jaso","given":"Jesse M","non-dropping-particle":"","parse-names":false,"suffix":""},{"dropping-particle":"","family":"Sargent","given":"Rachel L","non-dropping-particle":"","parse-names":false,"suffix":""},{"dropping-particle":"","family":"Goswami","given":"Maitrayee","non-dropping-particle":"","parse-names":false,"suffix":""},{"dropping-particle":"","family":"Verstovsek","given":"Srdan","non-dropping-particle":"","parse-names":false,"suffix":""},{"dropping-particle":"","family":"Medeiros","given":"L Jeffrey","non-dropping-particle":"","parse-names":false,"suffix":""},{"dropping-particle":"","family":"Wang","given":"Sa A","non-dropping-particle":"","parse-names":false,"suffix":""}],"container-title":"Modern pathology : an official journal of the United States and Canadian Academy of Pathology, Inc","id":"ITEM-2","issue":"5","issued":{"date-parts":[["2014","5"]]},"page":"681-9","title":"Bone marrow fibrosis in patients with primary myelodysplastic syndromes has prognostic value using current therapies and new risk stratification systems.","type":"article-journal","volume":"27"},"uris":["http://www.mendeley.com/documents/?uuid=850ef036-e73a-311c-946e-08c157f1a8f1"]},{"id":"ITEM-3","itemData":{"DOI":"10.1038/sj.leu.2405076","ISSN":"14765551","abstract":"The differences in clinical features and prognosis between hypoplastic myelodysplastic syndrome (h-MDS) and normo-/hypercellular MDS (NH-MDS) remain unsettled. In this study, the characteristics of 37 h-MDS patients and 152 NH-MDS patients were compared. Peripheral-blood white blood cell counts and bone marrow blast percentage were lower in h-MDS patients than in NH-MDS patients (P=0.012 and 0.016, respectively). Refractory anemia (RA) was predominant (56.8%) in h-MDS, whereas RA with excess of blast (RAEB) was most common (44.7%) in NH-MDS. Chromosomal abnormalities -7/7q- occurred less frequently in h-MDS patients than in NH-MDS patients (0 vs 18.3%, P=0.022). There was no significant difference in the prevalence of mutations of RAS, AML1, JAK2, PTPN11, FLT3/ITD, and hypermethylation of SOCS1 and SHP1 between these two groups. International Prognostic Scoring System (IPSS) was ideal for predicting prognoses in h-MDS patients (P=0.002). In low- or intermediate-1 (Int-1)-risk MDS patients, h-MDS patients had a superior survival than NH-MDS patients (P=0.01). In conclusion, distinct from NH-MDS, h-MDS patients have different patterns of hemogram, distribution of French-American-British subtypes, cytogenetic changes and prognoses. IPSS is applicable in h-MDS as in NH-MDS. In patients with low- or Int-1-risk MDS, h-MDS patients have a better prognosis than NH-MDS patients.","author":[{"dropping-particle":"","family":"Huang","given":"T. C.","non-dropping-particle":"","parse-names":false,"suffix":""},{"dropping-particle":"","family":"Ko","given":"B. S.","non-dropping-particle":"","parse-names":false,"suffix":""},{"dropping-particle":"","family":"Tang","given":"J. L.","non-dropping-particle":"","parse-names":false,"suffix":""},{"dropping-particle":"","family":"Hsu","given":"C.","non-dropping-particle":"","parse-names":false,"suffix":""},{"dropping-particle":"","family":"Chen","given":"C. Y.","non-dropping-particle":"","parse-names":false,"suffix":""},{"dropping-particle":"","family":"Tsay","given":"W.","non-dropping-particle":"","parse-names":false,"suffix":""},{"dropping-particle":"","family":"Huang","given":"S. Y.","non-dropping-particle":"","parse-names":false,"suffix":""},{"dropping-particle":"","family":"Yao","given":"M.","non-dropping-particle":"","parse-names":false,"suffix":""},{"dropping-particle":"","family":"Chen","given":"Y. C.","non-dropping-particle":"","parse-names":false,"suffix":""},{"dropping-particle":"","family":"Shen","given":"M. C.","non-dropping-particle":"","parse-names":false,"suffix":""},{"dropping-particle":"","family":"Wang","given":"C. H.","non-dropping-particle":"","parse-names":false,"suffix":""},{"dropping-particle":"","family":"Tien","given":"H. F.","non-dropping-particle":"","parse-names":false,"suffix":""}],"container-title":"Leukemia","id":"ITEM-3","issue":"3","issued":{"date-parts":[["2008"]]},"page":"544-550","publisher":"Nature Publishing Group","title":"Comparison of hypoplastic myelodysplastic syndrome (MDS) with normo-/hypercellular MDS by International Prognostic Scoring System, cytogenetic and genetic studies","type":"article-journal","volume":"22"},"uris":["http://www.mendeley.com/documents/?uuid=2d4a7e2b-a93b-3a47-b381-6d43d0c24400"]},{"id":"ITEM-4","itemData":{"ISSN":"0902-4441","PMID":"1592101","abstract":"In a retrospective study of 352 patients with primary myelodysplastic syndromes, 61 (17.3%) revealed myelofibrosis in bone marrow biopsies. The fibrosis was observed to occur mostly focally (41/61 cases), and collagen deposits were found very rarely (4/61). The histopathology of bone marrow biopsies revealed hyperplasia and disturbed differentiation in megakaryopoiesis; the frequency and grade of dysplasia in megakaryopoiesis increased with advancing myelofibrosis. Reticulin fibrosis occurred in all subtypes of MDS; however, there was a higher incidence in chronic myelo-monocytic leukaemia (CMMoL). The frequency of cytogenetic aberrations was significantly higher in the MDS cases with myelofibrosis, compared to the cases without fibrosis. Clinical data showed significantly lower values of haemoglobin and lower platelet counts in MDS with myelofibrosis. Life expectancy was reduced to 9.6 months, compared with 17.4 months in MDS without fibrosis. In refractory anaemia, the survival times were 10.0 months in MDS with myelofibrosis, compared to 28.9 months in MDS without myelofibrosis. 36.6% of the patients with MDS and myelofibrosis developed a transformation into ANLL during the course of the disease. Myelofibrosis therefore seems to herald a poor prognosis.","author":[{"dropping-particle":"","family":"Maschek","given":"H","non-dropping-particle":"","parse-names":false,"suffix":""},{"dropping-particle":"","family":"Georgii","given":"A","non-dropping-particle":"","parse-names":false,"suffix":""},{"dropping-particle":"","family":"Kaloutsi","given":"V","non-dropping-particle":"","parse-names":false,"suffix":""},{"dropping-particle":"","family":"Werner","given":"M","non-dropping-particle":"","parse-names":false,"suffix":""},{"dropping-particle":"","family":"Bandecar","given":"K","non-dropping-particle":"","parse-names":false,"suffix":""},{"dropping-particle":"","family":"Kressel","given":"M G","non-dropping-particle":"","parse-names":false,"suffix":""},{"dropping-particle":"","family":"Choritz","given":"H","non-dropping-particle":"","parse-names":false,"suffix":""},{"dropping-particle":"","family":"Freund","given":"M","non-dropping-particle":"","parse-names":false,"suffix":""},{"dropping-particle":"","family":"Hufnagl","given":"D","non-dropping-particle":"","parse-names":false,"suffix":""}],"container-title":"European journal of haematology","id":"ITEM-4","issue":"4","issued":{"date-parts":[["1992","4"]]},"page":"208-14","title":"Myelofibrosis in primary myelodysplastic syndromes: a retrospective study of 352 patients.","type":"article-journal","volume":"48"},"uris":["http://www.mendeley.com/documents/?uuid=5f0f536d-d511-3c9c-a840-e4670c1d14d1"]},{"id":"ITEM-5","itemData":{"DOI":"10.1159/000101709","ISSN":"10152008","abstract":"In spite of the impressive advances in the area of molecular pathology, bone marrow morphology remains the diagnosis cornerstone to identify the various subtypes of myeloid neoplasms. Morphological examination of the bone marrow requires both bone marrow aspirate and bone marrow trephine biopsy. Immunohistochemistry of bone marrow biopsy with markers reactive in paraffin-embedded tissues represents a powerful diagnostic tool; its results can be easily correlated with those obtained by other techniques such as flow cytometry and genetic analysis, and above all, the clinical findings. The role of the bone marrow biopsy will be particularly stressed in this review article. Particular emphasis is being given to the correct identification of cases of myeloid neoplasms associated with myelofibrosis and for which the bone marrow biopsy represents the only available diagnostic mean. Moreover, the often low cellular yield of the bone marrow aspirate in these cases may also be insufficient to obtain adequate cytogenetic information. Such cases include two subtypes of acute myeloid leukemia which typically cause diagnostic difficulties: acute megakaryoblastic leukemia and acute panmyelosis with myelofibrosis (acute myelosclerosis). Acute myeloid leukemia with multilineage dysplasia, therapy-related myelodysplastic syndrome/therapy-related acute myeloid leukemia and de novo myelodysplastic syndromes (MDS) will also be discussed. The value of bone marrow biopsy in this group of disorders is generally well established. In MDS, in particular, bone marrow biopsy may help in confirming a suspected diagnosis by excluding reactive conditions in which dyshematopoietic changes may also be observed. It can increase the diagnostic accuracy and helps in refining the IPPS risk evaluation system. Among the alterations detected by bone marrow biopsy, a prognostically important finding is the presence of aggregates or clusters of immature myeloid precursor cells (myeloblasts and promyelocytes). These can also be identified by immunohistochemistry with CD34, an antigen expressed in progenitor and early precursor marrow cells, which can be used to demonstrate pathological accumulations of blasts in aggressive subtypes of myeloid neoplasms. Immunohistologic analysis is especially helpful in cases of MDS with fibrosis and cases with hypocellular marrows (hypoplastic MDS). In both of these variants, the presence of reticulin fibrosis or fatty changes in the bone marrow can make accurat…","author":[{"dropping-particle":"","family":"Orazi","given":"Attilio","non-dropping-particle":"","parse-names":false,"suffix":""}],"container-title":"Pathobiology","id":"ITEM-5","issue":"2","issued":{"date-parts":[["2007","6"]]},"page":"97-114","title":"Histopathology in the diagnosis and classification of acute myeloid leukemia, myelodysplastic syndromes, and myelodysplastic/myeloproliferative diseases","type":"article","volume":"74"},"uris":["http://www.mendeley.com/documents/?uuid=27c6e073-298c-3482-8495-7f15b4d80afd"]},{"id":"ITEM-6","itemData":{"DOI":"10.1016/j.leukres.2007.08.006","ISSN":"0145-2126","PMID":"17888511","abstract":"Hypocellular myelodysplastic syndrome (MDS) represents only a small portion of MDS, of which, the clinical significance has not been well-defined. By using currently accepted age-adjusted criteria to define hypocellularity as &lt;30% in patients &lt;70 years old, and &lt;20% in &gt;70 years old, we identified 163 (15.5%) hypocelluar MDS from 1049 consecutive adult MDS patients over an 11-year period (1995-2006). Compared to normal/hypercellular MDS, hypocellular MDS patients were younger (p&lt;0.01), less anemic (p=0.02), but more neutropenic (p&lt;0.001) and thrombocytopenic (p=0.05), and had a comparable cytogenetic risk group distribution (p=0.09) and international prognostic scores (IPSS, p=0.13). With a median follow-up of 52 months, hypocellular MDS showed a favorable overall survival (56 months versus 28 months, log-rank p&lt;0.0001) over normal/hypocellular MDS, and this survival preference was also demonstrated in all IPSS groups and cytogenetic risk groups, and was independent of all other risk factors (Cox regression test, p=0.01). In conclusion, our study demonstrated that hypocellular MDS has characteristic clinicopathologic features, and bone marrow hypocellularity in MDS is an independent factor which predicts a favorable outcome.","author":[{"dropping-particle":"","family":"Yue","given":"Gang","non-dropping-particle":"","parse-names":false,"suffix":""},{"dropping-particle":"","family":"Hao","given":"Suyang","non-dropping-particle":"","parse-names":false,"suffix":""},{"dropping-particle":"","family":"Fadare","given":"Oluwole","non-dropping-particle":"","parse-names":false,"suffix":""},{"dropping-particle":"","family":"Baker","given":"Stephen","non-dropping-particle":"","parse-names":false,"suffix":""},{"dropping-particle":"","family":"Pozdnyakova","given":"Olga","non-dropping-particle":"","parse-names":false,"suffix":""},{"dropping-particle":"","family":"Galili","given":"Naomi","non-dropping-particle":"","parse-names":false,"suffix":""},{"dropping-particle":"","family":"Woda","given":"Bruce A","non-dropping-particle":"","parse-names":false,"suffix":""},{"dropping-particle":"","family":"Raza","given":"Azra","non-dropping-particle":"","parse-names":false,"suffix":""},{"dropping-particle":"","family":"Wang","given":"Sa A","non-dropping-particle":"","parse-names":false,"suffix":""}],"container-title":"Leukemia research","id":"ITEM-6","issue":"4","issued":{"date-parts":[["2008","4"]]},"page":"553-8","title":"Hypocellularity in myelodysplastic syndrome is an independent factor which predicts a favorable outcome.","type":"article-journal","volume":"32"},"uris":["http://www.mendeley.com/documents/?uuid=a5a5d3ce-c938-3bfd-8d55-a8b8f9918232"]}],"mendeley":{"formattedCitation":"[9,40–44]","plainTextFormattedCitation":"[9,40–44]","previouslyFormattedCitation":"[9,40–44]"},"properties":{"noteIndex":0},"schema":"https://github.com/citation-style-language/schema/raw/master/csl-citation.json"}</w:instrText>
      </w:r>
      <w:r w:rsidRPr="006A377C">
        <w:rPr>
          <w:szCs w:val="24"/>
        </w:rPr>
        <w:fldChar w:fldCharType="separate"/>
      </w:r>
      <w:r w:rsidR="00AE1E12" w:rsidRPr="00AE1E12">
        <w:rPr>
          <w:noProof/>
          <w:szCs w:val="24"/>
        </w:rPr>
        <w:t>[9,40–44]</w:t>
      </w:r>
      <w:r w:rsidRPr="006A377C">
        <w:rPr>
          <w:szCs w:val="24"/>
        </w:rPr>
        <w:fldChar w:fldCharType="end"/>
      </w:r>
      <w:r w:rsidRPr="006A377C">
        <w:rPr>
          <w:szCs w:val="24"/>
        </w:rPr>
        <w:t>.</w:t>
      </w:r>
    </w:p>
    <w:p w14:paraId="47F2F502" w14:textId="77777777" w:rsidR="00F20CFD" w:rsidRPr="006A377C" w:rsidRDefault="00F20CFD" w:rsidP="007C78A6">
      <w:pPr>
        <w:ind w:left="709" w:hanging="1"/>
        <w:rPr>
          <w:b/>
          <w:szCs w:val="24"/>
        </w:rPr>
      </w:pPr>
      <w:r w:rsidRPr="006A377C">
        <w:rPr>
          <w:b/>
          <w:szCs w:val="24"/>
        </w:rPr>
        <w:t xml:space="preserve">Уровень убедительности рекомендаций </w:t>
      </w:r>
      <w:r w:rsidRPr="006A377C">
        <w:rPr>
          <w:b/>
          <w:szCs w:val="24"/>
          <w:lang w:val="en-US"/>
        </w:rPr>
        <w:t>C</w:t>
      </w:r>
      <w:r w:rsidRPr="006A377C">
        <w:rPr>
          <w:b/>
          <w:szCs w:val="24"/>
        </w:rPr>
        <w:t xml:space="preserve"> (уровень достоверности доказательств – </w:t>
      </w:r>
      <w:r w:rsidR="009F6CDA">
        <w:rPr>
          <w:b/>
          <w:szCs w:val="24"/>
        </w:rPr>
        <w:t>4</w:t>
      </w:r>
      <w:r w:rsidRPr="006A377C">
        <w:rPr>
          <w:b/>
          <w:szCs w:val="24"/>
        </w:rPr>
        <w:t>)</w:t>
      </w:r>
    </w:p>
    <w:p w14:paraId="4EAE3BA5" w14:textId="77777777" w:rsidR="00F20CFD" w:rsidRPr="006A377C" w:rsidRDefault="00F20CFD" w:rsidP="007C78A6">
      <w:pPr>
        <w:ind w:left="709" w:hanging="1"/>
        <w:rPr>
          <w:i/>
          <w:szCs w:val="24"/>
        </w:rPr>
      </w:pPr>
      <w:r w:rsidRPr="006A377C">
        <w:rPr>
          <w:b/>
          <w:szCs w:val="24"/>
        </w:rPr>
        <w:t xml:space="preserve">Комментарии: </w:t>
      </w:r>
      <w:r w:rsidRPr="006A377C">
        <w:rPr>
          <w:i/>
          <w:szCs w:val="24"/>
        </w:rPr>
        <w:t>гистологическая картина КМ позволяет проводить дифференциальный диагноз и в дальнейшем дифференцированно подходить к выбору тактики терапии.</w:t>
      </w:r>
    </w:p>
    <w:p w14:paraId="0D3314B1" w14:textId="77777777" w:rsidR="00F20CFD" w:rsidRPr="006A377C" w:rsidRDefault="00F20CFD" w:rsidP="005F2F2B">
      <w:pPr>
        <w:pStyle w:val="aff"/>
        <w:numPr>
          <w:ilvl w:val="0"/>
          <w:numId w:val="16"/>
        </w:numPr>
        <w:ind w:left="709" w:hanging="425"/>
        <w:rPr>
          <w:szCs w:val="24"/>
        </w:rPr>
      </w:pPr>
      <w:r w:rsidRPr="006A377C">
        <w:rPr>
          <w:szCs w:val="24"/>
        </w:rPr>
        <w:t xml:space="preserve">Всем пациентам на момент верификации МДС, а также в процессе лечения и прогрессии заболевания, в случаях, требующих более точной верификации изменений в КМ (наличие диспластичных мегакариоцитов, атипично расположенных незрелых предшественников и бластных клеток, степень фиброза стромы, характер лимфоидных скоплений) </w:t>
      </w:r>
      <w:r w:rsidRPr="006A377C">
        <w:rPr>
          <w:b/>
          <w:szCs w:val="24"/>
        </w:rPr>
        <w:t>рекомендуется</w:t>
      </w:r>
      <w:r w:rsidRPr="006A377C">
        <w:rPr>
          <w:szCs w:val="24"/>
        </w:rPr>
        <w:t xml:space="preserve"> </w:t>
      </w:r>
      <w:r w:rsidRPr="006A377C">
        <w:rPr>
          <w:bCs/>
          <w:szCs w:val="24"/>
        </w:rPr>
        <w:t>патолого-анатомическое исследование биопсийного (операционного) материала КМ с применением иммуногистохимических методов</w:t>
      </w:r>
      <w:r w:rsidRPr="006A377C">
        <w:rPr>
          <w:szCs w:val="24"/>
        </w:rPr>
        <w:t xml:space="preserve"> (ИГХ) </w:t>
      </w:r>
      <w:r w:rsidRPr="006A377C">
        <w:rPr>
          <w:szCs w:val="24"/>
        </w:rPr>
        <w:fldChar w:fldCharType="begin" w:fldLock="1"/>
      </w:r>
      <w:r w:rsidR="00AE1E12">
        <w:rPr>
          <w:szCs w:val="24"/>
        </w:rPr>
        <w:instrText>ADDIN CSL_CITATION {"citationItems":[{"id":"ITEM-1","itemData":{"DOI":"10.18632/oncotarget.19008","abstract":"© Valent et al. Myelodysplastic syndromes (MDS) comprise a heterogeneous group of myeloid neoplasms characterized by peripheral cytopenia, dysplasia, and a variable clinical course with about 30% risk to transform to secondary acute myeloid leukemia (AML). In the past 15 years, diagnostic evaluations, prognostication, and treatment of MDS have improved substantially. However, with the discovery of molecular markers and advent of novel targeted therapies, new challenges have emerged in the complex field of MDS. For example, MDS-related molecular lesions may be detectable in healthy individuals and increase in prevalence with age. Other patients exhibit persistent cytopenia of unknown etiology without dysplasia. Although these conditions are potential pre-phases of MDS they may also transform into other bone marrow neoplasms. Recently identified molecular, cytogenetic, and flow-based parameters may add in the delineation and prognostication of these conditions. However, no generally accepted integrated classification and no related criteria are as yet available. In an attempt to address this challenge, an international consensus group discussed these issues in a working conference in July 2016. The outcomes of this conference are summarized in the present article which includes criteria and a proposal for the classification of pre-MDS conditions as well as updated minimal diagnostic criteria of MDS. Moreover, we propose diagnostic standards to delineate between 'normal', pre-MDS, and MDS. These standards and criteria should facilitate diagnostic and prognostic evaluations in clinical studies as well as in clinical practice.","author":[{"dropping-particle":"","family":"Valent","given":"Peter","non-dropping-particle":"","parse-names":false,"suffix":""},{"dropping-particle":"","family":"Orazi","given":"Attilio","non-dropping-particle":"","parse-names":false,"suffix":""},{"dropping-particle":"","family":"Steensma","given":"David P.","non-dropping-particle":"","parse-names":false,"suffix":""},{"dropping-particle":"","family":"Ebert","given":"Benjamin L.","non-dropping-particle":"","parse-names":false,"suffix":""},{"dropping-particle":"","family":"Haase","given":"Detlef","non-dropping-particle":"","parse-names":false,"suffix":""},{"dropping-particle":"","family":"Malcovati","given":"Luca","non-dropping-particle":"","parse-names":false,"suffix":""},{"dropping-particle":"","family":"Loosdrecht","given":"Arjan A.","non-dropping-particle":"van de","parse-names":false,"suffix":""},{"dropping-particle":"","family":"Haferlach","given":"Torsten","non-dropping-particle":"","parse-names":false,"suffix":""},{"dropping-particle":"","family":"Westers","given":"Theresia M.","non-dropping-particle":"","parse-names":false,"suffix":""},{"dropping-particle":"","family":"Wells","given":"Denise A.","non-dropping-particle":"","parse-names":false,"suffix":""},{"dropping-particle":"","family":"Giagounidis","given":"Aristoteles","non-dropping-particle":"","parse-names":false,"suffix":""},{"dropping-particle":"","family":"Loken","given":"Michael","non-dropping-particle":"","parse-names":false,"suffix":""},{"dropping-particle":"","family":"Orfao","given":"Alberto","non-dropping-particle":"","parse-names":false,"suffix":""},{"dropping-particle":"","family":"Lübbert","given":"Michael","non-dropping-particle":"","parse-names":false,"suffix":""},{"dropping-particle":"","family":"Ganser","given":"Arnold","non-dropping-particle":"","parse-names":false,"suffix":""},{"dropping-particle":"","family":"Hofmann","given":"Wolf-Karsten","non-dropping-particle":"","parse-names":false,"suffix":""},{"dropping-particle":"","family":"Ogata","given":"Kiyoyuki","non-dropping-particle":"","parse-names":false,"suffix":""},{"dropping-particle":"","family":"Schanz","given":"Julie","non-dropping-particle":"","parse-names":false,"suffix":""},{"dropping-particle":"","family":"Béné","given":"Marie C.","non-dropping-particle":"","parse-names":false,"suffix":""},{"dropping-particle":"","family":"Hoermann","given":"Gregor","non-dropping-particle":"","parse-names":false,"suffix":""},{"dropping-particle":"","family":"Sperr","given":"Wolfgang R.","non-dropping-particle":"","parse-names":false,"suffix":""},{"dropping-particle":"","family":"Sotlar","given":"Karl","non-dropping-particle":"","parse-names":false,"suffix":""},{"dropping-particle":"","family":"Bettelheim","given":"Peter","non-dropping-particle":"","parse-names":false,"suffix":""},{"dropping-particle":"","family":"Stauder","given":"Reinhard","non-dropping-particle":"","parse-names":false,"suffix":""},{"dropping-particle":"","family":"Pfeilstöcker","given":"Michael","non-dropping-particle":"","parse-names":false,"suffix":""},{"dropping-particle":"","family":"Horny","given":"Hans-Peter","non-dropping-particle":"","parse-names":false,"suffix":""},{"dropping-particle":"","family":"Germing","given":"Ulrich","non-dropping-particle":"","parse-names":false,"suffix":""},{"dropping-particle":"","family":"Greenberg","given":"Peter","non-dropping-particle":"","parse-names":false,"suffix":""},{"dropping-particle":"","family":"Bennett","given":"John M.","non-dropping-particle":"","parse-names":false,"suffix":""}],"container-title":"Oncotarget","id":"ITEM-1","issue":"43","issued":{"date-parts":[["2017","9","26"]]},"publisher":"Impact Journals, LLC","title":"Proposed minimal diagnostic criteria for myelodysplastic syndromes (MDS) and potential pre-MDS conditions","type":"article-journal","volume":"8"},"uris":["http://www.mendeley.com/documents/?uuid=ee15b730-a098-3d84-8430-e0a5dee2c205"]},{"id":"ITEM-2","itemData":{"DOI":"10.1200/JCO.2008.18.2246","ISSN":"1527-7755","PMID":"19103730","abstract":"PURPOSE We studied bone marrow (BM) histologic abnormalities in myelodysplastic syndromes (MDS) classified according to WHO criteria to determine their clinical correlates and prognostic value. PATIENTS AND METHODS Three hundred one consecutive patients were retrospectively evaluated for BM fibrosis and CD34 immunoreactivity. Marrow fibrosis was assessed following the European consensus guidelines. RESULTS Moderate to severe BM fibrosis was detected in 17% of cases and was associated with multilineage dysplasia (P = .001), high transfusion requirement (P &lt; .001), and poor-risk cytogenetics (P = .007). CD34+ cell clusters were found in 23% of patients and were associated with WHO categories with excess of blasts (P &lt; .001) and poor-risk cytogenetics (P = .001). In multivariable analysis, BM fibrosis and presence of CD34+ cell clusters had independent negative impact on overall survival (P &lt; .001 and P = .019, respectively) and leukemia-free survival (P &lt; .001 and P = .004, respectively). A hierarchical clustering analysis identified three subsets of patients with distinct clinical features. One cluster consisted mainly of patients with BM fibrosis, multilineage dysplasia, and high transfusion requirement; these individuals had lower overall survival and leukemia-free survival (P = .001 and P &lt; .001, respectively). Within patients stratified according to International Prognostic Scoring System and WHO classification-based Prognostic Scoring System categories, BM fibrosis involved a shift to a one-step more advanced risk group. CONCLUSION BM fibrosis identifies a distinct subgroup of MDS with multilineage dysplasia, high transfusion requirement, and poor prognosis and represents an independent prognostic factor that may be useful in clinical decision making. Furthermore, the presence of CD34+ cell clusters is an independent risk factor for progression to acute leukemia.","author":[{"dropping-particle":"","family":"Porta","given":"Matteo Giovanni","non-dropping-particle":"Della","parse-names":false,"suffix":""},{"dropping-particle":"","family":"Malcovati","given":"Luca","non-dropping-particle":"","parse-names":false,"suffix":""},{"dropping-particle":"","family":"Boveri","given":"Emanuela","non-dropping-particle":"","parse-names":false,"suffix":""},{"dropping-particle":"","family":"Travaglino","given":"Erica","non-dropping-particle":"","parse-names":false,"suffix":""},{"dropping-particle":"","family":"Pietra","given":"Daniela","non-dropping-particle":"","parse-names":false,"suffix":""},{"dropping-particle":"","family":"Pascutto","given":"Cristiana","non-dropping-particle":"","parse-names":false,"suffix":""},{"dropping-particle":"","family":"Passamonti","given":"Francesco","non-dropping-particle":"","parse-names":false,"suffix":""},{"dropping-particle":"","family":"Invernizzi","given":"Rosangela","non-dropping-particle":"","parse-names":false,"suffix":""},{"dropping-particle":"","family":"Castello","given":"Alessandro","non-dropping-particle":"","parse-names":false,"suffix":""},{"dropping-particle":"","family":"Magrini","given":"Umberto","non-dropping-particle":"","parse-names":false,"suffix":""},{"dropping-particle":"","family":"Lazzarino","given":"Mario","non-dropping-particle":"","parse-names":false,"suffix":""},{"dropping-particle":"","family":"Cazzola","given":"Mario","non-dropping-particle":"","parse-names":false,"suffix":""}],"container-title":"Journal of clinical oncology : official journal of the American Society of Clinical Oncology","id":"ITEM-2","issue":"5","issued":{"date-parts":[["2009","2","10"]]},"page":"754-62","title":"Clinical relevance of bone marrow fibrosis and CD34-positive cell clusters in primary myelodysplastic syndromes.","type":"article-journal","volume":"27"},"uris":["http://www.mendeley.com/documents/?uuid=1d7d35a4-b520-3bf6-bf09-7dd4c8ccf61f"]},{"id":"ITEM-3","itemData":{"DOI":"10.1093/ajcp/107.3.268","ISSN":"0002-9173","PMID":"9052376","abstract":"Hypoplastic myelodysplastic syndromes (h-MDSs) are difficult to distinguish from acquired aplastic anemia (AA) because of the considerable clinical, cytologic, and histologic similarities between these two disorders. Recent studies have suggested that the bone marrow (BM) in AA is characterized by a decreased number of CD34+ cells and reduced expression of proliferating cell nuclear antigen (PCNA), features that have not been associated with MDS. To determine the potential importance of these markers in the differential diagnosis of hypoplastic BM disorders, we immunostained 50 BM biopsy specimens of cytogenetically characterized cases of AA (27) and h-MDS (23). Immunohistochemical staining for CD34 was performed with QBEND10 (Vector, Burlingame, Calif), a monoclonal antibody (MoAb) reactive in routinely processed specimens, while PCNA was assessed by the PC10 MoAb (Dako, Carpinteria, Calif) using a microwave over-based antigen retrieval technique. Bone marrow specimens of h-MDS cases showed statistically higher values of PCNA and CD34 than did those of the AA cases: mean values (+/- SD) of CD34-positive cells in h-MDS, 0.94% +/- 1.1; AA, 0.04% +/- 0.1 (P = .0002); PCNA-positive cells in h-MDS, 43.59% +/- 13.3; AA, 14.80% +/- 6.4 (P &lt; .0001). Our study confirms that AA is characterized by low expression of PCNA in BM and reduced CD34 frequency compared with h-MDS and supports the concept of an early deficiency of stem cells in the former disorder. The results also illustrate how immunostaining permits a simple distinction of these conditions in routinely processed BM biopsy specimens.","author":[{"dropping-particle":"","family":"Orazi","given":"A","non-dropping-particle":"","parse-names":false,"suffix":""},{"dropping-particle":"","family":"Albitar","given":"M","non-dropping-particle":"","parse-names":false,"suffix":""},{"dropping-particle":"","family":"Heerema","given":"N A","non-dropping-particle":"","parse-names":false,"suffix":""},{"dropping-particle":"","family":"Haskins","given":"S","non-dropping-particle":"","parse-names":false,"suffix":""},{"dropping-particle":"","family":"Neiman","given":"R S","non-dropping-particle":"","parse-names":false,"suffix":""}],"container-title":"American journal of clinical pathology","id":"ITEM-3","issue":"3","issued":{"date-parts":[["1997","3"]]},"page":"268-74","title":"Hypoplastic myelodysplastic syndromes can be distinguished from acquired aplastic anemia by CD34 and PCNA immunostaining of bone marrow biopsy specimens.","type":"article-journal","volume":"107"},"uris":["http://www.mendeley.com/documents/?uuid=78169e47-d6cf-3b83-80d4-d601ec9e7f7b"]},{"id":"ITEM-4","itemData":{"DOI":"10.1200/JCO.2003.04.182","ISSN":"0732-183X","PMID":"12525519","abstract":"PURPOSE The most recent and powerful prognostic instrument established for myelodysplastic syndromes (MDS) is the International Prognostic Scoring System (IPSS), which is primarily based on medullary blast cell count, number of cytopenias, and cytogenetics. Although this prognostic system has substantial predictive power in MDS, further refinement is necessary, especially as far as lower-risk patients are concerned. Histologic parameters, which have long proved to be associated with outcome, are promising candidates to improve the prognostic accuracy of the IPSS. Therefore, we assessed the additional predictive power of the presence of abnormally localized immature precursors (ALIPs) and CD34 immunoreactivity in bone marrow (BM) biopsies of MDS patients. PATIENTS AND METHODS Cytogenetic, morphologic, and clinical data of 184 MDS patients, all from a single institution, were collected, with special emphasis on the determinants of the IPSS score. BM biopsies of 173 patients were analyzed for the presence of ALIP, and CD34 immunoreactivity was assessable in 119 patients. Forty-nine patients received intensive therapy. RESULTS The presence of ALIP and CD34 immunoreactivity significantly improved the prognostic value of the IPSS, with respect to overall as well as leukemia-free survival, in particular within the lower-risk categories. In contrast to the IPSS, both histologic parameters also were predictive of outcome within the group of intensively treated MDS patients. CONCLUSION Our data confirm the importance of histopathologic evaluation in MDS and indicate that determining the presence of ALIP and an increase in CD34 immunostaining in addition to the IPSS score could lead to an improved prognostic subcategorization of MDS patients.","author":[{"dropping-particle":"","family":"Verburgh","given":"E","non-dropping-particle":"","parse-names":false,"suffix":""},{"dropping-particle":"","family":"Achten","given":"R","non-dropping-particle":"","parse-names":false,"suffix":""},{"dropping-particle":"","family":"Maes","given":"B","non-dropping-particle":"","parse-names":false,"suffix":""},{"dropping-particle":"","family":"Hagemeijer","given":"A","non-dropping-particle":"","parse-names":false,"suffix":""},{"dropping-particle":"","family":"Boogaerts","given":"M","non-dropping-particle":"","parse-names":false,"suffix":""},{"dropping-particle":"","family":"Wolf-Peeters","given":"C","non-dropping-particle":"De","parse-names":false,"suffix":""},{"dropping-particle":"","family":"Verhoef","given":"G","non-dropping-particle":"","parse-names":false,"suffix":""}],"container-title":"Journal of clinical oncology","id":"ITEM-4","issue":"2","issued":{"date-parts":[["2003","1","15"]]},"page":"273-82","title":"Additional prognostic value of bone marrow histology in patients subclassified according to the International Prognostic Scoring System for myelodysplastic syndromes.","type":"article-journal","volume":"21"},"uris":["http://www.mendeley.com/documents/?uuid=09255b7a-5a61-3a37-b170-99bb9ba20aa2"]}],"mendeley":{"formattedCitation":"[9,45–47]","plainTextFormattedCitation":"[9,45–47]","previouslyFormattedCitation":"[9,45–47]"},"properties":{"noteIndex":0},"schema":"https://github.com/citation-style-language/schema/raw/master/csl-citation.json"}</w:instrText>
      </w:r>
      <w:r w:rsidRPr="006A377C">
        <w:rPr>
          <w:szCs w:val="24"/>
        </w:rPr>
        <w:fldChar w:fldCharType="separate"/>
      </w:r>
      <w:r w:rsidR="00AE1E12" w:rsidRPr="00AE1E12">
        <w:rPr>
          <w:noProof/>
          <w:szCs w:val="24"/>
        </w:rPr>
        <w:t>[9,45–47]</w:t>
      </w:r>
      <w:r w:rsidRPr="006A377C">
        <w:rPr>
          <w:szCs w:val="24"/>
        </w:rPr>
        <w:fldChar w:fldCharType="end"/>
      </w:r>
      <w:r w:rsidRPr="006A377C">
        <w:rPr>
          <w:szCs w:val="24"/>
        </w:rPr>
        <w:t>.</w:t>
      </w:r>
    </w:p>
    <w:p w14:paraId="7BAD856A" w14:textId="77777777" w:rsidR="00F20CFD" w:rsidRPr="006A377C" w:rsidRDefault="00F20CFD" w:rsidP="007C78A6">
      <w:pPr>
        <w:ind w:left="709" w:hanging="1"/>
        <w:rPr>
          <w:b/>
          <w:szCs w:val="24"/>
        </w:rPr>
      </w:pPr>
      <w:r w:rsidRPr="006A377C">
        <w:rPr>
          <w:b/>
          <w:szCs w:val="24"/>
        </w:rPr>
        <w:t xml:space="preserve">Уровень убедительности рекомендаций </w:t>
      </w:r>
      <w:r w:rsidRPr="006A377C">
        <w:rPr>
          <w:b/>
          <w:szCs w:val="24"/>
          <w:lang w:val="en-US"/>
        </w:rPr>
        <w:t>C</w:t>
      </w:r>
      <w:r w:rsidRPr="006A377C">
        <w:rPr>
          <w:b/>
          <w:szCs w:val="24"/>
        </w:rPr>
        <w:t xml:space="preserve"> (уровень достоверности доказательств – </w:t>
      </w:r>
      <w:r w:rsidR="00121CC1">
        <w:rPr>
          <w:b/>
          <w:szCs w:val="24"/>
        </w:rPr>
        <w:t>4</w:t>
      </w:r>
      <w:r w:rsidRPr="006A377C">
        <w:rPr>
          <w:b/>
          <w:szCs w:val="24"/>
        </w:rPr>
        <w:t>)</w:t>
      </w:r>
    </w:p>
    <w:p w14:paraId="4AE43FC6" w14:textId="77777777" w:rsidR="00F20CFD" w:rsidRPr="006A377C" w:rsidRDefault="00F20CFD" w:rsidP="007C78A6">
      <w:pPr>
        <w:ind w:left="709" w:hanging="1"/>
        <w:rPr>
          <w:i/>
          <w:szCs w:val="24"/>
        </w:rPr>
      </w:pPr>
      <w:r w:rsidRPr="006A377C">
        <w:rPr>
          <w:b/>
          <w:szCs w:val="24"/>
        </w:rPr>
        <w:t xml:space="preserve">Комментарии: </w:t>
      </w:r>
      <w:r w:rsidRPr="006A377C">
        <w:rPr>
          <w:i/>
          <w:iCs/>
          <w:szCs w:val="24"/>
        </w:rPr>
        <w:t>ИГХ</w:t>
      </w:r>
      <w:r w:rsidRPr="006A377C">
        <w:rPr>
          <w:i/>
          <w:szCs w:val="24"/>
        </w:rPr>
        <w:t xml:space="preserve"> исследования при МДС проводят на срезах парафиновых блоков трепанобиоптатов КМ. Антитела к CD34 применяют для визуализации и полуколичественной оценки клеток с бластной морфологией вне зон эндоста; антитела к CD61/СD42b для идентификации клеток мегакариоцитарного ростка, выявления мегакариобластов, мегакариоцитов небольших размеров с гиполобулярными ядрами, микроформ. При иммуногистохимческом исследовании </w:t>
      </w:r>
      <w:r w:rsidRPr="006A377C">
        <w:rPr>
          <w:i/>
          <w:szCs w:val="24"/>
        </w:rPr>
        <w:lastRenderedPageBreak/>
        <w:t>можно выявить: снижение экспрессии TdT+, CD19+ и PAX5+, что характерно для МДС; при дифференциальной диагностике – признаки моноцитарной дифференцировки при «левом сдвиге» гранулоцитарного ростка с хроническим миеломоноцитарным лейкозом, заболеванием из группы МДС.</w:t>
      </w:r>
    </w:p>
    <w:p w14:paraId="316F69F8" w14:textId="77777777" w:rsidR="00F20CFD" w:rsidRPr="006A377C" w:rsidRDefault="00F20CFD" w:rsidP="007C78A6">
      <w:pPr>
        <w:ind w:left="709" w:hanging="1"/>
        <w:rPr>
          <w:i/>
          <w:szCs w:val="24"/>
        </w:rPr>
      </w:pPr>
      <w:r w:rsidRPr="006A377C">
        <w:rPr>
          <w:i/>
          <w:szCs w:val="24"/>
        </w:rPr>
        <w:t>Рекомендуемая панель антител для иммуногистохимческого исследования при проведении дифференциальной диагностики МДС следующая:</w:t>
      </w:r>
    </w:p>
    <w:p w14:paraId="1A411D2C" w14:textId="77777777" w:rsidR="00F20CFD" w:rsidRPr="006A377C" w:rsidRDefault="00F20CFD" w:rsidP="007C78A6">
      <w:pPr>
        <w:ind w:left="709"/>
        <w:rPr>
          <w:i/>
          <w:szCs w:val="24"/>
        </w:rPr>
      </w:pPr>
      <w:r w:rsidRPr="006A377C">
        <w:rPr>
          <w:i/>
          <w:szCs w:val="24"/>
        </w:rPr>
        <w:t>– гранулоцитарный росток – миелопероксидаза (для МДС характерно снижение интенсивности экспрессии миелопероксидазы и количества положительных клеток);</w:t>
      </w:r>
    </w:p>
    <w:p w14:paraId="4F08DECD" w14:textId="77777777" w:rsidR="00F20CFD" w:rsidRPr="006A377C" w:rsidRDefault="00F20CFD" w:rsidP="007C78A6">
      <w:pPr>
        <w:ind w:left="709"/>
        <w:rPr>
          <w:i/>
          <w:szCs w:val="24"/>
        </w:rPr>
      </w:pPr>
      <w:r w:rsidRPr="006A377C">
        <w:rPr>
          <w:i/>
          <w:szCs w:val="24"/>
        </w:rPr>
        <w:t>– моноцитарный росток – CD14, CD68 (PG-M1), CD163, лизоцим;</w:t>
      </w:r>
    </w:p>
    <w:p w14:paraId="225832B2" w14:textId="77777777" w:rsidR="00F20CFD" w:rsidRPr="006A377C" w:rsidRDefault="00F20CFD" w:rsidP="007C78A6">
      <w:pPr>
        <w:ind w:left="709"/>
        <w:rPr>
          <w:i/>
          <w:szCs w:val="24"/>
        </w:rPr>
      </w:pPr>
      <w:r w:rsidRPr="006A377C">
        <w:rPr>
          <w:i/>
          <w:szCs w:val="24"/>
        </w:rPr>
        <w:t>– эритроидный росток – гемоглобин, CD71, гликофорин A или С;</w:t>
      </w:r>
    </w:p>
    <w:p w14:paraId="2C9D906F" w14:textId="77777777" w:rsidR="00F20CFD" w:rsidRPr="006A377C" w:rsidRDefault="00F20CFD" w:rsidP="007C78A6">
      <w:pPr>
        <w:ind w:left="709"/>
        <w:rPr>
          <w:i/>
          <w:szCs w:val="24"/>
        </w:rPr>
      </w:pPr>
      <w:r w:rsidRPr="006A377C">
        <w:rPr>
          <w:i/>
          <w:szCs w:val="24"/>
        </w:rPr>
        <w:t>– мегакариоцитарный росток – CD61, CD42b, CD34;</w:t>
      </w:r>
    </w:p>
    <w:p w14:paraId="33BACDE3" w14:textId="77777777" w:rsidR="00F20CFD" w:rsidRPr="006A377C" w:rsidRDefault="00F20CFD" w:rsidP="007C78A6">
      <w:pPr>
        <w:ind w:left="709"/>
        <w:rPr>
          <w:i/>
          <w:szCs w:val="24"/>
        </w:rPr>
      </w:pPr>
      <w:r w:rsidRPr="006A377C">
        <w:rPr>
          <w:i/>
          <w:szCs w:val="24"/>
        </w:rPr>
        <w:t>– незрелые клетки с бластной морфологией – CD117/CD34 (в сочетании с CD71 для визуализации незрелых эритроидных предшественников).</w:t>
      </w:r>
    </w:p>
    <w:p w14:paraId="207955F5" w14:textId="77777777" w:rsidR="00F20CFD" w:rsidRPr="006A377C" w:rsidRDefault="00F20CFD" w:rsidP="005F2F2B">
      <w:pPr>
        <w:pStyle w:val="aff"/>
        <w:numPr>
          <w:ilvl w:val="0"/>
          <w:numId w:val="16"/>
        </w:numPr>
        <w:ind w:left="709" w:hanging="425"/>
        <w:rPr>
          <w:szCs w:val="24"/>
        </w:rPr>
      </w:pPr>
      <w:r w:rsidRPr="006A377C">
        <w:rPr>
          <w:szCs w:val="24"/>
        </w:rPr>
        <w:t xml:space="preserve">Всем пациентам при подозрении на МДС и при прогрессии заболевания, при наличии возможности, в лаборатории </w:t>
      </w:r>
      <w:r w:rsidRPr="006A377C">
        <w:rPr>
          <w:b/>
          <w:szCs w:val="24"/>
        </w:rPr>
        <w:t>рекомендуется</w:t>
      </w:r>
      <w:r w:rsidRPr="006A377C">
        <w:rPr>
          <w:szCs w:val="24"/>
        </w:rPr>
        <w:t xml:space="preserve"> исследование биологического материала КМ методом проточной цитофлуориметрии для определения принадлежности бластных клеток и выявления иммунологических признаков дисплазии, а также определения наличия минимальной резидуальной болезни </w:t>
      </w:r>
      <w:r w:rsidRPr="006A377C">
        <w:rPr>
          <w:szCs w:val="24"/>
        </w:rPr>
        <w:fldChar w:fldCharType="begin" w:fldLock="1"/>
      </w:r>
      <w:r w:rsidR="00AE1E12">
        <w:rPr>
          <w:szCs w:val="24"/>
        </w:rPr>
        <w:instrText>ADDIN CSL_CITATION {"citationItems":[{"id":"ITEM-1","itemData":{"DOI":"10.1111/bjh.12994","ISSN":"1365-2141","PMID":"24976502","abstract":"The estimation of survival of myelodysplastic syndromes (MDS) and risk of progression into acute myeloid leukaemia is challenging due to the heterogeneous clinical course. The most widely used prognostic scoring system (International Prognostic Scoring System [IPSS]) was recently revised (IPSS-R). The aim of this study was to investigate the prognostic relevance of flow cytometry (FC) in the context of the IPSS-R. Bone marrow aspirates were analysed by FC in 159 patients with MDS. A flow score was calculated by applying the flow cytometric scoring system (FCSS). Patients were assigned to IPSS and IPSS-R risk groups. The FCSS correlated with the World Health Organization classification, IPSS and IPSS-R risk groups. Mild flow cytometric abnormalities were associated with significantly better overall survival (OS) and lower risk of disease evolution. The presence of aberrant myeloid progenitors was associated with transfusion dependency and disease progression. Most importantly, the FCSS identified prognostic subgroups within the IPSS-R cytogenetic good risk and low risk group. Flow cytometric analysis in patients with MDS provides additional prognostic information and is complementary to the IPSS-R. The addition of a flow cytometric score next to the clinical parameters within the IPSS-R is a further refinement of prognostication of patients with MDS.","author":[{"dropping-particle":"","family":"Alhan","given":"Canan","non-dropping-particle":"","parse-names":false,"suffix":""},{"dropping-particle":"","family":"Westers","given":"Theresia M","non-dropping-particle":"","parse-names":false,"suffix":""},{"dropping-particle":"","family":"Cremers","given":"Eline M P","non-dropping-particle":"","parse-names":false,"suffix":""},{"dropping-particle":"","family":"Cali","given":"Claudia","non-dropping-particle":"","parse-names":false,"suffix":""},{"dropping-particle":"","family":"Witte","given":"Birgit I","non-dropping-particle":"","parse-names":false,"suffix":""},{"dropping-particle":"","family":"Ossenkoppele","given":"Gert J","non-dropping-particle":"","parse-names":false,"suffix":""},{"dropping-particle":"","family":"Loosdrecht","given":"Arjan A","non-dropping-particle":"van de","parse-names":false,"suffix":""}],"container-title":"British journal of haematology","id":"ITEM-1","issue":"1","issued":{"date-parts":[["2014","10"]]},"page":"100-9","title":"High flow cytometric scores identify adverse prognostic subgroups within the revised international prognostic scoring system for myelodysplastic syndromes.","type":"article-journal","volume":"167"},"uris":["http://www.mendeley.com/documents/?uuid=d187efd3-e744-378d-aada-c51217bdd908"]},{"id":"ITEM-2","itemData":{"DOI":"10.1002/cyto.b.21160","ISSN":"15524957","abstract":"Background In intermediate-2 (Int-2) and high risk patients with myelodysplastic syndromes (MDS), treatment with azacitidine is associated with hematological improvement and prolonged overall survival (OS) in patients who respond to therapy. However, only half of the patients who are treated will benefit from this treatment. It is a major challenge to predict which patients are likely to respond to treatment. The aim of this study was to investigate the predictive value of immunophenotyping for response to treatment with azacitidine of Int-2 and high risk MDS patients. Methods Bone marrow aspirates were analyzed by flow cytometry in 42 patients with Int-2 and high risk MDS, chronic myelomonocytic leukemia, or low blast count acute myeloid leukemia before treatment and after every third cycle of azacitidine. A flow score was calculated using the flow cytometric scoring system (FCSS). Results The presence of myeloid progenitors with an aberrant immunophenotype was significantly associated with lack of response (pâ€‰=â€‰0. 02). A low pretreatment FCSS was associated with significantly better OS compared with a high pretreatment FCSS (pâ€‰= â€‰0.03). A sig nificant decrease in FCSS was observed in patients with complete response after three cycles azacitidine compared to patients with progressive disease (pâ€‰= â€‰0.006). Conclusions Absence of aberrant myeloid progenitor cells at baseline and/or a decrease in the FCSS during treatment identified Int-2 and high risk MDS patients who are likely to respond to treatment with azacitidine. © 2014 International Clinical Cytometry Society © 2014 Clinical Cytometry Society.","author":[{"dropping-particle":"","family":"Alhan","given":"Canan","non-dropping-particle":"","parse-names":false,"suffix":""},{"dropping-particle":"","family":"Westers","given":"Theresia M.","non-dropping-particle":"","parse-names":false,"suffix":""},{"dropping-particle":"","family":"Helm","given":"Lieke H.","non-dropping-particle":"Van Der","parse-names":false,"suffix":""},{"dropping-particle":"","family":"Eeltink","given":"Corien","non-dropping-particle":"","parse-names":false,"suffix":""},{"dropping-particle":"","family":"Huls","given":"Gerwin","non-dropping-particle":"","parse-names":false,"suffix":""},{"dropping-particle":"","family":"Witte","given":"Birgit I.","non-dropping-particle":"","parse-names":false,"suffix":""},{"dropping-particle":"","family":"Buchi","given":"Francesca","non-dropping-particle":"","parse-names":false,"suffix":""},{"dropping-particle":"","family":"Santini","given":"Valeria","non-dropping-particle":"","parse-names":false,"suffix":""},{"dropping-particle":"","family":"Ossenkoppele","given":"Gert J.","non-dropping-particle":"","parse-names":false,"suffix":""},{"dropping-particle":"","family":"Loosdrecht","given":"Arjan A.","non-dropping-particle":"Van De","parse-names":false,"suffix":""}],"container-title":"Cytometry Part B - Clinical Cytometry","id":"ITEM-2","issue":"3","issued":{"date-parts":[["2014"]]},"page":"207-215","publisher":"Wiley-Liss Inc.","title":"Absence of aberrant myeloid progenitors by flow cytometry is associated with favorable response to azacitidine in higher risk myelodysplastic syndromes","type":"article-journal","volume":"86"},"uris":["http://www.mendeley.com/documents/?uuid=cf402bad-9245-39e7-a293-a036a3717681"]},{"id":"ITEM-3","itemData":{"DOI":"10.3324/haematol.2014.112755","ISSN":"1592-8721","PMID":"25637056","abstract":"Although numerous recent publications have demonstrated interest in multiparameter flow cytometry in the investigation of myelodysplastic disorders, it is perceived by many laboratory hematologists as difficult and expensive, requiring a high level of expertise. We report a multicentric open real-life study aimed at evaluating the added value of the technically simple flow cytometry score described by the Ogata group for the diagnosis of myelodysplastic syndromes. A total of 652 patients were recruited prospectively in four different centers: 346 myelodysplastic syndromes, 53 myelodysplastic/myeloproliferative neoplasms, and 253 controls. The Ogata score was assessed using CD45 and CD34 staining, with the addition of CD10 and CD19. Moreover, labeling of CD5, CD7 and CD56 for the evaluation of myeloid progenitors and monocytes was tested on a subset of 294 patients. On the whole series, the specificity of Ogata score reached 89%. Respective sensitivities were 54% for low-risk myelodysplastic syndromes, 68% and 84% for type 1 and type 2 refractory anemia with excess of blasts, and 72% for myelodysplastic/myeloproliferative neoplasms. CD5 expression was poorly informative. When adding CD56 or CD7 labeling to the Ogata score, sensitivity rose to 66% for low-risk myelodysplastic syndromes, to 89% for myelodysplastic/myeloproliferative neoplasms and to 97% for refractory anemia with excess of blasts. This large multicenter study confirms the feasibility of Ogata scoring in routine flow cytometry diagnosis but highlights its poor sensitivity in low-risk myelodysplastic syndromes. The addition of CD7 and CD56 in flow cytometry panels improves the sensitivity but more sophisticated panels would be more informative.","author":[{"dropping-particle":"","family":"Bardet","given":"Valérie","non-dropping-particle":"","parse-names":false,"suffix":""},{"dropping-particle":"","family":"Wagner-Ballon","given":"Orianne","non-dropping-particle":"","parse-names":false,"suffix":""},{"dropping-particle":"","family":"Guy","given":"Julien","non-dropping-particle":"","parse-names":false,"suffix":""},{"dropping-particle":"","family":"Morvan","given":"Céline","non-dropping-particle":"","parse-names":false,"suffix":""},{"dropping-particle":"","family":"Debord","given":"Camille","non-dropping-particle":"","parse-names":false,"suffix":""},{"dropping-particle":"","family":"Trimoreau","given":"Franck","non-dropping-particle":"","parse-names":false,"suffix":""},{"dropping-particle":"","family":"Benayoun","given":"Emmanuel","non-dropping-particle":"","parse-names":false,"suffix":""},{"dropping-particle":"","family":"Chapuis","given":"Nicolas","non-dropping-particle":"","parse-names":false,"suffix":""},{"dropping-particle":"","family":"Freynet","given":"Nicolas","non-dropping-particle":"","parse-names":false,"suffix":""},{"dropping-particle":"","family":"Rossi","given":"Cédric","non-dropping-particle":"","parse-names":false,"suffix":""},{"dropping-particle":"","family":"Mathis","given":"Stéphanie","non-dropping-particle":"","parse-names":false,"suffix":""},{"dropping-particle":"","family":"Gourin","given":"Marie-Pierre","non-dropping-particle":"","parse-names":false,"suffix":""},{"dropping-particle":"","family":"Toma","given":"Andréa","non-dropping-particle":"","parse-names":false,"suffix":""},{"dropping-particle":"","family":"Béné","given":"Marie C","non-dropping-particle":"","parse-names":false,"suffix":""},{"dropping-particle":"","family":"Feuillard","given":"Jean","non-dropping-particle":"","parse-names":false,"suffix":""},{"dropping-particle":"","family":"Guérin","given":"Estelle","non-dropping-particle":"","parse-names":false,"suffix":""},{"dropping-particle":"","family":"Groupe Francophone des Myélodysplasies (GFM)","given":"","non-dropping-particle":"","parse-names":false,"suffix":""},{"dropping-particle":"","family":"Groupe d’Etude Immunologique des Leucémies (GEIL)","given":"","non-dropping-particle":"","parse-names":false,"suffix":""}],"container-title":"Haematologica","id":"ITEM-3","issue":"4","issued":{"date-parts":[["2015","4"]]},"page":"472-8","title":"Multicentric study underlining the interest of adding CD5, CD7 and CD56 expression assessment to the flow cytometric Ogata score in myelodysplastic syndromes and myelodysplastic/myeloproliferative neoplasms.","type":"article-journal","volume":"100"},"uris":["http://www.mendeley.com/documents/?uuid=fb8f749b-bf47-3241-b660-e67597e4e0e0"]},{"id":"ITEM-4","itemData":{"DOI":"10.3324/haematol.2011.048421","ISSN":"03906078","abstract":"Background The current World Health Organization classification of myelodysplastic syndromes is based on morphological evaluation of bone marrow dysplasia. In clinical practice, the reproducibility of the recognition of dysplasia is usually poor especially in cases that lack specific markers such as ring sideroblasts and clonal cytogenetic abnormalities. Design and Methods We aimed to develop and validate a flow cytometric score for the diagnosis of myelodysplastic syndrome. Four reproducible parameters were analyzed: CD34+myeloblast-related and B-progenitor-related cluster size (defined by CD45 expression and side scatter characteristics on CD34+marrow cells), myeloblast CD45 expression and granulocyte side scatter value. The study comprised a \"learning cohort\" (n=538) to define the score and a \"validation cohort\" (n=259) to confirm its diagnostic value. Results With respect to non-clonal cytopenias, patients with myelodysplastic syndrome had increased myeloblast-related cluster size, decreased B-progenitor-related cluster size, aberrant CD45 expression and reduced granulocyte side scatter (P&lt;0.001). To define the flow cytometric score, these four parameters were combined in a regression model and the weight for each variable was estimated based on coefficients from that model. In the learning cohort a correct diagnosis of myelodysplastic syndrome was formulated in 198/281 cases (sensitivity 70%), while 18 false-positive results were noted among 257 controls (specificity 93%). Sixty-five percent of patients without specific markers of dysplasia (ring sideroblasts and clonal cytogenetic abnormalities) were correctly classified. A high value of the flow cytometric score was associated with multilineage dysplasia (P=0.001), transfusion dependency (P=0.02), and poor-risk cytogenetics (P=0.04). The sensitivity and specificity in the validation cohort (69% and 92%, respectively) were comparable to those in the learning cohort. The likelihood ratio of the flow cytometric score was 10. Conclusions A flow cytometric score may help to establish the diagnosis of myelodysplastic syndrome, especially when morphology and cytogenetics are indeterminate. © 2012 Ferrata Storti Foundation.","author":[{"dropping-particle":"","family":"Porta","given":"Matteo G.Della","non-dropping-particle":"","parse-names":false,"suffix":""},{"dropping-particle":"","family":"Picone","given":"Cristina","non-dropping-particle":"","parse-names":false,"suffix":""},{"dropping-particle":"","family":"Pascutto","given":"Cristiana","non-dropping-particle":"","parse-names":false,"suffix":""},{"dropping-particle":"","family":"Malcovati","given":"Luca","non-dropping-particle":"","parse-names":false,"suffix":""},{"dropping-particle":"","family":"Tamura","given":"Hideto","non-dropping-particle":"","parse-names":false,"suffix":""},{"dropping-particle":"","family":"Handa","given":"Hiroshi","non-dropping-particle":"","parse-names":false,"suffix":""},{"dropping-particle":"","family":"Czader","given":"Magdalena","non-dropping-particle":"","parse-names":false,"suffix":""},{"dropping-particle":"","family":"Freeman","given":"Sylvie","non-dropping-particle":"","parse-names":false,"suffix":""},{"dropping-particle":"","family":"Vyas","given":"Paresh","non-dropping-particle":"","parse-names":false,"suffix":""},{"dropping-particle":"","family":"Porwit","given":"Anna","non-dropping-particle":"","parse-names":false,"suffix":""},{"dropping-particle":"","family":"Saft","given":"Leonie","non-dropping-particle":"","parse-names":false,"suffix":""},{"dropping-particle":"","family":"Westers","given":"Theresia M.","non-dropping-particle":"","parse-names":false,"suffix":""},{"dropping-particle":"","family":"Alhan","given":"Canan","non-dropping-particle":"","parse-names":false,"suffix":""},{"dropping-particle":"","family":"Cali","given":"Claudia","non-dropping-particle":"","parse-names":false,"suffix":""},{"dropping-particle":"","family":"Loosdrecht","given":"Arjan A.","non-dropping-particle":"van de","parse-names":false,"suffix":""},{"dropping-particle":"","family":"Ogata","given":"Kiyoyuki","non-dropping-particle":"","parse-names":false,"suffix":""}],"container-title":"Haematologica","id":"ITEM-4","issue":"8","issued":{"date-parts":[["2012","8","1"]]},"page":"1209-1217","title":"Multicenter validation of a reproducible flow cytometric score for the diagnosis of low-grade myelodysplastic syndromes: Results of a European LeukemiaNET study","type":"article-journal","volume":"97"},"uris":["http://www.mendeley.com/documents/?uuid=03c04c08-ec48-3bb7-b83b-8c4629fb2a77"]},{"id":"ITEM-5","itemData":{"DOI":"10.3324/haematol.2013.097188","ISSN":"1592-8721","PMID":"24425693","author":[{"dropping-particle":"","family":"Porta","given":"Matteo G","non-dropping-particle":"Della","parse-names":false,"suffix":""},{"dropping-particle":"","family":"Picone","given":"Cristina","non-dropping-particle":"","parse-names":false,"suffix":""},{"dropping-particle":"","family":"Tenore","given":"Annamaria","non-dropping-particle":"","parse-names":false,"suffix":""},{"dropping-particle":"","family":"Yokose","given":"Norio","non-dropping-particle":"","parse-names":false,"suffix":""},{"dropping-particle":"","family":"Malcovati","given":"Luca","non-dropping-particle":"","parse-names":false,"suffix":""},{"dropping-particle":"","family":"Cazzola","given":"Mario","non-dropping-particle":"","parse-names":false,"suffix":""},{"dropping-particle":"","family":"Ogata","given":"Kiyoyuki","non-dropping-particle":"","parse-names":false,"suffix":""}],"container-title":"Haematologica","id":"ITEM-5","issue":"1","issued":{"date-parts":[["2014","1"]]},"page":"e8-10","title":"Prognostic significance of reproducible immunophenotypic markers of marrow dysplasia.","type":"article-journal","volume":"99"},"uris":["http://www.mendeley.com/documents/?uuid=c6d91b86-8db6-3d70-867b-6d23b6e63014"]},{"id":"ITEM-6","itemData":{"DOI":"10.1002/cncr.25353","ISSN":"0008-543X","PMID":"20572043","abstract":"BACKGROUND The diagnosis and classification of myelodysplastic syndromes (MDS) is based on cytomorphology (CM) and cytogenetics (CG). Multiparameter flow cytometry (MFC) may add important diagnostic information. METHODS To evaluate the potential role of MFC in the diagnostic setting of MDS, the authors analyzed the results from 1013 patients with suspected MDS by using CM, CG, and MFC in parallel. RESULTS Concordance between CM and MFC was 82% for diagnostic results in 788 patients who had unequivocal CM results. An additional 225 patients had only minor dysplastic features identified by CM, including 51 patients (22.7%) who had clear evidence of MDS by MFC. Twelve patients who had no indication of MDS identified by CM had MDS-typical CG aberrations; in 6 of those patients (50%), MFC revealed MDS characteristics. In another 11 of 23 patients (47.8%) who had minor dysplastic features identified by CM and MDS-typical CG aberrations, MFC revealed MDS characteristics. The percentages of blasts determined by CM and by MFC were strongly correlated (P&lt;.001). The frequency of aberrantly expressed antigens differed significantly between patients rated by CM as MDS (highest frequencies), suspected MDS, and no MDS (lowest frequencies). In various patients, MFC identified MDS-typical aberrant antigen expression in cell compartments that were not rated dysplastic by CM. The numbers of aberrantly expressed antigens were correlated with International Prognostic Scoring System scores and overall survival. CONCLUSIONS The current analysis clearly demonstrated an increased diagnostic yield with MFC when added to CM and CG in patients with suspected MDS.","author":[{"dropping-particle":"","family":"Kern","given":"Wolfgang","non-dropping-particle":"","parse-names":false,"suffix":""},{"dropping-particle":"","family":"Haferlach","given":"Claudia","non-dropping-particle":"","parse-names":false,"suffix":""},{"dropping-particle":"","family":"Schnittger","given":"Susanne","non-dropping-particle":"","parse-names":false,"suffix":""},{"dropping-particle":"","family":"Haferlach","given":"Torsten","non-dropping-particle":"","parse-names":false,"suffix":""}],"container-title":"Cancer","id":"ITEM-6","issue":"19","issued":{"date-parts":[["2010","10","1"]]},"page":"4549-63","title":"Clinical utility of multiparameter flow cytometry in the diagnosis of 1013 patients with suspected myelodysplastic syndrome: correlation to cytomorphology, cytogenetics, and clinical data.","type":"article-journal","volume":"116"},"uris":["http://www.mendeley.com/documents/?uuid=edc0b145-3365-333b-afa5-6ccf5e57d5b4"]}],"mendeley":{"formattedCitation":"[48–53]","plainTextFormattedCitation":"[48–53]","previouslyFormattedCitation":"[48–53]"},"properties":{"noteIndex":0},"schema":"https://github.com/citation-style-language/schema/raw/master/csl-citation.json"}</w:instrText>
      </w:r>
      <w:r w:rsidRPr="006A377C">
        <w:rPr>
          <w:szCs w:val="24"/>
        </w:rPr>
        <w:fldChar w:fldCharType="separate"/>
      </w:r>
      <w:r w:rsidR="00AE1E12" w:rsidRPr="00AE1E12">
        <w:rPr>
          <w:noProof/>
          <w:szCs w:val="24"/>
        </w:rPr>
        <w:t>[48–53]</w:t>
      </w:r>
      <w:r w:rsidRPr="006A377C">
        <w:rPr>
          <w:szCs w:val="24"/>
        </w:rPr>
        <w:fldChar w:fldCharType="end"/>
      </w:r>
      <w:r w:rsidRPr="006A377C">
        <w:rPr>
          <w:szCs w:val="24"/>
        </w:rPr>
        <w:t>.</w:t>
      </w:r>
    </w:p>
    <w:p w14:paraId="69E35F55" w14:textId="77777777" w:rsidR="00F20CFD" w:rsidRPr="006A377C" w:rsidRDefault="00F20CFD" w:rsidP="007C78A6">
      <w:pPr>
        <w:ind w:left="709"/>
        <w:rPr>
          <w:b/>
          <w:szCs w:val="24"/>
        </w:rPr>
      </w:pPr>
      <w:r w:rsidRPr="006A377C">
        <w:rPr>
          <w:b/>
          <w:szCs w:val="24"/>
        </w:rPr>
        <w:t xml:space="preserve">Уровень убедительности рекомендаций </w:t>
      </w:r>
      <w:r w:rsidR="00121CC1">
        <w:rPr>
          <w:b/>
          <w:szCs w:val="24"/>
          <w:lang w:val="en-US"/>
        </w:rPr>
        <w:t>B</w:t>
      </w:r>
      <w:r w:rsidRPr="006A377C">
        <w:rPr>
          <w:b/>
          <w:szCs w:val="24"/>
        </w:rPr>
        <w:t xml:space="preserve"> (уровень достоверности доказательств – </w:t>
      </w:r>
      <w:r w:rsidR="00121CC1">
        <w:rPr>
          <w:b/>
          <w:szCs w:val="24"/>
        </w:rPr>
        <w:t>3</w:t>
      </w:r>
      <w:r w:rsidRPr="006A377C">
        <w:rPr>
          <w:b/>
          <w:szCs w:val="24"/>
        </w:rPr>
        <w:t>)</w:t>
      </w:r>
    </w:p>
    <w:p w14:paraId="52CD3D15" w14:textId="77777777" w:rsidR="002713DD" w:rsidRPr="006A377C" w:rsidRDefault="00F20CFD" w:rsidP="007C78A6">
      <w:pPr>
        <w:ind w:left="709"/>
        <w:rPr>
          <w:i/>
          <w:szCs w:val="24"/>
        </w:rPr>
      </w:pPr>
      <w:r w:rsidRPr="006A377C">
        <w:rPr>
          <w:b/>
          <w:szCs w:val="24"/>
        </w:rPr>
        <w:t xml:space="preserve">Комментарии: </w:t>
      </w:r>
      <w:r w:rsidRPr="006A377C">
        <w:rPr>
          <w:i/>
          <w:szCs w:val="24"/>
        </w:rPr>
        <w:t xml:space="preserve">проточная цитометрия позволяет определить конкретные изменения клеток отдельных ростков кроветворения КМ. Ни один изолированный иммунофенотипический параметр не доказал свою диагностическую значимость для МДС, но с помощью анализа комбинаций отдельных признаков </w:t>
      </w:r>
      <w:r w:rsidR="00400D83">
        <w:rPr>
          <w:i/>
          <w:szCs w:val="24"/>
        </w:rPr>
        <w:t>воз</w:t>
      </w:r>
      <w:r w:rsidRPr="006A377C">
        <w:rPr>
          <w:i/>
          <w:szCs w:val="24"/>
        </w:rPr>
        <w:t>можно отличить это заболевание от других видов цитопении</w:t>
      </w:r>
      <w:r w:rsidR="00400D83">
        <w:rPr>
          <w:i/>
          <w:szCs w:val="24"/>
        </w:rPr>
        <w:t>. Однако, данный метод диагностики доступен только в Федеральных центрах или в рамках клинических исследований.</w:t>
      </w:r>
    </w:p>
    <w:p w14:paraId="26AD3C7A" w14:textId="77777777" w:rsidR="002713DD" w:rsidRPr="006A377C" w:rsidRDefault="00F20CFD" w:rsidP="005F2F2B">
      <w:pPr>
        <w:pStyle w:val="aff"/>
        <w:numPr>
          <w:ilvl w:val="0"/>
          <w:numId w:val="16"/>
        </w:numPr>
        <w:ind w:left="709" w:hanging="425"/>
        <w:rPr>
          <w:szCs w:val="24"/>
        </w:rPr>
      </w:pPr>
      <w:r w:rsidRPr="006A377C">
        <w:rPr>
          <w:szCs w:val="24"/>
        </w:rPr>
        <w:t>Всем пациентам с подтвержденным диагнозом МДС при наличии возможности в лаборатории</w:t>
      </w:r>
      <w:r w:rsidRPr="00610E58">
        <w:t xml:space="preserve"> рекомендуется</w:t>
      </w:r>
      <w:r w:rsidRPr="006A377C">
        <w:rPr>
          <w:szCs w:val="24"/>
        </w:rPr>
        <w:t xml:space="preserve"> молекулярно-генетическое исследование крови или КМ для выявления мутаций генов (</w:t>
      </w:r>
      <w:r w:rsidRPr="00610E58">
        <w:rPr>
          <w:i/>
        </w:rPr>
        <w:t>SF</w:t>
      </w:r>
      <w:r w:rsidRPr="002713DD">
        <w:rPr>
          <w:i/>
          <w:iCs/>
          <w:szCs w:val="24"/>
        </w:rPr>
        <w:t>3</w:t>
      </w:r>
      <w:r w:rsidRPr="00610E58">
        <w:rPr>
          <w:i/>
        </w:rPr>
        <w:t>B</w:t>
      </w:r>
      <w:r w:rsidRPr="002713DD">
        <w:rPr>
          <w:i/>
          <w:iCs/>
          <w:szCs w:val="24"/>
        </w:rPr>
        <w:t xml:space="preserve">1, ТР53, ASXL1, ETV6, RUNX1, </w:t>
      </w:r>
      <w:r w:rsidRPr="00610E58">
        <w:rPr>
          <w:i/>
        </w:rPr>
        <w:t>GATA</w:t>
      </w:r>
      <w:r w:rsidRPr="002713DD">
        <w:rPr>
          <w:i/>
          <w:iCs/>
          <w:szCs w:val="24"/>
        </w:rPr>
        <w:t xml:space="preserve">2, </w:t>
      </w:r>
      <w:r w:rsidRPr="00610E58">
        <w:rPr>
          <w:i/>
        </w:rPr>
        <w:t>DNMT</w:t>
      </w:r>
      <w:r w:rsidRPr="002713DD">
        <w:rPr>
          <w:i/>
          <w:iCs/>
          <w:szCs w:val="24"/>
        </w:rPr>
        <w:t>3</w:t>
      </w:r>
      <w:r w:rsidRPr="00610E58">
        <w:rPr>
          <w:i/>
        </w:rPr>
        <w:t>A</w:t>
      </w:r>
      <w:r w:rsidRPr="002713DD">
        <w:rPr>
          <w:i/>
          <w:iCs/>
          <w:szCs w:val="24"/>
        </w:rPr>
        <w:t xml:space="preserve">, </w:t>
      </w:r>
      <w:r w:rsidRPr="00610E58">
        <w:rPr>
          <w:i/>
        </w:rPr>
        <w:t>TET</w:t>
      </w:r>
      <w:r w:rsidRPr="002713DD">
        <w:rPr>
          <w:i/>
          <w:iCs/>
          <w:szCs w:val="24"/>
        </w:rPr>
        <w:t xml:space="preserve">2, </w:t>
      </w:r>
      <w:r w:rsidR="00400D83" w:rsidRPr="00610E58">
        <w:rPr>
          <w:i/>
        </w:rPr>
        <w:t>IDH</w:t>
      </w:r>
      <w:r w:rsidR="00400D83" w:rsidRPr="002713DD">
        <w:rPr>
          <w:i/>
          <w:iCs/>
          <w:szCs w:val="24"/>
        </w:rPr>
        <w:t xml:space="preserve">1/2, </w:t>
      </w:r>
      <w:r w:rsidRPr="002713DD">
        <w:rPr>
          <w:i/>
          <w:iCs/>
          <w:szCs w:val="24"/>
        </w:rPr>
        <w:t>FLT3</w:t>
      </w:r>
      <w:r w:rsidRPr="006A377C">
        <w:rPr>
          <w:szCs w:val="24"/>
        </w:rPr>
        <w:t xml:space="preserve">) и определения прогноза заболевания </w:t>
      </w:r>
      <w:r w:rsidRPr="00610E58">
        <w:fldChar w:fldCharType="begin" w:fldLock="1"/>
      </w:r>
      <w:r w:rsidR="00AE1E12">
        <w:instrText>ADDIN CSL_CITATION {"citationItems":[{"id":"ITEM-1","itemData":{"DOI":"10.1038/leu.2013.336","ISSN":"08876924","abstract":"High-throughput DNA sequencing significantly contributed to diagnosis and prognostication in patients with myelodysplastic syndromes (MDS). We determined the biological and prognostic significance of genetic aberrations in MDS. In total, 944 patients with various MDS subtypes were screened for known/putative mutations/deletions in 104 genes using targeted deep sequencing and array-based genomic hybridization. In total, 845/944 patients (89.5%) harbored at least one mutation (median, 3 per patient; range, 0–12). Forty-seven genes were significantly mutated with TET2, SF3B1, ASXL1, SRSF2, DNMT3A, and RUNX1 mutated in 410% of cases. Many mutations were associated with higher risk groups and/or blast elevation. Survival was investigated in 875 patients. By univariate analysis, 25/48 genes (resulting from 47 genes tested significantly plus PRPF8) affected survival (Po0.05). The status of 14 genes combined with conventional factors revealed a novel prognostic model ('Model-1') separating patients into four risk groups ('low', 'intermediate', 'high', 'very high risk') with 3-year survival of 95.2, 69.3, 32.8, and 5.3% (Po0.001). Subsequently, a 'gene-only model' ('Model-2') was constructed based on 14 genes also yielding four significant risk groups (Po0.001). Both models were reproducible in the validation cohort (n ¼ 175 patients; Po0.001 each). Thus, large-scale genetic and molecular profiling of multiple target genes is invaluable for subclassification and prognostication in MDS patients.","author":[{"dropping-particle":"","family":"Haferlach","given":"T.","non-dropping-particle":"","parse-names":false,"suffix":""},{"dropping-particle":"","family":"Nagata","given":"Y.","non-dropping-particle":"","parse-names":false,"suffix":""},{"dropping-particle":"","family":"Grossmann","given":"V.","non-dropping-particle":"","parse-names":false,"suffix":""},{"dropping-particle":"","family":"Okuno","given":"Y.","non-dropping-particle":"","parse-names":false,"suffix":""},{"dropping-particle":"","family":"Bacher","given":"U.","non-dropping-particle":"","parse-names":false,"suffix":""},{"dropping-particle":"","family":"Nagae","given":"G.","non-dropping-particle":"","parse-names":false,"suffix":""},{"dropping-particle":"","family":"Schnittger","given":"S.","non-dropping-particle":"","parse-names":false,"suffix":""},{"dropping-particle":"","family":"Sanada","given":"M.","non-dropping-particle":"","parse-names":false,"suffix":""},{"dropping-particle":"","family":"Kon","given":"A.","non-dropping-particle":"","parse-names":false,"suffix":""},{"dropping-particle":"","family":"Alpermann","given":"T.","non-dropping-particle":"","parse-names":false,"suffix":""},{"dropping-particle":"","family":"Yoshida","given":"K.","non-dropping-particle":"","parse-names":false,"suffix":""},{"dropping-particle":"","family":"Roller","given":"A.","non-dropping-particle":"","parse-names":false,"suffix":""},{"dropping-particle":"","family":"Nadarajah","given":"N.","non-dropping-particle":"","parse-names":false,"suffix":""},{"dropping-particle":"","family":"Shiraishi","given":"Y.","non-dropping-particle":"","parse-names":false,"suffix":""},{"dropping-particle":"","family":"Shiozawa","given":"Y.","non-dropping-particle":"","parse-names":false,"suffix":""},{"dropping-particle":"","family":"Chiba","given":"K.","non-dropping-particle":"","parse-names":false,"suffix":""},{"dropping-particle":"","family":"Tanaka","given":"H.","non-dropping-particle":"","parse-names":false,"suffix":""},{"dropping-particle":"","family":"Koeffler","given":"H. P.","non-dropping-particle":"","parse-names":false,"suffix":""},{"dropping-particle":"","family":"Klein","given":"H. U.","non-dropping-particle":"","parse-names":false,"suffix":""},{"dropping-particle":"","family":"Dugas","given":"M.","non-dropping-particle":"","parse-names":false,"suffix":""},{"dropping-particle":"","family":"Aburatani","given":"H.","non-dropping-particle":"","parse-names":false,"suffix":""},{"dropping-particle":"","family":"Kohlmann","given":"A.","non-dropping-particle":"","parse-names":false,"suffix":""},{"dropping-particle":"","family":"Miyano","given":"S.","non-dropping-particle":"","parse-names":false,"suffix":""},{"dropping-particle":"","family":"Haferlach","given":"C.","non-dropping-particle":"","parse-names":false,"suffix":""},{"dropping-particle":"","family":"Kern","given":"W.","non-dropping-particle":"","parse-names":false,"suffix":""},{"dropping-particle":"","family":"Ogawa","given":"S.","non-dropping-particle":"","parse-names":false,"suffix":""}],"container-title":"Leukemia","id":"ITEM-1","issue":"2","issued":{"date-parts":[["2014","2"]]},"page":"241-247","title":"Landscape of genetic lesions in 944 patients with myelodysplastic syndromes","type":"article-journal","volume":"28"},"uris":["http://www.mendeley.com/documents/?uuid=4890cd1d-7959-3da1-953f-463aed7d9c62"]},{"id":"ITEM-2","itemData":{"DOI":"10.1182/blood-2015-03-633537","ISSN":"15280020","abstract":"© 2015 by The American Society of Hematology. Refractory anemia with ring sideroblasts (RARS) is a myelodysplastic syndrome (MDS) characterized by isolated erythroid dysplasia and 15% or more bone marrow ring sideroblasts. Ring sideroblasts are found also in other MDS subtypes, such as refractory cytopenia withmultilineage dysplasia and ring sideroblasts (RCMD-RS). Ahigh prevalence of somaticmutations of SF3B1was reportedin these conditions.Toidentifymutation patterns that affect disease phenotype and clinical outcome, we performed a comprehensive mutation analysis in 293 patients with myeloid neoplasm and 1% or more ring sideroblasts. SF3B1 mutations were detected in 129 of 159 cases (81%) of RARS or RCMD-RS. Among other patients with ring sideroblasts, lower prevalence ofSF3B1mutations andhigher prevalence of mutations in other splicing factor genes were observed (P &lt; .001). In multivariable analyses, patients with SF3B1 mutations showed significantly better overall survival (hazard ratio [HR], .37; P 5 .003) and lower cumulative incidence of disease progression (HR50.31; P5.018) comparedwith SF3B1-unmutated cases. The independent prognostic value of SF3B1 mutation was retained in MDS without excess blasts, as well as in sideroblastic categories (RARS and RCMD-RS). Among SF3B1-mutated patients, coexisting mutations in DNA methylation geneswere associated with multilineage dysplasia (P5.015) but had no effect on clinical outcome. TP53 mutationswere frequently detected in patients without SF3B1 mutation, and were associated with poor outcome. Thus, SF3B1 mutation identifies a distinct MDS subtype that is unlikely to develop detrimental subclonal mutations and is characterized by indolent clinical course and favorable outcome.","author":[{"dropping-particle":"","family":"Malcovati","given":"Luca","non-dropping-particle":"","parse-names":false,"suffix":""},{"dropping-particle":"","family":"Karimi","given":"Mohsen","non-dropping-particle":"","parse-names":false,"suffix":""},{"dropping-particle":"","family":"Papaemmanuil","given":"Elli","non-dropping-particle":"","parse-names":false,"suffix":""},{"dropping-particle":"","family":"Ambaglio","given":"Ilaria","non-dropping-particle":"","parse-names":false,"suffix":""},{"dropping-particle":"","family":"Jädersten","given":"Martin","non-dropping-particle":"","parse-names":false,"suffix":""},{"dropping-particle":"","family":"Jansson","given":"Monika","non-dropping-particle":"","parse-names":false,"suffix":""},{"dropping-particle":"","family":"Elena","given":"Chiara","non-dropping-particle":"","parse-names":false,"suffix":""},{"dropping-particle":"","family":"Gallì","given":"Anna","non-dropping-particle":"","parse-names":false,"suffix":""},{"dropping-particle":"","family":"Walldin","given":"Gunilla","non-dropping-particle":"","parse-names":false,"suffix":""},{"dropping-particle":"","family":"Porta","given":"Matteo G.Della","non-dropping-particle":"","parse-names":false,"suffix":""},{"dropping-particle":"","family":"Raaschou-Jensen","given":"Klas","non-dropping-particle":"","parse-names":false,"suffix":""},{"dropping-particle":"","family":"Travaglino","given":"Erica","non-dropping-particle":"","parse-names":false,"suffix":""},{"dropping-particle":"","family":"Kallenbach","given":"Klaus","non-dropping-particle":"","parse-names":false,"suffix":""},{"dropping-particle":"","family":"Pietra","given":"Daniela","non-dropping-particle":"","parse-names":false,"suffix":""},{"dropping-particle":"","family":"Ljungström","given":"Viktor","non-dropping-particle":"","parse-names":false,"suffix":""},{"dropping-particle":"","family":"Conte","given":"Simona","non-dropping-particle":"","parse-names":false,"suffix":""},{"dropping-particle":"","family":"Boveri","given":"Emanuela","non-dropping-particle":"","parse-names":false,"suffix":""},{"dropping-particle":"","family":"Invernizzi","given":"Rosangela","non-dropping-particle":"","parse-names":false,"suffix":""},{"dropping-particle":"","family":"Rosenquist","given":"Richard","non-dropping-particle":"","parse-names":false,"suffix":""},{"dropping-particle":"","family":"Campbell","given":"Peter J.","non-dropping-particle":"","parse-names":false,"suffix":""},{"dropping-particle":"","family":"Cazzola","given":"Mario","non-dropping-particle":"","parse-names":false,"suffix":""},{"dropping-particle":"","family":"Lindberg","given":"Eva Hellström","non-dropping-particle":"","parse-names":false,"suffix":""}],"container-title":"Blood","id":"ITEM-2","issue":"2","issued":{"date-parts":[["2015","7","9"]]},"page":"233-241","publisher":"American Society of Hematology","title":"SF3B1 mutation identifies a distinct subset of myelodysplastic syndrome with ring sideroblasts","type":"article-journal","volume":"126"},"uris":["http://www.mendeley.com/documents/?uuid=31a5df50-1e90-3277-9d6e-a46a49981120"]},{"id":"ITEM-3","itemData":{"DOI":"10.1111/bjh.12354","ISSN":"1365-2141","PMID":"23614682","abstract":"Lenalidomide is an effective drug in low-risk myelodysplastic syndromes (MDS) with isolated del(5q), although not all patients respond. Studies have suggested a role for TP53 mutations and karyotype complexity in disease progression and outcome. In order to assess the impact of complex karyotypes on treatment response and disease progression in 52 lenalidomide-treated patients with del(5q) MDS, conventional G-banding cytogenetics (CC), single nucleotide polymorphism array (SNP-A), and genomic sequencing methods were used. SNP-A analysis (with control sample, lymphocytes CD3+, in 30 cases) revealed 5q losses in all cases. Other recurrent abnormalities were infrequent and were not associated with lenalidomide responsiveness. Low karyotype complexity (by CC) and a high baseline platelet count (&gt;280 × 10(9) /l) were associated with the achievement of haematological response (P = 0·020, P = 0·013 respectively). Unmutated TP53 status showed a tendency for haematological response (P = 0·061). Complete cytogenetic response was not observed in any of the mutated TP53 cases. By multivariate analysis, the most important predictor for lenalidomide treatment failure was a platelet count &lt;280 × 10(9) /l (Odds Ratio = 6·17, P = 0·040). This study reveals the importance of a low baseline platelet count, karyotypic complexity and TP53 mutational status for response to lenalidomide treatment. It supports the molecular study of TP53 in MDS patients treated with lenalidomide.","author":[{"dropping-particle":"","family":"Mallo","given":"Mar","non-dropping-particle":"","parse-names":false,"suffix":""},{"dropping-particle":"","family":"Rey","given":"Mónica","non-dropping-particle":"Del","parse-names":false,"suffix":""},{"dropping-particle":"","family":"Ibáñez","given":"Mariam","non-dropping-particle":"","parse-names":false,"suffix":""},{"dropping-particle":"","family":"Calasanz","given":"M José","non-dropping-particle":"","parse-names":false,"suffix":""},{"dropping-particle":"","family":"Arenillas","given":"Leonor","non-dropping-particle":"","parse-names":false,"suffix":""},{"dropping-particle":"","family":"Larráyoz","given":"M José","non-dropping-particle":"","parse-names":false,"suffix":""},{"dropping-particle":"","family":"Pedro","given":"Carmen","non-dropping-particle":"","parse-names":false,"suffix":""},{"dropping-particle":"","family":"Jerez","given":"Andrés","non-dropping-particle":"","parse-names":false,"suffix":""},{"dropping-particle":"","family":"Maciejewski","given":"Jaroslaw","non-dropping-particle":"","parse-names":false,"suffix":""},{"dropping-particle":"","family":"Costa","given":"Dolors","non-dropping-particle":"","parse-names":false,"suffix":""},{"dropping-particle":"","family":"Nomdedeu","given":"Meritxell","non-dropping-particle":"","parse-names":false,"suffix":""},{"dropping-particle":"","family":"Diez-Campelo","given":"María","non-dropping-particle":"","parse-names":false,"suffix":""},{"dropping-particle":"","family":"Lumbreras","given":"Eva","non-dropping-particle":"","parse-names":false,"suffix":""},{"dropping-particle":"","family":"González-Martínez","given":"Teresa","non-dropping-particle":"","parse-names":false,"suffix":""},{"dropping-particle":"","family":"Marugán","given":"Isabel","non-dropping-particle":"","parse-names":false,"suffix":""},{"dropping-particle":"","family":"Such","given":"Esperanza","non-dropping-particle":"","parse-names":false,"suffix":""},{"dropping-particle":"","family":"Cervera","given":"José","non-dropping-particle":"","parse-names":false,"suffix":""},{"dropping-particle":"","family":"Cigudosa","given":"Juan C","non-dropping-particle":"","parse-names":false,"suffix":""},{"dropping-particle":"","family":"Alvarez","given":"Sara","non-dropping-particle":"","parse-names":false,"suffix":""},{"dropping-particle":"","family":"Florensa","given":"Lourdes","non-dropping-particle":"","parse-names":false,"suffix":""},{"dropping-particle":"","family":"Hernández","given":"Jesús M","non-dropping-particle":"","parse-names":false,"suffix":""},{"dropping-particle":"","family":"Solé","given":"Francesc","non-dropping-particle":"","parse-names":false,"suffix":""}],"container-title":"British journal of haematology","id":"ITEM-3","issue":"1","issued":{"date-parts":[["2013","7"]]},"page":"74-86","title":"Response to lenalidomide in myelodysplastic syndromes with del(5q): influence of cytogenetics and mutations.","type":"article-journal","volume":"162"},"uris":["http://www.mendeley.com/documents/?uuid=f4cb2b29-651a-38a9-89d0-32a588c2fec3"]}],"mendeley":{"formattedCitation":"[54–56]","plainTextFormattedCitation":"[54–56]","previouslyFormattedCitation":"[54–56]"},"properties":{"noteIndex":0},"schema":"https://github.com/citation-style-language/schema/raw/master/csl-citation.json"}</w:instrText>
      </w:r>
      <w:r w:rsidRPr="00610E58">
        <w:fldChar w:fldCharType="separate"/>
      </w:r>
      <w:r w:rsidR="00AE1E12" w:rsidRPr="00AE1E12">
        <w:rPr>
          <w:noProof/>
          <w:szCs w:val="24"/>
        </w:rPr>
        <w:t>[54–56]</w:t>
      </w:r>
      <w:r w:rsidRPr="00610E58">
        <w:fldChar w:fldCharType="end"/>
      </w:r>
      <w:r w:rsidRPr="006A377C">
        <w:rPr>
          <w:szCs w:val="24"/>
        </w:rPr>
        <w:t>.</w:t>
      </w:r>
    </w:p>
    <w:p w14:paraId="5EF5D2BC" w14:textId="77777777" w:rsidR="00F20CFD" w:rsidRPr="006A377C" w:rsidRDefault="00F20CFD" w:rsidP="007C78A6">
      <w:pPr>
        <w:ind w:left="709"/>
        <w:rPr>
          <w:b/>
          <w:szCs w:val="24"/>
        </w:rPr>
      </w:pPr>
      <w:r w:rsidRPr="003F2780">
        <w:rPr>
          <w:b/>
          <w:szCs w:val="24"/>
        </w:rPr>
        <w:t xml:space="preserve">Уровень убедительности рекомендаций </w:t>
      </w:r>
      <w:r w:rsidRPr="003F2780">
        <w:rPr>
          <w:b/>
          <w:szCs w:val="24"/>
          <w:lang w:val="en-US"/>
        </w:rPr>
        <w:t>B</w:t>
      </w:r>
      <w:r w:rsidRPr="003F2780">
        <w:rPr>
          <w:b/>
          <w:szCs w:val="24"/>
        </w:rPr>
        <w:t xml:space="preserve"> (уровень достоверности доказательств – 2)</w:t>
      </w:r>
    </w:p>
    <w:p w14:paraId="17A25BE7" w14:textId="77777777" w:rsidR="00F20CFD" w:rsidRPr="006A377C" w:rsidRDefault="00F20CFD" w:rsidP="005F2F2B">
      <w:pPr>
        <w:pStyle w:val="aff"/>
        <w:numPr>
          <w:ilvl w:val="0"/>
          <w:numId w:val="16"/>
        </w:numPr>
        <w:ind w:left="709" w:hanging="425"/>
        <w:rPr>
          <w:i/>
          <w:szCs w:val="24"/>
        </w:rPr>
      </w:pPr>
      <w:r w:rsidRPr="006A377C">
        <w:rPr>
          <w:szCs w:val="24"/>
        </w:rPr>
        <w:lastRenderedPageBreak/>
        <w:t xml:space="preserve">Пациентам с МДС, протекающим с фиброзом стромы, </w:t>
      </w:r>
      <w:r w:rsidRPr="006A377C">
        <w:rPr>
          <w:b/>
          <w:szCs w:val="24"/>
        </w:rPr>
        <w:t xml:space="preserve">рекомендуется </w:t>
      </w:r>
      <w:r w:rsidRPr="006A377C">
        <w:rPr>
          <w:szCs w:val="24"/>
        </w:rPr>
        <w:t>молекулярно-генетическое исследование крови или КМ для выявления мутаций в генах (</w:t>
      </w:r>
      <w:r w:rsidRPr="006A377C">
        <w:rPr>
          <w:i/>
          <w:szCs w:val="24"/>
          <w:lang w:val="en-US"/>
        </w:rPr>
        <w:t>JAK</w:t>
      </w:r>
      <w:r w:rsidRPr="006A377C">
        <w:rPr>
          <w:i/>
          <w:szCs w:val="24"/>
        </w:rPr>
        <w:t xml:space="preserve">2, </w:t>
      </w:r>
      <w:r w:rsidRPr="006A377C">
        <w:rPr>
          <w:i/>
          <w:szCs w:val="24"/>
          <w:lang w:val="en-US"/>
        </w:rPr>
        <w:t>CALR</w:t>
      </w:r>
      <w:r w:rsidRPr="006A377C">
        <w:rPr>
          <w:i/>
          <w:szCs w:val="24"/>
        </w:rPr>
        <w:t xml:space="preserve">, </w:t>
      </w:r>
      <w:r w:rsidRPr="006A377C">
        <w:rPr>
          <w:i/>
          <w:szCs w:val="24"/>
          <w:lang w:val="en-US"/>
        </w:rPr>
        <w:t>MPL</w:t>
      </w:r>
      <w:r w:rsidRPr="006A377C">
        <w:rPr>
          <w:i/>
          <w:szCs w:val="24"/>
        </w:rPr>
        <w:t>),</w:t>
      </w:r>
      <w:r w:rsidRPr="006A377C">
        <w:rPr>
          <w:szCs w:val="24"/>
        </w:rPr>
        <w:t xml:space="preserve"> определения прогноза заболевания и выбора тактики терапии </w:t>
      </w:r>
      <w:r w:rsidRPr="006A377C">
        <w:rPr>
          <w:szCs w:val="24"/>
        </w:rPr>
        <w:fldChar w:fldCharType="begin" w:fldLock="1"/>
      </w:r>
      <w:r w:rsidR="00AE1E12">
        <w:rPr>
          <w:szCs w:val="24"/>
        </w:rPr>
        <w:instrText>ADDIN CSL_CITATION {"citationItems":[{"id":"ITEM-1","itemData":{"DOI":"10.1038/sj.leu.2404215","ISSN":"0887-6924","PMID":"16617322","author":[{"dropping-particle":"","family":"Ingram","given":"W","non-dropping-particle":"","parse-names":false,"suffix":""},{"dropping-particle":"","family":"Lea","given":"N C","non-dropping-particle":"","parse-names":false,"suffix":""},{"dropping-particle":"","family":"Cervera","given":"J","non-dropping-particle":"","parse-names":false,"suffix":""},{"dropping-particle":"","family":"Germing","given":"U","non-dropping-particle":"","parse-names":false,"suffix":""},{"dropping-particle":"","family":"Fenaux","given":"P","non-dropping-particle":"","parse-names":false,"suffix":""},{"dropping-particle":"","family":"Cassinat","given":"B","non-dropping-particle":"","parse-names":false,"suffix":""},{"dropping-particle":"","family":"Kiladjian","given":"J J","non-dropping-particle":"","parse-names":false,"suffix":""},{"dropping-particle":"","family":"Varkonyi","given":"J","non-dropping-particle":"","parse-names":false,"suffix":""},{"dropping-particle":"","family":"Antunovic","given":"P","non-dropping-particle":"","parse-names":false,"suffix":""},{"dropping-particle":"","family":"Westwood","given":"N B","non-dropping-particle":"","parse-names":false,"suffix":""},{"dropping-particle":"","family":"Arno","given":"M J","non-dropping-particle":"","parse-names":false,"suffix":""},{"dropping-particle":"","family":"Mohamedali","given":"A","non-dropping-particle":"","parse-names":false,"suffix":""},{"dropping-particle":"","family":"Gaken","given":"J","non-dropping-particle":"","parse-names":false,"suffix":""},{"dropping-particle":"","family":"Kontou","given":"T","non-dropping-particle":"","parse-names":false,"suffix":""},{"dropping-particle":"","family":"Czepulkowski","given":"B H","non-dropping-particle":"","parse-names":false,"suffix":""},{"dropping-particle":"","family":"Twine","given":"N A","non-dropping-particle":"","parse-names":false,"suffix":""},{"dropping-particle":"","family":"Tamaska","given":"J","non-dropping-particle":"","parse-names":false,"suffix":""},{"dropping-particle":"","family":"Csomer","given":"J","non-dropping-particle":"","parse-names":false,"suffix":""},{"dropping-particle":"","family":"Benedek","given":"S","non-dropping-particle":"","parse-names":false,"suffix":""},{"dropping-particle":"","family":"Gattermann","given":"N","non-dropping-particle":"","parse-names":false,"suffix":""},{"dropping-particle":"","family":"Zipperer","given":"E","non-dropping-particle":"","parse-names":false,"suffix":""},{"dropping-particle":"","family":"Giagounidis","given":"A","non-dropping-particle":"","parse-names":false,"suffix":""},{"dropping-particle":"","family":"Garcia-Casado","given":"Z","non-dropping-particle":"","parse-names":false,"suffix":""},{"dropping-particle":"","family":"Sanz","given":"G","non-dropping-particle":"","parse-names":false,"suffix":""},{"dropping-particle":"","family":"Mufti","given":"G J","non-dropping-particle":"","parse-names":false,"suffix":""}],"container-title":"Leukemia","id":"ITEM-1","issue":"7","issued":{"date-parts":[["2006","7"]]},"page":"1319-21","title":"The JAK2 V617F mutation identifies a subgroup of MDS patients with isolated deletion 5q and a proliferative bone marrow.","type":"article-journal","volume":"20"},"uris":["http://www.mendeley.com/documents/?uuid=28bbacff-55da-3ec1-996f-b59b8d212250"]},{"id":"ITEM-2","itemData":{"DOI":"10.3324/haematol.2014.113944","ISSN":"15928721","author":[{"dropping-particle":"","family":"Malcovati","given":"Luca","non-dropping-particle":"","parse-names":false,"suffix":""},{"dropping-particle":"","family":"Rumi","given":"Elisa","non-dropping-particle":"","parse-names":false,"suffix":""},{"dropping-particle":"","family":"Cazzola","given":"Mario","non-dropping-particle":"","parse-names":false,"suffix":""}],"container-title":"Haematologica","id":"ITEM-2","issue":"11","issued":{"date-parts":[["2014","11","1"]]},"page":"1650-1652","publisher":"Ferrata Storti Foundation","title":"Somatic mutations of calreticulin in myeloproliferative neoplasms and myelodysplastic/myeloproliferative neoplasms","type":"article-magazine","volume":"99"},"uris":["http://www.mendeley.com/documents/?uuid=d002f31b-6827-36cf-9975-ffbd9dba0837"]}],"mendeley":{"formattedCitation":"[57,58]","plainTextFormattedCitation":"[57,58]","previouslyFormattedCitation":"[57,58]"},"properties":{"noteIndex":0},"schema":"https://github.com/citation-style-language/schema/raw/master/csl-citation.json"}</w:instrText>
      </w:r>
      <w:r w:rsidRPr="006A377C">
        <w:rPr>
          <w:szCs w:val="24"/>
        </w:rPr>
        <w:fldChar w:fldCharType="separate"/>
      </w:r>
      <w:r w:rsidR="00AE1E12" w:rsidRPr="00AE1E12">
        <w:rPr>
          <w:noProof/>
          <w:szCs w:val="24"/>
        </w:rPr>
        <w:t>[57,58]</w:t>
      </w:r>
      <w:r w:rsidRPr="006A377C">
        <w:rPr>
          <w:szCs w:val="24"/>
        </w:rPr>
        <w:fldChar w:fldCharType="end"/>
      </w:r>
      <w:r w:rsidRPr="006A377C">
        <w:rPr>
          <w:szCs w:val="24"/>
        </w:rPr>
        <w:t>.</w:t>
      </w:r>
    </w:p>
    <w:p w14:paraId="4AAC6C15" w14:textId="77777777" w:rsidR="00F20CFD" w:rsidRPr="006A377C" w:rsidRDefault="00F20CFD" w:rsidP="007C78A6">
      <w:pPr>
        <w:ind w:left="709" w:hanging="1"/>
        <w:rPr>
          <w:b/>
          <w:szCs w:val="24"/>
        </w:rPr>
      </w:pPr>
      <w:r w:rsidRPr="006A377C">
        <w:rPr>
          <w:b/>
          <w:szCs w:val="24"/>
        </w:rPr>
        <w:t>Уровень убедительности рекомендаций</w:t>
      </w:r>
      <w:r w:rsidR="00FC694F" w:rsidRPr="002713DD">
        <w:rPr>
          <w:b/>
          <w:szCs w:val="24"/>
        </w:rPr>
        <w:t xml:space="preserve"> </w:t>
      </w:r>
      <w:r w:rsidR="00105C9D">
        <w:rPr>
          <w:b/>
          <w:szCs w:val="24"/>
        </w:rPr>
        <w:t>С</w:t>
      </w:r>
      <w:r w:rsidR="00FC694F" w:rsidRPr="002713DD">
        <w:rPr>
          <w:b/>
          <w:szCs w:val="24"/>
        </w:rPr>
        <w:t xml:space="preserve"> </w:t>
      </w:r>
      <w:r w:rsidRPr="006A377C">
        <w:rPr>
          <w:b/>
          <w:szCs w:val="24"/>
        </w:rPr>
        <w:t>(уровень</w:t>
      </w:r>
      <w:r w:rsidR="00FC694F" w:rsidRPr="002713DD">
        <w:rPr>
          <w:b/>
          <w:szCs w:val="24"/>
        </w:rPr>
        <w:t xml:space="preserve"> </w:t>
      </w:r>
      <w:r w:rsidRPr="006A377C">
        <w:rPr>
          <w:b/>
          <w:szCs w:val="24"/>
        </w:rPr>
        <w:t xml:space="preserve">достоверности доказательств – </w:t>
      </w:r>
      <w:r w:rsidR="00105C9D">
        <w:rPr>
          <w:b/>
          <w:szCs w:val="24"/>
        </w:rPr>
        <w:t>4</w:t>
      </w:r>
      <w:r w:rsidRPr="006A377C">
        <w:rPr>
          <w:b/>
          <w:szCs w:val="24"/>
        </w:rPr>
        <w:t>)</w:t>
      </w:r>
    </w:p>
    <w:p w14:paraId="53BB4030" w14:textId="77777777" w:rsidR="00F20CFD" w:rsidRPr="006A377C" w:rsidRDefault="00F20CFD" w:rsidP="005F2F2B">
      <w:pPr>
        <w:pStyle w:val="aff"/>
        <w:numPr>
          <w:ilvl w:val="0"/>
          <w:numId w:val="16"/>
        </w:numPr>
        <w:ind w:left="709" w:hanging="425"/>
        <w:rPr>
          <w:szCs w:val="24"/>
        </w:rPr>
      </w:pPr>
      <w:r w:rsidRPr="006A377C">
        <w:rPr>
          <w:szCs w:val="24"/>
        </w:rPr>
        <w:t xml:space="preserve">Всем пациентам моложе 40 лет с подозрением на конституциональный характер аплазии кроветворения, предшествующей развитию МДС, </w:t>
      </w:r>
      <w:r w:rsidRPr="006A377C">
        <w:rPr>
          <w:b/>
          <w:szCs w:val="24"/>
        </w:rPr>
        <w:t xml:space="preserve">рекомендуется </w:t>
      </w:r>
      <w:r w:rsidRPr="006A377C">
        <w:rPr>
          <w:szCs w:val="24"/>
        </w:rPr>
        <w:t>исследование крови на тест с ди</w:t>
      </w:r>
      <w:r w:rsidR="0009447F">
        <w:rPr>
          <w:szCs w:val="24"/>
        </w:rPr>
        <w:t>э</w:t>
      </w:r>
      <w:r w:rsidRPr="006A377C">
        <w:rPr>
          <w:szCs w:val="24"/>
        </w:rPr>
        <w:t xml:space="preserve">поксибутаном для исключения анемии Фанкони </w:t>
      </w:r>
      <w:r w:rsidRPr="006A377C">
        <w:rPr>
          <w:szCs w:val="24"/>
        </w:rPr>
        <w:fldChar w:fldCharType="begin" w:fldLock="1"/>
      </w:r>
      <w:r w:rsidR="00AE1E12">
        <w:rPr>
          <w:szCs w:val="24"/>
        </w:rPr>
        <w:instrText>ADDIN CSL_CITATION {"citationItems":[{"id":"ITEM-1","itemData":{"DOI":"10.1016/j.hoc.2018.04.002","ISSN":"15581977","abstract":"Fanconi anemia (FA) is a DNA repair disorder associated with a high risk of cancer and bone marrow failure. Patients with FA may present with certain dysmorphic features, such as radial ray abnormalities, short stature, typical facies, bone marrow failure, or certain solid malignancies. Some patients may be recognized due to exquisite sensitivity after exposure to cancer therapy. FA is diagnosed by increased chromosomal breakage after exposure to clastogenic agents. It follows autosomal recessive and X-linked inheritance depending on the underlying genomic alterations. Recognizing patients with FA is important for therapeutic decisions, genetic counseling, and optimal clinical management.","author":[{"dropping-particle":"","family":"Savage","given":"Sharon A.","non-dropping-particle":"","parse-names":false,"suffix":""},{"dropping-particle":"","family":"Walsh","given":"Michael F.","non-dropping-particle":"","parse-names":false,"suffix":""}],"container-title":"Hematology/Oncology Clinics of North America","id":"ITEM-1","issue":"4","issued":{"date-parts":[["2018","8","1"]]},"page":"657-668","publisher":"W.B. Saunders","title":"Myelodysplastic Syndrome, Acute Myeloid Leukemia, and Cancer Surveillance in Fanconi Anemia","type":"article","volume":"32"},"uris":["http://www.mendeley.com/documents/?uuid=3f7a393e-18ca-334f-84c9-c90f34151801"]}],"mendeley":{"formattedCitation":"[59]","plainTextFormattedCitation":"[59]","previouslyFormattedCitation":"[59]"},"properties":{"noteIndex":0},"schema":"https://github.com/citation-style-language/schema/raw/master/csl-citation.json"}</w:instrText>
      </w:r>
      <w:r w:rsidRPr="006A377C">
        <w:rPr>
          <w:szCs w:val="24"/>
        </w:rPr>
        <w:fldChar w:fldCharType="separate"/>
      </w:r>
      <w:r w:rsidR="00AE1E12" w:rsidRPr="00AE1E12">
        <w:rPr>
          <w:noProof/>
          <w:szCs w:val="24"/>
        </w:rPr>
        <w:t>[59]</w:t>
      </w:r>
      <w:r w:rsidRPr="006A377C">
        <w:rPr>
          <w:szCs w:val="24"/>
        </w:rPr>
        <w:fldChar w:fldCharType="end"/>
      </w:r>
      <w:r w:rsidRPr="006A377C">
        <w:rPr>
          <w:szCs w:val="24"/>
        </w:rPr>
        <w:t>.</w:t>
      </w:r>
    </w:p>
    <w:p w14:paraId="519A541E" w14:textId="77777777" w:rsidR="00F20CFD" w:rsidRPr="006A377C" w:rsidRDefault="00F20CFD" w:rsidP="007C78A6">
      <w:pPr>
        <w:ind w:left="709" w:hanging="1"/>
        <w:rPr>
          <w:b/>
          <w:szCs w:val="24"/>
        </w:rPr>
      </w:pPr>
      <w:r w:rsidRPr="006A377C">
        <w:rPr>
          <w:b/>
          <w:szCs w:val="24"/>
        </w:rPr>
        <w:t xml:space="preserve">Уровень убедительности рекомендаций </w:t>
      </w:r>
      <w:r w:rsidRPr="006A377C">
        <w:rPr>
          <w:b/>
          <w:szCs w:val="24"/>
          <w:lang w:val="en-US"/>
        </w:rPr>
        <w:t>C</w:t>
      </w:r>
      <w:r w:rsidRPr="006A377C">
        <w:rPr>
          <w:b/>
          <w:szCs w:val="24"/>
        </w:rPr>
        <w:t xml:space="preserve"> (уровень достоверности доказательств – 5)</w:t>
      </w:r>
    </w:p>
    <w:p w14:paraId="2899E535" w14:textId="77777777" w:rsidR="00F20CFD" w:rsidRPr="00D22CCB" w:rsidRDefault="00F20CFD" w:rsidP="005F2F2B">
      <w:pPr>
        <w:pStyle w:val="aff"/>
        <w:numPr>
          <w:ilvl w:val="0"/>
          <w:numId w:val="16"/>
        </w:numPr>
        <w:rPr>
          <w:szCs w:val="24"/>
        </w:rPr>
      </w:pPr>
      <w:r w:rsidRPr="00D22CCB">
        <w:rPr>
          <w:szCs w:val="24"/>
        </w:rPr>
        <w:t xml:space="preserve">Пациентам МДС из группы промежуточного-1, -2 и высокого риска по IPSS (см. </w:t>
      </w:r>
      <w:r w:rsidR="00B63F37">
        <w:rPr>
          <w:szCs w:val="24"/>
        </w:rPr>
        <w:t>раздел 7.1 данных рекомендаций</w:t>
      </w:r>
      <w:r w:rsidRPr="00D22CCB">
        <w:rPr>
          <w:szCs w:val="24"/>
        </w:rPr>
        <w:t>), которые могут рассматриваться в качестве кандидатов для</w:t>
      </w:r>
      <w:r w:rsidR="001375E2" w:rsidRPr="00D22CCB">
        <w:rPr>
          <w:szCs w:val="24"/>
        </w:rPr>
        <w:t xml:space="preserve"> </w:t>
      </w:r>
      <w:r w:rsidR="008A5F17">
        <w:rPr>
          <w:szCs w:val="24"/>
        </w:rPr>
        <w:t xml:space="preserve">выполнения </w:t>
      </w:r>
      <w:r w:rsidR="001375E2" w:rsidRPr="00D22CCB">
        <w:rPr>
          <w:szCs w:val="24"/>
        </w:rPr>
        <w:t>трансплантаци</w:t>
      </w:r>
      <w:r w:rsidR="008A5F17">
        <w:rPr>
          <w:szCs w:val="24"/>
        </w:rPr>
        <w:t>и</w:t>
      </w:r>
      <w:r w:rsidR="001375E2" w:rsidRPr="00D22CCB">
        <w:rPr>
          <w:szCs w:val="24"/>
        </w:rPr>
        <w:t xml:space="preserve"> аллогенных гемопоэтических стволовых клеток</w:t>
      </w:r>
      <w:r w:rsidRPr="00D22CCB">
        <w:rPr>
          <w:szCs w:val="24"/>
        </w:rPr>
        <w:t xml:space="preserve"> </w:t>
      </w:r>
      <w:r w:rsidR="001375E2" w:rsidRPr="00D22CCB">
        <w:rPr>
          <w:szCs w:val="24"/>
        </w:rPr>
        <w:t>(</w:t>
      </w:r>
      <w:r w:rsidRPr="00D22CCB">
        <w:rPr>
          <w:szCs w:val="24"/>
        </w:rPr>
        <w:t>алло-ТГСК</w:t>
      </w:r>
      <w:r w:rsidR="001375E2" w:rsidRPr="00D22CCB">
        <w:rPr>
          <w:szCs w:val="24"/>
        </w:rPr>
        <w:t>)</w:t>
      </w:r>
      <w:r w:rsidRPr="00D22CCB">
        <w:rPr>
          <w:szCs w:val="24"/>
        </w:rPr>
        <w:t xml:space="preserve"> </w:t>
      </w:r>
      <w:r w:rsidRPr="00D22CCB">
        <w:rPr>
          <w:b/>
          <w:szCs w:val="24"/>
        </w:rPr>
        <w:t>рекомендуется</w:t>
      </w:r>
      <w:r w:rsidRPr="00D22CCB">
        <w:rPr>
          <w:szCs w:val="24"/>
        </w:rPr>
        <w:t xml:space="preserve"> определение HLA-антигенов</w:t>
      </w:r>
      <w:r w:rsidRPr="00D22CCB">
        <w:rPr>
          <w:rStyle w:val="af"/>
          <w:sz w:val="24"/>
          <w:szCs w:val="24"/>
        </w:rPr>
        <w:t>.</w:t>
      </w:r>
      <w:r w:rsidRPr="00D22CCB">
        <w:rPr>
          <w:szCs w:val="24"/>
        </w:rPr>
        <w:t xml:space="preserve"> </w:t>
      </w:r>
      <w:r w:rsidRPr="00D22CCB">
        <w:rPr>
          <w:szCs w:val="24"/>
        </w:rPr>
        <w:fldChar w:fldCharType="begin" w:fldLock="1"/>
      </w:r>
      <w:r w:rsidR="00AE1E12">
        <w:rPr>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анемия","type":"chapter"},"uris":["http://www.mendeley.com/documents/?uuid=72f323ef-ac6b-4508-9b06-fafc11ea024b"]},{"id":"ITEM-2","itemData":{"DOI":"10.1182/blood-2013-03-492884","ISSN":"1528-0020","PMID":"23980065","abstract":"Within the myelodysplastic syndrome (MDS) work package of the European LeukemiaNet, an Expert Panel was selected according to the framework elements of the National Institutes of Health Consensus Development Program. A systematic review of the literature was performed that included indexed original papers, indexed reviews and educational papers, and abstracts of conference proceedings. Guidelines were developed on the basis of a list of patient- and therapy-oriented questions, and recommendations were formulated and ranked according to the supporting level of evidence. MDSs should be classified according to the 2008 World Health Organization criteria. An accurate risk assessment requires the evaluation of not only disease-related factors but also of those related to extrahematologic comorbidity. The assessment of individual risk enables the identification of fit patients with a poor prognosis who are candidates for up-front intensive treatments, primarily allogeneic stem cell transplantation. A high proportion of MDS patients are not eligible for potentially curative treatment because of advanced age and/or clinically relevant comorbidities and poor performance status. In these patients, the therapeutic intervention is aimed at preventing cytopenia-related morbidity and preserving quality of life. A number of new agents are being developed for which the available evidence is not sufficient to recommend routine use. The inclusion of patients into prospective clinical trials is strongly recommended.","author":[{"dropping-particle":"","family":"Malcovati","given":"Luca","non-dropping-particle":"","parse-names":false,"suffix":""},{"dropping-particle":"","family":"Hellström-Lindberg","given":"Eva","non-dropping-particle":"","parse-names":false,"suffix":""},{"dropping-particle":"","family":"Bowen","given":"David","non-dropping-particle":"","parse-names":false,"suffix":""},{"dropping-particle":"","family":"Adès","given":"Lionel","non-dropping-particle":"","parse-names":false,"suffix":""},{"dropping-particle":"","family":"Cermak","given":"Jaroslav","non-dropping-particle":"","parse-names":false,"suffix":""},{"dropping-particle":"","family":"Cañizo","given":"Consuelo","non-dropping-particle":"Del","parse-names":false,"suffix":""},{"dropping-particle":"","family":"Porta","given":"Matteo G","non-dropping-particle":"Della","parse-names":false,"suffix":""},{"dropping-particle":"","family":"Fenaux","given":"Pierre","non-dropping-particle":"","parse-names":false,"suffix":""},{"dropping-particle":"","family":"Gattermann","given":"Norbert","non-dropping-particle":"","parse-names":false,"suffix":""},{"dropping-particle":"","family":"Germing","given":"Ulrich","non-dropping-particle":"","parse-names":false,"suffix":""},{"dropping-particle":"","family":"Jansen","given":"Joop H","non-dropping-particle":"","parse-names":false,"suffix":""},{"dropping-particle":"","family":"Mittelman","given":"Moshe","non-dropping-particle":"","parse-names":false,"suffix":""},{"dropping-particle":"","family":"Mufti","given":"Ghulam","non-dropping-particle":"","parse-names":false,"suffix":""},{"dropping-particle":"","family":"Platzbecker","given":"Uwe","non-dropping-particle":"","parse-names":false,"suffix":""},{"dropping-particle":"","family":"Sanz","given":"Guillermo F","non-dropping-particle":"","parse-names":false,"suffix":""},{"dropping-particle":"","family":"Selleslag","given":"Dominik","non-dropping-particle":"","parse-names":false,"suffix":""},{"dropping-particle":"","family":"Skov-Holm","given":"Mette","non-dropping-particle":"","parse-names":false,"suffix":""},{"dropping-particle":"","family":"Stauder","given":"Reinhard","non-dropping-particle":"","parse-names":false,"suffix":""},{"dropping-particle":"","family":"Symeonidis","given":"Argiris","non-dropping-particle":"","parse-names":false,"suffix":""},{"dropping-particle":"","family":"Loosdrecht","given":"Arjan A","non-dropping-particle":"van de","parse-names":false,"suffix":""},{"dropping-particle":"","family":"Witte","given":"Theo","non-dropping-particle":"de","parse-names":false,"suffix":""},{"dropping-particle":"","family":"Cazzola","given":"Mario","non-dropping-particle":"","parse-names":false,"suffix":""},{"dropping-particle":"","family":"European Leukemia Net","given":"","non-dropping-particle":"","parse-names":false,"suffix":""}],"container-title":"Blood","id":"ITEM-2","issue":"17","issued":{"date-parts":[["2013","10","24"]]},"page":"2943-64","title":"Diagnosis and treatment of primary myelodysplastic syndromes in adults: recommendations from the European LeukemiaNet.","type":"article-journal","volume":"122"},"uris":["http://www.mendeley.com/documents/?uuid=8d575a93-ae56-3e05-b1b4-97a7de4aac98"]},{"id":"ITEM-3","itemData":{"author":[{"dropping-particle":"","family":"Greenberg","given":"P.L.","non-dropping-particle":"","parse-names":false,"suffix":""},{"dropping-particle":"","family":"Stone","given":"Richard M.","non-dropping-particle":"","parse-names":false,"suffix":""},{"dropping-particle":"","family":"Al-Kali","given":"Aref","non-dropping-particle":"","parse-names":false,"suffix":""},{"dropping-particle":"","family":"Bejar","given":"Rafael","non-dropping-particle":"","parse-names":false,"suffix":""},{"dropping-particle":"","family":"Bennett","given":"John M.","non-dropping-particle":"","parse-names":false,"suffix":""}],"id":"ITEM-3","issued":{"date-parts":[["2019"]]},"title":"NCCN Clinical Practice Guidelines in Oncology. Myelodysplastic syndromes","type":"article"},"uris":["http://www.mendeley.com/documents/?uuid=42bd97a2-0774-4214-9691-f403cd4a21df"]},{"id":"ITEM-4","itemData":{"DOI":"10.1182/blood-2013-12-542720","ISSN":"1528-0020","PMID":"24558201","abstract":"About one third of patients with myelodysplastic syndrome (MDS) receiving allogeneic hematopoietic stem cell transplantation (HSCT) are cured by this treatment. Treatment failure may be due to transplant complications or relapse. In order to identify predictive factors for transplantation outcome, we studied 519 patients with MDS or oligoblastic acute myeloid leukemia (AML, &lt;30% marrow blasts) who received allogeneic an HSCT and were reported to the GITMO registry between 2000 and 2011. Univariate and multivariate survival analyses were performed using Cox proportional hazards regression. High-risk category, as defined by the IPSS-R, and monosomal karyotype were independently associated with relapse and lower overall survival after transplantation. On the other hand, older recipient age and high hematopoietic cell transplantation-comorbidity index (HCT-CI) were independent predictors of non-relapse mortality. Accounting for various combinations of patient's age, IPSS-R category, monosomal karyotype, and HCT-CI, the 5-year probability of survival after allogeneic HSCT ranged from 0 to 94%. This study indicates that IPSS-R risk category and monosomal karyotype are important factors predicting transplantation failure both in MDS and oligoblastic AML. In addition, it reinforces the concept that allogeneic HSCT offers optimal eradication of myelodysplastic hematopoiesis when the procedure is performed before MDS patients progress to advanced disease stages.","author":[{"dropping-particle":"","family":"Porta","given":"Matteo G","non-dropping-particle":"Della","parse-names":false,"suffix":""},{"dropping-particle":"","family":"Alessandrino","given":"Emilio Paolo","non-dropping-particle":"","parse-names":false,"suffix":""},{"dropping-particle":"","family":"Bacigalupo","given":"Andrea","non-dropping-particle":"","parse-names":false,"suffix":""},{"dropping-particle":"","family":"Lint","given":"Maria Teresa","non-dropping-particle":"van","parse-names":false,"suffix":""},{"dropping-particle":"","family":"Malcovati","given":"Luca","non-dropping-particle":"","parse-names":false,"suffix":""},{"dropping-particle":"","family":"Pascutto","given":"Cristiana","non-dropping-particle":"","parse-names":false,"suffix":""},{"dropping-particle":"","family":"Falda","given":"Michele","non-dropping-particle":"","parse-names":false,"suffix":""},{"dropping-particle":"","family":"Bernardi","given":"Massimo","non-dropping-particle":"","parse-names":false,"suffix":""},{"dropping-particle":"","family":"Onida","given":"Francesco","non-dropping-particle":"","parse-names":false,"suffix":""},{"dropping-particle":"","family":"Guidi","given":"Stefano","non-dropping-particle":"","parse-names":false,"suffix":""},{"dropping-particle":"","family":"Iori","given":"Anna Paola","non-dropping-particle":"","parse-names":false,"suffix":""},{"dropping-particle":"","family":"Cerretti","given":"Raffaella","non-dropping-particle":"","parse-names":false,"suffix":""},{"dropping-particle":"","family":"Marenco","given":"Paola","non-dropping-particle":"","parse-names":false,"suffix":""},{"dropping-particle":"","family":"Pioltelli","given":"Pietro","non-dropping-particle":"","parse-names":false,"suffix":""},{"dropping-particle":"","family":"Angelucci","given":"Emanuele","non-dropping-particle":"","parse-names":false,"suffix":""},{"dropping-particle":"","family":"Oneto","given":"Rosi","non-dropping-particle":"","parse-names":false,"suffix":""},{"dropping-particle":"","family":"Ripamonti","given":"Francesco","non-dropping-particle":"","parse-names":false,"suffix":""},{"dropping-particle":"","family":"Bernasconi","given":"Paolo","non-dropping-particle":"","parse-names":false,"suffix":""},{"dropping-particle":"","family":"Bosi","given":"Alberto","non-dropping-particle":"","parse-names":false,"suffix":""},{"dropping-particle":"","family":"Cazzola","given":"Mario","non-dropping-particle":"","parse-names":false,"suffix":""},{"dropping-particle":"","family":"Rambaldi","given":"Alessandro","non-dropping-particle":"","parse-names":false,"suffix":""}],"container-title":"Blood","id":"ITEM-4","issued":{"date-parts":[["2014","2","20"]]},"page":"2333-2342","title":"Predictive factors for the outcome of allogeneic transplantation in patients with myelodysplastic syndrome stratified according to the revised International Prognostic Scoring System (IPSS-R).","type":"article-journal"},"uris":["http://www.mendeley.com/documents/?uuid=663b7cce-aec0-35f1-a7b3-e57eeaaa008a"]}],"mendeley":{"formattedCitation":"[1,4,5,60]","plainTextFormattedCitation":"[1,4,5,60]","previouslyFormattedCitation":"[1,4,5,60]"},"properties":{"noteIndex":0},"schema":"https://github.com/citation-style-language/schema/raw/master/csl-citation.json"}</w:instrText>
      </w:r>
      <w:r w:rsidRPr="00D22CCB">
        <w:rPr>
          <w:szCs w:val="24"/>
        </w:rPr>
        <w:fldChar w:fldCharType="separate"/>
      </w:r>
      <w:r w:rsidR="00AE1E12" w:rsidRPr="00AE1E12">
        <w:rPr>
          <w:noProof/>
          <w:szCs w:val="24"/>
        </w:rPr>
        <w:t>[1,4,5,60]</w:t>
      </w:r>
      <w:r w:rsidRPr="00D22CCB">
        <w:rPr>
          <w:szCs w:val="24"/>
        </w:rPr>
        <w:fldChar w:fldCharType="end"/>
      </w:r>
      <w:r w:rsidRPr="00D22CCB">
        <w:rPr>
          <w:szCs w:val="24"/>
        </w:rPr>
        <w:t>.</w:t>
      </w:r>
    </w:p>
    <w:p w14:paraId="32FAE1B8" w14:textId="77777777" w:rsidR="00F20CFD" w:rsidRPr="006A377C" w:rsidRDefault="00F20CFD" w:rsidP="007C78A6">
      <w:pPr>
        <w:ind w:left="709" w:hanging="1"/>
        <w:rPr>
          <w:b/>
          <w:szCs w:val="24"/>
        </w:rPr>
      </w:pPr>
      <w:r w:rsidRPr="006A377C">
        <w:rPr>
          <w:b/>
          <w:szCs w:val="24"/>
        </w:rPr>
        <w:t xml:space="preserve">Уровень убедительности рекомендаций </w:t>
      </w:r>
      <w:r w:rsidRPr="006A377C">
        <w:rPr>
          <w:b/>
          <w:szCs w:val="24"/>
          <w:lang w:val="en-US"/>
        </w:rPr>
        <w:t>C</w:t>
      </w:r>
      <w:r w:rsidRPr="006A377C">
        <w:rPr>
          <w:b/>
          <w:szCs w:val="24"/>
        </w:rPr>
        <w:t xml:space="preserve"> (уровень достоверности доказательств – 5)</w:t>
      </w:r>
    </w:p>
    <w:p w14:paraId="5DB223E9" w14:textId="77777777" w:rsidR="00F20CFD" w:rsidRPr="006A377C" w:rsidRDefault="00F20CFD" w:rsidP="007C78A6">
      <w:pPr>
        <w:ind w:left="709" w:hanging="1"/>
        <w:rPr>
          <w:i/>
          <w:szCs w:val="24"/>
        </w:rPr>
      </w:pPr>
      <w:r w:rsidRPr="006A377C">
        <w:rPr>
          <w:b/>
          <w:szCs w:val="24"/>
        </w:rPr>
        <w:t xml:space="preserve">Комментарии: </w:t>
      </w:r>
      <w:r w:rsidR="001375E2" w:rsidRPr="00D22CCB">
        <w:rPr>
          <w:i/>
          <w:szCs w:val="24"/>
        </w:rPr>
        <w:t>типирование пациентов с МДС и потенциальных родственных доноров КМ и ГКС по HLA-антигенам I и II класса проводится с целью поиска идентичных по антигенам тканевой совместимости пар для проведения трансплантации.</w:t>
      </w:r>
      <w:r w:rsidR="001375E2">
        <w:rPr>
          <w:szCs w:val="24"/>
        </w:rPr>
        <w:t xml:space="preserve"> </w:t>
      </w:r>
      <w:r w:rsidR="006C65DE">
        <w:rPr>
          <w:i/>
          <w:szCs w:val="24"/>
        </w:rPr>
        <w:t>Ц</w:t>
      </w:r>
      <w:r w:rsidRPr="006A377C">
        <w:rPr>
          <w:i/>
          <w:szCs w:val="24"/>
        </w:rPr>
        <w:t>елесообразно</w:t>
      </w:r>
      <w:r w:rsidR="006C65DE">
        <w:rPr>
          <w:i/>
          <w:szCs w:val="24"/>
        </w:rPr>
        <w:t xml:space="preserve"> также</w:t>
      </w:r>
      <w:r w:rsidRPr="006A377C">
        <w:rPr>
          <w:i/>
          <w:szCs w:val="24"/>
        </w:rPr>
        <w:t xml:space="preserve"> типирование реципиентов, не имеющих потенциальных родственных доноров, для осуществления поиска неродственного донора в российском и международном регистрах.</w:t>
      </w:r>
    </w:p>
    <w:p w14:paraId="16189A35" w14:textId="77777777" w:rsidR="00F20CFD" w:rsidRPr="006A377C" w:rsidRDefault="00F20CFD" w:rsidP="005F2F2B">
      <w:pPr>
        <w:pStyle w:val="afd"/>
        <w:numPr>
          <w:ilvl w:val="0"/>
          <w:numId w:val="16"/>
        </w:numPr>
        <w:spacing w:beforeAutospacing="0" w:afterAutospacing="0" w:line="360" w:lineRule="auto"/>
        <w:ind w:left="709" w:hanging="425"/>
      </w:pPr>
      <w:r w:rsidRPr="006A377C">
        <w:t>Всем пациентам МДС</w:t>
      </w:r>
      <w:r w:rsidRPr="006A377C">
        <w:rPr>
          <w:b/>
        </w:rPr>
        <w:t xml:space="preserve"> рекомендуется</w:t>
      </w:r>
      <w:r w:rsidRPr="006A377C">
        <w:t xml:space="preserve"> определение основных групп по системе AB0, антигена D системы Резус (резус-фактор), фенотипа по антигенам C, c, E, e, Cw, K, k и антиэритроцитарных антител, группы крови с фенотипом с целью подбора трансфузионных сред и минимизации трансфузионных реакций </w:t>
      </w:r>
      <w:r w:rsidRPr="006A377C">
        <w:fldChar w:fldCharType="begin" w:fldLock="1"/>
      </w:r>
      <w:r w:rsidR="00AE1E12">
        <w:instrText>ADDIN CSL_CITATION {"citationItems":[{"id":"ITEM-1","itemData":{"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354537e-07c2-4fc2-b20e-4db63e840c3f"]}],"mendeley":{"formattedCitation":"[61]","plainTextFormattedCitation":"[61]","previouslyFormattedCitation":"[61]"},"properties":{"noteIndex":0},"schema":"https://github.com/citation-style-language/schema/raw/master/csl-citation.json"}</w:instrText>
      </w:r>
      <w:r w:rsidRPr="006A377C">
        <w:fldChar w:fldCharType="separate"/>
      </w:r>
      <w:r w:rsidR="00AE1E12" w:rsidRPr="00AE1E12">
        <w:rPr>
          <w:noProof/>
        </w:rPr>
        <w:t>[61]</w:t>
      </w:r>
      <w:r w:rsidRPr="006A377C">
        <w:fldChar w:fldCharType="end"/>
      </w:r>
      <w:r w:rsidRPr="006A377C">
        <w:t>.</w:t>
      </w:r>
    </w:p>
    <w:p w14:paraId="48E0A0B2" w14:textId="77777777" w:rsidR="00F20CFD" w:rsidRPr="006A377C" w:rsidRDefault="00F20CFD" w:rsidP="007C78A6">
      <w:pPr>
        <w:pStyle w:val="afff5"/>
        <w:ind w:hanging="1"/>
      </w:pPr>
      <w:r w:rsidRPr="00424B9C">
        <w:t>Уровень убедительности рекомендаций С (уровень достоверности доказательств 5)</w:t>
      </w:r>
    </w:p>
    <w:p w14:paraId="6C81A467" w14:textId="77777777" w:rsidR="00F20CFD" w:rsidRPr="006A377C" w:rsidRDefault="00F20CFD" w:rsidP="007C78A6">
      <w:pPr>
        <w:pStyle w:val="afff5"/>
        <w:ind w:hanging="1"/>
        <w:rPr>
          <w:b w:val="0"/>
        </w:rPr>
      </w:pPr>
      <w:r w:rsidRPr="006A377C">
        <w:rPr>
          <w:rStyle w:val="affb"/>
          <w:b/>
        </w:rPr>
        <w:t xml:space="preserve">Комментарии: </w:t>
      </w:r>
      <w:r w:rsidRPr="006A377C">
        <w:rPr>
          <w:rStyle w:val="affc"/>
          <w:b w:val="0"/>
        </w:rPr>
        <w:t>учитывая высокую частоту трансфузий и развивающиеся впоследствии сенсибилизацию к донорским компонентам крови и эритроцитарный химеризм, проведение трансфузий эритроцитной массы следует проводить с учетом фенотипа.</w:t>
      </w:r>
    </w:p>
    <w:p w14:paraId="448CF828" w14:textId="77777777" w:rsidR="00F20CFD" w:rsidRPr="006A377C" w:rsidRDefault="00F20CFD" w:rsidP="00EA7BF5">
      <w:pPr>
        <w:pStyle w:val="2"/>
      </w:pPr>
      <w:bookmarkStart w:id="14" w:name="_Toc65104089"/>
      <w:r w:rsidRPr="006A377C">
        <w:lastRenderedPageBreak/>
        <w:t xml:space="preserve">2.4. </w:t>
      </w:r>
      <w:r w:rsidR="00B4028D" w:rsidRPr="00D22CCB">
        <w:t>Инструментальные диагностические исследования</w:t>
      </w:r>
      <w:bookmarkEnd w:id="14"/>
    </w:p>
    <w:p w14:paraId="6F18F05E" w14:textId="77777777" w:rsidR="00F20CFD" w:rsidRPr="006A377C" w:rsidRDefault="00F20CFD" w:rsidP="00966898">
      <w:pPr>
        <w:ind w:left="709" w:hanging="1"/>
        <w:rPr>
          <w:i/>
          <w:szCs w:val="24"/>
        </w:rPr>
      </w:pPr>
      <w:r w:rsidRPr="006A377C">
        <w:rPr>
          <w:i/>
          <w:szCs w:val="24"/>
        </w:rPr>
        <w:t xml:space="preserve">Инструментальные методы исследования позволяют проводить дифференциальную диагностику цитопенического синдрома и выявить наличие сопутствующей патологии при МДС </w:t>
      </w:r>
      <w:r w:rsidRPr="006A377C">
        <w:rPr>
          <w:i/>
          <w:szCs w:val="24"/>
        </w:rPr>
        <w:fldChar w:fldCharType="begin" w:fldLock="1"/>
      </w:r>
      <w:r w:rsidRPr="006A377C">
        <w:rPr>
          <w:i/>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id":"ITEM-2","itemData":{"author":[{"dropping-particle":"","family":"Ширин","given":"А.Д.","non-dropping-particle":"","parse-names":false,"suffix":""},{"dropping-particle":"","family":"Френкель","given":"М.А.","non-dropping-particle":"","parse-names":false,"suffix":""}],"container-title":"Клиническая онкогематология: руководство для врачей. Под ред. Волковой М.А.. 2-е изд., перераб. и доп.","id":"ITEM-2","issued":{"date-parts":[["2007"]]},"page":"502-551","title":"Миелодиспластические синдромы","type":"chapter"},"uris":["http://www.mendeley.com/documents/?uuid=9f2eca44-a3a8-4eb4-90b5-a52e4e769482"]},{"id":"ITEM-3","itemData":{"DOI":"10.1002/ajh.24102","ISSN":"1096-8652","PMID":"26294090","abstract":"DISEASE OVERVIEW The myelodysplastic syndromes (MDS) are a very heterogeneous group of myeloid disorders characterized by peripheral blood cytopenias and increased risk of transformation to acute myelogenous leukemia (AML). MDS occurs more frequently in older males and in individuals with prior exposure to cytotoxic therapy. DIAGNOSIS Diagnosis of MDS is based on morphological evidence of dysplasia upon visual examination of a bone marrow aspirate and biopsy. Information obtained from additional studies such as karyotype, flow cytometry, or molecular genetics is complementary but not diagnostic. Risk-stratification: Prognosis of patients with MDS can be calculated using a number of scoring systems. In general, all these scoring systems include analysis of peripheral cytopenias, percentage of blasts in the bone marrow, and cytogenetic characteristics. The most commonly used system still is probably the International Prognostic Scoring System (IPSS). IPSS is being replaced by the new revised score IPSS-R. RISK-ADAPTED THERAPY Therapy is selected based on risk, transfusion needs, percent of bone marrow blasts, and more recently cytogenetic and mutational profiles. Goals of therapy are different in lower risk patients than in higher risk. In lower risk, the goal is to decrease transfusion needs and transformation to higher risk disease or AML, as well as to improve survival. In higher risk, the goal is to prolong survival. Current available therapies include growth factor support, lenalidomide, hypomethylating agents, intensive chemotherapy, and allogeneic stem cell transplantation. The use of lenalidomide has significant clinical activity in patients with lower risk disease, anemia, and a chromosome 5 alteration. 5-Azacitidine and decitabine have activity in higher risk MDS. 5-Azacitidine has been shown to improve survival in higher risk MDS. A number of new molecular lesions have been described in MDS that may serve as new therapeutic targets or aid in the selection of currently available agents. Additional supportive care measures may include the use of prophylactic antibiotics and iron chelation. Management of progressive or refractory disease: At the present time there are no approved interventions for patients with progressive or refractory disease particularly after hypomethylating based therapy. Options include participation in a clinical trial or cytarabine based therapy and stem cell transplantation.","author":[{"dropping-particle":"","family":"Garcia-Manero","given":"Guillermo","non-dropping-particle":"","parse-names":false,"suffix":""}],"container-title":"American journal of hematology","id":"ITEM-3","issue":"9","issued":{"date-parts":[["2015","9"]]},"page":"831-41","title":"Myelodysplastic syndromes: 2015 Update on diagnosis, risk-stratification and management.","type":"article-journal","volume":"90"},"uris":["http://www.mendeley.com/documents/?uuid=f71f5ed5-dc93-3fd3-b1f1-68c1270ac29e"]},{"id":"ITEM-4","itemData":{"DOI":"10.1182/blood-2013-03-492884","ISSN":"1528-0020","PMID":"23980065","abstract":"Within the myelodysplastic syndrome (MDS) work package of the European LeukemiaNet, an Expert Panel was selected according to the framework elements of the National Institutes of Health Consensus Development Program. A systematic review of the literature was performed that included indexed original papers, indexed reviews and educational papers, and abstracts of conference proceedings. Guidelines were developed on the basis of a list of patient- and therapy-oriented questions, and recommendations were formulated and ranked according to the supporting level of evidence. MDSs should be classified according to the 2008 World Health Organization criteria. An accurate risk assessment requires the evaluation of not only disease-related factors but also of those related to extrahematologic comorbidity. The assessment of individual risk enables the identification of fit patients with a poor prognosis who are candidates for up-front intensive treatments, primarily allogeneic stem cell transplantation. A high proportion of MDS patients are not eligible for potentially curative treatment because of advanced age and/or clinically relevant comorbidities and poor performance status. In these patients, the therapeutic intervention is aimed at preventing cytopenia-related morbidity and preserving quality of life. A number of new agents are being developed for which the available evidence is not sufficient to recommend routine use. The inclusion of patients into prospective clinical trials is strongly recommended.","author":[{"dropping-particle":"","family":"Malcovati","given":"Luca","non-dropping-particle":"","parse-names":false,"suffix":""},{"dropping-particle":"","family":"Hellström-Lindberg","given":"Eva","non-dropping-particle":"","parse-names":false,"suffix":""},{"dropping-particle":"","family":"Bowen","given":"David","non-dropping-particle":"","parse-names":false,"suffix":""},{"dropping-particle":"","family":"Adès","given":"Lionel","non-dropping-particle":"","parse-names":false,"suffix":""},{"dropping-particle":"","family":"Cermak","given":"Jaroslav","non-dropping-particle":"","parse-names":false,"suffix":""},{"dropping-particle":"","family":"Cañizo","given":"Consuelo","non-dropping-particle":"Del","parse-names":false,"suffix":""},{"dropping-particle":"","family":"Porta","given":"Matteo G","non-dropping-particle":"Della","parse-names":false,"suffix":""},{"dropping-particle":"","family":"Fenaux","given":"Pierre","non-dropping-particle":"","parse-names":false,"suffix":""},{"dropping-particle":"","family":"Gattermann","given":"Norbert","non-dropping-particle":"","parse-names":false,"suffix":""},{"dropping-particle":"","family":"Germing","given":"Ulrich","non-dropping-particle":"","parse-names":false,"suffix":""},{"dropping-particle":"","family":"Jansen","given":"Joop H","non-dropping-particle":"","parse-names":false,"suffix":""},{"dropping-particle":"","family":"Mittelman","given":"Moshe","non-dropping-particle":"","parse-names":false,"suffix":""},{"dropping-particle":"","family":"Mufti","given":"Ghulam","non-dropping-particle":"","parse-names":false,"suffix":""},{"dropping-particle":"","family":"Platzbecker","given":"Uwe","non-dropping-particle":"","parse-names":false,"suffix":""},{"dropping-particle":"","family":"Sanz","given":"Guillermo F","non-dropping-particle":"","parse-names":false,"suffix":""},{"dropping-particle":"","family":"Selleslag","given":"Dominik","non-dropping-particle":"","parse-names":false,"suffix":""},{"dropping-particle":"","family":"Skov-Holm","given":"Mette","non-dropping-particle":"","parse-names":false,"suffix":""},{"dropping-particle":"","family":"Stauder","given":"Reinhard","non-dropping-particle":"","parse-names":false,"suffix":""},{"dropping-particle":"","family":"Symeonidis","given":"Argiris","non-dropping-particle":"","parse-names":false,"suffix":""},{"dropping-particle":"","family":"Loosdrecht","given":"Arjan A","non-dropping-particle":"van de","parse-names":false,"suffix":""},{"dropping-particle":"","family":"Witte","given":"Theo","non-dropping-particle":"de","parse-names":false,"suffix":""},{"dropping-particle":"","family":"Cazzola","given":"Mario","non-dropping-particle":"","parse-names":false,"suffix":""},{"dropping-particle":"","family":"European Leukemia Net","given":"","non-dropping-particle":"","parse-names":false,"suffix":""}],"container-title":"Blood","id":"ITEM-4","issue":"17","issued":{"date-parts":[["2013","10","24"]]},"page":"2943-64","title":"Diagnosis and treatment of primary myelodysplastic syndromes in adults: recommendations from the European LeukemiaNet.","type":"article-journal","volume":"122"},"uris":["http://www.mendeley.com/documents/?uuid=8d575a93-ae56-3e05-b1b4-97a7de4aac98"]},{"id":"ITEM-5","itemData":{"author":[{"dropping-particle":"","family":"Greenberg","given":"P.L.","non-dropping-particle":"","parse-names":false,"suffix":""},{"dropping-particle":"","family":"Stone","given":"Richard M.","non-dropping-particle":"","parse-names":false,"suffix":""},{"dropping-particle":"","family":"Al-Kali","given":"Aref","non-dropping-particle":"","parse-names":false,"suffix":""},{"dropping-particle":"","family":"Bejar","given":"Rafael","non-dropping-particle":"","parse-names":false,"suffix":""},{"dropping-particle":"","family":"Bennett","given":"John M.","non-dropping-particle":"","parse-names":false,"suffix":""}],"id":"ITEM-5","issued":{"date-parts":[["2019"]]},"title":"NCCN Clinical Practice Guidelines in Oncology. Myelodysplastic syndromes","type":"article"},"uris":["http://www.mendeley.com/documents/?uuid=42bd97a2-0774-4214-9691-f403cd4a21df"]}],"mendeley":{"formattedCitation":"[1–5]","plainTextFormattedCitation":"[1–5]","previouslyFormattedCitation":"[1–5]"},"properties":{"noteIndex":0},"schema":"https://github.com/citation-style-language/schema/raw/master/csl-citation.json"}</w:instrText>
      </w:r>
      <w:r w:rsidRPr="006A377C">
        <w:rPr>
          <w:i/>
          <w:szCs w:val="24"/>
        </w:rPr>
        <w:fldChar w:fldCharType="separate"/>
      </w:r>
      <w:r w:rsidRPr="006A377C">
        <w:rPr>
          <w:noProof/>
          <w:szCs w:val="24"/>
        </w:rPr>
        <w:t>[1–5]</w:t>
      </w:r>
      <w:r w:rsidRPr="006A377C">
        <w:rPr>
          <w:i/>
          <w:szCs w:val="24"/>
        </w:rPr>
        <w:fldChar w:fldCharType="end"/>
      </w:r>
      <w:r w:rsidRPr="006A377C">
        <w:rPr>
          <w:i/>
          <w:szCs w:val="24"/>
        </w:rPr>
        <w:t>.</w:t>
      </w:r>
    </w:p>
    <w:p w14:paraId="2ACA3E2F" w14:textId="77777777" w:rsidR="00F20CFD" w:rsidRPr="006A377C" w:rsidRDefault="00F20CFD" w:rsidP="005F2F2B">
      <w:pPr>
        <w:pStyle w:val="aff"/>
        <w:numPr>
          <w:ilvl w:val="0"/>
          <w:numId w:val="16"/>
        </w:numPr>
        <w:ind w:left="709" w:hanging="283"/>
        <w:rPr>
          <w:szCs w:val="24"/>
        </w:rPr>
      </w:pPr>
      <w:r w:rsidRPr="006A377C">
        <w:rPr>
          <w:szCs w:val="24"/>
        </w:rPr>
        <w:t xml:space="preserve">Всем пациентам с подозрением на МДС </w:t>
      </w:r>
      <w:r w:rsidRPr="006A377C">
        <w:rPr>
          <w:b/>
          <w:szCs w:val="24"/>
        </w:rPr>
        <w:t xml:space="preserve">рекомендуется </w:t>
      </w:r>
      <w:r w:rsidRPr="006A377C">
        <w:rPr>
          <w:szCs w:val="24"/>
        </w:rPr>
        <w:t xml:space="preserve">выполнение ультразвукового исследования (УЗИ) брюшной полости и забрюшинного пространства, УЗИ щитовидной железы, УЗИ органов малого таза для женщин и предстательной железы для мужчин, ЭхоКГ для определения сопутствующей патологии </w:t>
      </w:r>
      <w:r w:rsidRPr="006A377C">
        <w:rPr>
          <w:szCs w:val="24"/>
        </w:rPr>
        <w:fldChar w:fldCharType="begin" w:fldLock="1"/>
      </w:r>
      <w:r w:rsidR="00EE4656">
        <w:rPr>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mendeley":{"formattedCitation":"[1]","plainTextFormattedCitation":"[1]","previouslyFormattedCitation":"[1]"},"properties":{"noteIndex":0},"schema":"https://github.com/citation-style-language/schema/raw/master/csl-citation.json"}</w:instrText>
      </w:r>
      <w:r w:rsidRPr="006A377C">
        <w:rPr>
          <w:szCs w:val="24"/>
        </w:rPr>
        <w:fldChar w:fldCharType="separate"/>
      </w:r>
      <w:r w:rsidR="00F241F7" w:rsidRPr="00F241F7">
        <w:rPr>
          <w:noProof/>
          <w:szCs w:val="24"/>
        </w:rPr>
        <w:t>[1]</w:t>
      </w:r>
      <w:r w:rsidRPr="006A377C">
        <w:rPr>
          <w:szCs w:val="24"/>
        </w:rPr>
        <w:fldChar w:fldCharType="end"/>
      </w:r>
      <w:r w:rsidRPr="006A377C">
        <w:rPr>
          <w:szCs w:val="24"/>
        </w:rPr>
        <w:t>.</w:t>
      </w:r>
    </w:p>
    <w:p w14:paraId="2BC06A9D" w14:textId="77777777" w:rsidR="00F20CFD" w:rsidRPr="006A377C" w:rsidRDefault="00F20CFD" w:rsidP="00966898">
      <w:pPr>
        <w:ind w:left="709" w:hanging="1"/>
        <w:rPr>
          <w:b/>
          <w:szCs w:val="24"/>
        </w:rPr>
      </w:pPr>
      <w:r w:rsidRPr="006A377C">
        <w:rPr>
          <w:b/>
          <w:szCs w:val="24"/>
        </w:rPr>
        <w:t xml:space="preserve">Уровень убедительности рекомендаций </w:t>
      </w:r>
      <w:r w:rsidRPr="006A377C">
        <w:rPr>
          <w:b/>
          <w:szCs w:val="24"/>
          <w:lang w:val="en-US"/>
        </w:rPr>
        <w:t>C</w:t>
      </w:r>
      <w:r w:rsidRPr="006A377C">
        <w:rPr>
          <w:b/>
          <w:szCs w:val="24"/>
        </w:rPr>
        <w:t xml:space="preserve"> (уровень достоверности доказательств – 5)</w:t>
      </w:r>
    </w:p>
    <w:p w14:paraId="0FC6E533" w14:textId="77777777" w:rsidR="00F20CFD" w:rsidRPr="006A377C" w:rsidRDefault="00F20CFD" w:rsidP="00966898">
      <w:pPr>
        <w:ind w:left="709" w:hanging="1"/>
        <w:rPr>
          <w:b/>
          <w:i/>
          <w:szCs w:val="24"/>
        </w:rPr>
      </w:pPr>
      <w:r w:rsidRPr="006A377C">
        <w:rPr>
          <w:b/>
          <w:szCs w:val="24"/>
        </w:rPr>
        <w:t xml:space="preserve">Комментарии: </w:t>
      </w:r>
      <w:r w:rsidRPr="006A377C">
        <w:rPr>
          <w:i/>
          <w:szCs w:val="24"/>
        </w:rPr>
        <w:t>УЗИ брюшной полости и забрюшинного пространства (печень, селезенка, поджелудочная железа, желчный пузырь, лимфатические узлы, в том числе и периферические) проводится при подозрении на МДС и в процессе лечения для выявления гепатоспленомегалии, лимфаденопатии и патологии других жизненно важных органов. Для исключения наличия патологии щитовидной железы (которая может протекать с анемией и тромбоцитопенией) проводят УЗИ щитовидной железы, УЗИ молочных желез или маммографию – для исключения новообразования; ЭхоКГ для оценки состояния сердечно-сосудистой системы при подозрении на МДС и в процессе лечения.</w:t>
      </w:r>
    </w:p>
    <w:p w14:paraId="5C539909" w14:textId="77777777" w:rsidR="00F20CFD" w:rsidRPr="006A377C" w:rsidRDefault="00F20CFD" w:rsidP="005F2F2B">
      <w:pPr>
        <w:pStyle w:val="aff"/>
        <w:numPr>
          <w:ilvl w:val="0"/>
          <w:numId w:val="16"/>
        </w:numPr>
        <w:ind w:left="709" w:hanging="283"/>
        <w:rPr>
          <w:szCs w:val="24"/>
        </w:rPr>
      </w:pPr>
      <w:r w:rsidRPr="006A377C">
        <w:rPr>
          <w:szCs w:val="24"/>
        </w:rPr>
        <w:t xml:space="preserve">Всем пациентам с подозрением на МДС </w:t>
      </w:r>
      <w:r w:rsidRPr="006A377C">
        <w:rPr>
          <w:b/>
          <w:szCs w:val="24"/>
        </w:rPr>
        <w:t>рекомендуется</w:t>
      </w:r>
      <w:r w:rsidRPr="006A377C">
        <w:rPr>
          <w:szCs w:val="24"/>
        </w:rPr>
        <w:t xml:space="preserve"> проведение</w:t>
      </w:r>
      <w:r w:rsidRPr="006A377C">
        <w:rPr>
          <w:b/>
          <w:szCs w:val="24"/>
        </w:rPr>
        <w:t xml:space="preserve"> </w:t>
      </w:r>
      <w:r w:rsidRPr="006A377C">
        <w:rPr>
          <w:bCs/>
          <w:szCs w:val="24"/>
        </w:rPr>
        <w:t>компьютерной (</w:t>
      </w:r>
      <w:r w:rsidRPr="006A377C">
        <w:rPr>
          <w:szCs w:val="24"/>
        </w:rPr>
        <w:t>КТ) или магнитно-резонансной томографии (МРТ) головы для исключения патологии ЦНС</w:t>
      </w:r>
      <w:r w:rsidRPr="006A377C">
        <w:rPr>
          <w:rStyle w:val="af"/>
          <w:sz w:val="24"/>
          <w:szCs w:val="24"/>
        </w:rPr>
        <w:t xml:space="preserve"> (в частности новообразований ЦНС)</w:t>
      </w:r>
      <w:r w:rsidRPr="006A377C">
        <w:rPr>
          <w:szCs w:val="24"/>
        </w:rPr>
        <w:t xml:space="preserve">, которая может сопровождаться цитопеническим синдромом </w:t>
      </w:r>
      <w:r w:rsidRPr="006A377C">
        <w:rPr>
          <w:szCs w:val="24"/>
        </w:rPr>
        <w:fldChar w:fldCharType="begin" w:fldLock="1"/>
      </w:r>
      <w:r w:rsidR="00AE1E12">
        <w:rPr>
          <w:szCs w:val="24"/>
        </w:rPr>
        <w:instrText>ADDIN CSL_CITATION {"citationItems":[{"id":"ITEM-1","itemData":{"ISSN":"18244785","PMID":"22617235","abstract":"Imaging plays a crucial role in the management of patients with brain tumors. The technical improvement of computed tomography (CT) and magnetic resonance (MRI) with the development of, new imaging techniques strongly improved the detection and characterization of brain tumors. For the optimal therapeutic management of the oncologic patient not only the recognition of the lesion is needed, but also the exclusion of other diseases that can mimic brain tumors. The preoperative assessment of malignancy and of relationships of the tumor with surrounding eloquent structures are also necessary to allow the correct choice of therapy and to warn surgeons of possible risks of the surgical approach. This article is an overview of the current state of neuroimaging of the most frequent brain tumors including CT and MRI, perfusion weighted imaging (PWI), diffusion weighted imaging (DWI), diffusion tensor imaging (DTI), proton magnetic resonance spectroscopy (1H-MRS) and functional MRI based on blood oxygen level (fMRI BOLD). Indeed, in the last years, a transition took place from a purely anatomy-based radiology to one that incorporates functional, hemodynamic, metabolic, cellular, and cytoarchitectural alterations. Neuroimaging has evolved into a comprehensive diagnostic tool that allows the characterization of morphologic as well as biologic alterations to diagnose and grade brain tumors and to monitor and assess treatment response and patient prognosis.","author":[{"dropping-particle":"","family":"Bruzzone","given":"M. G.","non-dropping-particle":"","parse-names":false,"suffix":""},{"dropping-particle":"","family":"D'Incerti","given":"L.","non-dropping-particle":"","parse-names":false,"suffix":""},{"dropping-particle":"","family":"Farina","given":"L. L.","non-dropping-particle":"","parse-names":false,"suffix":""},{"dropping-particle":"","family":"Cuccarini","given":"V.","non-dropping-particle":"","parse-names":false,"suffix":""},{"dropping-particle":"","family":"Finocchiaro","given":"G.","non-dropping-particle":"","parse-names":false,"suffix":""}],"container-title":"Quarterly Journal of Nuclear Medicine and Molecular Imaging","id":"ITEM-1","issue":"2","issued":{"date-parts":[["2012","4"]]},"page":"112-137","title":"CT and MRI of brain tumors","type":"article","volume":"56"},"uris":["http://www.mendeley.com/documents/?uuid=d6cf1cd4-dd1a-3942-bb9e-6af49ae1166b"]}],"mendeley":{"formattedCitation":"[62]","plainTextFormattedCitation":"[62]","previouslyFormattedCitation":"[62]"},"properties":{"noteIndex":0},"schema":"https://github.com/citation-style-language/schema/raw/master/csl-citation.json"}</w:instrText>
      </w:r>
      <w:r w:rsidRPr="006A377C">
        <w:rPr>
          <w:szCs w:val="24"/>
        </w:rPr>
        <w:fldChar w:fldCharType="separate"/>
      </w:r>
      <w:r w:rsidR="00AE1E12" w:rsidRPr="00AE1E12">
        <w:rPr>
          <w:noProof/>
          <w:szCs w:val="24"/>
        </w:rPr>
        <w:t>[62]</w:t>
      </w:r>
      <w:r w:rsidRPr="006A377C">
        <w:rPr>
          <w:szCs w:val="24"/>
        </w:rPr>
        <w:fldChar w:fldCharType="end"/>
      </w:r>
      <w:r w:rsidRPr="006A377C">
        <w:rPr>
          <w:szCs w:val="24"/>
        </w:rPr>
        <w:t>.</w:t>
      </w:r>
    </w:p>
    <w:p w14:paraId="0E22E15D" w14:textId="77777777" w:rsidR="00F20CFD" w:rsidRPr="006A377C" w:rsidRDefault="00F20CFD" w:rsidP="00966898">
      <w:pPr>
        <w:ind w:left="709" w:hanging="1"/>
        <w:rPr>
          <w:b/>
          <w:szCs w:val="24"/>
        </w:rPr>
      </w:pPr>
      <w:r w:rsidRPr="00EE4656">
        <w:rPr>
          <w:b/>
          <w:szCs w:val="24"/>
        </w:rPr>
        <w:t>Уровень убедительности рекомендаций С (уровень достоверности доказательств – 5)</w:t>
      </w:r>
    </w:p>
    <w:p w14:paraId="6B2C6042" w14:textId="77777777" w:rsidR="00F20CFD" w:rsidRPr="006A377C" w:rsidRDefault="00F20CFD" w:rsidP="005F2F2B">
      <w:pPr>
        <w:pStyle w:val="aff"/>
        <w:numPr>
          <w:ilvl w:val="0"/>
          <w:numId w:val="16"/>
        </w:numPr>
        <w:ind w:left="709" w:hanging="283"/>
        <w:rPr>
          <w:szCs w:val="24"/>
        </w:rPr>
      </w:pPr>
      <w:r w:rsidRPr="006A377C">
        <w:rPr>
          <w:szCs w:val="24"/>
        </w:rPr>
        <w:t xml:space="preserve">Всем пациентам с подозрением на МДС и на всех последующих этапах лечения </w:t>
      </w:r>
      <w:r w:rsidRPr="006A377C">
        <w:rPr>
          <w:b/>
          <w:szCs w:val="24"/>
        </w:rPr>
        <w:t>рекомендуется</w:t>
      </w:r>
      <w:r w:rsidRPr="006A377C">
        <w:rPr>
          <w:szCs w:val="24"/>
        </w:rPr>
        <w:t xml:space="preserve"> выполнить: рентгенографию грудной клетки в 2 проекциях или КТ грудной клетки (для исключения поражения легочной ткани и органов средостения как воспалительного, так и невоспалительного характера) </w:t>
      </w:r>
      <w:r w:rsidRPr="006A377C">
        <w:rPr>
          <w:szCs w:val="24"/>
        </w:rPr>
        <w:fldChar w:fldCharType="begin" w:fldLock="1"/>
      </w:r>
      <w:r w:rsidR="00255EFA">
        <w:rPr>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mendeley":{"formattedCitation":"[1]","plainTextFormattedCitation":"[1]","previouslyFormattedCitation":"[1]"},"properties":{"noteIndex":0},"schema":"https://github.com/citation-style-language/schema/raw/master/csl-citation.json"}</w:instrText>
      </w:r>
      <w:r w:rsidRPr="006A377C">
        <w:rPr>
          <w:szCs w:val="24"/>
        </w:rPr>
        <w:fldChar w:fldCharType="separate"/>
      </w:r>
      <w:r w:rsidR="007626C2" w:rsidRPr="007626C2">
        <w:rPr>
          <w:noProof/>
          <w:szCs w:val="24"/>
        </w:rPr>
        <w:t>[1]</w:t>
      </w:r>
      <w:r w:rsidRPr="006A377C">
        <w:rPr>
          <w:szCs w:val="24"/>
        </w:rPr>
        <w:fldChar w:fldCharType="end"/>
      </w:r>
      <w:r w:rsidRPr="006A377C">
        <w:rPr>
          <w:szCs w:val="24"/>
        </w:rPr>
        <w:t>.</w:t>
      </w:r>
    </w:p>
    <w:p w14:paraId="2075BC04" w14:textId="77777777" w:rsidR="00F20CFD" w:rsidRPr="006A377C" w:rsidRDefault="00F20CFD" w:rsidP="00966898">
      <w:pPr>
        <w:ind w:left="709" w:hanging="1"/>
        <w:rPr>
          <w:b/>
          <w:szCs w:val="24"/>
        </w:rPr>
      </w:pPr>
      <w:r w:rsidRPr="00EE4656">
        <w:rPr>
          <w:b/>
          <w:szCs w:val="24"/>
        </w:rPr>
        <w:t>Уровень убедительности рекомендаций С (уровень достоверности доказательств – 5)</w:t>
      </w:r>
    </w:p>
    <w:p w14:paraId="5FBA98A1" w14:textId="77777777" w:rsidR="00F20CFD" w:rsidRPr="006A377C" w:rsidRDefault="00F20CFD" w:rsidP="005F2F2B">
      <w:pPr>
        <w:pStyle w:val="aff"/>
        <w:numPr>
          <w:ilvl w:val="0"/>
          <w:numId w:val="16"/>
        </w:numPr>
        <w:ind w:left="709" w:hanging="283"/>
        <w:rPr>
          <w:szCs w:val="24"/>
        </w:rPr>
      </w:pPr>
      <w:r w:rsidRPr="006A377C">
        <w:rPr>
          <w:szCs w:val="24"/>
        </w:rPr>
        <w:t xml:space="preserve">Всем пациентам с подозрением на МДС </w:t>
      </w:r>
      <w:r w:rsidRPr="006A377C">
        <w:rPr>
          <w:b/>
          <w:szCs w:val="24"/>
        </w:rPr>
        <w:t>рекомендуется</w:t>
      </w:r>
      <w:r w:rsidRPr="006A377C">
        <w:rPr>
          <w:szCs w:val="24"/>
        </w:rPr>
        <w:t xml:space="preserve"> выполнить эзофагогастродуоденоскопию (ЭГДС) с исследованием на наличие </w:t>
      </w:r>
      <w:r w:rsidRPr="006A377C">
        <w:rPr>
          <w:szCs w:val="24"/>
          <w:lang w:val="en-US"/>
        </w:rPr>
        <w:t>H</w:t>
      </w:r>
      <w:r w:rsidRPr="006A377C">
        <w:rPr>
          <w:szCs w:val="24"/>
        </w:rPr>
        <w:t xml:space="preserve">. </w:t>
      </w:r>
      <w:r w:rsidRPr="006A377C">
        <w:rPr>
          <w:szCs w:val="24"/>
          <w:lang w:val="en-US"/>
        </w:rPr>
        <w:t>pylori</w:t>
      </w:r>
      <w:r w:rsidRPr="006A377C">
        <w:rPr>
          <w:szCs w:val="24"/>
        </w:rPr>
        <w:t xml:space="preserve"> для </w:t>
      </w:r>
      <w:r w:rsidRPr="006A377C">
        <w:rPr>
          <w:szCs w:val="24"/>
        </w:rPr>
        <w:lastRenderedPageBreak/>
        <w:t xml:space="preserve">исключения хронических заболеваний или новообразований пищевода, желудка, 12-перстной кишки </w:t>
      </w:r>
      <w:r w:rsidRPr="006A377C">
        <w:rPr>
          <w:szCs w:val="24"/>
        </w:rPr>
        <w:fldChar w:fldCharType="begin" w:fldLock="1"/>
      </w:r>
      <w:r w:rsidR="00255EFA">
        <w:rPr>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mendeley":{"formattedCitation":"[1]","plainTextFormattedCitation":"[1]","previouslyFormattedCitation":"[1]"},"properties":{"noteIndex":0},"schema":"https://github.com/citation-style-language/schema/raw/master/csl-citation.json"}</w:instrText>
      </w:r>
      <w:r w:rsidRPr="006A377C">
        <w:rPr>
          <w:szCs w:val="24"/>
        </w:rPr>
        <w:fldChar w:fldCharType="separate"/>
      </w:r>
      <w:r w:rsidR="007626C2" w:rsidRPr="007626C2">
        <w:rPr>
          <w:noProof/>
          <w:szCs w:val="24"/>
        </w:rPr>
        <w:t>[1]</w:t>
      </w:r>
      <w:r w:rsidRPr="006A377C">
        <w:rPr>
          <w:szCs w:val="24"/>
        </w:rPr>
        <w:fldChar w:fldCharType="end"/>
      </w:r>
      <w:r w:rsidRPr="006A377C">
        <w:rPr>
          <w:szCs w:val="24"/>
        </w:rPr>
        <w:t>.</w:t>
      </w:r>
    </w:p>
    <w:p w14:paraId="147E34A7" w14:textId="77777777" w:rsidR="00F20CFD" w:rsidRPr="006A377C" w:rsidRDefault="00F20CFD" w:rsidP="00966898">
      <w:pPr>
        <w:ind w:left="709" w:hanging="1"/>
        <w:rPr>
          <w:b/>
          <w:szCs w:val="24"/>
        </w:rPr>
      </w:pPr>
      <w:r w:rsidRPr="006A377C">
        <w:rPr>
          <w:b/>
          <w:szCs w:val="24"/>
        </w:rPr>
        <w:t>Уровень убедительности рекомендаций С (уровень достоверности доказательств – 5)</w:t>
      </w:r>
    </w:p>
    <w:p w14:paraId="48B6AE2E" w14:textId="77777777" w:rsidR="00F20CFD" w:rsidRPr="006A377C" w:rsidRDefault="00F20CFD" w:rsidP="005F2F2B">
      <w:pPr>
        <w:pStyle w:val="aff"/>
        <w:numPr>
          <w:ilvl w:val="0"/>
          <w:numId w:val="16"/>
        </w:numPr>
        <w:ind w:left="709" w:hanging="283"/>
        <w:rPr>
          <w:szCs w:val="24"/>
        </w:rPr>
      </w:pPr>
      <w:r w:rsidRPr="006A377C">
        <w:rPr>
          <w:szCs w:val="24"/>
        </w:rPr>
        <w:t>Всем пациентам с подозрением на МДС низкого риска (см.</w:t>
      </w:r>
      <w:r w:rsidR="00B63F37">
        <w:rPr>
          <w:szCs w:val="24"/>
        </w:rPr>
        <w:t xml:space="preserve"> раздел 7.1 данных рекомендаций</w:t>
      </w:r>
      <w:r w:rsidRPr="006A377C">
        <w:rPr>
          <w:szCs w:val="24"/>
        </w:rPr>
        <w:t xml:space="preserve">) </w:t>
      </w:r>
      <w:r w:rsidRPr="006A377C">
        <w:rPr>
          <w:b/>
          <w:szCs w:val="24"/>
        </w:rPr>
        <w:t>рекомендуется</w:t>
      </w:r>
      <w:r w:rsidRPr="006A377C">
        <w:rPr>
          <w:szCs w:val="24"/>
        </w:rPr>
        <w:t xml:space="preserve"> выполнение колоноскопии для исключения хронических заболеваний и новообразований ЖКТ, которые могут сопровождаться цитопеническим синдромом </w:t>
      </w:r>
      <w:r w:rsidRPr="006A377C">
        <w:rPr>
          <w:szCs w:val="24"/>
        </w:rPr>
        <w:fldChar w:fldCharType="begin" w:fldLock="1"/>
      </w:r>
      <w:r w:rsidR="00255EFA">
        <w:rPr>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mendeley":{"formattedCitation":"[1]","plainTextFormattedCitation":"[1]","previouslyFormattedCitation":"[1]"},"properties":{"noteIndex":0},"schema":"https://github.com/citation-style-language/schema/raw/master/csl-citation.json"}</w:instrText>
      </w:r>
      <w:r w:rsidRPr="006A377C">
        <w:rPr>
          <w:szCs w:val="24"/>
        </w:rPr>
        <w:fldChar w:fldCharType="separate"/>
      </w:r>
      <w:r w:rsidR="007626C2" w:rsidRPr="007626C2">
        <w:rPr>
          <w:noProof/>
          <w:szCs w:val="24"/>
        </w:rPr>
        <w:t>[1]</w:t>
      </w:r>
      <w:r w:rsidRPr="006A377C">
        <w:rPr>
          <w:szCs w:val="24"/>
        </w:rPr>
        <w:fldChar w:fldCharType="end"/>
      </w:r>
      <w:r w:rsidRPr="006A377C">
        <w:rPr>
          <w:szCs w:val="24"/>
        </w:rPr>
        <w:t>.</w:t>
      </w:r>
    </w:p>
    <w:p w14:paraId="2344E771" w14:textId="77777777" w:rsidR="00F20CFD" w:rsidRPr="006A377C" w:rsidRDefault="00F20CFD" w:rsidP="00966898">
      <w:pPr>
        <w:ind w:left="709" w:hanging="1"/>
        <w:rPr>
          <w:b/>
          <w:szCs w:val="24"/>
        </w:rPr>
      </w:pPr>
      <w:r w:rsidRPr="006A377C">
        <w:rPr>
          <w:b/>
          <w:szCs w:val="24"/>
        </w:rPr>
        <w:t>Уровень убедительности рекомендаций С (уровень достоверности доказательств – 5)</w:t>
      </w:r>
    </w:p>
    <w:p w14:paraId="256F8D87" w14:textId="77777777" w:rsidR="00F20CFD" w:rsidRPr="006A377C" w:rsidRDefault="00F20CFD" w:rsidP="005F2F2B">
      <w:pPr>
        <w:pStyle w:val="aff"/>
        <w:numPr>
          <w:ilvl w:val="0"/>
          <w:numId w:val="16"/>
        </w:numPr>
        <w:ind w:left="709" w:hanging="283"/>
        <w:rPr>
          <w:szCs w:val="24"/>
        </w:rPr>
      </w:pPr>
      <w:r w:rsidRPr="006A377C">
        <w:rPr>
          <w:szCs w:val="24"/>
        </w:rPr>
        <w:t xml:space="preserve">Всем пациентам с подозрением на МДС и в процессе терапии </w:t>
      </w:r>
      <w:r w:rsidRPr="006A377C">
        <w:rPr>
          <w:b/>
          <w:szCs w:val="24"/>
        </w:rPr>
        <w:t xml:space="preserve">рекомендуется </w:t>
      </w:r>
      <w:r w:rsidRPr="006A377C">
        <w:rPr>
          <w:szCs w:val="24"/>
        </w:rPr>
        <w:t xml:space="preserve">проведение ЭКГ для оценки состояния сердечно-сосудистой системы </w:t>
      </w:r>
      <w:r w:rsidRPr="006A377C">
        <w:rPr>
          <w:szCs w:val="24"/>
        </w:rPr>
        <w:fldChar w:fldCharType="begin" w:fldLock="1"/>
      </w:r>
      <w:r w:rsidR="00255EFA">
        <w:rPr>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mendeley":{"formattedCitation":"[1]","plainTextFormattedCitation":"[1]","previouslyFormattedCitation":"[1]"},"properties":{"noteIndex":0},"schema":"https://github.com/citation-style-language/schema/raw/master/csl-citation.json"}</w:instrText>
      </w:r>
      <w:r w:rsidRPr="006A377C">
        <w:rPr>
          <w:szCs w:val="24"/>
        </w:rPr>
        <w:fldChar w:fldCharType="separate"/>
      </w:r>
      <w:r w:rsidR="007626C2" w:rsidRPr="007626C2">
        <w:rPr>
          <w:noProof/>
          <w:szCs w:val="24"/>
        </w:rPr>
        <w:t>[1]</w:t>
      </w:r>
      <w:r w:rsidRPr="006A377C">
        <w:rPr>
          <w:szCs w:val="24"/>
        </w:rPr>
        <w:fldChar w:fldCharType="end"/>
      </w:r>
      <w:r w:rsidRPr="006A377C">
        <w:rPr>
          <w:szCs w:val="24"/>
        </w:rPr>
        <w:t>.</w:t>
      </w:r>
    </w:p>
    <w:p w14:paraId="439545B7" w14:textId="77777777" w:rsidR="00F20CFD" w:rsidRPr="006A377C" w:rsidRDefault="00F20CFD" w:rsidP="00966898">
      <w:pPr>
        <w:ind w:left="709" w:hanging="1"/>
        <w:rPr>
          <w:b/>
          <w:szCs w:val="24"/>
        </w:rPr>
      </w:pPr>
      <w:r w:rsidRPr="006A377C">
        <w:rPr>
          <w:b/>
          <w:szCs w:val="24"/>
        </w:rPr>
        <w:t>Уровень убедительности рекомендаций С (уровень достоверности доказательств – 5)</w:t>
      </w:r>
    </w:p>
    <w:p w14:paraId="50A056DF" w14:textId="77777777" w:rsidR="00F20CFD" w:rsidRPr="00B4028D" w:rsidRDefault="00F20CFD" w:rsidP="0010536B">
      <w:pPr>
        <w:pStyle w:val="2"/>
        <w:ind w:left="709" w:firstLine="0"/>
      </w:pPr>
      <w:bookmarkStart w:id="15" w:name="_Toc65104090"/>
      <w:r w:rsidRPr="00B4028D">
        <w:t>2.</w:t>
      </w:r>
      <w:r w:rsidRPr="00C3481C">
        <w:rPr>
          <w:lang w:val="en-US"/>
        </w:rPr>
        <w:t>5.</w:t>
      </w:r>
      <w:r w:rsidRPr="00C3481C">
        <w:t xml:space="preserve"> </w:t>
      </w:r>
      <w:r w:rsidR="00B4028D" w:rsidRPr="00D22CCB">
        <w:rPr>
          <w:rFonts w:ascii="Times New Roman CYR" w:hAnsi="Times New Roman CYR" w:cs="Times New Roman CYR"/>
          <w:color w:val="000000"/>
          <w:lang w:eastAsia="ru-RU"/>
        </w:rPr>
        <w:t>Иные диагностические исследования</w:t>
      </w:r>
      <w:bookmarkEnd w:id="15"/>
      <w:r w:rsidR="00B4028D" w:rsidRPr="00D22CCB">
        <w:rPr>
          <w:rFonts w:ascii="Times New Roman CYR" w:hAnsi="Times New Roman CYR" w:cs="Times New Roman CYR"/>
          <w:color w:val="000000"/>
          <w:lang w:eastAsia="ru-RU"/>
        </w:rPr>
        <w:t xml:space="preserve"> </w:t>
      </w:r>
    </w:p>
    <w:p w14:paraId="3231773D" w14:textId="77777777" w:rsidR="00F20CFD" w:rsidRPr="006A377C" w:rsidRDefault="00F20CFD" w:rsidP="005F2F2B">
      <w:pPr>
        <w:pStyle w:val="aff"/>
        <w:numPr>
          <w:ilvl w:val="0"/>
          <w:numId w:val="16"/>
        </w:numPr>
        <w:ind w:left="709" w:hanging="425"/>
        <w:rPr>
          <w:szCs w:val="24"/>
        </w:rPr>
      </w:pPr>
      <w:r w:rsidRPr="006A377C">
        <w:rPr>
          <w:szCs w:val="24"/>
        </w:rPr>
        <w:t xml:space="preserve">Всем пациентам с подозрением на МДС, в процессе наблюдения и лечения пациентов с МДС при наличии показаний </w:t>
      </w:r>
      <w:r w:rsidRPr="006A377C">
        <w:rPr>
          <w:b/>
          <w:szCs w:val="24"/>
        </w:rPr>
        <w:t>рекомендуются</w:t>
      </w:r>
      <w:r w:rsidRPr="006A377C">
        <w:rPr>
          <w:szCs w:val="24"/>
        </w:rPr>
        <w:t xml:space="preserve"> консультации врачей-специалистов (офтальмолога,</w:t>
      </w:r>
      <w:r w:rsidR="00EE4656" w:rsidRPr="00EE4656">
        <w:rPr>
          <w:szCs w:val="24"/>
        </w:rPr>
        <w:t xml:space="preserve"> </w:t>
      </w:r>
      <w:r w:rsidR="00EE4656">
        <w:rPr>
          <w:szCs w:val="24"/>
        </w:rPr>
        <w:t>невролога,</w:t>
      </w:r>
      <w:r w:rsidRPr="006A377C">
        <w:rPr>
          <w:szCs w:val="24"/>
        </w:rPr>
        <w:t xml:space="preserve"> кардиолога, гинеколога, уролога, гастроэнтеролога,</w:t>
      </w:r>
      <w:r w:rsidR="00EE4656">
        <w:rPr>
          <w:szCs w:val="24"/>
        </w:rPr>
        <w:t xml:space="preserve"> в том числе специализирующегося на заболеваниях печени (гепатолога),</w:t>
      </w:r>
      <w:r w:rsidR="00AE1E12">
        <w:rPr>
          <w:szCs w:val="24"/>
        </w:rPr>
        <w:t xml:space="preserve"> </w:t>
      </w:r>
      <w:r w:rsidRPr="006A377C">
        <w:rPr>
          <w:szCs w:val="24"/>
        </w:rPr>
        <w:t>ревматолога, эндокринолога, онколога,</w:t>
      </w:r>
      <w:r w:rsidR="00EE4656">
        <w:rPr>
          <w:szCs w:val="24"/>
        </w:rPr>
        <w:t xml:space="preserve"> в том числе специализирующегося на раке молочной железы (маммолога),</w:t>
      </w:r>
      <w:r w:rsidRPr="006A377C">
        <w:rPr>
          <w:szCs w:val="24"/>
        </w:rPr>
        <w:t xml:space="preserve"> оториноларинголога) для диагностики сопутствующей патологии </w:t>
      </w:r>
      <w:r w:rsidRPr="006A377C">
        <w:rPr>
          <w:szCs w:val="24"/>
        </w:rPr>
        <w:fldChar w:fldCharType="begin" w:fldLock="1"/>
      </w:r>
      <w:r w:rsidR="00AE1E12">
        <w:rPr>
          <w:szCs w:val="24"/>
        </w:rPr>
        <w:instrText>ADDIN CSL_CITATION {"citationItems":[{"id":"ITEM-1","itemData":{"author":[{"dropping-particle":"","family":"Ширин","given":"А.Д.","non-dropping-particle":"","parse-names":false,"suffix":""},{"dropping-particle":"","family":"Френкель","given":"М.А.","non-dropping-particle":"","parse-names":false,"suffix":""}],"container-title":"Клиническая онкогематология: руководство для врачей. Под ред. Волковой М.А.. 2-е изд., перераб. и доп.","id":"ITEM-1","issued":{"date-parts":[["2007"]]},"page":"502-551","title":"Миелодиспластические синдромы","type":"chapter"},"uris":["http://www.mendeley.com/documents/?uuid=9f2eca44-a3a8-4eb4-90b5-a52e4e769482"]}],"mendeley":{"formattedCitation":"[2]","plainTextFormattedCitation":"[2]","previouslyFormattedCitation":"[2]"},"properties":{"noteIndex":0},"schema":"https://github.com/citation-style-language/schema/raw/master/csl-citation.json"}</w:instrText>
      </w:r>
      <w:r w:rsidRPr="006A377C">
        <w:rPr>
          <w:szCs w:val="24"/>
        </w:rPr>
        <w:fldChar w:fldCharType="separate"/>
      </w:r>
      <w:r w:rsidR="00AE1E12" w:rsidRPr="00AE1E12">
        <w:rPr>
          <w:noProof/>
          <w:szCs w:val="24"/>
        </w:rPr>
        <w:t>[2]</w:t>
      </w:r>
      <w:r w:rsidRPr="006A377C">
        <w:rPr>
          <w:szCs w:val="24"/>
        </w:rPr>
        <w:fldChar w:fldCharType="end"/>
      </w:r>
      <w:r w:rsidRPr="006A377C">
        <w:rPr>
          <w:szCs w:val="24"/>
        </w:rPr>
        <w:t>.</w:t>
      </w:r>
    </w:p>
    <w:p w14:paraId="2EB82AEA" w14:textId="77777777" w:rsidR="00F20CFD" w:rsidRPr="00F636D0" w:rsidRDefault="00F20CFD" w:rsidP="00C413F9">
      <w:pPr>
        <w:ind w:left="709"/>
        <w:rPr>
          <w:b/>
          <w:szCs w:val="24"/>
        </w:rPr>
      </w:pPr>
      <w:r w:rsidRPr="00EE4656">
        <w:rPr>
          <w:b/>
          <w:szCs w:val="24"/>
        </w:rPr>
        <w:t>Уровень убедительности рекомендаций С (уровень достоверности доказательств – 5).</w:t>
      </w:r>
      <w:r w:rsidRPr="00C413F9">
        <w:rPr>
          <w:b/>
          <w:szCs w:val="24"/>
        </w:rPr>
        <w:t xml:space="preserve"> </w:t>
      </w:r>
    </w:p>
    <w:p w14:paraId="6A531EFC" w14:textId="77777777" w:rsidR="00F20CFD" w:rsidRPr="00C413F9" w:rsidRDefault="00F20CFD" w:rsidP="00C413F9">
      <w:pPr>
        <w:pStyle w:val="2"/>
        <w:jc w:val="center"/>
        <w:rPr>
          <w:sz w:val="28"/>
          <w:szCs w:val="28"/>
          <w:u w:val="none"/>
        </w:rPr>
      </w:pPr>
      <w:bookmarkStart w:id="16" w:name="_Toc65104091"/>
      <w:r w:rsidRPr="00C413F9">
        <w:rPr>
          <w:sz w:val="28"/>
          <w:szCs w:val="28"/>
          <w:u w:val="none"/>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bookmarkEnd w:id="16"/>
    </w:p>
    <w:p w14:paraId="11D88A6F" w14:textId="77777777" w:rsidR="00F20CFD" w:rsidRPr="00C413F9" w:rsidRDefault="00F20CFD" w:rsidP="00EA7BF5">
      <w:pPr>
        <w:ind w:firstLine="709"/>
        <w:rPr>
          <w:i/>
          <w:szCs w:val="24"/>
        </w:rPr>
      </w:pPr>
    </w:p>
    <w:p w14:paraId="3B43727B" w14:textId="77777777" w:rsidR="00F20CFD" w:rsidRPr="006A377C" w:rsidRDefault="00F20CFD" w:rsidP="00EA7BF5">
      <w:pPr>
        <w:ind w:firstLine="709"/>
        <w:rPr>
          <w:i/>
          <w:szCs w:val="24"/>
        </w:rPr>
      </w:pPr>
      <w:r w:rsidRPr="006A377C">
        <w:rPr>
          <w:i/>
          <w:szCs w:val="24"/>
        </w:rPr>
        <w:t xml:space="preserve">Миелодиспластические синдромы являются чрезвычайно гетерогенной группой заболеваний, начиная от форм с почти нормальной продолжительностью жизни и заканчивая вариантами, сходными по течению с ОМЛ. Риск-адаптированная стратегия лечения является обязательным условием при такой разнородности. Прогностические </w:t>
      </w:r>
      <w:r w:rsidRPr="006A377C">
        <w:rPr>
          <w:i/>
          <w:szCs w:val="24"/>
        </w:rPr>
        <w:lastRenderedPageBreak/>
        <w:t>факторы можно разделить на те, которые касаются характеристик самого пациента, и те, которые определяются особенностями конкретного варианта МДС.</w:t>
      </w:r>
    </w:p>
    <w:p w14:paraId="258BAE54" w14:textId="77777777" w:rsidR="002D7F54" w:rsidRPr="006A377C" w:rsidRDefault="00F20CFD" w:rsidP="002D7F54">
      <w:pPr>
        <w:ind w:firstLine="709"/>
        <w:rPr>
          <w:i/>
          <w:szCs w:val="24"/>
        </w:rPr>
      </w:pPr>
      <w:r w:rsidRPr="006A377C">
        <w:rPr>
          <w:i/>
          <w:szCs w:val="24"/>
        </w:rPr>
        <w:t>К сожалению, необходимо признать, что в настоящее время нет универсальной прогностической шкалы, которая включала бы все значимые для МДС параметры (морфологический вариант, ЛДГ, β2-микроглобулин, ферритин и т. д.), и в этой связи при принятии решения о выборе тактики терапии можно оценивать прогноз сразу по нескольким шкалам (IPSS, IPSS-R, WPSS) (см.</w:t>
      </w:r>
      <w:r w:rsidR="00B63F37">
        <w:rPr>
          <w:i/>
          <w:szCs w:val="24"/>
        </w:rPr>
        <w:t xml:space="preserve"> раздел 7.1 данных рекомендаций</w:t>
      </w:r>
      <w:r w:rsidRPr="006A377C">
        <w:rPr>
          <w:i/>
          <w:szCs w:val="24"/>
        </w:rPr>
        <w:t xml:space="preserve">). Научные доказательства эффективности и безопасности доступных терапевтических опций получены в клинических исследованиях (КИ), в которых стратификация пациентов проводилась на основе системы IPSS, а в последние годы и на основе </w:t>
      </w:r>
      <w:r w:rsidRPr="006A377C">
        <w:rPr>
          <w:i/>
          <w:szCs w:val="24"/>
          <w:lang w:val="en-US"/>
        </w:rPr>
        <w:t>IPSS</w:t>
      </w:r>
      <w:r w:rsidRPr="006A377C">
        <w:rPr>
          <w:i/>
          <w:szCs w:val="24"/>
        </w:rPr>
        <w:t>-</w:t>
      </w:r>
      <w:r w:rsidRPr="006A377C">
        <w:rPr>
          <w:i/>
          <w:szCs w:val="24"/>
          <w:lang w:val="en-US"/>
        </w:rPr>
        <w:t>R</w:t>
      </w:r>
      <w:r w:rsidRPr="006A377C">
        <w:rPr>
          <w:i/>
          <w:szCs w:val="24"/>
        </w:rPr>
        <w:t>. Как следствие, все фактические рекомендации по лечению основываются на разделении пациентов на группы именно согласно IPSS</w:t>
      </w:r>
      <w:r w:rsidR="0010109D">
        <w:rPr>
          <w:i/>
          <w:szCs w:val="24"/>
        </w:rPr>
        <w:t xml:space="preserve"> и </w:t>
      </w:r>
      <w:r w:rsidR="0010109D">
        <w:rPr>
          <w:i/>
          <w:szCs w:val="24"/>
          <w:lang w:val="en-US"/>
        </w:rPr>
        <w:t>IPSS</w:t>
      </w:r>
      <w:r w:rsidR="0010109D" w:rsidRPr="002713DD">
        <w:rPr>
          <w:i/>
          <w:szCs w:val="24"/>
        </w:rPr>
        <w:t>-</w:t>
      </w:r>
      <w:r w:rsidR="0010109D">
        <w:rPr>
          <w:i/>
          <w:szCs w:val="24"/>
          <w:lang w:val="en-US"/>
        </w:rPr>
        <w:t>R</w:t>
      </w:r>
      <w:r w:rsidRPr="006A377C">
        <w:rPr>
          <w:i/>
          <w:szCs w:val="24"/>
        </w:rPr>
        <w:t xml:space="preserve">, что позволяет российскому экспертному сообществу рекомендовать </w:t>
      </w:r>
      <w:r w:rsidR="0010109D">
        <w:rPr>
          <w:i/>
          <w:szCs w:val="24"/>
        </w:rPr>
        <w:t>их</w:t>
      </w:r>
      <w:r w:rsidR="0010109D" w:rsidRPr="006A377C">
        <w:rPr>
          <w:i/>
          <w:szCs w:val="24"/>
        </w:rPr>
        <w:t xml:space="preserve"> </w:t>
      </w:r>
      <w:r w:rsidRPr="006A377C">
        <w:rPr>
          <w:i/>
          <w:szCs w:val="24"/>
        </w:rPr>
        <w:t>в качестве базового инструмента при формулировании диагноза и выборе терапевтического подхода. Также следует еще раз подчеркнуть, что для формирования более четкого представления о течении заболевания и выбора оптимального терапевтического воздействия настоятельно рекомендуется выполнять повторное обследование пациентов, а не основываться на единичных результатах.</w:t>
      </w:r>
      <w:r w:rsidR="002D7F54" w:rsidRPr="002D7F54">
        <w:rPr>
          <w:i/>
          <w:szCs w:val="24"/>
        </w:rPr>
        <w:t xml:space="preserve"> </w:t>
      </w:r>
      <w:r w:rsidR="002D7F54" w:rsidRPr="006A377C">
        <w:rPr>
          <w:i/>
          <w:szCs w:val="24"/>
        </w:rPr>
        <w:t>Шкалы риска представлены в</w:t>
      </w:r>
      <w:r w:rsidR="00B63F37">
        <w:rPr>
          <w:i/>
          <w:szCs w:val="24"/>
        </w:rPr>
        <w:t xml:space="preserve"> разделе 7.1 данных рекомендаций</w:t>
      </w:r>
      <w:r w:rsidR="002D7F54" w:rsidRPr="00F5053F">
        <w:rPr>
          <w:i/>
          <w:szCs w:val="24"/>
        </w:rPr>
        <w:t xml:space="preserve"> </w:t>
      </w:r>
      <w:r w:rsidR="002D7F54" w:rsidRPr="006A377C">
        <w:rPr>
          <w:i/>
          <w:szCs w:val="24"/>
        </w:rPr>
        <w:fldChar w:fldCharType="begin" w:fldLock="1"/>
      </w:r>
      <w:r w:rsidR="00AE1E12">
        <w:rPr>
          <w:i/>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id":"ITEM-2","itemData":{"author":[{"dropping-particle":"","family":"Ширин","given":"А.Д.","non-dropping-particle":"","parse-names":false,"suffix":""},{"dropping-particle":"","family":"Френкель","given":"М.А.","non-dropping-particle":"","parse-names":false,"suffix":""}],"container-title":"Клиническая онкогематология: руководство для врачей. Под ред. Волковой М.А.. 2-е изд., перераб. и доп.","id":"ITEM-2","issued":{"date-parts":[["2007"]]},"page":"502-551","title":"Миелодиспластические синдромы","type":"chapter"},"uris":["http://www.mendeley.com/documents/?uuid=9f2eca44-a3a8-4eb4-90b5-a52e4e769482"]},{"id":"ITEM-3","itemData":{"ISSN":"0006-4971","PMID":"9058730","abstract":"Despite multiple disparate prognostic risk analysis systems for evaluating clinical outcome for patients with myelodysplastic syndrome (MDS), imprecision persists with such analyses. To attempt to improve on these systems, an International MDS Risk Analysis Workshop combined cytogenetic, morphological, and clinical data from seven large previously reported risk-based studies that had generated prognostic systems. A global analysis was performed on these patients, and critical prognostic variables were re-evaluated to generate a consensus prognostic system, particularly using a more refined bone marrow (BM) cytogenetic classification. Univariate analysis indicated that the major variables having an impact on disease outcome for evolution to acute myeloid leukemia were cytogenetic abnormalities, percentage of BM myeloblasts, and number of cytopenias; for survival, in addition to the above, variables also included age and gender. Cytogenetic subgroups of outcome were as follows: \"good\" outcomes were normal, -Y alone, del(5q) alone, del(20q) alone; \"poor\" outcomes were complex (ie, &gt; or = 3 abnormalities) or chromosome 7 anomalies; and \"intermediate\" outcomes were other abnormalities. Multivariate analysis combined these cytogenetic subgroups with percentage of BM blasts and number of cytopenias to generate a prognostic model. Weighting these variables by their statistical power separated patients into distinctive subgroups of risk for 25% of patients to undergo evolution to acute myeloid leukemia, with: low (31% of patients), 9.4 years; intermediate-1 (INT-1; 39%), 3.3 years; INT-2 (22%), 1.1 years; and high (8%), 0.2 year. These features also separated patients into similar distinctive risk groups for median survival: low, 5.7 years; INT-1, 3.5 years; INT-2, 1.2 years; and high, 0.4 year. Stratification for age further improved analysis of survival. Compared with prior risk-based classifications, this International Prognostic Scoring System provides an improved method for evaluating prognosis in MDS. This classification system should prove useful for more precise design and analysis of therapeutic trials in this disease.","author":[{"dropping-particle":"","family":"Greenberg","given":"P","non-dropping-particle":"","parse-names":false,"suffix":""},{"dropping-particle":"","family":"Cox","given":"C","non-dropping-particle":"","parse-names":false,"suffix":""},{"dropping-particle":"","family":"LeBeau","given":"M M","non-dropping-particle":"","parse-names":false,"suffix":""},{"dropping-particle":"","family":"Fenaux","given":"P","non-dropping-particle":"","parse-names":false,"suffix":""},{"dropping-particle":"","family":"Morel","given":"P","non-dropping-particle":"","parse-names":false,"suffix":""},{"dropping-particle":"","family":"Sanz","given":"G","non-dropping-particle":"","parse-names":false,"suffix":""},{"dropping-particle":"","family":"Sanz","given":"M","non-dropping-particle":"","parse-names":false,"suffix":""},{"dropping-particle":"","family":"Vallespi","given":"T","non-dropping-particle":"","parse-names":false,"suffix":""},{"dropping-particle":"","family":"Hamblin","given":"T","non-dropping-particle":"","parse-names":false,"suffix":""},{"dropping-particle":"","family":"Oscier","given":"D","non-dropping-particle":"","parse-names":false,"suffix":""},{"dropping-particle":"","family":"Ohyashiki","given":"K","non-dropping-particle":"","parse-names":false,"suffix":""},{"dropping-particle":"","family":"Toyama","given":"K","non-dropping-particle":"","parse-names":false,"suffix":""},{"dropping-particle":"","family":"Aul","given":"C","non-dropping-particle":"","parse-names":false,"suffix":""},{"dropping-particle":"","family":"Mufti","given":"G","non-dropping-particle":"","parse-names":false,"suffix":""},{"dropping-particle":"","family":"Bennett","given":"J","non-dropping-particle":"","parse-names":false,"suffix":""}],"container-title":"Blood","id":"ITEM-3","issue":"6","issued":{"date-parts":[["1997","3","15"]]},"page":"2079-88","title":"International scoring system for evaluating prognosis in myelodysplastic syndromes.","type":"article-journal","volume":"89"},"uris":["http://www.mendeley.com/documents/?uuid=4f36222e-90cc-3b82-bc74-6e2ea459f4bb"]},{"id":"ITEM-4","itemData":{"DOI":"10.1182/blood-2012-03-420489","ISSN":"00064971","abstract":"The International Prognostic Scoring Sytem (IPSS) is an important standard for ssessing prognosis of primary untreated adult patients with myelodysplastic syndromes (MDS). To refine the IPSS, MDS patient databases from international institutions were coalesced to assemble a much larger combined database (Revised-IPSS [IPSS-R], n = 7012, IPSS, n = 816) for analysis. Multiple statistically weighted clinical features were used to generate a prognostic categorization model. Bone marrow cytogenetics, marrow blast percentage, and cytopenias remained the basis of the new system. Novel components of the current analysis included: 5 rather than 3 cytogenetic prognostic subgroups with specific and new classifications of a number of less common cytogenetic subsets, splitting the low marrow blast percentage value, and depth of cytopenias. This model defined 5 rather than the 4 major prognostic categories that are present in the IPSS. Patient age, performance status, serum ferritin, and lactate dehydrogenase were significant additive features for survival but not for acute myeloid leukemia transformation. This system comprehensively integrated the numerous known clinical features into a method analyzing MDS patient prognosis more precisely than the initial IPSS. As such, this IPSS-R should prove beneficial for predicting the clinical outcomes of untreated MDS patients and aiding design and analysis of clinical trials in this disease. © 2012 by The American Society of Hematology.","author":[{"dropping-particle":"","family":"Greenberg","given":"Peter L.","non-dropping-particle":"","parse-names":false,"suffix":""},{"dropping-particle":"","family":"Tuechler","given":"Heinz","non-dropping-particle":"","parse-names":false,"suffix":""},{"dropping-particle":"","family":"Schanz","given":"Julie","non-dropping-particle":"","parse-names":false,"suffix":""},{"dropping-particle":"","family":"Sanz","given":"Guillermo","non-dropping-particle":"","parse-names":false,"suffix":""},{"dropping-particle":"","family":"Garcia-Manero","given":"Guillermo","non-dropping-particle":"","parse-names":false,"suffix":""},{"dropping-particle":"","family":"Solé","given":"Francesc","non-dropping-particle":"","parse-names":false,"suffix":""},{"dropping-particle":"","family":"Bennett","given":"John M.","non-dropping-particle":"","parse-names":false,"suffix":""},{"dropping-particle":"","family":"Bowen","given":"David","non-dropping-particle":"","parse-names":false,"suffix":""},{"dropping-particle":"","family":"Fenaux","given":"Pierre","non-dropping-particle":"","parse-names":false,"suffix":""},{"dropping-particle":"","family":"Dreyfus","given":"Francois","non-dropping-particle":"","parse-names":false,"suffix":""},{"dropping-particle":"","family":"Kantarjian","given":"Hagop","non-dropping-particle":"","parse-names":false,"suffix":""},{"dropping-particle":"","family":"Kuendgen","given":"Andrea","non-dropping-particle":"","parse-names":false,"suffix":""},{"dropping-particle":"","family":"Levis","given":"Alessandro","non-dropping-particle":"","parse-names":false,"suffix":""},{"dropping-particle":"","family":"Malcovati","given":"Luca","non-dropping-particle":"","parse-names":false,"suffix":""},{"dropping-particle":"","family":"Cazzola","given":"Mario","non-dropping-particle":"","parse-names":false,"suffix":""},{"dropping-particle":"","family":"Cermak","given":"Jaroslav","non-dropping-particle":"","parse-names":false,"suffix":""},{"dropping-particle":"","family":"Fonatsch","given":"Christa","non-dropping-particle":"","parse-names":false,"suffix":""},{"dropping-particle":"","family":"Beau","given":"Michelle M.","non-dropping-particle":"Le","parse-names":false,"suffix":""},{"dropping-particle":"","family":"Slovak","given":"Marilyn L.","non-dropping-particle":"","parse-names":false,"suffix":""},{"dropping-particle":"","family":"Krieger","given":"Otto","non-dropping-particle":"","parse-names":false,"suffix":""},{"dropping-particle":"","family":"Luebbert","given":"Michael","non-dropping-particle":"","parse-names":false,"suffix":""},{"dropping-particle":"","family":"Maciejewski","given":"Jaroslaw","non-dropping-particle":"","parse-names":false,"suffix":""},{"dropping-particle":"","family":"Magalhaes","given":"Silvia M.M.","non-dropping-particle":"","parse-names":false,"suffix":""},{"dropping-particle":"","family":"Miyazaki","given":"Yasushi","non-dropping-particle":"","parse-names":false,"suffix":""},{"dropping-particle":"","family":"Pfeilstöcker","given":"Michael","non-dropping-particle":"","parse-names":false,"suffix":""},{"dropping-particle":"","family":"Sekeres","given":"Mikkael","non-dropping-particle":"","parse-names":false,"suffix":""},{"dropping-particle":"","family":"Sperr","given":"Wolfgang R.","non-dropping-particle":"","parse-names":false,"suffix":""},{"dropping-particle":"","family":"Stauder","given":"Reinhard","non-dropping-particle":"","parse-names":false,"suffix":""},{"dropping-particle":"","family":"Tauro","given":"Sudhir","non-dropping-particle":"","parse-names":false,"suffix":""},{"dropping-particle":"","family":"Valent","given":"Peter","non-dropping-particle":"","parse-names":false,"suffix":""},{"dropping-particle":"","family":"Vallespi","given":"Teresa","non-dropping-particle":"","parse-names":false,"suffix":""},{"dropping-particle":"","family":"Loosdrecht","given":"Arjan A.","non-dropping-particle":"Van De","parse-names":false,"suffix":""},{"dropping-particle":"","family":"Germing","given":"Ulrich","non-dropping-particle":"","parse-names":false,"suffix":""},{"dropping-particle":"","family":"Haase","given":"Detlef","non-dropping-particle":"","parse-names":false,"suffix":""}],"container-title":"Blood","id":"ITEM-4","issue":"12","issued":{"date-parts":[["2012","9","20"]]},"page":"2454-2465","title":"Revised international prognostic scoring system for myelodysplastic syndromes","type":"article-journal","volume":"120"},"uris":["http://www.mendeley.com/documents/?uuid=b1c72144-0abd-346f-8404-90758124c8d4"]},{"id":"ITEM-5","itemData":{"DOI":"10.3324/haematol.2011.044602","ISSN":"1592-8721","PMID":"21659359","abstract":"BACKGROUND Anemia is an established negative prognostic factor in myelodysplastic syndromes but the relationship between its degree and clinical outcome is poorly defined. We, therefore, studied the relationship between severity of anemia and outcome in myelodysplastic syndrome patients. DESIGN AND METHODS We studied 840 consecutive patients diagnosed with myelodysplastic syndromes at the Fondazione IRCCS Policlinico San Matteo, Pavia, Italy, and 504 patients seen at the Heinrich-Heine-University Hospital, Düsseldorf, Germany. Hemoglobin levels were monitored longitudinally and analyzed by means of time-dependent Cox's proportional hazards regression models. RESULTS Hemoglobin levels lower than 9 g/dL in males (HR 5.56, P=0.018) and 8 g/dL in females (HR=5.35, P=0.026) were independently related to reduced overall survival, higher risk of non-leukemic death and cardiac death (P&lt;0.001). Severe anemia, defined as hemoglobin below these thresholds, was found to be as effective as transfusion-dependency in the prognostic assessment. After integrating this definition of severe anemia into the WHO classification-based Prognostic Scoring System, time-dependent regression and landmark analyses showed that the refined model was able to identify risk groups with different survivals at any time during follow up. CONCLUSIONS Accounting for severity of anemia through the WHO classification-based Prognostic Scoring System provides an objective criterion for prognostic assessment and implementation of risk-adapted treatment strategies in myelodysplastic syndrome patients.","author":[{"dropping-particle":"","family":"Malcovati","given":"Luca","non-dropping-particle":"","parse-names":false,"suffix":""},{"dropping-particle":"","family":"Porta","given":"Matteo G","non-dropping-particle":"Della","parse-names":false,"suffix":""},{"dropping-particle":"","family":"Strupp","given":"Corinna","non-dropping-particle":"","parse-names":false,"suffix":""},{"dropping-particle":"","family":"Ambaglio","given":"Ilaria","non-dropping-particle":"","parse-names":false,"suffix":""},{"dropping-particle":"","family":"Kuendgen","given":"Andrea","non-dropping-particle":"","parse-names":false,"suffix":""},{"dropping-particle":"","family":"Nachtkamp","given":"Kathrin","non-dropping-particle":"","parse-names":false,"suffix":""},{"dropping-particle":"","family":"Travaglino","given":"Erica","non-dropping-particle":"","parse-names":false,"suffix":""},{"dropping-particle":"","family":"Invernizzi","given":"Rosangela","non-dropping-particle":"","parse-names":false,"suffix":""},{"dropping-particle":"","family":"Pascutto","given":"Cristiana","non-dropping-particle":"","parse-names":false,"suffix":""},{"dropping-particle":"","family":"Lazzarino","given":"Mario","non-dropping-particle":"","parse-names":false,"suffix":""},{"dropping-particle":"","family":"Germing","given":"Ulrich","non-dropping-particle":"","parse-names":false,"suffix":""},{"dropping-particle":"","family":"Cazzola","given":"Mario","non-dropping-particle":"","parse-names":false,"suffix":""}],"container-title":"Haematologica","id":"ITEM-5","issue":"10","issued":{"date-parts":[["2011","10"]]},"page":"1433-40","title":"Impact of the degree of anemia on the outcome of patients with myelodysplastic syndrome and its integration into the WHO classification-based Prognostic Scoring System (WPSS).","type":"article-journal","volume":"96"},"uris":["http://www.mendeley.com/documents/?uuid=cc59a631-1ec0-3d1b-aa84-3767e35504b4"]}],"mendeley":{"formattedCitation":"[1,2,30,63,64]","plainTextFormattedCitation":"[1,2,30,63,64]","previouslyFormattedCitation":"[1,2,30,63,64]"},"properties":{"noteIndex":0},"schema":"https://github.com/citation-style-language/schema/raw/master/csl-citation.json"}</w:instrText>
      </w:r>
      <w:r w:rsidR="002D7F54" w:rsidRPr="006A377C">
        <w:rPr>
          <w:i/>
          <w:szCs w:val="24"/>
        </w:rPr>
        <w:fldChar w:fldCharType="separate"/>
      </w:r>
      <w:r w:rsidR="00AE1E12" w:rsidRPr="00AE1E12">
        <w:rPr>
          <w:noProof/>
          <w:szCs w:val="24"/>
        </w:rPr>
        <w:t>[1,2,30,63,64]</w:t>
      </w:r>
      <w:r w:rsidR="002D7F54" w:rsidRPr="006A377C">
        <w:rPr>
          <w:i/>
          <w:szCs w:val="24"/>
        </w:rPr>
        <w:fldChar w:fldCharType="end"/>
      </w:r>
      <w:r w:rsidR="002D7F54" w:rsidRPr="006A377C">
        <w:rPr>
          <w:i/>
          <w:szCs w:val="24"/>
        </w:rPr>
        <w:t>.</w:t>
      </w:r>
    </w:p>
    <w:p w14:paraId="7AAB9797" w14:textId="77777777" w:rsidR="00F20CFD" w:rsidRPr="006A377C" w:rsidRDefault="00F20CFD" w:rsidP="00EA7BF5">
      <w:pPr>
        <w:ind w:firstLine="709"/>
        <w:rPr>
          <w:i/>
          <w:szCs w:val="24"/>
        </w:rPr>
      </w:pPr>
      <w:r w:rsidRPr="006A377C">
        <w:rPr>
          <w:i/>
          <w:szCs w:val="24"/>
        </w:rPr>
        <w:t xml:space="preserve">Для пациентов с неоцененным в силу технических причин кариотипом при выборе терапевтического режима следует принимать во внимание морфологический вариант МДС по классификации ВОЗ, количество бластных клеток в КМ и динамику их изменения, клеточность КМ и тяжесть цитопений </w:t>
      </w:r>
      <w:r w:rsidRPr="006A377C">
        <w:rPr>
          <w:i/>
          <w:szCs w:val="24"/>
        </w:rPr>
        <w:fldChar w:fldCharType="begin" w:fldLock="1"/>
      </w:r>
      <w:r w:rsidRPr="006A377C">
        <w:rPr>
          <w:i/>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mendeley":{"formattedCitation":"[1]","plainTextFormattedCitation":"[1]","previouslyFormattedCitation":"[1]"},"properties":{"noteIndex":0},"schema":"https://github.com/citation-style-language/schema/raw/master/csl-citation.json"}</w:instrText>
      </w:r>
      <w:r w:rsidRPr="006A377C">
        <w:rPr>
          <w:i/>
          <w:szCs w:val="24"/>
        </w:rPr>
        <w:fldChar w:fldCharType="separate"/>
      </w:r>
      <w:r w:rsidRPr="006A377C">
        <w:rPr>
          <w:noProof/>
          <w:szCs w:val="24"/>
        </w:rPr>
        <w:t>[1]</w:t>
      </w:r>
      <w:r w:rsidRPr="006A377C">
        <w:rPr>
          <w:i/>
          <w:szCs w:val="24"/>
        </w:rPr>
        <w:fldChar w:fldCharType="end"/>
      </w:r>
      <w:r w:rsidRPr="006A377C">
        <w:rPr>
          <w:i/>
          <w:szCs w:val="24"/>
        </w:rPr>
        <w:t>.</w:t>
      </w:r>
    </w:p>
    <w:p w14:paraId="23E37C36" w14:textId="77777777" w:rsidR="00F20CFD" w:rsidRPr="006A377C" w:rsidRDefault="00F20CFD" w:rsidP="00EA7BF5">
      <w:pPr>
        <w:ind w:firstLine="709"/>
        <w:rPr>
          <w:i/>
          <w:szCs w:val="24"/>
        </w:rPr>
      </w:pPr>
      <w:r w:rsidRPr="006A377C">
        <w:rPr>
          <w:i/>
          <w:szCs w:val="24"/>
        </w:rPr>
        <w:t xml:space="preserve">Выбор терапии зависит от возраста пациента, варианта МДС, принадлежности к группе риска, наличия и тяжести сопутствующей патологии, наличия HLA-совместимого донора. На сегодняшний день рекомендуется использовать как шкалу </w:t>
      </w:r>
      <w:r w:rsidRPr="006A377C">
        <w:rPr>
          <w:i/>
          <w:szCs w:val="24"/>
          <w:lang w:val="en-US"/>
        </w:rPr>
        <w:t>IPSS</w:t>
      </w:r>
      <w:r w:rsidRPr="006A377C">
        <w:rPr>
          <w:i/>
          <w:szCs w:val="24"/>
        </w:rPr>
        <w:t xml:space="preserve">, так и </w:t>
      </w:r>
      <w:r w:rsidRPr="006A377C">
        <w:rPr>
          <w:i/>
          <w:szCs w:val="24"/>
          <w:lang w:val="en-US"/>
        </w:rPr>
        <w:t>IPSS</w:t>
      </w:r>
      <w:r w:rsidRPr="006A377C">
        <w:rPr>
          <w:i/>
          <w:szCs w:val="24"/>
        </w:rPr>
        <w:t>-</w:t>
      </w:r>
      <w:r w:rsidRPr="006A377C">
        <w:rPr>
          <w:i/>
          <w:szCs w:val="24"/>
          <w:lang w:val="en-US"/>
        </w:rPr>
        <w:t>R</w:t>
      </w:r>
      <w:r w:rsidRPr="006A377C">
        <w:rPr>
          <w:i/>
          <w:szCs w:val="24"/>
        </w:rPr>
        <w:t xml:space="preserve"> для более точного определения прогноза заболевания.</w:t>
      </w:r>
    </w:p>
    <w:p w14:paraId="6920DCEF" w14:textId="77777777" w:rsidR="00F20CFD" w:rsidRPr="006A377C" w:rsidRDefault="00F20CFD" w:rsidP="00EA7BF5">
      <w:pPr>
        <w:ind w:firstLine="709"/>
        <w:rPr>
          <w:i/>
          <w:szCs w:val="24"/>
        </w:rPr>
      </w:pPr>
      <w:r w:rsidRPr="006A377C">
        <w:rPr>
          <w:i/>
          <w:szCs w:val="24"/>
        </w:rPr>
        <w:t>В терапии МДС с учетом особенностей патогенеза и разнородности заболевания существует несколько направлений, однако наиболее эффективными и признанными во всем мире являются:</w:t>
      </w:r>
    </w:p>
    <w:p w14:paraId="2CC8BB4E" w14:textId="77777777" w:rsidR="00F20CFD" w:rsidRPr="006A377C" w:rsidRDefault="00F20CFD" w:rsidP="00EA7BF5">
      <w:pPr>
        <w:ind w:firstLine="709"/>
        <w:rPr>
          <w:b/>
          <w:i/>
          <w:szCs w:val="24"/>
        </w:rPr>
      </w:pPr>
      <w:r w:rsidRPr="006A377C">
        <w:rPr>
          <w:b/>
          <w:i/>
          <w:szCs w:val="24"/>
        </w:rPr>
        <w:t>– симптоматическая терапия:</w:t>
      </w:r>
    </w:p>
    <w:p w14:paraId="2BC66A31" w14:textId="77777777" w:rsidR="00F20CFD" w:rsidRPr="006A377C" w:rsidRDefault="00F20CFD" w:rsidP="00E221D2">
      <w:pPr>
        <w:pStyle w:val="aff"/>
        <w:ind w:left="1429"/>
        <w:rPr>
          <w:i/>
          <w:szCs w:val="24"/>
        </w:rPr>
      </w:pPr>
      <w:r w:rsidRPr="006A377C">
        <w:rPr>
          <w:i/>
          <w:szCs w:val="24"/>
        </w:rPr>
        <w:t>– заместительная терапия компонентами крови (донорские эритроциты, донорские тромбоциты, свежезамороженная плазма),</w:t>
      </w:r>
    </w:p>
    <w:p w14:paraId="75E49EE2" w14:textId="77777777" w:rsidR="00F20CFD" w:rsidRPr="006A377C" w:rsidRDefault="00F20CFD" w:rsidP="00E221D2">
      <w:pPr>
        <w:pStyle w:val="aff"/>
        <w:ind w:left="1429"/>
        <w:rPr>
          <w:i/>
          <w:szCs w:val="24"/>
        </w:rPr>
      </w:pPr>
      <w:r w:rsidRPr="006A377C">
        <w:rPr>
          <w:i/>
          <w:szCs w:val="24"/>
        </w:rPr>
        <w:t>– хелаторная терапия,</w:t>
      </w:r>
    </w:p>
    <w:p w14:paraId="5EB03012" w14:textId="77777777" w:rsidR="00F20CFD" w:rsidRPr="006A377C" w:rsidRDefault="00F20CFD" w:rsidP="00E221D2">
      <w:pPr>
        <w:pStyle w:val="aff"/>
        <w:ind w:left="1429"/>
        <w:rPr>
          <w:i/>
          <w:szCs w:val="24"/>
        </w:rPr>
      </w:pPr>
      <w:r w:rsidRPr="006A377C">
        <w:rPr>
          <w:i/>
          <w:szCs w:val="24"/>
        </w:rPr>
        <w:t>– стимуляторы гемопоэза,</w:t>
      </w:r>
    </w:p>
    <w:p w14:paraId="28311901" w14:textId="77777777" w:rsidR="00F20CFD" w:rsidRPr="006A377C" w:rsidRDefault="00F20CFD" w:rsidP="00E221D2">
      <w:pPr>
        <w:pStyle w:val="aff"/>
        <w:ind w:left="1429"/>
        <w:rPr>
          <w:i/>
          <w:szCs w:val="24"/>
        </w:rPr>
      </w:pPr>
      <w:r w:rsidRPr="006A377C">
        <w:rPr>
          <w:i/>
          <w:szCs w:val="24"/>
        </w:rPr>
        <w:t>– антибактериальная терапия;</w:t>
      </w:r>
    </w:p>
    <w:p w14:paraId="7E98F581" w14:textId="77777777" w:rsidR="00F20CFD" w:rsidRPr="006A377C" w:rsidRDefault="00F20CFD" w:rsidP="00EA7BF5">
      <w:pPr>
        <w:ind w:firstLine="709"/>
        <w:rPr>
          <w:b/>
          <w:i/>
          <w:szCs w:val="24"/>
        </w:rPr>
      </w:pPr>
      <w:r w:rsidRPr="006A377C">
        <w:rPr>
          <w:b/>
          <w:i/>
          <w:szCs w:val="24"/>
        </w:rPr>
        <w:lastRenderedPageBreak/>
        <w:t>– цитостатическая терапия:</w:t>
      </w:r>
    </w:p>
    <w:p w14:paraId="4D0F5444" w14:textId="77777777" w:rsidR="00F20CFD" w:rsidRPr="006A377C" w:rsidRDefault="00F20CFD" w:rsidP="00E221D2">
      <w:pPr>
        <w:pStyle w:val="aff"/>
        <w:ind w:left="1429"/>
        <w:rPr>
          <w:i/>
          <w:szCs w:val="24"/>
        </w:rPr>
      </w:pPr>
      <w:r w:rsidRPr="006A377C">
        <w:rPr>
          <w:i/>
          <w:szCs w:val="24"/>
        </w:rPr>
        <w:t>– ПХТ по программам лечения ОМЛ,</w:t>
      </w:r>
    </w:p>
    <w:p w14:paraId="60209F06" w14:textId="77777777" w:rsidR="00F20CFD" w:rsidRPr="006A377C" w:rsidRDefault="00F20CFD" w:rsidP="00E221D2">
      <w:pPr>
        <w:pStyle w:val="aff"/>
        <w:ind w:left="1429"/>
        <w:rPr>
          <w:i/>
          <w:szCs w:val="24"/>
        </w:rPr>
      </w:pPr>
      <w:r w:rsidRPr="006A377C">
        <w:rPr>
          <w:i/>
          <w:szCs w:val="24"/>
        </w:rPr>
        <w:t>– низкодозная ХТ,</w:t>
      </w:r>
    </w:p>
    <w:p w14:paraId="5E819FB7" w14:textId="77777777" w:rsidR="00F20CFD" w:rsidRPr="006A377C" w:rsidRDefault="00F20CFD" w:rsidP="00E221D2">
      <w:pPr>
        <w:pStyle w:val="aff"/>
        <w:ind w:left="1429"/>
        <w:rPr>
          <w:i/>
          <w:szCs w:val="24"/>
        </w:rPr>
      </w:pPr>
      <w:r w:rsidRPr="006A377C">
        <w:rPr>
          <w:i/>
          <w:szCs w:val="24"/>
        </w:rPr>
        <w:t>– гипометилирующие препараты;</w:t>
      </w:r>
    </w:p>
    <w:p w14:paraId="2DD916F5" w14:textId="77777777" w:rsidR="00F20CFD" w:rsidRPr="006A377C" w:rsidRDefault="00F20CFD" w:rsidP="00EA7BF5">
      <w:pPr>
        <w:ind w:firstLine="709"/>
        <w:rPr>
          <w:b/>
          <w:i/>
          <w:szCs w:val="24"/>
        </w:rPr>
      </w:pPr>
      <w:r w:rsidRPr="006A377C">
        <w:rPr>
          <w:b/>
          <w:i/>
          <w:szCs w:val="24"/>
        </w:rPr>
        <w:t>– иммуносупрессивная и иммуномодулирующая терапия:</w:t>
      </w:r>
    </w:p>
    <w:p w14:paraId="7C5288EC" w14:textId="77777777" w:rsidR="00F20CFD" w:rsidRPr="006A377C" w:rsidRDefault="00F20CFD" w:rsidP="00E221D2">
      <w:pPr>
        <w:pStyle w:val="aff"/>
        <w:ind w:left="1429"/>
        <w:rPr>
          <w:i/>
          <w:szCs w:val="24"/>
        </w:rPr>
      </w:pPr>
      <w:r w:rsidRPr="006A377C">
        <w:rPr>
          <w:i/>
          <w:szCs w:val="24"/>
        </w:rPr>
        <w:t>– АТГ,</w:t>
      </w:r>
    </w:p>
    <w:p w14:paraId="055BB05C" w14:textId="77777777" w:rsidR="00F20CFD" w:rsidRPr="006A377C" w:rsidRDefault="00F20CFD" w:rsidP="00E221D2">
      <w:pPr>
        <w:pStyle w:val="aff"/>
        <w:ind w:left="1429"/>
        <w:rPr>
          <w:i/>
          <w:szCs w:val="24"/>
        </w:rPr>
      </w:pPr>
      <w:r w:rsidRPr="006A377C">
        <w:rPr>
          <w:i/>
          <w:szCs w:val="24"/>
        </w:rPr>
        <w:t>– ЦСА,</w:t>
      </w:r>
    </w:p>
    <w:p w14:paraId="29897F2F" w14:textId="77777777" w:rsidR="00F20CFD" w:rsidRPr="006A377C" w:rsidRDefault="00F20CFD" w:rsidP="00E221D2">
      <w:pPr>
        <w:pStyle w:val="aff"/>
        <w:ind w:left="1429"/>
        <w:rPr>
          <w:i/>
          <w:szCs w:val="24"/>
        </w:rPr>
      </w:pPr>
      <w:r w:rsidRPr="006A377C">
        <w:rPr>
          <w:i/>
          <w:szCs w:val="24"/>
        </w:rPr>
        <w:t>– леналидомид,</w:t>
      </w:r>
    </w:p>
    <w:p w14:paraId="1AE0E5AC" w14:textId="77777777" w:rsidR="00F20CFD" w:rsidRPr="006A377C" w:rsidRDefault="00F20CFD" w:rsidP="00E221D2">
      <w:pPr>
        <w:pStyle w:val="aff"/>
        <w:ind w:left="1429"/>
        <w:rPr>
          <w:i/>
          <w:szCs w:val="24"/>
        </w:rPr>
      </w:pPr>
      <w:r w:rsidRPr="006A377C">
        <w:rPr>
          <w:i/>
          <w:szCs w:val="24"/>
        </w:rPr>
        <w:t>– спленэктомия;</w:t>
      </w:r>
    </w:p>
    <w:p w14:paraId="40D7C8C8" w14:textId="77777777" w:rsidR="00F20CFD" w:rsidRPr="006A377C" w:rsidRDefault="00F20CFD" w:rsidP="00DE3E7A">
      <w:pPr>
        <w:ind w:left="708" w:firstLine="1"/>
        <w:rPr>
          <w:i/>
          <w:szCs w:val="24"/>
        </w:rPr>
      </w:pPr>
      <w:r w:rsidRPr="006A377C">
        <w:rPr>
          <w:b/>
          <w:i/>
          <w:szCs w:val="24"/>
        </w:rPr>
        <w:t xml:space="preserve">– аллогенная трансплантация гемопоэтических стволовых клеток (алло-ТГСК) </w:t>
      </w:r>
      <w:r w:rsidRPr="006A377C">
        <w:rPr>
          <w:b/>
          <w:i/>
          <w:szCs w:val="24"/>
        </w:rPr>
        <w:fldChar w:fldCharType="begin" w:fldLock="1"/>
      </w:r>
      <w:r w:rsidRPr="006A377C">
        <w:rPr>
          <w:b/>
          <w:i/>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id":"ITEM-2","itemData":{"author":[{"dropping-particle":"","family":"Ширин","given":"А.Д.","non-dropping-particle":"","parse-names":false,"suffix":""},{"dropping-particle":"","family":"Френкель","given":"М.А.","non-dropping-particle":"","parse-names":false,"suffix":""}],"container-title":"Клиническая онкогематология: руководство для врачей. Под ред. Волковой М.А.. 2-е изд., перераб. и доп.","id":"ITEM-2","issued":{"date-parts":[["2007"]]},"page":"502-551","title":"Миелодиспластические синдромы","type":"chapter"},"uris":["http://www.mendeley.com/documents/?uuid=9f2eca44-a3a8-4eb4-90b5-a52e4e769482"]},{"id":"ITEM-3","itemData":{"DOI":"10.1002/ajh.24102","ISSN":"1096-8652","PMID":"26294090","abstract":"DISEASE OVERVIEW The myelodysplastic syndromes (MDS) are a very heterogeneous group of myeloid disorders characterized by peripheral blood cytopenias and increased risk of transformation to acute myelogenous leukemia (AML). MDS occurs more frequently in older males and in individuals with prior exposure to cytotoxic therapy. DIAGNOSIS Diagnosis of MDS is based on morphological evidence of dysplasia upon visual examination of a bone marrow aspirate and biopsy. Information obtained from additional studies such as karyotype, flow cytometry, or molecular genetics is complementary but not diagnostic. Risk-stratification: Prognosis of patients with MDS can be calculated using a number of scoring systems. In general, all these scoring systems include analysis of peripheral cytopenias, percentage of blasts in the bone marrow, and cytogenetic characteristics. The most commonly used system still is probably the International Prognostic Scoring System (IPSS). IPSS is being replaced by the new revised score IPSS-R. RISK-ADAPTED THERAPY Therapy is selected based on risk, transfusion needs, percent of bone marrow blasts, and more recently cytogenetic and mutational profiles. Goals of therapy are different in lower risk patients than in higher risk. In lower risk, the goal is to decrease transfusion needs and transformation to higher risk disease or AML, as well as to improve survival. In higher risk, the goal is to prolong survival. Current available therapies include growth factor support, lenalidomide, hypomethylating agents, intensive chemotherapy, and allogeneic stem cell transplantation. The use of lenalidomide has significant clinical activity in patients with lower risk disease, anemia, and a chromosome 5 alteration. 5-Azacitidine and decitabine have activity in higher risk MDS. 5-Azacitidine has been shown to improve survival in higher risk MDS. A number of new molecular lesions have been described in MDS that may serve as new therapeutic targets or aid in the selection of currently available agents. Additional supportive care measures may include the use of prophylactic antibiotics and iron chelation. Management of progressive or refractory disease: At the present time there are no approved interventions for patients with progressive or refractory disease particularly after hypomethylating based therapy. Options include participation in a clinical trial or cytarabine based therapy and stem cell transplantation.","author":[{"dropping-particle":"","family":"Garcia-Manero","given":"Guillermo","non-dropping-particle":"","parse-names":false,"suffix":""}],"container-title":"American journal of hematology","id":"ITEM-3","issue":"9","issued":{"date-parts":[["2015","9"]]},"page":"831-41","title":"Myelodysplastic syndromes: 2015 Update on diagnosis, risk-stratification and management.","type":"article-journal","volume":"90"},"uris":["http://www.mendeley.com/documents/?uuid=f71f5ed5-dc93-3fd3-b1f1-68c1270ac29e"]},{"id":"ITEM-4","itemData":{"DOI":"10.1182/blood-2013-03-492884","ISSN":"1528-0020","PMID":"23980065","abstract":"Within the myelodysplastic syndrome (MDS) work package of the European LeukemiaNet, an Expert Panel was selected according to the framework elements of the National Institutes of Health Consensus Development Program. A systematic review of the literature was performed that included indexed original papers, indexed reviews and educational papers, and abstracts of conference proceedings. Guidelines were developed on the basis of a list of patient- and therapy-oriented questions, and recommendations were formulated and ranked according to the supporting level of evidence. MDSs should be classified according to the 2008 World Health Organization criteria. An accurate risk assessment requires the evaluation of not only disease-related factors but also of those related to extrahematologic comorbidity. The assessment of individual risk enables the identification of fit patients with a poor prognosis who are candidates for up-front intensive treatments, primarily allogeneic stem cell transplantation. A high proportion of MDS patients are not eligible for potentially curative treatment because of advanced age and/or clinically relevant comorbidities and poor performance status. In these patients, the therapeutic intervention is aimed at preventing cytopenia-related morbidity and preserving quality of life. A number of new agents are being developed for which the available evidence is not sufficient to recommend routine use. The inclusion of patients into prospective clinical trials is strongly recommended.","author":[{"dropping-particle":"","family":"Malcovati","given":"Luca","non-dropping-particle":"","parse-names":false,"suffix":""},{"dropping-particle":"","family":"Hellström-Lindberg","given":"Eva","non-dropping-particle":"","parse-names":false,"suffix":""},{"dropping-particle":"","family":"Bowen","given":"David","non-dropping-particle":"","parse-names":false,"suffix":""},{"dropping-particle":"","family":"Adès","given":"Lionel","non-dropping-particle":"","parse-names":false,"suffix":""},{"dropping-particle":"","family":"Cermak","given":"Jaroslav","non-dropping-particle":"","parse-names":false,"suffix":""},{"dropping-particle":"","family":"Cañizo","given":"Consuelo","non-dropping-particle":"Del","parse-names":false,"suffix":""},{"dropping-particle":"","family":"Porta","given":"Matteo G","non-dropping-particle":"Della","parse-names":false,"suffix":""},{"dropping-particle":"","family":"Fenaux","given":"Pierre","non-dropping-particle":"","parse-names":false,"suffix":""},{"dropping-particle":"","family":"Gattermann","given":"Norbert","non-dropping-particle":"","parse-names":false,"suffix":""},{"dropping-particle":"","family":"Germing","given":"Ulrich","non-dropping-particle":"","parse-names":false,"suffix":""},{"dropping-particle":"","family":"Jansen","given":"Joop H","non-dropping-particle":"","parse-names":false,"suffix":""},{"dropping-particle":"","family":"Mittelman","given":"Moshe","non-dropping-particle":"","parse-names":false,"suffix":""},{"dropping-particle":"","family":"Mufti","given":"Ghulam","non-dropping-particle":"","parse-names":false,"suffix":""},{"dropping-particle":"","family":"Platzbecker","given":"Uwe","non-dropping-particle":"","parse-names":false,"suffix":""},{"dropping-particle":"","family":"Sanz","given":"Guillermo F","non-dropping-particle":"","parse-names":false,"suffix":""},{"dropping-particle":"","family":"Selleslag","given":"Dominik","non-dropping-particle":"","parse-names":false,"suffix":""},{"dropping-particle":"","family":"Skov-Holm","given":"Mette","non-dropping-particle":"","parse-names":false,"suffix":""},{"dropping-particle":"","family":"Stauder","given":"Reinhard","non-dropping-particle":"","parse-names":false,"suffix":""},{"dropping-particle":"","family":"Symeonidis","given":"Argiris","non-dropping-particle":"","parse-names":false,"suffix":""},{"dropping-particle":"","family":"Loosdrecht","given":"Arjan A","non-dropping-particle":"van de","parse-names":false,"suffix":""},{"dropping-particle":"","family":"Witte","given":"Theo","non-dropping-particle":"de","parse-names":false,"suffix":""},{"dropping-particle":"","family":"Cazzola","given":"Mario","non-dropping-particle":"","parse-names":false,"suffix":""},{"dropping-particle":"","family":"European Leukemia Net","given":"","non-dropping-particle":"","parse-names":false,"suffix":""}],"container-title":"Blood","id":"ITEM-4","issue":"17","issued":{"date-parts":[["2013","10","24"]]},"page":"2943-64","title":"Diagnosis and treatment of primary myelodysplastic syndromes in adults: recommendations from the European LeukemiaNet.","type":"article-journal","volume":"122"},"uris":["http://www.mendeley.com/documents/?uuid=8d575a93-ae56-3e05-b1b4-97a7de4aac98"]},{"id":"ITEM-5","itemData":{"author":[{"dropping-particle":"","family":"Greenberg","given":"P.L.","non-dropping-particle":"","parse-names":false,"suffix":""},{"dropping-particle":"","family":"Stone","given":"Richard M.","non-dropping-particle":"","parse-names":false,"suffix":""},{"dropping-particle":"","family":"Al-Kali","given":"Aref","non-dropping-particle":"","parse-names":false,"suffix":""},{"dropping-particle":"","family":"Bejar","given":"Rafael","non-dropping-particle":"","parse-names":false,"suffix":""},{"dropping-particle":"","family":"Bennett","given":"John M.","non-dropping-particle":"","parse-names":false,"suffix":""}],"id":"ITEM-5","issued":{"date-parts":[["2019"]]},"title":"NCCN Clinical Practice Guidelines in Oncology. Myelodysplastic syndromes","type":"article"},"uris":["http://www.mendeley.com/documents/?uuid=42bd97a2-0774-4214-9691-f403cd4a21df"]}],"mendeley":{"formattedCitation":"[1–5]","plainTextFormattedCitation":"[1–5]","previouslyFormattedCitation":"[1–5]"},"properties":{"noteIndex":0},"schema":"https://github.com/citation-style-language/schema/raw/master/csl-citation.json"}</w:instrText>
      </w:r>
      <w:r w:rsidRPr="006A377C">
        <w:rPr>
          <w:b/>
          <w:i/>
          <w:szCs w:val="24"/>
        </w:rPr>
        <w:fldChar w:fldCharType="separate"/>
      </w:r>
      <w:r w:rsidRPr="006A377C">
        <w:rPr>
          <w:noProof/>
          <w:szCs w:val="24"/>
        </w:rPr>
        <w:t>[1–5]</w:t>
      </w:r>
      <w:r w:rsidRPr="006A377C">
        <w:rPr>
          <w:b/>
          <w:i/>
          <w:szCs w:val="24"/>
        </w:rPr>
        <w:fldChar w:fldCharType="end"/>
      </w:r>
      <w:r w:rsidRPr="006A377C">
        <w:rPr>
          <w:b/>
          <w:i/>
          <w:szCs w:val="24"/>
        </w:rPr>
        <w:t>.</w:t>
      </w:r>
    </w:p>
    <w:p w14:paraId="313E7D92" w14:textId="77777777" w:rsidR="00F20CFD" w:rsidRPr="006A377C" w:rsidRDefault="00F20CFD" w:rsidP="00EA7BF5">
      <w:pPr>
        <w:ind w:firstLine="709"/>
        <w:rPr>
          <w:i/>
          <w:szCs w:val="24"/>
        </w:rPr>
      </w:pPr>
      <w:r w:rsidRPr="006A377C">
        <w:rPr>
          <w:i/>
          <w:szCs w:val="24"/>
        </w:rPr>
        <w:t>Единственным методом биологического излечения является ТГСК, однако только в 5–10% случаев удается реализовать эту программу, в связи с отсутствием HLA-идентичного донора</w:t>
      </w:r>
      <w:r w:rsidR="00834DD1">
        <w:rPr>
          <w:i/>
          <w:szCs w:val="24"/>
        </w:rPr>
        <w:t>,</w:t>
      </w:r>
      <w:r w:rsidR="002713DD">
        <w:rPr>
          <w:i/>
          <w:szCs w:val="24"/>
        </w:rPr>
        <w:t xml:space="preserve"> </w:t>
      </w:r>
      <w:r w:rsidRPr="006A377C">
        <w:rPr>
          <w:i/>
          <w:szCs w:val="24"/>
        </w:rPr>
        <w:t>соматическим статусом</w:t>
      </w:r>
      <w:r w:rsidR="00B77B5E">
        <w:rPr>
          <w:i/>
          <w:szCs w:val="24"/>
        </w:rPr>
        <w:t xml:space="preserve"> и возрастом</w:t>
      </w:r>
      <w:r w:rsidRPr="006A377C">
        <w:rPr>
          <w:i/>
          <w:szCs w:val="24"/>
        </w:rPr>
        <w:t xml:space="preserve"> пациента</w:t>
      </w:r>
      <w:r w:rsidR="00B77B5E">
        <w:rPr>
          <w:i/>
          <w:szCs w:val="24"/>
        </w:rPr>
        <w:t>, а так же</w:t>
      </w:r>
      <w:r w:rsidR="00834DD1">
        <w:rPr>
          <w:i/>
          <w:szCs w:val="24"/>
        </w:rPr>
        <w:t xml:space="preserve"> особенностями МДС</w:t>
      </w:r>
      <w:r w:rsidRPr="006A377C">
        <w:rPr>
          <w:i/>
          <w:szCs w:val="24"/>
        </w:rPr>
        <w:t>.</w:t>
      </w:r>
    </w:p>
    <w:p w14:paraId="45640682" w14:textId="77777777" w:rsidR="00F20CFD" w:rsidRPr="006A377C" w:rsidRDefault="00F20CFD" w:rsidP="00EA7BF5">
      <w:pPr>
        <w:ind w:firstLine="709"/>
        <w:rPr>
          <w:i/>
          <w:szCs w:val="24"/>
        </w:rPr>
      </w:pPr>
      <w:r w:rsidRPr="006A377C">
        <w:rPr>
          <w:i/>
          <w:szCs w:val="24"/>
        </w:rPr>
        <w:t>При лечении пациентов с МДС допускается сочетание выше перечисленных видов терапии, а также ее последовательное назначение в связи с неэффективностью и/или прогрессией заболевания. Так, у одного пациента возможно проведение ИСТ и при прогрессии в МДС-ИБ-1 или ИБ-2 – назначение гипометилирующих препаратов или ПХТ.</w:t>
      </w:r>
    </w:p>
    <w:p w14:paraId="295A731C" w14:textId="77777777" w:rsidR="00F20CFD" w:rsidRPr="006A377C" w:rsidRDefault="00F20CFD" w:rsidP="00EA7BF5">
      <w:pPr>
        <w:ind w:firstLine="709"/>
        <w:rPr>
          <w:i/>
          <w:szCs w:val="24"/>
        </w:rPr>
      </w:pPr>
      <w:r w:rsidRPr="006A377C">
        <w:rPr>
          <w:i/>
          <w:szCs w:val="24"/>
        </w:rPr>
        <w:t>Неоднородность МДС осложняет также и оценку ответа на терапию. В 2000 г. Международная рабочая группа (IWG) определила стандартизованные критерии ответа при МДС. В последующем они были пересмотрены и обновлены в 2006 г. (см. Приложение Г</w:t>
      </w:r>
      <w:r w:rsidR="00B63F37">
        <w:rPr>
          <w:i/>
          <w:szCs w:val="24"/>
        </w:rPr>
        <w:t>1</w:t>
      </w:r>
      <w:r w:rsidRPr="006A377C">
        <w:rPr>
          <w:i/>
          <w:szCs w:val="24"/>
        </w:rPr>
        <w:t xml:space="preserve">). Критерии IWG определяют различные аспекты ответа с учетом целей лечения и включают в себя ПР и ЧР, цитогенетический ответ, гематологические улучшения и качество жизни. Использование этих критериев рекомендовано как для клинической практики, так и при проведении КИ </w:t>
      </w:r>
      <w:r w:rsidRPr="006A377C">
        <w:rPr>
          <w:i/>
          <w:szCs w:val="24"/>
        </w:rPr>
        <w:fldChar w:fldCharType="begin" w:fldLock="1"/>
      </w:r>
      <w:r w:rsidR="00AE1E12">
        <w:rPr>
          <w:i/>
          <w:szCs w:val="24"/>
        </w:rPr>
        <w:instrText>ADDIN CSL_CITATION {"citationItems":[{"id":"ITEM-1","itemData":{"DOI":"10.1182/blood-2005-10-4149","ISSN":"0006-4971","PMID":"16609072","abstract":"The myelodysplastic syndromes (MDSs) are heterogeneous with respect to clinical characteristics, pathologic features, and cytogenetic abnormalities. This heterogeneity is a challenge for evaluating response to treatment. Therapeutic trials in MDS have used various criteria to assess results, making cross-study comparisons problematic. In 2000, an International Working Group (IWG) proposed standardized response criteria for evaluating clinically significant responses in MDS. These criteria included measures of alteration in the natural history of disease, hematologic improvement, cytogenetic response, and improvement in health-related quality of life. The relevance of the response criteria has now been validated prospectively in MDS clinical trials, and they have gained acceptance in research studies and in clinical practice. Because limitations of the IWG criteria have surfaced, based on practical and reported experience, some modifications were warranted. In this report, we present recommendations for revisions of some of the initial criteria.","author":[{"dropping-particle":"","family":"Cheson","given":"Bruce D","non-dropping-particle":"","parse-names":false,"suffix":""},{"dropping-particle":"","family":"Greenberg","given":"Peter L","non-dropping-particle":"","parse-names":false,"suffix":""},{"dropping-particle":"","family":"Bennett","given":"John M","non-dropping-particle":"","parse-names":false,"suffix":""},{"dropping-particle":"","family":"Lowenberg","given":"Bob","non-dropping-particle":"","parse-names":false,"suffix":""},{"dropping-particle":"","family":"Wijermans","given":"Pierre W","non-dropping-particle":"","parse-names":false,"suffix":""},{"dropping-particle":"","family":"Nimer","given":"Stephen D","non-dropping-particle":"","parse-names":false,"suffix":""},{"dropping-particle":"","family":"Pinto","given":"Antonio","non-dropping-particle":"","parse-names":false,"suffix":""},{"dropping-particle":"","family":"Beran","given":"Miloslav","non-dropping-particle":"","parse-names":false,"suffix":""},{"dropping-particle":"","family":"Witte","given":"Theo M","non-dropping-particle":"de","parse-names":false,"suffix":""},{"dropping-particle":"","family":"Stone","given":"Richard M","non-dropping-particle":"","parse-names":false,"suffix":""},{"dropping-particle":"","family":"Mittelman","given":"Moshe","non-dropping-particle":"","parse-names":false,"suffix":""},{"dropping-particle":"","family":"Sanz","given":"Guillermo F","non-dropping-particle":"","parse-names":false,"suffix":""},{"dropping-particle":"","family":"Gore","given":"Steven D","non-dropping-particle":"","parse-names":false,"suffix":""},{"dropping-particle":"","family":"Schiffer","given":"Charles A","non-dropping-particle":"","parse-names":false,"suffix":""},{"dropping-particle":"","family":"Kantarjian","given":"Hagop","non-dropping-particle":"","parse-names":false,"suffix":""}],"container-title":"Blood","id":"ITEM-1","issue":"2","issued":{"date-parts":[["2006","7","15"]]},"page":"419-25","title":"Clinical application and proposal for modification of the International Working Group (IWG) response criteria in myelodysplasia.","type":"article-journal","volume":"108"},"uris":["http://www.mendeley.com/documents/?uuid=b6826143-5ffa-3b6f-86d3-9ff3285389b0"]}],"mendeley":{"formattedCitation":"[65]","plainTextFormattedCitation":"[65]","previouslyFormattedCitation":"[65]"},"properties":{"noteIndex":0},"schema":"https://github.com/citation-style-language/schema/raw/master/csl-citation.json"}</w:instrText>
      </w:r>
      <w:r w:rsidRPr="006A377C">
        <w:rPr>
          <w:i/>
          <w:szCs w:val="24"/>
        </w:rPr>
        <w:fldChar w:fldCharType="separate"/>
      </w:r>
      <w:r w:rsidR="00AE1E12" w:rsidRPr="00AE1E12">
        <w:rPr>
          <w:noProof/>
          <w:szCs w:val="24"/>
        </w:rPr>
        <w:t>[65]</w:t>
      </w:r>
      <w:r w:rsidRPr="006A377C">
        <w:rPr>
          <w:i/>
          <w:szCs w:val="24"/>
        </w:rPr>
        <w:fldChar w:fldCharType="end"/>
      </w:r>
      <w:r w:rsidRPr="006A377C">
        <w:rPr>
          <w:i/>
          <w:szCs w:val="24"/>
        </w:rPr>
        <w:t>.</w:t>
      </w:r>
    </w:p>
    <w:p w14:paraId="0DFEB066" w14:textId="77777777" w:rsidR="00F20CFD" w:rsidRPr="006A377C" w:rsidRDefault="00F20CFD" w:rsidP="005F2F2B">
      <w:pPr>
        <w:pStyle w:val="aff"/>
        <w:numPr>
          <w:ilvl w:val="0"/>
          <w:numId w:val="16"/>
        </w:numPr>
        <w:ind w:left="709" w:hanging="567"/>
        <w:rPr>
          <w:szCs w:val="24"/>
        </w:rPr>
      </w:pPr>
      <w:r w:rsidRPr="006A377C">
        <w:rPr>
          <w:szCs w:val="24"/>
        </w:rPr>
        <w:t xml:space="preserve">Пациентам МДС из группы низкого и промежуточного-1 риска по шкале </w:t>
      </w:r>
      <w:r w:rsidRPr="006A377C">
        <w:rPr>
          <w:szCs w:val="24"/>
          <w:lang w:val="en-US"/>
        </w:rPr>
        <w:t>IPSS</w:t>
      </w:r>
      <w:r w:rsidRPr="006A377C">
        <w:rPr>
          <w:szCs w:val="24"/>
        </w:rPr>
        <w:t xml:space="preserve"> (</w:t>
      </w:r>
      <w:r w:rsidR="00B63F37">
        <w:rPr>
          <w:szCs w:val="24"/>
        </w:rPr>
        <w:t>см. раздел 7.1 данных рекомендаций</w:t>
      </w:r>
      <w:r w:rsidRPr="006A377C">
        <w:rPr>
          <w:szCs w:val="24"/>
        </w:rPr>
        <w:t xml:space="preserve">) и очень низкого и низкого риска по шкале </w:t>
      </w:r>
      <w:r w:rsidRPr="006A377C">
        <w:rPr>
          <w:szCs w:val="24"/>
          <w:lang w:val="en-US"/>
        </w:rPr>
        <w:t>IPSS</w:t>
      </w:r>
      <w:r w:rsidRPr="006A377C">
        <w:rPr>
          <w:szCs w:val="24"/>
        </w:rPr>
        <w:t>-</w:t>
      </w:r>
      <w:r w:rsidRPr="006A377C">
        <w:rPr>
          <w:szCs w:val="24"/>
          <w:lang w:val="en-US"/>
        </w:rPr>
        <w:t>R</w:t>
      </w:r>
      <w:r w:rsidRPr="006A377C">
        <w:rPr>
          <w:szCs w:val="24"/>
        </w:rPr>
        <w:t xml:space="preserve"> (</w:t>
      </w:r>
      <w:r w:rsidR="00B63F37">
        <w:rPr>
          <w:szCs w:val="24"/>
        </w:rPr>
        <w:t>см. раздел 7.1 данных рекомендаций</w:t>
      </w:r>
      <w:r w:rsidRPr="006A377C">
        <w:rPr>
          <w:szCs w:val="24"/>
        </w:rPr>
        <w:t xml:space="preserve">) с бессимптомной цитопенией </w:t>
      </w:r>
      <w:r w:rsidRPr="006A377C">
        <w:rPr>
          <w:b/>
          <w:szCs w:val="24"/>
        </w:rPr>
        <w:t>не рекомендуется</w:t>
      </w:r>
      <w:r w:rsidRPr="006A377C">
        <w:rPr>
          <w:szCs w:val="24"/>
        </w:rPr>
        <w:t xml:space="preserve"> специфическое лечение, а показано динамическое наблюдение пациентов – тактика, называемая «наблюдай и жди»</w:t>
      </w:r>
      <w:r w:rsidR="00EE4656">
        <w:rPr>
          <w:szCs w:val="24"/>
        </w:rPr>
        <w:t>, с целью контроля за развитием заболевания</w:t>
      </w:r>
      <w:r w:rsidRPr="006A377C">
        <w:rPr>
          <w:szCs w:val="24"/>
        </w:rPr>
        <w:t xml:space="preserve"> </w:t>
      </w:r>
      <w:r w:rsidRPr="006A377C">
        <w:rPr>
          <w:szCs w:val="24"/>
        </w:rPr>
        <w:fldChar w:fldCharType="begin" w:fldLock="1"/>
      </w:r>
      <w:r w:rsidRPr="006A377C">
        <w:rPr>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id":"ITEM-2","itemData":{"author":[{"dropping-particle":"","family":"Ширин","given":"А.Д.","non-dropping-particle":"","parse-names":false,"suffix":""},{"dropping-particle":"","family":"Френкель","given":"М.А.","non-dropping-particle":"","parse-names":false,"suffix":""}],"container-title":"Клиническая онкогематология: руководство для врачей. Под ред. Волковой М.А.. 2-е изд., перераб. и доп.","id":"ITEM-2","issued":{"date-parts":[["2007"]]},"page":"502-551","title":"Миелодиспластические синдромы","type":"chapter"},"uris":["http://www.mendeley.com/documents/?uuid=9f2eca44-a3a8-4eb4-90b5-a52e4e769482"]},{"id":"ITEM-3","itemData":{"DOI":"10.1002/ajh.24102","ISSN":"1096-8652","PMID":"26294090","abstract":"DISEASE OVERVIEW The myelodysplastic syndromes (MDS) are a very heterogeneous group of myeloid disorders characterized by peripheral blood cytopenias and increased risk of transformation to acute myelogenous leukemia (AML). MDS occurs more frequently in older males and in individuals with prior exposure to cytotoxic therapy. DIAGNOSIS Diagnosis of MDS is based on morphological evidence of dysplasia upon visual examination of a bone marrow aspirate and biopsy. Information obtained from additional studies such as karyotype, flow cytometry, or molecular genetics is complementary but not diagnostic. Risk-stratification: Prognosis of patients with MDS can be calculated using a number of scoring systems. In general, all these scoring systems include analysis of peripheral cytopenias, percentage of blasts in the bone marrow, and cytogenetic characteristics. The most commonly used system still is probably the International Prognostic Scoring System (IPSS). IPSS is being replaced by the new revised score IPSS-R. RISK-ADAPTED THERAPY Therapy is selected based on risk, transfusion needs, percent of bone marrow blasts, and more recently cytogenetic and mutational profiles. Goals of therapy are different in lower risk patients than in higher risk. In lower risk, the goal is to decrease transfusion needs and transformation to higher risk disease or AML, as well as to improve survival. In higher risk, the goal is to prolong survival. Current available therapies include growth factor support, lenalidomide, hypomethylating agents, intensive chemotherapy, and allogeneic stem cell transplantation. The use of lenalidomide has significant clinical activity in patients with lower risk disease, anemia, and a chromosome 5 alteration. 5-Azacitidine and decitabine have activity in higher risk MDS. 5-Azacitidine has been shown to improve survival in higher risk MDS. A number of new molecular lesions have been described in MDS that may serve as new therapeutic targets or aid in the selection of currently available agents. Additional supportive care measures may include the use of prophylactic antibiotics and iron chelation. Management of progressive or refractory disease: At the present time there are no approved interventions for patients with progressive or refractory disease particularly after hypomethylating based therapy. Options include participation in a clinical trial or cytarabine based therapy and stem cell transplantation.","author":[{"dropping-particle":"","family":"Garcia-Manero","given":"Guillermo","non-dropping-particle":"","parse-names":false,"suffix":""}],"container-title":"American journal of hematology","id":"ITEM-3","issue":"9","issued":{"date-parts":[["2015","9"]]},"page":"831-41","title":"Myelodysplastic syndromes: 2015 Update on diagnosis, risk-stratification and management.","type":"article-journal","volume":"90"},"uris":["http://www.mendeley.com/documents/?uuid=f71f5ed5-dc93-3fd3-b1f1-68c1270ac29e"]},{"id":"ITEM-4","itemData":{"DOI":"10.1182/blood-2013-03-492884","ISSN":"1528-0020","PMID":"23980065","abstract":"Within the myelodysplastic syndrome (MDS) work package of the European LeukemiaNet, an Expert Panel was selected according to the framework elements of the National Institutes of Health Consensus Development Program. A systematic review of the literature was performed that included indexed original papers, indexed reviews and educational papers, and abstracts of conference proceedings. Guidelines were developed on the basis of a list of patient- and therapy-oriented questions, and recommendations were formulated and ranked according to the supporting level of evidence. MDSs should be classified according to the 2008 World Health Organization criteria. An accurate risk assessment requires the evaluation of not only disease-related factors but also of those related to extrahematologic comorbidity. The assessment of individual risk enables the identification of fit patients with a poor prognosis who are candidates for up-front intensive treatments, primarily allogeneic stem cell transplantation. A high proportion of MDS patients are not eligible for potentially curative treatment because of advanced age and/or clinically relevant comorbidities and poor performance status. In these patients, the therapeutic intervention is aimed at preventing cytopenia-related morbidity and preserving quality of life. A number of new agents are being developed for which the available evidence is not sufficient to recommend routine use. The inclusion of patients into prospective clinical trials is strongly recommended.","author":[{"dropping-particle":"","family":"Malcovati","given":"Luca","non-dropping-particle":"","parse-names":false,"suffix":""},{"dropping-particle":"","family":"Hellström-Lindberg","given":"Eva","non-dropping-particle":"","parse-names":false,"suffix":""},{"dropping-particle":"","family":"Bowen","given":"David","non-dropping-particle":"","parse-names":false,"suffix":""},{"dropping-particle":"","family":"Adès","given":"Lionel","non-dropping-particle":"","parse-names":false,"suffix":""},{"dropping-particle":"","family":"Cermak","given":"Jaroslav","non-dropping-particle":"","parse-names":false,"suffix":""},{"dropping-particle":"","family":"Cañizo","given":"Consuelo","non-dropping-particle":"Del","parse-names":false,"suffix":""},{"dropping-particle":"","family":"Porta","given":"Matteo G","non-dropping-particle":"Della","parse-names":false,"suffix":""},{"dropping-particle":"","family":"Fenaux","given":"Pierre","non-dropping-particle":"","parse-names":false,"suffix":""},{"dropping-particle":"","family":"Gattermann","given":"Norbert","non-dropping-particle":"","parse-names":false,"suffix":""},{"dropping-particle":"","family":"Germing","given":"Ulrich","non-dropping-particle":"","parse-names":false,"suffix":""},{"dropping-particle":"","family":"Jansen","given":"Joop H","non-dropping-particle":"","parse-names":false,"suffix":""},{"dropping-particle":"","family":"Mittelman","given":"Moshe","non-dropping-particle":"","parse-names":false,"suffix":""},{"dropping-particle":"","family":"Mufti","given":"Ghulam","non-dropping-particle":"","parse-names":false,"suffix":""},{"dropping-particle":"","family":"Platzbecker","given":"Uwe","non-dropping-particle":"","parse-names":false,"suffix":""},{"dropping-particle":"","family":"Sanz","given":"Guillermo F","non-dropping-particle":"","parse-names":false,"suffix":""},{"dropping-particle":"","family":"Selleslag","given":"Dominik","non-dropping-particle":"","parse-names":false,"suffix":""},{"dropping-particle":"","family":"Skov-Holm","given":"Mette","non-dropping-particle":"","parse-names":false,"suffix":""},{"dropping-particle":"","family":"Stauder","given":"Reinhard","non-dropping-particle":"","parse-names":false,"suffix":""},{"dropping-particle":"","family":"Symeonidis","given":"Argiris","non-dropping-particle":"","parse-names":false,"suffix":""},{"dropping-particle":"","family":"Loosdrecht","given":"Arjan A","non-dropping-particle":"van de","parse-names":false,"suffix":""},{"dropping-particle":"","family":"Witte","given":"Theo","non-dropping-particle":"de","parse-names":false,"suffix":""},{"dropping-particle":"","family":"Cazzola","given":"Mario","non-dropping-particle":"","parse-names":false,"suffix":""},{"dropping-particle":"","family":"European Leukemia Net","given":"","non-dropping-particle":"","parse-names":false,"suffix":""}],"container-title":"Blood","id":"ITEM-4","issue":"17","issued":{"date-parts":[["2013","10","24"]]},"page":"2943-64","title":"Diagnosis and treatment of primary myelodysplastic syndromes in adults: recommendations from the European LeukemiaNet.","type":"article-journal","volume":"122"},"uris":["http://www.mendeley.com/documents/?uuid=8d575a93-ae56-3e05-b1b4-97a7de4aac98"]},{"id":"ITEM-5","itemData":{"author":[{"dropping-particle":"","family":"Greenberg","given":"P.L.","non-dropping-particle":"","parse-names":false,"suffix":""},{"dropping-particle":"","family":"Stone","given":"Richard M.","non-dropping-particle":"","parse-names":false,"suffix":""},{"dropping-particle":"","family":"Al-Kali","given":"Aref","non-dropping-particle":"","parse-names":false,"suffix":""},{"dropping-particle":"","family":"Bejar","given":"Rafael","non-dropping-particle":"","parse-names":false,"suffix":""},{"dropping-particle":"","family":"Bennett","given":"John M.","non-dropping-particle":"","parse-names":false,"suffix":""}],"id":"ITEM-5","issued":{"date-parts":[["2019"]]},"title":"NCCN Clinical Practice Guidelines in Oncology. Myelodysplastic syndromes","type":"article"},"uris":["http://www.mendeley.com/documents/?uuid=42bd97a2-0774-4214-9691-f403cd4a21df"]}],"mendeley":{"formattedCitation":"[1–5]","plainTextFormattedCitation":"[1–5]","previouslyFormattedCitation":"[1–5]"},"properties":{"noteIndex":0},"schema":"https://github.com/citation-style-language/schema/raw/master/csl-citation.json"}</w:instrText>
      </w:r>
      <w:r w:rsidRPr="006A377C">
        <w:rPr>
          <w:szCs w:val="24"/>
        </w:rPr>
        <w:fldChar w:fldCharType="separate"/>
      </w:r>
      <w:r w:rsidRPr="006A377C">
        <w:rPr>
          <w:noProof/>
          <w:szCs w:val="24"/>
        </w:rPr>
        <w:t>[1–5]</w:t>
      </w:r>
      <w:r w:rsidRPr="006A377C">
        <w:rPr>
          <w:szCs w:val="24"/>
        </w:rPr>
        <w:fldChar w:fldCharType="end"/>
      </w:r>
      <w:r w:rsidRPr="006A377C">
        <w:rPr>
          <w:szCs w:val="24"/>
        </w:rPr>
        <w:t>.</w:t>
      </w:r>
    </w:p>
    <w:p w14:paraId="7EC1E782" w14:textId="77777777" w:rsidR="00F20CFD" w:rsidRPr="006A377C" w:rsidRDefault="00F20CFD" w:rsidP="003146FD">
      <w:pPr>
        <w:ind w:left="709" w:hanging="1"/>
        <w:rPr>
          <w:b/>
          <w:szCs w:val="24"/>
        </w:rPr>
      </w:pPr>
      <w:r w:rsidRPr="006A377C">
        <w:rPr>
          <w:b/>
          <w:szCs w:val="24"/>
        </w:rPr>
        <w:t xml:space="preserve">Уровень убедительности рекомендаций </w:t>
      </w:r>
      <w:r w:rsidRPr="006A377C">
        <w:rPr>
          <w:b/>
          <w:szCs w:val="24"/>
          <w:lang w:val="en-US"/>
        </w:rPr>
        <w:t>C</w:t>
      </w:r>
      <w:r w:rsidRPr="006A377C">
        <w:rPr>
          <w:b/>
          <w:szCs w:val="24"/>
        </w:rPr>
        <w:t xml:space="preserve"> (уровень достоверности доказательств – 5)</w:t>
      </w:r>
    </w:p>
    <w:p w14:paraId="6FDB57BE" w14:textId="77777777" w:rsidR="00F20CFD" w:rsidRPr="006A377C" w:rsidRDefault="00F20CFD" w:rsidP="003146FD">
      <w:pPr>
        <w:ind w:left="709" w:hanging="1"/>
        <w:rPr>
          <w:i/>
          <w:szCs w:val="24"/>
        </w:rPr>
      </w:pPr>
      <w:r w:rsidRPr="006A377C">
        <w:rPr>
          <w:b/>
          <w:szCs w:val="24"/>
        </w:rPr>
        <w:lastRenderedPageBreak/>
        <w:t xml:space="preserve">Комментарии: </w:t>
      </w:r>
      <w:r w:rsidRPr="006A377C">
        <w:rPr>
          <w:i/>
          <w:szCs w:val="24"/>
        </w:rPr>
        <w:t>взрослые пациенты с первичным МДС из группы низкого риска с бессимптомной цитопенией, не требующей проведения заместительной терапии компонентами крови, не нуждаются в лечении и лишь требуют регулярного обследования. Выжидательная стратегия может измениться в будущем, в случае разработки безопасных</w:t>
      </w:r>
      <w:r w:rsidR="00834DD1">
        <w:rPr>
          <w:i/>
          <w:szCs w:val="24"/>
        </w:rPr>
        <w:t>, менее агрессивных или таргетных</w:t>
      </w:r>
      <w:r w:rsidRPr="006A377C">
        <w:rPr>
          <w:i/>
          <w:szCs w:val="24"/>
        </w:rPr>
        <w:t xml:space="preserve"> методов лечения, способных влиять на прогноз заболевания. Необходимо подчеркнуть, что пациенты</w:t>
      </w:r>
      <w:r w:rsidR="00834DD1">
        <w:rPr>
          <w:i/>
          <w:szCs w:val="24"/>
        </w:rPr>
        <w:t xml:space="preserve"> и члены их семьи</w:t>
      </w:r>
      <w:r w:rsidRPr="006A377C">
        <w:rPr>
          <w:i/>
          <w:szCs w:val="24"/>
        </w:rPr>
        <w:t xml:space="preserve"> должны понимать, что безопасность наблюдательного подхода зависит от регулярности мониторинга. Целью динамического наблюдения является раннее распознавание признаков усугубления цитопении, появления трансфузионной зависимости, увеличения числа бластных клеток в крови или КМ, а также оценка эволюции кариотипа.</w:t>
      </w:r>
    </w:p>
    <w:p w14:paraId="4CC1F50E" w14:textId="77777777" w:rsidR="00F20CFD" w:rsidRPr="006A377C" w:rsidRDefault="00F20CFD" w:rsidP="00EA7BF5">
      <w:pPr>
        <w:pStyle w:val="2"/>
      </w:pPr>
      <w:bookmarkStart w:id="17" w:name="_Toc65104092"/>
      <w:r w:rsidRPr="006A377C">
        <w:t>3.1. Консервативное лечение</w:t>
      </w:r>
      <w:bookmarkEnd w:id="17"/>
    </w:p>
    <w:p w14:paraId="47E2FC9E" w14:textId="77777777" w:rsidR="00F20CFD" w:rsidRPr="006A377C" w:rsidRDefault="00F20CFD" w:rsidP="005F2F2B">
      <w:pPr>
        <w:pStyle w:val="aff"/>
        <w:numPr>
          <w:ilvl w:val="0"/>
          <w:numId w:val="16"/>
        </w:numPr>
        <w:ind w:left="709" w:hanging="425"/>
        <w:rPr>
          <w:szCs w:val="24"/>
        </w:rPr>
      </w:pPr>
      <w:r w:rsidRPr="006A377C">
        <w:rPr>
          <w:b/>
          <w:szCs w:val="24"/>
        </w:rPr>
        <w:t xml:space="preserve"> </w:t>
      </w:r>
      <w:r w:rsidRPr="006A377C">
        <w:rPr>
          <w:szCs w:val="24"/>
        </w:rPr>
        <w:t>Всем пациентам МДС с анемическими жалобами и симптомами гипоксемии при Нв &lt;85–80 г/л</w:t>
      </w:r>
      <w:r w:rsidRPr="006A377C">
        <w:rPr>
          <w:b/>
          <w:szCs w:val="24"/>
        </w:rPr>
        <w:t xml:space="preserve"> рекомендуется</w:t>
      </w:r>
      <w:r w:rsidRPr="006A377C">
        <w:rPr>
          <w:szCs w:val="24"/>
        </w:rPr>
        <w:t xml:space="preserve"> проведение заместительной терапии эритроцитсодержащими компонентами</w:t>
      </w:r>
      <w:r w:rsidR="009C09EF">
        <w:rPr>
          <w:szCs w:val="24"/>
        </w:rPr>
        <w:t xml:space="preserve"> донорской крови</w:t>
      </w:r>
      <w:r w:rsidRPr="006A377C">
        <w:rPr>
          <w:szCs w:val="24"/>
        </w:rPr>
        <w:t xml:space="preserve"> для компенсации</w:t>
      </w:r>
      <w:r w:rsidR="00B77B5E">
        <w:rPr>
          <w:szCs w:val="24"/>
        </w:rPr>
        <w:t>/купирования</w:t>
      </w:r>
      <w:r w:rsidRPr="006A377C">
        <w:rPr>
          <w:szCs w:val="24"/>
        </w:rPr>
        <w:t xml:space="preserve"> симптомов анемии </w:t>
      </w:r>
      <w:r w:rsidRPr="006A377C">
        <w:rPr>
          <w:szCs w:val="24"/>
        </w:rPr>
        <w:fldChar w:fldCharType="begin" w:fldLock="1"/>
      </w:r>
      <w:r w:rsidR="00AE1E12">
        <w:rPr>
          <w:szCs w:val="24"/>
        </w:rPr>
        <w:instrText>ADDIN CSL_CITATION {"citationItems":[{"id":"ITEM-1","itemData":{"DOI":"10.1111/bjh.14641","ISSN":"1365-2141","PMID":"28589623","abstract":"Haemato-oncological patients receive many red blood cell (RBC) transfusions, however evidence-based guidelines are lacking. Our aim is to quantify the effect of restrictive and liberal RBC transfusion strategies on clinical outcomes and blood use in haemato-oncological patients. A literature search, last updated on 11 August 2016, was performed in PubMed, EMBASE (Excerpta Medica Database), Web of Science, Cochrane, CINAHL (Cumulative Index to Nursing and Allied Health Literature) and Academic Search Premier without restrictions on language and year of publication. Randomized controlled trials and observational studies that compared different RBC transfusion strategies in haemato-oncological patients were eligible for inclusion. Risk of bias assessment according to the Cochrane collaboration's tool and Newcastle-Ottawa scale was performed. After removing duplicates, 1142 publications were identified. Eventually, 15 studies were included, reporting on 2636 patients. The pooled relative risk for mortality was 0·68 [95% confidence interval (CI) 0·46-1·01] in favour of the restrictive strategy. The mean RBC use was reduced with 1·40 units (95% CI 0·70-2·09) per transfused patient per therapy cycle in the restrictive strategy group. There were no differences in safety outcomes. All currently available evidence suggests that restrictive strategies do not have a negative impact regarding clinical outcomes in haemato-oncological patients, while it reduces RBC use and associated costs.","author":[{"dropping-particle":"","family":"Hoeks","given":"Marlijn P A","non-dropping-particle":"","parse-names":false,"suffix":""},{"dropping-particle":"","family":"Kranenburg","given":"Floris J","non-dropping-particle":"","parse-names":false,"suffix":""},{"dropping-particle":"","family":"Middelburg","given":"Rutger A","non-dropping-particle":"","parse-names":false,"suffix":""},{"dropping-particle":"","family":"Kraaij","given":"Marian G J","non-dropping-particle":"van","parse-names":false,"suffix":""},{"dropping-particle":"","family":"Zwaginga","given":"Jaap-Jan","non-dropping-particle":"","parse-names":false,"suffix":""}],"container-title":"British journal of haematology","id":"ITEM-1","issue":"1","issued":{"date-parts":[["2017"]]},"page":"137-151","title":"Impact of red blood cell transfusion strategies in haemato-oncological patients: a systematic review and meta-analysis.","type":"article-journal","volume":"178"},"uris":["http://www.mendeley.com/documents/?uuid=c2859810-a9a3-34c6-ba65-42e02ddef16f"]}],"mendeley":{"formattedCitation":"[66]","plainTextFormattedCitation":"[66]","previouslyFormattedCitation":"[66]"},"properties":{"noteIndex":0},"schema":"https://github.com/citation-style-language/schema/raw/master/csl-citation.json"}</w:instrText>
      </w:r>
      <w:r w:rsidRPr="006A377C">
        <w:rPr>
          <w:szCs w:val="24"/>
        </w:rPr>
        <w:fldChar w:fldCharType="separate"/>
      </w:r>
      <w:r w:rsidR="00AE1E12" w:rsidRPr="00AE1E12">
        <w:rPr>
          <w:noProof/>
          <w:szCs w:val="24"/>
        </w:rPr>
        <w:t>[66]</w:t>
      </w:r>
      <w:r w:rsidRPr="006A377C">
        <w:rPr>
          <w:szCs w:val="24"/>
        </w:rPr>
        <w:fldChar w:fldCharType="end"/>
      </w:r>
      <w:r w:rsidRPr="006A377C">
        <w:rPr>
          <w:szCs w:val="24"/>
        </w:rPr>
        <w:t>.</w:t>
      </w:r>
    </w:p>
    <w:p w14:paraId="6A020DC4" w14:textId="77777777" w:rsidR="00F20CFD" w:rsidRPr="006A377C" w:rsidRDefault="00F20CFD" w:rsidP="005017D1">
      <w:pPr>
        <w:ind w:left="709" w:hanging="1"/>
        <w:rPr>
          <w:b/>
          <w:szCs w:val="24"/>
        </w:rPr>
      </w:pPr>
      <w:r w:rsidRPr="006A377C">
        <w:rPr>
          <w:b/>
          <w:szCs w:val="24"/>
        </w:rPr>
        <w:t xml:space="preserve">Уровень убедительности рекомендаций </w:t>
      </w:r>
      <w:r w:rsidRPr="006A377C">
        <w:rPr>
          <w:b/>
          <w:szCs w:val="24"/>
          <w:lang w:val="en-US"/>
        </w:rPr>
        <w:t>A</w:t>
      </w:r>
      <w:r w:rsidRPr="006A377C">
        <w:rPr>
          <w:b/>
          <w:szCs w:val="24"/>
        </w:rPr>
        <w:t xml:space="preserve"> (уровень достоверности доказательств – </w:t>
      </w:r>
      <w:r w:rsidR="00113507">
        <w:rPr>
          <w:b/>
          <w:szCs w:val="24"/>
        </w:rPr>
        <w:t>1</w:t>
      </w:r>
      <w:r w:rsidRPr="006A377C">
        <w:rPr>
          <w:b/>
          <w:szCs w:val="24"/>
        </w:rPr>
        <w:t>)</w:t>
      </w:r>
    </w:p>
    <w:p w14:paraId="6BD70645" w14:textId="77777777" w:rsidR="00F20CFD" w:rsidRPr="006A377C" w:rsidRDefault="00F20CFD" w:rsidP="005017D1">
      <w:pPr>
        <w:ind w:left="709" w:hanging="1"/>
        <w:rPr>
          <w:i/>
          <w:szCs w:val="24"/>
        </w:rPr>
      </w:pPr>
      <w:r w:rsidRPr="006A377C">
        <w:rPr>
          <w:b/>
          <w:szCs w:val="24"/>
        </w:rPr>
        <w:t xml:space="preserve">Комментарии: </w:t>
      </w:r>
      <w:r w:rsidRPr="006A377C">
        <w:rPr>
          <w:i/>
          <w:szCs w:val="24"/>
        </w:rPr>
        <w:t xml:space="preserve">данные о показаниях к использованию трансфузии эритроцитов при МДС носят ограниченный характер. Зависимость от заместительной терапии эритроцитной массой у пациентов с МДС ассоциируется с плохим прогнозом и, как правило, объясняется более агрессивным характером течения болезни, </w:t>
      </w:r>
      <w:r w:rsidR="00B77B5E">
        <w:rPr>
          <w:i/>
          <w:szCs w:val="24"/>
        </w:rPr>
        <w:t xml:space="preserve">наличием </w:t>
      </w:r>
      <w:r w:rsidRPr="006A377C">
        <w:rPr>
          <w:i/>
          <w:szCs w:val="24"/>
        </w:rPr>
        <w:t>тяжелой анемией и токсичностью, связанной с трансфузиями. Уровень гемоглобина ниже 90 г/л для мужчин и 80 г/л для женщин является независимым фактором прогноза, связанным с сокращением ОВ и высоким риском фатальных сердечно-сосудистых осложнений.</w:t>
      </w:r>
    </w:p>
    <w:p w14:paraId="33187EC0" w14:textId="77777777" w:rsidR="00F20CFD" w:rsidRPr="006A377C" w:rsidRDefault="00F20CFD" w:rsidP="00F14380">
      <w:pPr>
        <w:ind w:left="709" w:hanging="1"/>
        <w:rPr>
          <w:i/>
          <w:szCs w:val="24"/>
        </w:rPr>
      </w:pPr>
      <w:r w:rsidRPr="006A377C">
        <w:rPr>
          <w:i/>
          <w:szCs w:val="24"/>
        </w:rPr>
        <w:t xml:space="preserve">Никакой конкретный уровень гемоглобина не может быть рекомендован в качестве порогового и определяющего показания к трансфузионной поддержке. Решение следует принимать на основании имеющихся у пациента </w:t>
      </w:r>
      <w:r w:rsidRPr="00610E58">
        <w:rPr>
          <w:i/>
          <w:color w:val="000000" w:themeColor="text1"/>
        </w:rPr>
        <w:t>симптомов и сопутствующих заболеваний. Формализуя вышесказанное</w:t>
      </w:r>
      <w:r w:rsidR="00EE4656">
        <w:rPr>
          <w:i/>
          <w:color w:val="000000" w:themeColor="text1"/>
        </w:rPr>
        <w:t>,</w:t>
      </w:r>
      <w:r w:rsidR="00F14380" w:rsidRPr="002713DD">
        <w:rPr>
          <w:i/>
          <w:color w:val="000000" w:themeColor="text1"/>
          <w:szCs w:val="24"/>
        </w:rPr>
        <w:t xml:space="preserve"> Экспертная группа по диагностике и лечению пациентов</w:t>
      </w:r>
      <w:r w:rsidR="00F14380" w:rsidRPr="00610E58">
        <w:rPr>
          <w:i/>
          <w:color w:val="000000" w:themeColor="text1"/>
        </w:rPr>
        <w:t xml:space="preserve"> с </w:t>
      </w:r>
      <w:r w:rsidR="00F14380" w:rsidRPr="002713DD">
        <w:rPr>
          <w:i/>
          <w:color w:val="000000" w:themeColor="text1"/>
          <w:szCs w:val="24"/>
        </w:rPr>
        <w:t>МДС рекомендует в</w:t>
      </w:r>
      <w:r w:rsidR="003056EF" w:rsidRPr="002713DD">
        <w:rPr>
          <w:i/>
          <w:color w:val="000000" w:themeColor="text1"/>
          <w:szCs w:val="24"/>
        </w:rPr>
        <w:t>ыполнение трансфузий</w:t>
      </w:r>
      <w:r w:rsidR="00F14380" w:rsidRPr="002713DD">
        <w:rPr>
          <w:i/>
          <w:color w:val="000000" w:themeColor="text1"/>
          <w:szCs w:val="24"/>
        </w:rPr>
        <w:t xml:space="preserve"> эритроцитсодержащих </w:t>
      </w:r>
      <w:r w:rsidR="00BF1879" w:rsidRPr="002713DD">
        <w:rPr>
          <w:i/>
          <w:color w:val="000000" w:themeColor="text1"/>
          <w:szCs w:val="24"/>
        </w:rPr>
        <w:t xml:space="preserve">компонентов </w:t>
      </w:r>
      <w:r w:rsidR="00F14380" w:rsidRPr="002713DD">
        <w:rPr>
          <w:i/>
          <w:color w:val="000000" w:themeColor="text1"/>
          <w:szCs w:val="24"/>
        </w:rPr>
        <w:t>при снижении</w:t>
      </w:r>
      <w:r w:rsidR="00F14380" w:rsidRPr="00610E58">
        <w:rPr>
          <w:i/>
          <w:color w:val="000000" w:themeColor="text1"/>
        </w:rPr>
        <w:t xml:space="preserve"> гемоглобина ниже 85</w:t>
      </w:r>
      <w:r w:rsidR="00F14380" w:rsidRPr="002713DD">
        <w:rPr>
          <w:i/>
          <w:color w:val="000000" w:themeColor="text1"/>
          <w:szCs w:val="24"/>
        </w:rPr>
        <w:t>-</w:t>
      </w:r>
      <w:r w:rsidR="00F14380" w:rsidRPr="00610E58">
        <w:rPr>
          <w:i/>
          <w:color w:val="000000" w:themeColor="text1"/>
        </w:rPr>
        <w:t>80</w:t>
      </w:r>
      <w:r w:rsidR="002713DD" w:rsidRPr="00610E58">
        <w:rPr>
          <w:i/>
          <w:color w:val="000000" w:themeColor="text1"/>
        </w:rPr>
        <w:t xml:space="preserve"> </w:t>
      </w:r>
      <w:r w:rsidR="00F14380" w:rsidRPr="00610E58">
        <w:rPr>
          <w:i/>
          <w:color w:val="000000" w:themeColor="text1"/>
        </w:rPr>
        <w:t>г/л</w:t>
      </w:r>
      <w:r w:rsidR="003056EF" w:rsidRPr="002713DD">
        <w:rPr>
          <w:i/>
          <w:color w:val="000000" w:themeColor="text1"/>
          <w:szCs w:val="24"/>
        </w:rPr>
        <w:t xml:space="preserve"> </w:t>
      </w:r>
      <w:r w:rsidRPr="00610E58">
        <w:rPr>
          <w:i/>
          <w:color w:val="000000" w:themeColor="text1"/>
        </w:rPr>
        <w:t xml:space="preserve"> </w:t>
      </w:r>
      <w:r w:rsidRPr="006A377C">
        <w:rPr>
          <w:i/>
          <w:szCs w:val="24"/>
        </w:rPr>
        <w:t>и клиническими симптомами умеренной анемии. Трансфузии донорских эритроцитов необходимо проводить с учетом фенотипа по резус-фактору.</w:t>
      </w:r>
    </w:p>
    <w:p w14:paraId="4DC364FD" w14:textId="77777777" w:rsidR="00F20CFD" w:rsidRPr="006A377C" w:rsidRDefault="00F20CFD" w:rsidP="005F2F2B">
      <w:pPr>
        <w:pStyle w:val="aff"/>
        <w:numPr>
          <w:ilvl w:val="0"/>
          <w:numId w:val="16"/>
        </w:numPr>
        <w:ind w:left="709" w:hanging="425"/>
        <w:rPr>
          <w:szCs w:val="24"/>
        </w:rPr>
      </w:pPr>
      <w:r w:rsidRPr="006A377C">
        <w:rPr>
          <w:szCs w:val="24"/>
        </w:rPr>
        <w:lastRenderedPageBreak/>
        <w:t>Пациентам МДС при развитии критической тромбоцитопении (&lt;10</w:t>
      </w:r>
      <w:r w:rsidRPr="006A377C">
        <w:rPr>
          <w:noProof/>
          <w:szCs w:val="24"/>
        </w:rPr>
        <w:t>–</w:t>
      </w:r>
      <w:r w:rsidRPr="006A377C">
        <w:rPr>
          <w:szCs w:val="24"/>
        </w:rPr>
        <w:t>20×10</w:t>
      </w:r>
      <w:r w:rsidRPr="006A377C">
        <w:rPr>
          <w:szCs w:val="24"/>
          <w:vertAlign w:val="superscript"/>
        </w:rPr>
        <w:t>9</w:t>
      </w:r>
      <w:r w:rsidRPr="006A377C">
        <w:rPr>
          <w:szCs w:val="24"/>
        </w:rPr>
        <w:t>/л)</w:t>
      </w:r>
      <w:r w:rsidRPr="006A377C">
        <w:rPr>
          <w:b/>
          <w:szCs w:val="24"/>
        </w:rPr>
        <w:t xml:space="preserve"> рекомендуется</w:t>
      </w:r>
      <w:r w:rsidRPr="006A377C">
        <w:rPr>
          <w:szCs w:val="24"/>
        </w:rPr>
        <w:t xml:space="preserve"> проведение заместительной терапии тромбоцитными концентратами для профилактики геморрагических осложнений</w:t>
      </w:r>
      <w:r w:rsidR="002D7F54">
        <w:rPr>
          <w:szCs w:val="24"/>
        </w:rPr>
        <w:t>, а при их наличии и при более высоких показателях тромбоцитов, с целью купирования геморрагических осложнений</w:t>
      </w:r>
      <w:r w:rsidRPr="006A377C">
        <w:rPr>
          <w:szCs w:val="24"/>
        </w:rPr>
        <w:t xml:space="preserve"> </w:t>
      </w:r>
      <w:r w:rsidRPr="006A377C">
        <w:rPr>
          <w:szCs w:val="24"/>
        </w:rPr>
        <w:fldChar w:fldCharType="begin" w:fldLock="1"/>
      </w:r>
      <w:r w:rsidRPr="006A377C">
        <w:rPr>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id":"ITEM-2","itemData":{"author":[{"dropping-particle":"","family":"Ширин","given":"А.Д.","non-dropping-particle":"","parse-names":false,"suffix":""},{"dropping-particle":"","family":"Френкель","given":"М.А.","non-dropping-particle":"","parse-names":false,"suffix":""}],"container-title":"Клиническая онкогематология: руководство для врачей. Под ред. Волковой М.А.. 2-е изд., перераб. и доп.","id":"ITEM-2","issued":{"date-parts":[["2007"]]},"page":"502-551","title":"Миелодиспластические синдромы","type":"chapter"},"uris":["http://www.mendeley.com/documents/?uuid=9f2eca44-a3a8-4eb4-90b5-a52e4e769482"]},{"id":"ITEM-3","itemData":{"DOI":"10.1002/ajh.24102","ISSN":"1096-8652","PMID":"26294090","abstract":"DISEASE OVERVIEW The myelodysplastic syndromes (MDS) are a very heterogeneous group of myeloid disorders characterized by peripheral blood cytopenias and increased risk of transformation to acute myelogenous leukemia (AML). MDS occurs more frequently in older males and in individuals with prior exposure to cytotoxic therapy. DIAGNOSIS Diagnosis of MDS is based on morphological evidence of dysplasia upon visual examination of a bone marrow aspirate and biopsy. Information obtained from additional studies such as karyotype, flow cytometry, or molecular genetics is complementary but not diagnostic. Risk-stratification: Prognosis of patients with MDS can be calculated using a number of scoring systems. In general, all these scoring systems include analysis of peripheral cytopenias, percentage of blasts in the bone marrow, and cytogenetic characteristics. The most commonly used system still is probably the International Prognostic Scoring System (IPSS). IPSS is being replaced by the new revised score IPSS-R. RISK-ADAPTED THERAPY Therapy is selected based on risk, transfusion needs, percent of bone marrow blasts, and more recently cytogenetic and mutational profiles. Goals of therapy are different in lower risk patients than in higher risk. In lower risk, the goal is to decrease transfusion needs and transformation to higher risk disease or AML, as well as to improve survival. In higher risk, the goal is to prolong survival. Current available therapies include growth factor support, lenalidomide, hypomethylating agents, intensive chemotherapy, and allogeneic stem cell transplantation. The use of lenalidomide has significant clinical activity in patients with lower risk disease, anemia, and a chromosome 5 alteration. 5-Azacitidine and decitabine have activity in higher risk MDS. 5-Azacitidine has been shown to improve survival in higher risk MDS. A number of new molecular lesions have been described in MDS that may serve as new therapeutic targets or aid in the selection of currently available agents. Additional supportive care measures may include the use of prophylactic antibiotics and iron chelation. Management of progressive or refractory disease: At the present time there are no approved interventions for patients with progressive or refractory disease particularly after hypomethylating based therapy. Options include participation in a clinical trial or cytarabine based therapy and stem cell transplantation.","author":[{"dropping-particle":"","family":"Garcia-Manero","given":"Guillermo","non-dropping-particle":"","parse-names":false,"suffix":""}],"container-title":"American journal of hematology","id":"ITEM-3","issue":"9","issued":{"date-parts":[["2015","9"]]},"page":"831-41","title":"Myelodysplastic syndromes: 2015 Update on diagnosis, risk-stratification and management.","type":"article-journal","volume":"90"},"uris":["http://www.mendeley.com/documents/?uuid=f71f5ed5-dc93-3fd3-b1f1-68c1270ac29e"]},{"id":"ITEM-4","itemData":{"DOI":"10.1182/blood-2013-03-492884","ISSN":"1528-0020","PMID":"23980065","abstract":"Within the myelodysplastic syndrome (MDS) work package of the European LeukemiaNet, an Expert Panel was selected according to the framework elements of the National Institutes of Health Consensus Development Program. A systematic review of the literature was performed that included indexed original papers, indexed reviews and educational papers, and abstracts of conference proceedings. Guidelines were developed on the basis of a list of patient- and therapy-oriented questions, and recommendations were formulated and ranked according to the supporting level of evidence. MDSs should be classified according to the 2008 World Health Organization criteria. An accurate risk assessment requires the evaluation of not only disease-related factors but also of those related to extrahematologic comorbidity. The assessment of individual risk enables the identification of fit patients with a poor prognosis who are candidates for up-front intensive treatments, primarily allogeneic stem cell transplantation. A high proportion of MDS patients are not eligible for potentially curative treatment because of advanced age and/or clinically relevant comorbidities and poor performance status. In these patients, the therapeutic intervention is aimed at preventing cytopenia-related morbidity and preserving quality of life. A number of new agents are being developed for which the available evidence is not sufficient to recommend routine use. The inclusion of patients into prospective clinical trials is strongly recommended.","author":[{"dropping-particle":"","family":"Malcovati","given":"Luca","non-dropping-particle":"","parse-names":false,"suffix":""},{"dropping-particle":"","family":"Hellström-Lindberg","given":"Eva","non-dropping-particle":"","parse-names":false,"suffix":""},{"dropping-particle":"","family":"Bowen","given":"David","non-dropping-particle":"","parse-names":false,"suffix":""},{"dropping-particle":"","family":"Adès","given":"Lionel","non-dropping-particle":"","parse-names":false,"suffix":""},{"dropping-particle":"","family":"Cermak","given":"Jaroslav","non-dropping-particle":"","parse-names":false,"suffix":""},{"dropping-particle":"","family":"Cañizo","given":"Consuelo","non-dropping-particle":"Del","parse-names":false,"suffix":""},{"dropping-particle":"","family":"Porta","given":"Matteo G","non-dropping-particle":"Della","parse-names":false,"suffix":""},{"dropping-particle":"","family":"Fenaux","given":"Pierre","non-dropping-particle":"","parse-names":false,"suffix":""},{"dropping-particle":"","family":"Gattermann","given":"Norbert","non-dropping-particle":"","parse-names":false,"suffix":""},{"dropping-particle":"","family":"Germing","given":"Ulrich","non-dropping-particle":"","parse-names":false,"suffix":""},{"dropping-particle":"","family":"Jansen","given":"Joop H","non-dropping-particle":"","parse-names":false,"suffix":""},{"dropping-particle":"","family":"Mittelman","given":"Moshe","non-dropping-particle":"","parse-names":false,"suffix":""},{"dropping-particle":"","family":"Mufti","given":"Ghulam","non-dropping-particle":"","parse-names":false,"suffix":""},{"dropping-particle":"","family":"Platzbecker","given":"Uwe","non-dropping-particle":"","parse-names":false,"suffix":""},{"dropping-particle":"","family":"Sanz","given":"Guillermo F","non-dropping-particle":"","parse-names":false,"suffix":""},{"dropping-particle":"","family":"Selleslag","given":"Dominik","non-dropping-particle":"","parse-names":false,"suffix":""},{"dropping-particle":"","family":"Skov-Holm","given":"Mette","non-dropping-particle":"","parse-names":false,"suffix":""},{"dropping-particle":"","family":"Stauder","given":"Reinhard","non-dropping-particle":"","parse-names":false,"suffix":""},{"dropping-particle":"","family":"Symeonidis","given":"Argiris","non-dropping-particle":"","parse-names":false,"suffix":""},{"dropping-particle":"","family":"Loosdrecht","given":"Arjan A","non-dropping-particle":"van de","parse-names":false,"suffix":""},{"dropping-particle":"","family":"Witte","given":"Theo","non-dropping-particle":"de","parse-names":false,"suffix":""},{"dropping-particle":"","family":"Cazzola","given":"Mario","non-dropping-particle":"","parse-names":false,"suffix":""},{"dropping-particle":"","family":"European Leukemia Net","given":"","non-dropping-particle":"","parse-names":false,"suffix":""}],"container-title":"Blood","id":"ITEM-4","issue":"17","issued":{"date-parts":[["2013","10","24"]]},"page":"2943-64","title":"Diagnosis and treatment of primary myelodysplastic syndromes in adults: recommendations from the European LeukemiaNet.","type":"article-journal","volume":"122"},"uris":["http://www.mendeley.com/documents/?uuid=8d575a93-ae56-3e05-b1b4-97a7de4aac98"]},{"id":"ITEM-5","itemData":{"author":[{"dropping-particle":"","family":"Greenberg","given":"P.L.","non-dropping-particle":"","parse-names":false,"suffix":""},{"dropping-particle":"","family":"Stone","given":"Richard M.","non-dropping-particle":"","parse-names":false,"suffix":""},{"dropping-particle":"","family":"Al-Kali","given":"Aref","non-dropping-particle":"","parse-names":false,"suffix":""},{"dropping-particle":"","family":"Bejar","given":"Rafael","non-dropping-particle":"","parse-names":false,"suffix":""},{"dropping-particle":"","family":"Bennett","given":"John M.","non-dropping-particle":"","parse-names":false,"suffix":""}],"id":"ITEM-5","issued":{"date-parts":[["2019"]]},"title":"NCCN Clinical Practice Guidelines in Oncology. Myelodysplastic syndromes","type":"article"},"uris":["http://www.mendeley.com/documents/?uuid=42bd97a2-0774-4214-9691-f403cd4a21df"]}],"mendeley":{"formattedCitation":"[1–5]","plainTextFormattedCitation":"[1–5]","previouslyFormattedCitation":"[1–5]"},"properties":{"noteIndex":0},"schema":"https://github.com/citation-style-language/schema/raw/master/csl-citation.json"}</w:instrText>
      </w:r>
      <w:r w:rsidRPr="006A377C">
        <w:rPr>
          <w:szCs w:val="24"/>
        </w:rPr>
        <w:fldChar w:fldCharType="separate"/>
      </w:r>
      <w:r w:rsidRPr="006A377C">
        <w:rPr>
          <w:noProof/>
          <w:szCs w:val="24"/>
        </w:rPr>
        <w:t>[1–5]</w:t>
      </w:r>
      <w:r w:rsidRPr="006A377C">
        <w:rPr>
          <w:szCs w:val="24"/>
        </w:rPr>
        <w:fldChar w:fldCharType="end"/>
      </w:r>
      <w:r w:rsidRPr="006A377C">
        <w:rPr>
          <w:szCs w:val="24"/>
        </w:rPr>
        <w:t>.</w:t>
      </w:r>
    </w:p>
    <w:p w14:paraId="5C06248F" w14:textId="77777777" w:rsidR="00F20CFD" w:rsidRPr="006A377C" w:rsidRDefault="00F20CFD" w:rsidP="005017D1">
      <w:pPr>
        <w:ind w:left="709" w:hanging="1"/>
        <w:rPr>
          <w:b/>
          <w:szCs w:val="24"/>
        </w:rPr>
      </w:pPr>
      <w:r w:rsidRPr="006A377C">
        <w:rPr>
          <w:b/>
          <w:szCs w:val="24"/>
        </w:rPr>
        <w:t xml:space="preserve">Уровень убедительности рекомендаций </w:t>
      </w:r>
      <w:r w:rsidRPr="006A377C">
        <w:rPr>
          <w:b/>
          <w:szCs w:val="24"/>
          <w:lang w:val="en-US"/>
        </w:rPr>
        <w:t>C</w:t>
      </w:r>
      <w:r w:rsidRPr="006A377C">
        <w:rPr>
          <w:b/>
          <w:szCs w:val="24"/>
        </w:rPr>
        <w:t xml:space="preserve"> (уровень достоверности доказательств – 5)</w:t>
      </w:r>
    </w:p>
    <w:p w14:paraId="72B57C4E" w14:textId="77777777" w:rsidR="00F20CFD" w:rsidRPr="006A377C" w:rsidRDefault="00F20CFD" w:rsidP="005017D1">
      <w:pPr>
        <w:ind w:left="709" w:hanging="1"/>
        <w:rPr>
          <w:i/>
          <w:szCs w:val="24"/>
        </w:rPr>
      </w:pPr>
      <w:r w:rsidRPr="006A377C">
        <w:rPr>
          <w:b/>
          <w:szCs w:val="24"/>
        </w:rPr>
        <w:t xml:space="preserve">Комментарии: </w:t>
      </w:r>
      <w:r w:rsidRPr="006A377C">
        <w:rPr>
          <w:i/>
          <w:szCs w:val="24"/>
        </w:rPr>
        <w:t>уровень тромбоцитов, при котором у пациентов с МДС возникают геморрагические осложнения, четко не определен и варьирует от пациента к пациенту. Имеющиеся данные о показаниях к трансфузии тромбоцитов при МДС крайне ограничены.</w:t>
      </w:r>
    </w:p>
    <w:p w14:paraId="376EADEE" w14:textId="77777777" w:rsidR="00F20CFD" w:rsidRPr="006A377C" w:rsidRDefault="00F20CFD" w:rsidP="005017D1">
      <w:pPr>
        <w:ind w:left="709" w:hanging="1"/>
        <w:rPr>
          <w:i/>
          <w:szCs w:val="24"/>
        </w:rPr>
      </w:pPr>
      <w:r w:rsidRPr="006A377C">
        <w:rPr>
          <w:i/>
          <w:szCs w:val="24"/>
        </w:rPr>
        <w:t>Профилактическая трансфузия тромбоцитов рекомендуется пациентам с уровнем тромбоцитов ниже 10,0×10</w:t>
      </w:r>
      <w:r w:rsidRPr="006A377C">
        <w:rPr>
          <w:i/>
          <w:szCs w:val="24"/>
          <w:vertAlign w:val="superscript"/>
        </w:rPr>
        <w:t>9</w:t>
      </w:r>
      <w:r w:rsidRPr="006A377C">
        <w:rPr>
          <w:i/>
          <w:szCs w:val="24"/>
        </w:rPr>
        <w:t>/л или при уровне ниже 20,0×10</w:t>
      </w:r>
      <w:r w:rsidRPr="006A377C">
        <w:rPr>
          <w:i/>
          <w:szCs w:val="24"/>
          <w:vertAlign w:val="superscript"/>
        </w:rPr>
        <w:t>9</w:t>
      </w:r>
      <w:r w:rsidRPr="006A377C">
        <w:rPr>
          <w:i/>
          <w:szCs w:val="24"/>
        </w:rPr>
        <w:t>/л при наличии любого фактора риска для развития кровотечения (лихорадка, инфекция, быстрое снижение тромбоцитов, инвазивные процедуры), при условии, что тромбоцитопения приходящая. Многолетняя тромбоцитопения без геморрагического синдрома не нуждается в регулярных профилактических трансфузиях тромбоцитов.</w:t>
      </w:r>
    </w:p>
    <w:p w14:paraId="2C134506" w14:textId="77777777" w:rsidR="00F20CFD" w:rsidRPr="006A377C" w:rsidRDefault="00F20CFD" w:rsidP="005F2F2B">
      <w:pPr>
        <w:pStyle w:val="aff"/>
        <w:numPr>
          <w:ilvl w:val="0"/>
          <w:numId w:val="16"/>
        </w:numPr>
        <w:ind w:left="709" w:hanging="425"/>
        <w:rPr>
          <w:szCs w:val="24"/>
        </w:rPr>
      </w:pPr>
      <w:r w:rsidRPr="006A377C">
        <w:rPr>
          <w:szCs w:val="24"/>
        </w:rPr>
        <w:t xml:space="preserve">Пациентам с МДС из группы низкого риска и промежуточного-1 риска по шкале </w:t>
      </w:r>
      <w:r w:rsidRPr="006A377C">
        <w:rPr>
          <w:szCs w:val="24"/>
          <w:lang w:val="en-US"/>
        </w:rPr>
        <w:t>IPSS</w:t>
      </w:r>
      <w:r w:rsidRPr="006A377C">
        <w:rPr>
          <w:szCs w:val="24"/>
        </w:rPr>
        <w:t xml:space="preserve"> и группы очень низкого, низкого и промежуточного риска по шкале </w:t>
      </w:r>
      <w:r w:rsidRPr="006A377C">
        <w:rPr>
          <w:szCs w:val="24"/>
          <w:lang w:val="en-US"/>
        </w:rPr>
        <w:t>IPSS</w:t>
      </w:r>
      <w:r w:rsidRPr="006A377C">
        <w:rPr>
          <w:szCs w:val="24"/>
        </w:rPr>
        <w:t>-</w:t>
      </w:r>
      <w:r w:rsidRPr="006A377C">
        <w:rPr>
          <w:szCs w:val="24"/>
          <w:lang w:val="en-US"/>
        </w:rPr>
        <w:t>R</w:t>
      </w:r>
      <w:r w:rsidRPr="006A377C">
        <w:rPr>
          <w:szCs w:val="24"/>
        </w:rPr>
        <w:t xml:space="preserve"> (</w:t>
      </w:r>
      <w:r w:rsidR="00B63F37">
        <w:rPr>
          <w:szCs w:val="24"/>
        </w:rPr>
        <w:t>см. раздел 7.1 данных рекомендаций</w:t>
      </w:r>
      <w:r w:rsidRPr="006A377C">
        <w:rPr>
          <w:szCs w:val="24"/>
        </w:rPr>
        <w:t xml:space="preserve">); всем кандидатам на проведение алло-ТГСК; пациентам с МДС из группы промежуточного-2 и высокого риска по шкале </w:t>
      </w:r>
      <w:r w:rsidRPr="006A377C">
        <w:rPr>
          <w:szCs w:val="24"/>
          <w:lang w:val="en-US"/>
        </w:rPr>
        <w:t>IPSS</w:t>
      </w:r>
      <w:r w:rsidRPr="006A377C">
        <w:rPr>
          <w:szCs w:val="24"/>
        </w:rPr>
        <w:t xml:space="preserve"> и из группы промежуточного, высокого и очень высокого риска по шкале </w:t>
      </w:r>
      <w:r w:rsidRPr="006A377C">
        <w:rPr>
          <w:szCs w:val="24"/>
          <w:lang w:val="en-US"/>
        </w:rPr>
        <w:t>IPSS</w:t>
      </w:r>
      <w:r w:rsidRPr="006A377C">
        <w:rPr>
          <w:szCs w:val="24"/>
        </w:rPr>
        <w:t>-</w:t>
      </w:r>
      <w:r w:rsidRPr="006A377C">
        <w:rPr>
          <w:szCs w:val="24"/>
          <w:lang w:val="en-US"/>
        </w:rPr>
        <w:t>R</w:t>
      </w:r>
      <w:r w:rsidRPr="006A377C">
        <w:rPr>
          <w:szCs w:val="24"/>
        </w:rPr>
        <w:t xml:space="preserve"> при достижении ремиссии МДС, после трансфузии 10</w:t>
      </w:r>
      <w:r w:rsidRPr="006A377C">
        <w:rPr>
          <w:noProof/>
          <w:szCs w:val="24"/>
        </w:rPr>
        <w:t>–</w:t>
      </w:r>
      <w:r w:rsidRPr="006A377C">
        <w:rPr>
          <w:szCs w:val="24"/>
        </w:rPr>
        <w:t xml:space="preserve">20 доз донорских эритроцитов, при повышении сывороточного ферритина более 1000 нг/мл </w:t>
      </w:r>
      <w:r w:rsidRPr="006A377C">
        <w:rPr>
          <w:b/>
          <w:szCs w:val="24"/>
        </w:rPr>
        <w:t>рекомендуется</w:t>
      </w:r>
      <w:r w:rsidRPr="006A377C">
        <w:rPr>
          <w:szCs w:val="24"/>
        </w:rPr>
        <w:t xml:space="preserve"> </w:t>
      </w:r>
      <w:r w:rsidRPr="00EE4656">
        <w:rPr>
          <w:szCs w:val="24"/>
        </w:rPr>
        <w:t xml:space="preserve">проведение хелаторной терапии </w:t>
      </w:r>
      <w:r w:rsidR="00EE4656" w:rsidRPr="00771C64">
        <w:rPr>
          <w:szCs w:val="24"/>
        </w:rPr>
        <w:t>#</w:t>
      </w:r>
      <w:r w:rsidRPr="00EE4656">
        <w:rPr>
          <w:szCs w:val="24"/>
        </w:rPr>
        <w:t>деферазироксом** для устранения избыточного</w:t>
      </w:r>
      <w:r w:rsidRPr="006A377C">
        <w:rPr>
          <w:szCs w:val="24"/>
        </w:rPr>
        <w:t xml:space="preserve"> накопления железа </w:t>
      </w:r>
      <w:r w:rsidRPr="006A377C">
        <w:rPr>
          <w:szCs w:val="24"/>
        </w:rPr>
        <w:fldChar w:fldCharType="begin" w:fldLock="1"/>
      </w:r>
      <w:r w:rsidR="00AE1E12">
        <w:rPr>
          <w:szCs w:val="24"/>
        </w:rPr>
        <w:instrText>ADDIN CSL_CITATION {"citationItems":[{"id":"ITEM-1","itemData":{"DOI":"10.1016/j.leukres.2009.12.004","ISSN":"1873-5835","PMID":"20129667","abstract":"BACKGROUND Iron chelation therapy (CT) improves survival in thalassemia major but its beneficial effects on survival in MDS patients remain uncertain. METHODS We analyzed, by multivariate analysis, survival and causes of deaths in 97 low or intermediate 1 IPSS patients regularly transfused as outpatients, chelated or not, who were included during a month period and followed for 2.5 years. RESULTS 44 (45%) of patients were not chelated and 53 (55%) received CT, mainly with deferoxamine, for at least 6 months (median duration of chelation 36 months, range 6-131+). During the follow-up period, 66 of the 97 patients died, including 51% and 73% of chelated and non-chelated patients, respectively. Median overall survival was 53 months and 124 months in non-chelated and in chelated patients (p&lt;0.0003). Causes of death did not significantly differ between the two groups (p=0.51). In multivariate Cox analysis, adequate chelation was the strongest independent factor associated with better OS. CONCLUSION Iron chelation therapy appears to improve survival in heavily transfused lower risk MDS, but prospective randomized studies are required to confirm our findings, and to determine more precisely the mechanisms of this potential survival benefit.","author":[{"dropping-particle":"","family":"Rose","given":"Christian","non-dropping-particle":"","parse-names":false,"suffix":""},{"dropping-particle":"","family":"Brechignac","given":"Sabine","non-dropping-particle":"","parse-names":false,"suffix":""},{"dropping-particle":"","family":"Vassilief","given":"Dominique","non-dropping-particle":"","parse-names":false,"suffix":""},{"dropping-particle":"","family":"Pascal","given":"Laurent","non-dropping-particle":"","parse-names":false,"suffix":""},{"dropping-particle":"","family":"Stamatoullas","given":"Aspasia","non-dropping-particle":"","parse-names":false,"suffix":""},{"dropping-particle":"","family":"Guerci","given":"Agnes","non-dropping-particle":"","parse-names":false,"suffix":""},{"dropping-particle":"","family":"Larbaa","given":"Dalila","non-dropping-particle":"","parse-names":false,"suffix":""},{"dropping-particle":"","family":"Dreyfus","given":"François","non-dropping-particle":"","parse-names":false,"suffix":""},{"dropping-particle":"","family":"Beyne-Rauzy","given":"Odile","non-dropping-particle":"","parse-names":false,"suffix":""},{"dropping-particle":"","family":"Chaury","given":"Marie Pierre","non-dropping-particle":"","parse-names":false,"suffix":""},{"dropping-particle":"","family":"Roy","given":"Lydie","non-dropping-particle":"","parse-names":false,"suffix":""},{"dropping-particle":"","family":"Cheze","given":"Stephane","non-dropping-particle":"","parse-names":false,"suffix":""},{"dropping-particle":"","family":"Morel","given":"Pierre","non-dropping-particle":"","parse-names":false,"suffix":""},{"dropping-particle":"","family":"Fenaux","given":"Pierre","non-dropping-particle":"","parse-names":false,"suffix":""},{"dropping-particle":"","family":"GFM (Groupe Francophone des Myélodysplasies)","given":"","non-dropping-particle":"","parse-names":false,"suffix":""}],"container-title":"Leukemia research","id":"ITEM-1","issue":"7","issued":{"date-parts":[["2010","7"]]},"page":"864-70","title":"Does iron chelation therapy improve survival in regularly transfused lower risk MDS patients? A multicenter study by the GFM (Groupe Francophone des Myélodysplasies).","type":"article-journal","volume":"34"},"uris":["http://www.mendeley.com/documents/?uuid=cf519e3c-caf0-3049-9b79-dc2bac39f396"]},{"id":"ITEM-2","itemData":{"DOI":"10.1016/j.leukres.2012.04.006","ISSN":"1873-5835","PMID":"22564985","abstract":"MDS patients are prone to develop transfusional iron overload. Iron overload may partly explain why transfusion dependency is associated with a decreased likelihood of survival. Our matched-pair analysis included 94 patients on long-term chelation therapy and 94 matched patients without it. All patients had iron overload, defined as serum ferritin (SF) above 1000 ng/ml or a history of multiple transfusions and SF ≥ 500 ng/ml. Median SF was 1954 ng/ml in chelated and 875 ng/ml in non-chelated patients. The difference in median survival (74 vs. 49 months, respectively; p=0.002) supports the idea that iron chelation therapy is beneficial for MDS patients.","author":[{"dropping-particle":"","family":"Neukirchen","given":"Judith","non-dropping-particle":"","parse-names":false,"suffix":""},{"dropping-particle":"","family":"Fox","given":"Frank","non-dropping-particle":"","parse-names":false,"suffix":""},{"dropping-particle":"","family":"Kündgen","given":"Andrea","non-dropping-particle":"","parse-names":false,"suffix":""},{"dropping-particle":"","family":"Nachtkamp","given":"Kathrin","non-dropping-particle":"","parse-names":false,"suffix":""},{"dropping-particle":"","family":"Strupp","given":"Corinna","non-dropping-particle":"","parse-names":false,"suffix":""},{"dropping-particle":"","family":"Haas","given":"Rainer","non-dropping-particle":"","parse-names":false,"suffix":""},{"dropping-particle":"","family":"Germing","given":"Ulrich","non-dropping-particle":"","parse-names":false,"suffix":""},{"dropping-particle":"","family":"Gattermann","given":"Norbert","non-dropping-particle":"","parse-names":false,"suffix":""}],"container-title":"Leukemia research","id":"ITEM-2","issue":"8","issued":{"date-parts":[["2012","8"]]},"page":"1067-70","title":"Improved survival in MDS patients receiving iron chelation therapy - a matched pair analysis of 188 patients from the Düsseldorf MDS registry.","type":"article-journal","volume":"36"},"uris":["http://www.mendeley.com/documents/?uuid=815eb83e-cbfa-3b42-a24c-d606d31ce66e"]},{"id":"ITEM-3","itemData":{"author":[{"dropping-particle":"","family":"Neukirchen","given":"Judith","non-dropping-particle":"","parse-names":false,"suffix":""},{"dropping-particle":"","family":"Germing","given":"Ulrich","non-dropping-particle":"","parse-names":false,"suffix":""},{"dropping-particle":"","family":"Fox","given":"Frank","non-dropping-particle":"","parse-names":false,"suffix":""},{"dropping-particle":"","family":"Glaser","given":"S.","non-dropping-particle":"","parse-names":false,"suffix":""},{"dropping-particle":"","family":"Gattermann","given":"Norbert","non-dropping-particle":"","parse-names":false,"suffix":""}],"container-title":"Haematologica","id":"ITEM-3","issue":"Supp.1","issued":{"date-parts":[["2012"]]},"page":"Abstract 144","title":"The impact of iron chelation therapy on clinical outcomes in realworld lower-risk patients with myelodysplastic syndromes (MDS): results from the Dusseldorf registry.","type":"article-journal","volume":"97"},"uris":["http://www.mendeley.com/documents/?uuid=1bb9927d-bd56-44c7-806f-687f9f540f6f"]},{"id":"ITEM-4","itemData":{"author":[{"dropping-particle":"","family":"Komrokji","given":"R.S.","non-dropping-particle":"","parse-names":false,"suffix":""},{"dropping-particle":"","family":"Ali","given":"N.H.","non-dropping-particle":"Al","parse-names":false,"suffix":""},{"dropping-particle":"","family":"Padron","given":"E.","non-dropping-particle":"","parse-names":false,"suffix":""},{"dropping-particle":"","family":"Lancet","given":"J.E.","non-dropping-particle":"","parse-names":false,"suffix":""},{"dropping-particle":"","family":"List","given":"A.F.","non-dropping-particle":"","parse-names":false,"suffix":""}],"container-title":"Blood","id":"ITEM-4","issued":{"date-parts":[["2011"]]},"page":"Abstract 2776","title":"Impact of iron chelation therapy on overall survival and AML transformation in lower risk MDS patients treated at the Moftt Cancer Center.","type":"article-journal","volume":"118"},"uris":["http://www.mendeley.com/documents/?uuid=a07f3f41-0d8e-40eb-af1d-9019b33bf248"]},{"id":"ITEM-5","itemData":{"DOI":"10.2217/cer.15.20","ISSN":"20426313","abstract":"© 2015 Future Medicine Ltd. Aims: Iron overload adversely affects patients with myelodysplastic syndromes (MDS), but benefits of iron chelation therapy have not been clearly demonstrated. We examined the association between deferasirox (DFX) therapy and mortality in transfusion-receiving Medicare patients. Patients  &amp;  methods: MDS patients from 2005 to 2008 were identified using ICD-9 codes from 100% Medicare claims. Patients receiving ≥20 blood units were observed until death or end of study. Marginal structural models were used for estimation. Results: 3926 patients (10.1% used DFX) were observed for a mean of 48.8 weeks. Each incremental week of DFX was associated with a significant reduction in mortality risk (hazard ratio [HR]: 0.989; 95% CI: 0.983-0.996; p = 0.001). Conclusion: DFX therapy is associated with a reduced mortality risk among older MDS patients who received a minimum transfusion threshold.","author":[{"dropping-particle":"","family":"Zeidan","given":"Amer M.","non-dropping-particle":"","parse-names":false,"suffix":""},{"dropping-particle":"","family":"Hendrick","given":"Franklin","non-dropping-particle":"","parse-names":false,"suffix":""},{"dropping-particle":"","family":"Friedmann","given":"Erika","non-dropping-particle":"","parse-names":false,"suffix":""},{"dropping-particle":"","family":"Baer","given":"Maria R.","non-dropping-particle":"","parse-names":false,"suffix":""},{"dropping-particle":"","family":"Gore","given":"Steven D.","non-dropping-particle":"","parse-names":false,"suffix":""},{"dropping-particle":"","family":"Sasane","given":"Medha","non-dropping-particle":"","parse-names":false,"suffix":""},{"dropping-particle":"","family":"Paley","given":"Carole","non-dropping-particle":"","parse-names":false,"suffix":""},{"dropping-particle":"","family":"Davidoff","given":"Amy J.","non-dropping-particle":"","parse-names":false,"suffix":""}],"container-title":"Journal of Comparative Effectiveness Research","id":"ITEM-5","issue":"4","issued":{"date-parts":[["2015","8","1"]]},"page":"327-340","publisher":"Future Medicine Ltd.","title":"Deferasirox therapy is associated with reduced mortality risk in a medicare population with myelodysplastic syndromes","type":"article-journal","volume":"4"},"uris":["http://www.mendeley.com/documents/?uuid=fae01591-1b70-36b5-bb5b-683fbed22c24"]},{"id":"ITEM-6","itemData":{"DOI":"10.1016/j.leukres.2014.02.003","ISSN":"1873-5835","PMID":"24661630","abstract":"BACKGROUND Most patients with myelodysplastic syndromes (MDS) require transfusions at the risk of iron overload and associated organ damage, and death. Emerging evidence indicates that iron chelation therapy (ICT) could reduce mortality and improve survival in transfusion-dependent MDS patients, especially those classified as International Prognostic Scoring System (IPSS) Low or Intermediate-1 (Low/Int-1). METHODS Follow-up of a retrospective study. Sample included 127 Low/Int-1 MDS patients from 28 centers in Belgium. Statistical analysis stratified by duration (≥6 versus &lt;6 months) and quality of chelation (adequate versus weak). RESULTS Crude chelation rate was 63% but 88% among patients with serum ferritin ≥1000 μg/L. Of the 80 chelated patients, 70% were chelated adequately mainly with deferasirox (26%) or deferasirox following deferoxamine (39%). Mortality was 70% among non-chelated, 40% among chelated, 32% among patients chelated ≥6 m, and 30% among patients chelated adequately; with a trend toward reduced cardiac mortality in chelated patients. Overall, median overall survival (OS) was 10.2 years for chelated and 3.1 years for non-chelated patients (p&lt;0.001). For patients chelated ≥6 m or patients classified as adequately chelated, median OS was 10.5 years. Mortality increased as a function of average monthly transfusion intensity (HR=1.08, p=0.04) but was lower in patients receiving adequate chelation or chelation ≥6 m (HR=0.24, p&lt;0.001). CONCLUSION Six or more months of adequate ICT is associated with markedly better overall survival. This suggests a possible survival benefit of ICT in transfusion-dependent patients with lower-risk MDS.","author":[{"dropping-particle":"","family":"Delforge","given":"Michel","non-dropping-particle":"","parse-names":false,"suffix":""},{"dropping-particle":"","family":"Selleslag","given":"Dominik","non-dropping-particle":"","parse-names":false,"suffix":""},{"dropping-particle":"","family":"Beguin","given":"Yves","non-dropping-particle":"","parse-names":false,"suffix":""},{"dropping-particle":"","family":"Triffet","given":"Agnès","non-dropping-particle":"","parse-names":false,"suffix":""},{"dropping-particle":"","family":"Mineur","given":"Philippe","non-dropping-particle":"","parse-names":false,"suffix":""},{"dropping-particle":"","family":"Theunissen","given":"Koen","non-dropping-particle":"","parse-names":false,"suffix":""},{"dropping-particle":"","family":"Graux","given":"Carlos","non-dropping-particle":"","parse-names":false,"suffix":""},{"dropping-particle":"","family":"Trullemans","given":"Fabienne","non-dropping-particle":"","parse-names":false,"suffix":""},{"dropping-particle":"","family":"Boulet","given":"Dominique","non-dropping-particle":"","parse-names":false,"suffix":""},{"dropping-particle":"","family":"Eygen","given":"Koen","non-dropping-particle":"Van","parse-names":false,"suffix":""},{"dropping-particle":"","family":"Noens","given":"Lucien","non-dropping-particle":"","parse-names":false,"suffix":""},{"dropping-particle":"","family":"Steenweghen","given":"Steven","non-dropping-particle":"Van","parse-names":false,"suffix":""},{"dropping-particle":"","family":"Lemmens","given":"Jan","non-dropping-particle":"","parse-names":false,"suffix":""},{"dropping-particle":"","family":"Pierre","given":"Pascal","non-dropping-particle":"","parse-names":false,"suffix":""},{"dropping-particle":"","family":"D'hondt","given":"Randal","non-dropping-particle":"","parse-names":false,"suffix":""},{"dropping-particle":"","family":"Ferrant","given":"Augustin","non-dropping-particle":"","parse-names":false,"suffix":""},{"dropping-particle":"","family":"Deeren","given":"Dries","non-dropping-particle":"","parse-names":false,"suffix":""},{"dropping-particle":"","family":"Velde","given":"Ann","non-dropping-particle":"Van De","parse-names":false,"suffix":""},{"dropping-particle":"","family":"Wynendaele","given":"Wim","non-dropping-particle":"","parse-names":false,"suffix":""},{"dropping-particle":"","family":"André","given":"Marc","non-dropping-particle":"","parse-names":false,"suffix":""},{"dropping-particle":"","family":"Bock","given":"Robrecht","non-dropping-particle":"De","parse-names":false,"suffix":""},{"dropping-particle":"","family":"Efira","given":"André","non-dropping-particle":"","parse-names":false,"suffix":""},{"dropping-particle":"","family":"Breems","given":"Dimitri","non-dropping-particle":"","parse-names":false,"suffix":""},{"dropping-particle":"","family":"Deweweire","given":"Anne","non-dropping-particle":"","parse-names":false,"suffix":""},{"dropping-particle":"","family":"Geldhof","given":"Kurt","non-dropping-particle":"","parse-names":false,"suffix":""},{"dropping-particle":"","family":"Pluymers","given":"Wim","non-dropping-particle":"","parse-names":false,"suffix":""},{"dropping-particle":"","family":"Harrington","given":"Amanda","non-dropping-particle":"","parse-names":false,"suffix":""},{"dropping-particle":"","family":"MacDonald","given":"Karen","non-dropping-particle":"","parse-names":false,"suffix":""},{"dropping-particle":"","family":"Abraham","given":"Ivo","non-dropping-particle":"","parse-names":false,"suffix":""},{"dropping-particle":"","family":"Ravoet","given":"Christophe","non-dropping-particle":"","parse-names":false,"suffix":""}],"container-title":"Leukemia research","id":"ITEM-6","issue":"5","issued":{"date-parts":[["2014","5"]]},"page":"557-63","title":"Adequate iron chelation therapy for at least six months improves survival in transfusion-dependent patients with lower risk myelodysplastic syndromes.","type":"article-journal","volume":"38"},"uris":["http://www.mendeley.com/documents/?uuid=fa420421-cb1b-3de7-ba0f-ef1babc06e72"]},{"id":"ITEM-7","itemData":{"author":[{"dropping-particle":"","family":"Lyons","given":"Roger M.","non-dropping-particle":"","parse-names":false,"suffix":""},{"dropping-particle":"","family":"Marek","given":"Billie J.","non-dropping-particle":"","parse-names":false,"suffix":""},{"dropping-particle":"","family":"Paley","given":"Carole","non-dropping-particle":"","parse-names":false,"suffix":""},{"dropping-particle":"","family":"Esposito","given":"Jason","non-dropping-particle":"","parse-names":false,"suffix":""},{"dropping-particle":"","family":"Garbo","given":"Lawrence","non-dropping-particle":"","parse-names":false,"suffix":""},{"dropping-particle":"","family":"DiBella","given":"Nicholas","non-dropping-particle":"","parse-names":false,"suffix":""},{"dropping-particle":"","family":"Garcia-Manero","given":"Guillermo","non-dropping-particle":"","parse-names":false,"suffix":""}],"container-title":"Blood (ASH Annual Meeting Abstracts)","id":"ITEM-7","issue":"21","issued":{"date-parts":[["2012"]]},"page":"Abstract 1350","title":"Relationship Between Chelation and Clinical Outcomes in 600 Lower-Risk MDS Patients: Registry Analysis At 36 Months","type":"article-journal","volume":"120"},"uris":["http://www.mendeley.com/documents/?uuid=be58fdbc-1446-35eb-aa2f-679917096474"]},{"id":"ITEM-8","itemData":{"DOI":"10.1007/s00277-014-2274-y","ISSN":"1432-0584","PMID":"25516455","abstract":"This study aimed to evaluate the evolution of iron overload, assessed by serum ferritin (SF), in transfusion-dependent lower risk patients with myelodysplastic syndrome (MDS), as well as to describe the occurrence of organ complications, and to analyze its relationship with iron chelation therapy. This observational retrospective study was conducted from March 2010 to March 2011 in 47 Spanish hospitals. A total of 263 patients with lower risk MDS (International Prognostic Scoring System [IPSS] low/intermediate-1 risk or Spanish Prognostic Index [SPI] 0-1 risk), transfusion-dependent, and who had received ≥10 packed red blood cells (PRBC) were included. At MDS diagnosis, patients received a mean of 2.8 ± 3.9 PRBC/month, and 8.7% of patients showed SF ≥1000 μg/L. Over the course of the disease, patients received a mean of 83.4 ± 83.3 PRBC, and 36.1% of patients presented SF ≥2500 μg/L. Cardiac, hepatic, endocrine, or arthropathy complications appeared/worsened in 20.2, 11.4, 9.9, and 3.8% of patients, respectively. According to investigator, iron overload was a main cause of hepatic (70.0%) and endocrine (26.9%) complications. A total of 96 (36.5%) patients received iron chelation therapy for ≥6 months, being deferasirox the most frequent first chelation treatment (71.9%). Chelation-treated patients showed longer overall survival (p &lt; 0.001), leukemia-free survival (p = 0.007), and cardiac event-free survival (p = 0.017) than non-chelated patients. In multivariable analyses, age (p = 0.011), IPSS (p &lt; 0.001), and chelation treatment (p = 0.015) were predictors for overall survival; IPSS (p = 0.014) and transfusion frequency (p = 0.001) for leukemia-free survival; and chelation treatment (p = 0.040) and Sorror comorbidity index (p = 0.039) for cardiac event-free survival. In conclusion, these results confirm the potential survival benefit of iron chelation therapy and provide additional evidence on the deleterious effect of iron overload in lower risk MDS patients.","author":[{"dropping-particle":"","family":"Remacha","given":"Ángel F","non-dropping-particle":"","parse-names":false,"suffix":""},{"dropping-particle":"","family":"Arrizabalaga","given":"Beatriz","non-dropping-particle":"","parse-names":false,"suffix":""},{"dropping-particle":"","family":"Villegas","given":"Ana","non-dropping-particle":"","parse-names":false,"suffix":""},{"dropping-particle":"","family":"Durán","given":"María Soledad","non-dropping-particle":"","parse-names":false,"suffix":""},{"dropping-particle":"","family":"Hermosín","given":"Lourdes","non-dropping-particle":"","parse-names":false,"suffix":""},{"dropping-particle":"","family":"Paz","given":"Raquel","non-dropping-particle":"de","parse-names":false,"suffix":""},{"dropping-particle":"","family":"Garcia","given":"Marta","non-dropping-particle":"","parse-names":false,"suffix":""},{"dropping-particle":"","family":"Diez Campelo","given":"Maria","non-dropping-particle":"","parse-names":false,"suffix":""},{"dropping-particle":"","family":"Sanz","given":"Guillermo","non-dropping-particle":"","parse-names":false,"suffix":""},{"dropping-particle":"","family":"IRON-2 Study Group","given":"","non-dropping-particle":"","parse-names":false,"suffix":""}],"container-title":"Annals of hematology","id":"ITEM-8","issue":"5","issued":{"date-parts":[["2015","5"]]},"page":"779-87","title":"Evolution of iron overload in patients with low-risk myelodysplastic syndrome: iron chelation therapy and organ complications.","type":"article-journal","volume":"94"},"uris":["http://www.mendeley.com/documents/?uuid=0932387d-f3bf-3d00-b621-ef6fcc9addd3"]}],"mendeley":{"formattedCitation":"[67–74]","plainTextFormattedCitation":"[67–74]","previouslyFormattedCitation":"[67–74]"},"properties":{"noteIndex":0},"schema":"https://github.com/citation-style-language/schema/raw/master/csl-citation.json"}</w:instrText>
      </w:r>
      <w:r w:rsidRPr="006A377C">
        <w:rPr>
          <w:szCs w:val="24"/>
        </w:rPr>
        <w:fldChar w:fldCharType="separate"/>
      </w:r>
      <w:r w:rsidR="00AE1E12" w:rsidRPr="00AE1E12">
        <w:rPr>
          <w:noProof/>
          <w:szCs w:val="24"/>
        </w:rPr>
        <w:t>[67–74]</w:t>
      </w:r>
      <w:r w:rsidRPr="006A377C">
        <w:rPr>
          <w:szCs w:val="24"/>
        </w:rPr>
        <w:fldChar w:fldCharType="end"/>
      </w:r>
      <w:r w:rsidRPr="006A377C">
        <w:rPr>
          <w:szCs w:val="24"/>
        </w:rPr>
        <w:t>.</w:t>
      </w:r>
    </w:p>
    <w:p w14:paraId="7A4BCE8B" w14:textId="77777777" w:rsidR="00F20CFD" w:rsidRPr="006A377C" w:rsidRDefault="00F20CFD" w:rsidP="005017D1">
      <w:pPr>
        <w:ind w:left="709" w:hanging="1"/>
        <w:rPr>
          <w:b/>
          <w:szCs w:val="24"/>
        </w:rPr>
      </w:pPr>
      <w:r w:rsidRPr="006A377C">
        <w:rPr>
          <w:b/>
          <w:szCs w:val="24"/>
        </w:rPr>
        <w:t>Уровень убедительности рекомендаций В (уровень достоверности доказательств – 2)</w:t>
      </w:r>
    </w:p>
    <w:p w14:paraId="493FA2C1" w14:textId="77777777" w:rsidR="00F20CFD" w:rsidRPr="006A377C" w:rsidRDefault="00F20CFD" w:rsidP="005017D1">
      <w:pPr>
        <w:ind w:left="709" w:hanging="1"/>
        <w:rPr>
          <w:i/>
          <w:szCs w:val="24"/>
        </w:rPr>
      </w:pPr>
      <w:r w:rsidRPr="006A377C">
        <w:rPr>
          <w:b/>
          <w:szCs w:val="24"/>
        </w:rPr>
        <w:t xml:space="preserve">Комментарии: </w:t>
      </w:r>
      <w:r w:rsidRPr="006A377C">
        <w:rPr>
          <w:i/>
          <w:szCs w:val="24"/>
        </w:rPr>
        <w:t>у пациентов, которым регулярно проводятся трансфузии эритроцитной массы, неизменно развивается вторичная перегрузка железом. Одна единица эритроцитной массы содержит от 200 до 250 мг железа, а перегрузка может возникнуть уже после 10</w:t>
      </w:r>
      <w:r w:rsidRPr="006A377C">
        <w:rPr>
          <w:noProof/>
          <w:szCs w:val="24"/>
        </w:rPr>
        <w:t>–</w:t>
      </w:r>
      <w:r w:rsidRPr="006A377C">
        <w:rPr>
          <w:i/>
          <w:szCs w:val="24"/>
        </w:rPr>
        <w:t xml:space="preserve">20 переливаний. </w:t>
      </w:r>
      <w:r w:rsidR="003056EF">
        <w:rPr>
          <w:i/>
          <w:szCs w:val="24"/>
        </w:rPr>
        <w:t xml:space="preserve">Согласно Российским и международным публикациям выявлено статистически достоверное уменьшение ОВ в группе пациентов с перегрузкой железом, связанной с трансфузионной </w:t>
      </w:r>
      <w:r w:rsidR="003056EF">
        <w:rPr>
          <w:i/>
          <w:szCs w:val="24"/>
        </w:rPr>
        <w:lastRenderedPageBreak/>
        <w:t xml:space="preserve">зависимостью. </w:t>
      </w:r>
      <w:r w:rsidRPr="006A377C">
        <w:rPr>
          <w:i/>
          <w:szCs w:val="24"/>
        </w:rPr>
        <w:t>Косвенным биохимическим маркером перегрузки железом условно принято считать повышение уровня ферритина сыворотки крови более 1000 нг/мл. Превышение этого порога отчетливо коррелирует с ограниченной ОВ (HR 52,4; p &lt;0,0001) и повышенным риском трансформации в ОМЛ (HR 6,6; p &lt;0,0001).</w:t>
      </w:r>
    </w:p>
    <w:p w14:paraId="2953B47C" w14:textId="77777777" w:rsidR="003056EF" w:rsidRPr="002713DD" w:rsidRDefault="00F20CFD" w:rsidP="003056EF">
      <w:pPr>
        <w:ind w:left="709" w:hanging="1"/>
        <w:rPr>
          <w:i/>
          <w:color w:val="000000" w:themeColor="text1"/>
          <w:szCs w:val="24"/>
        </w:rPr>
      </w:pPr>
      <w:r w:rsidRPr="006A377C">
        <w:rPr>
          <w:i/>
          <w:szCs w:val="24"/>
        </w:rPr>
        <w:t>Терапию хелаторами железа следует рассматривать в качестве необходимой опции трансфузионнозависимым пациентам с МДС-ЛД, МДС-КС, МДС-МД и МДС с 5q–. Уровень ферритина необходимо определить в дебюте заболевания и отслеживать каждые 3 месяца в динамике. Исследование феррокинетики желательно проводить не ранее чем через 10</w:t>
      </w:r>
      <w:r w:rsidRPr="006A377C">
        <w:rPr>
          <w:noProof/>
          <w:szCs w:val="24"/>
        </w:rPr>
        <w:t>–</w:t>
      </w:r>
      <w:r w:rsidRPr="006A377C">
        <w:rPr>
          <w:i/>
          <w:szCs w:val="24"/>
        </w:rPr>
        <w:t xml:space="preserve">14 дней после последней трансфузии донорских эритроцитов, вне инфекционного эпизода. </w:t>
      </w:r>
      <w:r w:rsidRPr="00610E58">
        <w:rPr>
          <w:i/>
          <w:color w:val="000000" w:themeColor="text1"/>
        </w:rPr>
        <w:t xml:space="preserve">Пациентам с МДС, которые являются потенциальными кандидатами на проведение алло-ТГСК, также проводится терапия хелаторами железа </w:t>
      </w:r>
      <w:r w:rsidR="003056EF" w:rsidRPr="002713DD">
        <w:rPr>
          <w:i/>
          <w:color w:val="000000" w:themeColor="text1"/>
          <w:szCs w:val="24"/>
        </w:rPr>
        <w:t xml:space="preserve">в предтрансплантационном периоде и после выполнения алло-ТГСК при сохранении признаков перегрузки железом. </w:t>
      </w:r>
    </w:p>
    <w:p w14:paraId="0B3FC1E1" w14:textId="77777777" w:rsidR="00F20CFD" w:rsidRPr="006A377C" w:rsidRDefault="00F20CFD" w:rsidP="005017D1">
      <w:pPr>
        <w:ind w:left="709" w:hanging="1"/>
        <w:rPr>
          <w:i/>
          <w:szCs w:val="24"/>
        </w:rPr>
      </w:pPr>
      <w:r w:rsidRPr="006A377C">
        <w:rPr>
          <w:i/>
          <w:szCs w:val="24"/>
        </w:rPr>
        <w:t>Для больных МДС-ИБ при достижении клинико-гематологической ремиссии при наличии признаков вторичной перегрузки железом возможно назначение хелаторной терапии.</w:t>
      </w:r>
    </w:p>
    <w:p w14:paraId="27FD9D7F" w14:textId="77777777" w:rsidR="00F20CFD" w:rsidRPr="006A377C" w:rsidRDefault="00F20CFD" w:rsidP="005017D1">
      <w:pPr>
        <w:ind w:left="709" w:hanging="1"/>
        <w:rPr>
          <w:i/>
          <w:szCs w:val="24"/>
          <w:lang w:val="en-US"/>
        </w:rPr>
      </w:pPr>
      <w:r w:rsidRPr="006A377C">
        <w:rPr>
          <w:i/>
          <w:szCs w:val="24"/>
        </w:rPr>
        <w:t xml:space="preserve">Рекомендуемая начальная доза </w:t>
      </w:r>
      <w:r w:rsidR="002F4DDD">
        <w:rPr>
          <w:i/>
          <w:szCs w:val="24"/>
          <w:lang w:val="en-US"/>
        </w:rPr>
        <w:t>#</w:t>
      </w:r>
      <w:r w:rsidRPr="006A377C">
        <w:rPr>
          <w:i/>
          <w:szCs w:val="24"/>
        </w:rPr>
        <w:t>деферазирокса**:</w:t>
      </w:r>
    </w:p>
    <w:p w14:paraId="478FD2EC" w14:textId="77777777" w:rsidR="00F20CFD" w:rsidRPr="006A377C" w:rsidRDefault="00F20CFD" w:rsidP="005F2F2B">
      <w:pPr>
        <w:pStyle w:val="aff"/>
        <w:numPr>
          <w:ilvl w:val="0"/>
          <w:numId w:val="24"/>
        </w:numPr>
        <w:ind w:left="709" w:hanging="425"/>
        <w:rPr>
          <w:i/>
          <w:szCs w:val="24"/>
        </w:rPr>
      </w:pPr>
      <w:r w:rsidRPr="006A377C">
        <w:rPr>
          <w:i/>
          <w:szCs w:val="24"/>
        </w:rPr>
        <w:t xml:space="preserve">Диспергируемая таблетка – 20 мг/кг/сут, а при выраженной перегрузке железом – 30 мг/кг/сутки. Дозу препарата округляют до близкого размера целой таблетки (125, 250 и 500 мг). </w:t>
      </w:r>
    </w:p>
    <w:p w14:paraId="739B9401" w14:textId="77777777" w:rsidR="00F20CFD" w:rsidRPr="006A377C" w:rsidRDefault="00F20CFD" w:rsidP="005F2F2B">
      <w:pPr>
        <w:pStyle w:val="aff"/>
        <w:numPr>
          <w:ilvl w:val="0"/>
          <w:numId w:val="24"/>
        </w:numPr>
        <w:ind w:left="709" w:hanging="425"/>
        <w:rPr>
          <w:i/>
          <w:szCs w:val="24"/>
        </w:rPr>
      </w:pPr>
      <w:r w:rsidRPr="006A377C">
        <w:rPr>
          <w:i/>
          <w:szCs w:val="24"/>
        </w:rPr>
        <w:t>Таблетка, покрытая пленочной оболочкой – 14 мг/кг/сут, а при выраженной перегрузке железом – 21 мг/кг/сут. Дозу препарата округляют до близкого размера целой таблетки (90, 180 и 360 мг).</w:t>
      </w:r>
    </w:p>
    <w:p w14:paraId="3289D643" w14:textId="77777777" w:rsidR="00F20CFD" w:rsidRPr="006A377C" w:rsidRDefault="00F20CFD" w:rsidP="005017D1">
      <w:pPr>
        <w:ind w:left="709" w:hanging="1"/>
        <w:rPr>
          <w:i/>
          <w:szCs w:val="24"/>
        </w:rPr>
      </w:pPr>
      <w:r w:rsidRPr="006A377C">
        <w:rPr>
          <w:i/>
          <w:szCs w:val="24"/>
        </w:rPr>
        <w:t xml:space="preserve">Контроль за токсичностью хелаторной терапии проводят ежемесячно, а за эффективностью – 1 раз в 3 месяца, ориентируясь на уровень ферритина в крови, желательно в сочетании с СРБ. Доза препарата пересчитывается каждые 3–6 месяцев как в сторону увеличения дозы при неэффективности терапии, так и в сторону снижения суточной дозы при снижении показателя ферритина менее 1000 нг/мл и/или развитии признаков токсичности препарата. При снижении ферритина менее 500 нг/мл препарат отменяется. </w:t>
      </w:r>
    </w:p>
    <w:p w14:paraId="6CED9164" w14:textId="77777777" w:rsidR="00F20CFD" w:rsidRPr="006A377C" w:rsidRDefault="00F20CFD" w:rsidP="005F2F2B">
      <w:pPr>
        <w:pStyle w:val="aff"/>
        <w:numPr>
          <w:ilvl w:val="0"/>
          <w:numId w:val="16"/>
        </w:numPr>
        <w:ind w:left="709" w:hanging="425"/>
        <w:rPr>
          <w:i/>
          <w:szCs w:val="24"/>
        </w:rPr>
      </w:pPr>
      <w:r w:rsidRPr="006A377C">
        <w:rPr>
          <w:szCs w:val="24"/>
        </w:rPr>
        <w:t xml:space="preserve">Пациентам с МДС из группы низкого и промежуточного-1 риска по шкале </w:t>
      </w:r>
      <w:r w:rsidRPr="006A377C">
        <w:rPr>
          <w:szCs w:val="24"/>
          <w:lang w:val="en-US"/>
        </w:rPr>
        <w:t>IPSS</w:t>
      </w:r>
      <w:r w:rsidRPr="006A377C">
        <w:rPr>
          <w:szCs w:val="24"/>
        </w:rPr>
        <w:t xml:space="preserve"> и группы очень низкого, низкого и промежуточного риска по шкале </w:t>
      </w:r>
      <w:r w:rsidRPr="006A377C">
        <w:rPr>
          <w:szCs w:val="24"/>
          <w:lang w:val="en-US"/>
        </w:rPr>
        <w:t>IPSS</w:t>
      </w:r>
      <w:r w:rsidRPr="006A377C">
        <w:rPr>
          <w:szCs w:val="24"/>
        </w:rPr>
        <w:t>-</w:t>
      </w:r>
      <w:r w:rsidRPr="006A377C">
        <w:rPr>
          <w:szCs w:val="24"/>
          <w:lang w:val="en-US"/>
        </w:rPr>
        <w:t>R</w:t>
      </w:r>
      <w:r w:rsidRPr="006A377C">
        <w:rPr>
          <w:szCs w:val="24"/>
        </w:rPr>
        <w:t xml:space="preserve"> (</w:t>
      </w:r>
      <w:r w:rsidR="00B63F37">
        <w:rPr>
          <w:szCs w:val="24"/>
        </w:rPr>
        <w:t>см. раздел 7.1 данных рекомендаций</w:t>
      </w:r>
      <w:r w:rsidRPr="006A377C">
        <w:rPr>
          <w:szCs w:val="24"/>
        </w:rPr>
        <w:t xml:space="preserve">) при эндогенном эритропоэтине &lt;500 МЕ/мл и гемоглобине &lt;100 г/л </w:t>
      </w:r>
      <w:r w:rsidRPr="006A377C">
        <w:rPr>
          <w:b/>
          <w:szCs w:val="24"/>
        </w:rPr>
        <w:t>рекомендуется</w:t>
      </w:r>
      <w:r w:rsidRPr="006A377C">
        <w:rPr>
          <w:szCs w:val="24"/>
        </w:rPr>
        <w:t xml:space="preserve"> проведение терапии </w:t>
      </w:r>
      <w:r w:rsidR="001F15A6">
        <w:rPr>
          <w:szCs w:val="24"/>
        </w:rPr>
        <w:t xml:space="preserve"> эритропоэз стимулирующими препаратами (</w:t>
      </w:r>
      <w:r w:rsidRPr="006A377C">
        <w:rPr>
          <w:szCs w:val="24"/>
        </w:rPr>
        <w:t>ЭПСП</w:t>
      </w:r>
      <w:r w:rsidR="001F15A6">
        <w:rPr>
          <w:szCs w:val="24"/>
        </w:rPr>
        <w:t>)</w:t>
      </w:r>
      <w:r w:rsidRPr="006A377C">
        <w:rPr>
          <w:szCs w:val="24"/>
        </w:rPr>
        <w:t xml:space="preserve"> – эпоэтин альфа**, эпоэтин бета**, </w:t>
      </w:r>
      <w:r w:rsidR="002F4DDD" w:rsidRPr="00771C64">
        <w:rPr>
          <w:szCs w:val="24"/>
        </w:rPr>
        <w:lastRenderedPageBreak/>
        <w:t>#</w:t>
      </w:r>
      <w:r w:rsidRPr="006A377C">
        <w:rPr>
          <w:szCs w:val="24"/>
        </w:rPr>
        <w:t>дарбэпоэтин альфа**</w:t>
      </w:r>
      <w:r w:rsidR="002F4DDD" w:rsidRPr="00771C64">
        <w:rPr>
          <w:szCs w:val="24"/>
        </w:rPr>
        <w:t xml:space="preserve"> (дозир</w:t>
      </w:r>
      <w:r w:rsidR="002F4DDD">
        <w:rPr>
          <w:szCs w:val="24"/>
        </w:rPr>
        <w:t>овки – см. приложение А3.2)</w:t>
      </w:r>
      <w:r w:rsidRPr="006A377C">
        <w:rPr>
          <w:szCs w:val="24"/>
        </w:rPr>
        <w:t xml:space="preserve"> с целью повышения показателей гемоглобина, снижения зависимости от трансфузий донорских эритроцитов. </w:t>
      </w:r>
      <w:r w:rsidRPr="006A377C">
        <w:rPr>
          <w:b/>
          <w:szCs w:val="24"/>
        </w:rPr>
        <w:fldChar w:fldCharType="begin" w:fldLock="1"/>
      </w:r>
      <w:r w:rsidR="00AE1E12">
        <w:rPr>
          <w:b/>
          <w:szCs w:val="24"/>
        </w:rPr>
        <w:instrText>ADDIN CSL_CITATION {"citationItems":[{"id":"ITEM-1","itemData":{"DOI":"10.1111/bjh.15707","ISSN":"1365-2141","PMID":"30549002","abstract":"Many patients with lower-risk myelodysplastic syndrome (MDS) experience anaemia, which has negative consequences. Erythropoiesis-stimulating agents (ESAs) and their biosimilars are used to treat anaemia in MDS and, currently, epoetin alfa and darbepoetin alfa are commonly used and recommended by clinical guidelines. To better understand the evidence available on the use of ESAs for anaemia in lower-risk MDS, we conducted a systematic literature review to identify randomized and nonrandomized prospective studies reporting on clinical efficacy/effectiveness, patient-reported quality of life (QoL), and safety. We extended our review to include retrospective studies for darbepoetin alfa specifically and to ascertain the feasibility of completing an indirect network meta-analysis comparing epoetin and darbepoetin alfa. Overall, 53 articles reporting on 35 studies were included. The studies indicated a clinical benefit of ESAs, with benefits observed across key clinical outcomes. ESAs showed consistent improvement in erythroid response rates (ESA-naïve, 45-73%; previous ESA exposure, 25-75%) and duration of response. Comparative studies demonstrated similar progression to acute myeloid leukaemia and several showed improved overall survival and QoL. Limited safety concerns were identified. This analysis confirmed ESA therapy should be the foremost first-line treatment of anaemia in most patients with lower-risk MDS who lack the 5q deletion.","author":[{"dropping-particle":"","family":"Park","given":"Sophie","non-dropping-particle":"","parse-names":false,"suffix":""},{"dropping-particle":"","family":"Greenberg","given":"Peter","non-dropping-particle":"","parse-names":false,"suffix":""},{"dropping-particle":"","family":"Yucel","given":"Aylin","non-dropping-particle":"","parse-names":false,"suffix":""},{"dropping-particle":"","family":"Farmer","given":"Caroline","non-dropping-particle":"","parse-names":false,"suffix":""},{"dropping-particle":"","family":"O'Neill","given":"Frank","non-dropping-particle":"","parse-names":false,"suffix":""},{"dropping-particle":"","family":"Oliveira Brandao","given":"Cisio","non-dropping-particle":"De","parse-names":false,"suffix":""},{"dropping-particle":"","family":"Fenaux","given":"Pierre","non-dropping-particle":"","parse-names":false,"suffix":""}],"container-title":"British journal of haematology","id":"ITEM-1","issue":"2","issued":{"date-parts":[["2019","1"]]},"page":"134-160","title":"Clinical effectiveness and safety of erythropoietin-stimulating agents for the treatment of low- and intermediate-1-risk myelodysplastic syndrome: a systematic literature review.","type":"article-journal","volume":"184"},"uris":["http://www.mendeley.com/documents/?uuid=e1931fe4-54e4-3831-90a7-2a954693a83b"]},{"id":"ITEM-2","itemData":{"DOI":"10.1038/leu.2017.192","ISSN":"14765551","abstract":"© 2017 Macmillan Publishers Limited, part of Springer Nature. The use of darbepoetin alfa to treat anemia in patients with lower-risk myelodysplastic syndromes (MDS) was evaluated in a phase 3 trial. Eligible patients had low/intermediate-1 risk MDS, hemoglobin ≥ 1/210 g/dl, low transfusion burden and serum erythropoietin (EPO) ≥ 1/2500 mU/ml. Patients were randomized 2:1 to receive 24 weeks of subcutaneous darbepoetin alfa 500 μg or placebo every 3 weeks (Q3W), followed by 48 weeks of open-label darbepoetin alfa. A total of 147 patients were randomized, with median hemoglobin of 9.3 (Q1:8.8, Q3:9.7) g/dl and median baseline serum EPO of 69 (Q1:36, Q3:158) mU/ml. Transfusion incidence from weeks 5-24 was significantly lower with darbepoetin alfa versus placebo (36.1% (35/97) versus 59.2% (29/49), P=0.008) and erythroid response rates increased significantly with darbepoetin alfa (14.7% (11/75 evaluable) versus 0% (0/35 evaluable), P=0.016). In the 48-week open-label period, dose frequency increased from Q3W to Q2W in 81% (102/126) of patients; this was associated with a higher hematologic improvement-erythroid response rate (34.7% (34/98)). Safety results were consistent with a previous darbepoetin alfa phase 2 MDS trial. In conclusion, 24 weeks of darbepoetin alfa Q3W significantly reduced transfusions and increased rates of erythroid response with no new safety signals in lower-risk MDS (registered as EudraCT#2009-016522-14 and NCT#01362140).","author":[{"dropping-particle":"","family":"Platzbecker","given":"U.","non-dropping-particle":"","parse-names":false,"suffix":""},{"dropping-particle":"","family":"Symeonidis","given":"A.","non-dropping-particle":"","parse-names":false,"suffix":""},{"dropping-particle":"","family":"Oliva","given":"E. N.","non-dropping-particle":"","parse-names":false,"suffix":""},{"dropping-particle":"","family":"Goede","given":"J. S.","non-dropping-particle":"","parse-names":false,"suffix":""},{"dropping-particle":"","family":"Delforge","given":"M.","non-dropping-particle":"","parse-names":false,"suffix":""},{"dropping-particle":"","family":"Mayer","given":"J.","non-dropping-particle":"","parse-names":false,"suffix":""},{"dropping-particle":"","family":"Slama","given":"B.","non-dropping-particle":"","parse-names":false,"suffix":""},{"dropping-particle":"","family":"Badre","given":"S.","non-dropping-particle":"","parse-names":false,"suffix":""},{"dropping-particle":"","family":"Gasal","given":"E.","non-dropping-particle":"","parse-names":false,"suffix":""},{"dropping-particle":"","family":"Mehta","given":"B.","non-dropping-particle":"","parse-names":false,"suffix":""},{"dropping-particle":"","family":"Franklin","given":"J.","non-dropping-particle":"","parse-names":false,"suffix":""}],"container-title":"Leukemia","id":"ITEM-2","issue":"9","issued":{"date-parts":[["2017","9","1"]]},"page":"1944-1950","publisher":"Nature Publishing Group","title":"A phase 3 randomized placebo-controlled trial of darbepoetin alfa in patients with anemia and lower-risk myelodysplastic syndromes","type":"article-journal","volume":"31"},"uris":["http://www.mendeley.com/documents/?uuid=5831b3e0-54e2-3243-ace8-cf2ff0c5359d"]},{"id":"ITEM-3","itemData":{"DOI":"10.1111/bjh.14116","ISSN":"13652141","abstract":"We conducted a systematic review and meta-analysis to estimate the efficacy of darbepoetin alpha (DA) for treatment of myelodysplastic syndrome (MDS)-related anaemia. Eligible studies were prospective, interventional, and reported World Health Organization, French-American-British, or International Prognostic Scoring System (IPSS) criteria. Outcomes included erythroid response rate (primary); haemoglobin response; change in haemoglobin, transfusion status, and quality-of-life (QoL); and safety. Ten studies (N = 647) were analysed. Erythroid response rate range was 38-72%; median response duration range was 12-51+ months. Patients with erythropoietin (EPO) &lt;100 iu/l had 35% [95% confidence interval (CI): 22-48%; P &lt; 0·001) better response than patients with EPO &gt;100 iu/l. Erythropoesis-stimulating agent (ESA)-naïve patients had 17% (95% CI: 3-32%; P = 0·022) greater response rate than those previously treated with ESA. Nonetheless, previously treated patients had response rates of 25-75%. Higher baseline haemoglobin levels, higher dose, transfusion-independence and low-risk IPSS status were reported by several studies to be associated with better response. QoL, transfusion rates and haemoglobin levels improved with treatment. Hypertension, thromboembolism and progression to acute myeloid leukaemia were reported in 2%, 1% and 1% of patients, respectively. This meta-analysis suggests that DA treatment can be useful for improving erythroid response in MDS patients with anaemia, even among patients previously treated with ESA.","author":[{"dropping-particle":"","family":"Park","given":"Sophie","non-dropping-particle":"","parse-names":false,"suffix":""},{"dropping-particle":"","family":"Fenaux","given":"Pierre","non-dropping-particle":"","parse-names":false,"suffix":""},{"dropping-particle":"","family":"Greenberg","given":"Peter","non-dropping-particle":"","parse-names":false,"suffix":""},{"dropping-particle":"","family":"Mehta","given":"Bhakti","non-dropping-particle":"","parse-names":false,"suffix":""},{"dropping-particle":"","family":"Callaghan","given":"Fiona","non-dropping-particle":"","parse-names":false,"suffix":""},{"dropping-particle":"","family":"Kim","given":"Christopher","non-dropping-particle":"","parse-names":false,"suffix":""},{"dropping-particle":"","family":"Tomita","given":"Dianne","non-dropping-particle":"","parse-names":false,"suffix":""},{"dropping-particle":"","family":"Xu","given":"Hairong","non-dropping-particle":"","parse-names":false,"suffix":""}],"container-title":"British Journal of Haematology","id":"ITEM-3","issue":"5","issued":{"date-parts":[["2016","9","1"]]},"page":"730-747","publisher":"Blackwell Publishing Ltd","title":"Efficacy and safety of darbepoetin alpha in patients with myelodysplastic syndromes: a systematic review and meta-analysis","type":"article-journal","volume":"174"},"uris":["http://www.mendeley.com/documents/?uuid=e5bf665f-97ba-3c68-b087-205d0ba8b2f5"]}],"mendeley":{"formattedCitation":"[75–77]","plainTextFormattedCitation":"[75–77]","previouslyFormattedCitation":"[75–77]"},"properties":{"noteIndex":0},"schema":"https://github.com/citation-style-language/schema/raw/master/csl-citation.json"}</w:instrText>
      </w:r>
      <w:r w:rsidRPr="006A377C">
        <w:rPr>
          <w:b/>
          <w:szCs w:val="24"/>
        </w:rPr>
        <w:fldChar w:fldCharType="separate"/>
      </w:r>
      <w:r w:rsidR="00AE1E12" w:rsidRPr="00AE1E12">
        <w:rPr>
          <w:noProof/>
          <w:szCs w:val="24"/>
        </w:rPr>
        <w:t>[75–77]</w:t>
      </w:r>
      <w:r w:rsidRPr="006A377C">
        <w:rPr>
          <w:b/>
          <w:szCs w:val="24"/>
        </w:rPr>
        <w:fldChar w:fldCharType="end"/>
      </w:r>
      <w:r w:rsidRPr="006A377C">
        <w:rPr>
          <w:szCs w:val="24"/>
        </w:rPr>
        <w:t>.</w:t>
      </w:r>
    </w:p>
    <w:p w14:paraId="70EFAD59" w14:textId="77777777" w:rsidR="00F20CFD" w:rsidRPr="006A377C" w:rsidRDefault="00F20CFD" w:rsidP="005017D1">
      <w:pPr>
        <w:ind w:left="709" w:hanging="1"/>
        <w:rPr>
          <w:b/>
          <w:szCs w:val="24"/>
        </w:rPr>
      </w:pPr>
      <w:r w:rsidRPr="006A377C">
        <w:rPr>
          <w:b/>
          <w:szCs w:val="24"/>
        </w:rPr>
        <w:t xml:space="preserve">Уровень убедительности рекомендаций </w:t>
      </w:r>
      <w:r w:rsidR="002F4DDD">
        <w:rPr>
          <w:b/>
          <w:szCs w:val="24"/>
          <w:lang w:val="en-US"/>
        </w:rPr>
        <w:t>B</w:t>
      </w:r>
      <w:r w:rsidR="002F4DDD" w:rsidRPr="006A377C">
        <w:rPr>
          <w:b/>
          <w:szCs w:val="24"/>
        </w:rPr>
        <w:t xml:space="preserve"> </w:t>
      </w:r>
      <w:r w:rsidRPr="006A377C">
        <w:rPr>
          <w:b/>
          <w:szCs w:val="24"/>
        </w:rPr>
        <w:t>(уровень достоверности доказательств –</w:t>
      </w:r>
      <w:r w:rsidR="00BB390C">
        <w:rPr>
          <w:b/>
          <w:szCs w:val="24"/>
        </w:rPr>
        <w:t>2</w:t>
      </w:r>
      <w:r w:rsidRPr="006A377C">
        <w:rPr>
          <w:b/>
          <w:szCs w:val="24"/>
        </w:rPr>
        <w:t>)</w:t>
      </w:r>
    </w:p>
    <w:p w14:paraId="35DA31A2" w14:textId="77777777" w:rsidR="00F20CFD" w:rsidRPr="006A377C" w:rsidRDefault="00F20CFD" w:rsidP="005017D1">
      <w:pPr>
        <w:ind w:left="709" w:hanging="1"/>
        <w:rPr>
          <w:i/>
          <w:szCs w:val="24"/>
        </w:rPr>
      </w:pPr>
      <w:r w:rsidRPr="006A377C">
        <w:rPr>
          <w:b/>
          <w:szCs w:val="24"/>
        </w:rPr>
        <w:t>Комментарии</w:t>
      </w:r>
      <w:r w:rsidR="002713DD">
        <w:rPr>
          <w:b/>
          <w:szCs w:val="24"/>
        </w:rPr>
        <w:t xml:space="preserve">: </w:t>
      </w:r>
      <w:r w:rsidR="002713DD">
        <w:rPr>
          <w:i/>
          <w:szCs w:val="24"/>
        </w:rPr>
        <w:t>п</w:t>
      </w:r>
      <w:r w:rsidR="002713DD" w:rsidRPr="006A377C">
        <w:rPr>
          <w:i/>
          <w:szCs w:val="24"/>
        </w:rPr>
        <w:t xml:space="preserve">рименительно </w:t>
      </w:r>
      <w:r w:rsidRPr="006A377C">
        <w:rPr>
          <w:i/>
          <w:szCs w:val="24"/>
        </w:rPr>
        <w:t xml:space="preserve">к МДС низкого и промежуточного-1 риска по шкале IPSS одним из подходов к лечению рефрактерных анемий является назначение ЭПСП. Применение эритропоэтинов (эпоэтин </w:t>
      </w:r>
      <w:r w:rsidR="00BB390C" w:rsidRPr="006A377C">
        <w:rPr>
          <w:szCs w:val="24"/>
        </w:rPr>
        <w:t>альфа</w:t>
      </w:r>
      <w:r w:rsidRPr="006A377C">
        <w:rPr>
          <w:i/>
          <w:szCs w:val="24"/>
        </w:rPr>
        <w:t xml:space="preserve">** и </w:t>
      </w:r>
      <w:r w:rsidR="00BB390C">
        <w:rPr>
          <w:i/>
          <w:szCs w:val="24"/>
        </w:rPr>
        <w:t>бета</w:t>
      </w:r>
      <w:r w:rsidRPr="006A377C">
        <w:rPr>
          <w:i/>
          <w:szCs w:val="24"/>
        </w:rPr>
        <w:t xml:space="preserve">**, </w:t>
      </w:r>
      <w:r w:rsidR="002F4DDD" w:rsidRPr="00771C64">
        <w:rPr>
          <w:i/>
          <w:szCs w:val="24"/>
        </w:rPr>
        <w:t>#</w:t>
      </w:r>
      <w:r w:rsidRPr="006A377C">
        <w:rPr>
          <w:i/>
          <w:szCs w:val="24"/>
        </w:rPr>
        <w:t xml:space="preserve">дарбэпоэтин </w:t>
      </w:r>
      <w:r w:rsidR="00BB390C" w:rsidRPr="006A377C">
        <w:rPr>
          <w:szCs w:val="24"/>
        </w:rPr>
        <w:t>альфа</w:t>
      </w:r>
      <w:r w:rsidRPr="006A377C">
        <w:rPr>
          <w:i/>
          <w:szCs w:val="24"/>
        </w:rPr>
        <w:t>**) позволяет повысить концентрацию гемоглобина, улучшить качество жизни пациентов, отказаться или частично снизить потребность в заместительной терапии эритроцитсодержащими компонентами. Частота ответа на монотерапию эритропоэтинами (ЭПО) при МДС без учета показателей эндогенного ЭПО невысока и не превышает 20%. Назначение ЭПСП необходимо осуществлять только после измерения концентра</w:t>
      </w:r>
      <w:r w:rsidRPr="006A377C">
        <w:rPr>
          <w:i/>
          <w:szCs w:val="24"/>
        </w:rPr>
        <w:softHyphen/>
        <w:t xml:space="preserve">ции эндогенного ЭПО. Так, при его концентрации менее 500 мЕ/мл и частоте трансфузий донорскими эритроцитами </w:t>
      </w:r>
      <w:r w:rsidRPr="006A377C">
        <w:rPr>
          <w:i/>
          <w:szCs w:val="24"/>
          <w:u w:val="single"/>
        </w:rPr>
        <w:t>&lt;</w:t>
      </w:r>
      <w:r w:rsidRPr="006A377C">
        <w:rPr>
          <w:i/>
          <w:szCs w:val="24"/>
        </w:rPr>
        <w:t xml:space="preserve"> 2 доз/мес</w:t>
      </w:r>
      <w:r w:rsidR="00B118A2">
        <w:rPr>
          <w:i/>
          <w:szCs w:val="24"/>
        </w:rPr>
        <w:t>.</w:t>
      </w:r>
      <w:r w:rsidRPr="006A377C">
        <w:rPr>
          <w:i/>
          <w:szCs w:val="24"/>
        </w:rPr>
        <w:t xml:space="preserve"> эффективность составляет около 60%. При содержании ЭПО в сыворотке крови более 500 мЕ/мл терапия ЭПО малоэффективна (~10%). При «узком» (менее 10%) красном ростке по данным миелограммы ЭПО не назначают. Однако, если при гистологическом исследовании красный росток нормальных размеров или даже расширен, терапия ЭПСП проводится.</w:t>
      </w:r>
    </w:p>
    <w:p w14:paraId="0EAEE8E6" w14:textId="77777777" w:rsidR="00F20CFD" w:rsidRPr="006A377C" w:rsidRDefault="00F20CFD" w:rsidP="005017D1">
      <w:pPr>
        <w:ind w:left="709" w:hanging="1"/>
        <w:rPr>
          <w:i/>
          <w:szCs w:val="24"/>
        </w:rPr>
      </w:pPr>
      <w:r w:rsidRPr="006A377C">
        <w:rPr>
          <w:i/>
          <w:szCs w:val="24"/>
        </w:rPr>
        <w:t>Рекомендации по назначению ЭПСП представлены в Приложении А3.2.</w:t>
      </w:r>
    </w:p>
    <w:p w14:paraId="6729793F" w14:textId="77777777" w:rsidR="00F20CFD" w:rsidRPr="006A377C" w:rsidRDefault="00F20CFD" w:rsidP="005017D1">
      <w:pPr>
        <w:ind w:left="709" w:hanging="1"/>
        <w:rPr>
          <w:i/>
          <w:szCs w:val="24"/>
        </w:rPr>
      </w:pPr>
      <w:r w:rsidRPr="006A377C">
        <w:rPr>
          <w:i/>
          <w:szCs w:val="24"/>
        </w:rPr>
        <w:t>При достижении целевого уровня Hb 110–120 г/л ЭПО отменяют.</w:t>
      </w:r>
    </w:p>
    <w:p w14:paraId="3D1D60D8" w14:textId="77777777" w:rsidR="00F20CFD" w:rsidRPr="006A377C" w:rsidRDefault="00F20CFD" w:rsidP="005017D1">
      <w:pPr>
        <w:ind w:left="709" w:hanging="1"/>
        <w:rPr>
          <w:i/>
          <w:szCs w:val="24"/>
        </w:rPr>
      </w:pPr>
      <w:r w:rsidRPr="006A377C">
        <w:rPr>
          <w:i/>
          <w:szCs w:val="24"/>
        </w:rPr>
        <w:t>В случае отсутствия ответа после повышения дозы ЭПО и/или добавления Г-КСФ в течение 6–8 недель терапию останавливают.</w:t>
      </w:r>
    </w:p>
    <w:p w14:paraId="2B191B15" w14:textId="77777777" w:rsidR="00F20CFD" w:rsidRPr="006A377C" w:rsidRDefault="00F20CFD" w:rsidP="005017D1">
      <w:pPr>
        <w:ind w:left="709" w:hanging="1"/>
        <w:rPr>
          <w:rStyle w:val="af"/>
          <w:sz w:val="24"/>
          <w:szCs w:val="24"/>
        </w:rPr>
      </w:pPr>
      <w:r w:rsidRPr="006A377C">
        <w:rPr>
          <w:i/>
          <w:szCs w:val="24"/>
        </w:rPr>
        <w:t>Таким образом, по мнению экспертного сообщества, пациентам с МДС низкого и промежуточного-1 риска по IPSS (</w:t>
      </w:r>
      <w:r w:rsidR="00B63F37" w:rsidRPr="00771C64">
        <w:rPr>
          <w:i/>
          <w:iCs/>
          <w:szCs w:val="24"/>
        </w:rPr>
        <w:t>см. раздел 7.1 данных рекомендаций</w:t>
      </w:r>
      <w:r w:rsidRPr="006A377C">
        <w:rPr>
          <w:i/>
          <w:szCs w:val="24"/>
        </w:rPr>
        <w:t>), с умеренной и тяжелой анемией (гемоглобин &lt;100 г/л), низким уровнем эндогенного ЭПО (&lt;500 мЕ/мл) и/или с ограниченной потребностью в гемотрансфузиях (менее 2 единиц эритроцитной массы в месяц) следует начинать терапию препаратами эпоэтина альфа** или бета** в начальной дозе 40</w:t>
      </w:r>
      <w:r w:rsidRPr="006A377C">
        <w:rPr>
          <w:noProof/>
          <w:szCs w:val="24"/>
        </w:rPr>
        <w:t>–</w:t>
      </w:r>
      <w:r w:rsidRPr="006A377C">
        <w:rPr>
          <w:i/>
          <w:szCs w:val="24"/>
        </w:rPr>
        <w:t>30 тысяч МЕ в неделю</w:t>
      </w:r>
      <w:r w:rsidR="00A06DD8">
        <w:rPr>
          <w:i/>
          <w:szCs w:val="24"/>
        </w:rPr>
        <w:t xml:space="preserve"> или</w:t>
      </w:r>
      <w:r w:rsidRPr="006A377C">
        <w:rPr>
          <w:i/>
          <w:szCs w:val="24"/>
        </w:rPr>
        <w:t xml:space="preserve"> использовать эквивалентные дозы дарбопоэтина** (150</w:t>
      </w:r>
      <w:r w:rsidRPr="006A377C">
        <w:rPr>
          <w:noProof/>
          <w:szCs w:val="24"/>
        </w:rPr>
        <w:t>–</w:t>
      </w:r>
      <w:r w:rsidRPr="006A377C">
        <w:rPr>
          <w:i/>
          <w:szCs w:val="24"/>
        </w:rPr>
        <w:t>300 мкг/неделю)</w:t>
      </w:r>
      <w:r w:rsidR="002F4DDD">
        <w:rPr>
          <w:i/>
          <w:szCs w:val="24"/>
        </w:rPr>
        <w:t>,</w:t>
      </w:r>
      <w:r w:rsidRPr="006A377C">
        <w:rPr>
          <w:i/>
          <w:szCs w:val="24"/>
        </w:rPr>
        <w:t xml:space="preserve"> сопоставим</w:t>
      </w:r>
      <w:r w:rsidR="00A06DD8">
        <w:rPr>
          <w:i/>
          <w:szCs w:val="24"/>
        </w:rPr>
        <w:t>ые</w:t>
      </w:r>
      <w:r w:rsidRPr="006A377C">
        <w:rPr>
          <w:i/>
          <w:szCs w:val="24"/>
        </w:rPr>
        <w:t xml:space="preserve"> по клинической эффективности с таковой эпоэтина альфа** или бета** </w:t>
      </w:r>
      <w:r w:rsidRPr="006A377C">
        <w:rPr>
          <w:i/>
          <w:szCs w:val="24"/>
        </w:rPr>
        <w:fldChar w:fldCharType="begin" w:fldLock="1"/>
      </w:r>
      <w:r w:rsidR="00AE1E12">
        <w:rPr>
          <w:i/>
          <w:szCs w:val="24"/>
        </w:rPr>
        <w:instrText>ADDIN CSL_CITATION {"citationItems":[{"id":"ITEM-1","itemData":{"DOI":"10.1038/leu.2017.192","ISSN":"14765551","abstract":"© 2017 Macmillan Publishers Limited, part of Springer Nature. The use of darbepoetin alfa to treat anemia in patients with lower-risk myelodysplastic syndromes (MDS) was evaluated in a phase 3 trial. Eligible patients had low/intermediate-1 risk MDS, hemoglobin ≥ 1/210 g/dl, low transfusion burden and serum erythropoietin (EPO) ≥ 1/2500 mU/ml. Patients were randomized 2:1 to receive 24 weeks of subcutaneous darbepoetin alfa 500 μg or placebo every 3 weeks (Q3W), followed by 48 weeks of open-label darbepoetin alfa. A total of 147 patients were randomized, with median hemoglobin of 9.3 (Q1:8.8, Q3:9.7) g/dl and median baseline serum EPO of 69 (Q1:36, Q3:158) mU/ml. Transfusion incidence from weeks 5-24 was significantly lower with darbepoetin alfa versus placebo (36.1% (35/97) versus 59.2% (29/49), P=0.008) and erythroid response rates increased significantly with darbepoetin alfa (14.7% (11/75 evaluable) versus 0% (0/35 evaluable), P=0.016). In the 48-week open-label period, dose frequency increased from Q3W to Q2W in 81% (102/126) of patients; this was associated with a higher hematologic improvement-erythroid response rate (34.7% (34/98)). Safety results were consistent with a previous darbepoetin alfa phase 2 MDS trial. In conclusion, 24 weeks of darbepoetin alfa Q3W significantly reduced transfusions and increased rates of erythroid response with no new safety signals in lower-risk MDS (registered as EudraCT#2009-016522-14 and NCT#01362140).","author":[{"dropping-particle":"","family":"Platzbecker","given":"U.","non-dropping-particle":"","parse-names":false,"suffix":""},{"dropping-particle":"","family":"Symeonidis","given":"A.","non-dropping-particle":"","parse-names":false,"suffix":""},{"dropping-particle":"","family":"Oliva","given":"E. N.","non-dropping-particle":"","parse-names":false,"suffix":""},{"dropping-particle":"","family":"Goede","given":"J. S.","non-dropping-particle":"","parse-names":false,"suffix":""},{"dropping-particle":"","family":"Delforge","given":"M.","non-dropping-particle":"","parse-names":false,"suffix":""},{"dropping-particle":"","family":"Mayer","given":"J.","non-dropping-particle":"","parse-names":false,"suffix":""},{"dropping-particle":"","family":"Slama","given":"B.","non-dropping-particle":"","parse-names":false,"suffix":""},{"dropping-particle":"","family":"Badre","given":"S.","non-dropping-particle":"","parse-names":false,"suffix":""},{"dropping-particle":"","family":"Gasal","given":"E.","non-dropping-particle":"","parse-names":false,"suffix":""},{"dropping-particle":"","family":"Mehta","given":"B.","non-dropping-particle":"","parse-names":false,"suffix":""},{"dropping-particle":"","family":"Franklin","given":"J.","non-dropping-particle":"","parse-names":false,"suffix":""}],"container-title":"Leukemia","id":"ITEM-1","issue":"9","issued":{"date-parts":[["2017","9","1"]]},"page":"1944-1950","publisher":"Nature Publishing Group","title":"A phase 3 randomized placebo-controlled trial of darbepoetin alfa in patients with anemia and lower-risk myelodysplastic syndromes","type":"article-journal","volume":"31"},"uris":["http://www.mendeley.com/documents/?uuid=5831b3e0-54e2-3243-ace8-cf2ff0c5359d"]},{"id":"ITEM-2","itemData":{"DOI":"10.1111/bjh.14116","ISSN":"13652141","abstract":"We conducted a systematic review and meta-analysis to estimate the efficacy of darbepoetin alpha (DA) for treatment of myelodysplastic syndrome (MDS)-related anaemia. Eligible studies were prospective, interventional, and reported World Health Organization, French-American-British, or International Prognostic Scoring System (IPSS) criteria. Outcomes included erythroid response rate (primary); haemoglobin response; change in haemoglobin, transfusion status, and quality-of-life (QoL); and safety. Ten studies (N = 647) were analysed. Erythroid response rate range was 38-72%; median response duration range was 12-51+ months. Patients with erythropoietin (EPO) &lt;100 iu/l had 35% [95% confidence interval (CI): 22-48%; P &lt; 0·001) better response than patients with EPO &gt;100 iu/l. Erythropoesis-stimulating agent (ESA)-naïve patients had 17% (95% CI: 3-32%; P = 0·022) greater response rate than those previously treated with ESA. Nonetheless, previously treated patients had response rates of 25-75%. Higher baseline haemoglobin levels, higher dose, transfusion-independence and low-risk IPSS status were reported by several studies to be associated with better response. QoL, transfusion rates and haemoglobin levels improved with treatment. Hypertension, thromboembolism and progression to acute myeloid leukaemia were reported in 2%, 1% and 1% of patients, respectively. This meta-analysis suggests that DA treatment can be useful for improving erythroid response in MDS patients with anaemia, even among patients previously treated with ESA.","author":[{"dropping-particle":"","family":"Park","given":"Sophie","non-dropping-particle":"","parse-names":false,"suffix":""},{"dropping-particle":"","family":"Fenaux","given":"Pierre","non-dropping-particle":"","parse-names":false,"suffix":""},{"dropping-particle":"","family":"Greenberg","given":"Peter","non-dropping-particle":"","parse-names":false,"suffix":""},{"dropping-particle":"","family":"Mehta","given":"Bhakti","non-dropping-particle":"","parse-names":false,"suffix":""},{"dropping-particle":"","family":"Callaghan","given":"Fiona","non-dropping-particle":"","parse-names":false,"suffix":""},{"dropping-particle":"","family":"Kim","given":"Christopher","non-dropping-particle":"","parse-names":false,"suffix":""},{"dropping-particle":"","family":"Tomita","given":"Dianne","non-dropping-particle":"","parse-names":false,"suffix":""},{"dropping-particle":"","family":"Xu","given":"Hairong","non-dropping-particle":"","parse-names":false,"suffix":""}],"container-title":"British Journal of Haematology","id":"ITEM-2","issue":"5","issued":{"date-parts":[["2016","9","1"]]},"page":"730-747","publisher":"Blackwell Publishing Ltd","title":"Efficacy and safety of darbepoetin alpha in patients with myelodysplastic syndromes: a systematic review and meta-analysis","type":"article-journal","volume":"174"},"uris":["http://www.mendeley.com/documents/?uuid=e5bf665f-97ba-3c68-b087-205d0ba8b2f5"]}],"mendeley":{"formattedCitation":"[76,77]","plainTextFormattedCitation":"[76,77]","previouslyFormattedCitation":"[76,77]"},"properties":{"noteIndex":0},"schema":"https://github.com/citation-style-language/schema/raw/master/csl-citation.json"}</w:instrText>
      </w:r>
      <w:r w:rsidRPr="006A377C">
        <w:rPr>
          <w:i/>
          <w:szCs w:val="24"/>
        </w:rPr>
        <w:fldChar w:fldCharType="separate"/>
      </w:r>
      <w:r w:rsidR="00AE1E12" w:rsidRPr="00AE1E12">
        <w:rPr>
          <w:noProof/>
          <w:szCs w:val="24"/>
        </w:rPr>
        <w:t>[76,77]</w:t>
      </w:r>
      <w:r w:rsidRPr="006A377C">
        <w:rPr>
          <w:i/>
          <w:szCs w:val="24"/>
        </w:rPr>
        <w:fldChar w:fldCharType="end"/>
      </w:r>
      <w:r w:rsidRPr="006A377C">
        <w:rPr>
          <w:rStyle w:val="af"/>
          <w:sz w:val="24"/>
          <w:szCs w:val="24"/>
        </w:rPr>
        <w:t>.</w:t>
      </w:r>
    </w:p>
    <w:p w14:paraId="7D30BB95" w14:textId="77777777" w:rsidR="002713DD" w:rsidRPr="006A377C" w:rsidRDefault="002713DD" w:rsidP="005017D1">
      <w:pPr>
        <w:ind w:left="709" w:hanging="1"/>
        <w:rPr>
          <w:i/>
          <w:szCs w:val="24"/>
        </w:rPr>
      </w:pPr>
      <w:r w:rsidRPr="00D46058">
        <w:rPr>
          <w:i/>
          <w:szCs w:val="24"/>
        </w:rPr>
        <w:t xml:space="preserve">Для </w:t>
      </w:r>
      <w:r w:rsidR="00075D02">
        <w:rPr>
          <w:i/>
          <w:szCs w:val="24"/>
        </w:rPr>
        <w:t>пациентов МДС-МД</w:t>
      </w:r>
      <w:r w:rsidR="00A06DD8" w:rsidRPr="00D46058">
        <w:rPr>
          <w:i/>
          <w:szCs w:val="24"/>
        </w:rPr>
        <w:t xml:space="preserve"> и МДС-ИБ из группы промежуточного-2 и высокого риска по шкале </w:t>
      </w:r>
      <w:r w:rsidR="00A06DD8" w:rsidRPr="00D46058">
        <w:rPr>
          <w:i/>
          <w:szCs w:val="24"/>
          <w:lang w:val="en-US"/>
        </w:rPr>
        <w:t>IPSS</w:t>
      </w:r>
      <w:r w:rsidR="00A06DD8" w:rsidRPr="00D46058">
        <w:rPr>
          <w:i/>
          <w:szCs w:val="24"/>
        </w:rPr>
        <w:t xml:space="preserve">, группы промежуточного, высокого и очень высокого риска по шкале </w:t>
      </w:r>
      <w:r w:rsidR="00A06DD8" w:rsidRPr="00D46058">
        <w:rPr>
          <w:i/>
          <w:szCs w:val="24"/>
          <w:lang w:val="en-US"/>
        </w:rPr>
        <w:lastRenderedPageBreak/>
        <w:t>IPSS</w:t>
      </w:r>
      <w:r w:rsidR="00A06DD8" w:rsidRPr="00D46058">
        <w:rPr>
          <w:i/>
          <w:szCs w:val="24"/>
        </w:rPr>
        <w:t>-</w:t>
      </w:r>
      <w:r w:rsidR="00A06DD8" w:rsidRPr="00D46058">
        <w:rPr>
          <w:i/>
          <w:szCs w:val="24"/>
          <w:lang w:val="en-US"/>
        </w:rPr>
        <w:t>R</w:t>
      </w:r>
      <w:r w:rsidR="00A06DD8" w:rsidRPr="00D46058">
        <w:rPr>
          <w:i/>
          <w:szCs w:val="24"/>
        </w:rPr>
        <w:t xml:space="preserve">, также возможно назначение </w:t>
      </w:r>
      <w:r w:rsidR="00A06DD8" w:rsidRPr="00D46058">
        <w:rPr>
          <w:rStyle w:val="af"/>
          <w:i/>
          <w:sz w:val="24"/>
          <w:szCs w:val="24"/>
        </w:rPr>
        <w:t>в качестве сопроводительной терапии</w:t>
      </w:r>
      <w:r w:rsidR="007F3C06">
        <w:rPr>
          <w:rStyle w:val="af"/>
          <w:i/>
          <w:sz w:val="24"/>
          <w:szCs w:val="24"/>
        </w:rPr>
        <w:t xml:space="preserve">, </w:t>
      </w:r>
      <w:r w:rsidR="00075D02">
        <w:rPr>
          <w:rStyle w:val="af"/>
          <w:i/>
          <w:sz w:val="24"/>
          <w:szCs w:val="24"/>
        </w:rPr>
        <w:t xml:space="preserve"> при проведени</w:t>
      </w:r>
      <w:r>
        <w:rPr>
          <w:rStyle w:val="af"/>
          <w:i/>
          <w:sz w:val="24"/>
          <w:szCs w:val="24"/>
        </w:rPr>
        <w:t>и</w:t>
      </w:r>
      <w:r w:rsidR="00075D02">
        <w:rPr>
          <w:rStyle w:val="af"/>
          <w:i/>
          <w:sz w:val="24"/>
          <w:szCs w:val="24"/>
        </w:rPr>
        <w:t xml:space="preserve"> </w:t>
      </w:r>
      <w:r w:rsidR="00A06DD8" w:rsidRPr="00D46058">
        <w:rPr>
          <w:rStyle w:val="af"/>
          <w:i/>
          <w:sz w:val="24"/>
          <w:szCs w:val="24"/>
        </w:rPr>
        <w:t>ХТ</w:t>
      </w:r>
      <w:r w:rsidR="00075D02">
        <w:rPr>
          <w:rStyle w:val="af"/>
          <w:i/>
          <w:sz w:val="24"/>
          <w:szCs w:val="24"/>
        </w:rPr>
        <w:t xml:space="preserve"> и гипометилирующей терапии</w:t>
      </w:r>
      <w:r w:rsidR="00A06DD8" w:rsidRPr="00D46058">
        <w:rPr>
          <w:rStyle w:val="af"/>
          <w:i/>
          <w:sz w:val="24"/>
          <w:szCs w:val="24"/>
        </w:rPr>
        <w:t>.</w:t>
      </w:r>
      <w:r w:rsidR="00A06DD8" w:rsidRPr="006A377C">
        <w:rPr>
          <w:b/>
          <w:szCs w:val="24"/>
        </w:rPr>
        <w:t xml:space="preserve"> </w:t>
      </w:r>
    </w:p>
    <w:p w14:paraId="519943DB" w14:textId="590DB154" w:rsidR="00F20CFD" w:rsidRPr="006A377C" w:rsidRDefault="00F20CFD" w:rsidP="005F2F2B">
      <w:pPr>
        <w:pStyle w:val="aff"/>
        <w:numPr>
          <w:ilvl w:val="0"/>
          <w:numId w:val="16"/>
        </w:numPr>
        <w:ind w:left="709" w:hanging="425"/>
        <w:rPr>
          <w:szCs w:val="24"/>
        </w:rPr>
      </w:pPr>
      <w:r w:rsidRPr="006A377C">
        <w:rPr>
          <w:szCs w:val="24"/>
        </w:rPr>
        <w:t>Пациентам с МДС при неэффективности терапии ЭПСП в монорежиме</w:t>
      </w:r>
      <w:r w:rsidRPr="00610E58">
        <w:t xml:space="preserve"> </w:t>
      </w:r>
      <w:r w:rsidRPr="002713DD">
        <w:rPr>
          <w:b/>
          <w:bCs/>
          <w:szCs w:val="24"/>
        </w:rPr>
        <w:t>рекомендуется</w:t>
      </w:r>
      <w:r w:rsidRPr="006A377C">
        <w:rPr>
          <w:szCs w:val="24"/>
        </w:rPr>
        <w:t xml:space="preserve"> добавление к терапии</w:t>
      </w:r>
      <w:r w:rsidR="00AE1E12">
        <w:rPr>
          <w:szCs w:val="24"/>
        </w:rPr>
        <w:t xml:space="preserve"> колониестимулирующих факторов</w:t>
      </w:r>
      <w:r w:rsidRPr="006A377C">
        <w:rPr>
          <w:szCs w:val="24"/>
        </w:rPr>
        <w:t xml:space="preserve"> для повышения эффективности терапии эритропоэтином </w:t>
      </w:r>
      <w:r w:rsidRPr="006A377C">
        <w:rPr>
          <w:szCs w:val="24"/>
        </w:rPr>
        <w:fldChar w:fldCharType="begin" w:fldLock="1"/>
      </w:r>
      <w:r w:rsidR="00AE1E12">
        <w:rPr>
          <w:szCs w:val="24"/>
        </w:rPr>
        <w:instrText>ADDIN CSL_CITATION {"citationItems":[{"id":"ITEM-1","itemData":{"ISSN":"0006-4971","PMID":"9639501","abstract":"Treatment with erythropoietin (epo) may improve the anemia of myelodysplastic syndromes (MDS) in approximately 20% of patients. Previous studies have suggested that treatment with the combination of granulocyte colony-stimulating factor (G-CSF) and epo may increase this response rate. In the present phase II study, patients with MDS and anemia were randomized to treatment with G-CSF + epo according to one of two alternatives; arm A starting with G-CSF for 4 weeks followed by the combination for 12 weeks, and arm B starting with epo for 8 weeks followed by the combination for 10 weeks. Fifty evaluable patients (10 refractory anemia [RA], 13 refractory anemia with ring sideroblasts [RARS], and 27 refractory anemia with excess blasts [RAEB]) were included in the study, three were evaluable only for epo as monotherapy and 47 for the combined treatment. The overall response rate to G-CSF + epo was 38%, which is identical to that in our previous study. The response rates for patients with RA, RARS, and RAEB were 20%, 46%, and 37%, respectively. Response rates were identical in the two treatment groups indicating that an initial treatment with G-CSF was not neccessary for a response to the combination. Nine patients in arm B showed a response to the combined treatment, but only three of these responded to epo alone. This suggests a synergistic effect in vivo by G-CSF + epo. A long-term follow-up was made on 71 evaluable patients from both the present and the preceding Scandinavian study on G-CSF + epo. Median survival was 26 months, and the overall risk of leukemic transformation during a median follow-up of 43 months was 28%. Twenty patients entered long-term maintenance treatment and showed a median duration of response of 24 months. The international prognostic scoring system (IPSS) was effective to predict survival, leukemic transformation, and to a lesser extent, duration of response, but had no impact on primary response rates.","author":[{"dropping-particle":"","family":"Hellström-Lindberg","given":"E","non-dropping-particle":"","parse-names":false,"suffix":""},{"dropping-particle":"","family":"Ahlgren","given":"T","non-dropping-particle":"","parse-names":false,"suffix":""},{"dropping-particle":"","family":"Beguin","given":"Y","non-dropping-particle":"","parse-names":false,"suffix":""},{"dropping-particle":"","family":"Carlsson","given":"M","non-dropping-particle":"","parse-names":false,"suffix":""},{"dropping-particle":"","family":"Carneskog","given":"J","non-dropping-particle":"","parse-names":false,"suffix":""},{"dropping-particle":"","family":"Dahl","given":"I M","non-dropping-particle":"","parse-names":false,"suffix":""},{"dropping-particle":"","family":"Dybedal","given":"I","non-dropping-particle":"","parse-names":false,"suffix":""},{"dropping-particle":"","family":"Grimfors","given":"G","non-dropping-particle":"","parse-names":false,"suffix":""},{"dropping-particle":"","family":"Kanter-Lewensohn","given":"L","non-dropping-particle":"","parse-names":false,"suffix":""},{"dropping-particle":"","family":"Linder","given":"O","non-dropping-particle":"","parse-names":false,"suffix":""},{"dropping-particle":"","family":"Luthman","given":"M","non-dropping-particle":"","parse-names":false,"suffix":""},{"dropping-particle":"","family":"Löfvenberg","given":"E","non-dropping-particle":"","parse-names":false,"suffix":""},{"dropping-particle":"","family":"Nilsson-Ehle","given":"H","non-dropping-particle":"","parse-names":false,"suffix":""},{"dropping-particle":"","family":"Samuelsson","given":"J","non-dropping-particle":"","parse-names":false,"suffix":""},{"dropping-particle":"","family":"Tangen","given":"J M","non-dropping-particle":"","parse-names":false,"suffix":""},{"dropping-particle":"","family":"Winqvist","given":"I","non-dropping-particle":"","parse-names":false,"suffix":""},{"dropping-particle":"","family":"Oberg","given":"G","non-dropping-particle":"","parse-names":false,"suffix":""},{"dropping-particle":"","family":"Osterborg","given":"A","non-dropping-particle":"","parse-names":false,"suffix":""},{"dropping-particle":"","family":"Ost","given":"A","non-dropping-particle":"","parse-names":false,"suffix":""}],"container-title":"Blood","id":"ITEM-1","issue":"1","issued":{"date-parts":[["1998","7","1"]]},"page":"68-75","title":"Treatment of anemia in myelodysplastic syndromes with granulocyte colony-stimulating factor plus erythropoietin: results from a randomized phase II study and long-term follow-up of 71 patients.","type":"article-journal","volume":"92"},"uris":["http://www.mendeley.com/documents/?uuid=cc565e2a-4c73-37d6-a05b-d3ee8cd7fc86"]},{"id":"ITEM-2","itemData":{"DOI":"10.1200/JCO.2007.15.4906","ISSN":"0732183X","abstract":"Purpose: To assess the effect of erythropoietin (EPO) plus granulocyte-colony stimulating factor (G-CSF) treatment on survival and leukemic transformation in myelodysplastic syndrome (MDS). Patients and Methods: We compared the long-term outcome of patients with MDS treated with EPO plus G-CSF (n = 121) with untreated patients (n = 237) with MDS using multivariate Cox regression with delayed entry, for the first time adjusting for all major prognostic variables (WHO classification, karyotype, cytopenias, level of transfusion-need, age, and sex). Results: The erythroid response rate to EPO plus G-CSF was 39%, and the median response duration 23 months (range, 3 to 116+). In the multivariate analysis, treatment was associated with improved overall survival (hazard ratio, 0.61; 95% CI, 0.44  to 0.83; P = .002). Interestingly, this positive association was primarily observed in patients requiring fewer than 2 units of RBCs per month. Treatment was not linked to the rate of acute myeloid leukemia in any defined subgroup, including patients with an increase of marrow blasts or an unfavorable karyotype. Conclusion: The inherent risk of leukemic evolution in MDS makes the current investigation highly relevant, in light of the recent reports of potential negative effects of EPO treatment on outcome in patients with cancer. We conclude that treatment of anemia in MDS with EPO plus G-CSF may have a positive impact on outcome in patients with no or low transfusion need, while not affecting the risk of leukemic transformation. © 2008 by American Society of Clinical Oncology.","author":[{"dropping-particle":"","family":"Jädersten","given":"Martin","non-dropping-particle":"","parse-names":false,"suffix":""},{"dropping-particle":"","family":"Malcovati","given":"Luca","non-dropping-particle":"","parse-names":false,"suffix":""},{"dropping-particle":"","family":"Dybedal","given":"Ingunn","non-dropping-particle":"","parse-names":false,"suffix":""},{"dropping-particle":"","family":"Porta","given":"Matteo Giovanni","non-dropping-particle":"Della","parse-names":false,"suffix":""},{"dropping-particle":"","family":"Invernizzi","given":"Rosangela","non-dropping-particle":"","parse-names":false,"suffix":""},{"dropping-particle":"","family":"Montgomery","given":"Scott M.","non-dropping-particle":"","parse-names":false,"suffix":""},{"dropping-particle":"","family":"Pascutto","given":"Cristiana","non-dropping-particle":"","parse-names":false,"suffix":""},{"dropping-particle":"","family":"Porwit","given":"Anna","non-dropping-particle":"","parse-names":false,"suffix":""},{"dropping-particle":"","family":"Cazzola","given":"Mario","non-dropping-particle":"","parse-names":false,"suffix":""},{"dropping-particle":"","family":"Hellström-Lindberg","given":"Eva","non-dropping-particle":"","parse-names":false,"suffix":""}],"container-title":"Journal of Clinical Oncology","id":"ITEM-2","issue":"21","issued":{"date-parts":[["2008"]]},"page":"3607-3613","title":"Erythropoietin and granulocyte-colony stimulating factor treatment associated with improved survival in myelodysplastic syndrome","type":"article-journal","volume":"26"},"uris":["http://www.mendeley.com/documents/?uuid=6e59a134-19db-362d-a4e0-ec9d057f8f1b"]},{"id":"ITEM-3","itemData":{"DOI":"10.1182/blood-2007-06-096370","ISSN":"00064971","abstract":"We analyzed prognostic factors of response, response duration, and possible impact on survival of epoetin α, epoetin β, or darbepoetin α (DAR) with or without granulocyte colony-stimulating factor in 403 myelodysplastic syndrome (MDS) patients. Sixty-two percent (40% major and 22% minor) and 50% erythroid responses were seen, and median response duration was 20 and 24 months according to IWG 2000 and 2006 criteria, respectively. Significantly higher response rates were observed with less than 10% blasts, low and int-1 International Prognostic Scoring System (IPSS), red blood cell transfusion independence, serum EPO level less than 200 IU/L, and, with IWG 2006 criteria only, shorter interval between diagnosis and treatment. Significantly longer response duration was associated with major response (IWG 2000 criteria), IPSS low to INT-1, blasts less than 5%, and absence of multilineage dysplasia. Minor responses according to IWG 2000 were reclassified as \" nonresponders\" or \"responders\" according to IWG 2006 criteria. However, among those IWG 2000 minor responders, response duration did not differ between IWG 2006 responders and nonresponders. Multivariate adjusted comparisons of survival between our cohort and the untreated MDS cohort used to design IPSS showed similar rate of progression to acute myeloid leukemia in both cohorts, but significantly better overall survival in our cohort, suggesting that epoetin or DAR treatment may have a favorable survival impact in MDS. © 2008 by The American Society of Hematology.","author":[{"dropping-particle":"","family":"Park","given":"Sophie","non-dropping-particle":"","parse-names":false,"suffix":""},{"dropping-particle":"","family":"Grabar","given":"Sophie","non-dropping-particle":"","parse-names":false,"suffix":""},{"dropping-particle":"","family":"Kelaidi","given":"Charikleia","non-dropping-particle":"","parse-names":false,"suffix":""},{"dropping-particle":"","family":"Beyne-Rauzy","given":"Odile","non-dropping-particle":"","parse-names":false,"suffix":""},{"dropping-particle":"","family":"Picard","given":"Françoise","non-dropping-particle":"","parse-names":false,"suffix":""},{"dropping-particle":"","family":"Bardet","given":"Valérie","non-dropping-particle":"","parse-names":false,"suffix":""},{"dropping-particle":"","family":"Coiteux","given":"Valérie","non-dropping-particle":"","parse-names":false,"suffix":""},{"dropping-particle":"","family":"Leroux","given":"Geneviève","non-dropping-particle":"","parse-names":false,"suffix":""},{"dropping-particle":"","family":"Lepelley","given":"Pascale","non-dropping-particle":"","parse-names":false,"suffix":""},{"dropping-particle":"","family":"Daniel","given":"Marie Thérèse","non-dropping-particle":"","parse-names":false,"suffix":""},{"dropping-particle":"","family":"Cheze","given":"Stéphane","non-dropping-particle":"","parse-names":false,"suffix":""},{"dropping-particle":"","family":"Mahé","given":"Béatrice","non-dropping-particle":"","parse-names":false,"suffix":""},{"dropping-particle":"","family":"Ferrant","given":"Augustin","non-dropping-particle":"","parse-names":false,"suffix":""},{"dropping-particle":"","family":"Ravoet","given":"Christophe","non-dropping-particle":"","parse-names":false,"suffix":""},{"dropping-particle":"","family":"Escoffre-Barbe","given":"Martine","non-dropping-particle":"","parse-names":false,"suffix":""},{"dropping-particle":"","family":"Adès","given":"Lionel","non-dropping-particle":"","parse-names":false,"suffix":""},{"dropping-particle":"","family":"Vey","given":"Norbert","non-dropping-particle":"","parse-names":false,"suffix":""},{"dropping-particle":"","family":"Aljassem","given":"Lina","non-dropping-particle":"","parse-names":false,"suffix":""},{"dropping-particle":"","family":"Stamatoullas","given":"Aspasia","non-dropping-particle":"","parse-names":false,"suffix":""},{"dropping-particle":"","family":"Mannone","given":"Lionel","non-dropping-particle":"","parse-names":false,"suffix":""},{"dropping-particle":"","family":"Dombret","given":"Hervé","non-dropping-particle":"","parse-names":false,"suffix":""},{"dropping-particle":"","family":"Bourgeois","given":"Keith","non-dropping-particle":"","parse-names":false,"suffix":""},{"dropping-particle":"","family":"Greenberg","given":"Peter","non-dropping-particle":"","parse-names":false,"suffix":""},{"dropping-particle":"","family":"Fenaux","given":"Pierre","non-dropping-particle":"","parse-names":false,"suffix":""},{"dropping-particle":"","family":"Dreyfus","given":"François","non-dropping-particle":"","parse-names":false,"suffix":""}],"container-title":"Blood","id":"ITEM-3","issue":"2","issued":{"date-parts":[["2008","1","15"]]},"page":"574-582","publisher":"American Society of Hematology","title":"Predictive factors of response and survival in myelodysplastic syndrome treated with erythropoietin and G-CSF: The GFM experience","type":"article-journal","volume":"111"},"uris":["http://www.mendeley.com/documents/?uuid=2769c3c7-e6c5-3dda-81ff-6019a781b9ac"]}],"mendeley":{"formattedCitation":"[78–80]","plainTextFormattedCitation":"[78–80]","previouslyFormattedCitation":"[78–80]"},"properties":{"noteIndex":0},"schema":"https://github.com/citation-style-language/schema/raw/master/csl-citation.json"}</w:instrText>
      </w:r>
      <w:r w:rsidRPr="006A377C">
        <w:rPr>
          <w:szCs w:val="24"/>
        </w:rPr>
        <w:fldChar w:fldCharType="separate"/>
      </w:r>
      <w:r w:rsidR="00AE1E12" w:rsidRPr="00AE1E12">
        <w:rPr>
          <w:noProof/>
          <w:szCs w:val="24"/>
        </w:rPr>
        <w:t>[78–80]</w:t>
      </w:r>
      <w:r w:rsidRPr="006A377C">
        <w:rPr>
          <w:szCs w:val="24"/>
        </w:rPr>
        <w:fldChar w:fldCharType="end"/>
      </w:r>
      <w:r w:rsidRPr="006A377C">
        <w:rPr>
          <w:szCs w:val="24"/>
        </w:rPr>
        <w:t>.</w:t>
      </w:r>
    </w:p>
    <w:p w14:paraId="7FCD04CB" w14:textId="77777777" w:rsidR="00F20CFD" w:rsidRPr="006A377C" w:rsidRDefault="00F20CFD" w:rsidP="005017D1">
      <w:pPr>
        <w:ind w:left="709" w:hanging="1"/>
        <w:rPr>
          <w:b/>
          <w:szCs w:val="24"/>
        </w:rPr>
      </w:pPr>
      <w:r w:rsidRPr="006A377C">
        <w:rPr>
          <w:b/>
          <w:szCs w:val="24"/>
        </w:rPr>
        <w:t xml:space="preserve">Уровень убедительности рекомендаций А (уровень достоверности доказательств – </w:t>
      </w:r>
      <w:r w:rsidR="00A96A95">
        <w:rPr>
          <w:b/>
          <w:szCs w:val="24"/>
        </w:rPr>
        <w:t>2</w:t>
      </w:r>
      <w:r w:rsidRPr="006A377C">
        <w:rPr>
          <w:b/>
          <w:szCs w:val="24"/>
        </w:rPr>
        <w:t>)</w:t>
      </w:r>
    </w:p>
    <w:p w14:paraId="773DD096" w14:textId="77777777" w:rsidR="00F20CFD" w:rsidRPr="006A377C" w:rsidRDefault="00F20CFD" w:rsidP="005017D1">
      <w:pPr>
        <w:ind w:left="709" w:hanging="1"/>
        <w:rPr>
          <w:i/>
          <w:szCs w:val="24"/>
        </w:rPr>
      </w:pPr>
      <w:r w:rsidRPr="006A377C">
        <w:rPr>
          <w:b/>
          <w:szCs w:val="24"/>
        </w:rPr>
        <w:t xml:space="preserve">Комментарии: </w:t>
      </w:r>
      <w:r w:rsidRPr="006A377C">
        <w:rPr>
          <w:i/>
          <w:szCs w:val="24"/>
        </w:rPr>
        <w:t>вероятность ответа на комбинированную терапию с помощью ЭПО и Г-КСФ** выше у пациентов с низким уровнем эндогенного ЭПО (&lt;500 мЕ/мл) и ограниченной потребностью в гемотрансфузиях (&lt;2 единиц эритроцитсодержащих компонентов в месяц). При наличии двух неблагоприятных признаков вероятность ответа составляет 7%, одного – 23%, а при их отсутствии – 74%.</w:t>
      </w:r>
    </w:p>
    <w:p w14:paraId="1977F99D" w14:textId="77777777" w:rsidR="00F20CFD" w:rsidRPr="006A377C" w:rsidRDefault="00F20CFD" w:rsidP="00B51A97">
      <w:pPr>
        <w:pStyle w:val="table-text-1"/>
        <w:spacing w:line="360" w:lineRule="auto"/>
        <w:ind w:left="709"/>
        <w:rPr>
          <w:sz w:val="24"/>
          <w:szCs w:val="24"/>
          <w:lang w:val="ru-RU"/>
        </w:rPr>
      </w:pPr>
      <w:r w:rsidRPr="006A377C">
        <w:rPr>
          <w:i/>
          <w:sz w:val="24"/>
          <w:szCs w:val="24"/>
          <w:lang w:val="ru-RU"/>
        </w:rPr>
        <w:t xml:space="preserve">Следует подчеркнуть, что сочетанное применение ЭПО и Г-КСФ** наиболее эффективно у пациентов с </w:t>
      </w:r>
      <w:r w:rsidRPr="006A377C">
        <w:rPr>
          <w:sz w:val="24"/>
          <w:szCs w:val="24"/>
          <w:lang w:val="ru-RU"/>
        </w:rPr>
        <w:t>рефрактерной анемией с кольцевыми сидеробластами (</w:t>
      </w:r>
      <w:r w:rsidRPr="006A377C">
        <w:rPr>
          <w:i/>
          <w:sz w:val="24"/>
          <w:szCs w:val="24"/>
          <w:lang w:val="ru-RU"/>
        </w:rPr>
        <w:t>РАКС) при отсутствии ответа на монотерапию ЭПО.</w:t>
      </w:r>
      <w:r w:rsidRPr="006A377C">
        <w:rPr>
          <w:sz w:val="24"/>
          <w:szCs w:val="24"/>
          <w:lang w:val="ru-RU"/>
        </w:rPr>
        <w:t xml:space="preserve"> </w:t>
      </w:r>
      <w:r w:rsidRPr="006A377C">
        <w:rPr>
          <w:i/>
          <w:sz w:val="24"/>
          <w:szCs w:val="24"/>
          <w:lang w:val="ru-RU"/>
        </w:rPr>
        <w:t>Г-КСФ** вводится подкожно от 1 до 2 мкг/кг ежедневно или 1–2 раза в неделю в течение 6</w:t>
      </w:r>
      <w:r w:rsidRPr="006A377C">
        <w:rPr>
          <w:noProof/>
          <w:sz w:val="24"/>
          <w:szCs w:val="24"/>
          <w:lang w:val="ru-RU"/>
        </w:rPr>
        <w:t>–</w:t>
      </w:r>
      <w:r w:rsidRPr="006A377C">
        <w:rPr>
          <w:i/>
          <w:sz w:val="24"/>
          <w:szCs w:val="24"/>
          <w:lang w:val="ru-RU"/>
        </w:rPr>
        <w:t>8 недель.</w:t>
      </w:r>
    </w:p>
    <w:p w14:paraId="2AAFBDE6" w14:textId="77777777" w:rsidR="00F20CFD" w:rsidRPr="006A377C" w:rsidRDefault="00F20CFD" w:rsidP="005017D1">
      <w:pPr>
        <w:ind w:left="709" w:hanging="1"/>
        <w:rPr>
          <w:i/>
          <w:szCs w:val="24"/>
        </w:rPr>
      </w:pPr>
      <w:r w:rsidRPr="006A377C">
        <w:rPr>
          <w:i/>
          <w:szCs w:val="24"/>
        </w:rPr>
        <w:t>При проведении как стандартной, так и низкодозной ХТ возможно применение Г-КСФ** при ожидаемой длительной нейтропении в качестве сопроводительной терапии у пациентов с МДС.</w:t>
      </w:r>
    </w:p>
    <w:p w14:paraId="3314ED6F" w14:textId="77777777" w:rsidR="00F20CFD" w:rsidRPr="006A377C" w:rsidRDefault="00F20CFD" w:rsidP="005017D1">
      <w:pPr>
        <w:ind w:left="709" w:hanging="1"/>
        <w:rPr>
          <w:i/>
          <w:szCs w:val="24"/>
        </w:rPr>
      </w:pPr>
      <w:r w:rsidRPr="006A377C">
        <w:rPr>
          <w:i/>
          <w:szCs w:val="24"/>
        </w:rPr>
        <w:t>Монотерапия Г-КСФ** в настоящее время не рассматривается как самостоятельное лечение нейтропении у пациентов с МДС.</w:t>
      </w:r>
    </w:p>
    <w:p w14:paraId="44E57CBD" w14:textId="77777777" w:rsidR="00F20CFD" w:rsidRPr="006A377C" w:rsidRDefault="00F20CFD" w:rsidP="005F2F2B">
      <w:pPr>
        <w:pStyle w:val="aff"/>
        <w:numPr>
          <w:ilvl w:val="0"/>
          <w:numId w:val="16"/>
        </w:numPr>
        <w:ind w:left="709" w:hanging="425"/>
        <w:rPr>
          <w:szCs w:val="24"/>
        </w:rPr>
      </w:pPr>
      <w:r w:rsidRPr="006A377C">
        <w:rPr>
          <w:szCs w:val="24"/>
        </w:rPr>
        <w:t xml:space="preserve">Пациентам с МДС низкого риска без неблагоприятных аномалий кариотипа с тромбоцитопенией </w:t>
      </w:r>
      <w:r w:rsidRPr="006A377C">
        <w:rPr>
          <w:b/>
          <w:szCs w:val="24"/>
        </w:rPr>
        <w:t>рекомендуется</w:t>
      </w:r>
      <w:r w:rsidRPr="006A377C">
        <w:rPr>
          <w:szCs w:val="24"/>
        </w:rPr>
        <w:t xml:space="preserve"> рассмотреть возможность назначения</w:t>
      </w:r>
      <w:r w:rsidR="00CC224E">
        <w:rPr>
          <w:szCs w:val="24"/>
        </w:rPr>
        <w:t xml:space="preserve"> антигеморрагических препаратов – системных гемостатиков (</w:t>
      </w:r>
      <w:r w:rsidR="00CC224E" w:rsidRPr="00771C64">
        <w:rPr>
          <w:szCs w:val="24"/>
        </w:rPr>
        <w:t>#</w:t>
      </w:r>
      <w:r w:rsidR="00CC224E">
        <w:rPr>
          <w:szCs w:val="24"/>
        </w:rPr>
        <w:t>элтромбопага</w:t>
      </w:r>
      <w:r w:rsidR="003C0FF8" w:rsidRPr="00771C64">
        <w:rPr>
          <w:szCs w:val="24"/>
        </w:rPr>
        <w:t>**</w:t>
      </w:r>
      <w:r w:rsidR="00CC224E">
        <w:rPr>
          <w:szCs w:val="24"/>
        </w:rPr>
        <w:t xml:space="preserve"> от 50 до 300 мг внутрь или</w:t>
      </w:r>
      <w:r w:rsidR="003C0FF8" w:rsidRPr="00771C64">
        <w:rPr>
          <w:szCs w:val="24"/>
        </w:rPr>
        <w:t xml:space="preserve"> #</w:t>
      </w:r>
      <w:r w:rsidR="003C0FF8">
        <w:rPr>
          <w:szCs w:val="24"/>
        </w:rPr>
        <w:t>ромиплостима</w:t>
      </w:r>
      <w:r w:rsidR="003C0FF8" w:rsidRPr="00771C64">
        <w:rPr>
          <w:szCs w:val="24"/>
        </w:rPr>
        <w:t xml:space="preserve">** 750 </w:t>
      </w:r>
      <w:r w:rsidR="003C0FF8">
        <w:rPr>
          <w:szCs w:val="24"/>
        </w:rPr>
        <w:t>мг</w:t>
      </w:r>
      <w:r w:rsidR="003C0FF8" w:rsidRPr="00771C64">
        <w:rPr>
          <w:szCs w:val="24"/>
        </w:rPr>
        <w:t xml:space="preserve"> подкож</w:t>
      </w:r>
      <w:r w:rsidR="003C0FF8">
        <w:rPr>
          <w:szCs w:val="24"/>
        </w:rPr>
        <w:t>но 1 раз в неделю)</w:t>
      </w:r>
      <w:r w:rsidR="003C0FF8" w:rsidRPr="00771C64">
        <w:rPr>
          <w:szCs w:val="24"/>
        </w:rPr>
        <w:t xml:space="preserve"> </w:t>
      </w:r>
      <w:r w:rsidRPr="006A377C">
        <w:rPr>
          <w:szCs w:val="24"/>
        </w:rPr>
        <w:t xml:space="preserve">с целью повышения количества тромбоцитов, снижения зависимости от трансфузий тромбоконцентратов и уменьшения проявлений геморрагического синдрома </w:t>
      </w:r>
      <w:r w:rsidRPr="006A377C">
        <w:rPr>
          <w:szCs w:val="24"/>
        </w:rPr>
        <w:fldChar w:fldCharType="begin" w:fldLock="1"/>
      </w:r>
      <w:r w:rsidR="00AE1E12">
        <w:rPr>
          <w:szCs w:val="24"/>
        </w:rPr>
        <w:instrText>ADDIN CSL_CITATION {"citationItems":[{"id":"ITEM-1","itemData":{"DOI":"10.3109/10428194.2012.713477","ISSN":"1029-2403","PMID":"22906162","abstract":"Patients with myelodysplastic syndrome (MDS) receiving hypomethylating agents commonly develop thrombocytopenia. This double-blind study evaluated the efficacy and safety of romiplostim, a peptibody protein that increases platelets, in patients with MDS receiving decitabine. Patients received romiplostim 750 μg (n = 15) or placebo (n = 14) and decitabine. Median platelet counts at the beginning of each decitabine cycle trended lower in placebo-treated than in romiplostim-treated patients. Bleeding events occurred in 43% of placebo-treated and 27% of romiplostim-treated patients, and platelet transfusions were administered to 57% of placebo-treated and 47% of romiplostim-treated patients. Overall clinical therapeutic response was achieved by 21% of placebo-treated and 33% of romiplostim-treated patients. Treatment was generally well tolerated. Progression to acute myeloid leukemia (AML) occurred in one patient per group. Adding romiplostim to decitabine treatment is well tolerated and may be beneficial, as indicated by trends toward higher platelet counts at the beginning of each treatment cycle and lower platelet transfusion rates and percentages of patients with bleeding events.","author":[{"dropping-particle":"","family":"Greenberg","given":"Peter L","non-dropping-particle":"","parse-names":false,"suffix":""},{"dropping-particle":"","family":"Garcia-Manero","given":"Guillermo","non-dropping-particle":"","parse-names":false,"suffix":""},{"dropping-particle":"","family":"Moore","given":"Michael","non-dropping-particle":"","parse-names":false,"suffix":""},{"dropping-particle":"","family":"Damon","given":"Lloyd","non-dropping-particle":"","parse-names":false,"suffix":""},{"dropping-particle":"","family":"Roboz","given":"Gail","non-dropping-particle":"","parse-names":false,"suffix":""},{"dropping-particle":"","family":"Hu","given":"Kuolung","non-dropping-particle":"","parse-names":false,"suffix":""},{"dropping-particle":"","family":"Yang","given":"Allen S","non-dropping-particle":"","parse-names":false,"suffix":""},{"dropping-particle":"","family":"Franklin","given":"Janet","non-dropping-particle":"","parse-names":false,"suffix":""}],"container-title":"Leukemia &amp; lymphoma","id":"ITEM-1","issue":"2","issued":{"date-parts":[["2013","2"]]},"page":"321-8","title":"A randomized controlled trial of romiplostim in patients with low- or intermediate-risk myelodysplastic syndrome receiving decitabine.","type":"article-journal","volume":"54"},"uris":["http://www.mendeley.com/documents/?uuid=2264130f-d2cc-343b-a67f-4774762bd919"]},{"id":"ITEM-2","itemData":{"DOI":"10.1200/JCO.2009.24.7999","ISSN":"1527-7755","PMID":"20008626","abstract":"PURPOSE To assess the safety and efficacy of romiplostim, a peptibody that increases platelet production, for treatment of thrombocytopenic patients with myelodysplastic syndromes (MDS). PATIENTS AND METHODS Eligible patients had lower-risk MDS (International Prognostic Scoring System low or intermediate 1), a mean baseline platelet count &lt;or= 50 x 10(9)/L, and were only receiving supportive care. Patients received three injections of 300, 700, 1,000, or 1,500 microg romiplostim at weekly intervals. After evaluation of platelet response at week 4, patients could continue to receive romiplostim in a treatment extension phase for up to 1 year. RESULTS All 44 patients who enrolled completed the treatment phase; 41 patients continued into the extension phase. Median platelet counts increased throughout the study, from fewer than 30 x 10(9)/L at baseline to 60, 73, 38, and 58 x 10(9)/L at week 4 for the 300-, 700-, 1,000-, and 1,500 -microg dose cohorts, respectively. A durable platelet response (per International Working Group 2000 criteria for 8 consecutive weeks independent of platelet transfusions) was achieved by 19 patients (46%). The incidence of bleeding events and platelet transfusions was less common among patients who achieved a durable platelet response than those who did not (4.3 v 39.3 per 100 patient-weeks). Forty-three patients (98%) reported one or more adverse events. Treatment-related serious adverse events were reported in five patients (11%), all of whom were in the 1,500-microg dose cohort. Two patients progressed to acute myeloid leukemia during the study. No neutralizing antibodies to either romiplostim or endogenous thrombopoietin were seen. CONCLUSION Romiplostim appeared well-tolerated in this study and may be a useful treatment for patients with MDS and thrombocytopenia.","author":[{"dropping-particle":"","family":"Kantarjian","given":"Hagop","non-dropping-particle":"","parse-names":false,"suffix":""},{"dropping-particle":"","family":"Fenaux","given":"Pierre","non-dropping-particle":"","parse-names":false,"suffix":""},{"dropping-particle":"","family":"Sekeres","given":"Mikkael A","non-dropping-particle":"","parse-names":false,"suffix":""},{"dropping-particle":"","family":"Becker","given":"Pamela S","non-dropping-particle":"","parse-names":false,"suffix":""},{"dropping-particle":"","family":"Boruchov","given":"Adam","non-dropping-particle":"","parse-names":false,"suffix":""},{"dropping-particle":"","family":"Bowen","given":"David","non-dropping-particle":"","parse-names":false,"suffix":""},{"dropping-particle":"","family":"Hellstrom-Lindberg","given":"Eva","non-dropping-particle":"","parse-names":false,"suffix":""},{"dropping-particle":"","family":"Larson","given":"Richard A","non-dropping-particle":"","parse-names":false,"suffix":""},{"dropping-particle":"","family":"Lyons","given":"Roger M","non-dropping-particle":"","parse-names":false,"suffix":""},{"dropping-particle":"","family":"Muus","given":"Petra","non-dropping-particle":"","parse-names":false,"suffix":""},{"dropping-particle":"","family":"Shammo","given":"Jamile","non-dropping-particle":"","parse-names":false,"suffix":""},{"dropping-particle":"","family":"Siegel","given":"Robert","non-dropping-particle":"","parse-names":false,"suffix":""},{"dropping-particle":"","family":"Hu","given":"Kuolung","non-dropping-particle":"","parse-names":false,"suffix":""},{"dropping-particle":"","family":"Franklin","given":"Janet","non-dropping-particle":"","parse-names":false,"suffix":""},{"dropping-particle":"","family":"Berger","given":"Dietmar P","non-dropping-particle":"","parse-names":false,"suffix":""}],"container-title":"Journal of clinical oncology : official journal of the American Society of Clinical Oncology","id":"ITEM-2","issue":"3","issued":{"date-parts":[["2010","1","20"]]},"page":"437-44","title":"Safety and efficacy of romiplostim in patients with lower-risk myelodysplastic syndrome and thrombocytopenia.","type":"article-journal","volume":"28"},"uris":["http://www.mendeley.com/documents/?uuid=9a860c81-64c3-3614-87f8-9be5d396f680"]},{"id":"ITEM-3","itemData":{"DOI":"10.1182/blood-2010-03-274753","ISSN":"1528-0020","PMID":"20631375","abstract":"We evaluated the efficacy and safety of romiplostim, a thrombopoietin mimetic, in patients with low- or intermediate-risk myelodysplastic syndromes (MDS) receiving azacitidine therapy. Forty patients with low- or intermediate-risk MDS were stratified by baseline platelet counts (&lt; 50 vs ≥ 50 × 10(9)/L) and randomized to romiplostim 500 μg or 750 μg or placebo subcutaneously once weekly during 4 cycles of azacitidine. The primary endpoint was the incidence of clinically significant thrombocytopenic events, defined by grade 3 or 4 thrombocytopenia starting on day 15 of the first cycle or platelet transfusion at any time during the 4-cycle treatment period. No formal hypothesis testing was planned. The incidence of clinically significant thrombocytopenic events in patients receiving romiplostim 500 μg, romiplostim 750 μg, or placebo was 62%, 71%, and 85%, respectively. The incidence of platelet transfusions was 46%, 36%, and 69%, respectively. These differences were not statistically significant with the small numbers in each group. Romiplostim 750 μg significantly raised median platelet counts during cycle 3 on day 1 (P = .0373) and at the nadir (P = .0035) compared with placebo. Grade 3 rash and arthralgia each were reported in 1 romiplostim-treated patient (4%). This study suggests romiplostim may provide clinical benefits in MDS patients during azacitidine therapy.","author":[{"dropping-particle":"","family":"Kantarjian","given":"Hagop M","non-dropping-particle":"","parse-names":false,"suffix":""},{"dropping-particle":"","family":"Giles","given":"Francis J","non-dropping-particle":"","parse-names":false,"suffix":""},{"dropping-particle":"","family":"Greenberg","given":"Peter L","non-dropping-particle":"","parse-names":false,"suffix":""},{"dropping-particle":"","family":"Paquette","given":"Ron L","non-dropping-particle":"","parse-names":false,"suffix":""},{"dropping-particle":"","family":"Wang","given":"Eunice S","non-dropping-particle":"","parse-names":false,"suffix":""},{"dropping-particle":"","family":"Gabrilove","given":"Janice L","non-dropping-particle":"","parse-names":false,"suffix":""},{"dropping-particle":"","family":"Garcia-Manero","given":"Guillermo","non-dropping-particle":"","parse-names":false,"suffix":""},{"dropping-particle":"","family":"Hu","given":"Kuolung","non-dropping-particle":"","parse-names":false,"suffix":""},{"dropping-particle":"","family":"Franklin","given":"Janet L","non-dropping-particle":"","parse-names":false,"suffix":""},{"dropping-particle":"","family":"Berger","given":"Dietmar P","non-dropping-particle":"","parse-names":false,"suffix":""}],"container-title":"Blood","id":"ITEM-3","issue":"17","issued":{"date-parts":[["2010","10","28"]]},"page":"3163-70","title":"Phase 2 study of romiplostim in patients with low- or intermediate-risk myelodysplastic syndrome receiving azacitidine therapy.","type":"article-journal","volume":"116"},"uris":["http://www.mendeley.com/documents/?uuid=4e2476ae-09d9-3f31-a36f-50fcb51bb505"]},{"id":"ITEM-4","itemData":{"DOI":"10.1002/cncr.25545","ISSN":"0008-543X","PMID":"20945323","abstract":"BACKGROUND Romiplostim is a peptibody protein that augments thrombopoiesis by activating the thrombopoietin receptor. METHODS In this phase 2, multicenter, open-label study, 28 thrombocytopenic patients with lower risk myelodysplastic syndromes (MDS) were assigned to receive romiplostim 750 μg administered subcutaneously either weekly or biweekly or administered as biweekly intravenous injections for 8 weeks. Patients also could enter a 1-year study extension phase. RESULTS At least 1 adverse event was observed in 93% of patients. The most common adverse events were fatigue and headache (18% for both, and 5 events were grade 3 or 4. There was 1 serious treatment-related adverse event in the biweekly intravenous cohort (hypersensitivity). This hypersensitivity resolved without discontinuation of study treatment. No patients developed neutralizing antibodies or bone marrow fibrosis. Of the patients who completed 8 weeks of treatment, 57% had a complete platelet response, an additional 8% had a major platelet response, and 61% did not require a platelet transfusion during this period. Weekly subcutaneous injections achieved the highest mean trough concentrations. CONCLUSIONS The safety and efficacy profiles of romiplostim in this study suggested that weekly subcutaneous administration of 750 μg romiplostim is an appropriate starting dose for future clinical studies in patients with MDS and thrombocytopenia.","author":[{"dropping-particle":"","family":"Sekeres","given":"Mikkael A","non-dropping-particle":"","parse-names":false,"suffix":""},{"dropping-particle":"","family":"Kantarjian","given":"Hagop","non-dropping-particle":"","parse-names":false,"suffix":""},{"dropping-particle":"","family":"Fenaux","given":"Pierre","non-dropping-particle":"","parse-names":false,"suffix":""},{"dropping-particle":"","family":"Becker","given":"Pamela","non-dropping-particle":"","parse-names":false,"suffix":""},{"dropping-particle":"","family":"Boruchov","given":"Adam","non-dropping-particle":"","parse-names":false,"suffix":""},{"dropping-particle":"","family":"Guerci-Bresler","given":"Agnes","non-dropping-particle":"","parse-names":false,"suffix":""},{"dropping-particle":"","family":"Hu","given":"Kuolung","non-dropping-particle":"","parse-names":false,"suffix":""},{"dropping-particle":"","family":"Franklin","given":"Janet","non-dropping-particle":"","parse-names":false,"suffix":""},{"dropping-particle":"","family":"Wang","given":"Yow-Ming C","non-dropping-particle":"","parse-names":false,"suffix":""},{"dropping-particle":"","family":"Berger","given":"Dietmar","non-dropping-particle":"","parse-names":false,"suffix":""}],"container-title":"Cancer","id":"ITEM-4","issue":"5","issued":{"date-parts":[["2011","3","1"]]},"page":"992-1000","title":"Subcutaneous or intravenous administration of romiplostim in thrombocytopenic patients with lower risk myelodysplastic syndromes.","type":"article-journal","volume":"117"},"uris":["http://www.mendeley.com/documents/?uuid=0fc8f33c-211c-30ef-9ebc-d871b74b813d"]},{"id":"ITEM-5","itemData":{"DOI":"10.1002/cncr.28663","ISSN":"1097-0142","PMID":"24706489","abstract":"BACKGROUND Thrombocytopenia in patients with myelodysplastic syndrome (MDS) is associated with shortened survival and an increased risk of evolution to acute myeloid leukemia (AML). In this study, the authors evaluated the efficacy of romiplostim in patients who had thrombocytopenia with low-risk/intermediate-1-risk MDS. METHODS Patients who had thrombocytopenia with low-risk/intermediate-1-risk MDS (N = 250) were randomized 2:1 to receive romiplostim or placebo weekly for 58 weeks. RESULTS The primary endpoint- the number of clinically significant bleeding events (CSBEs) per patient-had a hazard ratio for romiplostim:placebo of 0.83 (95% confidence interval, 0.66-1.05; P = .13). CSBEs were reduced significantly in the romiplostim group for patients who had baseline platelet counts ≥20 × 10(9) /L (P &lt; .0001). For patients who had baseline platelet counts &lt;20 × 10(9) /L, there was no difference in the number of CSBEs, but the platelet transfusion rates were higher in the placebo group (P &lt; .0001), which may have affected the overall CSBE results in this group with severe thrombocytopenia. The incidence of bleeding events was reduced significantly in the romiplostim group (relative risk, 0.92), as were protocol-defined platelet transfusions (relative risk, 0.77). Platelet response rates according to 2006 International Working Group criteria were higher for the group that received romiplostim (odds ratio, 15.6). On the basis of interim data, an independent data monitoring committee advised halting study drug because of concerns regarding excess blasts and AML rates with romiplostim (interim hazard ratio, 2.51). At 58 weeks, the AML rates were 6% in the romiplostim group and 4.9% in the placebo group (hazard ratio, 1.20; 95% confidence interval, 0.38-3.84), and the overall survival rates were similar. CONCLUSIONS Romiplostim treatment in patients with low-risk/intermediate-1-risk MDS increased platelet counts and decreased the number of bleeding events and platelet transfusions. Although study drug was discontinued because of an initial concern of AML risk, survival and AML rates were similar with romiplostim and placebo.","author":[{"dropping-particle":"","family":"Giagounidis","given":"Aristoteles","non-dropping-particle":"","parse-names":false,"suffix":""},{"dropping-particle":"","family":"Mufti","given":"Ghulam J","non-dropping-particle":"","parse-names":false,"suffix":""},{"dropping-particle":"","family":"Fenaux","given":"Pierre","non-dropping-particle":"","parse-names":false,"suffix":""},{"dropping-particle":"","family":"Sekeres","given":"Mikkael A","non-dropping-particle":"","parse-names":false,"suffix":""},{"dropping-particle":"","family":"Szer","given":"Jeffrey","non-dropping-particle":"","parse-names":false,"suffix":""},{"dropping-particle":"","family":"Platzbecker","given":"Uwe","non-dropping-particle":"","parse-names":false,"suffix":""},{"dropping-particle":"","family":"Kuendgen","given":"Andrea","non-dropping-particle":"","parse-names":false,"suffix":""},{"dropping-particle":"","family":"Gaidano","given":"Gianluca","non-dropping-particle":"","parse-names":false,"suffix":""},{"dropping-particle":"","family":"Wiktor-Jedrzejczak","given":"Wieslaw","non-dropping-particle":"","parse-names":false,"suffix":""},{"dropping-particle":"","family":"Hu","given":"Kuolung","non-dropping-particle":"","parse-names":false,"suffix":""},{"dropping-particle":"","family":"Woodard","given":"Paul","non-dropping-particle":"","parse-names":false,"suffix":""},{"dropping-particle":"","family":"Yang","given":"Allen S","non-dropping-particle":"","parse-names":false,"suffix":""},{"dropping-particle":"","family":"Kantarjian","given":"Hagop M","non-dropping-particle":"","parse-names":false,"suffix":""}],"container-title":"Cancer","id":"ITEM-5","issue":"12","issued":{"date-parts":[["2014","6","15"]]},"page":"1838-46","title":"Results of a randomized, double-blind study of romiplostim versus placebo in patients with low/intermediate-1-risk myelodysplastic syndrome and thrombocytopenia.","type":"article-journal","volume":"120"},"uris":["http://www.mendeley.com/documents/?uuid=b72f1213-44f5-3ea4-824e-ca4de889cb20"]},{"id":"ITEM-6","itemData":{"author":[{"dropping-particle":"","family":"Oliva","given":"Esther Natalie","non-dropping-particle":"","parse-names":false,"suffix":""},{"dropping-particle":"","family":"Santini","given":"Valeria","non-dropping-particle":"","parse-names":false,"suffix":""},{"dropping-particle":"","family":"Alati","given":"Caterina","non-dropping-particle":"","parse-names":false,"suffix":""},{"dropping-particle":"","family":"Poloni","given":"Antonella","non-dropping-particle":"","parse-names":false,"suffix":""},{"dropping-particle":"","family":"Molteni","given":"Alfredo","non-dropping-particle":"","parse-names":false,"suffix":""},{"dropping-particle":"","family":"Niscola","given":"Pasquale","non-dropping-particle":"","parse-names":false,"suffix":""},{"dropping-particle":"","family":"Sanpaolo","given":"Grazia","non-dropping-particle":"","parse-names":false,"suffix":""},{"dropping-particle":"","family":"Salvi","given":"Flavia","non-dropping-particle":"","parse-names":false,"suffix":""},{"dropping-particle":"","family":"Palumbo","given":"Giuseppe A.","non-dropping-particle":"","parse-names":false,"suffix":""},{"dropping-particle":"","family":"Balleari","given":"Enrico","non-dropping-particle":"","parse-names":false,"suffix":""},{"dropping-particle":"","family":"Impera","given":"Stefana","non-dropping-particle":"","parse-names":false,"suffix":""},{"dropping-particle":"","family":"Cortelezzi","given":"Agostino","non-dropping-particle":"","parse-names":false,"suffix":""},{"dropping-particle":"","family":"Liberati","given":"Anna Marina","non-dropping-particle":"","parse-names":false,"suffix":""},{"dropping-particle":"","family":"Avanzini","given":"Paolo","non-dropping-particle":"","parse-names":false,"suffix":""},{"dropping-particle":"","family":"Bartolomeo","given":"Paolo","non-dropping-particle":"Di","parse-names":false,"suffix":""},{"dropping-particle":"","family":"Rose","given":"Christian","non-dropping-particle":"","parse-names":false,"suffix":""},{"dropping-particle":"","family":"Beyne-Rauzy","given":"Odile","non-dropping-particle":"","parse-names":false,"suffix":""},{"dropping-particle":"","family":"Buccisano","given":"Francesco","non-dropping-particle":"","parse-names":false,"suffix":""},{"dropping-particle":"","family":"Bocchia","given":"Monica","non-dropping-particle":"","parse-names":false,"suffix":""},{"dropping-particle":"","family":"Morabito","given":"Fortunato","non-dropping-particle":"","parse-names":false,"suffix":""},{"dropping-particle":"","family":"Stamatoullas","given":"Aspasia","non-dropping-particle":"","parse-names":false,"suffix":""},{"dropping-particle":"","family":"Ronco","given":"Francesca","non-dropping-particle":"","parse-names":false,"suffix":""},{"dropping-particle":"","family":"Zini","given":"Gina","non-dropping-particle":"","parse-names":false,"suffix":""},{"dropping-particle":"","family":"D'Errigo","given":"Maria Grazia","non-dropping-particle":"","parse-names":false,"suffix":""},{"dropping-particle":"","family":"Ranieri","given":"Natale","non-dropping-particle":"","parse-names":false,"suffix":""},{"dropping-particle":"","family":"Cufari","given":"Patrizia","non-dropping-particle":"","parse-names":false,"suffix":""},{"dropping-particle":"","family":"Santacaterina","given":"Irene","non-dropping-particle":"","parse-names":false,"suffix":""},{"dropping-particle":"","family":"Fenaux","given":"Pierre","non-dropping-particle":"","parse-names":false,"suffix":""},{"dropping-particle":"","family":"Latagliata","given":"Roberto","non-dropping-particle":"","parse-names":false,"suffix":""}],"container-title":"Blood","id":"ITEM-6","issue":"23","issued":{"date-parts":[["2015"]]},"title":"Eltrombopag for the Treatment of Thrombocytopenia of Low and Intermediate-1 IPSS Risk Myelodysplastic Syndromes: Interim Results on Efficacy, Safety and Quality of Life of an International, Multicenter Prospective, Randomized, Trial","type":"article-journal","volume":"126"},"uris":["http://www.mendeley.com/documents/?uuid=33595b93-98ee-34f8-8ab7-d7a595df1e35"]},{"id":"ITEM-7","itemData":{"DOI":"10.1016/S2352-3026(17)30012-1","ISSN":"2352-3026","PMID":"28162984","abstract":"BACKGROUND In myelodysplastic syndromes, thrombocytopenia is associated with mortality, but treatments in this setting are scarce. We tested whether eltrombopag, a thrombopoietin receptor agonist, might be effective in improving thrombocytopenia in lower-risk myelodysplastic syndromes and severe thrombocytopenia. METHODS EQoL-MDS was a single-blind, randomised, controlled, phase 2 superiority trial of adult patients with low-risk or International Prognostic Scoring System intermediate-1-risk myelodysplastic syndromes and severe thrombocytopenia. Patients with a stable platelet count of lower than 30 × 109 platelets per L, aged at least 18 years, with refractoriness, ineligibility to receive treatment with alternative medications, or relapse while receiving treatment with alternative medications were included in this trial. Patients were randomly assigned (2:1) to receive eltrombopag (50 mg to 300 mg) or placebo for at least 24 weeks and until disease progression and were masked to treatment allocation. Here, we report the results in the intention-to-treat population of the first phase of the trial, for which the primary endpoints were the proportion of patients achieving a platelet response within 24 weeks and safety. The interim analysis presented here was protocol-specified and used a two-sided significance level of 0·001 and a p value at or below this limit for both primary endpoints to indicate the need for early trial termination. Duration of platelet transfusion independence, duration of response, overall survival, leukaemia-free survival, and pharmacokinetics will be reported at the end of the phase 2 portion of the trial. This trial is registered with EudraCT, number 2010-022890-33. FINDINGS Between June 13, 2011, and June 17, 2016, we enrolled 90 participants for the first phase of the trial. The median follow-up time to assess platelet responses was 11 weeks (IQR 4-24). Platelet responses occurred in 28 (47%) of 59 patients in the eltrombopag group versus one (3%) of 31 patients in the placebo group (odds ratio 27·1 [95% CI 3·5-211·9], p=0·0017). During the follow-up, 21 patients had at least one severe bleeding event (WHO bleeding score ≥2). There were a higher number of bleeders in the placebo (13 [42%] of 31 patients) than in the eltrombopag arm (eight [14%] of 59 patients; p=0·0025). 52 grade 3-4 adverse events occurred in 27 (46%) of 59 patients in the eltrombopag group versus nine events in five (16%) of 31 patients in the placebo group …","author":[{"dropping-particle":"","family":"Oliva","given":"Esther N","non-dropping-particle":"","parse-names":false,"suffix":""},{"dropping-particle":"","family":"Alati","given":"Caterina","non-dropping-particle":"","parse-names":false,"suffix":""},{"dropping-particle":"","family":"Santini","given":"Valeria","non-dropping-particle":"","parse-names":false,"suffix":""},{"dropping-particle":"","family":"Poloni","given":"Antonella","non-dropping-particle":"","parse-names":false,"suffix":""},{"dropping-particle":"","family":"Molteni","given":"Alfredo","non-dropping-particle":"","parse-names":false,"suffix":""},{"dropping-particle":"","family":"Niscola","given":"Pasquale","non-dropping-particle":"","parse-names":false,"suffix":""},{"dropping-particle":"","family":"Salvi","given":"Flavia","non-dropping-particle":"","parse-names":false,"suffix":""},{"dropping-particle":"","family":"Sanpaolo","given":"Grazia","non-dropping-particle":"","parse-names":false,"suffix":""},{"dropping-particle":"","family":"Balleari","given":"Enrico","non-dropping-particle":"","parse-names":false,"suffix":""},{"dropping-particle":"","family":"Germing","given":"Ulrich","non-dropping-particle":"","parse-names":false,"suffix":""},{"dropping-particle":"","family":"Fenaux","given":"Pierre","non-dropping-particle":"","parse-names":false,"suffix":""},{"dropping-particle":"","family":"Stamatoullas","given":"Aspasia","non-dropping-particle":"","parse-names":false,"suffix":""},{"dropping-particle":"","family":"Palumbo","given":"Giuseppe A","non-dropping-particle":"","parse-names":false,"suffix":""},{"dropping-particle":"","family":"Salutari","given":"Prassede","non-dropping-particle":"","parse-names":false,"suffix":""},{"dropping-particle":"","family":"Impera","given":"Stefana","non-dropping-particle":"","parse-names":false,"suffix":""},{"dropping-particle":"","family":"Avanzini","given":"Paolo","non-dropping-particle":"","parse-names":false,"suffix":""},{"dropping-particle":"","family":"Cortelezzi","given":"Agostino","non-dropping-particle":"","parse-names":false,"suffix":""},{"dropping-particle":"","family":"Liberati","given":"Anna Marina","non-dropping-particle":"","parse-names":false,"suffix":""},{"dropping-particle":"","family":"Carluccio","given":"Paola","non-dropping-particle":"","parse-names":false,"suffix":""},{"dropping-particle":"","family":"Buccisano","given":"Francesco","non-dropping-particle":"","parse-names":false,"suffix":""},{"dropping-particle":"","family":"Voso","given":"Maria Teresa","non-dropping-particle":"","parse-names":false,"suffix":""},{"dropping-particle":"","family":"Mancini","given":"Stefano","non-dropping-particle":"","parse-names":false,"suffix":""},{"dropping-particle":"","family":"Kulasekararaj","given":"Austin","non-dropping-particle":"","parse-names":false,"suffix":""},{"dropping-particle":"","family":"Morabito","given":"Fortunato","non-dropping-particle":"","parse-names":false,"suffix":""},{"dropping-particle":"","family":"Bocchia","given":"Monica","non-dropping-particle":"","parse-names":false,"suffix":""},{"dropping-particle":"","family":"Cufari","given":"Patrizia","non-dropping-particle":"","parse-names":false,"suffix":""},{"dropping-particle":"","family":"Spiriti","given":"Maria Antonietta Aloe","non-dropping-particle":"","parse-names":false,"suffix":""},{"dropping-particle":"","family":"Santacaterina","given":"Irene","non-dropping-particle":"","parse-names":false,"suffix":""},{"dropping-particle":"","family":"D'Errigo","given":"Maria Grazia","non-dropping-particle":"","parse-names":false,"suffix":""},{"dropping-particle":"","family":"Bova","given":"Irene","non-dropping-particle":"","parse-names":false,"suffix":""},{"dropping-particle":"","family":"Zini","given":"Gina","non-dropping-particle":"","parse-names":false,"suffix":""},{"dropping-particle":"","family":"Latagliata","given":"Roberto","non-dropping-particle":"","parse-names":false,"suffix":""}],"container-title":"The Lancet. Haematology","id":"ITEM-7","issue":"3","issued":{"date-parts":[["2017","3"]]},"page":"e127-e136","title":"Eltrombopag versus placebo for low-risk myelodysplastic syndromes with thrombocytopenia (EQoL-MDS): phase 1 results of a single-blind, randomised, controlled, phase 2 superiority trial.","type":"article-journal","volume":"4"},"uris":["http://www.mendeley.com/documents/?uuid=a6fed6b5-9732-3002-b889-56b9b0a02b08"]},{"id":"ITEM-8","itemData":{"author":[{"dropping-particle":"","family":"Khan","given":"Maliha","non-dropping-particle":"","parse-names":false,"suffix":""},{"dropping-particle":"","family":"Kristy","given":"Bodden","non-dropping-particle":"","parse-names":false,"suffix":""},{"dropping-particle":"","family":"Kadia","given":"Tapan","non-dropping-particle":"","parse-names":false,"suffix":""},{"dropping-particle":"","family":"Ferrajoli","given":"Alessandra","non-dropping-particle":"","parse-names":false,"suffix":""},{"dropping-particle":"","family":"Alvarado","given":"Yesid","non-dropping-particle":"","parse-names":false,"suffix":""},{"dropping-particle":"","family":"Borthakur","given":"Gautam","non-dropping-particle":"","parse-names":false,"suffix":""},{"dropping-particle":"","family":"Pemmaraju","given":"Naveen","non-dropping-particle":"","parse-names":false,"suffix":""},{"dropping-particle":"","family":"Konopleva","given":"Marina","non-dropping-particle":"","parse-names":false,"suffix":""},{"dropping-particle":"","family":"Garcia-Manero","given":"Guillermo","non-dropping-particle":"","parse-names":false,"suffix":""},{"dropping-particle":"","family":"DiNardo","given":"Courtney","non-dropping-particle":"","parse-names":false,"suffix":""}],"container-title":"Blood","id":"ITEM-8","issue":"23","issued":{"date-parts":[["2015"]]},"title":"Efficacy and Safety of Eltrombopag for Treatment of Patients with Myelodysplastic Syndromes after Hypomethylating-Agent Failure: A Phase 2 Clinical Trial","type":"article-journal","volume":"126"},"uris":["http://www.mendeley.com/documents/?uuid=272fe15e-430f-3407-9831-b41f406417c7"]},{"id":"ITEM-9","itemData":{"DOI":"10.1016/S2352-3026(17)30228-4","ISSN":"2352-3026","PMID":"29241762","abstract":"BACKGROUND Thrombocytopenia is a life-threatening complication in patients with advanced myelodysplastic syndromes (MDS) and acute myeloid leukaemia (AML). In this study (ASPIRE), we aimed to assess eltrombopag, an oral thrombopoietin receptor agonist, for thrombocytopenia (grade 4) treatment in adult patients with advanced MDS or AML. METHODS ASPIRE consisted of an open-label, double-blind phase for 8 weeks and a randomised, double-blind phase (parts 1 and 2, reported here) for 12 weeks, and an open-label extension (part 3). Eligible patients were men and women aged 18 years or older, with intermediate-2 or high-risk MDS or AML, with bone marrow blasts of 50% or less, and had either grade 4 thrombocytopenia due to bone marrow insufficiency (platelet counts &lt;25 × 109 per L) or grade 4 thrombocytopenia before platelet transfusion, with 25 × 109 platelets per L or greater after transfusion. Additionally, eligible patients had at least one of the following within the screening period of 4 weeks: platelet transfusion, symptomatic bleeding, or platelet count of less than 10 × 109 per L. During part 1, patients received eltrombopag, and dose-escalation criteria for part 2 were determined. In part 2, we randomly allocated patients 2:1 using an interactive voice-response system to eltrombopag or placebo, stratified by baseline platelet count (&lt;10 × 109 platelets per L vs ≥10 × 109 platelets per L) and disease (MDS vs AML). In parts 1 and 2, patients received supportive standard of care and initiated eltrombopag or placebo at 100 mg per day (50 mg per day for patients of east-Asian heritage) to a maximum of 300 mg per day (150 mg per day for patients of east-Asian heritage). The part 2 primary objective was assessed by a composite primary endpoint of clinically relevant thrombocytopenic events (CRTE) during weeks 5-12, defined as one of the following events, either alone or in combination: grade 3 or worse haemorrhagic adverse events; platelet counts of less than 10 × 109 per L; or platelet transfusions. Efficacy analyses were based on intention to treat; clinically meaningful efficacy was defined as 30% absolute difference between groups. This trial is registered with ClinicalTrials.gov, number NCT01440374. FINDINGS In part 1, 17 patients received eltrombopag and 11 patients completed treatment; four experienced significantly increased platelet counts, and ten had reduced platelet transfusion requirements. In part 2 we randomly allocated 145 patients to receive…","author":[{"dropping-particle":"","family":"Mittelman","given":"Moshe","non-dropping-particle":"","parse-names":false,"suffix":""},{"dropping-particle":"","family":"Platzbecker","given":"Uwe","non-dropping-particle":"","parse-names":false,"suffix":""},{"dropping-particle":"","family":"Afanasyev","given":"Boris","non-dropping-particle":"","parse-names":false,"suffix":""},{"dropping-particle":"","family":"Grosicki","given":"Sebastian","non-dropping-particle":"","parse-names":false,"suffix":""},{"dropping-particle":"","family":"Wong","given":"Raymond S M","non-dropping-particle":"","parse-names":false,"suffix":""},{"dropping-particle":"","family":"Anagnostopoulos","given":"Achilles","non-dropping-particle":"","parse-names":false,"suffix":""},{"dropping-particle":"","family":"Brenner","given":"Benjamin","non-dropping-particle":"","parse-names":false,"suffix":""},{"dropping-particle":"","family":"Denzlinger","given":"Claudio","non-dropping-particle":"","parse-names":false,"suffix":""},{"dropping-particle":"","family":"Rossi","given":"Giuseppe","non-dropping-particle":"","parse-names":false,"suffix":""},{"dropping-particle":"","family":"Nagler","given":"Arnon","non-dropping-particle":"","parse-names":false,"suffix":""},{"dropping-particle":"","family":"Garcia-Delgado","given":"Regina","non-dropping-particle":"","parse-names":false,"suffix":""},{"dropping-particle":"","family":"Portella","given":"Maria Socorro O","non-dropping-particle":"","parse-names":false,"suffix":""},{"dropping-particle":"","family":"Zhu","given":"Zewen","non-dropping-particle":"","parse-names":false,"suffix":""},{"dropping-particle":"","family":"Selleslag","given":"Dominik","non-dropping-particle":"","parse-names":false,"suffix":""}],"container-title":"The Lancet. Haematology","id":"ITEM-9","issue":"1","issued":{"date-parts":[["2018","1"]]},"page":"e34-e43","title":"Eltrombopag for advanced myelodysplastic syndromes or acute myeloid leukaemia and severe thrombocytopenia (ASPIRE): a randomised, placebo-controlled, phase 2 trial.","type":"article-journal","volume":"5"},"uris":["http://www.mendeley.com/documents/?uuid=61f6c12b-b44b-35ff-a2a0-ea018b55544b"]}],"mendeley":{"formattedCitation":"[81–89]","plainTextFormattedCitation":"[81–89]","previouslyFormattedCitation":"[81–89]"},"properties":{"noteIndex":0},"schema":"https://github.com/citation-style-language/schema/raw/master/csl-citation.json"}</w:instrText>
      </w:r>
      <w:r w:rsidRPr="006A377C">
        <w:rPr>
          <w:szCs w:val="24"/>
        </w:rPr>
        <w:fldChar w:fldCharType="separate"/>
      </w:r>
      <w:r w:rsidR="00AE1E12" w:rsidRPr="00AE1E12">
        <w:rPr>
          <w:noProof/>
          <w:szCs w:val="24"/>
        </w:rPr>
        <w:t>[81–89]</w:t>
      </w:r>
      <w:r w:rsidRPr="006A377C">
        <w:rPr>
          <w:szCs w:val="24"/>
        </w:rPr>
        <w:fldChar w:fldCharType="end"/>
      </w:r>
      <w:r w:rsidRPr="006A377C">
        <w:rPr>
          <w:szCs w:val="24"/>
        </w:rPr>
        <w:t>.</w:t>
      </w:r>
    </w:p>
    <w:p w14:paraId="32EF2817" w14:textId="77777777" w:rsidR="00F20CFD" w:rsidRPr="006A377C" w:rsidRDefault="00F20CFD" w:rsidP="005017D1">
      <w:pPr>
        <w:ind w:left="709" w:hanging="1"/>
        <w:rPr>
          <w:b/>
          <w:szCs w:val="24"/>
        </w:rPr>
      </w:pPr>
      <w:r w:rsidRPr="006A377C">
        <w:rPr>
          <w:b/>
          <w:szCs w:val="24"/>
        </w:rPr>
        <w:t xml:space="preserve">Уровень убедительности рекомендаций </w:t>
      </w:r>
      <w:r w:rsidRPr="006A377C">
        <w:rPr>
          <w:b/>
          <w:szCs w:val="24"/>
          <w:lang w:val="en-US"/>
        </w:rPr>
        <w:t>B</w:t>
      </w:r>
      <w:r w:rsidRPr="006A377C">
        <w:rPr>
          <w:b/>
          <w:szCs w:val="24"/>
        </w:rPr>
        <w:t xml:space="preserve"> (уровень достоверности доказательств – </w:t>
      </w:r>
      <w:r w:rsidR="00054DA5">
        <w:rPr>
          <w:b/>
          <w:szCs w:val="24"/>
        </w:rPr>
        <w:t>2</w:t>
      </w:r>
      <w:r w:rsidRPr="006A377C">
        <w:rPr>
          <w:b/>
          <w:szCs w:val="24"/>
        </w:rPr>
        <w:t>)</w:t>
      </w:r>
    </w:p>
    <w:p w14:paraId="1BE1D47F" w14:textId="77777777" w:rsidR="00F20CFD" w:rsidRDefault="00F20CFD" w:rsidP="005017D1">
      <w:pPr>
        <w:ind w:left="709" w:hanging="1"/>
        <w:rPr>
          <w:i/>
          <w:szCs w:val="24"/>
        </w:rPr>
      </w:pPr>
      <w:r w:rsidRPr="006A377C">
        <w:rPr>
          <w:b/>
          <w:szCs w:val="24"/>
        </w:rPr>
        <w:t xml:space="preserve">Комментарии: </w:t>
      </w:r>
      <w:r w:rsidRPr="006A377C">
        <w:rPr>
          <w:i/>
          <w:szCs w:val="24"/>
        </w:rPr>
        <w:t>проведено несколько рандомизированных исследований, результаты которых демонстрируют эффективность данного вида терапии у пациентов с МДС из группы низкого риска в виде повышения количества тромбоцитов и уменьшения проявлений геморрагического синдрома в 46</w:t>
      </w:r>
      <w:r w:rsidRPr="006A377C">
        <w:rPr>
          <w:noProof/>
          <w:szCs w:val="24"/>
        </w:rPr>
        <w:t>–</w:t>
      </w:r>
      <w:r w:rsidRPr="006A377C">
        <w:rPr>
          <w:i/>
          <w:szCs w:val="24"/>
        </w:rPr>
        <w:t xml:space="preserve">65% случаев. </w:t>
      </w:r>
      <w:r w:rsidR="002312E3">
        <w:rPr>
          <w:i/>
          <w:szCs w:val="24"/>
        </w:rPr>
        <w:t>Однако,</w:t>
      </w:r>
      <w:r w:rsidRPr="006A377C">
        <w:rPr>
          <w:i/>
          <w:szCs w:val="24"/>
        </w:rPr>
        <w:t xml:space="preserve"> </w:t>
      </w:r>
      <w:r w:rsidR="002312E3">
        <w:rPr>
          <w:i/>
          <w:szCs w:val="24"/>
        </w:rPr>
        <w:t xml:space="preserve">у </w:t>
      </w:r>
      <w:r w:rsidRPr="006A377C">
        <w:rPr>
          <w:i/>
          <w:szCs w:val="24"/>
        </w:rPr>
        <w:lastRenderedPageBreak/>
        <w:t>пациентов с МДС из группы высокого риска, в частности МДС с избытком бластов, добавление #элтромбопага** к терапии азацитидином** снизило эффективность терапии гипометилирующим препаратом и увеличило частоту прогрессии в ОМЛ. У пациентов с МДС из группы низкого риска при терапии #ромипл</w:t>
      </w:r>
      <w:r w:rsidR="00D46058">
        <w:rPr>
          <w:i/>
          <w:szCs w:val="24"/>
        </w:rPr>
        <w:t>о</w:t>
      </w:r>
      <w:r w:rsidRPr="006A377C">
        <w:rPr>
          <w:i/>
          <w:szCs w:val="24"/>
        </w:rPr>
        <w:t>сти</w:t>
      </w:r>
      <w:r w:rsidR="00D46058">
        <w:rPr>
          <w:i/>
          <w:szCs w:val="24"/>
        </w:rPr>
        <w:t>м</w:t>
      </w:r>
      <w:r w:rsidRPr="006A377C">
        <w:rPr>
          <w:i/>
          <w:szCs w:val="24"/>
        </w:rPr>
        <w:t>ом** вероятность прогрессии в ОМЛ в течение 5 лет была сопоставима с контрольной группой – 12% и 11%.</w:t>
      </w:r>
    </w:p>
    <w:p w14:paraId="41A1D352" w14:textId="77777777" w:rsidR="00F20CFD" w:rsidRPr="006A377C" w:rsidRDefault="00F20CFD" w:rsidP="005F2F2B">
      <w:pPr>
        <w:pStyle w:val="aff"/>
        <w:numPr>
          <w:ilvl w:val="0"/>
          <w:numId w:val="27"/>
        </w:numPr>
        <w:ind w:left="709" w:hanging="425"/>
        <w:rPr>
          <w:szCs w:val="24"/>
        </w:rPr>
      </w:pPr>
      <w:r w:rsidRPr="006A377C">
        <w:rPr>
          <w:szCs w:val="24"/>
        </w:rPr>
        <w:t xml:space="preserve">Пациентам с МДС из группы низкого и промежуточного-1 риска по шкале </w:t>
      </w:r>
      <w:r w:rsidRPr="006A377C">
        <w:rPr>
          <w:szCs w:val="24"/>
          <w:lang w:val="en-US"/>
        </w:rPr>
        <w:t>IPSS</w:t>
      </w:r>
      <w:r w:rsidRPr="006A377C">
        <w:rPr>
          <w:szCs w:val="24"/>
        </w:rPr>
        <w:t xml:space="preserve"> и группы низкого и промежуточного риска по шкале </w:t>
      </w:r>
      <w:r w:rsidRPr="006A377C">
        <w:rPr>
          <w:szCs w:val="24"/>
          <w:lang w:val="en-US"/>
        </w:rPr>
        <w:t>IPSS</w:t>
      </w:r>
      <w:r w:rsidRPr="006A377C">
        <w:rPr>
          <w:szCs w:val="24"/>
        </w:rPr>
        <w:t>-</w:t>
      </w:r>
      <w:r w:rsidRPr="006A377C">
        <w:rPr>
          <w:szCs w:val="24"/>
          <w:lang w:val="en-US"/>
        </w:rPr>
        <w:t>R</w:t>
      </w:r>
      <w:r w:rsidRPr="006A377C">
        <w:rPr>
          <w:szCs w:val="24"/>
        </w:rPr>
        <w:t xml:space="preserve"> (</w:t>
      </w:r>
      <w:r w:rsidR="00B63F37">
        <w:rPr>
          <w:szCs w:val="24"/>
        </w:rPr>
        <w:t>см. раздел 7.1 данных рекомендаций</w:t>
      </w:r>
      <w:r w:rsidRPr="006A377C">
        <w:rPr>
          <w:szCs w:val="24"/>
        </w:rPr>
        <w:t>) с гипоплазией кроветворения, нормальным кариотипом, аномалиями хорошего или промежуточного риска, за исключением 7</w:t>
      </w:r>
      <w:r w:rsidRPr="006A377C">
        <w:rPr>
          <w:szCs w:val="24"/>
          <w:lang w:val="en-US"/>
        </w:rPr>
        <w:t>q</w:t>
      </w:r>
      <w:r w:rsidRPr="006A377C">
        <w:rPr>
          <w:szCs w:val="24"/>
        </w:rPr>
        <w:t xml:space="preserve">-, </w:t>
      </w:r>
      <w:r w:rsidRPr="006A377C">
        <w:rPr>
          <w:szCs w:val="24"/>
          <w:lang w:val="en-US"/>
        </w:rPr>
        <w:t>iso</w:t>
      </w:r>
      <w:r w:rsidRPr="006A377C">
        <w:rPr>
          <w:szCs w:val="24"/>
        </w:rPr>
        <w:t>(17</w:t>
      </w:r>
      <w:r w:rsidRPr="006A377C">
        <w:rPr>
          <w:szCs w:val="24"/>
          <w:lang w:val="en-US"/>
        </w:rPr>
        <w:t>q</w:t>
      </w:r>
      <w:r w:rsidRPr="006A377C">
        <w:rPr>
          <w:szCs w:val="24"/>
        </w:rPr>
        <w:t>),</w:t>
      </w:r>
      <w:r w:rsidRPr="006A377C">
        <w:rPr>
          <w:b/>
          <w:szCs w:val="24"/>
        </w:rPr>
        <w:t xml:space="preserve"> рекомендуется</w:t>
      </w:r>
      <w:r w:rsidRPr="006A377C">
        <w:rPr>
          <w:szCs w:val="24"/>
        </w:rPr>
        <w:t xml:space="preserve"> проведение </w:t>
      </w:r>
      <w:r w:rsidR="00676A69">
        <w:rPr>
          <w:szCs w:val="24"/>
        </w:rPr>
        <w:t>иммуносупрессивной терапии</w:t>
      </w:r>
      <w:r w:rsidR="00676A69" w:rsidRPr="006A377C">
        <w:rPr>
          <w:szCs w:val="24"/>
        </w:rPr>
        <w:t xml:space="preserve"> </w:t>
      </w:r>
      <w:r w:rsidR="00676A69">
        <w:rPr>
          <w:szCs w:val="24"/>
        </w:rPr>
        <w:t>(</w:t>
      </w:r>
      <w:r w:rsidRPr="006A377C">
        <w:rPr>
          <w:szCs w:val="24"/>
        </w:rPr>
        <w:t>ИСТ</w:t>
      </w:r>
      <w:r w:rsidR="00676A69">
        <w:rPr>
          <w:szCs w:val="24"/>
        </w:rPr>
        <w:t>)</w:t>
      </w:r>
      <w:r w:rsidRPr="006A377C">
        <w:rPr>
          <w:szCs w:val="24"/>
        </w:rPr>
        <w:t xml:space="preserve">: </w:t>
      </w:r>
      <w:r w:rsidR="003C0FF8" w:rsidRPr="001B6842">
        <w:rPr>
          <w:szCs w:val="24"/>
        </w:rPr>
        <w:t>#</w:t>
      </w:r>
      <w:r w:rsidR="00676A69">
        <w:rPr>
          <w:szCs w:val="24"/>
        </w:rPr>
        <w:t>циклоспорин</w:t>
      </w:r>
      <w:r w:rsidR="00676A69" w:rsidRPr="006A377C">
        <w:rPr>
          <w:szCs w:val="24"/>
        </w:rPr>
        <w:t>**</w:t>
      </w:r>
      <w:r w:rsidR="00676A69">
        <w:rPr>
          <w:szCs w:val="24"/>
        </w:rPr>
        <w:t xml:space="preserve"> (</w:t>
      </w:r>
      <w:r w:rsidRPr="006A377C">
        <w:rPr>
          <w:szCs w:val="24"/>
        </w:rPr>
        <w:t>ЦСА**</w:t>
      </w:r>
      <w:r w:rsidR="00676A69">
        <w:rPr>
          <w:szCs w:val="24"/>
        </w:rPr>
        <w:t>)</w:t>
      </w:r>
      <w:r w:rsidRPr="006A377C">
        <w:rPr>
          <w:szCs w:val="24"/>
        </w:rPr>
        <w:t xml:space="preserve"> +/– </w:t>
      </w:r>
      <w:r w:rsidR="003C0FF8" w:rsidRPr="001B6842">
        <w:rPr>
          <w:szCs w:val="24"/>
        </w:rPr>
        <w:t>#</w:t>
      </w:r>
      <w:r w:rsidR="00676A69" w:rsidRPr="00D76FF4">
        <w:rPr>
          <w:bCs/>
          <w:szCs w:val="24"/>
        </w:rPr>
        <w:t>антитимоцитарный глобулин</w:t>
      </w:r>
      <w:r w:rsidR="00676A69">
        <w:rPr>
          <w:bCs/>
          <w:szCs w:val="24"/>
        </w:rPr>
        <w:t>**</w:t>
      </w:r>
      <w:r w:rsidR="00676A69" w:rsidRPr="00D76FF4">
        <w:rPr>
          <w:bCs/>
          <w:szCs w:val="24"/>
        </w:rPr>
        <w:t xml:space="preserve"> </w:t>
      </w:r>
      <w:r w:rsidR="00676A69">
        <w:rPr>
          <w:bCs/>
          <w:szCs w:val="24"/>
        </w:rPr>
        <w:t>(</w:t>
      </w:r>
      <w:r w:rsidRPr="006A377C">
        <w:rPr>
          <w:szCs w:val="24"/>
        </w:rPr>
        <w:t>АТГ**</w:t>
      </w:r>
      <w:r w:rsidR="00676A69">
        <w:rPr>
          <w:szCs w:val="24"/>
        </w:rPr>
        <w:t>)</w:t>
      </w:r>
      <w:r w:rsidR="003C0FF8">
        <w:rPr>
          <w:szCs w:val="24"/>
        </w:rPr>
        <w:t xml:space="preserve"> </w:t>
      </w:r>
      <w:r w:rsidRPr="006A377C">
        <w:rPr>
          <w:szCs w:val="24"/>
        </w:rPr>
        <w:t xml:space="preserve">с целью достижения положительного ответа, в том числе и полной клинико-гематологической ремиссии </w:t>
      </w:r>
      <w:r w:rsidRPr="006A377C">
        <w:rPr>
          <w:szCs w:val="24"/>
        </w:rPr>
        <w:fldChar w:fldCharType="begin" w:fldLock="1"/>
      </w:r>
      <w:r w:rsidR="00AE1E12">
        <w:rPr>
          <w:szCs w:val="24"/>
        </w:rPr>
        <w:instrText>ADDIN CSL_CITATION {"citationItems":[{"id":"ITEM-1","itemData":{"DOI":"10.3324/haematol.2019.219345","ISSN":"1592-8721","PMID":"31004015","abstract":"Immunosuppressive therapy is one therapy option for treatment of patients with lower-risk myelodysplastic syndromes. However, the use of several different immunosuppressive regimens, the lack of high-quality studies, and the absence of validated predictive biomarkers pose important challenges. We conducted a systematic review and meta-analysis according to the Meta-Analysis of Observational Studies in Epidemiology (MOOSE) guidelines and searched MEDLINE via PubMed, Ovid EMBASE, COCHRANE registry of clinical trials (CENTRAL), and the Web of Science without language restriction from inception through September 2018 as well as relevant conference proceedings and abstracts. for prospective cohort studies or clinical trials investigating immunosuppressive therapy in myelodysplastic syndromes. Fixed and Random-effects models were used to pool response rates. We identified nine prospective cohort studies and 14 clinical trials with a total 570 patients. The overall response rate was 43% (95% confidence interval [CI] 34.2%-52.3%) including a complete remission rate of 12.5% (95% CI 9.3%-16.6%) and red blood cell transfusion independence rate of 30.6% (95% CI 23.2%-39.2%). The most commonly used forms of immunosuppressive therapy were anti-thymocyte globulin alone or in combination with cyclosporin A with a trend towards higher response rates with combination therapy. Progression rate to acute myeloid leukemia was 8.6% per patient year (95% CI 3.3%-13.9%). Overall survival and adverse events were only inconsistently reported. We were unable to validate any biomarkers predictive of a therapeutic response to immunosuppressive therapy. Immunosuppressive therapy for treatment of lower-risk myelodysplastic syndrome patients can be successful to alleviate transfusion burden and associated sequelae.","author":[{"dropping-particle":"","family":"Stahl","given":"Maximilian","non-dropping-particle":"","parse-names":false,"suffix":""},{"dropping-particle":"","family":"Bewersdorf","given":"Jan Phillip","non-dropping-particle":"","parse-names":false,"suffix":""},{"dropping-particle":"","family":"Giri","given":"Smith","non-dropping-particle":"","parse-names":false,"suffix":""},{"dropping-particle":"","family":"Wang","given":"Rong","non-dropping-particle":"","parse-names":false,"suffix":""},{"dropping-particle":"","family":"Zeidan","given":"Amer M","non-dropping-particle":"","parse-names":false,"suffix":""}],"container-title":"Haematologica","id":"ITEM-1","issued":{"date-parts":[["2019","4","19"]]},"title":"Use of Immunosuppressive therapy for management of myelodysplastic syndromes: a systematic review and meta-analysis.","type":"article-journal"},"uris":["http://www.mendeley.com/documents/?uuid=8c07886a-e8f1-3711-8f28-c3bed796f367"]}],"mendeley":{"formattedCitation":"[90]","plainTextFormattedCitation":"[90]","previouslyFormattedCitation":"[90]"},"properties":{"noteIndex":0},"schema":"https://github.com/citation-style-language/schema/raw/master/csl-citation.json"}</w:instrText>
      </w:r>
      <w:r w:rsidRPr="006A377C">
        <w:rPr>
          <w:szCs w:val="24"/>
        </w:rPr>
        <w:fldChar w:fldCharType="separate"/>
      </w:r>
      <w:r w:rsidR="00AE1E12" w:rsidRPr="00AE1E12">
        <w:rPr>
          <w:noProof/>
          <w:szCs w:val="24"/>
        </w:rPr>
        <w:t>[90]</w:t>
      </w:r>
      <w:r w:rsidRPr="006A377C">
        <w:rPr>
          <w:szCs w:val="24"/>
        </w:rPr>
        <w:fldChar w:fldCharType="end"/>
      </w:r>
      <w:r w:rsidRPr="006A377C">
        <w:rPr>
          <w:szCs w:val="24"/>
        </w:rPr>
        <w:t>.</w:t>
      </w:r>
    </w:p>
    <w:p w14:paraId="7834B9B1" w14:textId="77777777" w:rsidR="00F20CFD" w:rsidRPr="006A377C" w:rsidRDefault="00F20CFD" w:rsidP="005017D1">
      <w:pPr>
        <w:ind w:left="709" w:hanging="1"/>
        <w:rPr>
          <w:b/>
          <w:szCs w:val="24"/>
        </w:rPr>
      </w:pPr>
      <w:r w:rsidRPr="006A377C">
        <w:rPr>
          <w:b/>
          <w:szCs w:val="24"/>
        </w:rPr>
        <w:t xml:space="preserve">Уровень убедительности рекомендаций </w:t>
      </w:r>
      <w:r w:rsidR="00F01C59">
        <w:rPr>
          <w:b/>
          <w:szCs w:val="24"/>
          <w:lang w:val="en-US"/>
        </w:rPr>
        <w:t>B</w:t>
      </w:r>
      <w:r w:rsidRPr="006A377C">
        <w:rPr>
          <w:b/>
          <w:szCs w:val="24"/>
        </w:rPr>
        <w:t xml:space="preserve"> (уровень достоверности доказательств – </w:t>
      </w:r>
      <w:r w:rsidR="00F01C59">
        <w:rPr>
          <w:b/>
          <w:szCs w:val="24"/>
        </w:rPr>
        <w:t>2</w:t>
      </w:r>
      <w:r w:rsidRPr="006A377C">
        <w:rPr>
          <w:b/>
          <w:szCs w:val="24"/>
        </w:rPr>
        <w:t>)</w:t>
      </w:r>
    </w:p>
    <w:p w14:paraId="19C4B164" w14:textId="77777777" w:rsidR="00F20CFD" w:rsidRPr="006A377C" w:rsidRDefault="00F20CFD" w:rsidP="005017D1">
      <w:pPr>
        <w:ind w:left="709" w:hanging="1"/>
        <w:rPr>
          <w:i/>
          <w:szCs w:val="24"/>
        </w:rPr>
      </w:pPr>
      <w:r w:rsidRPr="006A377C">
        <w:rPr>
          <w:b/>
          <w:szCs w:val="24"/>
        </w:rPr>
        <w:t xml:space="preserve">Комментарии: </w:t>
      </w:r>
      <w:r w:rsidRPr="006A377C">
        <w:rPr>
          <w:i/>
          <w:szCs w:val="24"/>
        </w:rPr>
        <w:t>определенное сходство клинических и морфологических проявлений гипопластических форм МДС и АА, а также клинические наблюдения, касающиеся эффекта иммуносупрессивного воздействия у отдельных пациентов, легли в основу тестирования АТГ** в качестве метода терапии в двух КИ 2-й и 3-й фаз. По объединенным данным этих проектов, ответили на терапию 30% пациентов с количеством бластных клеток в КМ менее 5%. В ситуации РАКС или РАИБ вероятность ответа незначительна. В результате группа низкого риска по IPSS, гипоклеточный КМ по данным гистологического исследования, небольшой период предшествующей трансфузионной терапии и экспрессия HLA-DR15 являются факторами вероятного ответа на ИСТ. Наилучшие результаты дает комбинированная терапия АТГ** и ЦСА.</w:t>
      </w:r>
    </w:p>
    <w:p w14:paraId="29D606FF" w14:textId="77777777" w:rsidR="00F20CFD" w:rsidRPr="006A377C" w:rsidRDefault="00F20CFD" w:rsidP="005017D1">
      <w:pPr>
        <w:ind w:left="709" w:hanging="1"/>
        <w:rPr>
          <w:i/>
          <w:szCs w:val="24"/>
        </w:rPr>
      </w:pPr>
      <w:r w:rsidRPr="006A377C">
        <w:rPr>
          <w:i/>
          <w:szCs w:val="24"/>
        </w:rPr>
        <w:t>На основе имеющихся данных, комбинированную ИСТ с помощью АТГ** и орального приема ЦСА** в течение 6 месяцев следует рассматривать в качестве выбора для пациентов с МДС, количеством бластных клеток в КМ менее 5%, нормальным кариотипом или трисомией 8 хромосомы, гемотрансфузионной зависимостью менее 2 лет, которые не являются кандидатами на лечение ростовыми факторами, или терапия которыми оказалась неэффективной, с генотипом HLA-DR15, минимальным ПНГ-клоном.</w:t>
      </w:r>
    </w:p>
    <w:p w14:paraId="12D72AEC" w14:textId="77777777" w:rsidR="00F20CFD" w:rsidRPr="00610E58" w:rsidRDefault="00F20CFD" w:rsidP="005017D1">
      <w:pPr>
        <w:ind w:left="709" w:hanging="1"/>
        <w:rPr>
          <w:i/>
          <w:color w:val="000000" w:themeColor="text1"/>
        </w:rPr>
      </w:pPr>
      <w:r w:rsidRPr="006A377C">
        <w:rPr>
          <w:i/>
          <w:szCs w:val="24"/>
        </w:rPr>
        <w:t xml:space="preserve">На основании опыта российских исследовательских центров представляется возможным рекомендовать проведение монотерапии ЦСА** для той же категории </w:t>
      </w:r>
      <w:r w:rsidRPr="006A377C">
        <w:rPr>
          <w:i/>
          <w:szCs w:val="24"/>
        </w:rPr>
        <w:lastRenderedPageBreak/>
        <w:t>пациентов, а также пациентам с благоприятными вариантами кариотипа и трисомией 8. Проведение ИСТ пациентам с МДС можно начинать с назначения ЦСА** в дозе 5 мг/кг/сут внутрь, разделив дозу препарата на 2 приема. При его неэффективности в течение 3</w:t>
      </w:r>
      <w:r w:rsidRPr="006A377C">
        <w:rPr>
          <w:noProof/>
          <w:szCs w:val="24"/>
        </w:rPr>
        <w:t>–</w:t>
      </w:r>
      <w:r w:rsidRPr="006A377C">
        <w:rPr>
          <w:i/>
          <w:szCs w:val="24"/>
        </w:rPr>
        <w:t>6 месяцев, целесообразно проведение курса АТГ в дозе 20 мг/кг/сут в 1</w:t>
      </w:r>
      <w:r w:rsidRPr="006A377C">
        <w:rPr>
          <w:noProof/>
          <w:szCs w:val="24"/>
        </w:rPr>
        <w:t>–</w:t>
      </w:r>
      <w:r w:rsidRPr="006A377C">
        <w:rPr>
          <w:i/>
          <w:szCs w:val="24"/>
        </w:rPr>
        <w:t xml:space="preserve">5 дни в виде длительной внутривенной инфузии с последующим возобновлением приема ЦСА**. Возможным вариантом лечения является начало терапии с введения АТГ** в дозе 20 мг/кг/сут в течение 5 дней с последующим назначением ЦСА. При отсутствии эффекта от комбинированной ИСТ в течение 6–9 месяцев и отсутствии прогрессии заболевания в виде увеличения бластных клеток и появления новых цитогенетических изменений, возможно выполнение спленэктомии или повторного курса АТГ**. Общая длительность терапии для пациентов, ответивших на ЦСА**, должна составлять не менее 24 месяцев. ИСТ наиболее оправдана при гипоплазии кроветворения или неравномерной клеточности с участками гипоплазии или аплазии КМ. При МДС-ИБ-1 с благоприятными аномалиями кариотипа и гипоплазией кроветворения также может </w:t>
      </w:r>
      <w:r w:rsidRPr="00610E58">
        <w:rPr>
          <w:i/>
          <w:color w:val="000000" w:themeColor="text1"/>
        </w:rPr>
        <w:t>назначаться ИСТ, однако только после консультации в Федеральном центре.</w:t>
      </w:r>
    </w:p>
    <w:p w14:paraId="639661BF" w14:textId="77777777" w:rsidR="002312E3" w:rsidRPr="002713DD" w:rsidRDefault="002312E3" w:rsidP="002312E3">
      <w:pPr>
        <w:ind w:left="709" w:hanging="1"/>
        <w:rPr>
          <w:i/>
          <w:color w:val="000000" w:themeColor="text1"/>
          <w:szCs w:val="24"/>
        </w:rPr>
      </w:pPr>
      <w:r w:rsidRPr="002713DD">
        <w:rPr>
          <w:i/>
          <w:color w:val="000000" w:themeColor="text1"/>
          <w:szCs w:val="24"/>
        </w:rPr>
        <w:t>При неэффективности ИСТ и сохранении выраженной зависимости от трансфузий компонентами крови целесообразно решение вопроса о возможности выполения алло-ТГСК.</w:t>
      </w:r>
    </w:p>
    <w:p w14:paraId="1B30B734" w14:textId="77777777" w:rsidR="00F20CFD" w:rsidRPr="006A377C" w:rsidRDefault="00F20CFD" w:rsidP="005F2F2B">
      <w:pPr>
        <w:pStyle w:val="aff"/>
        <w:numPr>
          <w:ilvl w:val="0"/>
          <w:numId w:val="27"/>
        </w:numPr>
        <w:ind w:left="709" w:hanging="425"/>
        <w:rPr>
          <w:szCs w:val="24"/>
        </w:rPr>
      </w:pPr>
      <w:r w:rsidRPr="006A377C">
        <w:rPr>
          <w:szCs w:val="24"/>
        </w:rPr>
        <w:t>Пациентам с МДС с изолированной делецией длинного плеча 5-й хромосомы (МДС с 5q–) при невозможности проведения или неэффективности терапии ЭПСП</w:t>
      </w:r>
      <w:r w:rsidRPr="006A377C">
        <w:rPr>
          <w:b/>
          <w:szCs w:val="24"/>
        </w:rPr>
        <w:t xml:space="preserve"> рекомендуется</w:t>
      </w:r>
      <w:r w:rsidRPr="006A377C">
        <w:rPr>
          <w:szCs w:val="24"/>
        </w:rPr>
        <w:t xml:space="preserve"> проведение терапии леналидомидом** с целью достижения положительного ответа, в том числе и полной клинико-гематологической и цитогенетической ремиссии </w:t>
      </w:r>
      <w:r w:rsidRPr="006A377C">
        <w:rPr>
          <w:szCs w:val="24"/>
        </w:rPr>
        <w:fldChar w:fldCharType="begin" w:fldLock="1"/>
      </w:r>
      <w:r w:rsidR="00AE1E12">
        <w:rPr>
          <w:szCs w:val="24"/>
        </w:rPr>
        <w:instrText>ADDIN CSL_CITATION {"citationItems":[{"id":"ITEM-1","itemData":{"DOI":"10.1056/NEJMoa061292","ISSN":"1533-4406","PMID":"17021321","abstract":"BACKGROUND Severe, often refractory anemia is characteristic of the myelodysplastic syndrome associated with chromosome 5q31 deletion. We investigated whether lenalidomide (CC5013) could reduce the transfusion requirement and suppress the abnormal 5q31- clone in patients with this disorder. METHODS One hundred forty-eight patients received 10 mg of lenalidomide for 21 days every 4 weeks or daily. Hematologic, bone marrow, and cytogenetic changes were assessed after 24 weeks of treatment by an intention-to-treat analysis. RESULTS Among the 148 patients, 112 had a reduced need for transfusions (76%; 95% confidence interval [CI], 68 to 82) and 99 patients (67%; 95% CI, 59 to 74) no longer required transfusions, regardless of the karyotype complexity. The response to lenalidomide was rapid (median time to response, 4.6 weeks; range, 1 to 49) and sustained; the median duration of transfusion independence had not been reached after a median of 104 weeks of follow-up. The maximum hemoglobin concentration reached a median of 13.4 g per deciliter (range, 9.2 to 18.6), with a corresponding median rise of 5.4 g per deciliter (range, 1.1 to 11.4), as compared with the baseline nadir value before transfusion. Among 85 patients who could be evaluated, 62 had cytogenetic improvement, and 38 of the 62 had a complete cytogenetic remission. There was complete resolution of cytologic abnormalities in 38 of 106 patients whose serial bone marrow samples could be evaluated. Moderate-to-severe neutropenia (in 55% of patients) and thrombocytopenia (in 44%) were the most common reasons for interrupting treatment or adjusting the dose of lenalidomide. CONCLUSIONS Lenalidomide can reduce transfusion requirements and reverse cytologic and cytogenetic abnormalities in patients who have the myelodysplastic syndrome with the 5q31 deletion. (ClinicalTrials.gov number, NCT00065156 [ClinicalTrials.gov].).","author":[{"dropping-particle":"","family":"List","given":"Alan","non-dropping-particle":"","parse-names":false,"suffix":""},{"dropping-particle":"","family":"Dewald","given":"Gordon","non-dropping-particle":"","parse-names":false,"suffix":""},{"dropping-particle":"","family":"Bennett","given":"John","non-dropping-particle":"","parse-names":false,"suffix":""},{"dropping-particle":"","family":"Giagounidis","given":"Aristotle","non-dropping-particle":"","parse-names":false,"suffix":""},{"dropping-particle":"","family":"Raza","given":"Azra","non-dropping-particle":"","parse-names":false,"suffix":""},{"dropping-particle":"","family":"Feldman","given":"Eric","non-dropping-particle":"","parse-names":false,"suffix":""},{"dropping-particle":"","family":"Powell","given":"Bayard","non-dropping-particle":"","parse-names":false,"suffix":""},{"dropping-particle":"","family":"Greenberg","given":"Peter","non-dropping-particle":"","parse-names":false,"suffix":""},{"dropping-particle":"","family":"Thomas","given":"Deborah","non-dropping-particle":"","parse-names":false,"suffix":""},{"dropping-particle":"","family":"Stone","given":"Richard","non-dropping-particle":"","parse-names":false,"suffix":""},{"dropping-particle":"","family":"Reeder","given":"Craig","non-dropping-particle":"","parse-names":false,"suffix":""},{"dropping-particle":"","family":"Wride","given":"Kenton","non-dropping-particle":"","parse-names":false,"suffix":""},{"dropping-particle":"","family":"Patin","given":"John","non-dropping-particle":"","parse-names":false,"suffix":""},{"dropping-particle":"","family":"Schmidt","given":"Michele","non-dropping-particle":"","parse-names":false,"suffix":""},{"dropping-particle":"","family":"Zeldis","given":"Jerome","non-dropping-particle":"","parse-names":false,"suffix":""},{"dropping-particle":"","family":"Knight","given":"Robert","non-dropping-particle":"","parse-names":false,"suffix":""},{"dropping-particle":"","family":"Myelodysplastic Syndrome-003 Study Investigators","given":"","non-dropping-particle":"","parse-names":false,"suffix":""}],"container-title":"The New England journal of medicine","id":"ITEM-1","issue":"14","issued":{"date-parts":[["2006","10","5"]]},"page":"1456-65","title":"Lenalidomide in the myelodysplastic syndrome with chromosome 5q deletion.","type":"article-journal","volume":"355"},"uris":["http://www.mendeley.com/documents/?uuid=5e3dc388-6a24-39e2-b4da-3d4210679068"]},{"id":"ITEM-2","itemData":{"DOI":"10.1111/bjh.12354","ISSN":"1365-2141","PMID":"23614682","abstract":"Lenalidomide is an effective drug in low-risk myelodysplastic syndromes (MDS) with isolated del(5q), although not all patients respond. Studies have suggested a role for TP53 mutations and karyotype complexity in disease progression and outcome. In order to assess the impact of complex karyotypes on treatment response and disease progression in 52 lenalidomide-treated patients with del(5q) MDS, conventional G-banding cytogenetics (CC), single nucleotide polymorphism array (SNP-A), and genomic sequencing methods were used. SNP-A analysis (with control sample, lymphocytes CD3+, in 30 cases) revealed 5q losses in all cases. Other recurrent abnormalities were infrequent and were not associated with lenalidomide responsiveness. Low karyotype complexity (by CC) and a high baseline platelet count (&gt;280 × 10(9) /l) were associated with the achievement of haematological response (P = 0·020, P = 0·013 respectively). Unmutated TP53 status showed a tendency for haematological response (P = 0·061). Complete cytogenetic response was not observed in any of the mutated TP53 cases. By multivariate analysis, the most important predictor for lenalidomide treatment failure was a platelet count &lt;280 × 10(9) /l (Odds Ratio = 6·17, P = 0·040). This study reveals the importance of a low baseline platelet count, karyotypic complexity and TP53 mutational status for response to lenalidomide treatment. It supports the molecular study of TP53 in MDS patients treated with lenalidomide.","author":[{"dropping-particle":"","family":"Mallo","given":"Mar","non-dropping-particle":"","parse-names":false,"suffix":""},{"dropping-particle":"","family":"Rey","given":"Mónica","non-dropping-particle":"Del","parse-names":false,"suffix":""},{"dropping-particle":"","family":"Ibáñez","given":"Mariam","non-dropping-particle":"","parse-names":false,"suffix":""},{"dropping-particle":"","family":"Calasanz","given":"M José","non-dropping-particle":"","parse-names":false,"suffix":""},{"dropping-particle":"","family":"Arenillas","given":"Leonor","non-dropping-particle":"","parse-names":false,"suffix":""},{"dropping-particle":"","family":"Larráyoz","given":"M José","non-dropping-particle":"","parse-names":false,"suffix":""},{"dropping-particle":"","family":"Pedro","given":"Carmen","non-dropping-particle":"","parse-names":false,"suffix":""},{"dropping-particle":"","family":"Jerez","given":"Andrés","non-dropping-particle":"","parse-names":false,"suffix":""},{"dropping-particle":"","family":"Maciejewski","given":"Jaroslaw","non-dropping-particle":"","parse-names":false,"suffix":""},{"dropping-particle":"","family":"Costa","given":"Dolors","non-dropping-particle":"","parse-names":false,"suffix":""},{"dropping-particle":"","family":"Nomdedeu","given":"Meritxell","non-dropping-particle":"","parse-names":false,"suffix":""},{"dropping-particle":"","family":"Diez-Campelo","given":"María","non-dropping-particle":"","parse-names":false,"suffix":""},{"dropping-particle":"","family":"Lumbreras","given":"Eva","non-dropping-particle":"","parse-names":false,"suffix":""},{"dropping-particle":"","family":"González-Martínez","given":"Teresa","non-dropping-particle":"","parse-names":false,"suffix":""},{"dropping-particle":"","family":"Marugán","given":"Isabel","non-dropping-particle":"","parse-names":false,"suffix":""},{"dropping-particle":"","family":"Such","given":"Esperanza","non-dropping-particle":"","parse-names":false,"suffix":""},{"dropping-particle":"","family":"Cervera","given":"José","non-dropping-particle":"","parse-names":false,"suffix":""},{"dropping-particle":"","family":"Cigudosa","given":"Juan C","non-dropping-particle":"","parse-names":false,"suffix":""},{"dropping-particle":"","family":"Alvarez","given":"Sara","non-dropping-particle":"","parse-names":false,"suffix":""},{"dropping-particle":"","family":"Florensa","given":"Lourdes","non-dropping-particle":"","parse-names":false,"suffix":""},{"dropping-particle":"","family":"Hernández","given":"Jesús M","non-dropping-particle":"","parse-names":false,"suffix":""},{"dropping-particle":"","family":"Solé","given":"Francesc","non-dropping-particle":"","parse-names":false,"suffix":""}],"container-title":"British journal of haematology","id":"ITEM-2","issue":"1","issued":{"date-parts":[["2013","7"]]},"page":"74-86","title":"Response to lenalidomide in myelodysplastic syndromes with del(5q): influence of cytogenetics and mutations.","type":"article-journal","volume":"162"},"uris":["http://www.mendeley.com/documents/?uuid=f4cb2b29-651a-38a9-89d0-32a588c2fec3"]}],"mendeley":{"formattedCitation":"[56,91]","plainTextFormattedCitation":"[56,91]","previouslyFormattedCitation":"[56,91]"},"properties":{"noteIndex":0},"schema":"https://github.com/citation-style-language/schema/raw/master/csl-citation.json"}</w:instrText>
      </w:r>
      <w:r w:rsidRPr="006A377C">
        <w:rPr>
          <w:szCs w:val="24"/>
        </w:rPr>
        <w:fldChar w:fldCharType="separate"/>
      </w:r>
      <w:r w:rsidR="00AE1E12" w:rsidRPr="00AE1E12">
        <w:rPr>
          <w:noProof/>
          <w:szCs w:val="24"/>
        </w:rPr>
        <w:t>[56,91]</w:t>
      </w:r>
      <w:r w:rsidRPr="006A377C">
        <w:rPr>
          <w:szCs w:val="24"/>
        </w:rPr>
        <w:fldChar w:fldCharType="end"/>
      </w:r>
      <w:r w:rsidRPr="006A377C">
        <w:rPr>
          <w:szCs w:val="24"/>
        </w:rPr>
        <w:t>.</w:t>
      </w:r>
    </w:p>
    <w:p w14:paraId="36F0FF10" w14:textId="77777777" w:rsidR="00F20CFD" w:rsidRPr="006A377C" w:rsidRDefault="00F20CFD" w:rsidP="005017D1">
      <w:pPr>
        <w:ind w:left="709" w:hanging="1"/>
        <w:rPr>
          <w:b/>
          <w:szCs w:val="24"/>
        </w:rPr>
      </w:pPr>
      <w:r w:rsidRPr="006A377C">
        <w:rPr>
          <w:b/>
          <w:szCs w:val="24"/>
        </w:rPr>
        <w:t>Уровень убедительности рекомендаций В (уровень достоверности доказательств – 2)</w:t>
      </w:r>
    </w:p>
    <w:p w14:paraId="5675D2FE" w14:textId="77777777" w:rsidR="00F20CFD" w:rsidRPr="006A377C" w:rsidRDefault="00F20CFD" w:rsidP="005017D1">
      <w:pPr>
        <w:ind w:left="709" w:hanging="1"/>
        <w:rPr>
          <w:i/>
          <w:szCs w:val="24"/>
        </w:rPr>
      </w:pPr>
      <w:r w:rsidRPr="006A377C">
        <w:rPr>
          <w:b/>
          <w:szCs w:val="24"/>
        </w:rPr>
        <w:t xml:space="preserve">Комментарии: </w:t>
      </w:r>
      <w:r w:rsidRPr="006A377C">
        <w:rPr>
          <w:i/>
          <w:szCs w:val="24"/>
        </w:rPr>
        <w:t>в ходе проведения исследований была доказана высокая эффективность леналидомида** у пациентов с МДС с del(5q). Механизм действия препарата при МДС объясняется прямым цитостатическим воздействием на патологический клон клеток с del(5q) и стимулирующим эффектом в отношении нормальных эритроидных клеток КМ. Независимость от трансфузий была документирована в 61 и 70% случаев (p &gt;0,05). Медиана времени до достижения ответа составила 4–6 недель. У пациентов с МДС без del(5q) эффективность несколько ниже – 25–27% случаев.</w:t>
      </w:r>
    </w:p>
    <w:p w14:paraId="012C2D60" w14:textId="77777777" w:rsidR="002312E3" w:rsidRPr="006A377C" w:rsidRDefault="00F20CFD" w:rsidP="002312E3">
      <w:pPr>
        <w:ind w:left="709" w:hanging="1"/>
        <w:rPr>
          <w:i/>
          <w:szCs w:val="24"/>
        </w:rPr>
      </w:pPr>
      <w:r w:rsidRPr="006A377C">
        <w:rPr>
          <w:i/>
          <w:szCs w:val="24"/>
        </w:rPr>
        <w:lastRenderedPageBreak/>
        <w:t>Применение леналидомида** наиболее оправдано у трансфузионнозависимых пациентов с МДС с del(5q) (максимум с одной благоприятной поломкой) или увеличением числа бластных клеток менее 10% из группы низкого или промежуточного-1 риска по IPSS, которые не являются кандидатами на терапию ЭПО или не получили эффекта от их применения. Леналидомид**</w:t>
      </w:r>
      <w:r w:rsidRPr="006A377C">
        <w:rPr>
          <w:szCs w:val="24"/>
        </w:rPr>
        <w:t xml:space="preserve"> </w:t>
      </w:r>
      <w:r w:rsidRPr="006A377C">
        <w:rPr>
          <w:i/>
          <w:szCs w:val="24"/>
        </w:rPr>
        <w:t>назначается в дозе 10 мг внутрь в 1–21 дни, каждые 28 дней. При развитии как гематологической, так и негематологической токсичности целесообразно снижение дозы до 5 мг/сут или 10 мг через день, в такой дозе возможен постоянный прием без перерыва. Оптимальная продолжительность терапии леналидомидом**</w:t>
      </w:r>
      <w:r w:rsidRPr="006A377C">
        <w:rPr>
          <w:szCs w:val="24"/>
        </w:rPr>
        <w:t xml:space="preserve"> </w:t>
      </w:r>
      <w:r w:rsidRPr="006A377C">
        <w:rPr>
          <w:i/>
          <w:szCs w:val="24"/>
        </w:rPr>
        <w:t xml:space="preserve">не определена, но, по всей видимости, должна быть ограничена временем повышения показателей гемоглобина до верхней границы нормы, до момента начала прогрессирования или 24 месяцев общей продолжительности лечения в случае сохраняющегося ответа. </w:t>
      </w:r>
      <w:r w:rsidR="002312E3">
        <w:rPr>
          <w:i/>
          <w:szCs w:val="24"/>
        </w:rPr>
        <w:t>В настоящее время, вопросы отмены леналидомида при достижении стойкого гематологического и полного цитогенетического ответа должны рассматриваться индивидуально.</w:t>
      </w:r>
    </w:p>
    <w:p w14:paraId="16D559D9" w14:textId="77777777" w:rsidR="00F20CFD" w:rsidRPr="006A377C" w:rsidRDefault="00F20CFD" w:rsidP="005017D1">
      <w:pPr>
        <w:ind w:left="709" w:hanging="1"/>
        <w:rPr>
          <w:i/>
          <w:szCs w:val="24"/>
        </w:rPr>
      </w:pPr>
      <w:r w:rsidRPr="006A377C">
        <w:rPr>
          <w:i/>
          <w:szCs w:val="24"/>
        </w:rPr>
        <w:t>До начала терапии леналидомидом** целесообразно исследовать наличие мутации гена ТР53, так как при ее наличии отмечена более короткая продолжительность положительного ответа и высокая вероятность прогрессии в ОЛ.</w:t>
      </w:r>
    </w:p>
    <w:p w14:paraId="11E4A67D" w14:textId="77777777" w:rsidR="00F20CFD" w:rsidRPr="006A377C" w:rsidRDefault="00F20CFD" w:rsidP="005F2F2B">
      <w:pPr>
        <w:pStyle w:val="aff"/>
        <w:numPr>
          <w:ilvl w:val="0"/>
          <w:numId w:val="16"/>
        </w:numPr>
        <w:ind w:left="709" w:hanging="425"/>
        <w:rPr>
          <w:szCs w:val="24"/>
        </w:rPr>
      </w:pPr>
      <w:r w:rsidRPr="006A377C">
        <w:rPr>
          <w:szCs w:val="24"/>
        </w:rPr>
        <w:t>Пациентам с МДС-ИБ или МДС без ИБ с неблагоприятными аномалиями кариотипа, которые при стратификации отнесены к группе промежуточного</w:t>
      </w:r>
      <w:r w:rsidRPr="006A377C">
        <w:rPr>
          <w:noProof/>
          <w:szCs w:val="24"/>
        </w:rPr>
        <w:t>-</w:t>
      </w:r>
      <w:r w:rsidRPr="006A377C">
        <w:rPr>
          <w:szCs w:val="24"/>
        </w:rPr>
        <w:t xml:space="preserve">2 и высокого риска по шкале </w:t>
      </w:r>
      <w:r w:rsidRPr="006A377C">
        <w:rPr>
          <w:szCs w:val="24"/>
          <w:lang w:val="en-US"/>
        </w:rPr>
        <w:t>IPSS</w:t>
      </w:r>
      <w:r w:rsidRPr="006A377C">
        <w:rPr>
          <w:szCs w:val="24"/>
        </w:rPr>
        <w:t xml:space="preserve"> и группе промежуточного, высокого и очень высокого риска по шкале </w:t>
      </w:r>
      <w:r w:rsidRPr="006A377C">
        <w:rPr>
          <w:szCs w:val="24"/>
          <w:lang w:val="en-US"/>
        </w:rPr>
        <w:t>IPSS</w:t>
      </w:r>
      <w:r w:rsidRPr="006A377C">
        <w:rPr>
          <w:szCs w:val="24"/>
        </w:rPr>
        <w:t>-</w:t>
      </w:r>
      <w:r w:rsidRPr="006A377C">
        <w:rPr>
          <w:szCs w:val="24"/>
          <w:lang w:val="en-US"/>
        </w:rPr>
        <w:t>R</w:t>
      </w:r>
      <w:r w:rsidRPr="006A377C">
        <w:rPr>
          <w:b/>
          <w:szCs w:val="24"/>
        </w:rPr>
        <w:t xml:space="preserve"> </w:t>
      </w:r>
      <w:r w:rsidRPr="006A377C">
        <w:rPr>
          <w:szCs w:val="24"/>
        </w:rPr>
        <w:t>(</w:t>
      </w:r>
      <w:r w:rsidR="00B63F37">
        <w:rPr>
          <w:szCs w:val="24"/>
        </w:rPr>
        <w:t>см. раздел 7.1 данных рекомендаций</w:t>
      </w:r>
      <w:r w:rsidRPr="006A377C">
        <w:rPr>
          <w:szCs w:val="24"/>
        </w:rPr>
        <w:t>)</w:t>
      </w:r>
      <w:r w:rsidRPr="006A377C">
        <w:rPr>
          <w:b/>
          <w:szCs w:val="24"/>
        </w:rPr>
        <w:t xml:space="preserve"> </w:t>
      </w:r>
      <w:r w:rsidRPr="006A377C">
        <w:rPr>
          <w:szCs w:val="24"/>
        </w:rPr>
        <w:t xml:space="preserve">для достижения ремиссии или другого положительного ответа </w:t>
      </w:r>
      <w:r w:rsidRPr="006A377C">
        <w:rPr>
          <w:b/>
          <w:szCs w:val="24"/>
        </w:rPr>
        <w:t>рекомендуется</w:t>
      </w:r>
      <w:r w:rsidRPr="006A377C">
        <w:rPr>
          <w:szCs w:val="24"/>
        </w:rPr>
        <w:t xml:space="preserve"> проведение терапии</w:t>
      </w:r>
      <w:r w:rsidR="003C0FF8">
        <w:rPr>
          <w:szCs w:val="24"/>
        </w:rPr>
        <w:t xml:space="preserve"> аналогами пиримидина</w:t>
      </w:r>
      <w:r w:rsidRPr="006A377C">
        <w:rPr>
          <w:szCs w:val="24"/>
        </w:rPr>
        <w:t xml:space="preserve"> – азацитидином**</w:t>
      </w:r>
      <w:r w:rsidR="00E517C7">
        <w:rPr>
          <w:szCs w:val="24"/>
        </w:rPr>
        <w:t xml:space="preserve"> или </w:t>
      </w:r>
      <w:r w:rsidRPr="006A377C">
        <w:rPr>
          <w:szCs w:val="24"/>
        </w:rPr>
        <w:t xml:space="preserve">децитабином </w:t>
      </w:r>
      <w:r w:rsidRPr="006A377C">
        <w:rPr>
          <w:szCs w:val="24"/>
        </w:rPr>
        <w:fldChar w:fldCharType="begin" w:fldLock="1"/>
      </w:r>
      <w:r w:rsidR="00AE1E12">
        <w:rPr>
          <w:szCs w:val="24"/>
        </w:rPr>
        <w:instrText>ADDIN CSL_CITATION {"citationItems":[{"id":"ITEM-1","itemData":{"DOI":"10.1016/S1470-2045(09)70003-8","ISBN":"1474-5488 (Electronic)\\r1470-2045 (Linking)","ISSN":"14702045","PMID":"19230772","abstract":"Background: Drug treatments for patients with high-risk myelodysplastic syndromes provide no survival advantage. In this trial, we aimed to assess the effect of azacitidine on overall survival compared with the three commonest conventional care regimens. Methods: In a phase III, international, multicentre, controlled, parallel-group, open-label trial, patients with higher-risk myelodysplastic syndromes were randomly assigned one-to-one to receive azacitidine (75 mg/m2 per day for 7 days every 28 days) or conventional care (best supportive care, low-dose cytarabine, or intensive chemotherapy as selected by investigators before randomisation). Patients were stratified by French-American-British and international prognostic scoring system classifications; randomisation was done with a block size of four. The primary endpoint was overall survival. Efficacy analyses were by intention to treat for all patients assigned to receive treatment. This study is registered with ClinicalTrials.gov, number NCT00071799. Findings: Between Feb 13, 2004, and Aug 7, 2006, 358 patients were randomly assigned to receive azacitidine (n=179) or conventional care regimens (n=179). Four patients in the azacitidine and 14 in the conventional care groups received no study drugs but were included in the intention-to-treat efficacy analysis. After a median follow-up of 21·1 months (IQR 15·1-26·9), median overall survival was 24·5 months (9·9-not reached) for the azacitidine group versus 15·0 months (5·6-24·1) for the conventional care group (hazard ratio 0·58; 95% CI 0·43-0·77; stratified log-rank p=0·0001). At last follow-up, 82 patients in the azacitidine group had died compared with 113 in the conventional care group. At 2 years, on the basis of Kaplan-Meier estimates, 50·8% (95% CI 42·1-58·8) of patients in the azacitidine group were alive compared with 26·2% (18·7-34·3) in the conventional care group (p&lt;0·0001). Peripheral cytopenias were the most common grade 3-4 adverse events for all treatments. Interpretation: Treatment with azacitidine increases overall survival in patients with higher-risk myelodysplastic syndromes relative to conventional care. Funding: Celgene Corporation. © 2009 Elsevier Ltd. All rights reserved.","author":[{"dropping-particle":"","family":"Fenaux","given":"Pierre","non-dropping-particle":"","parse-names":false,"suffix":""},{"dropping-particle":"","family":"Mufti","given":"Ghulam J","non-dropping-particle":"","parse-names":false,"suffix":""},{"dropping-particle":"","family":"Hellstrom-Lindberg","given":"Eva","non-dropping-particle":"","parse-names":false,"suffix":""},{"dropping-particle":"","family":"Santini","given":"Valeria","non-dropping-particle":"","parse-names":false,"suffix":""},{"dropping-particle":"","family":"Finelli","given":"Carlo","non-dropping-particle":"","parse-names":false,"suffix":""},{"dropping-particle":"","family":"Giagounidis","given":"Aristoteles","non-dropping-particle":"","parse-names":false,"suffix":""},{"dropping-particle":"","family":"Schoch","given":"Robert","non-dropping-particle":"","parse-names":false,"suffix":""},{"dropping-particle":"","family":"Gattermann","given":"Norbert","non-dropping-particle":"","parse-names":false,"suffix":""},{"dropping-particle":"","family":"Sanz","given":"Guillermo","non-dropping-particle":"","parse-names":false,"suffix":""},{"dropping-particle":"","family":"List","given":"Alan","non-dropping-particle":"","parse-names":false,"suffix":""},{"dropping-particle":"","family":"Gore","given":"Steven D.","non-dropping-particle":"","parse-names":false,"suffix":""},{"dropping-particle":"","family":"Seymour","given":"John F.","non-dropping-particle":"","parse-names":false,"suffix":""},{"dropping-particle":"","family":"Bennett","given":"John M.","non-dropping-particle":"","parse-names":false,"suffix":""},{"dropping-particle":"","family":"Byrd","given":"John","non-dropping-particle":"","parse-names":false,"suffix":""},{"dropping-particle":"","family":"Backstrom","given":"Jay","non-dropping-particle":"","parse-names":false,"suffix":""},{"dropping-particle":"","family":"Zimmerman","given":"Linda","non-dropping-particle":"","parse-names":false,"suffix":""},{"dropping-particle":"","family":"McKenzie","given":"David","non-dropping-particle":"","parse-names":false,"suffix":""},{"dropping-particle":"","family":"Beach","given":"CL L.","non-dropping-particle":"","parse-names":false,"suffix":""},{"dropping-particle":"","family":"Silverman","given":"Lewis R.","non-dropping-particle":"","parse-names":false,"suffix":""}],"container-title":"The Lancet Oncology","id":"ITEM-1","issue":"3","issued":{"date-parts":[["2009"]]},"page":"223-232","title":"Efficacy of azacitidine compared with that of conventional care regimens in the treatment of higher-risk myelodysplastic syndromes: a randomised, open-label, phase III study","type":"article-journal","volume":"10"},"uris":["http://www.mendeley.com/documents/?uuid=d3de54d1-2639-3541-b341-285338ea8c92"]},{"id":"ITEM-2","itemData":{"DOI":"10.1002/cncr.21792","ISSN":"0008543X","abstract":"BACKGROUND: Aberrant DNA methylation, which results in leukemogenesis, is frequent in patients with myelodysplastic syndromes (MDS) and is a potential target for pharmacologic therapy. Decitabine indirectly depletes methylcytosine and causes hypomethylation of target gene promoters.\\n\\nMETHODS: A total of 170 patients with MDS were randomized to receive either decitabine at a dose of 15 mg/m2 given intravenously over 3 hours every 8 hours for 3 days (at a dose of 135 mg/m2 per course) and repeated every 6 weeks, or best supportive care. Response was assessed using the International Working Group criteria and required that response criteria be met for at least 8 weeks.\\n\\nRESULTS: Patients who were treated with decitabine achieved a significantly higher overall response rate (17%), including 9% complete responses, compared with supportive care (0%) (P &lt; .001). An additional 12 patients who were treated with decitabine (13%) achieved hematologic improvement. Responses were durable (median, 10.3 mos) and were associated with transfusion independence. Patients treated with decitabine had a trend toward a longer median time to acute myelogenous leukemia (AML) progression or death compared with patients who received supportive care alone (all patients, 12.1 mos vs. 7.8 mos [P = 0.16]; those with International Prognostic Scoring System intermediate-2/high-risk disease, 12.0 mos vs. 6.8 mos [P = 0.03]; those with de novo disease, 12.6 mos vs. 9.4 mos [P = 0.04]; and treatment-naive patients, 12.3 mos vs. 7.3 mos [P = 0.08]).\\n\\nCONCLUSIONS: Decitabine was found to be clinically effective in the treatment of patients with MDS, provided durable responses, and improved time to AML transformation or death. The duration of decitabine therapy may improve these results further.","author":[{"dropping-particle":"","family":"Kantarjlan","given":"Hagop","non-dropping-particle":"","parse-names":false,"suffix":""},{"dropping-particle":"","family":"Issa","given":"Jean Pierre J.","non-dropping-particle":"","parse-names":false,"suffix":""},{"dropping-particle":"","family":"Rosenfeld","given":"Craig S.","non-dropping-particle":"","parse-names":false,"suffix":""},{"dropping-particle":"","family":"Bennett","given":"John M.","non-dropping-particle":"","parse-names":false,"suffix":""},{"dropping-particle":"","family":"Albitar","given":"Maher","non-dropping-particle":"","parse-names":false,"suffix":""},{"dropping-particle":"","family":"DiPersio","given":"John","non-dropping-particle":"","parse-names":false,"suffix":""},{"dropping-particle":"","family":"Klimek","given":"Virginia","non-dropping-particle":"","parse-names":false,"suffix":""},{"dropping-particle":"","family":"Slack","given":"James","non-dropping-particle":"","parse-names":false,"suffix":""},{"dropping-particle":"","family":"Castro","given":"Carlos","non-dropping-particle":"De","parse-names":false,"suffix":""},{"dropping-particle":"","family":"Ravandi","given":"Farhad","non-dropping-particle":"","parse-names":false,"suffix":""},{"dropping-particle":"","family":"Helmer","given":"Richard","non-dropping-particle":"","parse-names":false,"suffix":""},{"dropping-particle":"","family":"Shen","given":"Lanlan","non-dropping-particle":"","parse-names":false,"suffix":""},{"dropping-particle":"","family":"Nimer","given":"Stephen D.","non-dropping-particle":"","parse-names":false,"suffix":""},{"dropping-particle":"","family":"Leavitt","given":"Richard","non-dropping-particle":"","parse-names":false,"suffix":""},{"dropping-particle":"","family":"Raza","given":"Azra","non-dropping-particle":"","parse-names":false,"suffix":""},{"dropping-particle":"","family":"Saba","given":"Hussain","non-dropping-particle":"","parse-names":false,"suffix":""}],"container-title":"Cancer","id":"ITEM-2","issue":"8","issued":{"date-parts":[["2006","5","15"]]},"page":"1794-1803","title":"Decitabine improves patient outcomes in myelodysplastic syndromes: Results of a phase III randomized study","type":"article-journal","volume":"106"},"uris":["http://www.mendeley.com/documents/?uuid=921ce2c7-4ada-3e7f-a647-fe881ef7767e"]},{"id":"ITEM-3","itemData":{"DOI":"10.1200/JCO.2002.04.117","ISSN":"0732183X","abstract":"Purpose: Patients with high-risk myelodysplastic syndrome (MDS) have high mortality from bone marrow failure or transformation to acute leukemia. Supportive care is standard therapy. We previously reported that azacitidine (Aza C) was active in patients with high-risk MDS. Patients and Methods: A randomized controlled trial was undertaken in 191 patients with MDS to compare Aza C (75 mg/m 2 /d subcutaneously for 7 days every 28 days) with supportive care. MDS was defined by French-American-British criteria. New rigorous response criteria were applied. Both arms received transfusions and antibiotics as required. Patients in the supportive care arm whose disease worsened were permitted to cross over to Aza C. Results: Responses occurred in 60% of patients on the Aza C arm (7% complete response, 16% partial response, 37% improved) compared with 5% (improved) receiving supportive care (P  &lt;  .001). Median time to leukemic transformation or death was 21 months for Aza C versus 13 months for supportive care (P = .007). Transformation to acute myelogenous leukemia occurred as the first event in 15% of patients on the Aza C arm and in 38% receiving supportive care (P = .001). Eliminating the confounding effect of early cross-over to Aza C, a landmark analysis after 6 months showed median survival of an additional 18 months for Aza C and 11 months for supportive care (P = .03). Quality-of-life assessment found significant major advantages in physical function, symptoms, and psychological state for patients initially randomized to Aza C. Conclusion: Aza C treatment results in significantly higher response rates, improved quality of life, reduced risk of leukemic transformation, and improved survival compared with supportive care. Aza C provides a new treatment option that is superior to supportive care for patients with the MDS subtypes and specific entry criteria treated in this study. © 2002 by American Society of Clinical Oncology.","author":[{"dropping-particle":"","family":"Silverman","given":"Lewis R.","non-dropping-particle":"","parse-names":false,"suffix":""},{"dropping-particle":"","family":"Demakos","given":"Erin P.","non-dropping-particle":"","parse-names":false,"suffix":""},{"dropping-particle":"","family":"Peterson","given":"Bercedis L.","non-dropping-particle":"","parse-names":false,"suffix":""},{"dropping-particle":"","family":"Kornblith","given":"Alice B.","non-dropping-particle":"","parse-names":false,"suffix":""},{"dropping-particle":"","family":"Holland","given":"Jimmie C.","non-dropping-particle":"","parse-names":false,"suffix":""},{"dropping-particle":"","family":"Odchimar-Reissig","given":"Rosalie","non-dropping-particle":"","parse-names":false,"suffix":""},{"dropping-particle":"","family":"Stone","given":"Richard M.","non-dropping-particle":"","parse-names":false,"suffix":""},{"dropping-particle":"","family":"Nelson","given":"Douglas","non-dropping-particle":"","parse-names":false,"suffix":""},{"dropping-particle":"","family":"Powell","given":"Bayard L.","non-dropping-particle":"","parse-names":false,"suffix":""},{"dropping-particle":"","family":"DeCastro","given":"Carlos M.","non-dropping-particle":"","parse-names":false,"suffix":""},{"dropping-particle":"","family":"Ellerton","given":"John","non-dropping-particle":"","parse-names":false,"suffix":""},{"dropping-particle":"","family":"Larson","given":"Richard A.","non-dropping-particle":"","parse-names":false,"suffix":""},{"dropping-particle":"","family":"Schiffer","given":"Charles A.","non-dropping-particle":"","parse-names":false,"suffix":""},{"dropping-particle":"","family":"Holland","given":"James F.","non-dropping-particle":"","parse-names":false,"suffix":""}],"container-title":"Journal of Clinical Oncology","id":"ITEM-3","issue":"10","issued":{"date-parts":[["2002","5","15"]]},"page":"2429-2440","title":"Randomized controlled trial of azacitidine in patients with the myelodysplastic syndrome: A study of the cancer and leukemia group B","type":"article-journal","volume":"20"},"uris":["http://www.mendeley.com/documents/?uuid=868c9671-bd0f-3b82-b79c-4128c5b3e1d3"]},{"id":"ITEM-4","itemData":{"DOI":"10.1182/blood-2006-05-021162","ISSN":"00064971","abstract":"Epigenetic therapy with hypomethylating drugs is now the standard of care in myelodysplastic syndrome (MDS). Response rates remain low, and mechanism-based dose optimization has not been reported. We investigated the clinical and pharmacodynamic results of different dose schedules of decitabine. Adults with advanced MDS or chronic myelomonocytic leukemia (CMML) were randomized to 1 of 3 decitabine schedules: (1) 20 mg/m2 intravenously daily for 5 days; (2) 20 mg/m2 subcutaneously daily for 5 days; and (3) 10 mg/m2 intravenously daily for 10 days. Randomization followed a Bayesian adaptive design. Ninety-five patients were treated (77 with MDS, and 18 with CMML). Overall, 32 patients (34%) achieved a complete response (CR), and 69 (73%) had an objective response by the new modified International Working Group criteria. The 5-day intravenous schedule, which had the highest dose-intensity, was selected as optimal; the CR rate in that arm was 39%, compared with 21% in the 5-day subcutaneous arm and 24% in the 10-day intravenous arm (P &lt; .05). The high dose-intensity arm was also superior at inducing hypomethylation at day 5 and at activating P15 expression at days 12 or 28 after therapy. We conclude that a low-dose, doseintensity schedule of decitabine optimizes epigenetic modulation and clinical responses in MDS. © 2007 by The American Society of Hematology.","author":[{"dropping-particle":"","family":"Kantarjian","given":"Hagop","non-dropping-particle":"","parse-names":false,"suffix":""},{"dropping-particle":"","family":"Oki","given":"Yasuhiro","non-dropping-particle":"","parse-names":false,"suffix":""},{"dropping-particle":"","family":"Garcia-Manero","given":"Guillermo","non-dropping-particle":"","parse-names":false,"suffix":""},{"dropping-particle":"","family":"Huang","given":"Xuelin","non-dropping-particle":"","parse-names":false,"suffix":""},{"dropping-particle":"","family":"O'Brien","given":"Susan","non-dropping-particle":"","parse-names":false,"suffix":""},{"dropping-particle":"","family":"Cortes","given":"Jorge","non-dropping-particle":"","parse-names":false,"suffix":""},{"dropping-particle":"","family":"Faderl","given":"Stefan","non-dropping-particle":"","parse-names":false,"suffix":""},{"dropping-particle":"","family":"Bueso-Ramos","given":"Carlos","non-dropping-particle":"","parse-names":false,"suffix":""},{"dropping-particle":"","family":"Ravandi","given":"Farhad","non-dropping-particle":"","parse-names":false,"suffix":""},{"dropping-particle":"","family":"Estrov","given":"Zeev","non-dropping-particle":"","parse-names":false,"suffix":""},{"dropping-particle":"","family":"Ferrajoli","given":"Alessandra","non-dropping-particle":"","parse-names":false,"suffix":""},{"dropping-particle":"","family":"Wierda","given":"William","non-dropping-particle":"","parse-names":false,"suffix":""},{"dropping-particle":"","family":"Shan","given":"Jianqin","non-dropping-particle":"","parse-names":false,"suffix":""},{"dropping-particle":"","family":"Davis","given":"Jan","non-dropping-particle":"","parse-names":false,"suffix":""},{"dropping-particle":"","family":"Giles","given":"Francis","non-dropping-particle":"","parse-names":false,"suffix":""},{"dropping-particle":"","family":"Saba","given":"Hussain I.","non-dropping-particle":"","parse-names":false,"suffix":""},{"dropping-particle":"","family":"Issa","given":"Jean Pierre J.","non-dropping-particle":"","parse-names":false,"suffix":""}],"container-title":"Blood","id":"ITEM-4","issue":"1","issued":{"date-parts":[["2007","1","1"]]},"page":"52-57","title":"Results of a randomized study of 3 schedules of low-dose decitabine in higher-risk myelodysplastic syndrome and chronic myelomonocytic leukemia","type":"article-journal","volume":"109"},"uris":["http://www.mendeley.com/documents/?uuid=fc9de942-d83e-30d9-ad0f-adbd897053cf"]},{"id":"ITEM-5","itemData":{"DOI":"10.1016/j.leukres.2018.06.007","ISSN":"18735835","abstract":"Aim: To compare the efficacy and safety between hypomethylating agent (HMA) alone and the combination of HMA and histone deacetylase inhibitor (HDACi) in myelodysplastic syndrome (MDS) or acute myeloid leukemia (AML). Methods: We performed a systematic review and meta-analysis of all available cohort studies regarding the comparison of HMA alone and in combination with HDACi for MDS and AML. Embase and Pubmed databases were searched for relevant studies. The overall hazard ratios for the HMA alone and HDACi combination were extracted. Heterogeneity among the included studies was evaluated by Cochrane's Q Test and I 2 statistics. A random-effect model or a fixed-effect model was applied depending on the heterogeneity. Subgroup analysis was used to evaluate the source of heterogeneity. Results: Seven studies comprising 922 patients (458 patients treated with HMA alone and 464 with HMA and HDACi) were included in the analysis. Pooled data showed no significant differences in complete remission (CR) rates, hematologic improvement (HI), overall response rate (ORR), overall survival (OS), and toxicities between HMA alone treatment and HMA with HDACi regimens. Conclusions: HDACi and HMA combination does not appear to be more effective and better tolerated than HMA alone. Future randomized controlled trials are needed to confirm its efficacy and safety.","author":[{"dropping-particle":"","family":"Pan","given":"Tingting","non-dropping-particle":"","parse-names":false,"suffix":""},{"dropping-particle":"","family":"Qi","given":"Jiaqian","non-dropping-particle":"","parse-names":false,"suffix":""},{"dropping-particle":"","family":"You","given":"Tao","non-dropping-particle":"","parse-names":false,"suffix":""},{"dropping-particle":"","family":"Yang","given":"Liping","non-dropping-particle":"","parse-names":false,"suffix":""},{"dropping-particle":"","family":"Wu","given":"Depei","non-dropping-particle":"","parse-names":false,"suffix":""},{"dropping-particle":"","family":"Han","given":"Yue","non-dropping-particle":"","parse-names":false,"suffix":""},{"dropping-particle":"","family":"Zhu","given":"Li","non-dropping-particle":"","parse-names":false,"suffix":""}],"container-title":"Leukemia Research","id":"ITEM-5","issued":{"date-parts":[["2018","8","1"]]},"page":"13-24","publisher":"Elsevier Ltd","title":"Addition of histone deacetylase inhibitors does not improve prognosis in patients with myelodysplastic syndrome and acute myeloid leukemia compared with hypomethylating agents alone: A systematic review and meta-analysis of seven prospective cohort studies","type":"article-journal","volume":"71"},"uris":["http://www.mendeley.com/documents/?uuid=093286f4-939a-3e6f-a1b2-8480a835ce5c"]}],"mendeley":{"formattedCitation":"[92–96]","plainTextFormattedCitation":"[92–96]","previouslyFormattedCitation":"[92–96]"},"properties":{"noteIndex":0},"schema":"https://github.com/citation-style-language/schema/raw/master/csl-citation.json"}</w:instrText>
      </w:r>
      <w:r w:rsidRPr="006A377C">
        <w:rPr>
          <w:szCs w:val="24"/>
        </w:rPr>
        <w:fldChar w:fldCharType="separate"/>
      </w:r>
      <w:r w:rsidR="00AE1E12" w:rsidRPr="00AE1E12">
        <w:rPr>
          <w:noProof/>
          <w:szCs w:val="24"/>
        </w:rPr>
        <w:t>[92–96]</w:t>
      </w:r>
      <w:r w:rsidRPr="006A377C">
        <w:rPr>
          <w:szCs w:val="24"/>
        </w:rPr>
        <w:fldChar w:fldCharType="end"/>
      </w:r>
      <w:r w:rsidRPr="006A377C">
        <w:rPr>
          <w:szCs w:val="24"/>
        </w:rPr>
        <w:t>.</w:t>
      </w:r>
    </w:p>
    <w:p w14:paraId="0BD3C16C" w14:textId="3BD13E7D" w:rsidR="00F20CFD" w:rsidRPr="006A377C" w:rsidRDefault="00F20CFD" w:rsidP="005017D1">
      <w:pPr>
        <w:ind w:left="709" w:hanging="1"/>
        <w:rPr>
          <w:b/>
          <w:szCs w:val="24"/>
        </w:rPr>
      </w:pPr>
      <w:r w:rsidRPr="00AE1E12">
        <w:rPr>
          <w:b/>
          <w:szCs w:val="24"/>
        </w:rPr>
        <w:t xml:space="preserve">Уровень убедительности рекомендаций </w:t>
      </w:r>
      <w:r w:rsidR="00AE1E12" w:rsidRPr="00AE1E12">
        <w:rPr>
          <w:b/>
          <w:szCs w:val="24"/>
          <w:lang w:val="en-US"/>
        </w:rPr>
        <w:t>A</w:t>
      </w:r>
      <w:r w:rsidR="003C0FF8" w:rsidRPr="00AE1E12">
        <w:rPr>
          <w:b/>
          <w:szCs w:val="24"/>
        </w:rPr>
        <w:t xml:space="preserve"> </w:t>
      </w:r>
      <w:r w:rsidRPr="00AE1E12">
        <w:rPr>
          <w:b/>
          <w:szCs w:val="24"/>
        </w:rPr>
        <w:t xml:space="preserve">(уровень достоверности доказательств – </w:t>
      </w:r>
      <w:r w:rsidR="00AE1E12" w:rsidRPr="00AE1E12">
        <w:rPr>
          <w:b/>
          <w:szCs w:val="24"/>
        </w:rPr>
        <w:t>1</w:t>
      </w:r>
      <w:r w:rsidRPr="00AE1E12">
        <w:rPr>
          <w:b/>
          <w:szCs w:val="24"/>
        </w:rPr>
        <w:t>)</w:t>
      </w:r>
    </w:p>
    <w:p w14:paraId="55B00A50" w14:textId="77777777" w:rsidR="00F20CFD" w:rsidRPr="006A377C" w:rsidRDefault="00F20CFD" w:rsidP="005017D1">
      <w:pPr>
        <w:ind w:left="709" w:hanging="1"/>
        <w:rPr>
          <w:i/>
          <w:szCs w:val="24"/>
        </w:rPr>
      </w:pPr>
      <w:r w:rsidRPr="006A377C">
        <w:rPr>
          <w:b/>
          <w:szCs w:val="24"/>
        </w:rPr>
        <w:t xml:space="preserve">Комментарии: </w:t>
      </w:r>
      <w:r w:rsidRPr="006A377C">
        <w:rPr>
          <w:i/>
          <w:szCs w:val="24"/>
        </w:rPr>
        <w:t>азацитидин** и децитабин относятся к оригинальному классу химиотерапевтических препаратов – гипометилирующих агентов или ингибиторов ДНК-метилтрансферазы, фермента, отвечающего за метилирование вновь синтезируемой ДНК.</w:t>
      </w:r>
    </w:p>
    <w:p w14:paraId="5D88787D" w14:textId="77777777" w:rsidR="00F20CFD" w:rsidRPr="006A377C" w:rsidRDefault="00F20CFD" w:rsidP="005017D1">
      <w:pPr>
        <w:ind w:left="709" w:hanging="1"/>
        <w:rPr>
          <w:i/>
          <w:szCs w:val="24"/>
        </w:rPr>
      </w:pPr>
      <w:r w:rsidRPr="006A377C">
        <w:rPr>
          <w:i/>
          <w:szCs w:val="24"/>
        </w:rPr>
        <w:t xml:space="preserve">В свете отсутствия прямых сравнительных исследований между азацитидином** и децитабином невозможно сделать окончательный вывод о преимуществе того или другого препарата. </w:t>
      </w:r>
    </w:p>
    <w:p w14:paraId="57833843" w14:textId="77777777" w:rsidR="00F20CFD" w:rsidRPr="006A377C" w:rsidRDefault="00F20CFD" w:rsidP="005017D1">
      <w:pPr>
        <w:ind w:left="709" w:hanging="1"/>
        <w:rPr>
          <w:i/>
          <w:szCs w:val="24"/>
        </w:rPr>
      </w:pPr>
      <w:r w:rsidRPr="006A377C">
        <w:rPr>
          <w:i/>
          <w:szCs w:val="24"/>
        </w:rPr>
        <w:t>Азацитидин** назначается в нескольких режимах:</w:t>
      </w:r>
    </w:p>
    <w:p w14:paraId="60124EE9" w14:textId="77777777" w:rsidR="00F20CFD" w:rsidRPr="006A377C" w:rsidRDefault="00F20CFD" w:rsidP="005F2F2B">
      <w:pPr>
        <w:pStyle w:val="aff"/>
        <w:numPr>
          <w:ilvl w:val="0"/>
          <w:numId w:val="16"/>
        </w:numPr>
        <w:ind w:left="709" w:hanging="425"/>
        <w:rPr>
          <w:i/>
          <w:szCs w:val="24"/>
        </w:rPr>
      </w:pPr>
      <w:r w:rsidRPr="006A377C">
        <w:rPr>
          <w:i/>
          <w:szCs w:val="24"/>
        </w:rPr>
        <w:t>75 мг/м</w:t>
      </w:r>
      <w:r w:rsidRPr="006A377C">
        <w:rPr>
          <w:i/>
          <w:szCs w:val="24"/>
          <w:vertAlign w:val="superscript"/>
        </w:rPr>
        <w:t>2</w:t>
      </w:r>
      <w:r w:rsidRPr="006A377C">
        <w:rPr>
          <w:i/>
          <w:szCs w:val="24"/>
        </w:rPr>
        <w:t xml:space="preserve"> подкожно 1 раз в сутки 1</w:t>
      </w:r>
      <w:r w:rsidRPr="006A377C">
        <w:rPr>
          <w:noProof/>
          <w:szCs w:val="24"/>
        </w:rPr>
        <w:t>–</w:t>
      </w:r>
      <w:r w:rsidRPr="006A377C">
        <w:rPr>
          <w:i/>
          <w:szCs w:val="24"/>
        </w:rPr>
        <w:t>7 дни каждые 28 дней или</w:t>
      </w:r>
    </w:p>
    <w:p w14:paraId="396A220D" w14:textId="77777777" w:rsidR="00F20CFD" w:rsidRPr="006A377C" w:rsidRDefault="00F20CFD" w:rsidP="005F2F2B">
      <w:pPr>
        <w:pStyle w:val="aff"/>
        <w:numPr>
          <w:ilvl w:val="0"/>
          <w:numId w:val="16"/>
        </w:numPr>
        <w:ind w:left="709" w:hanging="425"/>
        <w:rPr>
          <w:i/>
          <w:szCs w:val="24"/>
        </w:rPr>
      </w:pPr>
      <w:r w:rsidRPr="006A377C">
        <w:rPr>
          <w:i/>
          <w:szCs w:val="24"/>
        </w:rPr>
        <w:lastRenderedPageBreak/>
        <w:t>75 мг/м</w:t>
      </w:r>
      <w:r w:rsidRPr="006A377C">
        <w:rPr>
          <w:i/>
          <w:szCs w:val="24"/>
          <w:vertAlign w:val="superscript"/>
        </w:rPr>
        <w:t>2</w:t>
      </w:r>
      <w:r w:rsidRPr="006A377C">
        <w:rPr>
          <w:i/>
          <w:szCs w:val="24"/>
        </w:rPr>
        <w:t xml:space="preserve"> подкожно 1 раз в сутки 5–2–2 (препарат вводится 1–5-й и 8–9 дни курса, 6-й и 7-й дни – перерыв) каждые 28 дней – этот режим можно использовать при лечении в дневном стационаре при невозможности введения препарата в выходные дни, в таком случае начинать курс целесообразно с понедельника, или </w:t>
      </w:r>
    </w:p>
    <w:p w14:paraId="37A92BA8" w14:textId="77777777" w:rsidR="00F20CFD" w:rsidRPr="006A377C" w:rsidRDefault="00F20CFD" w:rsidP="005F2F2B">
      <w:pPr>
        <w:pStyle w:val="aff"/>
        <w:numPr>
          <w:ilvl w:val="0"/>
          <w:numId w:val="16"/>
        </w:numPr>
        <w:ind w:left="709" w:hanging="425"/>
        <w:rPr>
          <w:i/>
          <w:szCs w:val="24"/>
        </w:rPr>
      </w:pPr>
      <w:r w:rsidRPr="006A377C">
        <w:rPr>
          <w:i/>
          <w:szCs w:val="24"/>
        </w:rPr>
        <w:t>75 мг/м</w:t>
      </w:r>
      <w:r w:rsidRPr="006A377C">
        <w:rPr>
          <w:i/>
          <w:szCs w:val="24"/>
          <w:vertAlign w:val="superscript"/>
        </w:rPr>
        <w:t>2</w:t>
      </w:r>
      <w:r w:rsidRPr="006A377C">
        <w:rPr>
          <w:i/>
          <w:szCs w:val="24"/>
        </w:rPr>
        <w:t xml:space="preserve"> подкожно 1 раз в сутки в 1</w:t>
      </w:r>
      <w:r w:rsidRPr="006A377C">
        <w:rPr>
          <w:noProof/>
          <w:szCs w:val="24"/>
        </w:rPr>
        <w:t>–</w:t>
      </w:r>
      <w:r w:rsidRPr="006A377C">
        <w:rPr>
          <w:i/>
          <w:szCs w:val="24"/>
        </w:rPr>
        <w:t>5 дни каждые 28 дней или</w:t>
      </w:r>
    </w:p>
    <w:p w14:paraId="6FFCAB30" w14:textId="77777777" w:rsidR="00F20CFD" w:rsidRPr="006A377C" w:rsidRDefault="00F20CFD" w:rsidP="005F2F2B">
      <w:pPr>
        <w:pStyle w:val="aff"/>
        <w:numPr>
          <w:ilvl w:val="0"/>
          <w:numId w:val="16"/>
        </w:numPr>
        <w:ind w:left="709" w:hanging="425"/>
        <w:rPr>
          <w:i/>
          <w:szCs w:val="24"/>
        </w:rPr>
      </w:pPr>
      <w:r w:rsidRPr="006A377C">
        <w:rPr>
          <w:i/>
          <w:szCs w:val="24"/>
        </w:rPr>
        <w:t>75 мг/м</w:t>
      </w:r>
      <w:r w:rsidRPr="006A377C">
        <w:rPr>
          <w:i/>
          <w:szCs w:val="24"/>
          <w:vertAlign w:val="superscript"/>
        </w:rPr>
        <w:t>2</w:t>
      </w:r>
      <w:r w:rsidRPr="006A377C">
        <w:rPr>
          <w:i/>
          <w:szCs w:val="24"/>
        </w:rPr>
        <w:t xml:space="preserve"> внутривенно 1 раз в сутки в 1–5 дни каждые 28 дней.</w:t>
      </w:r>
    </w:p>
    <w:p w14:paraId="4B404480" w14:textId="77777777" w:rsidR="00F20CFD" w:rsidRPr="006A377C" w:rsidRDefault="00F20CFD" w:rsidP="005017D1">
      <w:pPr>
        <w:pStyle w:val="aff"/>
        <w:ind w:left="709" w:hanging="1"/>
        <w:rPr>
          <w:i/>
          <w:szCs w:val="24"/>
        </w:rPr>
      </w:pPr>
      <w:r w:rsidRPr="006A377C">
        <w:rPr>
          <w:i/>
          <w:szCs w:val="24"/>
        </w:rPr>
        <w:t>Наиболее предпочтительным является 7-дневный курс терапии азацитидином**.</w:t>
      </w:r>
    </w:p>
    <w:p w14:paraId="7B90CA46" w14:textId="77777777" w:rsidR="00F20CFD" w:rsidRPr="006A377C" w:rsidRDefault="00F20CFD" w:rsidP="005017D1">
      <w:pPr>
        <w:ind w:left="709" w:hanging="1"/>
        <w:rPr>
          <w:i/>
          <w:szCs w:val="24"/>
        </w:rPr>
      </w:pPr>
      <w:r w:rsidRPr="006A377C">
        <w:rPr>
          <w:i/>
          <w:szCs w:val="24"/>
        </w:rPr>
        <w:t xml:space="preserve">При отсутствии прогрессии заболевания </w:t>
      </w:r>
      <w:r w:rsidR="0047435B">
        <w:rPr>
          <w:i/>
          <w:szCs w:val="24"/>
        </w:rPr>
        <w:t xml:space="preserve">эффективность терапии </w:t>
      </w:r>
      <w:r w:rsidRPr="006A377C">
        <w:rPr>
          <w:i/>
          <w:szCs w:val="24"/>
        </w:rPr>
        <w:t>необходимо</w:t>
      </w:r>
      <w:r w:rsidR="0047435B">
        <w:rPr>
          <w:i/>
          <w:szCs w:val="24"/>
        </w:rPr>
        <w:t xml:space="preserve"> </w:t>
      </w:r>
      <w:r w:rsidRPr="006A377C">
        <w:rPr>
          <w:i/>
          <w:szCs w:val="24"/>
        </w:rPr>
        <w:t>оценивать после 4–6 курса</w:t>
      </w:r>
      <w:r w:rsidR="00BF1879">
        <w:rPr>
          <w:i/>
          <w:szCs w:val="24"/>
        </w:rPr>
        <w:t xml:space="preserve"> (</w:t>
      </w:r>
      <w:r w:rsidR="0047435B">
        <w:rPr>
          <w:i/>
          <w:szCs w:val="24"/>
        </w:rPr>
        <w:t>количество рекомендуемых курсов</w:t>
      </w:r>
      <w:r w:rsidR="002713DD">
        <w:rPr>
          <w:i/>
          <w:szCs w:val="24"/>
        </w:rPr>
        <w:t xml:space="preserve"> – </w:t>
      </w:r>
      <w:r w:rsidR="00DC1112">
        <w:rPr>
          <w:i/>
          <w:szCs w:val="24"/>
        </w:rPr>
        <w:t>минимум 6)</w:t>
      </w:r>
      <w:r w:rsidRPr="006A377C">
        <w:rPr>
          <w:i/>
          <w:szCs w:val="24"/>
        </w:rPr>
        <w:t xml:space="preserve">. При положительном ответе (полная, частичная или костномозговая ремиссия, гематологическое улучшение) терапию следует продолжить до момента развития выраженной гипоплазии кроветворения или прогрессии заболевания, при отсутствии эффекта или прогрессии показана смена тактики терапии. </w:t>
      </w:r>
    </w:p>
    <w:p w14:paraId="7CACCF38" w14:textId="77777777" w:rsidR="00F20CFD" w:rsidRPr="006A377C" w:rsidRDefault="00F20CFD" w:rsidP="005017D1">
      <w:pPr>
        <w:ind w:left="709" w:hanging="1"/>
        <w:rPr>
          <w:i/>
          <w:szCs w:val="24"/>
        </w:rPr>
      </w:pPr>
      <w:r w:rsidRPr="006A377C">
        <w:rPr>
          <w:i/>
          <w:szCs w:val="24"/>
        </w:rPr>
        <w:t>Децитабин можно использовать в 2 режимах введения:</w:t>
      </w:r>
    </w:p>
    <w:p w14:paraId="0C9697D9" w14:textId="77777777" w:rsidR="00F20CFD" w:rsidRPr="006A377C" w:rsidRDefault="00F20CFD" w:rsidP="005F2F2B">
      <w:pPr>
        <w:pStyle w:val="aff"/>
        <w:numPr>
          <w:ilvl w:val="0"/>
          <w:numId w:val="28"/>
        </w:numPr>
        <w:ind w:left="709" w:hanging="425"/>
        <w:rPr>
          <w:i/>
          <w:szCs w:val="24"/>
        </w:rPr>
      </w:pPr>
      <w:r w:rsidRPr="006A377C">
        <w:rPr>
          <w:i/>
          <w:szCs w:val="24"/>
        </w:rPr>
        <w:t>20 мг/м</w:t>
      </w:r>
      <w:r w:rsidRPr="006A377C">
        <w:rPr>
          <w:i/>
          <w:szCs w:val="24"/>
          <w:vertAlign w:val="superscript"/>
        </w:rPr>
        <w:t>2</w:t>
      </w:r>
      <w:r w:rsidRPr="006A377C">
        <w:rPr>
          <w:i/>
          <w:szCs w:val="24"/>
        </w:rPr>
        <w:t xml:space="preserve"> в виде 60-минутной инфузии 1 раз в день в 1–5 дни каждые 28–35 дней или</w:t>
      </w:r>
    </w:p>
    <w:p w14:paraId="084C2718" w14:textId="77777777" w:rsidR="00F20CFD" w:rsidRPr="006A377C" w:rsidRDefault="00F20CFD" w:rsidP="005017D1">
      <w:pPr>
        <w:pStyle w:val="aff"/>
        <w:numPr>
          <w:ilvl w:val="0"/>
          <w:numId w:val="4"/>
        </w:numPr>
        <w:ind w:left="709" w:hanging="425"/>
        <w:rPr>
          <w:i/>
          <w:szCs w:val="24"/>
        </w:rPr>
      </w:pPr>
      <w:r w:rsidRPr="006A377C">
        <w:rPr>
          <w:i/>
          <w:szCs w:val="24"/>
        </w:rPr>
        <w:t>15 мг/м</w:t>
      </w:r>
      <w:r w:rsidRPr="006A377C">
        <w:rPr>
          <w:i/>
          <w:szCs w:val="24"/>
          <w:vertAlign w:val="superscript"/>
        </w:rPr>
        <w:t>2</w:t>
      </w:r>
      <w:r w:rsidRPr="006A377C">
        <w:rPr>
          <w:i/>
          <w:szCs w:val="24"/>
        </w:rPr>
        <w:t xml:space="preserve"> 3 раза в день в виде 3 часов внутривенной инфузии в 1–3 дни, каждые 6 недель.</w:t>
      </w:r>
    </w:p>
    <w:p w14:paraId="6C846D3A" w14:textId="77777777" w:rsidR="00F20CFD" w:rsidRPr="006A377C" w:rsidRDefault="00F20CFD" w:rsidP="005017D1">
      <w:pPr>
        <w:ind w:left="709" w:hanging="1"/>
        <w:rPr>
          <w:i/>
          <w:szCs w:val="24"/>
        </w:rPr>
      </w:pPr>
      <w:r w:rsidRPr="006A377C">
        <w:rPr>
          <w:i/>
          <w:szCs w:val="24"/>
        </w:rPr>
        <w:t>При отсутствии прогрессии заболевания эффективность терапии следует оценивать после 4 курсов</w:t>
      </w:r>
      <w:r w:rsidR="0047435B">
        <w:rPr>
          <w:i/>
          <w:szCs w:val="24"/>
        </w:rPr>
        <w:t xml:space="preserve"> (количество рекомендуемых курсов децитабина</w:t>
      </w:r>
      <w:r w:rsidR="002713DD">
        <w:rPr>
          <w:i/>
          <w:szCs w:val="24"/>
        </w:rPr>
        <w:t xml:space="preserve"> </w:t>
      </w:r>
      <w:r w:rsidR="0047435B">
        <w:rPr>
          <w:i/>
          <w:szCs w:val="24"/>
        </w:rPr>
        <w:t>–</w:t>
      </w:r>
      <w:r w:rsidR="002713DD">
        <w:rPr>
          <w:i/>
          <w:szCs w:val="24"/>
        </w:rPr>
        <w:t xml:space="preserve"> </w:t>
      </w:r>
      <w:r w:rsidR="0047435B">
        <w:rPr>
          <w:i/>
          <w:szCs w:val="24"/>
        </w:rPr>
        <w:t>минимум 4)</w:t>
      </w:r>
      <w:r w:rsidRPr="006A377C">
        <w:rPr>
          <w:i/>
          <w:szCs w:val="24"/>
        </w:rPr>
        <w:t>. При положительном ответе (полная, частичная или костномозговая ремиссия, гематологическое улучшение) терапию следует продолжить до момента развития выраженной гипоплазии кроветворения или прогрессии заболевания.</w:t>
      </w:r>
    </w:p>
    <w:p w14:paraId="2F5F3C0A" w14:textId="77777777" w:rsidR="00F20CFD" w:rsidRPr="006A377C" w:rsidRDefault="00F20CFD" w:rsidP="005017D1">
      <w:pPr>
        <w:ind w:left="709" w:hanging="1"/>
        <w:rPr>
          <w:i/>
          <w:szCs w:val="24"/>
        </w:rPr>
      </w:pPr>
      <w:r w:rsidRPr="006A377C">
        <w:rPr>
          <w:i/>
          <w:szCs w:val="24"/>
        </w:rPr>
        <w:t xml:space="preserve">Вопрос о сроках окончания длительной терапии гипометилирующими препаратами без выполнения алло-ТГСК окончательно не решен и находится на стадии обсуждения в международном гематологическом сообществе. </w:t>
      </w:r>
    </w:p>
    <w:p w14:paraId="738F09BF" w14:textId="77777777" w:rsidR="00F20CFD" w:rsidRPr="006A377C" w:rsidRDefault="00F20CFD" w:rsidP="005017D1">
      <w:pPr>
        <w:pStyle w:val="aff"/>
        <w:numPr>
          <w:ilvl w:val="0"/>
          <w:numId w:val="4"/>
        </w:numPr>
        <w:ind w:left="709" w:hanging="425"/>
        <w:rPr>
          <w:i/>
          <w:szCs w:val="24"/>
        </w:rPr>
      </w:pPr>
      <w:r w:rsidRPr="006A377C">
        <w:rPr>
          <w:szCs w:val="24"/>
        </w:rPr>
        <w:t>Пациентам с МДС из группы промежуточного</w:t>
      </w:r>
      <w:r w:rsidRPr="006A377C">
        <w:rPr>
          <w:noProof/>
          <w:szCs w:val="24"/>
        </w:rPr>
        <w:t>-</w:t>
      </w:r>
      <w:r w:rsidRPr="006A377C">
        <w:rPr>
          <w:szCs w:val="24"/>
        </w:rPr>
        <w:t xml:space="preserve">2 и высокого риска по шкале </w:t>
      </w:r>
      <w:r w:rsidRPr="006A377C">
        <w:rPr>
          <w:szCs w:val="24"/>
          <w:lang w:val="en-US"/>
        </w:rPr>
        <w:t>IPSS</w:t>
      </w:r>
      <w:r w:rsidRPr="006A377C">
        <w:rPr>
          <w:szCs w:val="24"/>
        </w:rPr>
        <w:t xml:space="preserve"> и из группы промежуточного, высокого и очень высокого риска по шкале </w:t>
      </w:r>
      <w:r w:rsidRPr="006A377C">
        <w:rPr>
          <w:szCs w:val="24"/>
          <w:lang w:val="en-US"/>
        </w:rPr>
        <w:t>IPSS</w:t>
      </w:r>
      <w:r w:rsidRPr="006A377C">
        <w:rPr>
          <w:szCs w:val="24"/>
        </w:rPr>
        <w:t>-</w:t>
      </w:r>
      <w:r w:rsidRPr="006A377C">
        <w:rPr>
          <w:szCs w:val="24"/>
          <w:lang w:val="en-US"/>
        </w:rPr>
        <w:t>R</w:t>
      </w:r>
      <w:r w:rsidRPr="006A377C">
        <w:rPr>
          <w:szCs w:val="24"/>
        </w:rPr>
        <w:t xml:space="preserve"> в качестве индукционной терапии при неэффективности низкодозной или стандартной ХТ при прогрессии МДС </w:t>
      </w:r>
      <w:r w:rsidRPr="006A377C">
        <w:rPr>
          <w:b/>
          <w:szCs w:val="24"/>
        </w:rPr>
        <w:t xml:space="preserve">рекомендуется </w:t>
      </w:r>
      <w:r w:rsidRPr="006A377C">
        <w:rPr>
          <w:szCs w:val="24"/>
        </w:rPr>
        <w:t xml:space="preserve">проведение курса малых доз #цитарабина** и #идарубицина** с гипометилирующим праймингом децитабина или азацитидина** с целью достижения положительного ответа, в том числе и полной клинико-гематологической ремиссии </w:t>
      </w:r>
      <w:r w:rsidRPr="006A377C">
        <w:rPr>
          <w:szCs w:val="24"/>
        </w:rPr>
        <w:fldChar w:fldCharType="begin" w:fldLock="1"/>
      </w:r>
      <w:r w:rsidR="00AE1E12">
        <w:rPr>
          <w:szCs w:val="24"/>
        </w:rPr>
        <w:instrText>ADDIN CSL_CITATION {"citationItems":[{"id":"ITEM-1","itemData":{"DOI":"10.1007/s00432-016-2331-0","ISSN":"14321335","abstract":"© 2017, The Author(s). Purpose: The aim of this study was to examine whether decitabine priming prior to low-dose chemotherapeutic regimens could improve outcomes in patients with myelodysplastic syndromes—refractory anemia with excess of blasts (MDS-RAEB). Methods: The current retrospective analysis included all MDS-RAEB patients receiving idarubicin/cytarabine (IA) or aclacinomycin/cytarabine (AA), with or without decitabine priming during a period from February 2010 to May 2015. Treatment response and toxicity were compared between patients receiving decitabine priming and those who did not. A panel of 6 MDS-related genes was examined using bone marrow specimens. Results: A total of 81 patients were included in the analysis: 40 received decitabine priming prior to chemotherapy (decitabine priming group). The median follow-up was 10.9 months (IQR: 6.2–21.9). The rate of overall response (OR) and complete remission (CR) was significantly higher in the decitabine priming group than in the chemotherapy group (OR: 75.0 vs. 51.2%, p = 0.027; CR: 55.0 vs. 29.3%, p = 0.019). Overall survival (OS) did not differ significantly between the two groups (19.5 vs. 14.7 months, p = 0.082). In a subgroup analysis that included only patients at &lt; 60 years of age, the CR rate in the decitabine priming group was significantly higher than in the chemotherapy group (65.5 vs. 31.0%, p = 0.009). Survival benefit of decitabine priming was apparent in patients at &lt; 60 years of age (22.4 months with 95% CI of 6.7–38.1 vs. 14.7 months with 95% CI of 11.4–18.0 months in the chemotherapy group, p = 0.028), patients with intermediate and unfavorable karyotypes (22.4 months with 95% CI of 15.1–29.7 vs. 11.9 months with 95% CI of 4.0–19.8 months in the chemotherapy group, p = 0.042), and patients with mutated splicing factor genes (35.3 months with 95% CI of 21.4–49.2 vs. 17.8 months with 95% CI of 13.8–21.8 months in the chemotherapy group, p = 0.039). Grade 3–4 hematological and non-hematological toxicities were not significantly different between the two groups. Conclusions: Decitabine priming prior to low-dose chemotherapy could improve treatment responses in patients with MDS-RAEB.","author":[{"dropping-particle":"","family":"Ye","given":"Li","non-dropping-particle":"","parse-names":false,"suffix":""},{"dropping-particle":"","family":"Ren","given":"Yanling","non-dropping-particle":"","parse-names":false,"suffix":""},{"dropping-particle":"","family":"Zhou","given":"Xinping","non-dropping-particle":"","parse-names":false,"suffix":""},{"dropping-particle":"","family":"Mei","given":"Chen","non-dropping-particle":"","parse-names":false,"suffix":""},{"dropping-particle":"","family":"Ma","given":"Liya","non-dropping-particle":"","parse-names":false,"suffix":""},{"dropping-particle":"","family":"Ye","given":"Xingnong","non-dropping-particle":"","parse-names":false,"suffix":""},{"dropping-particle":"","family":"Wei","given":"Juying","non-dropping-particle":"","parse-names":false,"suffix":""},{"dropping-particle":"","family":"Xu","given":"Weilai","non-dropping-particle":"","parse-names":false,"suffix":""},{"dropping-particle":"","family":"Meng","given":"Haitao","non-dropping-particle":"","parse-names":false,"suffix":""},{"dropping-particle":"","family":"Qian","given":"Wenbin","non-dropping-particle":"","parse-names":false,"suffix":""},{"dropping-particle":"","family":"Mai","given":"Wenyuan","non-dropping-particle":"","parse-names":false,"suffix":""},{"dropping-particle":"","family":"Lou","given":"Yinjun","non-dropping-particle":"","parse-names":false,"suffix":""},{"dropping-particle":"","family":"Xu","given":"Gaixiang","non-dropping-particle":"","parse-names":false,"suffix":""},{"dropping-particle":"","family":"Qian","given":"Jiejing","non-dropping-particle":"","parse-names":false,"suffix":""},{"dropping-particle":"","family":"Lou","given":"Yejiang","non-dropping-particle":"","parse-names":false,"suffix":""},{"dropping-particle":"","family":"Luo","given":"Yingwan","non-dropping-particle":"","parse-names":false,"suffix":""},{"dropping-particle":"","family":"Xie","given":"Lili","non-dropping-particle":"","parse-names":false,"suffix":""},{"dropping-particle":"","family":"Lin","given":"Peipei","non-dropping-particle":"","parse-names":false,"suffix":""},{"dropping-particle":"","family":"Hu","given":"Chao","non-dropping-particle":"","parse-names":false,"suffix":""},{"dropping-particle":"","family":"Jin","given":"Jie","non-dropping-particle":"","parse-names":false,"suffix":""},{"dropping-particle":"","family":"Tong","given":"Hongyan","non-dropping-particle":"","parse-names":false,"suffix":""}],"container-title":"Journal of Cancer Research and Clinical Oncology","id":"ITEM-1","issue":"5","issued":{"date-parts":[["2017","5","1"]]},"page":"873-882","publisher":"Springer Verlag","title":"Decitabine priming prior to low-dose chemotherapy improves patient outcomes in myelodysplastic syndromes-RAEB: a retrospective analysis vs. chemotherapy alone","type":"article-journal","volume":"143"},"uris":["http://www.mendeley.com/documents/?uuid=cce5735a-8cdf-3cae-b44e-85c3411a7a72"]},{"id":"ITEM-2","itemData":{"DOI":"10.3109/10428194.2015.1091931","ISSN":"1029-2403","PMID":"26372888","abstract":"Decitabine (DAC) is commonly used for the treatment of myelodysplastic syndrome (MDS) and acute myeloid leukemia (AML). Previous studies have indicated DAC sequentially combined with idarubicin was an effective treatment for myeloid neoplasms. Therefore, a clinical study was conducted of the sequential combination of DAC followed by low-dose idarubicin/cytarabine in high-risk myeloid neoplasms. A total of 30 patients with a diagnosis of high-risk MDS, AML evolving from MDS or relapsed/refractory AML were enrolled in the study. DAC was administered 20 mg/m(2) daily for 3 consecutive days. Idarubicin (3 mg/m(2)/day) was administered 24 h after the last administration of DAC for 5-7 consecutive days, combined with cytarabine (30 mg/m(2)/day) for 7-14 days. The overall complete remission rate was 66.67%. The results demonstrate that epigenetic priming with decitabine followed by low-dose idarubicin/ytarabine has an increased anti-leukemia effect compared to traditional chemotherapy in high-risk myeloid neoplasms.","author":[{"dropping-particle":"","family":"Ye","given":"Xing-Nong","non-dropping-particle":"","parse-names":false,"suffix":""},{"dropping-particle":"","family":"Zhou","given":"Xin-Ping","non-dropping-particle":"","parse-names":false,"suffix":""},{"dropping-particle":"","family":"Wei","given":"Ju-Ying","non-dropping-particle":"","parse-names":false,"suffix":""},{"dropping-particle":"","family":"Xu","given":"Gai-Xiang","non-dropping-particle":"","parse-names":false,"suffix":""},{"dropping-particle":"","family":"Li","given":"Ying","non-dropping-particle":"","parse-names":false,"suffix":""},{"dropping-particle":"","family":"Mao","given":"Li-Ping","non-dropping-particle":"","parse-names":false,"suffix":""},{"dropping-particle":"","family":"Huang","given":"Jian","non-dropping-particle":"","parse-names":false,"suffix":""},{"dropping-particle":"","family":"Ren","given":"Yan-Ling","non-dropping-particle":"","parse-names":false,"suffix":""},{"dropping-particle":"","family":"Mei","given":"Chen","non-dropping-particle":"","parse-names":false,"suffix":""},{"dropping-particle":"","family":"Wang","given":"Jing-Han","non-dropping-particle":"","parse-names":false,"suffix":""},{"dropping-particle":"","family":"Lou","given":"Yin-Jun","non-dropping-particle":"","parse-names":false,"suffix":""},{"dropping-particle":"","family":"Ma","given":"Li-Ya","non-dropping-particle":"","parse-names":false,"suffix":""},{"dropping-particle":"","family":"Yu","given":"Wen-Juan","non-dropping-particle":"","parse-names":false,"suffix":""},{"dropping-particle":"","family":"Ye","given":"Li","non-dropping-particle":"","parse-names":false,"suffix":""},{"dropping-particle":"","family":"Xie","given":"Li-Li","non-dropping-particle":"","parse-names":false,"suffix":""},{"dropping-particle":"","family":"Luo","given":"Yin-Wan","non-dropping-particle":"","parse-names":false,"suffix":""},{"dropping-particle":"","family":"Hu","given":"Chao","non-dropping-particle":"","parse-names":false,"suffix":""},{"dropping-particle":"","family":"Niu","given":"Lin-Mei","non-dropping-particle":"","parse-names":false,"suffix":""},{"dropping-particle":"","family":"Dou","given":"Min-Hua","non-dropping-particle":"","parse-names":false,"suffix":""},{"dropping-particle":"","family":"Jin","given":"Jie","non-dropping-particle":"","parse-names":false,"suffix":""},{"dropping-particle":"","family":"Tong","given":"Hong-Yan","non-dropping-particle":"","parse-names":false,"suffix":""}],"container-title":"Leukemia &amp; lymphoma","id":"ITEM-2","issue":"6","issued":{"date-parts":[["2016"]]},"page":"1311-8","title":"Epigenetic priming with decitabine followed by low-dose idarubicin/cytarabine has an increased anti-leukemic effect compared to traditional chemotherapy in high-risk myeloid neoplasms.","type":"article-journal","volume":"57"},"uris":["http://www.mendeley.com/documents/?uuid=154bf823-9168-33f1-827b-0f3a52774128"]}],"mendeley":{"formattedCitation":"[97,98]","plainTextFormattedCitation":"[97,98]","previouslyFormattedCitation":"[97,98]"},"properties":{"noteIndex":0},"schema":"https://github.com/citation-style-language/schema/raw/master/csl-citation.json"}</w:instrText>
      </w:r>
      <w:r w:rsidRPr="006A377C">
        <w:rPr>
          <w:szCs w:val="24"/>
        </w:rPr>
        <w:fldChar w:fldCharType="separate"/>
      </w:r>
      <w:r w:rsidR="00AE1E12" w:rsidRPr="00AE1E12">
        <w:rPr>
          <w:noProof/>
          <w:szCs w:val="24"/>
        </w:rPr>
        <w:t>[97,98]</w:t>
      </w:r>
      <w:r w:rsidRPr="006A377C">
        <w:rPr>
          <w:szCs w:val="24"/>
        </w:rPr>
        <w:fldChar w:fldCharType="end"/>
      </w:r>
      <w:r w:rsidRPr="006A377C">
        <w:rPr>
          <w:szCs w:val="24"/>
        </w:rPr>
        <w:t>.</w:t>
      </w:r>
    </w:p>
    <w:p w14:paraId="5175D47B" w14:textId="77777777" w:rsidR="00F20CFD" w:rsidRPr="006A377C" w:rsidRDefault="00F20CFD" w:rsidP="005017D1">
      <w:pPr>
        <w:ind w:left="709" w:hanging="1"/>
        <w:rPr>
          <w:b/>
          <w:szCs w:val="24"/>
        </w:rPr>
      </w:pPr>
      <w:r w:rsidRPr="006A377C">
        <w:rPr>
          <w:b/>
          <w:szCs w:val="24"/>
        </w:rPr>
        <w:t xml:space="preserve">Уровень убедительности рекомендаций </w:t>
      </w:r>
      <w:r w:rsidR="00E517C7">
        <w:rPr>
          <w:b/>
          <w:szCs w:val="24"/>
        </w:rPr>
        <w:t>С</w:t>
      </w:r>
      <w:r w:rsidR="00E517C7" w:rsidRPr="006A377C">
        <w:rPr>
          <w:b/>
          <w:szCs w:val="24"/>
        </w:rPr>
        <w:t xml:space="preserve"> </w:t>
      </w:r>
      <w:r w:rsidRPr="006A377C">
        <w:rPr>
          <w:b/>
          <w:szCs w:val="24"/>
        </w:rPr>
        <w:t xml:space="preserve">(уровень достоверности доказательств – </w:t>
      </w:r>
      <w:r w:rsidR="004C69FE">
        <w:rPr>
          <w:b/>
          <w:szCs w:val="24"/>
        </w:rPr>
        <w:t>4</w:t>
      </w:r>
      <w:r w:rsidRPr="006A377C">
        <w:rPr>
          <w:b/>
          <w:szCs w:val="24"/>
        </w:rPr>
        <w:t>)</w:t>
      </w:r>
    </w:p>
    <w:p w14:paraId="30654255" w14:textId="77777777" w:rsidR="00F20CFD" w:rsidRPr="006A377C" w:rsidRDefault="00F20CFD" w:rsidP="005017D1">
      <w:pPr>
        <w:ind w:left="709" w:hanging="1"/>
        <w:rPr>
          <w:bCs/>
          <w:i/>
          <w:szCs w:val="24"/>
        </w:rPr>
      </w:pPr>
      <w:r w:rsidRPr="006A377C">
        <w:rPr>
          <w:b/>
          <w:szCs w:val="24"/>
        </w:rPr>
        <w:lastRenderedPageBreak/>
        <w:t xml:space="preserve">Комментарии: </w:t>
      </w:r>
      <w:r w:rsidRPr="006A377C">
        <w:rPr>
          <w:i/>
          <w:szCs w:val="24"/>
        </w:rPr>
        <w:t xml:space="preserve">проведение ПХТ по программам лечения ОЛ у пациентов с МДС сопровождается умеренной эффективностью, длительными миелотоксическими агранулоцитозами, высокой ранней летальностью (~20%) и небольшой продолжительностью ремиссии. Гипометилирующий прайминг перед курсом малых доз #цитарабина** и #идарубицина** </w:t>
      </w:r>
      <w:r w:rsidRPr="006A377C">
        <w:rPr>
          <w:bCs/>
          <w:i/>
          <w:szCs w:val="24"/>
        </w:rPr>
        <w:t xml:space="preserve">увеличивает апоптоз в опухолевых клетках и приводит к увеличению цитотоксического эффекта на лейкемические клетки. Вероятность достижения ПР у пациентов с МДС из группы неблагоприятного риска составляет 40–60%, при невысокой ранней летальности. </w:t>
      </w:r>
    </w:p>
    <w:p w14:paraId="37AE93F1" w14:textId="77777777" w:rsidR="00F20CFD" w:rsidRPr="006A377C" w:rsidRDefault="00F20CFD" w:rsidP="005017D1">
      <w:pPr>
        <w:ind w:left="709" w:hanging="1"/>
        <w:rPr>
          <w:bCs/>
          <w:i/>
          <w:szCs w:val="24"/>
        </w:rPr>
      </w:pPr>
      <w:r w:rsidRPr="006A377C">
        <w:rPr>
          <w:bCs/>
          <w:i/>
          <w:szCs w:val="24"/>
        </w:rPr>
        <w:t xml:space="preserve">В ФГБУ «НМИЦ гематологии» МЗ РФ разработан и внедрен в клиническую практику курс </w:t>
      </w:r>
      <w:r w:rsidRPr="006A377C">
        <w:rPr>
          <w:bCs/>
          <w:i/>
          <w:szCs w:val="24"/>
          <w:lang w:val="en-US"/>
        </w:rPr>
        <w:t>Aza</w:t>
      </w:r>
      <w:r w:rsidRPr="006A377C">
        <w:rPr>
          <w:bCs/>
          <w:i/>
          <w:szCs w:val="24"/>
        </w:rPr>
        <w:t>/</w:t>
      </w:r>
      <w:r w:rsidRPr="006A377C">
        <w:rPr>
          <w:bCs/>
          <w:i/>
          <w:szCs w:val="24"/>
          <w:lang w:val="en-US"/>
        </w:rPr>
        <w:t>Dac</w:t>
      </w:r>
      <w:r w:rsidRPr="006A377C">
        <w:rPr>
          <w:bCs/>
          <w:i/>
          <w:szCs w:val="24"/>
        </w:rPr>
        <w:t>-</w:t>
      </w:r>
      <w:r w:rsidRPr="006A377C">
        <w:rPr>
          <w:bCs/>
          <w:i/>
          <w:szCs w:val="24"/>
          <w:lang w:val="en-US"/>
        </w:rPr>
        <w:t>Ida</w:t>
      </w:r>
      <w:r w:rsidRPr="006A377C">
        <w:rPr>
          <w:bCs/>
          <w:i/>
          <w:szCs w:val="24"/>
        </w:rPr>
        <w:t>-</w:t>
      </w:r>
      <w:r w:rsidRPr="006A377C">
        <w:rPr>
          <w:bCs/>
          <w:i/>
          <w:szCs w:val="24"/>
          <w:lang w:val="en-US"/>
        </w:rPr>
        <w:t>Ara</w:t>
      </w:r>
      <w:r w:rsidRPr="006A377C">
        <w:rPr>
          <w:bCs/>
          <w:i/>
          <w:szCs w:val="24"/>
        </w:rPr>
        <w:t>-</w:t>
      </w:r>
      <w:r w:rsidRPr="006A377C">
        <w:rPr>
          <w:bCs/>
          <w:i/>
          <w:szCs w:val="24"/>
          <w:lang w:val="en-US"/>
        </w:rPr>
        <w:t>C</w:t>
      </w:r>
      <w:r w:rsidRPr="006A377C">
        <w:rPr>
          <w:bCs/>
          <w:i/>
          <w:szCs w:val="24"/>
        </w:rPr>
        <w:t>: азацитидин** 75 мг/м</w:t>
      </w:r>
      <w:r w:rsidRPr="006A377C">
        <w:rPr>
          <w:bCs/>
          <w:i/>
          <w:szCs w:val="24"/>
          <w:vertAlign w:val="superscript"/>
        </w:rPr>
        <w:t>2</w:t>
      </w:r>
      <w:r w:rsidRPr="006A377C">
        <w:rPr>
          <w:bCs/>
          <w:i/>
          <w:szCs w:val="24"/>
        </w:rPr>
        <w:t xml:space="preserve"> подкожно 1 раз в день или децитабин 20 мг/м</w:t>
      </w:r>
      <w:r w:rsidRPr="006A377C">
        <w:rPr>
          <w:bCs/>
          <w:i/>
          <w:szCs w:val="24"/>
          <w:vertAlign w:val="superscript"/>
        </w:rPr>
        <w:t>2</w:t>
      </w:r>
      <w:r w:rsidRPr="006A377C">
        <w:rPr>
          <w:bCs/>
          <w:i/>
          <w:szCs w:val="24"/>
        </w:rPr>
        <w:t xml:space="preserve"> внутривенно 1 раз в день 1</w:t>
      </w:r>
      <w:r w:rsidRPr="006A377C">
        <w:rPr>
          <w:noProof/>
          <w:szCs w:val="24"/>
        </w:rPr>
        <w:t>–</w:t>
      </w:r>
      <w:r w:rsidRPr="006A377C">
        <w:rPr>
          <w:bCs/>
          <w:i/>
          <w:szCs w:val="24"/>
        </w:rPr>
        <w:t>3 дни, #цитарабин** 10 мг/м</w:t>
      </w:r>
      <w:r w:rsidRPr="006A377C">
        <w:rPr>
          <w:bCs/>
          <w:i/>
          <w:szCs w:val="24"/>
          <w:vertAlign w:val="superscript"/>
        </w:rPr>
        <w:t>2</w:t>
      </w:r>
      <w:r w:rsidRPr="006A377C">
        <w:rPr>
          <w:bCs/>
          <w:i/>
          <w:szCs w:val="24"/>
        </w:rPr>
        <w:t xml:space="preserve"> 2 раза в день подкожно</w:t>
      </w:r>
      <w:r w:rsidRPr="006A377C">
        <w:rPr>
          <w:i/>
          <w:szCs w:val="24"/>
        </w:rPr>
        <w:t xml:space="preserve"> </w:t>
      </w:r>
      <w:r w:rsidRPr="006A377C">
        <w:rPr>
          <w:bCs/>
          <w:i/>
          <w:szCs w:val="24"/>
        </w:rPr>
        <w:t>4</w:t>
      </w:r>
      <w:r w:rsidRPr="006A377C">
        <w:rPr>
          <w:i/>
          <w:szCs w:val="24"/>
        </w:rPr>
        <w:t>–</w:t>
      </w:r>
      <w:r w:rsidRPr="006A377C">
        <w:rPr>
          <w:bCs/>
          <w:i/>
          <w:szCs w:val="24"/>
        </w:rPr>
        <w:t>17 дни, #идарубицин** 3 мг/м</w:t>
      </w:r>
      <w:r w:rsidRPr="006A377C">
        <w:rPr>
          <w:bCs/>
          <w:i/>
          <w:szCs w:val="24"/>
          <w:vertAlign w:val="superscript"/>
        </w:rPr>
        <w:t>2</w:t>
      </w:r>
      <w:r w:rsidRPr="006A377C">
        <w:rPr>
          <w:bCs/>
          <w:i/>
          <w:szCs w:val="24"/>
        </w:rPr>
        <w:t xml:space="preserve"> внутривенно 1 раз в день 4</w:t>
      </w:r>
      <w:r w:rsidRPr="006A377C">
        <w:rPr>
          <w:i/>
          <w:szCs w:val="24"/>
        </w:rPr>
        <w:t>–</w:t>
      </w:r>
      <w:r w:rsidRPr="006A377C">
        <w:rPr>
          <w:bCs/>
          <w:i/>
          <w:szCs w:val="24"/>
        </w:rPr>
        <w:t>10 дни. При развитии аплазии кроветворения, тяжелых инфекционных или геморрагических осложнений возможно укорочение курса до 10 дней общей продолжительности (#цитарабин** вводится в течение 7 дней в</w:t>
      </w:r>
      <w:r w:rsidRPr="006A377C">
        <w:rPr>
          <w:i/>
          <w:szCs w:val="24"/>
        </w:rPr>
        <w:t xml:space="preserve"> </w:t>
      </w:r>
      <w:r w:rsidRPr="006A377C">
        <w:rPr>
          <w:bCs/>
          <w:i/>
          <w:szCs w:val="24"/>
        </w:rPr>
        <w:t>4</w:t>
      </w:r>
      <w:r w:rsidRPr="006A377C">
        <w:rPr>
          <w:i/>
          <w:szCs w:val="24"/>
        </w:rPr>
        <w:t>–</w:t>
      </w:r>
      <w:r w:rsidRPr="006A377C">
        <w:rPr>
          <w:bCs/>
          <w:i/>
          <w:szCs w:val="24"/>
        </w:rPr>
        <w:t xml:space="preserve">10 дни, #идарубицин** в течение 5 дней </w:t>
      </w:r>
      <w:r w:rsidRPr="006A377C">
        <w:rPr>
          <w:i/>
          <w:szCs w:val="24"/>
        </w:rPr>
        <w:t xml:space="preserve">– </w:t>
      </w:r>
      <w:r w:rsidRPr="006A377C">
        <w:rPr>
          <w:bCs/>
          <w:i/>
          <w:szCs w:val="24"/>
        </w:rPr>
        <w:t>3</w:t>
      </w:r>
      <w:r w:rsidRPr="006A377C">
        <w:rPr>
          <w:i/>
          <w:szCs w:val="24"/>
        </w:rPr>
        <w:t>–</w:t>
      </w:r>
      <w:r w:rsidRPr="006A377C">
        <w:rPr>
          <w:bCs/>
          <w:i/>
          <w:szCs w:val="24"/>
        </w:rPr>
        <w:t>8 дни)</w:t>
      </w:r>
      <w:r w:rsidR="00B118A2">
        <w:rPr>
          <w:bCs/>
          <w:i/>
          <w:szCs w:val="24"/>
        </w:rPr>
        <w:t xml:space="preserve"> </w:t>
      </w:r>
      <w:r w:rsidR="00B118A2">
        <w:rPr>
          <w:bCs/>
          <w:i/>
          <w:szCs w:val="24"/>
        </w:rPr>
        <w:fldChar w:fldCharType="begin" w:fldLock="1"/>
      </w:r>
      <w:r w:rsidR="00AE1E12">
        <w:rPr>
          <w:bCs/>
          <w:i/>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Савченко","given":"В.Г.","non-dropping-particle":"","parse-names":false,"suffix":""}],"container-title":"Алгоритмы диагностики и протоколы лечения заболеваний системы крови. НМИЦ Гематологии. Под ред. В.Г. Савченко.","id":"ITEM-1","issued":{"date-parts":[["2018"]]},"page":"829-840","title":"Протокол сочетанного применения гипометилирующих препаратов с низкодозной полихимиотерапией у больных МДС из группы высокого риска, ОМЛ из МДС, МДС/ОМЛ после апластической анемии, МДС/ОМЛ после лучевой и цитостатической терапии по поводу другого заболеван","type":"chapter"},"uris":["http://www.mendeley.com/documents/?uuid=7e0ba0dd-70f0-47ff-8946-5c8be00bd263"]}],"mendeley":{"formattedCitation":"[99]","plainTextFormattedCitation":"[99]","previouslyFormattedCitation":"[99]"},"properties":{"noteIndex":0},"schema":"https://github.com/citation-style-language/schema/raw/master/csl-citation.json"}</w:instrText>
      </w:r>
      <w:r w:rsidR="00B118A2">
        <w:rPr>
          <w:bCs/>
          <w:i/>
          <w:szCs w:val="24"/>
        </w:rPr>
        <w:fldChar w:fldCharType="separate"/>
      </w:r>
      <w:r w:rsidR="00AE1E12" w:rsidRPr="00AE1E12">
        <w:rPr>
          <w:bCs/>
          <w:noProof/>
          <w:szCs w:val="24"/>
        </w:rPr>
        <w:t>[99]</w:t>
      </w:r>
      <w:r w:rsidR="00B118A2">
        <w:rPr>
          <w:bCs/>
          <w:i/>
          <w:szCs w:val="24"/>
        </w:rPr>
        <w:fldChar w:fldCharType="end"/>
      </w:r>
      <w:r w:rsidRPr="006A377C">
        <w:rPr>
          <w:bCs/>
          <w:i/>
          <w:szCs w:val="24"/>
        </w:rPr>
        <w:t>.</w:t>
      </w:r>
    </w:p>
    <w:p w14:paraId="3F6E4EF4" w14:textId="77777777" w:rsidR="00F20CFD" w:rsidRPr="006A377C" w:rsidRDefault="00F20CFD" w:rsidP="005017D1">
      <w:pPr>
        <w:ind w:left="709" w:hanging="1"/>
        <w:rPr>
          <w:bCs/>
          <w:i/>
          <w:szCs w:val="24"/>
        </w:rPr>
      </w:pPr>
      <w:r w:rsidRPr="006A377C">
        <w:rPr>
          <w:bCs/>
          <w:i/>
          <w:szCs w:val="24"/>
        </w:rPr>
        <w:t>Оценка эффекта при отсутствии прогрессии заболевания осуществляется после 2-го курса терапии через 28</w:t>
      </w:r>
      <w:r w:rsidRPr="006A377C">
        <w:rPr>
          <w:noProof/>
          <w:szCs w:val="24"/>
        </w:rPr>
        <w:t>–</w:t>
      </w:r>
      <w:r w:rsidRPr="006A377C">
        <w:rPr>
          <w:bCs/>
          <w:i/>
          <w:szCs w:val="24"/>
        </w:rPr>
        <w:t xml:space="preserve">35 дней после окончания курса. При достижении ПР проводят 2 курса консолидации КМР по той же схеме. Пациентам, у которых есть </w:t>
      </w:r>
      <w:r w:rsidRPr="006A377C">
        <w:rPr>
          <w:bCs/>
          <w:i/>
          <w:szCs w:val="24"/>
          <w:lang w:val="en-US"/>
        </w:rPr>
        <w:t>HLA</w:t>
      </w:r>
      <w:r w:rsidRPr="006A377C">
        <w:rPr>
          <w:bCs/>
          <w:i/>
          <w:szCs w:val="24"/>
        </w:rPr>
        <w:t>-совместимый донор, необходимо как можно раньше выполнять алло-ТГСК.</w:t>
      </w:r>
    </w:p>
    <w:p w14:paraId="05D7CEA5" w14:textId="77777777" w:rsidR="00F20CFD" w:rsidRPr="006A377C" w:rsidRDefault="00F20CFD" w:rsidP="005017D1">
      <w:pPr>
        <w:ind w:left="709" w:hanging="1"/>
        <w:rPr>
          <w:i/>
          <w:szCs w:val="24"/>
        </w:rPr>
      </w:pPr>
      <w:r w:rsidRPr="006A377C">
        <w:rPr>
          <w:bCs/>
          <w:i/>
          <w:szCs w:val="24"/>
        </w:rPr>
        <w:t xml:space="preserve">При невозможности выполнения алло-ТГСК поддерживающую терапию </w:t>
      </w:r>
      <w:r w:rsidRPr="006A377C">
        <w:rPr>
          <w:bCs/>
          <w:i/>
          <w:szCs w:val="24"/>
          <w:lang w:val="en-US"/>
        </w:rPr>
        <w:t>Aza</w:t>
      </w:r>
      <w:r w:rsidRPr="006A377C">
        <w:rPr>
          <w:bCs/>
          <w:i/>
          <w:szCs w:val="24"/>
        </w:rPr>
        <w:t>/</w:t>
      </w:r>
      <w:r w:rsidRPr="006A377C">
        <w:rPr>
          <w:bCs/>
          <w:i/>
          <w:szCs w:val="24"/>
          <w:lang w:val="en-US"/>
        </w:rPr>
        <w:t>Dac</w:t>
      </w:r>
      <w:r w:rsidRPr="006A377C">
        <w:rPr>
          <w:bCs/>
          <w:i/>
          <w:szCs w:val="24"/>
        </w:rPr>
        <w:t>-</w:t>
      </w:r>
      <w:r w:rsidRPr="006A377C">
        <w:rPr>
          <w:bCs/>
          <w:i/>
          <w:szCs w:val="24"/>
          <w:lang w:val="en-US"/>
        </w:rPr>
        <w:t>Ara</w:t>
      </w:r>
      <w:r w:rsidRPr="006A377C">
        <w:rPr>
          <w:bCs/>
          <w:i/>
          <w:szCs w:val="24"/>
        </w:rPr>
        <w:t>-</w:t>
      </w:r>
      <w:r w:rsidRPr="006A377C">
        <w:rPr>
          <w:bCs/>
          <w:i/>
          <w:szCs w:val="24"/>
          <w:lang w:val="en-US"/>
        </w:rPr>
        <w:t>C</w:t>
      </w:r>
      <w:r w:rsidRPr="006A377C">
        <w:rPr>
          <w:bCs/>
          <w:i/>
          <w:szCs w:val="24"/>
        </w:rPr>
        <w:t xml:space="preserve"> проводят в течение 2 лет (</w:t>
      </w:r>
      <w:r w:rsidRPr="006A377C">
        <w:rPr>
          <w:bCs/>
          <w:i/>
          <w:szCs w:val="24"/>
          <w:lang w:val="en-US"/>
        </w:rPr>
        <w:t>c</w:t>
      </w:r>
      <w:r w:rsidRPr="006A377C">
        <w:rPr>
          <w:bCs/>
          <w:i/>
          <w:szCs w:val="24"/>
        </w:rPr>
        <w:t xml:space="preserve">м. Приложение А3.1) </w:t>
      </w:r>
      <w:r w:rsidRPr="006A377C">
        <w:rPr>
          <w:bCs/>
          <w:i/>
          <w:szCs w:val="24"/>
        </w:rPr>
        <w:fldChar w:fldCharType="begin" w:fldLock="1"/>
      </w:r>
      <w:r w:rsidR="00AE1E12">
        <w:rPr>
          <w:bCs/>
          <w:i/>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Савченко","given":"В.Г.","non-dropping-particle":"","parse-names":false,"suffix":""}],"container-title":"Алгоритмы диагностики и протоколы лечения заболеваний системы крови. НМИЦ Гематологии. Под ред. В.Г. Савченко.","id":"ITEM-1","issued":{"date-parts":[["2018"]]},"page":"829-840","title":"Протокол сочетанного применения гипометилирующих препаратов с низкодозной полихимиотерапией у больных МДС из группы высокого риска, ОМЛ из МДС, МДС/ОМЛ после апластической анемии, МДС/ОМЛ после лучевой и цитостатической терапии по поводу другого заболеван","type":"chapter"},"uris":["http://www.mendeley.com/documents/?uuid=7e0ba0dd-70f0-47ff-8946-5c8be00bd263"]}],"mendeley":{"formattedCitation":"[99]","plainTextFormattedCitation":"[99]","previouslyFormattedCitation":"[99]"},"properties":{"noteIndex":0},"schema":"https://github.com/citation-style-language/schema/raw/master/csl-citation.json"}</w:instrText>
      </w:r>
      <w:r w:rsidRPr="006A377C">
        <w:rPr>
          <w:bCs/>
          <w:i/>
          <w:szCs w:val="24"/>
        </w:rPr>
        <w:fldChar w:fldCharType="separate"/>
      </w:r>
      <w:r w:rsidR="00AE1E12" w:rsidRPr="00AE1E12">
        <w:rPr>
          <w:bCs/>
          <w:noProof/>
          <w:szCs w:val="24"/>
        </w:rPr>
        <w:t>[99]</w:t>
      </w:r>
      <w:r w:rsidRPr="006A377C">
        <w:rPr>
          <w:bCs/>
          <w:i/>
          <w:szCs w:val="24"/>
        </w:rPr>
        <w:fldChar w:fldCharType="end"/>
      </w:r>
      <w:r w:rsidRPr="006A377C">
        <w:rPr>
          <w:bCs/>
          <w:i/>
          <w:szCs w:val="24"/>
        </w:rPr>
        <w:t>.</w:t>
      </w:r>
    </w:p>
    <w:p w14:paraId="431F47EA" w14:textId="77777777" w:rsidR="00F20CFD" w:rsidRPr="006A377C" w:rsidRDefault="00F20CFD" w:rsidP="005F2F2B">
      <w:pPr>
        <w:pStyle w:val="aff"/>
        <w:numPr>
          <w:ilvl w:val="0"/>
          <w:numId w:val="16"/>
        </w:numPr>
        <w:ind w:left="709" w:hanging="425"/>
        <w:rPr>
          <w:szCs w:val="24"/>
        </w:rPr>
      </w:pPr>
      <w:r w:rsidRPr="006A377C">
        <w:rPr>
          <w:szCs w:val="24"/>
        </w:rPr>
        <w:t>Пациентам с МДС-ИБ при нормальном кариотипе или одиночных аномалиях из группы благоприятного или промежуточного риска</w:t>
      </w:r>
      <w:r w:rsidRPr="006A377C">
        <w:rPr>
          <w:b/>
          <w:szCs w:val="24"/>
        </w:rPr>
        <w:t xml:space="preserve"> рекомендуется</w:t>
      </w:r>
      <w:r w:rsidRPr="006A377C">
        <w:rPr>
          <w:szCs w:val="24"/>
        </w:rPr>
        <w:t xml:space="preserve"> </w:t>
      </w:r>
      <w:r w:rsidR="0025128E">
        <w:rPr>
          <w:szCs w:val="24"/>
        </w:rPr>
        <w:t>с лечебной целью</w:t>
      </w:r>
      <w:r w:rsidR="0025128E" w:rsidRPr="006A377C">
        <w:rPr>
          <w:szCs w:val="24"/>
        </w:rPr>
        <w:t xml:space="preserve"> </w:t>
      </w:r>
      <w:r w:rsidRPr="006A377C">
        <w:rPr>
          <w:szCs w:val="24"/>
        </w:rPr>
        <w:t>проведение</w:t>
      </w:r>
      <w:r w:rsidR="0025128E">
        <w:rPr>
          <w:szCs w:val="24"/>
        </w:rPr>
        <w:t xml:space="preserve"> </w:t>
      </w:r>
      <w:r w:rsidRPr="006A377C">
        <w:rPr>
          <w:szCs w:val="24"/>
        </w:rPr>
        <w:t xml:space="preserve">курса малых доз #цитарабина** (МДЦ) </w:t>
      </w:r>
      <w:r w:rsidRPr="006A377C">
        <w:rPr>
          <w:szCs w:val="24"/>
        </w:rPr>
        <w:fldChar w:fldCharType="begin" w:fldLock="1"/>
      </w:r>
      <w:r w:rsidR="00AE1E12">
        <w:rPr>
          <w:szCs w:val="24"/>
        </w:rPr>
        <w:instrText>ADDIN CSL_CITATION {"citationItems":[{"id":"ITEM-1","itemData":{"DOI":"10.1080/10428190310001653727","ISSN":"10428194","abstract":"The myelodysplastic syndromes (MDS) are characterized by hemopoietic insufficiency associated with severe cytopenias, leading to serious morbidity, and acute leukemia development. MDS typically occur in elderly people, with a median age at diagnosis ranging between 60 and 75 years. The patients' prognosis, estimated according to the International Prognostic Scoring System, age and performance status should be considered before choosing among the various treatment options. A therapeutic dilemma exists in MDS, due to the multifactorial pathogenetic features of the disease, the heterogeneous stage and the elderly age of patients at diagnosis. This is underlined by the absence of a Food and Drug Administration-approved agent with an indication for this disease. The therapeutic end-points vary from symptom management (using low-intensity treatment with biological targeted agents, or only supportive therapy), to attempts to change the natural history of the disease (generally using high intensity treatment, including intensive chemotherapy and hemopoietic stem cell transplantation). The main goal of low-intensity therapies is generally to induce hematological improvements and is mainly used for low-risk disease. On the other hand, high-intensity therapies generally aims to alter the disease's natural history (improving survival, and decrease progression to acute myeloid leukemia), and are mainly used for high-risk disease. This review will focus on the current role of low-dose Ara-C therapy in the management of MDS. In fact, there is evidence that low-dose chemotherapy with Ara-C can induce responses in patients with MDS. In particular, the use in combinations with growth factors, such as G-CSF or M-CSF, looks promising, suggesting further investigations about this old-new therapeutic tool. © 2004 Taylor  &amp;  Francis Ltd.","author":[{"dropping-particle":"","family":"Visani","given":"Giuseppe","non-dropping-particle":"","parse-names":false,"suffix":""},{"dropping-particle":"","family":"Malagola","given":"Michele","non-dropping-particle":"","parse-names":false,"suffix":""},{"dropping-particle":"","family":"Piccaluga","given":"Pier Paolo","non-dropping-particle":"","parse-names":false,"suffix":""},{"dropping-particle":"","family":"Isidori","given":"Alessandro","non-dropping-particle":"","parse-names":false,"suffix":""}],"container-title":"Leukemia and Lymphoma","id":"ITEM-1","issue":"8","issued":{"date-parts":[["2004","8"]]},"page":"1531-1538","title":"Low dose Ara-C for myelodysplastic syndromes: Is it still a current therapy?","type":"article","volume":"45"},"uris":["http://www.mendeley.com/documents/?uuid=4a1330ae-2133-3011-8e76-826d2d335f6f"]}],"mendeley":{"formattedCitation":"[100]","plainTextFormattedCitation":"[100]","previouslyFormattedCitation":"[100]"},"properties":{"noteIndex":0},"schema":"https://github.com/citation-style-language/schema/raw/master/csl-citation.json"}</w:instrText>
      </w:r>
      <w:r w:rsidRPr="006A377C">
        <w:rPr>
          <w:szCs w:val="24"/>
        </w:rPr>
        <w:fldChar w:fldCharType="separate"/>
      </w:r>
      <w:r w:rsidR="00AE1E12" w:rsidRPr="00AE1E12">
        <w:rPr>
          <w:noProof/>
          <w:szCs w:val="24"/>
        </w:rPr>
        <w:t>[100]</w:t>
      </w:r>
      <w:r w:rsidRPr="006A377C">
        <w:rPr>
          <w:szCs w:val="24"/>
        </w:rPr>
        <w:fldChar w:fldCharType="end"/>
      </w:r>
      <w:r w:rsidRPr="006A377C">
        <w:rPr>
          <w:szCs w:val="24"/>
        </w:rPr>
        <w:t>.</w:t>
      </w:r>
    </w:p>
    <w:p w14:paraId="2216A9C9" w14:textId="77777777" w:rsidR="00F20CFD" w:rsidRPr="006A377C" w:rsidRDefault="00F20CFD" w:rsidP="005017D1">
      <w:pPr>
        <w:ind w:left="709" w:hanging="1"/>
        <w:rPr>
          <w:b/>
          <w:szCs w:val="24"/>
        </w:rPr>
      </w:pPr>
      <w:r w:rsidRPr="006A377C">
        <w:rPr>
          <w:b/>
          <w:szCs w:val="24"/>
        </w:rPr>
        <w:t xml:space="preserve">Уровень убедительности рекомендаций </w:t>
      </w:r>
      <w:r w:rsidR="003E2733">
        <w:rPr>
          <w:b/>
          <w:szCs w:val="24"/>
        </w:rPr>
        <w:t>С</w:t>
      </w:r>
      <w:r w:rsidRPr="006A377C">
        <w:rPr>
          <w:b/>
          <w:szCs w:val="24"/>
        </w:rPr>
        <w:t xml:space="preserve"> (уровень достоверности доказательств – </w:t>
      </w:r>
      <w:r w:rsidR="003E2733">
        <w:rPr>
          <w:b/>
          <w:szCs w:val="24"/>
        </w:rPr>
        <w:t>4</w:t>
      </w:r>
      <w:r w:rsidRPr="006A377C">
        <w:rPr>
          <w:b/>
          <w:szCs w:val="24"/>
        </w:rPr>
        <w:t>)</w:t>
      </w:r>
    </w:p>
    <w:p w14:paraId="5A7C4C53" w14:textId="77777777" w:rsidR="00F20CFD" w:rsidRPr="006A377C" w:rsidRDefault="00F20CFD" w:rsidP="005017D1">
      <w:pPr>
        <w:ind w:left="709" w:hanging="1"/>
        <w:rPr>
          <w:i/>
          <w:szCs w:val="24"/>
        </w:rPr>
      </w:pPr>
      <w:r w:rsidRPr="006A377C">
        <w:rPr>
          <w:b/>
          <w:szCs w:val="24"/>
        </w:rPr>
        <w:t xml:space="preserve">Комментарии: </w:t>
      </w:r>
      <w:r w:rsidRPr="006A377C">
        <w:rPr>
          <w:i/>
          <w:szCs w:val="24"/>
        </w:rPr>
        <w:t>лечение МДЦ за пределами РФ проводят в течение 14 дней. В РФ данная терапия часто используется в качестве метода выбора у пациентов старше 60 лет с МДС-ИБ-1 и ИБ</w:t>
      </w:r>
      <w:r w:rsidRPr="006A377C">
        <w:rPr>
          <w:noProof/>
          <w:szCs w:val="24"/>
        </w:rPr>
        <w:t>-</w:t>
      </w:r>
      <w:r w:rsidRPr="006A377C">
        <w:rPr>
          <w:i/>
          <w:szCs w:val="24"/>
        </w:rPr>
        <w:t>2 при нормо- или гиперклеточной морфологии КМ. Общепринятым в РФ режимом использования МДЦ является назначение препарата в дозе 10 мг/м</w:t>
      </w:r>
      <w:r w:rsidRPr="006A377C">
        <w:rPr>
          <w:i/>
          <w:szCs w:val="24"/>
          <w:vertAlign w:val="superscript"/>
        </w:rPr>
        <w:t>2</w:t>
      </w:r>
      <w:r w:rsidRPr="006A377C">
        <w:rPr>
          <w:i/>
          <w:szCs w:val="24"/>
        </w:rPr>
        <w:t xml:space="preserve"> (чаще 20 мг) 2 раза в день подкожно в течение 21–28 дней</w:t>
      </w:r>
      <w:r w:rsidR="00AE1E12">
        <w:rPr>
          <w:i/>
          <w:szCs w:val="24"/>
        </w:rPr>
        <w:t xml:space="preserve"> </w:t>
      </w:r>
      <w:r w:rsidR="00AE1E12">
        <w:rPr>
          <w:i/>
          <w:szCs w:val="24"/>
        </w:rPr>
        <w:fldChar w:fldCharType="begin" w:fldLock="1"/>
      </w:r>
      <w:r w:rsidR="00AE1E12">
        <w:rPr>
          <w:i/>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mendeley":{"formattedCitation":"[1]","plainTextFormattedCitation":"[1]","previouslyFormattedCitation":"[1]"},"properties":{"noteIndex":0},"schema":"https://github.com/citation-style-language/schema/raw/master/csl-citation.json"}</w:instrText>
      </w:r>
      <w:r w:rsidR="00AE1E12">
        <w:rPr>
          <w:i/>
          <w:szCs w:val="24"/>
        </w:rPr>
        <w:fldChar w:fldCharType="separate"/>
      </w:r>
      <w:r w:rsidR="00AE1E12" w:rsidRPr="00AE1E12">
        <w:rPr>
          <w:noProof/>
          <w:szCs w:val="24"/>
        </w:rPr>
        <w:t>[1]</w:t>
      </w:r>
      <w:r w:rsidR="00AE1E12">
        <w:rPr>
          <w:i/>
          <w:szCs w:val="24"/>
        </w:rPr>
        <w:fldChar w:fldCharType="end"/>
      </w:r>
      <w:r w:rsidRPr="006A377C">
        <w:rPr>
          <w:i/>
          <w:szCs w:val="24"/>
        </w:rPr>
        <w:t xml:space="preserve">. Вероятность достижения ПР у пациентов с РАИБ-2 существенно выше, если длительность курса была не менее 23 дней. Обнаружение, по данным трепанобиопсии КМ, гипо- или аплазии кроветворной ткани поможет </w:t>
      </w:r>
      <w:r w:rsidRPr="006A377C">
        <w:rPr>
          <w:i/>
          <w:szCs w:val="24"/>
        </w:rPr>
        <w:lastRenderedPageBreak/>
        <w:t>скорректировать выбор терапевтического подхода: длительность терапии МДЦ может быть уменьшена до 10</w:t>
      </w:r>
      <w:r w:rsidRPr="006A377C">
        <w:rPr>
          <w:noProof/>
          <w:szCs w:val="24"/>
        </w:rPr>
        <w:t>–</w:t>
      </w:r>
      <w:r w:rsidRPr="006A377C">
        <w:rPr>
          <w:i/>
          <w:szCs w:val="24"/>
        </w:rPr>
        <w:t>14 дней (и доза #цитарабина** может быть редуцирована до 10 мг 2 раза в день) Интервалы между циклами составляют 28</w:t>
      </w:r>
      <w:r w:rsidRPr="006A377C">
        <w:rPr>
          <w:noProof/>
          <w:szCs w:val="24"/>
        </w:rPr>
        <w:t>–</w:t>
      </w:r>
      <w:r w:rsidRPr="006A377C">
        <w:rPr>
          <w:i/>
          <w:szCs w:val="24"/>
        </w:rPr>
        <w:t>30 дней, а терапия проводится вплоть до прогрессирования или появления признаков неприемлемой токсичности, но не более 3 лет. Применение МДЦ наиболее целесообразно у пациентов с нормальным кариотипом или с благоприятными аберрациями</w:t>
      </w:r>
      <w:r w:rsidR="00AE1E12">
        <w:rPr>
          <w:i/>
          <w:szCs w:val="24"/>
        </w:rPr>
        <w:t xml:space="preserve"> </w:t>
      </w:r>
      <w:r w:rsidR="00AE1E12">
        <w:rPr>
          <w:i/>
          <w:szCs w:val="24"/>
        </w:rPr>
        <w:fldChar w:fldCharType="begin" w:fldLock="1"/>
      </w:r>
      <w:r w:rsidR="00AE1E12">
        <w:rPr>
          <w:i/>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mendeley":{"formattedCitation":"[1]","plainTextFormattedCitation":"[1]","previouslyFormattedCitation":"[1]"},"properties":{"noteIndex":0},"schema":"https://github.com/citation-style-language/schema/raw/master/csl-citation.json"}</w:instrText>
      </w:r>
      <w:r w:rsidR="00AE1E12">
        <w:rPr>
          <w:i/>
          <w:szCs w:val="24"/>
        </w:rPr>
        <w:fldChar w:fldCharType="separate"/>
      </w:r>
      <w:r w:rsidR="00AE1E12" w:rsidRPr="00AE1E12">
        <w:rPr>
          <w:noProof/>
          <w:szCs w:val="24"/>
        </w:rPr>
        <w:t>[1]</w:t>
      </w:r>
      <w:r w:rsidR="00AE1E12">
        <w:rPr>
          <w:i/>
          <w:szCs w:val="24"/>
        </w:rPr>
        <w:fldChar w:fldCharType="end"/>
      </w:r>
      <w:r w:rsidR="00AE1E12" w:rsidRPr="006A377C">
        <w:rPr>
          <w:i/>
          <w:szCs w:val="24"/>
        </w:rPr>
        <w:t>.</w:t>
      </w:r>
      <w:r w:rsidRPr="006A377C">
        <w:rPr>
          <w:i/>
          <w:szCs w:val="24"/>
        </w:rPr>
        <w:t xml:space="preserve">. </w:t>
      </w:r>
    </w:p>
    <w:p w14:paraId="6D88F0DA" w14:textId="77777777" w:rsidR="00F20CFD" w:rsidRPr="006A377C" w:rsidRDefault="00F20CFD" w:rsidP="005F2F2B">
      <w:pPr>
        <w:pStyle w:val="aff"/>
        <w:numPr>
          <w:ilvl w:val="0"/>
          <w:numId w:val="16"/>
        </w:numPr>
        <w:ind w:left="709" w:hanging="425"/>
        <w:rPr>
          <w:szCs w:val="24"/>
        </w:rPr>
      </w:pPr>
      <w:r w:rsidRPr="006A377C">
        <w:rPr>
          <w:szCs w:val="24"/>
        </w:rPr>
        <w:t>Пациентам с МДС-ИБ-2 моложе 45 лет при невозможности проведения терапии гипометилирующими препаратами</w:t>
      </w:r>
      <w:r w:rsidRPr="006A377C">
        <w:rPr>
          <w:b/>
          <w:szCs w:val="24"/>
        </w:rPr>
        <w:t xml:space="preserve"> рекомендуется</w:t>
      </w:r>
      <w:r w:rsidRPr="006A377C">
        <w:rPr>
          <w:szCs w:val="24"/>
        </w:rPr>
        <w:t xml:space="preserve"> проведение курса индукционной терапии по программам ОМЛ с использованием различных сочетаний следующих препаратов: #цитарабин**, #идарубицин**, #митоксантрон**, #меркаптопурин**, #филграстим** (см. Приложение А3.1</w:t>
      </w:r>
      <w:r w:rsidR="004C69FE">
        <w:rPr>
          <w:szCs w:val="24"/>
        </w:rPr>
        <w:t>, а также см. профильные рекомендации по лечению ОМЛ</w:t>
      </w:r>
      <w:r w:rsidRPr="006A377C">
        <w:rPr>
          <w:szCs w:val="24"/>
        </w:rPr>
        <w:t xml:space="preserve">) </w:t>
      </w:r>
      <w:r w:rsidRPr="006A377C">
        <w:rPr>
          <w:szCs w:val="24"/>
        </w:rPr>
        <w:fldChar w:fldCharType="begin" w:fldLock="1"/>
      </w:r>
      <w:r w:rsidR="00AE1E12">
        <w:rPr>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id":"ITEM-2","itemData":{"author":[{"dropping-particle":"","family":"Ширин","given":"А.Д.","non-dropping-particle":"","parse-names":false,"suffix":""},{"dropping-particle":"","family":"Френкель","given":"М.А.","non-dropping-particle":"","parse-names":false,"suffix":""}],"container-title":"Клиническая онкогематология: руководство для врачей. Под ред. Волковой М.А.. 2-е изд., перераб. и доп.","id":"ITEM-2","issued":{"date-parts":[["2007"]]},"page":"502-551","title":"Миелодиспластические синдромы","type":"chapter"},"uris":["http://www.mendeley.com/documents/?uuid=9f2eca44-a3a8-4eb4-90b5-a52e4e769482"]},{"id":"ITEM-3","itemData":{"DOI":"10.1002/ajh.24102","ISSN":"1096-8652","PMID":"26294090","abstract":"DISEASE OVERVIEW The myelodysplastic syndromes (MDS) are a very heterogeneous group of myeloid disorders characterized by peripheral blood cytopenias and increased risk of transformation to acute myelogenous leukemia (AML). MDS occurs more frequently in older males and in individuals with prior exposure to cytotoxic therapy. DIAGNOSIS Diagnosis of MDS is based on morphological evidence of dysplasia upon visual examination of a bone marrow aspirate and biopsy. Information obtained from additional studies such as karyotype, flow cytometry, or molecular genetics is complementary but not diagnostic. Risk-stratification: Prognosis of patients with MDS can be calculated using a number of scoring systems. In general, all these scoring systems include analysis of peripheral cytopenias, percentage of blasts in the bone marrow, and cytogenetic characteristics. The most commonly used system still is probably the International Prognostic Scoring System (IPSS). IPSS is being replaced by the new revised score IPSS-R. RISK-ADAPTED THERAPY Therapy is selected based on risk, transfusion needs, percent of bone marrow blasts, and more recently cytogenetic and mutational profiles. Goals of therapy are different in lower risk patients than in higher risk. In lower risk, the goal is to decrease transfusion needs and transformation to higher risk disease or AML, as well as to improve survival. In higher risk, the goal is to prolong survival. Current available therapies include growth factor support, lenalidomide, hypomethylating agents, intensive chemotherapy, and allogeneic stem cell transplantation. The use of lenalidomide has significant clinical activity in patients with lower risk disease, anemia, and a chromosome 5 alteration. 5-Azacitidine and decitabine have activity in higher risk MDS. 5-Azacitidine has been shown to improve survival in higher risk MDS. A number of new molecular lesions have been described in MDS that may serve as new therapeutic targets or aid in the selection of currently available agents. Additional supportive care measures may include the use of prophylactic antibiotics and iron chelation. Management of progressive or refractory disease: At the present time there are no approved interventions for patients with progressive or refractory disease particularly after hypomethylating based therapy. Options include participation in a clinical trial or cytarabine based therapy and stem cell transplantation.","author":[{"dropping-particle":"","family":"Garcia-Manero","given":"Guillermo","non-dropping-particle":"","parse-names":false,"suffix":""}],"container-title":"American journal of hematology","id":"ITEM-3","issue":"9","issued":{"date-parts":[["2015","9"]]},"page":"831-41","title":"Myelodysplastic syndromes: 2015 Update on diagnosis, risk-stratification and management.","type":"article-journal","volume":"90"},"uris":["http://www.mendeley.com/documents/?uuid=f71f5ed5-dc93-3fd3-b1f1-68c1270ac29e"]},{"id":"ITEM-4","itemData":{"DOI":"10.1182/blood-2013-03-492884","ISSN":"1528-0020","PMID":"23980065","abstract":"Within the myelodysplastic syndrome (MDS) work package of the European LeukemiaNet, an Expert Panel was selected according to the framework elements of the National Institutes of Health Consensus Development Program. A systematic review of the literature was performed that included indexed original papers, indexed reviews and educational papers, and abstracts of conference proceedings. Guidelines were developed on the basis of a list of patient- and therapy-oriented questions, and recommendations were formulated and ranked according to the supporting level of evidence. MDSs should be classified according to the 2008 World Health Organization criteria. An accurate risk assessment requires the evaluation of not only disease-related factors but also of those related to extrahematologic comorbidity. The assessment of individual risk enables the identification of fit patients with a poor prognosis who are candidates for up-front intensive treatments, primarily allogeneic stem cell transplantation. A high proportion of MDS patients are not eligible for potentially curative treatment because of advanced age and/or clinically relevant comorbidities and poor performance status. In these patients, the therapeutic intervention is aimed at preventing cytopenia-related morbidity and preserving quality of life. A number of new agents are being developed for which the available evidence is not sufficient to recommend routine use. The inclusion of patients into prospective clinical trials is strongly recommended.","author":[{"dropping-particle":"","family":"Malcovati","given":"Luca","non-dropping-particle":"","parse-names":false,"suffix":""},{"dropping-particle":"","family":"Hellström-Lindberg","given":"Eva","non-dropping-particle":"","parse-names":false,"suffix":""},{"dropping-particle":"","family":"Bowen","given":"David","non-dropping-particle":"","parse-names":false,"suffix":""},{"dropping-particle":"","family":"Adès","given":"Lionel","non-dropping-particle":"","parse-names":false,"suffix":""},{"dropping-particle":"","family":"Cermak","given":"Jaroslav","non-dropping-particle":"","parse-names":false,"suffix":""},{"dropping-particle":"","family":"Cañizo","given":"Consuelo","non-dropping-particle":"Del","parse-names":false,"suffix":""},{"dropping-particle":"","family":"Porta","given":"Matteo G","non-dropping-particle":"Della","parse-names":false,"suffix":""},{"dropping-particle":"","family":"Fenaux","given":"Pierre","non-dropping-particle":"","parse-names":false,"suffix":""},{"dropping-particle":"","family":"Gattermann","given":"Norbert","non-dropping-particle":"","parse-names":false,"suffix":""},{"dropping-particle":"","family":"Germing","given":"Ulrich","non-dropping-particle":"","parse-names":false,"suffix":""},{"dropping-particle":"","family":"Jansen","given":"Joop H","non-dropping-particle":"","parse-names":false,"suffix":""},{"dropping-particle":"","family":"Mittelman","given":"Moshe","non-dropping-particle":"","parse-names":false,"suffix":""},{"dropping-particle":"","family":"Mufti","given":"Ghulam","non-dropping-particle":"","parse-names":false,"suffix":""},{"dropping-particle":"","family":"Platzbecker","given":"Uwe","non-dropping-particle":"","parse-names":false,"suffix":""},{"dropping-particle":"","family":"Sanz","given":"Guillermo F","non-dropping-particle":"","parse-names":false,"suffix":""},{"dropping-particle":"","family":"Selleslag","given":"Dominik","non-dropping-particle":"","parse-names":false,"suffix":""},{"dropping-particle":"","family":"Skov-Holm","given":"Mette","non-dropping-particle":"","parse-names":false,"suffix":""},{"dropping-particle":"","family":"Stauder","given":"Reinhard","non-dropping-particle":"","parse-names":false,"suffix":""},{"dropping-particle":"","family":"Symeonidis","given":"Argiris","non-dropping-particle":"","parse-names":false,"suffix":""},{"dropping-particle":"","family":"Loosdrecht","given":"Arjan A","non-dropping-particle":"van de","parse-names":false,"suffix":""},{"dropping-particle":"","family":"Witte","given":"Theo","non-dropping-particle":"de","parse-names":false,"suffix":""},{"dropping-particle":"","family":"Cazzola","given":"Mario","non-dropping-particle":"","parse-names":false,"suffix":""},{"dropping-particle":"","family":"European Leukemia Net","given":"","non-dropping-particle":"","parse-names":false,"suffix":""}],"container-title":"Blood","id":"ITEM-4","issue":"17","issued":{"date-parts":[["2013","10","24"]]},"page":"2943-64","title":"Diagnosis and treatment of primary myelodysplastic syndromes in adults: recommendations from the European LeukemiaNet.","type":"article-journal","volume":"122"},"uris":["http://www.mendeley.com/documents/?uuid=8d575a93-ae56-3e05-b1b4-97a7de4aac98"]},{"id":"ITEM-5","itemData":{"author":[{"dropping-particle":"","family":"Greenberg","given":"P.L.","non-dropping-particle":"","parse-names":false,"suffix":""},{"dropping-particle":"","family":"Stone","given":"Richard M.","non-dropping-particle":"","parse-names":false,"suffix":""},{"dropping-particle":"","family":"Al-Kali","given":"Aref","non-dropping-particle":"","parse-names":false,"suffix":""},{"dropping-particle":"","family":"Bejar","given":"Rafael","non-dropping-particle":"","parse-names":false,"suffix":""},{"dropping-particle":"","family":"Bennett","given":"John M.","non-dropping-particle":"","parse-names":false,"suffix":""}],"id":"ITEM-5","issued":{"date-parts":[["2019"]]},"title":"NCCN Clinical Practice Guidelines in Oncology. Myelodysplastic syndromes","type":"article"},"uris":["http://www.mendeley.com/documents/?uuid=42bd97a2-0774-4214-9691-f403cd4a21df"]},{"id":"ITEM-6","itemData":{"DOI":"10.1182/blood.v98.13.3575","ISSN":"0006-4971","PMID":"11739159","abstract":"It has been unclear whether regimens containing topotecan + ara-C (TA) or fludarabine + ara-C (FA) +/- idarubicin are superior to regimens containing idarubicin + ara-C (IA) without either fludarabine or topotecan for treatment of newly diagnosed acute myeloid leukemia (AML), refractory anemia with excess blasts in transformation (RAEB-t), or RAEB. Of 1279 patients treated here for these diagnoses between 1991 and 1999, 322 received IA regimens, 600 FA regimens, and 357 TA regimens. All regimens used ara-C doses of 1 to 2 gm/m(2)/d, given by continuous infusion in IA, and over 2 to 4 hours in FA and TA. Complete remission (CR) rates were lower with FA (55%) and TA (59%) than with IA (77%). Both event-free survival (EFS) in CR and survival were shorter: median EFS in CR (95% confidence interval) was 63 weeks (range, 55-76 weeks) for IA, 40 (range, 31-46 weeks) for FA, and 36 (range, 27-44 weeks) for TA; median survival was 77 weeks (range, 57-88 weeks) for IA, 30 (range, 27-35 weeks) for FA, and 41 (range, 35-50 weeks) for TA. These trials were not randomized, and patients with worse prognoses were disproportionately given the FA and TA regimens. Nonetheless, after accounting for prognosis the FA and TA regimens remained highly significantly associated with lower CR rates, shorter EFS in CR, and shorter survival. Accounting for possible effects of individual trials within each of the IA, FA, and TA groups did not alter these findings. It is unlikely that, as given here, either FA or TA is, in general, superior to IA, highlighting the need for new treatments.","author":[{"dropping-particle":"","family":"Estey","given":"E H","non-dropping-particle":"","parse-names":false,"suffix":""},{"dropping-particle":"","family":"Thall","given":"P F","non-dropping-particle":"","parse-names":false,"suffix":""},{"dropping-particle":"","family":"Cortes","given":"J E","non-dropping-particle":"","parse-names":false,"suffix":""},{"dropping-particle":"","family":"Giles","given":"F J","non-dropping-particle":"","parse-names":false,"suffix":""},{"dropping-particle":"","family":"O'Brien","given":"S","non-dropping-particle":"","parse-names":false,"suffix":""},{"dropping-particle":"","family":"Pierce","given":"S A","non-dropping-particle":"","parse-names":false,"suffix":""},{"dropping-particle":"","family":"Wang","given":"X","non-dropping-particle":"","parse-names":false,"suffix":""},{"dropping-particle":"","family":"Kantarjian","given":"H M","non-dropping-particle":"","parse-names":false,"suffix":""},{"dropping-particle":"","family":"Beran","given":"M","non-dropping-particle":"","parse-names":false,"suffix":""}],"container-title":"Blood","id":"ITEM-6","issue":"13","issued":{"date-parts":[["2001","12","15"]]},"page":"3575-83","title":"Comparison of idarubicin + ara-C-, fludarabine + ara-C-, and topotecan + ara-C-based regimens in treatment of newly diagnosed acute myeloid leukemia, refractory anemia with excess blasts in transformation, or refractory anemia with excess blasts.","type":"article-journal","volume":"98"},"uris":["http://www.mendeley.com/documents/?uuid=582a953e-fd73-3720-9a6d-0aadfd0e8688"]}],"mendeley":{"formattedCitation":"[1–5,101]","plainTextFormattedCitation":"[1–5,101]","previouslyFormattedCitation":"[1–5,101]"},"properties":{"noteIndex":0},"schema":"https://github.com/citation-style-language/schema/raw/master/csl-citation.json"}</w:instrText>
      </w:r>
      <w:r w:rsidRPr="006A377C">
        <w:rPr>
          <w:szCs w:val="24"/>
        </w:rPr>
        <w:fldChar w:fldCharType="separate"/>
      </w:r>
      <w:r w:rsidR="00AE1E12" w:rsidRPr="00AE1E12">
        <w:rPr>
          <w:noProof/>
          <w:szCs w:val="24"/>
        </w:rPr>
        <w:t>[1–5,101]</w:t>
      </w:r>
      <w:r w:rsidRPr="006A377C">
        <w:rPr>
          <w:szCs w:val="24"/>
        </w:rPr>
        <w:fldChar w:fldCharType="end"/>
      </w:r>
      <w:r w:rsidRPr="006A377C">
        <w:rPr>
          <w:szCs w:val="24"/>
        </w:rPr>
        <w:t>.</w:t>
      </w:r>
    </w:p>
    <w:p w14:paraId="398CE032" w14:textId="77777777" w:rsidR="00F20CFD" w:rsidRPr="006A377C" w:rsidRDefault="00F20CFD" w:rsidP="005017D1">
      <w:pPr>
        <w:ind w:left="709" w:hanging="1"/>
        <w:rPr>
          <w:b/>
          <w:szCs w:val="24"/>
        </w:rPr>
      </w:pPr>
      <w:r w:rsidRPr="006A377C">
        <w:rPr>
          <w:b/>
          <w:szCs w:val="24"/>
        </w:rPr>
        <w:t>Уровень убедительности рекомендаций С (уровень достоверности доказательств – 5)</w:t>
      </w:r>
    </w:p>
    <w:p w14:paraId="6C81A186" w14:textId="77777777" w:rsidR="00F20CFD" w:rsidRPr="006A377C" w:rsidRDefault="00F20CFD" w:rsidP="005F2F2B">
      <w:pPr>
        <w:pStyle w:val="aff"/>
        <w:numPr>
          <w:ilvl w:val="0"/>
          <w:numId w:val="16"/>
        </w:numPr>
        <w:ind w:left="709" w:hanging="425"/>
        <w:rPr>
          <w:b/>
          <w:szCs w:val="24"/>
        </w:rPr>
      </w:pPr>
      <w:r w:rsidRPr="006A377C">
        <w:rPr>
          <w:szCs w:val="24"/>
        </w:rPr>
        <w:t>Пациентам с МДС-ИБ при нормальном кариотипе и гипоплазии кроветворения в возрасте старше 70 лет при невозможности проведения программной терапии</w:t>
      </w:r>
      <w:r w:rsidRPr="006A377C">
        <w:rPr>
          <w:b/>
          <w:szCs w:val="24"/>
        </w:rPr>
        <w:t xml:space="preserve"> рекомендуется</w:t>
      </w:r>
      <w:r w:rsidRPr="006A377C">
        <w:rPr>
          <w:szCs w:val="24"/>
        </w:rPr>
        <w:t xml:space="preserve"> проведение курса низких доз </w:t>
      </w:r>
      <w:r w:rsidR="00E517C7" w:rsidRPr="00CF4383">
        <w:rPr>
          <w:szCs w:val="24"/>
        </w:rPr>
        <w:t>#</w:t>
      </w:r>
      <w:r w:rsidRPr="006A377C">
        <w:rPr>
          <w:szCs w:val="24"/>
        </w:rPr>
        <w:t xml:space="preserve">мелфалана** </w:t>
      </w:r>
      <w:r w:rsidR="00E517C7" w:rsidRPr="00CF4383">
        <w:rPr>
          <w:szCs w:val="24"/>
        </w:rPr>
        <w:t>2 мг</w:t>
      </w:r>
      <w:r w:rsidR="00E517C7">
        <w:rPr>
          <w:szCs w:val="24"/>
        </w:rPr>
        <w:t xml:space="preserve">/день </w:t>
      </w:r>
      <w:r w:rsidRPr="006A377C">
        <w:rPr>
          <w:szCs w:val="24"/>
        </w:rPr>
        <w:t>для достижения положительного ответа, в том числе и полной ремиссии.</w:t>
      </w:r>
      <w:r w:rsidRPr="006A377C">
        <w:rPr>
          <w:rStyle w:val="af"/>
          <w:sz w:val="24"/>
          <w:szCs w:val="24"/>
        </w:rPr>
        <w:t xml:space="preserve"> </w:t>
      </w:r>
      <w:r w:rsidRPr="006A377C">
        <w:rPr>
          <w:szCs w:val="24"/>
        </w:rPr>
        <w:fldChar w:fldCharType="begin" w:fldLock="1"/>
      </w:r>
      <w:r w:rsidR="00AE1E12">
        <w:rPr>
          <w:szCs w:val="24"/>
        </w:rPr>
        <w:instrText>ADDIN CSL_CITATION {"citationItems":[{"id":"ITEM-1","itemData":{"ISSN":"0028-2685","PMID":"12937849","abstract":"Effective therapy of myelodysplatic syndromes and acute myeloid leukemia originating from myelodysplastic syndrome has remained an unresolved problem. Advanced age of the patients and persistent pancytopenia make the treatment difficult. Despite large number of therapeutic options none of them is satisfactory. Recently palliative treatment with low-dose melphalan has been reported to have certain activity. The aim of the study was to evaluate the efficacy of low-dose melphalan in high-risk myelodysplastic syndromes (MDS) and acute myeloid leukemia with multilineage dysplasia (AML). Twenty three patients were eligible for the study: 8 with MDS and 15 with AML with multilineage dysplasia. All of them received oral melphalan in a daily dose of 2 mg. Median total dose of the drug was 120 mg (40-840 mg). Ten patients responded to the therapy. We observed complete remission (CR) in 4, partial remission (PR) in 3 and stabilization of the disease in 3 patients. Thirteen patients did not respond to the therapy. The survival time of the patients from the day of diagnosis and from the beginning of the treatment with melphalan was longer in patients responding to the therapy (median 15 and 10 months, respectively) than in non-responders (4.5 and 4 months, p=0.003 and p=0.008, respectively). Low-dose melphalan shows significant activity in high-risk MDS and AML with multilineage dysplasia with acceptable toxicity.","author":[{"dropping-particle":"","family":"Robak","given":"T","non-dropping-particle":"","parse-names":false,"suffix":""},{"dropping-particle":"","family":"Szmigielska-Kapłon","given":"A","non-dropping-particle":"","parse-names":false,"suffix":""},{"dropping-particle":"","family":"Urbańska-Ryś","given":"H","non-dropping-particle":"","parse-names":false,"suffix":""},{"dropping-particle":"","family":"Chojnowski","given":"K","non-dropping-particle":"","parse-names":false,"suffix":""},{"dropping-particle":"","family":"Wrzesień-Kuś","given":"A","non-dropping-particle":"","parse-names":false,"suffix":""}],"container-title":"Neoplasma","id":"ITEM-1","issue":"3","issued":{"date-parts":[["2003"]]},"page":"172-5","title":"Efficacy and toxicity of low-dose melphalan in myelodysplastic syndromes and acute myeloid leukemia with multilineage dysplasia.","type":"article-journal","volume":"50"},"uris":["http://www.mendeley.com/documents/?uuid=4193784e-37d8-337c-9cbd-e4988f20e99c"]},{"id":"ITEM-2","itemData":{"ISSN":"0887-6924","PMID":"8618435","abstract":"Twenty-one consecutive patients with high-risk myelodysplastic syndromes (MDS) including six with refractory anemia with excess blasts (RAEB) and 15 with RAEB in transformation (RAEBt) were treated with daily oral low-dose melphalan (2 mg/day). Seven patients achieved complete remission (CR), one patient partial response, and four minor response while the remaining eight did not respond. The median age of the patients was 65 (range 56-83 years). The mean total amount of melphalan given was 140+/-19 mg in patients who achieved CR. The median duration of CR was 14.5 months. Serious toxicity was not encountered in any of the cases. Neither marrow suppression nor pancytopenia was observed during the administration of melphalan in patients who achieved CR. The clinical features of CR patients included normal karyotype and hypocellular marrow in biopsied specimen from the lilac bone. These observations suggest that melphalan may exert some differentiation effects on leukemic cells in addition to cytotoxic effects. Our study indicates that daily administration of low-dose melphalan is worth trying in the treatment of elderly patients with high-risk MDS.","author":[{"dropping-particle":"","family":"Omoto","given":"E","non-dropping-particle":"","parse-names":false,"suffix":""},{"dropping-particle":"","family":"Deguchi","given":"S","non-dropping-particle":"","parse-names":false,"suffix":""},{"dropping-particle":"","family":"Takaba","given":"S","non-dropping-particle":"","parse-names":false,"suffix":""},{"dropping-particle":"","family":"Kojima","given":"K","non-dropping-particle":"","parse-names":false,"suffix":""},{"dropping-particle":"","family":"Yano","given":"T","non-dropping-particle":"","parse-names":false,"suffix":""},{"dropping-particle":"","family":"Katayama","given":"Y","non-dropping-particle":"","parse-names":false,"suffix":""},{"dropping-particle":"","family":"Sunami","given":"K","non-dropping-particle":"","parse-names":false,"suffix":""},{"dropping-particle":"","family":"Takeuchi","given":"M","non-dropping-particle":"","parse-names":false,"suffix":""},{"dropping-particle":"","family":"Kimura","given":"F","non-dropping-particle":"","parse-names":false,"suffix":""},{"dropping-particle":"","family":"Harada","given":"M","non-dropping-particle":"","parse-names":false,"suffix":""},{"dropping-particle":"","family":"Kimura","given":"I","non-dropping-particle":"","parse-names":false,"suffix":""}],"container-title":"Leukemia","id":"ITEM-2","issue":"4","issued":{"date-parts":[["1996","4"]]},"page":"609-14","title":"Low-dose melphalan for treatment of high-risk myelodysplastic syndromes.","type":"article-journal","volume":"10"},"uris":["http://www.mendeley.com/documents/?uuid=d859d044-2b85-39cc-9acc-5e790c228c08"]}],"mendeley":{"formattedCitation":"[102,103]","plainTextFormattedCitation":"[102,103]","previouslyFormattedCitation":"[102,103]"},"properties":{"noteIndex":0},"schema":"https://github.com/citation-style-language/schema/raw/master/csl-citation.json"}</w:instrText>
      </w:r>
      <w:r w:rsidRPr="006A377C">
        <w:rPr>
          <w:szCs w:val="24"/>
        </w:rPr>
        <w:fldChar w:fldCharType="separate"/>
      </w:r>
      <w:r w:rsidR="00AE1E12" w:rsidRPr="00AE1E12">
        <w:rPr>
          <w:noProof/>
          <w:szCs w:val="24"/>
        </w:rPr>
        <w:t>[102,103]</w:t>
      </w:r>
      <w:r w:rsidRPr="006A377C">
        <w:rPr>
          <w:szCs w:val="24"/>
        </w:rPr>
        <w:fldChar w:fldCharType="end"/>
      </w:r>
    </w:p>
    <w:p w14:paraId="441E76D5" w14:textId="77777777" w:rsidR="00F20CFD" w:rsidRPr="006A377C" w:rsidRDefault="00F20CFD" w:rsidP="005017D1">
      <w:pPr>
        <w:ind w:left="709" w:hanging="1"/>
        <w:rPr>
          <w:b/>
          <w:szCs w:val="24"/>
        </w:rPr>
      </w:pPr>
      <w:r w:rsidRPr="006A377C">
        <w:rPr>
          <w:b/>
          <w:szCs w:val="24"/>
        </w:rPr>
        <w:t xml:space="preserve">Уровень убедительности рекомендаций B (уровень достоверности доказательств – </w:t>
      </w:r>
      <w:r w:rsidR="00E517C7">
        <w:rPr>
          <w:b/>
          <w:szCs w:val="24"/>
        </w:rPr>
        <w:t>3</w:t>
      </w:r>
      <w:r w:rsidRPr="006A377C">
        <w:rPr>
          <w:b/>
          <w:szCs w:val="24"/>
        </w:rPr>
        <w:t>)</w:t>
      </w:r>
    </w:p>
    <w:p w14:paraId="5FC1AB9C" w14:textId="77777777" w:rsidR="00F20CFD" w:rsidRPr="006A377C" w:rsidRDefault="00F20CFD" w:rsidP="005017D1">
      <w:pPr>
        <w:pStyle w:val="aff"/>
        <w:ind w:left="709" w:hanging="1"/>
        <w:rPr>
          <w:szCs w:val="24"/>
        </w:rPr>
      </w:pPr>
      <w:r w:rsidRPr="006A377C">
        <w:rPr>
          <w:b/>
          <w:szCs w:val="24"/>
        </w:rPr>
        <w:t xml:space="preserve">Комментарии: </w:t>
      </w:r>
      <w:r w:rsidRPr="006A377C">
        <w:rPr>
          <w:i/>
          <w:szCs w:val="24"/>
        </w:rPr>
        <w:t>использование малых доз мелфалана** было исследовано в двух проспективных когортных исследованиях, которые суммарно включали 29 пациентов с МДС высокого риска. Общий ответ при этом составил 38</w:t>
      </w:r>
      <w:r w:rsidRPr="006A377C">
        <w:rPr>
          <w:i/>
          <w:noProof/>
          <w:szCs w:val="24"/>
        </w:rPr>
        <w:t>–</w:t>
      </w:r>
      <w:r w:rsidRPr="006A377C">
        <w:rPr>
          <w:i/>
          <w:szCs w:val="24"/>
        </w:rPr>
        <w:t>40%, отмечалась минимальная токсичность. Вероятность ответа на терапию была самой высокой у пациентов с гипоклеточным КМ, избытком бластов и нормальным кариотипом.</w:t>
      </w:r>
    </w:p>
    <w:p w14:paraId="23E15E88" w14:textId="77777777" w:rsidR="00F20CFD" w:rsidRPr="006A377C" w:rsidRDefault="00F20CFD" w:rsidP="005F2F2B">
      <w:pPr>
        <w:pStyle w:val="aff"/>
        <w:numPr>
          <w:ilvl w:val="0"/>
          <w:numId w:val="16"/>
        </w:numPr>
        <w:ind w:left="709" w:hanging="425"/>
        <w:rPr>
          <w:szCs w:val="24"/>
        </w:rPr>
      </w:pPr>
      <w:r w:rsidRPr="006A377C">
        <w:rPr>
          <w:szCs w:val="24"/>
        </w:rPr>
        <w:t>Пациентам с МДС-ИБ в возрасте старше 70 лет при невозможности проведения программной терапии</w:t>
      </w:r>
      <w:r w:rsidRPr="006A377C">
        <w:rPr>
          <w:b/>
          <w:szCs w:val="24"/>
        </w:rPr>
        <w:t xml:space="preserve"> рекомендуется</w:t>
      </w:r>
      <w:r w:rsidRPr="006A377C">
        <w:rPr>
          <w:szCs w:val="24"/>
        </w:rPr>
        <w:t xml:space="preserve"> проведение паллиативной терапии #меркаптопурином** </w:t>
      </w:r>
      <w:r w:rsidRPr="006A377C">
        <w:rPr>
          <w:szCs w:val="24"/>
        </w:rPr>
        <w:fldChar w:fldCharType="begin" w:fldLock="1"/>
      </w:r>
      <w:r w:rsidR="00255EFA">
        <w:rPr>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id":"ITEM-2","itemData":{"author":[{"dropping-particle":"","family":"Ширин","given":"А.Д.","non-dropping-particle":"","parse-names":false,"suffix":""},{"dropping-particle":"","family":"Френкель","given":"М.А.","non-dropping-particle":"","parse-names":false,"suffix":""}],"container-title":"Клиническая онкогематология: руководство для врачей. Под ред. Волковой М.А.. 2-е изд., перераб. и доп.","id":"ITEM-2","issued":{"date-parts":[["2007"]]},"page":"502-551","title":"Миелодиспластические синдромы","type":"chapter"},"uris":["http://www.mendeley.com/documents/?uuid=9f2eca44-a3a8-4eb4-90b5-a52e4e769482"]}],"mendeley":{"formattedCitation":"[1,2]","plainTextFormattedCitation":"[1,2]","previouslyFormattedCitation":"[1,2]"},"properties":{"noteIndex":0},"schema":"https://github.com/citation-style-language/schema/raw/master/csl-citation.json"}</w:instrText>
      </w:r>
      <w:r w:rsidRPr="006A377C">
        <w:rPr>
          <w:szCs w:val="24"/>
        </w:rPr>
        <w:fldChar w:fldCharType="separate"/>
      </w:r>
      <w:r w:rsidR="007626C2" w:rsidRPr="007626C2">
        <w:rPr>
          <w:noProof/>
          <w:szCs w:val="24"/>
        </w:rPr>
        <w:t>[1,2]</w:t>
      </w:r>
      <w:r w:rsidRPr="006A377C">
        <w:rPr>
          <w:szCs w:val="24"/>
        </w:rPr>
        <w:fldChar w:fldCharType="end"/>
      </w:r>
      <w:r w:rsidRPr="006A377C">
        <w:rPr>
          <w:szCs w:val="24"/>
        </w:rPr>
        <w:t>.</w:t>
      </w:r>
    </w:p>
    <w:p w14:paraId="17F45F9A" w14:textId="77777777" w:rsidR="00F20CFD" w:rsidRPr="006A377C" w:rsidRDefault="00F20CFD" w:rsidP="005017D1">
      <w:pPr>
        <w:ind w:left="709" w:hanging="1"/>
        <w:rPr>
          <w:b/>
          <w:szCs w:val="24"/>
        </w:rPr>
      </w:pPr>
      <w:r w:rsidRPr="006A377C">
        <w:rPr>
          <w:b/>
          <w:szCs w:val="24"/>
        </w:rPr>
        <w:t>Уровень убедительности рекомендаций С (уровень достоверности доказательств – 5)</w:t>
      </w:r>
    </w:p>
    <w:p w14:paraId="15044268" w14:textId="77777777" w:rsidR="00F20CFD" w:rsidRPr="006A377C" w:rsidRDefault="00F20CFD" w:rsidP="005017D1">
      <w:pPr>
        <w:ind w:left="709" w:hanging="1"/>
        <w:rPr>
          <w:i/>
          <w:szCs w:val="24"/>
        </w:rPr>
      </w:pPr>
      <w:r w:rsidRPr="006A377C">
        <w:rPr>
          <w:b/>
          <w:szCs w:val="24"/>
        </w:rPr>
        <w:t xml:space="preserve">Комментарии: </w:t>
      </w:r>
      <w:r w:rsidRPr="006A377C">
        <w:rPr>
          <w:i/>
          <w:szCs w:val="24"/>
        </w:rPr>
        <w:t>у пациентов с МДС, протекающим с бластозом, возможно осуществление терапии меркаптопурином**. Препарат назначают в дозе 60 мг/м</w:t>
      </w:r>
      <w:r w:rsidRPr="006A377C">
        <w:rPr>
          <w:i/>
          <w:szCs w:val="24"/>
          <w:vertAlign w:val="superscript"/>
        </w:rPr>
        <w:t>2</w:t>
      </w:r>
      <w:r w:rsidRPr="006A377C">
        <w:rPr>
          <w:i/>
          <w:szCs w:val="24"/>
        </w:rPr>
        <w:t xml:space="preserve"> внутрь за 2 приема в постоянном режиме с коррекцией дозы или отменой при </w:t>
      </w:r>
      <w:r w:rsidRPr="006A377C">
        <w:rPr>
          <w:i/>
          <w:szCs w:val="24"/>
        </w:rPr>
        <w:lastRenderedPageBreak/>
        <w:t>развитии глубокой цитопении. При снижении числа лейкоцитов менее 3,0×10</w:t>
      </w:r>
      <w:r w:rsidRPr="006A377C">
        <w:rPr>
          <w:i/>
          <w:szCs w:val="24"/>
          <w:vertAlign w:val="superscript"/>
        </w:rPr>
        <w:t>9</w:t>
      </w:r>
      <w:r w:rsidRPr="006A377C">
        <w:rPr>
          <w:i/>
          <w:szCs w:val="24"/>
        </w:rPr>
        <w:t>/л доза препарата снижается на 25%, менее 2,0×10</w:t>
      </w:r>
      <w:r w:rsidRPr="006A377C">
        <w:rPr>
          <w:i/>
          <w:szCs w:val="24"/>
          <w:vertAlign w:val="superscript"/>
        </w:rPr>
        <w:t>9</w:t>
      </w:r>
      <w:r w:rsidRPr="006A377C">
        <w:rPr>
          <w:i/>
          <w:szCs w:val="24"/>
        </w:rPr>
        <w:t>/л – на 50%, а при падении до уровня менее 1,5×10</w:t>
      </w:r>
      <w:r w:rsidRPr="006A377C">
        <w:rPr>
          <w:i/>
          <w:szCs w:val="24"/>
          <w:vertAlign w:val="superscript"/>
        </w:rPr>
        <w:t>9</w:t>
      </w:r>
      <w:r w:rsidRPr="006A377C">
        <w:rPr>
          <w:i/>
          <w:szCs w:val="24"/>
        </w:rPr>
        <w:t xml:space="preserve">/л отменяется до восстановления показателей, когда лечение можно будет возобновить. Терапия меркаптопурином**, как правило, рассматривается исключительно в качестве паллиативного подхода </w:t>
      </w:r>
      <w:r w:rsidRPr="006A377C">
        <w:rPr>
          <w:szCs w:val="24"/>
        </w:rPr>
        <w:fldChar w:fldCharType="begin" w:fldLock="1"/>
      </w:r>
      <w:r w:rsidR="00255EFA">
        <w:rPr>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id":"ITEM-2","itemData":{"author":[{"dropping-particle":"","family":"Ширин","given":"А.Д.","non-dropping-particle":"","parse-names":false,"suffix":""},{"dropping-particle":"","family":"Френкель","given":"М.А.","non-dropping-particle":"","parse-names":false,"suffix":""}],"container-title":"Клиническая онкогематология: руководство для врачей. Под ред. Волковой М.А.. 2-е изд., перераб. и доп.","id":"ITEM-2","issued":{"date-parts":[["2007"]]},"page":"502-551","title":"Миелодиспластические синдромы","type":"chapter"},"uris":["http://www.mendeley.com/documents/?uuid=9f2eca44-a3a8-4eb4-90b5-a52e4e769482"]}],"mendeley":{"formattedCitation":"[1,2]","plainTextFormattedCitation":"[1,2]","previouslyFormattedCitation":"[1,2]"},"properties":{"noteIndex":0},"schema":"https://github.com/citation-style-language/schema/raw/master/csl-citation.json"}</w:instrText>
      </w:r>
      <w:r w:rsidRPr="006A377C">
        <w:rPr>
          <w:szCs w:val="24"/>
        </w:rPr>
        <w:fldChar w:fldCharType="separate"/>
      </w:r>
      <w:r w:rsidR="007626C2" w:rsidRPr="007626C2">
        <w:rPr>
          <w:noProof/>
          <w:szCs w:val="24"/>
        </w:rPr>
        <w:t>[1,2]</w:t>
      </w:r>
      <w:r w:rsidRPr="006A377C">
        <w:rPr>
          <w:szCs w:val="24"/>
        </w:rPr>
        <w:fldChar w:fldCharType="end"/>
      </w:r>
      <w:r w:rsidRPr="006A377C">
        <w:rPr>
          <w:i/>
          <w:szCs w:val="24"/>
        </w:rPr>
        <w:t>.</w:t>
      </w:r>
    </w:p>
    <w:p w14:paraId="5F7450BE" w14:textId="77777777" w:rsidR="00F20CFD" w:rsidRPr="006A377C" w:rsidRDefault="00F20CFD" w:rsidP="005F2F2B">
      <w:pPr>
        <w:pStyle w:val="aff"/>
        <w:numPr>
          <w:ilvl w:val="0"/>
          <w:numId w:val="19"/>
        </w:numPr>
        <w:ind w:left="709" w:hanging="425"/>
        <w:rPr>
          <w:szCs w:val="24"/>
        </w:rPr>
      </w:pPr>
      <w:r w:rsidRPr="006A377C">
        <w:rPr>
          <w:szCs w:val="24"/>
        </w:rPr>
        <w:t xml:space="preserve">Пациентам с МДС из группы промежуточного-1 риска, при наличии неблагоприятных аномалий кариотипа, промежуточного-2 или высокого риска по шкале </w:t>
      </w:r>
      <w:r w:rsidRPr="006A377C">
        <w:rPr>
          <w:szCs w:val="24"/>
          <w:lang w:val="en-US"/>
        </w:rPr>
        <w:t>IPSS</w:t>
      </w:r>
      <w:r w:rsidRPr="006A377C">
        <w:rPr>
          <w:szCs w:val="24"/>
        </w:rPr>
        <w:t xml:space="preserve"> или из группы промежуточного, высокого и очень высокого риска по шкале </w:t>
      </w:r>
      <w:r w:rsidRPr="006A377C">
        <w:rPr>
          <w:szCs w:val="24"/>
          <w:lang w:val="en-US"/>
        </w:rPr>
        <w:t>IPSS</w:t>
      </w:r>
      <w:r w:rsidRPr="006A377C">
        <w:rPr>
          <w:szCs w:val="24"/>
        </w:rPr>
        <w:t>-</w:t>
      </w:r>
      <w:r w:rsidRPr="006A377C">
        <w:rPr>
          <w:szCs w:val="24"/>
          <w:lang w:val="en-US"/>
        </w:rPr>
        <w:t>R</w:t>
      </w:r>
      <w:r w:rsidRPr="006A377C">
        <w:rPr>
          <w:szCs w:val="24"/>
        </w:rPr>
        <w:t xml:space="preserve"> (</w:t>
      </w:r>
      <w:r w:rsidR="00B63F37">
        <w:rPr>
          <w:szCs w:val="24"/>
        </w:rPr>
        <w:t>см. раздел 7.1 данных рекомендаций</w:t>
      </w:r>
      <w:r w:rsidRPr="006A377C">
        <w:rPr>
          <w:szCs w:val="24"/>
        </w:rPr>
        <w:t>) в возрасте &lt;60</w:t>
      </w:r>
      <w:r w:rsidRPr="006A377C">
        <w:rPr>
          <w:i/>
          <w:szCs w:val="24"/>
        </w:rPr>
        <w:t>–</w:t>
      </w:r>
      <w:r w:rsidRPr="006A377C">
        <w:rPr>
          <w:szCs w:val="24"/>
        </w:rPr>
        <w:t xml:space="preserve">65 лет, при отсутствии тяжелых сопутствующих заболеваний, а также пациентам с МДС без избытка бластов из группы промежуточного-1 риска по шкале </w:t>
      </w:r>
      <w:r w:rsidRPr="006A377C">
        <w:rPr>
          <w:szCs w:val="24"/>
          <w:lang w:val="en-US"/>
        </w:rPr>
        <w:t>IPSS</w:t>
      </w:r>
      <w:r w:rsidRPr="006A377C">
        <w:rPr>
          <w:szCs w:val="24"/>
        </w:rPr>
        <w:t xml:space="preserve"> и промежуточного риска по шкале </w:t>
      </w:r>
      <w:r w:rsidRPr="006A377C">
        <w:rPr>
          <w:szCs w:val="24"/>
          <w:lang w:val="en-US"/>
        </w:rPr>
        <w:t>IPSS</w:t>
      </w:r>
      <w:r w:rsidRPr="006A377C">
        <w:rPr>
          <w:szCs w:val="24"/>
        </w:rPr>
        <w:t>-</w:t>
      </w:r>
      <w:r w:rsidRPr="006A377C">
        <w:rPr>
          <w:szCs w:val="24"/>
          <w:lang w:val="en-US"/>
        </w:rPr>
        <w:t>R</w:t>
      </w:r>
      <w:r w:rsidRPr="006A377C">
        <w:rPr>
          <w:szCs w:val="24"/>
        </w:rPr>
        <w:t xml:space="preserve"> моложе 40</w:t>
      </w:r>
      <w:r w:rsidRPr="006A377C">
        <w:rPr>
          <w:i/>
          <w:szCs w:val="24"/>
        </w:rPr>
        <w:t>–</w:t>
      </w:r>
      <w:r w:rsidRPr="006A377C">
        <w:rPr>
          <w:szCs w:val="24"/>
        </w:rPr>
        <w:t xml:space="preserve">50 лет, резистентным к проводимой терапии, с выраженной зависимостью от трансфузий компонентами крови, </w:t>
      </w:r>
      <w:r w:rsidRPr="006A377C">
        <w:rPr>
          <w:b/>
          <w:szCs w:val="24"/>
        </w:rPr>
        <w:t>рекомендуется</w:t>
      </w:r>
      <w:r w:rsidRPr="006A377C">
        <w:rPr>
          <w:szCs w:val="24"/>
        </w:rPr>
        <w:t xml:space="preserve"> проведение алло-ТГСК </w:t>
      </w:r>
      <w:r w:rsidRPr="006A377C">
        <w:rPr>
          <w:rStyle w:val="af"/>
          <w:sz w:val="24"/>
          <w:szCs w:val="24"/>
        </w:rPr>
        <w:t xml:space="preserve">с целью достижения полного биологического излечения </w:t>
      </w:r>
      <w:r w:rsidRPr="006A377C">
        <w:rPr>
          <w:szCs w:val="24"/>
        </w:rPr>
        <w:fldChar w:fldCharType="begin" w:fldLock="1"/>
      </w:r>
      <w:r w:rsidR="00AE1E12">
        <w:rPr>
          <w:szCs w:val="24"/>
        </w:rPr>
        <w:instrText>ADDIN CSL_CITATION {"citationItems":[{"id":"ITEM-1","itemData":{"DOI":"10.1016/j.bbmt.2008.12.003","ISSN":"15236536","abstract":"Clinical research examining the role of hematopoietic stem cell transplantation (SCT) in the therapy of myelodysplastic syndromes (MDS) in adults is presented and critically evaluated in this systematic evidence-based review. Specific criteria were used for searching the published literature and for grading the quality and strength of the evidence and the strength of the treatment recommendations. Treatment recommendations based on the evidence are presented in Table 3, and were reached unanimously by a panel of MDS experts. The identified priority areas of needed future research in MDS include: (1) the benefit of using alternative donor sources (eg, cord blood; haploidentical family donors) for patients without matched sibling or unrelated donors; (2) the role and appropriate timing of allogeneic SCT in combination with hypomethylating and immunomodulatory treatment regimens; (3) randomized trials comparing the safety and efficacy of various novel agents for treating MDS; and (4) the influence of the various MDS treatment modalities on patient-reported quality-of-life outcomes. © 2009 American Society for Blood and Marrow Transplantation.","author":[{"dropping-particle":"","family":"Oliansky","given":"Denise M.","non-dropping-particle":"","parse-names":false,"suffix":""},{"dropping-particle":"","family":"Antin","given":"Joseph H.","non-dropping-particle":"","parse-names":false,"suffix":""},{"dropping-particle":"","family":"Bennett","given":"John M.","non-dropping-particle":"","parse-names":false,"suffix":""},{"dropping-particle":"","family":"Deeg","given":"H. Joachim","non-dropping-particle":"","parse-names":false,"suffix":""},{"dropping-particle":"","family":"Engelhardt","given":"Christin","non-dropping-particle":"","parse-names":false,"suffix":""},{"dropping-particle":"V.","family":"Heptinstall","given":"Kathleen","non-dropping-particle":"","parse-names":false,"suffix":""},{"dropping-particle":"","family":"Lima","given":"Marcos","non-dropping-particle":"de","parse-names":false,"suffix":""},{"dropping-particle":"","family":"Gore","given":"Steven D.","non-dropping-particle":"","parse-names":false,"suffix":""},{"dropping-particle":"","family":"Potts","given":"Ronald G.","non-dropping-particle":"","parse-names":false,"suffix":""},{"dropping-particle":"","family":"Silverman","given":"Lewis R.","non-dropping-particle":"","parse-names":false,"suffix":""},{"dropping-particle":"","family":"Jones","given":"Roy B.","non-dropping-particle":"","parse-names":false,"suffix":""},{"dropping-particle":"","family":"McCarthy","given":"Philip L.","non-dropping-particle":"","parse-names":false,"suffix":""},{"dropping-particle":"","family":"Hahn","given":"Theresa","non-dropping-particle":"","parse-names":false,"suffix":""}],"container-title":"Biology of Blood and Marrow Transplantation","id":"ITEM-1","issue":"2","issued":{"date-parts":[["2009"]]},"page":"137-172","publisher":"Elsevier Inc.","title":"The Role of Cytotoxic Therapy with Hematopoietic Stem Cell Transplantation in the Therapy of Myelodysplastic Syndromes: An Evidence-Based Review","type":"article","volume":"15"},"uris":["http://www.mendeley.com/documents/?uuid=39a45ccb-cef6-3171-bb47-c2d32c0f6879"]}],"mendeley":{"formattedCitation":"[104]","plainTextFormattedCitation":"[104]","previouslyFormattedCitation":"[104]"},"properties":{"noteIndex":0},"schema":"https://github.com/citation-style-language/schema/raw/master/csl-citation.json"}</w:instrText>
      </w:r>
      <w:r w:rsidRPr="006A377C">
        <w:rPr>
          <w:szCs w:val="24"/>
        </w:rPr>
        <w:fldChar w:fldCharType="separate"/>
      </w:r>
      <w:r w:rsidR="00AE1E12" w:rsidRPr="00AE1E12">
        <w:rPr>
          <w:noProof/>
          <w:szCs w:val="24"/>
        </w:rPr>
        <w:t>[104]</w:t>
      </w:r>
      <w:r w:rsidRPr="006A377C">
        <w:rPr>
          <w:szCs w:val="24"/>
        </w:rPr>
        <w:fldChar w:fldCharType="end"/>
      </w:r>
      <w:r w:rsidRPr="006A377C">
        <w:rPr>
          <w:szCs w:val="24"/>
        </w:rPr>
        <w:t>.</w:t>
      </w:r>
    </w:p>
    <w:p w14:paraId="0C4A7560" w14:textId="77777777" w:rsidR="00F20CFD" w:rsidRPr="006A377C" w:rsidRDefault="00F20CFD" w:rsidP="005017D1">
      <w:pPr>
        <w:ind w:left="709" w:hanging="1"/>
        <w:rPr>
          <w:b/>
          <w:szCs w:val="24"/>
        </w:rPr>
      </w:pPr>
      <w:r w:rsidRPr="006A377C">
        <w:rPr>
          <w:b/>
          <w:szCs w:val="24"/>
        </w:rPr>
        <w:t xml:space="preserve">Уровень убедительности рекомендаций </w:t>
      </w:r>
      <w:r w:rsidR="00ED6675">
        <w:rPr>
          <w:b/>
          <w:szCs w:val="24"/>
        </w:rPr>
        <w:t>С</w:t>
      </w:r>
      <w:r w:rsidR="00ED6675" w:rsidRPr="006A377C">
        <w:rPr>
          <w:b/>
          <w:szCs w:val="24"/>
        </w:rPr>
        <w:t xml:space="preserve"> </w:t>
      </w:r>
      <w:r w:rsidRPr="006A377C">
        <w:rPr>
          <w:b/>
          <w:szCs w:val="24"/>
        </w:rPr>
        <w:t xml:space="preserve">(уровень достоверности доказательств – </w:t>
      </w:r>
      <w:r w:rsidR="00ED6675">
        <w:rPr>
          <w:b/>
          <w:szCs w:val="24"/>
        </w:rPr>
        <w:t>5</w:t>
      </w:r>
      <w:r w:rsidRPr="006A377C">
        <w:rPr>
          <w:b/>
          <w:szCs w:val="24"/>
        </w:rPr>
        <w:t>)</w:t>
      </w:r>
    </w:p>
    <w:p w14:paraId="1F858A04" w14:textId="77777777" w:rsidR="00F20CFD" w:rsidRPr="006A377C" w:rsidRDefault="00F20CFD" w:rsidP="005017D1">
      <w:pPr>
        <w:ind w:left="709" w:hanging="1"/>
        <w:rPr>
          <w:i/>
          <w:szCs w:val="24"/>
        </w:rPr>
      </w:pPr>
      <w:r w:rsidRPr="006A377C">
        <w:rPr>
          <w:b/>
          <w:szCs w:val="24"/>
        </w:rPr>
        <w:t xml:space="preserve">Комментарии: </w:t>
      </w:r>
      <w:r w:rsidRPr="006A377C">
        <w:rPr>
          <w:i/>
          <w:szCs w:val="24"/>
        </w:rPr>
        <w:t xml:space="preserve">рекомендации по проведению алло-ТГСК у пациентов с МДС опираются на проспективные рандомизированные и нерандомизированные, а также групповые КИ. По данным Международного регистра по трансплантации костного мозга (IBMTR), основанном на анализе результатов лечения 387 взрослых пациентов с МДС, которым была выполнена алло-ТГСК от HLA-идентичного сиблинга, кумулятивная смертность, связанная с трансплантацией, составила 32% в течение 1 года и 37% в течение 3 лет, кумулятивная частота рецидивов 17% и 23%, ОВ – 53% и 40% соответственно. Количество бластных клеток в КМ и риск по IPSS показали обратную зависимость с безрецидивной выживаемостью после трансплантации. Выживаемость без прогрессирования у пациентов из группы низкого или промежуточного-1 риска по шкале IPSS в течение 5 лет составила 60%, промежуточного-2 – 36–44% и высокого риска – 28–30%. </w:t>
      </w:r>
    </w:p>
    <w:p w14:paraId="610C8063" w14:textId="77777777" w:rsidR="00F20CFD" w:rsidRPr="006A377C" w:rsidRDefault="00F20CFD" w:rsidP="005017D1">
      <w:pPr>
        <w:ind w:left="709" w:hanging="1"/>
        <w:rPr>
          <w:i/>
          <w:szCs w:val="24"/>
        </w:rPr>
      </w:pPr>
      <w:r w:rsidRPr="006A377C">
        <w:rPr>
          <w:i/>
          <w:szCs w:val="24"/>
        </w:rPr>
        <w:t xml:space="preserve">Оптимальные сроки для выполнения алло-ТГСК от HLA-совместимого донора при МДС определены в анализе клинических решений IBMTR. В этом исследовании было показано, что продолжительность жизни у пациентов из группы низкого или промежуточного-1 риска по шкале IPSS была выше, когда трансплантация была отсрочена во времени, но выполнялась до трансформации в ОМЛ. Напротив, для пациентов из групп промежуточного-2 и высокого риска именно немедленная </w:t>
      </w:r>
      <w:r w:rsidRPr="006A377C">
        <w:rPr>
          <w:i/>
          <w:szCs w:val="24"/>
        </w:rPr>
        <w:lastRenderedPageBreak/>
        <w:t xml:space="preserve">трансплантация существенно улучшает показатели выживаемости. Привлечение неродственного донора в случае отсутствия совместимого по системе HLA родственного донора не приводит к увеличению летальности. </w:t>
      </w:r>
    </w:p>
    <w:p w14:paraId="37A63400" w14:textId="2420163F" w:rsidR="00F20CFD" w:rsidRPr="006A377C" w:rsidRDefault="00F20CFD" w:rsidP="005017D1">
      <w:pPr>
        <w:ind w:left="709" w:hanging="1"/>
        <w:rPr>
          <w:i/>
          <w:szCs w:val="24"/>
        </w:rPr>
      </w:pPr>
      <w:r w:rsidRPr="006A377C">
        <w:rPr>
          <w:i/>
          <w:szCs w:val="24"/>
        </w:rPr>
        <w:t>Риск заболевания в соответствии с IPSS, возраст и наличие сопутствующей патологии, оцененные по индексу коморбидности ТГСК (HCT-CI – см. Приложение Г</w:t>
      </w:r>
      <w:r w:rsidR="00B63F37">
        <w:rPr>
          <w:i/>
          <w:szCs w:val="24"/>
        </w:rPr>
        <w:t>3</w:t>
      </w:r>
      <w:r w:rsidRPr="006A377C">
        <w:rPr>
          <w:i/>
          <w:szCs w:val="24"/>
        </w:rPr>
        <w:t xml:space="preserve"> </w:t>
      </w:r>
      <w:r w:rsidRPr="006A377C">
        <w:rPr>
          <w:i/>
          <w:szCs w:val="24"/>
        </w:rPr>
        <w:fldChar w:fldCharType="begin" w:fldLock="1"/>
      </w:r>
      <w:r w:rsidR="00F15197">
        <w:rPr>
          <w:i/>
          <w:szCs w:val="24"/>
        </w:rPr>
        <w:instrText>ADDIN CSL_CITATION {"citationItems":[{"id":"ITEM-1","itemData":{"DOI":"10.1182/blood-2005-05-2004","ISSN":"0006-4971","PMID":"15994282","abstract":"We previously reported that the Charlson Comorbidity Index (CCI) was useful for predicting outcomes in patients undergoing allogeneic hematopoietic cell transplantation (HCT). However, the sample size of patients with scores of 1 or more, captured by the CCI, did not exceed 35%. Further, some comorbidities were rarely found among patients who underwent HCT. Therefore, the current study was designed to (1) better define previously identified comorbidities using pretransplant laboratory data, (2) investigate additional HCT-related comorbidities, and (3) establish comorbidity scores that were suited for HCT. Data were collected from 1055 patients, and then randomly divided into training and validation sets. Weights were assigned to individual comorbidities according to their prognostic significance in Cox proportional hazard models. The new index was then validated. The new index proved to be more sensitive than the CCI since it captured 62% of patients with scores more than 0 compared with 12%, respectively. Further, the new index showed better survival prediction than the CCI (likelihood ratio of 23.7 versus 7.1 and c statistics of 0.661 versus 0.561, respectively, P &lt; .001). In conclusion, the new simple index provided valid and reliable scoring of pretransplant comorbidities that predicted nonrelapse mortality and survival. This index will be useful for clinical trials and patient counseling before HCT.","author":[{"dropping-particle":"","family":"Sorror","given":"Mohamed L","non-dropping-particle":"","parse-names":false,"suffix":""},{"dropping-particle":"","family":"Maris","given":"Michael B","non-dropping-particle":"","parse-names":false,"suffix":""},{"dropping-particle":"","family":"Storb","given":"Rainer","non-dropping-particle":"","parse-names":false,"suffix":""},{"dropping-particle":"","family":"Baron","given":"Frederic","non-dropping-particle":"","parse-names":false,"suffix":""},{"dropping-particle":"","family":"Sandmaier","given":"Brenda M","non-dropping-particle":"","parse-names":false,"suffix":""},{"dropping-particle":"","family":"Maloney","given":"David G","non-dropping-particle":"","parse-names":false,"suffix":""},{"dropping-particle":"","family":"Storer","given":"Barry","non-dropping-particle":"","parse-names":false,"suffix":""}],"container-title":"Blood","id":"ITEM-1","issue":"8","issued":{"date-parts":[["2005","10","15"]]},"page":"2912-9","publisher":"The American Society of Hematology","title":"Hematopoietic cell transplantation (HCT)-specific comorbidity index: a new tool for risk assessment before allogeneic HCT.","type":"article-journal","volume":"106"},"uris":["http://www.mendeley.com/documents/?uuid=93f8ea95-5d4b-450a-a6fa-9a8772dd6e52"]}],"mendeley":{"formattedCitation":"[105]","plainTextFormattedCitation":"[105]","previouslyFormattedCitation":"[105]"},"properties":{"noteIndex":0},"schema":"https://github.com/citation-style-language/schema/raw/master/csl-citation.json"}</w:instrText>
      </w:r>
      <w:r w:rsidRPr="006A377C">
        <w:rPr>
          <w:i/>
          <w:szCs w:val="24"/>
        </w:rPr>
        <w:fldChar w:fldCharType="separate"/>
      </w:r>
      <w:r w:rsidR="00AE1E12" w:rsidRPr="00AE1E12">
        <w:rPr>
          <w:noProof/>
          <w:szCs w:val="24"/>
        </w:rPr>
        <w:t>[105]</w:t>
      </w:r>
      <w:r w:rsidRPr="006A377C">
        <w:rPr>
          <w:i/>
          <w:szCs w:val="24"/>
        </w:rPr>
        <w:fldChar w:fldCharType="end"/>
      </w:r>
      <w:r w:rsidRPr="006A377C">
        <w:rPr>
          <w:i/>
          <w:szCs w:val="24"/>
        </w:rPr>
        <w:t>) являются наиболее значимыми клиническими данными при рассмотрении вопроса о проведении пациенту алло-ТГСК.</w:t>
      </w:r>
    </w:p>
    <w:p w14:paraId="7E25BC43" w14:textId="77777777" w:rsidR="00F20CFD" w:rsidRPr="006A377C" w:rsidRDefault="00F20CFD" w:rsidP="005017D1">
      <w:pPr>
        <w:ind w:left="709" w:hanging="1"/>
        <w:rPr>
          <w:i/>
          <w:szCs w:val="24"/>
        </w:rPr>
      </w:pPr>
      <w:r w:rsidRPr="006A377C">
        <w:rPr>
          <w:i/>
          <w:szCs w:val="24"/>
        </w:rPr>
        <w:t>Проведение алло-ТГСК должно быть совместным решением врача</w:t>
      </w:r>
      <w:r w:rsidR="005956AC">
        <w:rPr>
          <w:i/>
          <w:szCs w:val="24"/>
        </w:rPr>
        <w:t xml:space="preserve">, </w:t>
      </w:r>
      <w:r w:rsidRPr="006A377C">
        <w:rPr>
          <w:i/>
          <w:szCs w:val="24"/>
        </w:rPr>
        <w:t>пациента</w:t>
      </w:r>
      <w:r w:rsidR="005956AC">
        <w:rPr>
          <w:i/>
          <w:szCs w:val="24"/>
        </w:rPr>
        <w:t xml:space="preserve"> и его семьи</w:t>
      </w:r>
      <w:r w:rsidRPr="006A377C">
        <w:rPr>
          <w:i/>
          <w:szCs w:val="24"/>
        </w:rPr>
        <w:t xml:space="preserve">, поскольку </w:t>
      </w:r>
      <w:r w:rsidR="005956AC">
        <w:rPr>
          <w:i/>
          <w:szCs w:val="24"/>
        </w:rPr>
        <w:t xml:space="preserve">их </w:t>
      </w:r>
      <w:r w:rsidRPr="006A377C">
        <w:rPr>
          <w:i/>
          <w:szCs w:val="24"/>
        </w:rPr>
        <w:t>отношение к риску является определяющим.</w:t>
      </w:r>
    </w:p>
    <w:p w14:paraId="08B4557F" w14:textId="77777777" w:rsidR="00F20CFD" w:rsidRPr="006A377C" w:rsidRDefault="00F20CFD" w:rsidP="00EA7BF5">
      <w:pPr>
        <w:pStyle w:val="2"/>
      </w:pPr>
      <w:bookmarkStart w:id="18" w:name="_Toc5275581"/>
      <w:bookmarkStart w:id="19" w:name="_Toc65104093"/>
      <w:r w:rsidRPr="006A377C">
        <w:rPr>
          <w:rStyle w:val="affb"/>
          <w:b/>
          <w:bCs w:val="0"/>
        </w:rPr>
        <w:t>3.2. Сопроводительная терапия</w:t>
      </w:r>
      <w:bookmarkEnd w:id="18"/>
      <w:bookmarkEnd w:id="19"/>
    </w:p>
    <w:p w14:paraId="0940A60F" w14:textId="77777777" w:rsidR="00F20CFD" w:rsidRPr="006A377C" w:rsidRDefault="00F20CFD" w:rsidP="005F2F2B">
      <w:pPr>
        <w:pStyle w:val="afd"/>
        <w:numPr>
          <w:ilvl w:val="0"/>
          <w:numId w:val="27"/>
        </w:numPr>
        <w:spacing w:beforeAutospacing="0" w:afterAutospacing="0" w:line="360" w:lineRule="auto"/>
        <w:ind w:left="709" w:hanging="425"/>
      </w:pPr>
      <w:r w:rsidRPr="006A377C">
        <w:rPr>
          <w:rStyle w:val="affb"/>
          <w:b w:val="0"/>
        </w:rPr>
        <w:t>Всем пациентам с МДС</w:t>
      </w:r>
      <w:r w:rsidRPr="006A377C">
        <w:t xml:space="preserve"> при проведении ХТ</w:t>
      </w:r>
      <w:r w:rsidRPr="006A377C">
        <w:rPr>
          <w:rStyle w:val="affb"/>
        </w:rPr>
        <w:t xml:space="preserve"> рекомендуется </w:t>
      </w:r>
      <w:r w:rsidRPr="006A377C">
        <w:t>с целью профилактики тошноты и рвоты введение</w:t>
      </w:r>
      <w:r w:rsidR="00ED6675">
        <w:t xml:space="preserve"> противорвотных препаратов</w:t>
      </w:r>
      <w:r w:rsidRPr="006A377C">
        <w:t xml:space="preserve"> </w:t>
      </w:r>
      <w:r w:rsidRPr="006A377C">
        <w:fldChar w:fldCharType="begin" w:fldLock="1"/>
      </w:r>
      <w:r w:rsidR="00AE1E12">
        <w:instrText>ADDIN CSL_CITATION {"citationItems":[{"id":"ITEM-1","itemData":{"DOI":"10.1007/s00520-010-1073-9","ISSN":"1433-7339","PMID":"21258948","abstract":"BACKGROUND Chemotherapy-induced nausea and vomiting (CINV) are major adverse effects of cancer chemotherapy. This study investigated: (1) the impact of CINV on patients' health-related quality of life (HRQL) in daily clinical practice; (2) the association between patient characteristics and type of antiemetics and CINV; and (3) the role of CINV in physicians' decisions to modify antiemetic treatment. PATIENTS AND METHODS This prospective, multicenter study was conducted in nine general hospitals in the Netherlands. During three consecutive chemotherapy cycles, patients used a diary to record episodes of nausea, vomiting and antiemetic use. For each cycle, these ratings were made 1 day prior to and 7 days after having received chemotherapy. The influence of CINV on patients' HRQL was evaluated with the Functional Living Index-Emesis (FLIE) questionnaire at day 6 of each treatment cycle. (Changes in) antiemetic use were recorded by the treating nurse. Patient inclusion took place between May 2005 and May 2007. RESULTS Two hundred seventy-seven patients were enrolled in the study. Acute and delayed nausea during the first treatment cycle was reported by 39% and 68% of the patients, respectively. The comparable figures for acute and delayed vomiting were 12% and 23%. During the first and subsequent treatment cycle, approximately one-third of the patients indicated that CINV had a substantial impact on their daily lives. Female patients and younger patients reported significantly more CINV than male and older patients. At all treatment cycles, patients receiving treatment with moderately emetogenic chemotherapy, containing anthracycline, reported more acute nausea than patients receiving highly emetogenic chemotherapy. Acute vomiting was associated significantly with change in (i.e., additional) antiemetic treatment. Delayed CINV did not influence antiemetic treatment. CONCLUSION CINV continues to be a problem that adversely affects the daily lives of patients. CINV is worse in women and in younger patients. In daily clinical practice, acute CINV, but not delayed CINV, results in changes in antiemetic treatment. In view of the effects of not only acute, but also delayed CINV on daily life, more attention should be paid to adjustment of antiemetic treatment to cover CINV complaints, later during the chemotherapy cycle.","author":[{"dropping-particle":"","family":"Hilarius","given":"Doranne L","non-dropping-particle":"","parse-names":false,"suffix":""},{"dropping-particle":"","family":"Kloeg","given":"Paul H","non-dropping-particle":"","parse-names":false,"suffix":""},{"dropping-particle":"","family":"Wall","given":"Elsken","non-dropping-particle":"van der","parse-names":false,"suffix":""},{"dropping-particle":"","family":"Heuvel","given":"Joris J G","non-dropping-particle":"van den","parse-names":false,"suffix":""},{"dropping-particle":"","family":"Gundy","given":"Chad M","non-dropping-particle":"","parse-names":false,"suffix":""},{"dropping-particle":"","family":"Aaronson","given":"Neil K","non-dropping-particle":"","parse-names":false,"suffix":""}],"container-title":"Supportive care in cancer : official journal of the Multinational Association of Supportive Care in Cancer","id":"ITEM-1","issue":"1","issued":{"date-parts":[["2012","1"]]},"page":"107-17","title":"Chemotherapy-induced nausea and vomiting in daily clinical practice: a community hospital-based study.","type":"article-journal","volume":"20"},"uris":["http://www.mendeley.com/documents/?uuid=36102d70-1e33-3d03-b081-7722f77df0e7"]}],"mendeley":{"formattedCitation":"[106]","plainTextFormattedCitation":"[106]","previouslyFormattedCitation":"[106]"},"properties":{"noteIndex":0},"schema":"https://github.com/citation-style-language/schema/raw/master/csl-citation.json"}</w:instrText>
      </w:r>
      <w:r w:rsidRPr="006A377C">
        <w:fldChar w:fldCharType="separate"/>
      </w:r>
      <w:r w:rsidR="00AE1E12" w:rsidRPr="00AE1E12">
        <w:rPr>
          <w:noProof/>
        </w:rPr>
        <w:t>[106]</w:t>
      </w:r>
      <w:r w:rsidRPr="006A377C">
        <w:fldChar w:fldCharType="end"/>
      </w:r>
      <w:r w:rsidRPr="006A377C">
        <w:t>.</w:t>
      </w:r>
    </w:p>
    <w:p w14:paraId="102F346A" w14:textId="77777777" w:rsidR="00F20CFD" w:rsidRPr="006A377C" w:rsidRDefault="00F20CFD" w:rsidP="00C413F9">
      <w:pPr>
        <w:pStyle w:val="afd"/>
        <w:spacing w:beforeAutospacing="0" w:afterAutospacing="0" w:line="360" w:lineRule="auto"/>
        <w:ind w:left="709" w:hanging="1"/>
        <w:rPr>
          <w:rStyle w:val="affb"/>
        </w:rPr>
      </w:pPr>
      <w:r w:rsidRPr="006A377C">
        <w:rPr>
          <w:rStyle w:val="affb"/>
        </w:rPr>
        <w:t xml:space="preserve">Уровень убедительности рекомендаций </w:t>
      </w:r>
      <w:r w:rsidRPr="006A377C">
        <w:rPr>
          <w:rStyle w:val="affb"/>
          <w:lang w:val="en-US"/>
        </w:rPr>
        <w:t>B</w:t>
      </w:r>
      <w:r w:rsidRPr="006A377C">
        <w:rPr>
          <w:rStyle w:val="affb"/>
        </w:rPr>
        <w:t xml:space="preserve"> (уровень достоверности доказательств – 3)</w:t>
      </w:r>
    </w:p>
    <w:p w14:paraId="7DFA8B5D" w14:textId="77777777" w:rsidR="00F20CFD" w:rsidRPr="006A377C" w:rsidRDefault="00F20CFD" w:rsidP="005F2F2B">
      <w:pPr>
        <w:pStyle w:val="afd"/>
        <w:numPr>
          <w:ilvl w:val="0"/>
          <w:numId w:val="27"/>
        </w:numPr>
        <w:spacing w:beforeAutospacing="0" w:afterAutospacing="0" w:line="360" w:lineRule="auto"/>
        <w:ind w:left="709" w:hanging="425"/>
        <w:rPr>
          <w:b/>
        </w:rPr>
      </w:pPr>
      <w:r w:rsidRPr="006A377C">
        <w:t xml:space="preserve">Всем пациентам с МДС при проведении индукционных курсов ХТ для профилактики гиперурикемии </w:t>
      </w:r>
      <w:r w:rsidRPr="006A377C">
        <w:rPr>
          <w:b/>
        </w:rPr>
        <w:t xml:space="preserve">рекомендуется </w:t>
      </w:r>
      <w:r w:rsidRPr="006A377C">
        <w:t>прием</w:t>
      </w:r>
      <w:r w:rsidRPr="006A377C">
        <w:rPr>
          <w:b/>
        </w:rPr>
        <w:t xml:space="preserve"> </w:t>
      </w:r>
      <w:r w:rsidRPr="006A377C">
        <w:t xml:space="preserve">аллопуринола** </w:t>
      </w:r>
      <w:r w:rsidRPr="006A377C">
        <w:fldChar w:fldCharType="begin" w:fldLock="1"/>
      </w:r>
      <w:r w:rsidR="00AE1E12">
        <w:instrText>ADDIN CSL_CITATION {"citationItems":[{"id":"ITEM-1","itemData":{"DOI":"10.1155/2017/9684909","ISSN":"16878469","abstract":"Tumor lysis syndrome is a metabolic complication that may follow the initiation of cancer therapy. It commonly occurs in hematological malignant patients particularly non-Hodgkin’s lymphoma and acute leukemia due to chemotherapy or spontaneously. It is characterized by a biochemical abnormality such as hyperuricemia, hyperkalemia, hyperphosphatemia, and hypocalcemia and its clinical outcome is directly related to these biochemical abnormalities. Prevention and treatment of tumor lysis syndrome depend on immediate recognition of patients at risk. Therefore, identifying patients at risk and prophylactic measures are important to minimize the clinical consequences of tumor lysis syndrome. Patients with low risk should receive hydration and allopurinol. On the other hand patients with high risk should receive hydration and rasburicase in an inpatient setting. It is important to start therapy immediately, to correct all parameters before cancer treatment, to assess risk level of patients for TLS, and to select treatment options based on the risk level. In this review a comprehensive search of literatures was performed using MEDLINE/PubMed, Hinari, the Cochrane library, and Google Scholar to summarize diagnostic criteria, incidence, predicting factors, prevention, and treatment options for tumor lysis syndrome in patients with hematological malignancies.","author":[{"dropping-particle":"","family":"Belay","given":"Yohannes","non-dropping-particle":"","parse-names":false,"suffix":""},{"dropping-particle":"","family":"Yirdaw","given":"Ketsela","non-dropping-particle":"","parse-names":false,"suffix":""},{"dropping-particle":"","family":"Enawgaw","given":"Bamlaku","non-dropping-particle":"","parse-names":false,"suffix":""}],"container-title":"Journal of Oncology","id":"ITEM-1","issued":{"date-parts":[["2017"]]},"publisher":"Hindawi Limited","title":"Tumor Lysis Syndrome in Patients with Hematological Malignancies","type":"article","volume":"2017"},"uris":["http://www.mendeley.com/documents/?uuid=d777ced3-4fc6-3bb9-b803-bbbb07b44f4b"]}],"mendeley":{"formattedCitation":"[107]","plainTextFormattedCitation":"[107]","previouslyFormattedCitation":"[107]"},"properties":{"noteIndex":0},"schema":"https://github.com/citation-style-language/schema/raw/master/csl-citation.json"}</w:instrText>
      </w:r>
      <w:r w:rsidRPr="006A377C">
        <w:fldChar w:fldCharType="separate"/>
      </w:r>
      <w:r w:rsidR="00AE1E12" w:rsidRPr="00AE1E12">
        <w:rPr>
          <w:noProof/>
        </w:rPr>
        <w:t>[107]</w:t>
      </w:r>
      <w:r w:rsidRPr="006A377C">
        <w:fldChar w:fldCharType="end"/>
      </w:r>
      <w:r w:rsidRPr="006A377C">
        <w:t>.</w:t>
      </w:r>
    </w:p>
    <w:p w14:paraId="0FC16C38" w14:textId="77777777" w:rsidR="00F20CFD" w:rsidRPr="006A377C" w:rsidRDefault="00F20CFD" w:rsidP="00C413F9">
      <w:pPr>
        <w:pStyle w:val="afd"/>
        <w:spacing w:beforeAutospacing="0" w:afterAutospacing="0" w:line="360" w:lineRule="auto"/>
        <w:ind w:left="709" w:hanging="1"/>
        <w:rPr>
          <w:b/>
        </w:rPr>
      </w:pPr>
      <w:r w:rsidRPr="006A377C">
        <w:rPr>
          <w:b/>
        </w:rPr>
        <w:t xml:space="preserve">Уровень убедительности рекомендаций </w:t>
      </w:r>
      <w:r w:rsidR="00563208">
        <w:rPr>
          <w:b/>
        </w:rPr>
        <w:t>С</w:t>
      </w:r>
      <w:r w:rsidRPr="006A377C">
        <w:rPr>
          <w:b/>
        </w:rPr>
        <w:t xml:space="preserve"> (уровень достоверности доказательств – </w:t>
      </w:r>
      <w:r w:rsidR="00563208">
        <w:rPr>
          <w:b/>
        </w:rPr>
        <w:t>5</w:t>
      </w:r>
      <w:r w:rsidRPr="006A377C">
        <w:rPr>
          <w:b/>
        </w:rPr>
        <w:t>)</w:t>
      </w:r>
    </w:p>
    <w:p w14:paraId="0A615685" w14:textId="75732640" w:rsidR="00F20CFD" w:rsidRPr="006A377C" w:rsidRDefault="00F20CFD" w:rsidP="005F2F2B">
      <w:pPr>
        <w:pStyle w:val="afd"/>
        <w:numPr>
          <w:ilvl w:val="0"/>
          <w:numId w:val="27"/>
        </w:numPr>
        <w:spacing w:beforeAutospacing="0" w:afterAutospacing="0" w:line="360" w:lineRule="auto"/>
        <w:ind w:left="709" w:hanging="425"/>
        <w:rPr>
          <w:b/>
        </w:rPr>
      </w:pPr>
      <w:r w:rsidRPr="006A377C">
        <w:rPr>
          <w:rStyle w:val="affb"/>
          <w:b w:val="0"/>
        </w:rPr>
        <w:t>Всем пациентам с МДС при развитии фебрильной нейтропении</w:t>
      </w:r>
      <w:r w:rsidRPr="006A377C">
        <w:rPr>
          <w:rStyle w:val="affb"/>
        </w:rPr>
        <w:t xml:space="preserve"> рекомендуется</w:t>
      </w:r>
      <w:r w:rsidRPr="006A377C">
        <w:t xml:space="preserve"> использовать в качестве антибиотиков первой линии цефоперазон + сульбактам**, пиперациллин + тазобактам, цефепим**, цефтазидим** для купирования инфекционных осложнений </w:t>
      </w:r>
      <w:r w:rsidRPr="006A377C">
        <w:fldChar w:fldCharType="begin" w:fldLock="1"/>
      </w:r>
      <w:r w:rsidR="00F15197">
        <w:instrText>ADDIN CSL_CITATION {"citationItems":[{"id":"ITEM-1","itemData":{"DOI":"10.3324/haematol.2013.091330","ISSN":"15928721","PMID":"24323984","abstract":"The detection of multi-resistant bacterial pathogens, particularly those to carbapenemases, in leukemic and stem cell transplant patients forces the use of old or non-conventional agents as the only remaining treatment options. These include colistin/polymyxin B, tigecycline, fosfomycin and various anti-gram-positive agents. Data on the use of these agents in leukemic patients are scanty, with only linezolid subjected to formal trials. The Expert Group of the 4th European Conference on Infections in Leukemia has developed guidelines for their use in these patient populations. Targeted therapy should be based on (i) in vitro susceptibility data, (ii) knowledge of the best treatment option against the particular species or phenotype of bacteria, (iii) pharmacokinetic/pharmacodynamic data, and (iv) careful assessment of the risk-benefit balance. For infections due to resistant Gram-negative bacteria, these agents should be preferably used in combination with other agents that remain active in vitro, because of suboptimal efficacy (e.g., tigecy-cline) and the risk of emergent resistance (e.g., fosfomycin). The paucity of new antibacterial drugs in the near future should lead us to limit the use of these drugs to situations where no alternative exists. © 2013 Ferrata Storti Foundation.","author":[{"dropping-particle":"","family":"Averbuch","given":"Diana","non-dropping-particle":"","parse-names":false,"suffix":""},{"dropping-particle":"","family":"Cordonnier","given":"Catherine","non-dropping-particle":"","parse-names":false,"suffix":""},{"dropping-particle":"","family":"Livermore","given":"David M.","non-dropping-particle":"","parse-names":false,"suffix":""},{"dropping-particle":"","family":"Mikulska","given":"Małgorzata","non-dropping-particle":"","parse-names":false,"suffix":""},{"dropping-particle":"","family":"Orasch","given":"Christina","non-dropping-particle":"","parse-names":false,"suffix":""},{"dropping-particle":"","family":"Viscoli","given":"Claudio","non-dropping-particle":"","parse-names":false,"suffix":""},{"dropping-particle":"","family":"Gyssens","given":"Inge C.","non-dropping-particle":"","parse-names":false,"suffix":""},{"dropping-particle":"V.","family":"Kern","given":"Winfried","non-dropping-particle":"","parse-names":false,"suffix":""},{"dropping-particle":"","family":"Klyasova","given":"Galina","non-dropping-particle":"","parse-names":false,"suffix":""},{"dropping-particle":"","family":"Marchetti","given":"Oscar","non-dropping-particle":"","parse-names":false,"suffix":""},{"dropping-particle":"","family":"Engelhard","given":"Dan","non-dropping-particle":"","parse-names":false,"suffix":""},{"dropping-particle":"","family":"Akova","given":"Murat","non-dropping-particle":"","parse-names":false,"suffix":""}],"container-title":"Haematologica","id":"ITEM-1","issue":"12","issued":{"date-parts":[["2013","12","1"]]},"page":"1836-1847","publisher":"Ferrata Storti Foundation","title":"Targeted therapy against multi-resistant bacteria in leukemic and hematopoietic stem cell transplant recipients: Guidelines of the 4th European conference on Infections in Leukemia (ECIL-4, 2011)","type":"article-journal","volume":"98"},"uris":["http://www.mendeley.com/documents/?uuid=49d65b4a-286f-48de-9fa8-11535bbffaa2"]},{"id":"ITEM-2","itemData":{"DOI":"10.1007/s00277-017-3098-3","ISSN":"14320584","abstract":"© 2017, The Author(s). Fever may be the only clinical symptom at the onset of infection in neutropenic cancer patients undergoing myelosuppressive chemotherapy. A prompt and evidence-based diagnostic and therapeutic approach is mandatory. A systematic search of current literature was conducted, including only full papers and excluding allogeneic hematopoietic stem cell transplant recipients. Recommendations for diagnosis and therapy were developed by an expert panel and approved after plenary discussion by the AGIHO. Randomized clinical trials were mainly available for therapeutic decisions, and new diagnostic procedures have been introduced into clinical practice in the past decade. Stratification into a high-risk versus low-risk patient population is recommended. In high-risk patients, initial empirical antimicrobial therapy should be active against pathogens most commonly involved in microbiologically documented and most threatening infections, including Pseudomonas aeruginosa, but excluding coagulase-negative staphylococci. In patients whose expected duration of neutropenia is more than 7 days and who do not respond to first-line antibacterial treatment, specifically in the absence of mold-active antifungal prophylaxis, further therapy should be directed also against fungi, in particular Aspergillus species. With regard to antimicrobial stewardship, treatment duration after defervescence in persistently neutropenic patients must be critically reconsidered and the choice of anti-infective agents adjusted to local epidemiology. This guideline updates recommendations for diagnosis and empirical therapy of fever of unknown origin in adult neutropenic cancer patients in light of the challenges of antimicrobial stewardship.","author":[{"dropping-particle":"","family":"Heinz","given":"W. J.","non-dropping-particle":"","parse-names":false,"suffix":""},{"dropping-particle":"","family":"Buchheidt","given":"D.","non-dropping-particle":"","parse-names":false,"suffix":""},{"dropping-particle":"","family":"Christopeit","given":"M.","non-dropping-particle":"","parse-names":false,"suffix":""},{"dropping-particle":"","family":"Lilienfeld-Toal","given":"M.","non-dropping-particle":"von","parse-names":false,"suffix":""},{"dropping-particle":"","family":"Cornely","given":"O. A.","non-dropping-particle":"","parse-names":false,"suffix":""},{"dropping-particle":"","family":"Einsele","given":"H.","non-dropping-particle":"","parse-names":false,"suffix":""},{"dropping-particle":"","family":"Karthaus","given":"M.","non-dropping-particle":"","parse-names":false,"suffix":""},{"dropping-particle":"","family":"Link","given":"H.","non-dropping-particle":"","parse-names":false,"suffix":""},{"dropping-particle":"","family":"Mahlberg","given":"R.","non-dropping-particle":"","parse-names":false,"suffix":""},{"dropping-particle":"","family":"Neumann","given":"S.","non-dropping-particle":"","parse-names":false,"suffix":""},{"dropping-particle":"","family":"Ostermann","given":"H.","non-dropping-particle":"","parse-names":false,"suffix":""},{"dropping-particle":"","family":"Penack","given":"O.","non-dropping-particle":"","parse-names":false,"suffix":""},{"dropping-particle":"","family":"Ruhnke","given":"M.","non-dropping-particle":"","parse-names":false,"suffix":""},{"dropping-particle":"","family":"Sandherr","given":"M.","non-dropping-particle":"","parse-names":false,"suffix":""},{"dropping-particle":"","family":"Schiel","given":"X.","non-dropping-particle":"","parse-names":false,"suffix":""},{"dropping-particle":"","family":"Vehreschild","given":"J. J.","non-dropping-particle":"","parse-names":false,"suffix":""},{"dropping-particle":"","family":"Weissinger","given":"F.","non-dropping-particle":"","parse-names":false,"suffix":""},{"dropping-particle":"","family":"Maschmeyer","given":"G.","non-dropping-particle":"","parse-names":false,"suffix":""}],"container-title":"Annals of Hematology","id":"ITEM-2","issue":"11","issued":{"date-parts":[["2017","11","1"]]},"page":"1775-1792","publisher":"Springer Verlag","title":"Diagnosis and empirical treatment of fever of unknown origin (FUO) in adult neutropenic patients: guidelines of the Infectious Diseases Working Party (AGIHO) of the German Society of Hematology and Medical Oncology (DGHO)","type":"article","volume":"96"},"uris":["http://www.mendeley.com/documents/?uuid=b65213c4-4779-3916-8257-165b3b2569df"]}],"mendeley":{"formattedCitation":"[108,109]","plainTextFormattedCitation":"[108,109]","previouslyFormattedCitation":"[108,109]"},"properties":{"noteIndex":0},"schema":"https://github.com/citation-style-language/schema/raw/master/csl-citation.json"}</w:instrText>
      </w:r>
      <w:r w:rsidRPr="006A377C">
        <w:fldChar w:fldCharType="separate"/>
      </w:r>
      <w:r w:rsidR="00AE1E12" w:rsidRPr="00AE1E12">
        <w:rPr>
          <w:noProof/>
        </w:rPr>
        <w:t>[108,109]</w:t>
      </w:r>
      <w:r w:rsidRPr="006A377C">
        <w:fldChar w:fldCharType="end"/>
      </w:r>
      <w:r w:rsidRPr="006A377C">
        <w:t>.</w:t>
      </w:r>
    </w:p>
    <w:p w14:paraId="5340EC4E" w14:textId="77777777" w:rsidR="00F20CFD" w:rsidRPr="006A377C" w:rsidRDefault="00F20CFD" w:rsidP="00C413F9">
      <w:pPr>
        <w:pStyle w:val="afd"/>
        <w:spacing w:beforeAutospacing="0" w:afterAutospacing="0" w:line="360" w:lineRule="auto"/>
        <w:ind w:left="709" w:hanging="1"/>
      </w:pPr>
      <w:r w:rsidRPr="006A377C">
        <w:rPr>
          <w:rStyle w:val="affb"/>
        </w:rPr>
        <w:t xml:space="preserve">Уровень убедительности рекомендаций </w:t>
      </w:r>
      <w:r w:rsidRPr="006A377C">
        <w:rPr>
          <w:rStyle w:val="affb"/>
          <w:lang w:val="en-US"/>
        </w:rPr>
        <w:t>C</w:t>
      </w:r>
      <w:r w:rsidRPr="006A377C">
        <w:rPr>
          <w:rStyle w:val="affb"/>
        </w:rPr>
        <w:t xml:space="preserve"> (уровень достоверности доказательств – 5)</w:t>
      </w:r>
    </w:p>
    <w:p w14:paraId="7CB64AD1" w14:textId="77777777" w:rsidR="00F20CFD" w:rsidRPr="006A377C" w:rsidRDefault="00F20CFD" w:rsidP="00C413F9">
      <w:pPr>
        <w:pStyle w:val="afd"/>
        <w:spacing w:beforeAutospacing="0" w:afterAutospacing="0" w:line="360" w:lineRule="auto"/>
        <w:ind w:left="709" w:hanging="1"/>
        <w:rPr>
          <w:rStyle w:val="affc"/>
        </w:rPr>
      </w:pPr>
      <w:r w:rsidRPr="006A377C">
        <w:rPr>
          <w:rStyle w:val="affb"/>
        </w:rPr>
        <w:t>Комментарии</w:t>
      </w:r>
      <w:r w:rsidRPr="006A377C">
        <w:rPr>
          <w:rStyle w:val="affb"/>
          <w:i/>
          <w:iCs/>
        </w:rPr>
        <w:t xml:space="preserve">: </w:t>
      </w:r>
      <w:r w:rsidRPr="006A377C">
        <w:rPr>
          <w:i/>
        </w:rPr>
        <w:t>при неэффективности антимикробной терапии 1 линии ее</w:t>
      </w:r>
      <w:r w:rsidRPr="006A377C">
        <w:t xml:space="preserve"> </w:t>
      </w:r>
      <w:r w:rsidRPr="006A377C">
        <w:rPr>
          <w:rStyle w:val="affc"/>
        </w:rPr>
        <w:t>модификацию необходимо проводить с учетом данных проведенного обследования (КТ, микробиологические исследования и т. д.). Назначение карбапенемов в качестве антибиотиков первого этапа</w:t>
      </w:r>
      <w:r w:rsidRPr="006A377C">
        <w:t xml:space="preserve"> </w:t>
      </w:r>
      <w:r w:rsidRPr="006A377C">
        <w:rPr>
          <w:rStyle w:val="affc"/>
        </w:rPr>
        <w:t>при фебрильной нейтропении обосновано у пациентов с септическим шоком, а также в клиниках, где в этиологии инфекций преобладают энтеробактерии с продукцией бета-лактамаз расширенного спектра (БЛРС).</w:t>
      </w:r>
    </w:p>
    <w:p w14:paraId="78613600" w14:textId="77777777" w:rsidR="00F20CFD" w:rsidRPr="006A377C" w:rsidRDefault="00F20CFD" w:rsidP="005F2F2B">
      <w:pPr>
        <w:pStyle w:val="afd"/>
        <w:numPr>
          <w:ilvl w:val="0"/>
          <w:numId w:val="29"/>
        </w:numPr>
        <w:spacing w:beforeAutospacing="0" w:afterAutospacing="0" w:line="360" w:lineRule="auto"/>
        <w:ind w:left="709" w:hanging="425"/>
      </w:pPr>
      <w:r w:rsidRPr="006A377C">
        <w:rPr>
          <w:rStyle w:val="affb"/>
          <w:b w:val="0"/>
        </w:rPr>
        <w:t xml:space="preserve">Всем пациентам с МДС при проведении курса АТГ** </w:t>
      </w:r>
      <w:r w:rsidRPr="006A377C">
        <w:rPr>
          <w:rStyle w:val="affb"/>
        </w:rPr>
        <w:t>рекомендуется</w:t>
      </w:r>
      <w:r w:rsidRPr="006A377C">
        <w:t xml:space="preserve"> профилактический прием антибактериальных и противогрибковых препаратов </w:t>
      </w:r>
      <w:r w:rsidRPr="006A377C">
        <w:fldChar w:fldCharType="begin" w:fldLock="1"/>
      </w:r>
      <w:r w:rsidR="00AE1E12">
        <w:instrText>ADDIN CSL_CITATION {"citationItems":[{"id":"ITEM-1","itemData":{"DOI":"10.4172/2167-7700.1000106","author":[{"dropping-particle":"","family":"Loth","given":"Kara","non-dropping-particle":"","parse-names":false,"suffix":""},{"dropping-particle":"","family":"Naik","given":"Seema","non-dropping-particle":"","parse-names":false,"suffix":""},{"dropping-particle":"","family":"Kennedy","given":"Leanne","non-dropping-particle":"","parse-names":false,"suffix":""},{"dropping-particle":"","family":"Russell","given":"Gregory","non-dropping-particle":"","parse-names":false,"suffix":""},{"dropping-particle":"","family":"Levitan","given":"Denise","non-dropping-particle":"","parse-names":false,"suffix":""},{"dropping-particle":"","family":"Zamkoff","given":"Kenneth","non-dropping-particle":"","parse-names":false,"suffix":""},{"dropping-particle":"","family":"Hurd","given":"David","non-dropping-particle":"","parse-names":false,"suffix":""}],"container-title":"Antithymocyte Globulin in Reduced Intensity Allogeneic Transplants. Chemotherapy","id":"ITEM-1","issue":"4","issued":{"date-parts":[["2012"]]},"page":"106","title":"Infectious Complications Associated with the Use of Antithymocyte Globulin in Reduced Intensity Allogeneic Transplants","type":"article-journal","volume":"2012"},"uris":["http://www.mendeley.com/documents/?uuid=d615827a-2067-3ac9-9515-b3a2a5f050a6"]}],"mendeley":{"formattedCitation":"[110]","plainTextFormattedCitation":"[110]","previouslyFormattedCitation":"[110]"},"properties":{"noteIndex":0},"schema":"https://github.com/citation-style-language/schema/raw/master/csl-citation.json"}</w:instrText>
      </w:r>
      <w:r w:rsidRPr="006A377C">
        <w:fldChar w:fldCharType="separate"/>
      </w:r>
      <w:r w:rsidR="00AE1E12" w:rsidRPr="00AE1E12">
        <w:rPr>
          <w:noProof/>
        </w:rPr>
        <w:t>[110]</w:t>
      </w:r>
      <w:r w:rsidRPr="006A377C">
        <w:fldChar w:fldCharType="end"/>
      </w:r>
      <w:r w:rsidRPr="006A377C">
        <w:t>.</w:t>
      </w:r>
    </w:p>
    <w:p w14:paraId="4461846D" w14:textId="77777777" w:rsidR="00F20CFD" w:rsidRPr="006A377C" w:rsidRDefault="00F20CFD" w:rsidP="00C413F9">
      <w:pPr>
        <w:pStyle w:val="afd"/>
        <w:spacing w:beforeAutospacing="0" w:afterAutospacing="0" w:line="360" w:lineRule="auto"/>
        <w:ind w:left="709" w:hanging="1"/>
      </w:pPr>
      <w:r w:rsidRPr="006A377C">
        <w:rPr>
          <w:rStyle w:val="affb"/>
        </w:rPr>
        <w:lastRenderedPageBreak/>
        <w:t xml:space="preserve">Уровень убедительности рекомендаций </w:t>
      </w:r>
      <w:r w:rsidRPr="006A377C">
        <w:rPr>
          <w:rStyle w:val="affb"/>
          <w:lang w:val="en-US"/>
        </w:rPr>
        <w:t>C</w:t>
      </w:r>
      <w:r w:rsidRPr="006A377C">
        <w:rPr>
          <w:rStyle w:val="affb"/>
        </w:rPr>
        <w:t xml:space="preserve"> (уровень достоверности доказательств – 4)</w:t>
      </w:r>
    </w:p>
    <w:p w14:paraId="6C222F20" w14:textId="77777777" w:rsidR="00F20CFD" w:rsidRPr="006A377C" w:rsidRDefault="00F20CFD" w:rsidP="00C413F9">
      <w:pPr>
        <w:pStyle w:val="afd"/>
        <w:spacing w:beforeAutospacing="0" w:afterAutospacing="0" w:line="360" w:lineRule="auto"/>
        <w:ind w:left="709" w:hanging="1"/>
        <w:rPr>
          <w:i/>
        </w:rPr>
      </w:pPr>
      <w:r w:rsidRPr="006A377C">
        <w:rPr>
          <w:rStyle w:val="affb"/>
        </w:rPr>
        <w:t>Комментарии</w:t>
      </w:r>
      <w:r w:rsidRPr="006A377C">
        <w:rPr>
          <w:rStyle w:val="affb"/>
          <w:i/>
          <w:iCs/>
        </w:rPr>
        <w:t xml:space="preserve">: </w:t>
      </w:r>
      <w:r w:rsidRPr="006A377C">
        <w:rPr>
          <w:i/>
        </w:rPr>
        <w:t xml:space="preserve">при проведении курса АТГ** рекомендован профилактический прием 480 мг/сут </w:t>
      </w:r>
      <w:r w:rsidR="00ED6675" w:rsidRPr="001E6752">
        <w:rPr>
          <w:i/>
        </w:rPr>
        <w:t>#</w:t>
      </w:r>
      <w:r w:rsidRPr="006A377C">
        <w:rPr>
          <w:i/>
        </w:rPr>
        <w:t>ко-тримоксазола**, 200 мг/сут флуконазола**.</w:t>
      </w:r>
    </w:p>
    <w:p w14:paraId="7676BD2E" w14:textId="77777777" w:rsidR="00F20CFD" w:rsidRPr="006A377C" w:rsidRDefault="00F20CFD" w:rsidP="005F2F2B">
      <w:pPr>
        <w:pStyle w:val="afd"/>
        <w:numPr>
          <w:ilvl w:val="0"/>
          <w:numId w:val="29"/>
        </w:numPr>
        <w:spacing w:beforeAutospacing="0" w:afterAutospacing="0" w:line="360" w:lineRule="auto"/>
        <w:ind w:left="709" w:hanging="425"/>
      </w:pPr>
      <w:r w:rsidRPr="006A377C">
        <w:rPr>
          <w:rStyle w:val="affb"/>
          <w:b w:val="0"/>
        </w:rPr>
        <w:t xml:space="preserve">Всем пациентам с МДС с 5q– </w:t>
      </w:r>
      <w:r w:rsidRPr="006A377C">
        <w:rPr>
          <w:rStyle w:val="affb"/>
          <w:b w:val="0"/>
          <w:lang w:val="en-US"/>
        </w:rPr>
        <w:t>c</w:t>
      </w:r>
      <w:r w:rsidRPr="006A377C">
        <w:rPr>
          <w:rStyle w:val="affb"/>
          <w:b w:val="0"/>
        </w:rPr>
        <w:t xml:space="preserve"> тромбоцитами &gt;200×10</w:t>
      </w:r>
      <w:r w:rsidRPr="006A377C">
        <w:rPr>
          <w:rStyle w:val="affb"/>
          <w:b w:val="0"/>
          <w:vertAlign w:val="superscript"/>
        </w:rPr>
        <w:t>9</w:t>
      </w:r>
      <w:r w:rsidRPr="006A377C">
        <w:rPr>
          <w:rStyle w:val="affb"/>
          <w:b w:val="0"/>
        </w:rPr>
        <w:t xml:space="preserve">/л при проведении иммуномодулирующей терапии леналидомидом** </w:t>
      </w:r>
      <w:r w:rsidRPr="006A377C">
        <w:rPr>
          <w:rStyle w:val="affb"/>
        </w:rPr>
        <w:t>рекомендуется</w:t>
      </w:r>
      <w:r w:rsidRPr="006A377C">
        <w:t xml:space="preserve"> проведение антиагрегантной терапии в связи с возможным развитием тромбоза глубоких вен </w:t>
      </w:r>
      <w:r w:rsidRPr="006A377C">
        <w:fldChar w:fldCharType="begin" w:fldLock="1"/>
      </w:r>
      <w:r w:rsidR="00AE1E12">
        <w:instrText>ADDIN CSL_CITATION {"citationItems":[{"id":"ITEM-1","itemData":{"DOI":"10.1007/s00277-018-3509-0","ISSN":"1432-0584","PMID":"30334068","abstract":"Lenalidomide is known to increase the risk of venous thromboembolism in patients with hematologic malignancies. The role of antithrombotic prophylaxis in patients receiving lenalidomide is well established in multiple myeloma. However, when used in patients with a myelodysplastic syndrome (MDS)-in particular, del(5q) patients-the risk of venous thromboembolism and the need for anticoagulation are unknown. We performed a retrospective for MDS patients with 5q deletion. The total number of patients was 64, and 24 (38%) were treated with lenalidomide. Of those who received lenalidomide, venous thrombotic events (VTE) occurred in 4 (17%). All events occurred after 1 year of lenalidomide therapy. Although limited by the cohort size, concurrent erythropoietin-stimulating agents (ESAs) were not associated with increased thrombotic events, and the diagnosis of VTE did not affect survival. Our data suggest an increased incidence of VTE with prolonged lenalidomide treatment, mainly if MDS responds to this therapy.","author":[{"dropping-particle":"","family":"Alkharabsheh","given":"Omar A","non-dropping-particle":"","parse-names":false,"suffix":""},{"dropping-particle":"","family":"Saadeh","given":"Salwa S","non-dropping-particle":"","parse-names":false,"suffix":""},{"dropping-particle":"","family":"Zblewski","given":"Darci L","non-dropping-particle":"","parse-names":false,"suffix":""},{"dropping-particle":"","family":"Gangat","given":"Naseema","non-dropping-particle":"","parse-names":false,"suffix":""},{"dropping-particle":"","family":"Begna","given":"Kebede H","non-dropping-particle":"","parse-names":false,"suffix":""},{"dropping-particle":"","family":"Elliott","given":"Michelle A","non-dropping-particle":"","parse-names":false,"suffix":""},{"dropping-particle":"","family":"Alkhateeb","given":"Hassan B","non-dropping-particle":"","parse-names":false,"suffix":""},{"dropping-particle":"","family":"Patnaik","given":"Mrinal S","non-dropping-particle":"","parse-names":false,"suffix":""},{"dropping-particle":"","family":"Hogan","given":"William J","non-dropping-particle":"","parse-names":false,"suffix":""},{"dropping-particle":"","family":"Litzow","given":"Mark R","non-dropping-particle":"","parse-names":false,"suffix":""},{"dropping-particle":"","family":"Al-Kali","given":"Aref","non-dropping-particle":"","parse-names":false,"suffix":""}],"container-title":"Annals of hematology","id":"ITEM-1","issue":"2","issued":{"date-parts":[["2019","2"]]},"page":"331-337","title":"Frequency of venous thrombotic events in patients with myelodysplastic syndrome and 5q deletion syndrome during lenalidomide therapy.","type":"article-journal","volume":"98"},"uris":["http://www.mendeley.com/documents/?uuid=33346678-120b-3923-b683-ce5d5398afcd"]}],"mendeley":{"formattedCitation":"[111]","plainTextFormattedCitation":"[111]","previouslyFormattedCitation":"[111]"},"properties":{"noteIndex":0},"schema":"https://github.com/citation-style-language/schema/raw/master/csl-citation.json"}</w:instrText>
      </w:r>
      <w:r w:rsidRPr="006A377C">
        <w:fldChar w:fldCharType="separate"/>
      </w:r>
      <w:r w:rsidR="00AE1E12" w:rsidRPr="00AE1E12">
        <w:rPr>
          <w:noProof/>
        </w:rPr>
        <w:t>[111]</w:t>
      </w:r>
      <w:r w:rsidRPr="006A377C">
        <w:fldChar w:fldCharType="end"/>
      </w:r>
      <w:r w:rsidRPr="006A377C">
        <w:t>.</w:t>
      </w:r>
    </w:p>
    <w:p w14:paraId="444496E8" w14:textId="77777777" w:rsidR="00F20CFD" w:rsidRPr="006A377C" w:rsidRDefault="00F20CFD" w:rsidP="00C413F9">
      <w:pPr>
        <w:pStyle w:val="afd"/>
        <w:spacing w:beforeAutospacing="0" w:afterAutospacing="0" w:line="360" w:lineRule="auto"/>
        <w:ind w:left="709" w:hanging="1"/>
      </w:pPr>
      <w:r w:rsidRPr="006A377C">
        <w:rPr>
          <w:rStyle w:val="affb"/>
        </w:rPr>
        <w:t xml:space="preserve">Уровень убедительности рекомендаций </w:t>
      </w:r>
      <w:r w:rsidR="002E3519">
        <w:rPr>
          <w:rStyle w:val="affb"/>
        </w:rPr>
        <w:t>С</w:t>
      </w:r>
      <w:r w:rsidRPr="006A377C">
        <w:rPr>
          <w:rStyle w:val="affb"/>
        </w:rPr>
        <w:t xml:space="preserve"> (уровень достоверности доказательств – </w:t>
      </w:r>
      <w:r w:rsidR="002E3519">
        <w:rPr>
          <w:rStyle w:val="affb"/>
        </w:rPr>
        <w:t>4</w:t>
      </w:r>
      <w:r w:rsidRPr="006A377C">
        <w:rPr>
          <w:rStyle w:val="affb"/>
        </w:rPr>
        <w:t>)</w:t>
      </w:r>
    </w:p>
    <w:p w14:paraId="165E0C3D" w14:textId="77777777" w:rsidR="00F20CFD" w:rsidRPr="006A377C" w:rsidRDefault="00F20CFD" w:rsidP="00C413F9">
      <w:pPr>
        <w:pStyle w:val="afd"/>
        <w:spacing w:beforeAutospacing="0" w:afterAutospacing="0" w:line="360" w:lineRule="auto"/>
        <w:ind w:left="709" w:hanging="1"/>
      </w:pPr>
      <w:r w:rsidRPr="006A377C">
        <w:rPr>
          <w:rStyle w:val="affb"/>
        </w:rPr>
        <w:t>Комментарии</w:t>
      </w:r>
      <w:r w:rsidRPr="006A377C">
        <w:rPr>
          <w:rStyle w:val="affb"/>
          <w:i/>
          <w:iCs/>
        </w:rPr>
        <w:t xml:space="preserve">: </w:t>
      </w:r>
      <w:r w:rsidRPr="006A377C">
        <w:rPr>
          <w:rStyle w:val="affb"/>
          <w:b w:val="0"/>
          <w:i/>
          <w:iCs/>
        </w:rPr>
        <w:t xml:space="preserve">при указании на наличие тромбозов в анамнезе целесообразно добавление антикоагулянтной терапии. При проведении иммуномодулирующей терапии тромботические осложнения могут развиваться не только в начале терапии при тромбоцитозах, но и при повышении гемоглобина до нормальных значений. </w:t>
      </w:r>
    </w:p>
    <w:p w14:paraId="31083E5A" w14:textId="77777777" w:rsidR="00F20CFD" w:rsidRPr="006A377C" w:rsidRDefault="00F20CFD" w:rsidP="005F2F2B">
      <w:pPr>
        <w:pStyle w:val="afd"/>
        <w:numPr>
          <w:ilvl w:val="0"/>
          <w:numId w:val="29"/>
        </w:numPr>
        <w:spacing w:beforeAutospacing="0" w:afterAutospacing="0" w:line="360" w:lineRule="auto"/>
        <w:ind w:left="709" w:hanging="425"/>
        <w:rPr>
          <w:rStyle w:val="affb"/>
          <w:b w:val="0"/>
          <w:bCs w:val="0"/>
        </w:rPr>
      </w:pPr>
      <w:r w:rsidRPr="006A377C">
        <w:rPr>
          <w:rStyle w:val="affb"/>
          <w:b w:val="0"/>
          <w:bCs w:val="0"/>
        </w:rPr>
        <w:t xml:space="preserve">Всем пациентам МДС перед выполнением трансфузии компонентов крови с целью профилактики цитратных и других </w:t>
      </w:r>
      <w:r w:rsidRPr="00B118A2">
        <w:rPr>
          <w:rStyle w:val="affb"/>
          <w:b w:val="0"/>
          <w:bCs w:val="0"/>
        </w:rPr>
        <w:t xml:space="preserve">реакций </w:t>
      </w:r>
      <w:r w:rsidRPr="00B118A2">
        <w:rPr>
          <w:rStyle w:val="affb"/>
          <w:bCs w:val="0"/>
        </w:rPr>
        <w:t xml:space="preserve">рекомендуется </w:t>
      </w:r>
      <w:r w:rsidRPr="00B118A2">
        <w:rPr>
          <w:rStyle w:val="affb"/>
          <w:b w:val="0"/>
          <w:bCs w:val="0"/>
        </w:rPr>
        <w:t>введение</w:t>
      </w:r>
      <w:r w:rsidR="00CF4383">
        <w:rPr>
          <w:rStyle w:val="affb"/>
          <w:b w:val="0"/>
          <w:bCs w:val="0"/>
        </w:rPr>
        <w:t xml:space="preserve"> </w:t>
      </w:r>
      <w:r w:rsidRPr="00B118A2">
        <w:rPr>
          <w:rStyle w:val="affb"/>
          <w:b w:val="0"/>
          <w:bCs w:val="0"/>
        </w:rPr>
        <w:t>антигистаминных препаратов</w:t>
      </w:r>
      <w:r w:rsidR="00A57C24" w:rsidRPr="00B118A2">
        <w:rPr>
          <w:rStyle w:val="affb"/>
          <w:b w:val="0"/>
          <w:bCs w:val="0"/>
        </w:rPr>
        <w:t xml:space="preserve"> однократно в дозировках в соответствии с инструкциями по применению соответствующих препаратов</w:t>
      </w:r>
      <w:r w:rsidRPr="006A377C">
        <w:rPr>
          <w:rStyle w:val="affb"/>
          <w:b w:val="0"/>
          <w:bCs w:val="0"/>
        </w:rPr>
        <w:t xml:space="preserve"> </w:t>
      </w:r>
      <w:r w:rsidRPr="006A377C">
        <w:rPr>
          <w:rStyle w:val="affb"/>
          <w:b w:val="0"/>
          <w:bCs w:val="0"/>
        </w:rPr>
        <w:fldChar w:fldCharType="begin" w:fldLock="1"/>
      </w:r>
      <w:r w:rsidR="00AE1E12">
        <w:rPr>
          <w:rStyle w:val="affb"/>
          <w:b w:val="0"/>
          <w:bCs w:val="0"/>
        </w:rPr>
        <w:instrText>ADDIN CSL_CITATION {"citationItems":[{"id":"ITEM-1","itemData":{"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354537e-07c2-4fc2-b20e-4db63e840c3f"]}],"mendeley":{"formattedCitation":"[61]","plainTextFormattedCitation":"[61]","previouslyFormattedCitation":"[61]"},"properties":{"noteIndex":0},"schema":"https://github.com/citation-style-language/schema/raw/master/csl-citation.json"}</w:instrText>
      </w:r>
      <w:r w:rsidRPr="006A377C">
        <w:rPr>
          <w:rStyle w:val="affb"/>
          <w:b w:val="0"/>
          <w:bCs w:val="0"/>
        </w:rPr>
        <w:fldChar w:fldCharType="separate"/>
      </w:r>
      <w:r w:rsidR="00AE1E12" w:rsidRPr="00AE1E12">
        <w:rPr>
          <w:rStyle w:val="affb"/>
          <w:b w:val="0"/>
          <w:bCs w:val="0"/>
          <w:noProof/>
        </w:rPr>
        <w:t>[61]</w:t>
      </w:r>
      <w:r w:rsidRPr="006A377C">
        <w:rPr>
          <w:rStyle w:val="affb"/>
          <w:b w:val="0"/>
          <w:bCs w:val="0"/>
        </w:rPr>
        <w:fldChar w:fldCharType="end"/>
      </w:r>
      <w:r w:rsidRPr="006A377C">
        <w:rPr>
          <w:rStyle w:val="affb"/>
          <w:b w:val="0"/>
          <w:bCs w:val="0"/>
        </w:rPr>
        <w:t>.</w:t>
      </w:r>
    </w:p>
    <w:p w14:paraId="244CD365" w14:textId="77777777" w:rsidR="00F20CFD" w:rsidRPr="006A377C" w:rsidRDefault="00F20CFD" w:rsidP="00C413F9">
      <w:pPr>
        <w:pStyle w:val="afd"/>
        <w:spacing w:beforeAutospacing="0" w:afterAutospacing="0" w:line="360" w:lineRule="auto"/>
        <w:ind w:left="709" w:hanging="1"/>
        <w:rPr>
          <w:rStyle w:val="affb"/>
          <w:bCs w:val="0"/>
        </w:rPr>
      </w:pPr>
      <w:r w:rsidRPr="00ED6675">
        <w:rPr>
          <w:rStyle w:val="affb"/>
          <w:bCs w:val="0"/>
        </w:rPr>
        <w:t>Уровень убедительности рекомендаций С (уровень достоверности доказательств – 5)</w:t>
      </w:r>
    </w:p>
    <w:p w14:paraId="32569538" w14:textId="77777777" w:rsidR="00F20CFD" w:rsidRPr="006A377C" w:rsidRDefault="00F20CFD" w:rsidP="005F2F2B">
      <w:pPr>
        <w:pStyle w:val="afd"/>
        <w:numPr>
          <w:ilvl w:val="0"/>
          <w:numId w:val="29"/>
        </w:numPr>
        <w:spacing w:beforeAutospacing="0" w:afterAutospacing="0" w:line="360" w:lineRule="auto"/>
        <w:ind w:left="709" w:hanging="425"/>
        <w:rPr>
          <w:b/>
        </w:rPr>
      </w:pPr>
      <w:r w:rsidRPr="006A377C">
        <w:rPr>
          <w:rStyle w:val="affb"/>
          <w:b w:val="0"/>
        </w:rPr>
        <w:t>Всем пациентам с МДС, у которых выявлены признаки аллосенсибилизации,</w:t>
      </w:r>
      <w:r w:rsidRPr="006A377C">
        <w:rPr>
          <w:rStyle w:val="affb"/>
        </w:rPr>
        <w:t xml:space="preserve"> рекомендуется </w:t>
      </w:r>
      <w:r w:rsidRPr="006A377C">
        <w:t xml:space="preserve">переливать концентраты тромбоцитов по индивидуальному подбору для повышения эффективности трансфузий </w:t>
      </w:r>
      <w:r w:rsidRPr="006A377C">
        <w:fldChar w:fldCharType="begin" w:fldLock="1"/>
      </w:r>
      <w:r w:rsidR="00AE1E12">
        <w:instrText>ADDIN CSL_CITATION {"citationItems":[{"id":"ITEM-1","itemData":{"DOI":"10.1111/bjh.13597","ISSN":"1365-2141","PMID":"26194869","abstract":"Platelet refractoriness can represent a significant clinical problem that complicates the provision of platelet transfusions, is associated with adverse clinical outcomes and increases health care costs. Although it is most frequently due to non-immune platelet consumption, immunological factors are also often involved. Human leucocyte antigen (HLA) alloimmunization is the most important immune cause. Despite the fact that systematic reviews of the clinical studies evaluating different techniques for selecting HLA compatible platelets have not been powered to demonstrate improved clinical outcomes, platelet refractoriness is currently managed by the provision of HLA-matched or cross matched platelets. This review will address a practical approach to the diagnosis and management of platelet refractoriness while highlighting on-going dilemmas and knowledge gaps.","author":[{"dropping-particle":"","family":"Stanworth","given":"Simon J","non-dropping-particle":"","parse-names":false,"suffix":""},{"dropping-particle":"","family":"Navarrete","given":"Cristina","non-dropping-particle":"","parse-names":false,"suffix":""},{"dropping-particle":"","family":"Estcourt","given":"Lise","non-dropping-particle":"","parse-names":false,"suffix":""},{"dropping-particle":"","family":"Marsh","given":"Judith","non-dropping-particle":"","parse-names":false,"suffix":""}],"container-title":"British journal of haematology","id":"ITEM-1","issue":"3","issued":{"date-parts":[["2015","11"]]},"page":"297-305","title":"Platelet refractoriness--practical approaches and ongoing dilemmas in patient management.","type":"article-journal","volume":"171"},"uris":["http://www.mendeley.com/documents/?uuid=10563097-4e12-3029-a357-d37216be0e35"]}],"mendeley":{"formattedCitation":"[112]","plainTextFormattedCitation":"[112]","previouslyFormattedCitation":"[112]"},"properties":{"noteIndex":0},"schema":"https://github.com/citation-style-language/schema/raw/master/csl-citation.json"}</w:instrText>
      </w:r>
      <w:r w:rsidRPr="006A377C">
        <w:fldChar w:fldCharType="separate"/>
      </w:r>
      <w:r w:rsidR="00AE1E12" w:rsidRPr="00AE1E12">
        <w:rPr>
          <w:noProof/>
        </w:rPr>
        <w:t>[112]</w:t>
      </w:r>
      <w:r w:rsidRPr="006A377C">
        <w:fldChar w:fldCharType="end"/>
      </w:r>
      <w:r w:rsidRPr="006A377C">
        <w:t xml:space="preserve">. </w:t>
      </w:r>
    </w:p>
    <w:p w14:paraId="3EA762C8" w14:textId="77777777" w:rsidR="00F20CFD" w:rsidRPr="006A377C" w:rsidRDefault="00F20CFD" w:rsidP="00C413F9">
      <w:pPr>
        <w:pStyle w:val="afd"/>
        <w:spacing w:beforeAutospacing="0" w:afterAutospacing="0" w:line="360" w:lineRule="auto"/>
        <w:ind w:left="709" w:hanging="1"/>
        <w:rPr>
          <w:rStyle w:val="affb"/>
          <w:i/>
        </w:rPr>
      </w:pPr>
      <w:r w:rsidRPr="006A377C">
        <w:rPr>
          <w:rStyle w:val="affb"/>
        </w:rPr>
        <w:t xml:space="preserve">Уровень убедительности рекомендаций </w:t>
      </w:r>
      <w:r w:rsidR="00AA6462">
        <w:rPr>
          <w:rStyle w:val="affb"/>
        </w:rPr>
        <w:t>С</w:t>
      </w:r>
      <w:r w:rsidRPr="006A377C">
        <w:rPr>
          <w:rStyle w:val="affb"/>
        </w:rPr>
        <w:t xml:space="preserve"> (уровень достоверности доказательств – </w:t>
      </w:r>
      <w:r w:rsidR="00AA6462">
        <w:rPr>
          <w:rStyle w:val="affb"/>
        </w:rPr>
        <w:t>5</w:t>
      </w:r>
      <w:r w:rsidRPr="006A377C">
        <w:rPr>
          <w:rStyle w:val="affb"/>
        </w:rPr>
        <w:t>)</w:t>
      </w:r>
    </w:p>
    <w:p w14:paraId="3685598A" w14:textId="77777777" w:rsidR="00F20CFD" w:rsidRDefault="00F20CFD" w:rsidP="00C413F9">
      <w:pPr>
        <w:pStyle w:val="afd"/>
        <w:spacing w:beforeAutospacing="0" w:afterAutospacing="0" w:line="360" w:lineRule="auto"/>
        <w:ind w:left="709" w:hanging="1"/>
        <w:rPr>
          <w:i/>
        </w:rPr>
      </w:pPr>
      <w:r w:rsidRPr="006A377C">
        <w:rPr>
          <w:rStyle w:val="affb"/>
        </w:rPr>
        <w:t>Комментарии</w:t>
      </w:r>
      <w:r w:rsidRPr="006A377C">
        <w:rPr>
          <w:rStyle w:val="affb"/>
          <w:iCs/>
        </w:rPr>
        <w:t xml:space="preserve">: </w:t>
      </w:r>
      <w:r w:rsidRPr="006A377C">
        <w:rPr>
          <w:i/>
        </w:rPr>
        <w:t>преодоление аллосенсибилизации у пациентов с МДС требует комплексного подхода, который помимо индивидуального подбора тромбоцитов включает в себя выполнение лечебных плазмаферезов (4–5 сеансов с замещением альбумином) с последующей трансфузией больших доз тромбоконцентратов (12–16 доз).</w:t>
      </w:r>
    </w:p>
    <w:p w14:paraId="34C8D687" w14:textId="1E15F88D" w:rsidR="00B975E8" w:rsidRPr="00ED6675" w:rsidRDefault="00B975E8" w:rsidP="005F2F2B">
      <w:pPr>
        <w:pStyle w:val="afd"/>
        <w:numPr>
          <w:ilvl w:val="0"/>
          <w:numId w:val="29"/>
        </w:numPr>
        <w:spacing w:beforeAutospacing="0" w:afterAutospacing="0" w:line="360" w:lineRule="auto"/>
        <w:ind w:left="709" w:hanging="425"/>
        <w:rPr>
          <w:b/>
          <w:color w:val="000000" w:themeColor="text1"/>
        </w:rPr>
      </w:pPr>
      <w:r w:rsidRPr="00ED6675">
        <w:rPr>
          <w:rStyle w:val="affb"/>
          <w:b w:val="0"/>
          <w:color w:val="000000" w:themeColor="text1"/>
        </w:rPr>
        <w:t xml:space="preserve">Всем пациентам с МДС, состояние которых препятствует достаточному естестстенному питанию, </w:t>
      </w:r>
      <w:r w:rsidRPr="00ED6675">
        <w:rPr>
          <w:rStyle w:val="affb"/>
          <w:color w:val="000000" w:themeColor="text1"/>
        </w:rPr>
        <w:t xml:space="preserve">рекомендуется </w:t>
      </w:r>
      <w:r w:rsidRPr="00ED6675">
        <w:rPr>
          <w:color w:val="000000" w:themeColor="text1"/>
        </w:rPr>
        <w:t xml:space="preserve">обеспечение энергетическими и </w:t>
      </w:r>
      <w:r w:rsidRPr="00ED6675">
        <w:rPr>
          <w:color w:val="000000" w:themeColor="text1"/>
        </w:rPr>
        <w:lastRenderedPageBreak/>
        <w:t xml:space="preserve">пластическими субстратами за счет энтерального и/или парентерального питания </w:t>
      </w:r>
      <w:r w:rsidRPr="00ED6675">
        <w:rPr>
          <w:color w:val="000000" w:themeColor="text1"/>
        </w:rPr>
        <w:fldChar w:fldCharType="begin" w:fldLock="1"/>
      </w:r>
      <w:r w:rsidR="00F15197">
        <w:rPr>
          <w:color w:val="000000" w:themeColor="text1"/>
        </w:rPr>
        <w:instrText>ADDIN CSL_CITATION {"citationItems":[{"id":"ITEM-1","itemData":{"ISSN":"0041-1337","PMID":"3109088","abstract":"In a randomized trial we studied the impact of providing total parenteral nutrition (TPN) to bone marrow transplant (BMT) patients during their cytoreductive therapy, and for 4 weeks following BMT, on 8 parameters of outcome. A total of 137 patients over 1 year of age and with normal nutritional status were randomized either to receive TPN starting one week prior to transplant or to receive hydration with a 5% dextrose solution containing electrolytes, minerals, trace elements, and vitamins. TPN was ultimately required by 40 of the 66 control patients when nutritional depletion was documented. Average total calorie and protein intake was significantly higher for the TPN group than for the control group. Minimum follow-up was 1 year and median was 2 years. Overall survival, time to relapse, and disease-free survival were significantly improved in the TPN group. Engraftment, duration of hospitalization, and incidences of acute and chronic graft-vs.-host disease and bacteremia were not different. Thus TPN during BMT had a positive effect on long-term outcome. Prophylactic nutritional therapy appears to be indicated even for well-nourished individuals during cytoreduction and BMT.","author":[{"dropping-particle":"","family":"Weisdorf","given":"S A","non-dropping-particle":"","parse-names":false,"suffix":""},{"dropping-particle":"","family":"Lysne","given":"J","non-dropping-particle":"","parse-names":false,"suffix":""},{"dropping-particle":"","family":"Wind","given":"D","non-dropping-particle":"","parse-names":false,"suffix":""},{"dropping-particle":"","family":"Haake","given":"R J","non-dropping-particle":"","parse-names":false,"suffix":""},{"dropping-particle":"","family":"Sharp","given":"H L","non-dropping-particle":"","parse-names":false,"suffix":""},{"dropping-particle":"","family":"Goldman","given":"A","non-dropping-particle":"","parse-names":false,"suffix":""},{"dropping-particle":"","family":"Schissel","given":"K","non-dropping-particle":"","parse-names":false,"suffix":""},{"dropping-particle":"","family":"McGlave","given":"P B","non-dropping-particle":"","parse-names":false,"suffix":""},{"dropping-particle":"","family":"Ramsay","given":"N K","non-dropping-particle":"","parse-names":false,"suffix":""},{"dropping-particle":"","family":"Kersey","given":"J H","non-dropping-particle":"","parse-names":false,"suffix":""}],"container-title":"Transplantation","id":"ITEM-1","issue":"6","issued":{"date-parts":[["1987","6"]]},"page":"833-8","title":"Positive effect of prophylactic total parenteral nutrition on long-term outcome of bone marrow transplantation.","type":"article-journal","volume":"43"},"uris":["http://www.mendeley.com/documents/?uuid=b9b49863-76e7-3554-8e50-d52c4c26cd64"]},{"id":"ITEM-2","itemData":{"DOI":"10.1016/j.clnu.2016.07.015","ISSN":"15321983","PMID":"27637832","abstract":"Cancers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Nutrition","id":"ITEM-2","issue":"1","issued":{"date-parts":[["2017"]]},"page":"11-48","publisher":"Churchill Livingstone","title":"ESPEN guidelines on nutrition in cancer patients","type":"article-journal","volume":"36"},"uris":["http://www.mendeley.com/documents/?uuid=2586b0c4-9eb6-4463-a0ba-87fe84fbad8f"]}],"mendeley":{"formattedCitation":"[113,114]","plainTextFormattedCitation":"[113,114]","previouslyFormattedCitation":"[113,114]"},"properties":{"noteIndex":0},"schema":"https://github.com/citation-style-language/schema/raw/master/csl-citation.json"}</w:instrText>
      </w:r>
      <w:r w:rsidRPr="00ED6675">
        <w:rPr>
          <w:color w:val="000000" w:themeColor="text1"/>
        </w:rPr>
        <w:fldChar w:fldCharType="separate"/>
      </w:r>
      <w:r w:rsidR="00AE1E12" w:rsidRPr="00AE1E12">
        <w:rPr>
          <w:noProof/>
          <w:color w:val="000000" w:themeColor="text1"/>
        </w:rPr>
        <w:t>[113,114]</w:t>
      </w:r>
      <w:r w:rsidRPr="00ED6675">
        <w:rPr>
          <w:color w:val="000000" w:themeColor="text1"/>
        </w:rPr>
        <w:fldChar w:fldCharType="end"/>
      </w:r>
    </w:p>
    <w:p w14:paraId="17DAD941" w14:textId="77777777" w:rsidR="00B975E8" w:rsidRPr="00ED6675" w:rsidRDefault="00B975E8" w:rsidP="00B975E8">
      <w:pPr>
        <w:pStyle w:val="afd"/>
        <w:spacing w:beforeAutospacing="0" w:afterAutospacing="0" w:line="360" w:lineRule="auto"/>
        <w:ind w:left="709" w:hanging="1"/>
        <w:rPr>
          <w:rStyle w:val="affb"/>
          <w:i/>
          <w:color w:val="000000" w:themeColor="text1"/>
        </w:rPr>
      </w:pPr>
      <w:r w:rsidRPr="00ED6675">
        <w:rPr>
          <w:rStyle w:val="affb"/>
          <w:color w:val="000000" w:themeColor="text1"/>
        </w:rPr>
        <w:t xml:space="preserve">Уровень убедительности рекомендаций </w:t>
      </w:r>
      <w:r w:rsidR="0025128E">
        <w:rPr>
          <w:rStyle w:val="affb"/>
          <w:color w:val="000000" w:themeColor="text1"/>
          <w:lang w:val="en-US"/>
        </w:rPr>
        <w:t>B</w:t>
      </w:r>
      <w:r w:rsidR="0025128E" w:rsidRPr="00ED6675">
        <w:rPr>
          <w:rStyle w:val="affb"/>
          <w:color w:val="000000" w:themeColor="text1"/>
        </w:rPr>
        <w:t xml:space="preserve"> </w:t>
      </w:r>
      <w:r w:rsidRPr="00ED6675">
        <w:rPr>
          <w:rStyle w:val="affb"/>
          <w:color w:val="000000" w:themeColor="text1"/>
        </w:rPr>
        <w:t xml:space="preserve">(уровень достоверности доказательств – </w:t>
      </w:r>
      <w:r w:rsidR="0025128E" w:rsidRPr="00AE1E12">
        <w:rPr>
          <w:rStyle w:val="affb"/>
          <w:color w:val="000000" w:themeColor="text1"/>
        </w:rPr>
        <w:t>2</w:t>
      </w:r>
      <w:r w:rsidRPr="00ED6675">
        <w:rPr>
          <w:rStyle w:val="affb"/>
          <w:color w:val="000000" w:themeColor="text1"/>
        </w:rPr>
        <w:t>)</w:t>
      </w:r>
    </w:p>
    <w:p w14:paraId="41CD4EC8" w14:textId="77777777" w:rsidR="00B975E8" w:rsidRPr="00ED6675" w:rsidRDefault="00B975E8" w:rsidP="00B975E8">
      <w:pPr>
        <w:pStyle w:val="afd"/>
        <w:spacing w:beforeAutospacing="0" w:afterAutospacing="0" w:line="360" w:lineRule="auto"/>
        <w:ind w:left="709" w:hanging="1"/>
        <w:rPr>
          <w:i/>
          <w:color w:val="000000" w:themeColor="text1"/>
        </w:rPr>
      </w:pPr>
      <w:r w:rsidRPr="00ED6675">
        <w:rPr>
          <w:rStyle w:val="affb"/>
          <w:color w:val="000000" w:themeColor="text1"/>
        </w:rPr>
        <w:t>Комментарии</w:t>
      </w:r>
      <w:r w:rsidRPr="00ED6675">
        <w:rPr>
          <w:rStyle w:val="affb"/>
          <w:iCs/>
          <w:color w:val="000000" w:themeColor="text1"/>
        </w:rPr>
        <w:t xml:space="preserve">: </w:t>
      </w:r>
      <w:r w:rsidRPr="00ED6675">
        <w:rPr>
          <w:i/>
          <w:color w:val="000000" w:themeColor="text1"/>
        </w:rPr>
        <w:t>недостаточность питания – отягощающий фактор при проведении цитостатической терапии и алло-ТГСК. Общая суточная энергетическая ёмкость ЭП и ПП у пациентов старше 18 лет рассчитывается на идеальную массу тела, в том числе при наличии ожирения, согласно уравнению Харриса-Бенедикта (25–30 ккал/кг, белок 1,2-1,5 г/кг/сут), а также с учетом коэффициентов, повышающих или понижающих энергетические потребности организма, например при РТПХ кишечника – белок 1,5-2,0 г/кг/сут и количества естественного питания. Критерием отмены нутриционной терапии является восстановление естественного питания более 60% от необходимых суточных потребностей в течение 3-х последовательных дней.</w:t>
      </w:r>
    </w:p>
    <w:p w14:paraId="7C542306" w14:textId="77777777" w:rsidR="00D530D2" w:rsidRPr="00ED6675" w:rsidRDefault="00D530D2" w:rsidP="005F2F2B">
      <w:pPr>
        <w:pStyle w:val="afd"/>
        <w:numPr>
          <w:ilvl w:val="0"/>
          <w:numId w:val="27"/>
        </w:numPr>
        <w:spacing w:beforeAutospacing="0" w:afterAutospacing="0" w:line="360" w:lineRule="auto"/>
        <w:ind w:left="709" w:hanging="425"/>
        <w:rPr>
          <w:color w:val="000000" w:themeColor="text1"/>
        </w:rPr>
      </w:pPr>
      <w:r w:rsidRPr="00ED6675">
        <w:rPr>
          <w:rStyle w:val="affb"/>
          <w:b w:val="0"/>
          <w:color w:val="000000" w:themeColor="text1"/>
        </w:rPr>
        <w:t>Всем пациентам с МДС</w:t>
      </w:r>
      <w:r w:rsidRPr="00ED6675">
        <w:rPr>
          <w:color w:val="000000" w:themeColor="text1"/>
        </w:rPr>
        <w:t xml:space="preserve"> введение глюкокортикоидов </w:t>
      </w:r>
      <w:r w:rsidRPr="00ED6675">
        <w:rPr>
          <w:rStyle w:val="affb"/>
          <w:color w:val="000000" w:themeColor="text1"/>
        </w:rPr>
        <w:t xml:space="preserve">рекомендуется </w:t>
      </w:r>
      <w:r w:rsidRPr="00ED6675">
        <w:rPr>
          <w:rStyle w:val="affb"/>
          <w:b w:val="0"/>
          <w:bCs w:val="0"/>
          <w:color w:val="000000" w:themeColor="text1"/>
        </w:rPr>
        <w:t>только</w:t>
      </w:r>
      <w:r w:rsidRPr="00ED6675">
        <w:rPr>
          <w:color w:val="000000" w:themeColor="text1"/>
        </w:rPr>
        <w:t xml:space="preserve"> при развитии тяжелых жизнеугрожающих состояний </w:t>
      </w:r>
      <w:r w:rsidRPr="00ED6675">
        <w:rPr>
          <w:color w:val="000000" w:themeColor="text1"/>
        </w:rPr>
        <w:fldChar w:fldCharType="begin" w:fldLock="1"/>
      </w:r>
      <w:r w:rsidR="00AE1E12">
        <w:rPr>
          <w:color w:val="000000" w:themeColor="text1"/>
        </w:rPr>
        <w:instrText>ADDIN CSL_CITATION {"citationItems":[{"id":"ITEM-1","itemData":{"DOI":"10.2450/2013.0017-12","ISSN":"17232007","abstract":"BACKGROUND: Transfusion therapy remains the main treatment for patients with severe haemoglobinopathies, but can cause adverse reactions which may be classified as immediate or delayed. The use of targeted prevention with drugs and treatments of blood components in selected patients can contribute to reducing the development of some reactions.The aim of our study was to develop an algorithm capable of guiding behaviours to adopt in order to reduce the incidence of immediate transfusion reactions.\\n\\nMATERIALS AND METHODS: Immediate transfusion reactions occurring over a 7-year period in 81 patients with transfusion-dependent haemoglobinopathies were recorded. The patients received transfusions with red cell concentrates that had been filtered prestorage. Various measures were undertaken to prevent transfusion reactions: leucoreduction, washing the red blood cells, prophylactic administration of an antihistamine (loratidine 10 mg tablet) or an antipyretic (paracetamol 500 mg tablet).\\n\\nRESULTS: Over the study period 20,668 red cell concentrates were transfused and 64 adverse transfusion reactions were recorded in 36 patients. The mean incidence of reactions in the 7 years of observation was 3.1‰. Over the years the incidence gradually decreased from 6.8‰ in 2004 to 0.9‰ in 2010.\\n\\nDISCUSSION: Preventive measures are not required for patients who have an occasional reaction, because the probability that such a type of reaction recurs is very low. In contrast, the targeted use of drugs such as loratidine or paracetamol, sometimes combined with washing and/or double filtration of red blood cells, can reduce the rate of recurrent (allergic) reactions to about 0.9‰. The system for detecting adverse reactions and training staff involved in transfusion therapy are critical points for reliable collection of data and standardisation of the detection system is recommended for those wanting to monitor the incidence of all adverse reactions, including minor ones.","author":[{"dropping-particle":"","family":"Bennardello","given":"Francesco","non-dropping-particle":"","parse-names":false,"suffix":""},{"dropping-particle":"","family":"Fidone","given":"Carmelo","non-dropping-particle":"","parse-names":false,"suffix":""},{"dropping-particle":"","family":"Spadola","given":"Vincenzo","non-dropping-particle":"","parse-names":false,"suffix":""},{"dropping-particle":"","family":"Cabibbo","given":"Sergio","non-dropping-particle":"","parse-names":false,"suffix":""},{"dropping-particle":"","family":"Travali","given":"Simone","non-dropping-particle":"","parse-names":false,"suffix":""},{"dropping-particle":"","family":"Garozzo","given":"Giovanni","non-dropping-particle":"","parse-names":false,"suffix":""},{"dropping-particle":"","family":"Antolino","given":"Agostino","non-dropping-particle":"","parse-names":false,"suffix":""},{"dropping-particle":"","family":"Tavolino","given":"Giuseppe","non-dropping-particle":"","parse-names":false,"suffix":""},{"dropping-particle":"","family":"Falla","given":"Cadigia","non-dropping-particle":"","parse-names":false,"suffix":""},{"dropping-particle":"","family":"Bonomo","given":"Pietro","non-dropping-particle":"","parse-names":false,"suffix":""}],"container-title":"Blood Transfusion","id":"ITEM-1","issue":"3","issued":{"date-parts":[["2013"]]},"page":"377-384","title":"The prevention of adverse reactions to transfusions in patients with haemoglobinopathies: A proposed algorithm","type":"article-journal","volume":"11"},"uris":["http://www.mendeley.com/documents/?uuid=13a2238d-0156-3c11-b7f5-e600d88858fc"]}],"mendeley":{"formattedCitation":"[115]","plainTextFormattedCitation":"[115]","previouslyFormattedCitation":"[115]"},"properties":{"noteIndex":0},"schema":"https://github.com/citation-style-language/schema/raw/master/csl-citation.json"}</w:instrText>
      </w:r>
      <w:r w:rsidRPr="00ED6675">
        <w:rPr>
          <w:color w:val="000000" w:themeColor="text1"/>
        </w:rPr>
        <w:fldChar w:fldCharType="separate"/>
      </w:r>
      <w:r w:rsidR="00AE1E12" w:rsidRPr="00AE1E12">
        <w:rPr>
          <w:noProof/>
          <w:color w:val="000000" w:themeColor="text1"/>
        </w:rPr>
        <w:t>[115]</w:t>
      </w:r>
      <w:r w:rsidRPr="00ED6675">
        <w:rPr>
          <w:color w:val="000000" w:themeColor="text1"/>
        </w:rPr>
        <w:fldChar w:fldCharType="end"/>
      </w:r>
      <w:r w:rsidRPr="00ED6675">
        <w:rPr>
          <w:color w:val="000000" w:themeColor="text1"/>
        </w:rPr>
        <w:t>.</w:t>
      </w:r>
    </w:p>
    <w:p w14:paraId="42D08B40" w14:textId="77777777" w:rsidR="00D530D2" w:rsidRPr="00ED6675" w:rsidRDefault="00D530D2" w:rsidP="00D530D2">
      <w:pPr>
        <w:pStyle w:val="afd"/>
        <w:spacing w:beforeAutospacing="0" w:afterAutospacing="0" w:line="360" w:lineRule="auto"/>
        <w:ind w:left="709" w:hanging="1"/>
        <w:rPr>
          <w:rStyle w:val="affb"/>
          <w:color w:val="000000" w:themeColor="text1"/>
        </w:rPr>
      </w:pPr>
      <w:r w:rsidRPr="00ED6675">
        <w:rPr>
          <w:rStyle w:val="affb"/>
          <w:color w:val="000000" w:themeColor="text1"/>
        </w:rPr>
        <w:t xml:space="preserve">Уровень убедительности рекомендаций </w:t>
      </w:r>
      <w:r>
        <w:rPr>
          <w:rStyle w:val="affb"/>
          <w:color w:val="000000" w:themeColor="text1"/>
          <w:lang w:val="en-US"/>
        </w:rPr>
        <w:t>C</w:t>
      </w:r>
      <w:r w:rsidRPr="00ED6675">
        <w:rPr>
          <w:rStyle w:val="affb"/>
          <w:color w:val="000000" w:themeColor="text1"/>
        </w:rPr>
        <w:t xml:space="preserve"> (уровень достоверности доказательств – </w:t>
      </w:r>
      <w:r w:rsidR="0025128E" w:rsidRPr="0025128E">
        <w:rPr>
          <w:rStyle w:val="affb"/>
          <w:color w:val="000000" w:themeColor="text1"/>
        </w:rPr>
        <w:t>4</w:t>
      </w:r>
      <w:r w:rsidRPr="00ED6675">
        <w:rPr>
          <w:rStyle w:val="affb"/>
          <w:color w:val="000000" w:themeColor="text1"/>
        </w:rPr>
        <w:t>)</w:t>
      </w:r>
    </w:p>
    <w:p w14:paraId="557AE9A5" w14:textId="77777777" w:rsidR="00F20CFD" w:rsidRPr="006A377C" w:rsidRDefault="00F20CFD" w:rsidP="00EA689A">
      <w:pPr>
        <w:pStyle w:val="2"/>
        <w:rPr>
          <w:lang w:val="en-US"/>
        </w:rPr>
      </w:pPr>
      <w:bookmarkStart w:id="20" w:name="_Toc65104094"/>
      <w:r w:rsidRPr="006A377C">
        <w:t>3.3. Хирургическое лечение</w:t>
      </w:r>
      <w:bookmarkEnd w:id="20"/>
    </w:p>
    <w:p w14:paraId="67623F26" w14:textId="77777777" w:rsidR="00F20CFD" w:rsidRPr="006A377C" w:rsidRDefault="00F20CFD" w:rsidP="005F2F2B">
      <w:pPr>
        <w:pStyle w:val="aff"/>
        <w:numPr>
          <w:ilvl w:val="0"/>
          <w:numId w:val="19"/>
        </w:numPr>
        <w:ind w:left="709" w:hanging="425"/>
        <w:rPr>
          <w:szCs w:val="24"/>
        </w:rPr>
      </w:pPr>
      <w:r w:rsidRPr="006A377C">
        <w:rPr>
          <w:szCs w:val="24"/>
        </w:rPr>
        <w:t>Пациентам с МДС из группы низкого риска (</w:t>
      </w:r>
      <w:r w:rsidR="00B63F37">
        <w:rPr>
          <w:szCs w:val="24"/>
        </w:rPr>
        <w:t>см. раздел 7.1 данных рекомендаций</w:t>
      </w:r>
      <w:r w:rsidRPr="006A377C">
        <w:rPr>
          <w:szCs w:val="24"/>
        </w:rPr>
        <w:t>) с гипоплазией кроветворения при отсутствии эффекта от ИСТ или пациентам с признаками аутоиммунной анемии или тромбоцитопении в сочетании с МДС, или пациентам МДС с увеличенными размерами селезенки</w:t>
      </w:r>
      <w:r w:rsidRPr="006A377C">
        <w:rPr>
          <w:b/>
          <w:szCs w:val="24"/>
        </w:rPr>
        <w:t xml:space="preserve"> </w:t>
      </w:r>
      <w:r w:rsidRPr="006A377C">
        <w:rPr>
          <w:szCs w:val="24"/>
        </w:rPr>
        <w:t>с лечебно-диагностической целью</w:t>
      </w:r>
      <w:r w:rsidRPr="006A377C">
        <w:rPr>
          <w:b/>
          <w:szCs w:val="24"/>
        </w:rPr>
        <w:t xml:space="preserve"> рекомендуется</w:t>
      </w:r>
      <w:r w:rsidRPr="006A377C">
        <w:rPr>
          <w:szCs w:val="24"/>
        </w:rPr>
        <w:t xml:space="preserve"> выполнение спленэктомии </w:t>
      </w:r>
      <w:r w:rsidRPr="006A377C">
        <w:rPr>
          <w:szCs w:val="24"/>
        </w:rPr>
        <w:fldChar w:fldCharType="begin" w:fldLock="1"/>
      </w:r>
      <w:r w:rsidR="00AE1E12">
        <w:rPr>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анемия","type":"chapter"},"uris":["http://www.mendeley.com/documents/?uuid=72f323ef-ac6b-4508-9b06-fafc11ea024b"]},{"id":"ITEM-2","itemData":{"ISSN":"0887-6924","PMID":"11417482","abstract":"Thrombocytopenia is generally of central origin in MDS, but can be due to peripheral platelet destruction in some cases. We studied platelet lifespan in 61 MDS cases with platelets &lt; 70,000/mm3 and marrow blasts &lt; 10%. Nine of them (15%) had a major platelet lifespan reduction (&lt; 3.5 days), and were considered for splenectomy. Three of them were not splenectomized due to rapid death, patient refusal and older age plus liver predominance of platelet sequestration, respectively. The remaining six patients (two females and four males, median age 50 years, range 32 to 65) were splenectomized 3 to 21 months after diagnosis. Before splenectomy, five of them had RA and one had CMML. Platelets counts ranged from 5000 to 30,000/mm3 and did not durably respond to other treatments. Three of the patients has a relapse of platelet counts, concomitantly required platelet transfusion due to recurrent blending, whereas three had anemia (two required erythrocyte transfusion) and four had neutropenia. Three months after surgery, platelet counts ranged from 55,000 to 160,000/mm3 (&gt; 100,000/mm3 in four cases), no patient required platelet or erythrocyte transfusion, but there was no effect on neutrophil counts. Three patients had a relapse of platelet counts, concomitant with progression to AML in two of them, whereas the third relapsing case achieved normal platelet counts with further danazol. One patient died with normal platelet counts 12 months after splenectomy (from sepsis, probably related to neutropenia rather than splenectomy). Two patients remained with normal platelet counts 10 and 52 months after surgery. Our findings suggest that the mechanism of thrombocytopenia should be studied more often in 'low risk' MDS (i.e. with low bone marrow blast counts) with thrombocytopenia, as about 15% of them appear to have peripheral platelet destruction. Some of those patients may benefit from splenectomy.","author":[{"dropping-particle":"","family":"Bourgeois","given":"E","non-dropping-particle":"","parse-names":false,"suffix":""},{"dropping-particle":"","family":"Caulier","given":"M T","non-dropping-particle":"","parse-names":false,"suffix":""},{"dropping-particle":"","family":"Rose","given":"C","non-dropping-particle":"","parse-names":false,"suffix":""},{"dropping-particle":"","family":"Dupriez","given":"B","non-dropping-particle":"","parse-names":false,"suffix":""},{"dropping-particle":"","family":"Bauters","given":"F","non-dropping-particle":"","parse-names":false,"suffix":""},{"dropping-particle":"","family":"Fenaux","given":"P","non-dropping-particle":"","parse-names":false,"suffix":""}],"container-title":"Leukemia","id":"ITEM-2","issue":"6","issued":{"date-parts":[["2001","6"]]},"page":"950-3","title":"Role of splenectomy in the treatment of myelodysplastic syndromes with peripheral thrombocytopenia: a report on six cases.","type":"article-journal","volume":"15"},"uris":["http://www.mendeley.com/documents/?uuid=e322e256-e819-3d5e-a42e-83cee29eefce"]}],"mendeley":{"formattedCitation":"[1,116]","plainTextFormattedCitation":"[1,116]","previouslyFormattedCitation":"[1,116]"},"properties":{"noteIndex":0},"schema":"https://github.com/citation-style-language/schema/raw/master/csl-citation.json"}</w:instrText>
      </w:r>
      <w:r w:rsidRPr="006A377C">
        <w:rPr>
          <w:szCs w:val="24"/>
        </w:rPr>
        <w:fldChar w:fldCharType="separate"/>
      </w:r>
      <w:r w:rsidR="00AE1E12" w:rsidRPr="00AE1E12">
        <w:rPr>
          <w:noProof/>
          <w:szCs w:val="24"/>
        </w:rPr>
        <w:t>[1,116]</w:t>
      </w:r>
      <w:r w:rsidRPr="006A377C">
        <w:rPr>
          <w:szCs w:val="24"/>
        </w:rPr>
        <w:fldChar w:fldCharType="end"/>
      </w:r>
      <w:r w:rsidRPr="006A377C">
        <w:rPr>
          <w:szCs w:val="24"/>
        </w:rPr>
        <w:t>.</w:t>
      </w:r>
    </w:p>
    <w:p w14:paraId="3F1D7756" w14:textId="77777777" w:rsidR="00F20CFD" w:rsidRPr="006A377C" w:rsidRDefault="00F20CFD" w:rsidP="00EA689A">
      <w:pPr>
        <w:ind w:left="709"/>
        <w:rPr>
          <w:b/>
          <w:szCs w:val="24"/>
        </w:rPr>
      </w:pPr>
      <w:r w:rsidRPr="006A377C">
        <w:rPr>
          <w:b/>
          <w:szCs w:val="24"/>
        </w:rPr>
        <w:t xml:space="preserve">Уровень убедительности рекомендаций </w:t>
      </w:r>
      <w:r w:rsidRPr="006A377C">
        <w:rPr>
          <w:b/>
          <w:szCs w:val="24"/>
          <w:lang w:val="en-US"/>
        </w:rPr>
        <w:t>C</w:t>
      </w:r>
      <w:r w:rsidRPr="006A377C">
        <w:rPr>
          <w:b/>
          <w:szCs w:val="24"/>
        </w:rPr>
        <w:t xml:space="preserve"> (уровень достоверности доказательств – </w:t>
      </w:r>
      <w:r w:rsidR="00855963">
        <w:rPr>
          <w:b/>
          <w:szCs w:val="24"/>
        </w:rPr>
        <w:t>4</w:t>
      </w:r>
      <w:r w:rsidRPr="006A377C">
        <w:rPr>
          <w:b/>
          <w:szCs w:val="24"/>
        </w:rPr>
        <w:t>)</w:t>
      </w:r>
    </w:p>
    <w:p w14:paraId="6877F29C" w14:textId="77777777" w:rsidR="00F20CFD" w:rsidRPr="006A377C" w:rsidRDefault="00F20CFD" w:rsidP="00EA689A">
      <w:pPr>
        <w:ind w:left="709"/>
        <w:rPr>
          <w:i/>
          <w:szCs w:val="24"/>
        </w:rPr>
      </w:pPr>
      <w:r w:rsidRPr="006A377C">
        <w:rPr>
          <w:b/>
          <w:szCs w:val="24"/>
        </w:rPr>
        <w:t xml:space="preserve">Комментарии: </w:t>
      </w:r>
      <w:r w:rsidRPr="006A377C">
        <w:rPr>
          <w:i/>
          <w:szCs w:val="24"/>
        </w:rPr>
        <w:t>спленэктомия у пациентов с МДС в странах ЕС применяется редко, в основном у пациентов с глубокой тромбоцитопенией. В РФ накоплен опыт выполнения спленэктомии у 33 пациентов с МДС. Чаще операция проводилась при гипоплазии кроветворения по данным гистологического исследования КМ (75%). В 16 (48%) случаях до спленэктомии проводилась комбинированная ИСТ. В 6 (18%) случаях документировано увеличение размеров селезенки более 15×8 см. Как эффект от проведения спленэктомии у 16 (48%) пациентов отмечено снижение зависимости от гемотрансфузий.</w:t>
      </w:r>
    </w:p>
    <w:p w14:paraId="5CA338BD" w14:textId="77777777" w:rsidR="00F20CFD" w:rsidRPr="006A377C" w:rsidRDefault="00F20CFD" w:rsidP="00FE6E7A">
      <w:pPr>
        <w:ind w:left="709"/>
        <w:rPr>
          <w:i/>
          <w:szCs w:val="24"/>
        </w:rPr>
      </w:pPr>
      <w:r w:rsidRPr="006A377C">
        <w:rPr>
          <w:i/>
          <w:szCs w:val="24"/>
        </w:rPr>
        <w:lastRenderedPageBreak/>
        <w:t>Спленэктомию желательно выполнять лапароскопическим доступом.</w:t>
      </w:r>
    </w:p>
    <w:p w14:paraId="7CC4A457" w14:textId="77777777" w:rsidR="00F20CFD" w:rsidRDefault="00F20CFD" w:rsidP="00C413F9">
      <w:pPr>
        <w:ind w:left="709"/>
      </w:pPr>
      <w:r w:rsidRPr="006A377C">
        <w:t>Следует учесть, что у пациента могут быть нестандартные проявления болезни, а также сочетание конкретной болезни с другими патологиями, что может диктовать лечащему врачу изменения в алгоритме выбора оптимальной тактики диагностики и лечения.</w:t>
      </w:r>
    </w:p>
    <w:p w14:paraId="1EE19D36" w14:textId="77777777" w:rsidR="00F20CFD" w:rsidRDefault="00F20CFD" w:rsidP="00C413F9">
      <w:pPr>
        <w:ind w:left="709"/>
      </w:pPr>
    </w:p>
    <w:p w14:paraId="5058E0FB" w14:textId="18CD4CC5" w:rsidR="00F20CFD" w:rsidRPr="00C413F9" w:rsidRDefault="00F20CFD" w:rsidP="00C413F9">
      <w:pPr>
        <w:pStyle w:val="2"/>
        <w:jc w:val="center"/>
        <w:rPr>
          <w:sz w:val="28"/>
          <w:szCs w:val="28"/>
          <w:u w:val="none"/>
        </w:rPr>
      </w:pPr>
      <w:bookmarkStart w:id="21" w:name="_Toc65104095"/>
      <w:r w:rsidRPr="00C413F9">
        <w:rPr>
          <w:sz w:val="28"/>
          <w:szCs w:val="28"/>
          <w:u w:val="none"/>
        </w:rPr>
        <w:t xml:space="preserve">4. </w:t>
      </w:r>
      <w:r w:rsidR="00E7317D" w:rsidRPr="00E7317D">
        <w:rPr>
          <w:sz w:val="28"/>
          <w:szCs w:val="28"/>
          <w:u w:val="none"/>
        </w:rPr>
        <w:t>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bookmarkEnd w:id="21"/>
    </w:p>
    <w:p w14:paraId="7CBBD825" w14:textId="77777777" w:rsidR="00F20CFD" w:rsidRPr="006A377C" w:rsidRDefault="00F20CFD" w:rsidP="00631F49">
      <w:pPr>
        <w:rPr>
          <w:b/>
          <w:szCs w:val="24"/>
        </w:rPr>
      </w:pPr>
    </w:p>
    <w:p w14:paraId="4D5FF0E9" w14:textId="77777777" w:rsidR="00F20CFD" w:rsidRPr="00A57C24" w:rsidRDefault="00F20CFD" w:rsidP="005F2F2B">
      <w:pPr>
        <w:pStyle w:val="aff"/>
        <w:numPr>
          <w:ilvl w:val="0"/>
          <w:numId w:val="19"/>
        </w:numPr>
        <w:ind w:left="709" w:hanging="425"/>
        <w:rPr>
          <w:szCs w:val="24"/>
        </w:rPr>
      </w:pPr>
      <w:r w:rsidRPr="00B11DA2">
        <w:rPr>
          <w:szCs w:val="24"/>
        </w:rPr>
        <w:t>Всем пациентам с МДС</w:t>
      </w:r>
      <w:r w:rsidRPr="00A57C24">
        <w:rPr>
          <w:szCs w:val="24"/>
        </w:rPr>
        <w:t xml:space="preserve"> рекомендуется </w:t>
      </w:r>
      <w:r w:rsidR="00B11DA2" w:rsidRPr="00A57C24">
        <w:rPr>
          <w:szCs w:val="24"/>
        </w:rPr>
        <w:t>проведение медицинской реабилитации, которая включает в себя эффективную обезболивающую терапию, нутритивную поддержку, обеспечение психологического благополучия и максимально возможное физическое функционирование на всех этапах лечения и поддерживающей терапии</w:t>
      </w:r>
      <w:r w:rsidRPr="006A377C">
        <w:rPr>
          <w:szCs w:val="24"/>
        </w:rPr>
        <w:t xml:space="preserve"> </w:t>
      </w:r>
      <w:r w:rsidRPr="006A377C">
        <w:rPr>
          <w:szCs w:val="24"/>
        </w:rPr>
        <w:fldChar w:fldCharType="begin" w:fldLock="1"/>
      </w:r>
      <w:r w:rsidR="00AE1E12">
        <w:rPr>
          <w:szCs w:val="24"/>
        </w:rPr>
        <w:instrText>ADDIN CSL_CITATION {"citationItems":[{"id":"ITEM-1","itemData":{"DOI":"10.1097/PHM.0b013e31820be055","ISSN":"1537-7385","PMID":"21765268","abstract":"Patients facing hematologic malignancy and its treatment are highly vulnerable to profound physiologic, functional, and cognitive disability and often experience a significant increase in psychosocial stress. For optimal outcomes, this incredibly vulnerable oncology population will need earlier and more comprehensive involvement of rehabilitation services, including exercise strategies.Exercise interventions for those with cancer have not been well studied, particularly in those with hematologic malignancies. Of the research available to date, significant methodologic limitations exist. There is a strong need for further investigation into the effects of and guidelines for exercise interventions in this population of patients, particularly among those undergoing or having undergone hematopoietic stem cell transplantation, as this has historically been a difficult population to study because of the high morbidity and potential for medical complications. From the limited data available to date, exercise seems to be generally safe, feasible, efficacious, and capable of providing functional improvements for those with hematologic cancers.","author":[{"dropping-particle":"","family":"Paul","given":"Kelly L","non-dropping-particle":"","parse-names":false,"suffix":""}],"container-title":"American journal of physical medicine &amp; rehabilitation","id":"ITEM-1","issue":"5 Suppl 1","issued":{"date-parts":[["2011","5"]]},"page":"S88-94","title":"Rehabilitation and exercise considerations in hematologic malignancies.","type":"article-journal","volume":"90"},"uris":["http://www.mendeley.com/documents/?uuid=2b502bce-bc0a-35cf-9c9a-aab53cb19bfd"]}],"mendeley":{"formattedCitation":"[117]","plainTextFormattedCitation":"[117]","previouslyFormattedCitation":"[117]"},"properties":{"noteIndex":0},"schema":"https://github.com/citation-style-language/schema/raw/master/csl-citation.json"}</w:instrText>
      </w:r>
      <w:r w:rsidRPr="006A377C">
        <w:rPr>
          <w:szCs w:val="24"/>
        </w:rPr>
        <w:fldChar w:fldCharType="separate"/>
      </w:r>
      <w:r w:rsidR="00AE1E12" w:rsidRPr="00AE1E12">
        <w:rPr>
          <w:noProof/>
          <w:szCs w:val="24"/>
        </w:rPr>
        <w:t>[117]</w:t>
      </w:r>
      <w:r w:rsidRPr="006A377C">
        <w:rPr>
          <w:szCs w:val="24"/>
        </w:rPr>
        <w:fldChar w:fldCharType="end"/>
      </w:r>
      <w:r w:rsidRPr="006A377C">
        <w:rPr>
          <w:szCs w:val="24"/>
        </w:rPr>
        <w:t>.</w:t>
      </w:r>
    </w:p>
    <w:p w14:paraId="74AA0304" w14:textId="77777777" w:rsidR="00F20CFD" w:rsidRPr="006A377C" w:rsidRDefault="00F20CFD" w:rsidP="003D73CD">
      <w:pPr>
        <w:pStyle w:val="aff"/>
        <w:ind w:left="709"/>
        <w:rPr>
          <w:b/>
          <w:szCs w:val="24"/>
        </w:rPr>
      </w:pPr>
      <w:r w:rsidRPr="006A377C">
        <w:rPr>
          <w:b/>
          <w:szCs w:val="24"/>
        </w:rPr>
        <w:t xml:space="preserve">Уровень убедительности рекомендаций </w:t>
      </w:r>
      <w:r w:rsidR="00A57C24">
        <w:rPr>
          <w:b/>
          <w:szCs w:val="24"/>
        </w:rPr>
        <w:t>С</w:t>
      </w:r>
      <w:r w:rsidRPr="006A377C">
        <w:rPr>
          <w:b/>
          <w:szCs w:val="24"/>
        </w:rPr>
        <w:t xml:space="preserve"> (уровень достоверности доказательств – 4)</w:t>
      </w:r>
    </w:p>
    <w:p w14:paraId="3942B1A1" w14:textId="77777777" w:rsidR="00B11DA2" w:rsidRPr="00A57C24" w:rsidRDefault="00F20CFD" w:rsidP="00A57C24">
      <w:pPr>
        <w:ind w:left="709"/>
        <w:rPr>
          <w:szCs w:val="24"/>
        </w:rPr>
      </w:pPr>
      <w:r w:rsidRPr="006A377C">
        <w:rPr>
          <w:b/>
        </w:rPr>
        <w:t xml:space="preserve">Комментарии: </w:t>
      </w:r>
      <w:r w:rsidR="00A57C24" w:rsidRPr="00A57C24">
        <w:rPr>
          <w:i/>
          <w:color w:val="000000"/>
          <w:szCs w:val="24"/>
        </w:rPr>
        <w:t xml:space="preserve">медицинская </w:t>
      </w:r>
      <w:r w:rsidR="00B11DA2" w:rsidRPr="00A57C24">
        <w:rPr>
          <w:i/>
          <w:color w:val="000000"/>
          <w:szCs w:val="24"/>
        </w:rPr>
        <w:t>реабилитация при лечении пациентов с МДС является частью поддерживающей терапии, направленной на уменьшение осложнений, максимальное обеспечение физических, эмоциональных и социальных потребностей, улучшение качества жизни пациентов и членов их семей. Принципы реабилитации должны быть основаны на Международной классификации функционирования, ограничений жизнедеятельности и здоровья (МКФ), разработанной ВОЗ в 2002 году. Главные условия включают работу мультидисциплинарной бригады (МДБ), раннее начало, пациент-ориентированный подход</w:t>
      </w:r>
      <w:r w:rsidR="00A57C24">
        <w:rPr>
          <w:i/>
          <w:color w:val="000000"/>
          <w:szCs w:val="24"/>
        </w:rPr>
        <w:t>,</w:t>
      </w:r>
      <w:r w:rsidR="00B11DA2" w:rsidRPr="00A57C24">
        <w:rPr>
          <w:i/>
          <w:color w:val="000000"/>
          <w:szCs w:val="24"/>
        </w:rPr>
        <w:t xml:space="preserve"> длительное наблюдение и преемственность по месту жительства пациента. В состав МДБ при работе с пациентами, страдающими МДС, входят врач по физической реабилитационной медицине, врач гематолог-онколог, клинический психолог, методист-инструктор, эрготерапевт, медицинская сестра, родственники пациента и сам пациент. В результате диагностики нарушений структур и функций организма, ограничений активности и участия пациента, а также оценки факторов окружающей среды и персональных факторов пациента, выставляется реабилитационный диагноз, определяется потенциал и </w:t>
      </w:r>
      <w:r w:rsidR="00B11DA2" w:rsidRPr="00A57C24">
        <w:rPr>
          <w:i/>
          <w:color w:val="000000"/>
          <w:szCs w:val="24"/>
        </w:rPr>
        <w:lastRenderedPageBreak/>
        <w:t>разрабатывается индивидуальный план реабилитации пациента, основываясь на краткосрочные и долгосрочные цели реабилитации.</w:t>
      </w:r>
    </w:p>
    <w:p w14:paraId="4EA54D05" w14:textId="77777777" w:rsidR="00B11DA2" w:rsidRDefault="00B11DA2" w:rsidP="00C413F9">
      <w:pPr>
        <w:ind w:left="709"/>
      </w:pPr>
    </w:p>
    <w:p w14:paraId="3688A95C" w14:textId="77777777" w:rsidR="00F20CFD" w:rsidRDefault="00F20CFD" w:rsidP="00C413F9">
      <w:pPr>
        <w:ind w:left="709"/>
        <w:rPr>
          <w:szCs w:val="28"/>
        </w:rPr>
      </w:pPr>
    </w:p>
    <w:p w14:paraId="33D60185" w14:textId="77777777" w:rsidR="00F20CFD" w:rsidRPr="00C413F9" w:rsidRDefault="00F20CFD" w:rsidP="00C413F9">
      <w:pPr>
        <w:pStyle w:val="2"/>
        <w:jc w:val="center"/>
        <w:rPr>
          <w:sz w:val="28"/>
          <w:szCs w:val="28"/>
          <w:u w:val="none"/>
        </w:rPr>
      </w:pPr>
      <w:bookmarkStart w:id="22" w:name="_Toc65104096"/>
      <w:r w:rsidRPr="00C413F9">
        <w:rPr>
          <w:sz w:val="28"/>
          <w:szCs w:val="28"/>
          <w:u w:val="none"/>
        </w:rPr>
        <w:t>5. Профилактика и диспансерное наблюдение, медицинские показания и противопоказания к применению методов профилактики</w:t>
      </w:r>
      <w:bookmarkEnd w:id="22"/>
    </w:p>
    <w:p w14:paraId="34050FA7" w14:textId="77777777" w:rsidR="00F20CFD" w:rsidRPr="006A377C" w:rsidRDefault="00F20CFD" w:rsidP="003D73CD">
      <w:pPr>
        <w:pStyle w:val="aff"/>
        <w:ind w:left="709"/>
        <w:rPr>
          <w:szCs w:val="24"/>
        </w:rPr>
      </w:pPr>
    </w:p>
    <w:p w14:paraId="41364652" w14:textId="77777777" w:rsidR="00F20CFD" w:rsidRPr="006A377C" w:rsidRDefault="00F20CFD" w:rsidP="005F2F2B">
      <w:pPr>
        <w:pStyle w:val="aff"/>
        <w:numPr>
          <w:ilvl w:val="0"/>
          <w:numId w:val="27"/>
        </w:numPr>
        <w:ind w:left="709" w:hanging="709"/>
        <w:rPr>
          <w:szCs w:val="24"/>
        </w:rPr>
      </w:pPr>
      <w:r w:rsidRPr="006A377C">
        <w:rPr>
          <w:szCs w:val="24"/>
        </w:rPr>
        <w:t>Всем пациентам с МДС</w:t>
      </w:r>
      <w:r w:rsidRPr="006A377C">
        <w:rPr>
          <w:b/>
          <w:szCs w:val="24"/>
        </w:rPr>
        <w:t xml:space="preserve"> рекомендуется</w:t>
      </w:r>
      <w:r w:rsidRPr="006A377C">
        <w:rPr>
          <w:szCs w:val="24"/>
        </w:rPr>
        <w:t xml:space="preserve"> постоянное динамическое наблюдение у гематолога в течение всей жизни </w:t>
      </w:r>
      <w:r w:rsidRPr="006A377C">
        <w:rPr>
          <w:szCs w:val="24"/>
        </w:rPr>
        <w:fldChar w:fldCharType="begin" w:fldLock="1"/>
      </w:r>
      <w:r w:rsidR="00AE1E12">
        <w:rPr>
          <w:szCs w:val="24"/>
        </w:rPr>
        <w:instrText>ADDIN CSL_CITATION {"citationItems":[{"id":"ITEM-1","itemData":{"author":[{"dropping-particle":"","family":"Кохно","given":"А.В.","non-dropping-particle":"","parse-names":false,"suffix":""},{"dropping-particle":"","family":"Паровичникова","given":"Е.Н.","non-dropping-particle":"","parse-names":false,"suffix":""},{"dropping-particle":"","family":"Михайлова","given":"Е.А.","non-dropping-particle":"","parse-names":false,"suffix":""},{"dropping-particle":"","family":"Савченко","given":"В.Г.","non-dropping-particle":"","parse-names":false,"suffix":""}],"container-title":"Программное лечение заболеваний крови, под ред. Савченко В.Г.","id":"ITEM-1","issued":{"date-parts":[["2012"]]},"page":"83-150","title":"Миелодиспластические синдромы и апластическая анемия","type":"chapter"},"uris":["http://www.mendeley.com/documents/?uuid=72f323ef-ac6b-4508-9b06-fafc11ea024b"]},{"id":"ITEM-2","itemData":{"DOI":"10.23736/S1973-9087.18.05144-4","ISSN":"1650-1977","PMID":"29565102","abstract":"PMID: 29565102 DOI: 10.23736/S1973-9087.18.05144-4","author":[{"dropping-particle":"","family":"European Physical and Rehabilitation Medicine Bodies Alliance","given":"","non-dropping-particle":"","parse-names":false,"suffix":""}],"container-title":"European Journal of Physical and Rehabilitation Medicine","id":"ITEM-2","issue":"2","issued":{"date-parts":[["2018"]]},"page":"156-65","title":"White book on physical and rehabilitation medicine in Europe (3th Edition): Chaper 1: Definition an conceps of PRM","type":"article-journal","volume":"54"},"uris":["http://www.mendeley.com/documents/?uuid=d59f33a4-9efc-3900-97a0-ae3fbefb91ad"]}],"mendeley":{"formattedCitation":"[1,118]","plainTextFormattedCitation":"[1,118]","previouslyFormattedCitation":"[1,118]"},"properties":{"noteIndex":0},"schema":"https://github.com/citation-style-language/schema/raw/master/csl-citation.json"}</w:instrText>
      </w:r>
      <w:r w:rsidRPr="006A377C">
        <w:rPr>
          <w:szCs w:val="24"/>
        </w:rPr>
        <w:fldChar w:fldCharType="separate"/>
      </w:r>
      <w:r w:rsidR="00AE1E12" w:rsidRPr="00AE1E12">
        <w:rPr>
          <w:noProof/>
          <w:szCs w:val="24"/>
        </w:rPr>
        <w:t>[1,118]</w:t>
      </w:r>
      <w:r w:rsidRPr="006A377C">
        <w:rPr>
          <w:szCs w:val="24"/>
        </w:rPr>
        <w:fldChar w:fldCharType="end"/>
      </w:r>
      <w:r w:rsidRPr="006A377C">
        <w:rPr>
          <w:szCs w:val="24"/>
        </w:rPr>
        <w:t>.</w:t>
      </w:r>
    </w:p>
    <w:p w14:paraId="5A348AA9" w14:textId="77777777" w:rsidR="00F20CFD" w:rsidRPr="006A377C" w:rsidRDefault="00F20CFD" w:rsidP="00F96611">
      <w:pPr>
        <w:ind w:left="709"/>
        <w:rPr>
          <w:b/>
          <w:szCs w:val="24"/>
        </w:rPr>
      </w:pPr>
      <w:r w:rsidRPr="006A377C">
        <w:rPr>
          <w:b/>
          <w:szCs w:val="24"/>
        </w:rPr>
        <w:t>Уровень убедительности рекомендаций С (уровень достоверности доказательств – 5)</w:t>
      </w:r>
    </w:p>
    <w:p w14:paraId="2CB84B30" w14:textId="77777777" w:rsidR="00F20CFD" w:rsidRDefault="00F20CFD" w:rsidP="00C413F9">
      <w:pPr>
        <w:ind w:left="709"/>
      </w:pPr>
      <w:r w:rsidRPr="006A377C">
        <w:rPr>
          <w:b/>
        </w:rPr>
        <w:t xml:space="preserve">Комментарии: </w:t>
      </w:r>
      <w:r w:rsidRPr="006A377C">
        <w:t>график диспансерного наблюдения не отработан, устанавливается индивидуально каждым врачом для каждого пациента в зависимости от варианта МДС, возраста пациента и наличия сопутствующей патологии.</w:t>
      </w:r>
    </w:p>
    <w:p w14:paraId="35294974" w14:textId="77777777" w:rsidR="00F20CFD" w:rsidRDefault="00F20CFD" w:rsidP="00C413F9">
      <w:pPr>
        <w:ind w:left="709"/>
        <w:rPr>
          <w:szCs w:val="28"/>
        </w:rPr>
      </w:pPr>
    </w:p>
    <w:p w14:paraId="0BF3B8E4" w14:textId="77777777" w:rsidR="00F20CFD" w:rsidRPr="00C413F9" w:rsidRDefault="00F20CFD" w:rsidP="00C413F9">
      <w:pPr>
        <w:pStyle w:val="2"/>
        <w:jc w:val="center"/>
        <w:rPr>
          <w:sz w:val="28"/>
          <w:szCs w:val="28"/>
          <w:u w:val="none"/>
        </w:rPr>
      </w:pPr>
      <w:bookmarkStart w:id="23" w:name="_Toc65104097"/>
      <w:r w:rsidRPr="00C413F9">
        <w:rPr>
          <w:sz w:val="28"/>
          <w:szCs w:val="28"/>
          <w:u w:val="none"/>
        </w:rPr>
        <w:t xml:space="preserve">6. Организация </w:t>
      </w:r>
      <w:r w:rsidR="00C3481C">
        <w:rPr>
          <w:sz w:val="28"/>
          <w:szCs w:val="28"/>
          <w:u w:val="none"/>
        </w:rPr>
        <w:t xml:space="preserve">оказания </w:t>
      </w:r>
      <w:r w:rsidRPr="00C413F9">
        <w:rPr>
          <w:sz w:val="28"/>
          <w:szCs w:val="28"/>
          <w:u w:val="none"/>
        </w:rPr>
        <w:t>медицинской помощи</w:t>
      </w:r>
      <w:bookmarkEnd w:id="23"/>
    </w:p>
    <w:p w14:paraId="2008BCD3" w14:textId="77777777" w:rsidR="00F20CFD" w:rsidRDefault="00F20CFD" w:rsidP="00EA7BF5">
      <w:pPr>
        <w:pStyle w:val="TOC1Char"/>
        <w:ind w:firstLine="709"/>
        <w:rPr>
          <w:bCs/>
          <w:iCs/>
        </w:rPr>
      </w:pPr>
    </w:p>
    <w:p w14:paraId="0A40B4C3" w14:textId="77777777" w:rsidR="00F20CFD" w:rsidRPr="006A377C" w:rsidRDefault="00F20CFD" w:rsidP="00EA7BF5">
      <w:pPr>
        <w:pStyle w:val="TOC1Char"/>
        <w:ind w:firstLine="709"/>
        <w:rPr>
          <w:bCs/>
          <w:iCs/>
        </w:rPr>
      </w:pPr>
      <w:r w:rsidRPr="006A377C">
        <w:rPr>
          <w:bCs/>
          <w:iCs/>
        </w:rPr>
        <w:t>Медицинская помощь, за исключением медицинской помощи в рамках клинической апробации, в соответствии с федеральным законом от 21.11.2011 № 323-ФЗ (ред. от 25.05.2019) «Об основах охраны здоровья граждан в Российской Федерации» организуется и оказывается:</w:t>
      </w:r>
    </w:p>
    <w:p w14:paraId="6F63429A" w14:textId="77777777" w:rsidR="00F20CFD" w:rsidRPr="006A377C" w:rsidRDefault="00F20CFD" w:rsidP="00EA7BF5">
      <w:pPr>
        <w:pStyle w:val="TOC1Char"/>
        <w:ind w:firstLine="709"/>
        <w:rPr>
          <w:bCs/>
          <w:iCs/>
        </w:rPr>
      </w:pPr>
      <w:r w:rsidRPr="006A377C">
        <w:rPr>
          <w:i/>
        </w:rPr>
        <w:t xml:space="preserve">– </w:t>
      </w:r>
      <w:r w:rsidRPr="006A377C">
        <w:rPr>
          <w:bCs/>
          <w:iCs/>
        </w:rPr>
        <w:t>в соответствии с положением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14:paraId="4DFEFCC4" w14:textId="77777777" w:rsidR="00F20CFD" w:rsidRPr="006A377C" w:rsidRDefault="00F20CFD" w:rsidP="00EA7BF5">
      <w:pPr>
        <w:pStyle w:val="TOC1Char"/>
        <w:ind w:firstLine="709"/>
        <w:rPr>
          <w:bCs/>
          <w:iCs/>
        </w:rPr>
      </w:pPr>
      <w:r w:rsidRPr="006A377C">
        <w:rPr>
          <w:i/>
        </w:rPr>
        <w:t xml:space="preserve">– </w:t>
      </w:r>
      <w:r w:rsidRPr="006A377C">
        <w:rPr>
          <w:bCs/>
          <w:iCs/>
        </w:rPr>
        <w:t>в соответствии с порядком оказания помощи по профилю «гематология», обязательным для исполнения на территории Российской Федерации всеми медицинскими организациями;</w:t>
      </w:r>
    </w:p>
    <w:p w14:paraId="4A33B78E" w14:textId="77777777" w:rsidR="00F20CFD" w:rsidRPr="006A377C" w:rsidRDefault="00F20CFD" w:rsidP="00EA7BF5">
      <w:pPr>
        <w:pStyle w:val="TOC1Char"/>
        <w:ind w:firstLine="709"/>
        <w:rPr>
          <w:bCs/>
          <w:iCs/>
        </w:rPr>
      </w:pPr>
      <w:r w:rsidRPr="006A377C">
        <w:rPr>
          <w:i/>
        </w:rPr>
        <w:t xml:space="preserve">– </w:t>
      </w:r>
      <w:r w:rsidRPr="006A377C">
        <w:rPr>
          <w:bCs/>
          <w:iCs/>
        </w:rPr>
        <w:t>на основе настоящих клинических рекомендаций;</w:t>
      </w:r>
    </w:p>
    <w:p w14:paraId="3D159FF2" w14:textId="77777777" w:rsidR="00F20CFD" w:rsidRPr="006A377C" w:rsidRDefault="00F20CFD" w:rsidP="00EA7BF5">
      <w:pPr>
        <w:pStyle w:val="TOC1Char"/>
        <w:ind w:firstLine="709"/>
        <w:rPr>
          <w:bCs/>
          <w:iCs/>
        </w:rPr>
      </w:pPr>
      <w:r w:rsidRPr="006A377C">
        <w:rPr>
          <w:i/>
        </w:rPr>
        <w:t xml:space="preserve">– </w:t>
      </w:r>
      <w:r w:rsidRPr="006A377C">
        <w:rPr>
          <w:bCs/>
          <w:iCs/>
        </w:rPr>
        <w:t>с учетом стандартов медицинской помощи, утвержденных уполномоченным федеральным органом исполнительной власти.</w:t>
      </w:r>
    </w:p>
    <w:p w14:paraId="01A5ED32" w14:textId="77777777" w:rsidR="00F20CFD" w:rsidRPr="006A377C" w:rsidRDefault="00F20CFD" w:rsidP="00EA7BF5">
      <w:pPr>
        <w:pStyle w:val="TOC1Char"/>
        <w:ind w:firstLine="709"/>
        <w:rPr>
          <w:bCs/>
          <w:iCs/>
        </w:rPr>
      </w:pPr>
      <w:r w:rsidRPr="006A377C">
        <w:rPr>
          <w:bCs/>
          <w:iCs/>
        </w:rPr>
        <w:t xml:space="preserve">Первичная специализированная медико-санитарная помощь оказывается врачом-гематологом и иными врачами-специалистами в центре амбулаторной гематологической/онкологической помощи либо в первичном </w:t>
      </w:r>
      <w:r w:rsidRPr="006A377C">
        <w:rPr>
          <w:bCs/>
          <w:iCs/>
        </w:rPr>
        <w:lastRenderedPageBreak/>
        <w:t>гематологическом/онкологическом кабинете, первичном гематологическом отделении, поликлиническом отделении онкологического диспансера.</w:t>
      </w:r>
    </w:p>
    <w:p w14:paraId="55894851" w14:textId="77777777" w:rsidR="00F20CFD" w:rsidRPr="006A377C" w:rsidRDefault="00F20CFD" w:rsidP="00EA7BF5">
      <w:pPr>
        <w:pStyle w:val="TOC1Char"/>
        <w:ind w:firstLine="709"/>
        <w:rPr>
          <w:bCs/>
          <w:iCs/>
        </w:rPr>
      </w:pPr>
      <w:r w:rsidRPr="006A377C">
        <w:rPr>
          <w:bCs/>
          <w:iCs/>
        </w:rPr>
        <w:t>При выявлении у больного волосатоклеточного лейкоза (ВКЛ) или подозрении на него врачи-терапевты, врачи-терапевты участковые, врачи общей практики (семейные врачи), врачи-специалисты, средние медицинские работники в установленном порядке направляют больного на консультацию в центр амбулаторной гематологической/онкологической помощи либо в первичный гематологический кабинет, первичное гематологическое отделение медицинской организации для оказания ему первичной специализированной медико-санитарной помощи.</w:t>
      </w:r>
    </w:p>
    <w:p w14:paraId="0EA82B43" w14:textId="77777777" w:rsidR="00F20CFD" w:rsidRPr="006A377C" w:rsidRDefault="00F20CFD" w:rsidP="00EA7BF5">
      <w:pPr>
        <w:pStyle w:val="TOC1Char"/>
        <w:ind w:firstLine="709"/>
        <w:rPr>
          <w:bCs/>
          <w:iCs/>
        </w:rPr>
      </w:pPr>
      <w:r w:rsidRPr="006A377C">
        <w:rPr>
          <w:bCs/>
          <w:iCs/>
        </w:rPr>
        <w:t>Врач-гематолог амбулаторного или стационарного звена гематологической помощи организует выполнение диагностических исследований, необходимых для установления диагноза, включая распространенность и стадию заболевания.</w:t>
      </w:r>
    </w:p>
    <w:p w14:paraId="6490747E" w14:textId="77777777" w:rsidR="00F20CFD" w:rsidRPr="006A377C" w:rsidRDefault="00F20CFD" w:rsidP="00EA7BF5">
      <w:pPr>
        <w:pStyle w:val="TOC1Char"/>
        <w:ind w:firstLine="709"/>
        <w:rPr>
          <w:bCs/>
          <w:iCs/>
        </w:rPr>
      </w:pPr>
      <w:r w:rsidRPr="006A377C">
        <w:rPr>
          <w:bCs/>
          <w:iCs/>
        </w:rPr>
        <w:t>В случае невозможности проведения диагностических исследований пациент направляется лечащим врачом в медицинскую организацию, оказывающую медицинскую помощь больным с гематологическими заболеваниями для установления диагноза и оказания специализированной, в том числе высокотехнологичной, медицинской помощи.</w:t>
      </w:r>
    </w:p>
    <w:p w14:paraId="14D1E6BC" w14:textId="77777777" w:rsidR="00F20CFD" w:rsidRPr="006A377C" w:rsidRDefault="00F20CFD" w:rsidP="00EA7BF5">
      <w:pPr>
        <w:pStyle w:val="TOC1Char"/>
        <w:ind w:firstLine="709"/>
        <w:rPr>
          <w:bCs/>
          <w:iCs/>
        </w:rPr>
      </w:pPr>
      <w:r w:rsidRPr="006A377C">
        <w:rPr>
          <w:bCs/>
          <w:iCs/>
        </w:rPr>
        <w:t>При выявлении ВКЛ или подозрении на него в ходе оказания скорой медицинской помощи больного переводят или направляют в медицинские организации, оказывающие медицинскую помощь больным с гематологическими заболеваниями, для определения тактики ведения и необходимости применения дополнительно других методов специализированного противоопухолевого лечения.</w:t>
      </w:r>
    </w:p>
    <w:p w14:paraId="538D6F6C" w14:textId="77777777" w:rsidR="00F20CFD" w:rsidRPr="006A377C" w:rsidRDefault="00F20CFD" w:rsidP="00EA7BF5">
      <w:pPr>
        <w:pStyle w:val="TOC1Char"/>
        <w:ind w:firstLine="709"/>
        <w:rPr>
          <w:bCs/>
          <w:iCs/>
        </w:rPr>
      </w:pPr>
      <w:r w:rsidRPr="006A377C">
        <w:rPr>
          <w:bCs/>
          <w:iCs/>
        </w:rPr>
        <w:t>Специализированная, в том числе высокотехнологичная медицинская помощь оказывается врачами-гематологами в медицинских организациях, оказывающих медицинскую помощь больным ВКЛ, имеющих лицензию, необходимую материально-техническую базу, сертифицированных специалистов, в стационарных условиях и условиях дневного стационара и включает в себя профилактику, диагностику, лечение гематологических заболеваний, требующих использования специальных методов и сложных уникальных медицинских технологий, а также медицинскую реабилитацию.</w:t>
      </w:r>
    </w:p>
    <w:p w14:paraId="73F853C1" w14:textId="77777777" w:rsidR="00F20CFD" w:rsidRPr="006A377C" w:rsidRDefault="00F20CFD" w:rsidP="00EA7BF5">
      <w:pPr>
        <w:pStyle w:val="TOC1Char"/>
        <w:ind w:firstLine="709"/>
        <w:rPr>
          <w:bCs/>
          <w:iCs/>
        </w:rPr>
      </w:pPr>
      <w:r w:rsidRPr="006A377C">
        <w:rPr>
          <w:bCs/>
          <w:iCs/>
        </w:rPr>
        <w:t xml:space="preserve">В медицинской организации, оказывающей медицинскую помощь больным ВКЛ, тактика медицинского обследования и лечения устанавливается врачами-гематологами с привлечением при необходимости других врачей-специалистов, при необходимости – с проведением консилиума. Решение консилиума врачей </w:t>
      </w:r>
      <w:r w:rsidRPr="006A377C">
        <w:rPr>
          <w:bCs/>
          <w:iCs/>
        </w:rPr>
        <w:lastRenderedPageBreak/>
        <w:t>оформляется протоколом, подписывается участниками консилиума врачей и вносится в медицинскую документацию больного.</w:t>
      </w:r>
    </w:p>
    <w:p w14:paraId="18B204EF" w14:textId="77777777" w:rsidR="00F20CFD" w:rsidRPr="006A377C" w:rsidRDefault="00F20CFD" w:rsidP="00EA7BF5">
      <w:pPr>
        <w:pStyle w:val="TOC1Char"/>
        <w:ind w:firstLine="709"/>
        <w:rPr>
          <w:bCs/>
          <w:iCs/>
        </w:rPr>
      </w:pPr>
      <w:r w:rsidRPr="006A377C">
        <w:rPr>
          <w:bCs/>
          <w:iCs/>
        </w:rPr>
        <w:t>Показания к госпитализации в круглосуточный или дневной стационар медицинской организации, оказывающей специализированную, в том числе высокотехнологичную медицинскую помощь по профилю «онкология» определяются врачом-гематологом/консилиумом врачей с привлечением при необходимости других врачей-специалистов.</w:t>
      </w:r>
    </w:p>
    <w:p w14:paraId="0073F502" w14:textId="77777777" w:rsidR="00F20CFD" w:rsidRPr="006A377C" w:rsidRDefault="00F20CFD" w:rsidP="00EA7BF5">
      <w:pPr>
        <w:pStyle w:val="TOC1Char"/>
        <w:ind w:left="0" w:firstLine="709"/>
        <w:rPr>
          <w:b/>
        </w:rPr>
      </w:pPr>
      <w:r w:rsidRPr="006A377C">
        <w:rPr>
          <w:b/>
        </w:rPr>
        <w:t>Показания для плановой госпитализации</w:t>
      </w:r>
    </w:p>
    <w:p w14:paraId="7B8AF955" w14:textId="77777777" w:rsidR="00F20CFD" w:rsidRPr="006A377C" w:rsidRDefault="00F20CFD" w:rsidP="005F2F2B">
      <w:pPr>
        <w:pStyle w:val="TOC1Char"/>
        <w:numPr>
          <w:ilvl w:val="0"/>
          <w:numId w:val="22"/>
        </w:numPr>
      </w:pPr>
      <w:r w:rsidRPr="006A377C">
        <w:t>Обследование с целью верификации диагноза МДС у пациента с подозрением на МДС, при невозможности обследования в амбулаторных условиях.</w:t>
      </w:r>
    </w:p>
    <w:p w14:paraId="1D8C2725" w14:textId="77777777" w:rsidR="00F20CFD" w:rsidRPr="006A377C" w:rsidRDefault="00F20CFD" w:rsidP="005F2F2B">
      <w:pPr>
        <w:pStyle w:val="TOC1Char"/>
        <w:numPr>
          <w:ilvl w:val="0"/>
          <w:numId w:val="22"/>
        </w:numPr>
      </w:pPr>
      <w:r w:rsidRPr="006A377C">
        <w:t>Диагностика рецидива МДС, усугубления аплазии кроветворения или трансформации в ОЛ.</w:t>
      </w:r>
    </w:p>
    <w:p w14:paraId="24C67FCC" w14:textId="77777777" w:rsidR="00F20CFD" w:rsidRPr="006A377C" w:rsidRDefault="00F20CFD" w:rsidP="005F2F2B">
      <w:pPr>
        <w:pStyle w:val="TOC1Char"/>
        <w:numPr>
          <w:ilvl w:val="0"/>
          <w:numId w:val="22"/>
        </w:numPr>
      </w:pPr>
      <w:r w:rsidRPr="006A377C">
        <w:t>Проведение очередного курса ИСТ или ХТ в условиях круглосуточного либо дневного стационара.</w:t>
      </w:r>
    </w:p>
    <w:p w14:paraId="6E218847" w14:textId="77777777" w:rsidR="00F20CFD" w:rsidRPr="006A377C" w:rsidRDefault="00F20CFD" w:rsidP="005F2F2B">
      <w:pPr>
        <w:pStyle w:val="aff"/>
        <w:numPr>
          <w:ilvl w:val="0"/>
          <w:numId w:val="22"/>
        </w:numPr>
        <w:rPr>
          <w:szCs w:val="24"/>
          <w:lang w:eastAsia="ru-RU"/>
        </w:rPr>
      </w:pPr>
      <w:r w:rsidRPr="006A377C">
        <w:rPr>
          <w:szCs w:val="24"/>
          <w:lang w:eastAsia="ru-RU"/>
        </w:rPr>
        <w:t>Выполнение плановых хирургических вмешательств.</w:t>
      </w:r>
    </w:p>
    <w:p w14:paraId="1775FD76" w14:textId="77777777" w:rsidR="00F20CFD" w:rsidRPr="006A377C" w:rsidRDefault="00F20CFD" w:rsidP="005F2F2B">
      <w:pPr>
        <w:pStyle w:val="TOC1Char"/>
        <w:numPr>
          <w:ilvl w:val="0"/>
          <w:numId w:val="22"/>
        </w:numPr>
      </w:pPr>
      <w:r w:rsidRPr="006A377C">
        <w:t>Выполнение плановых экстракорпоральных методов очищения крови и заместительной почечной терапии.</w:t>
      </w:r>
    </w:p>
    <w:p w14:paraId="2489607A" w14:textId="77777777" w:rsidR="00F20CFD" w:rsidRPr="006A377C" w:rsidRDefault="00F20CFD" w:rsidP="005F2F2B">
      <w:pPr>
        <w:pStyle w:val="TOC1Char"/>
        <w:numPr>
          <w:ilvl w:val="0"/>
          <w:numId w:val="22"/>
        </w:numPr>
      </w:pPr>
      <w:r w:rsidRPr="006A377C">
        <w:t>Проведение запланированной ТГСК.</w:t>
      </w:r>
    </w:p>
    <w:p w14:paraId="4546DC2C" w14:textId="77777777" w:rsidR="00F20CFD" w:rsidRPr="006A377C" w:rsidRDefault="00F20CFD" w:rsidP="005F2F2B">
      <w:pPr>
        <w:pStyle w:val="TOC1Char"/>
        <w:numPr>
          <w:ilvl w:val="0"/>
          <w:numId w:val="22"/>
        </w:numPr>
      </w:pPr>
      <w:r w:rsidRPr="006A377C">
        <w:t>Проведение заместительной гемокомпонентной терапии.</w:t>
      </w:r>
    </w:p>
    <w:p w14:paraId="4A795222" w14:textId="77777777" w:rsidR="00F20CFD" w:rsidRPr="006A377C" w:rsidRDefault="00F20CFD" w:rsidP="00EA7BF5">
      <w:pPr>
        <w:pStyle w:val="TOC1Char"/>
        <w:ind w:left="0" w:firstLine="709"/>
        <w:rPr>
          <w:b/>
        </w:rPr>
      </w:pPr>
      <w:r w:rsidRPr="006A377C">
        <w:rPr>
          <w:b/>
        </w:rPr>
        <w:t>Показания для экстренной госпитализации</w:t>
      </w:r>
    </w:p>
    <w:p w14:paraId="2B50CD80" w14:textId="77777777" w:rsidR="00F20CFD" w:rsidRPr="006A377C" w:rsidRDefault="00F20CFD" w:rsidP="00C74205">
      <w:pPr>
        <w:pStyle w:val="TOC1Char"/>
        <w:ind w:left="0" w:firstLine="708"/>
      </w:pPr>
      <w:r w:rsidRPr="006A377C">
        <w:t>Неотложные состояния у пациентов с МДС и при подозрении на МДС:</w:t>
      </w:r>
    </w:p>
    <w:p w14:paraId="55E87799" w14:textId="77777777" w:rsidR="00F20CFD" w:rsidRPr="006A377C" w:rsidRDefault="00F20CFD" w:rsidP="00EA7BF5">
      <w:pPr>
        <w:pStyle w:val="TOC1Char"/>
        <w:ind w:left="0" w:firstLine="709"/>
      </w:pPr>
      <w:r w:rsidRPr="006A377C">
        <w:rPr>
          <w:i/>
        </w:rPr>
        <w:t>–</w:t>
      </w:r>
      <w:r w:rsidRPr="006A377C">
        <w:t xml:space="preserve"> фебрильная лихорадка и инфекционные осложнения на фоне нейтропении после курса ХТ или на фоне ИМТ/ИСТ;</w:t>
      </w:r>
    </w:p>
    <w:p w14:paraId="52410917" w14:textId="77777777" w:rsidR="00F20CFD" w:rsidRPr="006A377C" w:rsidRDefault="00F20CFD" w:rsidP="00EA7BF5">
      <w:pPr>
        <w:pStyle w:val="TOC1Char"/>
        <w:ind w:left="0" w:firstLine="709"/>
      </w:pPr>
      <w:r w:rsidRPr="006A377C">
        <w:rPr>
          <w:i/>
        </w:rPr>
        <w:t>–</w:t>
      </w:r>
      <w:r w:rsidRPr="006A377C">
        <w:t xml:space="preserve"> геморрагический синдром; </w:t>
      </w:r>
    </w:p>
    <w:p w14:paraId="24068F66" w14:textId="77777777" w:rsidR="00F20CFD" w:rsidRPr="006A377C" w:rsidRDefault="00F20CFD" w:rsidP="00EA7BF5">
      <w:pPr>
        <w:pStyle w:val="TOC1Char"/>
        <w:ind w:left="0" w:firstLine="709"/>
      </w:pPr>
      <w:r w:rsidRPr="006A377C">
        <w:rPr>
          <w:i/>
        </w:rPr>
        <w:t>–</w:t>
      </w:r>
      <w:r w:rsidRPr="006A377C">
        <w:t xml:space="preserve"> тромботические осложнения;</w:t>
      </w:r>
    </w:p>
    <w:p w14:paraId="2AB7FFF1" w14:textId="77777777" w:rsidR="00F20CFD" w:rsidRPr="006A377C" w:rsidRDefault="00F20CFD" w:rsidP="00EA7BF5">
      <w:pPr>
        <w:pStyle w:val="TOC1Char"/>
        <w:ind w:left="0" w:firstLine="709"/>
      </w:pPr>
      <w:r w:rsidRPr="006A377C">
        <w:rPr>
          <w:i/>
        </w:rPr>
        <w:t>–</w:t>
      </w:r>
      <w:r w:rsidRPr="006A377C">
        <w:t xml:space="preserve"> необходимость проведения экстренной заместительной терапии компонентами крови;</w:t>
      </w:r>
    </w:p>
    <w:p w14:paraId="6FE289C1" w14:textId="77777777" w:rsidR="00F20CFD" w:rsidRPr="006A377C" w:rsidRDefault="00F20CFD" w:rsidP="00EA7BF5">
      <w:pPr>
        <w:pStyle w:val="TOC1Char"/>
        <w:ind w:left="0" w:firstLine="709"/>
      </w:pPr>
      <w:r w:rsidRPr="006A377C">
        <w:rPr>
          <w:i/>
        </w:rPr>
        <w:t xml:space="preserve">– </w:t>
      </w:r>
      <w:r w:rsidRPr="006A377C">
        <w:t>другие системные нарушения, обусловленные течением основного заболевания или осложнениями, развившимися вследствие проведенного лечения.</w:t>
      </w:r>
    </w:p>
    <w:p w14:paraId="60CB9CB5" w14:textId="77777777" w:rsidR="00F20CFD" w:rsidRPr="006A377C" w:rsidRDefault="00F20CFD" w:rsidP="00EA7BF5">
      <w:pPr>
        <w:pStyle w:val="TOC1Char"/>
        <w:ind w:left="0" w:firstLine="709"/>
        <w:rPr>
          <w:b/>
        </w:rPr>
      </w:pPr>
      <w:r w:rsidRPr="006A377C">
        <w:rPr>
          <w:b/>
        </w:rPr>
        <w:t>Показания к выписке пациента из стационара</w:t>
      </w:r>
    </w:p>
    <w:p w14:paraId="7E47C5A9" w14:textId="77777777" w:rsidR="00F20CFD" w:rsidRPr="006A377C" w:rsidRDefault="00F20CFD" w:rsidP="005F2F2B">
      <w:pPr>
        <w:pStyle w:val="TOC1Char"/>
        <w:numPr>
          <w:ilvl w:val="1"/>
          <w:numId w:val="23"/>
        </w:numPr>
        <w:ind w:left="0" w:firstLine="851"/>
      </w:pPr>
      <w:r w:rsidRPr="006A377C">
        <w:t>Восстановление показателей периферической крови (лейкоциты более 1×10</w:t>
      </w:r>
      <w:r w:rsidRPr="006A377C">
        <w:rPr>
          <w:vertAlign w:val="superscript"/>
        </w:rPr>
        <w:t>9</w:t>
      </w:r>
      <w:r w:rsidRPr="006A377C">
        <w:t>/л, гранулоциты более 0,5×10</w:t>
      </w:r>
      <w:r w:rsidRPr="006A377C">
        <w:rPr>
          <w:vertAlign w:val="superscript"/>
        </w:rPr>
        <w:t>9</w:t>
      </w:r>
      <w:r w:rsidRPr="006A377C">
        <w:t>/л, тромбоциты более 30–50×10</w:t>
      </w:r>
      <w:r w:rsidRPr="006A377C">
        <w:rPr>
          <w:vertAlign w:val="superscript"/>
        </w:rPr>
        <w:t>9</w:t>
      </w:r>
      <w:r w:rsidRPr="006A377C">
        <w:t>/л, гемоглобин более 80 г/л) после очередного курса ХТ, ИМТ или ИСТ.</w:t>
      </w:r>
    </w:p>
    <w:p w14:paraId="2276D28B" w14:textId="77777777" w:rsidR="00F20CFD" w:rsidRPr="006A377C" w:rsidRDefault="00F20CFD" w:rsidP="005F2F2B">
      <w:pPr>
        <w:pStyle w:val="TOC1Char"/>
        <w:numPr>
          <w:ilvl w:val="1"/>
          <w:numId w:val="23"/>
        </w:numPr>
        <w:ind w:left="284" w:firstLine="567"/>
      </w:pPr>
      <w:r w:rsidRPr="006A377C">
        <w:t>Нормотермия в течение 3</w:t>
      </w:r>
      <w:r w:rsidRPr="006A377C">
        <w:rPr>
          <w:noProof/>
        </w:rPr>
        <w:t>–</w:t>
      </w:r>
      <w:r w:rsidRPr="006A377C">
        <w:t>5 суток и отсутствие неконтролируемых инфекционных осложнений.</w:t>
      </w:r>
    </w:p>
    <w:p w14:paraId="4377D292" w14:textId="77777777" w:rsidR="00F20CFD" w:rsidRPr="006A377C" w:rsidRDefault="00F20CFD" w:rsidP="005F2F2B">
      <w:pPr>
        <w:pStyle w:val="TOC1Char"/>
        <w:numPr>
          <w:ilvl w:val="1"/>
          <w:numId w:val="23"/>
        </w:numPr>
        <w:ind w:left="284" w:firstLine="567"/>
      </w:pPr>
      <w:r w:rsidRPr="006A377C">
        <w:lastRenderedPageBreak/>
        <w:t>Купирование геморрагических осложнений.</w:t>
      </w:r>
    </w:p>
    <w:p w14:paraId="66D60E18" w14:textId="77777777" w:rsidR="00F20CFD" w:rsidRPr="006A377C" w:rsidRDefault="00F20CFD" w:rsidP="005F2F2B">
      <w:pPr>
        <w:pStyle w:val="TOC1Char"/>
        <w:numPr>
          <w:ilvl w:val="1"/>
          <w:numId w:val="23"/>
        </w:numPr>
        <w:ind w:left="284" w:firstLine="567"/>
      </w:pPr>
      <w:r w:rsidRPr="006A377C">
        <w:t>Купирование тромботических осложнений.</w:t>
      </w:r>
    </w:p>
    <w:p w14:paraId="3CE78D81" w14:textId="77777777" w:rsidR="00F20CFD" w:rsidRPr="006A377C" w:rsidRDefault="00F20CFD" w:rsidP="005F2F2B">
      <w:pPr>
        <w:pStyle w:val="TOC1Char"/>
        <w:numPr>
          <w:ilvl w:val="1"/>
          <w:numId w:val="23"/>
        </w:numPr>
        <w:ind w:left="284" w:firstLine="567"/>
      </w:pPr>
      <w:r w:rsidRPr="006A377C">
        <w:t>Купирование системных нарушений, обусловленных течением основного заболевания или осложнениями, развившимися вследствие проведенного лечения.</w:t>
      </w:r>
    </w:p>
    <w:p w14:paraId="1A2C5F17" w14:textId="77777777" w:rsidR="00F20CFD" w:rsidRDefault="00F20CFD" w:rsidP="00C413F9">
      <w:pPr>
        <w:pStyle w:val="TOC1Char"/>
        <w:ind w:left="0" w:firstLine="567"/>
      </w:pPr>
      <w:r w:rsidRPr="006A377C">
        <w:t>Заключение о целесообразности перевода больного в профильную медицинскую организацию осуществляется после предварительной консультации по предоставленным медицинским документам и/или предварительного осмотра больного врачами специалистами медицинской организации, в которую планируется перевод.</w:t>
      </w:r>
    </w:p>
    <w:p w14:paraId="3348A4F0" w14:textId="77777777" w:rsidR="00F20CFD" w:rsidRPr="004C69FE" w:rsidRDefault="00AB4735" w:rsidP="005D1659">
      <w:pPr>
        <w:pStyle w:val="2"/>
        <w:jc w:val="center"/>
        <w:rPr>
          <w:sz w:val="28"/>
          <w:szCs w:val="28"/>
          <w:u w:val="none"/>
        </w:rPr>
      </w:pPr>
      <w:r>
        <w:br w:type="page"/>
      </w:r>
      <w:bookmarkStart w:id="24" w:name="_Toc65104098"/>
      <w:r w:rsidR="00F20CFD" w:rsidRPr="004C69FE">
        <w:rPr>
          <w:sz w:val="28"/>
          <w:szCs w:val="28"/>
          <w:u w:val="none"/>
        </w:rPr>
        <w:lastRenderedPageBreak/>
        <w:t>7. Дополнительная информация (в том числе факторы, влияющие на исход заболевания или состояния)</w:t>
      </w:r>
      <w:bookmarkEnd w:id="24"/>
    </w:p>
    <w:p w14:paraId="04EC4BC8" w14:textId="777765C1" w:rsidR="00B63F37" w:rsidRPr="00433C8D" w:rsidRDefault="00B63F37" w:rsidP="00080E0A">
      <w:pPr>
        <w:pStyle w:val="2"/>
      </w:pPr>
      <w:bookmarkStart w:id="25" w:name="_Toc65104099"/>
      <w:r>
        <w:t>7.1</w:t>
      </w:r>
      <w:r w:rsidRPr="00433C8D">
        <w:t>. Факторы,</w:t>
      </w:r>
      <w:r w:rsidR="00080E0A">
        <w:t xml:space="preserve"> влияющие на исход МДС,</w:t>
      </w:r>
      <w:r w:rsidRPr="00433C8D">
        <w:t xml:space="preserve"> связанные с болезнью (шкалы прогноза)</w:t>
      </w:r>
      <w:bookmarkEnd w:id="25"/>
    </w:p>
    <w:p w14:paraId="7823DACB" w14:textId="77777777" w:rsidR="00B63F37" w:rsidRPr="006A377C" w:rsidRDefault="00B63F37" w:rsidP="00B63F37">
      <w:pPr>
        <w:ind w:firstLine="709"/>
        <w:rPr>
          <w:szCs w:val="24"/>
        </w:rPr>
      </w:pPr>
      <w:r w:rsidRPr="006A377C">
        <w:rPr>
          <w:szCs w:val="24"/>
        </w:rPr>
        <w:t xml:space="preserve">Определение риска, связанного с характеристикой варианта МДС, базируется на использовании прогностических систем оценки, объединяющих отдельные клинические и гематологические параметры. В 1997 г. под эгидой Международной школы анализа рисков миелодисплазии (IMRAW) </w:t>
      </w:r>
      <w:r w:rsidRPr="006A377C">
        <w:rPr>
          <w:szCs w:val="24"/>
          <w:lang w:val="en-US"/>
        </w:rPr>
        <w:t>P</w:t>
      </w:r>
      <w:r w:rsidRPr="006A377C">
        <w:rPr>
          <w:szCs w:val="24"/>
        </w:rPr>
        <w:t xml:space="preserve">. </w:t>
      </w:r>
      <w:r w:rsidRPr="006A377C">
        <w:rPr>
          <w:szCs w:val="24"/>
          <w:lang w:val="en-US"/>
        </w:rPr>
        <w:t>Greenberg</w:t>
      </w:r>
      <w:r w:rsidRPr="006A377C">
        <w:rPr>
          <w:szCs w:val="24"/>
        </w:rPr>
        <w:t xml:space="preserve"> и соавторы разработали Международную прогностическую балльную систему (IPSS), учитывающую количество бластов в КМ, цитогенетические аномалии и выраженность периферических цитопений (табл. 1) </w:t>
      </w:r>
      <w:r w:rsidRPr="006A377C">
        <w:rPr>
          <w:szCs w:val="24"/>
        </w:rPr>
        <w:fldChar w:fldCharType="begin" w:fldLock="1"/>
      </w:r>
      <w:r w:rsidR="00AE1E12">
        <w:rPr>
          <w:szCs w:val="24"/>
        </w:rPr>
        <w:instrText>ADDIN CSL_CITATION {"citationItems":[{"id":"ITEM-1","itemData":{"ISSN":"0006-4971","PMID":"9058730","abstract":"Despite multiple disparate prognostic risk analysis systems for evaluating clinical outcome for patients with myelodysplastic syndrome (MDS), imprecision persists with such analyses. To attempt to improve on these systems, an International MDS Risk Analysis Workshop combined cytogenetic, morphological, and clinical data from seven large previously reported risk-based studies that had generated prognostic systems. A global analysis was performed on these patients, and critical prognostic variables were re-evaluated to generate a consensus prognostic system, particularly using a more refined bone marrow (BM) cytogenetic classification. Univariate analysis indicated that the major variables having an impact on disease outcome for evolution to acute myeloid leukemia were cytogenetic abnormalities, percentage of BM myeloblasts, and number of cytopenias; for survival, in addition to the above, variables also included age and gender. Cytogenetic subgroups of outcome were as follows: \"good\" outcomes were normal, -Y alone, del(5q) alone, del(20q) alone; \"poor\" outcomes were complex (ie, &gt; or = 3 abnormalities) or chromosome 7 anomalies; and \"intermediate\" outcomes were other abnormalities. Multivariate analysis combined these cytogenetic subgroups with percentage of BM blasts and number of cytopenias to generate a prognostic model. Weighting these variables by their statistical power separated patients into distinctive subgroups of risk for 25% of patients to undergo evolution to acute myeloid leukemia, with: low (31% of patients), 9.4 years; intermediate-1 (INT-1; 39%), 3.3 years; INT-2 (22%), 1.1 years; and high (8%), 0.2 year. These features also separated patients into similar distinctive risk groups for median survival: low, 5.7 years; INT-1, 3.5 years; INT-2, 1.2 years; and high, 0.4 year. Stratification for age further improved analysis of survival. Compared with prior risk-based classifications, this International Prognostic Scoring System provides an improved method for evaluating prognosis in MDS. This classification system should prove useful for more precise design and analysis of therapeutic trials in this disease.","author":[{"dropping-particle":"","family":"Greenberg","given":"P","non-dropping-particle":"","parse-names":false,"suffix":""},{"dropping-particle":"","family":"Cox","given":"C","non-dropping-particle":"","parse-names":false,"suffix":""},{"dropping-particle":"","family":"LeBeau","given":"M M","non-dropping-particle":"","parse-names":false,"suffix":""},{"dropping-particle":"","family":"Fenaux","given":"P","non-dropping-particle":"","parse-names":false,"suffix":""},{"dropping-particle":"","family":"Morel","given":"P","non-dropping-particle":"","parse-names":false,"suffix":""},{"dropping-particle":"","family":"Sanz","given":"G","non-dropping-particle":"","parse-names":false,"suffix":""},{"dropping-particle":"","family":"Sanz","given":"M","non-dropping-particle":"","parse-names":false,"suffix":""},{"dropping-particle":"","family":"Vallespi","given":"T","non-dropping-particle":"","parse-names":false,"suffix":""},{"dropping-particle":"","family":"Hamblin","given":"T","non-dropping-particle":"","parse-names":false,"suffix":""},{"dropping-particle":"","family":"Oscier","given":"D","non-dropping-particle":"","parse-names":false,"suffix":""},{"dropping-particle":"","family":"Ohyashiki","given":"K","non-dropping-particle":"","parse-names":false,"suffix":""},{"dropping-particle":"","family":"Toyama","given":"K","non-dropping-particle":"","parse-names":false,"suffix":""},{"dropping-particle":"","family":"Aul","given":"C","non-dropping-particle":"","parse-names":false,"suffix":""},{"dropping-particle":"","family":"Mufti","given":"G","non-dropping-particle":"","parse-names":false,"suffix":""},{"dropping-particle":"","family":"Bennett","given":"J","non-dropping-particle":"","parse-names":false,"suffix":""}],"container-title":"Blood","id":"ITEM-1","issue":"6","issued":{"date-parts":[["1997","3","15"]]},"page":"2079-88","title":"International scoring system for evaluating prognosis in myelodysplastic syndromes.","type":"article-journal","volume":"89"},"uris":["http://www.mendeley.com/documents/?uuid=4f36222e-90cc-3b82-bc74-6e2ea459f4bb"]}],"mendeley":{"formattedCitation":"[63]","plainTextFormattedCitation":"[63]","previouslyFormattedCitation":"[63]"},"properties":{"noteIndex":0},"schema":"https://github.com/citation-style-language/schema/raw/master/csl-citation.json"}</w:instrText>
      </w:r>
      <w:r w:rsidRPr="006A377C">
        <w:rPr>
          <w:szCs w:val="24"/>
        </w:rPr>
        <w:fldChar w:fldCharType="separate"/>
      </w:r>
      <w:r w:rsidR="00AE1E12" w:rsidRPr="00AE1E12">
        <w:rPr>
          <w:noProof/>
          <w:szCs w:val="24"/>
        </w:rPr>
        <w:t>[63]</w:t>
      </w:r>
      <w:r w:rsidRPr="006A377C">
        <w:rPr>
          <w:szCs w:val="24"/>
        </w:rPr>
        <w:fldChar w:fldCharType="end"/>
      </w:r>
      <w:r w:rsidRPr="006A377C">
        <w:rPr>
          <w:szCs w:val="24"/>
        </w:rPr>
        <w:t>.</w:t>
      </w:r>
    </w:p>
    <w:p w14:paraId="128DA538" w14:textId="77777777" w:rsidR="00B63F37" w:rsidRPr="006A377C" w:rsidRDefault="00B63F37" w:rsidP="00B63F37">
      <w:pPr>
        <w:ind w:firstLine="709"/>
        <w:rPr>
          <w:szCs w:val="24"/>
        </w:rPr>
      </w:pPr>
    </w:p>
    <w:p w14:paraId="5F081867" w14:textId="77777777" w:rsidR="00B63F37" w:rsidRPr="006A377C" w:rsidRDefault="00B63F37" w:rsidP="00B63F37">
      <w:pPr>
        <w:rPr>
          <w:szCs w:val="24"/>
        </w:rPr>
      </w:pPr>
      <w:r w:rsidRPr="006A377C">
        <w:rPr>
          <w:b/>
          <w:szCs w:val="24"/>
        </w:rPr>
        <w:t>Таблица 1.</w:t>
      </w:r>
      <w:r w:rsidRPr="006A377C">
        <w:rPr>
          <w:szCs w:val="24"/>
        </w:rPr>
        <w:t xml:space="preserve"> Прогностическая шкала IPSS</w:t>
      </w:r>
    </w:p>
    <w:tbl>
      <w:tblPr>
        <w:tblW w:w="9315"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2190"/>
        <w:gridCol w:w="1470"/>
        <w:gridCol w:w="705"/>
        <w:gridCol w:w="1290"/>
        <w:gridCol w:w="1155"/>
        <w:gridCol w:w="1260"/>
        <w:gridCol w:w="1245"/>
      </w:tblGrid>
      <w:tr w:rsidR="00B63F37" w:rsidRPr="001E3EF7" w14:paraId="4350A1E1" w14:textId="77777777" w:rsidTr="00610BA2">
        <w:tc>
          <w:tcPr>
            <w:tcW w:w="2190" w:type="dxa"/>
            <w:vMerge w:val="restart"/>
            <w:tcBorders>
              <w:top w:val="single" w:sz="6" w:space="0" w:color="000000"/>
              <w:left w:val="single" w:sz="6" w:space="0" w:color="000000"/>
              <w:bottom w:val="single" w:sz="6" w:space="0" w:color="000000"/>
              <w:right w:val="single" w:sz="6" w:space="0" w:color="000000"/>
            </w:tcBorders>
            <w:vAlign w:val="center"/>
          </w:tcPr>
          <w:p w14:paraId="549D170F" w14:textId="77777777" w:rsidR="00B63F37" w:rsidRPr="008D7156" w:rsidRDefault="00B63F37" w:rsidP="00610BA2">
            <w:pPr>
              <w:jc w:val="center"/>
              <w:rPr>
                <w:b/>
                <w:sz w:val="22"/>
                <w:szCs w:val="24"/>
              </w:rPr>
            </w:pPr>
            <w:r w:rsidRPr="008D7156">
              <w:rPr>
                <w:b/>
                <w:sz w:val="22"/>
                <w:szCs w:val="24"/>
              </w:rPr>
              <w:t>Критерии прогноза</w:t>
            </w:r>
          </w:p>
        </w:tc>
        <w:tc>
          <w:tcPr>
            <w:tcW w:w="7110" w:type="dxa"/>
            <w:gridSpan w:val="6"/>
            <w:tcBorders>
              <w:top w:val="single" w:sz="6" w:space="0" w:color="000000"/>
              <w:left w:val="single" w:sz="6" w:space="0" w:color="000000"/>
              <w:bottom w:val="single" w:sz="6" w:space="0" w:color="000000"/>
              <w:right w:val="single" w:sz="6" w:space="0" w:color="000000"/>
            </w:tcBorders>
          </w:tcPr>
          <w:p w14:paraId="298A8D04" w14:textId="77777777" w:rsidR="00B63F37" w:rsidRPr="008D7156" w:rsidRDefault="00B63F37" w:rsidP="00610BA2">
            <w:pPr>
              <w:jc w:val="center"/>
              <w:rPr>
                <w:b/>
                <w:sz w:val="22"/>
                <w:szCs w:val="24"/>
              </w:rPr>
            </w:pPr>
            <w:r w:rsidRPr="008D7156">
              <w:rPr>
                <w:b/>
                <w:sz w:val="22"/>
                <w:szCs w:val="24"/>
              </w:rPr>
              <w:t>Баллы</w:t>
            </w:r>
          </w:p>
        </w:tc>
      </w:tr>
      <w:tr w:rsidR="00B63F37" w:rsidRPr="001E3EF7" w14:paraId="2BB69040" w14:textId="77777777" w:rsidTr="00610BA2">
        <w:tc>
          <w:tcPr>
            <w:tcW w:w="0" w:type="auto"/>
            <w:vMerge/>
            <w:tcBorders>
              <w:top w:val="single" w:sz="6" w:space="0" w:color="000000"/>
              <w:left w:val="single" w:sz="6" w:space="0" w:color="000000"/>
              <w:bottom w:val="single" w:sz="6" w:space="0" w:color="000000"/>
              <w:right w:val="single" w:sz="6" w:space="0" w:color="000000"/>
            </w:tcBorders>
            <w:vAlign w:val="center"/>
          </w:tcPr>
          <w:p w14:paraId="075EFCE6" w14:textId="77777777" w:rsidR="00B63F37" w:rsidRPr="008D7156" w:rsidRDefault="00B63F37" w:rsidP="00610BA2">
            <w:pPr>
              <w:rPr>
                <w:sz w:val="22"/>
                <w:szCs w:val="24"/>
              </w:rPr>
            </w:pPr>
          </w:p>
        </w:tc>
        <w:tc>
          <w:tcPr>
            <w:tcW w:w="1470" w:type="dxa"/>
            <w:tcBorders>
              <w:top w:val="single" w:sz="6" w:space="0" w:color="000000"/>
              <w:left w:val="single" w:sz="6" w:space="0" w:color="000000"/>
              <w:bottom w:val="single" w:sz="6" w:space="0" w:color="000000"/>
              <w:right w:val="single" w:sz="6" w:space="0" w:color="000000"/>
            </w:tcBorders>
          </w:tcPr>
          <w:p w14:paraId="6218B3F5" w14:textId="77777777" w:rsidR="00B63F37" w:rsidRPr="008D7156" w:rsidRDefault="00B63F37" w:rsidP="00610BA2">
            <w:pPr>
              <w:jc w:val="center"/>
              <w:rPr>
                <w:sz w:val="22"/>
                <w:szCs w:val="24"/>
              </w:rPr>
            </w:pPr>
            <w:r w:rsidRPr="008D7156">
              <w:rPr>
                <w:sz w:val="22"/>
                <w:szCs w:val="24"/>
              </w:rPr>
              <w:t>0</w:t>
            </w:r>
          </w:p>
        </w:tc>
        <w:tc>
          <w:tcPr>
            <w:tcW w:w="1995" w:type="dxa"/>
            <w:gridSpan w:val="2"/>
            <w:tcBorders>
              <w:top w:val="single" w:sz="6" w:space="0" w:color="000000"/>
              <w:left w:val="single" w:sz="6" w:space="0" w:color="000000"/>
              <w:bottom w:val="single" w:sz="6" w:space="0" w:color="000000"/>
              <w:right w:val="single" w:sz="6" w:space="0" w:color="000000"/>
            </w:tcBorders>
          </w:tcPr>
          <w:p w14:paraId="68BCA4E1" w14:textId="77777777" w:rsidR="00B63F37" w:rsidRPr="008D7156" w:rsidRDefault="00B63F37" w:rsidP="00610BA2">
            <w:pPr>
              <w:jc w:val="center"/>
              <w:rPr>
                <w:sz w:val="22"/>
                <w:szCs w:val="24"/>
              </w:rPr>
            </w:pPr>
            <w:r w:rsidRPr="008D7156">
              <w:rPr>
                <w:sz w:val="22"/>
                <w:szCs w:val="24"/>
              </w:rPr>
              <w:t>0,5</w:t>
            </w:r>
          </w:p>
        </w:tc>
        <w:tc>
          <w:tcPr>
            <w:tcW w:w="1140" w:type="dxa"/>
            <w:tcBorders>
              <w:top w:val="single" w:sz="6" w:space="0" w:color="000000"/>
              <w:left w:val="single" w:sz="6" w:space="0" w:color="000000"/>
              <w:bottom w:val="single" w:sz="6" w:space="0" w:color="000000"/>
              <w:right w:val="single" w:sz="6" w:space="0" w:color="000000"/>
            </w:tcBorders>
          </w:tcPr>
          <w:p w14:paraId="280E34A4" w14:textId="77777777" w:rsidR="00B63F37" w:rsidRPr="008D7156" w:rsidRDefault="00B63F37" w:rsidP="00610BA2">
            <w:pPr>
              <w:jc w:val="center"/>
              <w:rPr>
                <w:sz w:val="22"/>
                <w:szCs w:val="24"/>
              </w:rPr>
            </w:pPr>
            <w:r w:rsidRPr="008D7156">
              <w:rPr>
                <w:sz w:val="22"/>
                <w:szCs w:val="24"/>
              </w:rPr>
              <w:t>1,0</w:t>
            </w:r>
          </w:p>
        </w:tc>
        <w:tc>
          <w:tcPr>
            <w:tcW w:w="1260" w:type="dxa"/>
            <w:tcBorders>
              <w:top w:val="single" w:sz="6" w:space="0" w:color="000000"/>
              <w:left w:val="single" w:sz="6" w:space="0" w:color="000000"/>
              <w:bottom w:val="single" w:sz="6" w:space="0" w:color="000000"/>
              <w:right w:val="single" w:sz="6" w:space="0" w:color="000000"/>
            </w:tcBorders>
          </w:tcPr>
          <w:p w14:paraId="44063671" w14:textId="77777777" w:rsidR="00B63F37" w:rsidRPr="008D7156" w:rsidRDefault="00B63F37" w:rsidP="00610BA2">
            <w:pPr>
              <w:jc w:val="center"/>
              <w:rPr>
                <w:sz w:val="22"/>
                <w:szCs w:val="24"/>
              </w:rPr>
            </w:pPr>
            <w:r w:rsidRPr="008D7156">
              <w:rPr>
                <w:sz w:val="22"/>
                <w:szCs w:val="24"/>
              </w:rPr>
              <w:t>1,5</w:t>
            </w:r>
          </w:p>
        </w:tc>
        <w:tc>
          <w:tcPr>
            <w:tcW w:w="1245" w:type="dxa"/>
            <w:tcBorders>
              <w:top w:val="single" w:sz="6" w:space="0" w:color="000000"/>
              <w:left w:val="single" w:sz="6" w:space="0" w:color="000000"/>
              <w:bottom w:val="single" w:sz="6" w:space="0" w:color="000000"/>
              <w:right w:val="single" w:sz="6" w:space="0" w:color="000000"/>
            </w:tcBorders>
          </w:tcPr>
          <w:p w14:paraId="3D63761A" w14:textId="77777777" w:rsidR="00B63F37" w:rsidRPr="008D7156" w:rsidRDefault="00B63F37" w:rsidP="00610BA2">
            <w:pPr>
              <w:jc w:val="center"/>
              <w:rPr>
                <w:sz w:val="22"/>
                <w:szCs w:val="24"/>
              </w:rPr>
            </w:pPr>
            <w:r w:rsidRPr="008D7156">
              <w:rPr>
                <w:sz w:val="22"/>
                <w:szCs w:val="24"/>
              </w:rPr>
              <w:t>2,0</w:t>
            </w:r>
          </w:p>
        </w:tc>
      </w:tr>
      <w:tr w:rsidR="00B63F37" w:rsidRPr="001E3EF7" w14:paraId="1B4D12C7" w14:textId="77777777" w:rsidTr="00610BA2">
        <w:tc>
          <w:tcPr>
            <w:tcW w:w="2190" w:type="dxa"/>
            <w:tcBorders>
              <w:top w:val="single" w:sz="6" w:space="0" w:color="000000"/>
              <w:left w:val="single" w:sz="6" w:space="0" w:color="000000"/>
              <w:bottom w:val="single" w:sz="6" w:space="0" w:color="000000"/>
              <w:right w:val="single" w:sz="6" w:space="0" w:color="000000"/>
            </w:tcBorders>
          </w:tcPr>
          <w:p w14:paraId="15C8A1B2" w14:textId="77777777" w:rsidR="00B63F37" w:rsidRPr="008D7156" w:rsidRDefault="00B63F37" w:rsidP="00610BA2">
            <w:pPr>
              <w:rPr>
                <w:sz w:val="22"/>
                <w:szCs w:val="24"/>
              </w:rPr>
            </w:pPr>
            <w:r w:rsidRPr="008D7156">
              <w:rPr>
                <w:sz w:val="22"/>
                <w:szCs w:val="24"/>
              </w:rPr>
              <w:t>Бласты в КМ, %</w:t>
            </w:r>
          </w:p>
        </w:tc>
        <w:tc>
          <w:tcPr>
            <w:tcW w:w="1470" w:type="dxa"/>
            <w:tcBorders>
              <w:top w:val="single" w:sz="6" w:space="0" w:color="000000"/>
              <w:left w:val="single" w:sz="6" w:space="0" w:color="000000"/>
              <w:bottom w:val="single" w:sz="6" w:space="0" w:color="000000"/>
              <w:right w:val="single" w:sz="6" w:space="0" w:color="000000"/>
            </w:tcBorders>
          </w:tcPr>
          <w:p w14:paraId="4CEFF737" w14:textId="77777777" w:rsidR="00B63F37" w:rsidRPr="008D7156" w:rsidRDefault="00B63F37" w:rsidP="00610BA2">
            <w:pPr>
              <w:jc w:val="center"/>
              <w:rPr>
                <w:sz w:val="22"/>
                <w:szCs w:val="24"/>
              </w:rPr>
            </w:pPr>
            <w:r w:rsidRPr="008D7156">
              <w:rPr>
                <w:sz w:val="22"/>
                <w:szCs w:val="24"/>
              </w:rPr>
              <w:t>&lt;5</w:t>
            </w:r>
          </w:p>
        </w:tc>
        <w:tc>
          <w:tcPr>
            <w:tcW w:w="1995" w:type="dxa"/>
            <w:gridSpan w:val="2"/>
            <w:tcBorders>
              <w:top w:val="single" w:sz="6" w:space="0" w:color="000000"/>
              <w:left w:val="single" w:sz="6" w:space="0" w:color="000000"/>
              <w:bottom w:val="single" w:sz="6" w:space="0" w:color="000000"/>
              <w:right w:val="single" w:sz="6" w:space="0" w:color="000000"/>
            </w:tcBorders>
          </w:tcPr>
          <w:p w14:paraId="2CEBD2BF" w14:textId="77777777" w:rsidR="00B63F37" w:rsidRPr="008D7156" w:rsidRDefault="00B63F37" w:rsidP="00610BA2">
            <w:pPr>
              <w:jc w:val="center"/>
              <w:rPr>
                <w:sz w:val="22"/>
                <w:szCs w:val="24"/>
              </w:rPr>
            </w:pPr>
            <w:r w:rsidRPr="008D7156">
              <w:rPr>
                <w:sz w:val="22"/>
                <w:szCs w:val="24"/>
              </w:rPr>
              <w:t>5–10</w:t>
            </w:r>
          </w:p>
        </w:tc>
        <w:tc>
          <w:tcPr>
            <w:tcW w:w="1140" w:type="dxa"/>
            <w:tcBorders>
              <w:top w:val="single" w:sz="6" w:space="0" w:color="000000"/>
              <w:left w:val="single" w:sz="6" w:space="0" w:color="000000"/>
              <w:bottom w:val="single" w:sz="6" w:space="0" w:color="000000"/>
              <w:right w:val="single" w:sz="6" w:space="0" w:color="000000"/>
            </w:tcBorders>
          </w:tcPr>
          <w:p w14:paraId="6E00B416" w14:textId="77777777" w:rsidR="00B63F37" w:rsidRPr="008D7156" w:rsidRDefault="00B63F37" w:rsidP="00610BA2">
            <w:pPr>
              <w:jc w:val="center"/>
              <w:rPr>
                <w:sz w:val="22"/>
                <w:szCs w:val="24"/>
              </w:rPr>
            </w:pPr>
            <w:r w:rsidRPr="008D7156">
              <w:rPr>
                <w:sz w:val="22"/>
                <w:szCs w:val="24"/>
              </w:rPr>
              <w:t>–</w:t>
            </w:r>
          </w:p>
        </w:tc>
        <w:tc>
          <w:tcPr>
            <w:tcW w:w="1260" w:type="dxa"/>
            <w:tcBorders>
              <w:top w:val="single" w:sz="6" w:space="0" w:color="000000"/>
              <w:left w:val="single" w:sz="6" w:space="0" w:color="000000"/>
              <w:bottom w:val="single" w:sz="6" w:space="0" w:color="000000"/>
              <w:right w:val="single" w:sz="6" w:space="0" w:color="000000"/>
            </w:tcBorders>
          </w:tcPr>
          <w:p w14:paraId="2C09B3DE" w14:textId="77777777" w:rsidR="00B63F37" w:rsidRPr="008D7156" w:rsidRDefault="00B63F37" w:rsidP="00610BA2">
            <w:pPr>
              <w:jc w:val="center"/>
              <w:rPr>
                <w:sz w:val="22"/>
                <w:szCs w:val="24"/>
              </w:rPr>
            </w:pPr>
            <w:r w:rsidRPr="008D7156">
              <w:rPr>
                <w:sz w:val="22"/>
                <w:szCs w:val="24"/>
              </w:rPr>
              <w:t>11–20</w:t>
            </w:r>
          </w:p>
        </w:tc>
        <w:tc>
          <w:tcPr>
            <w:tcW w:w="1245" w:type="dxa"/>
            <w:tcBorders>
              <w:top w:val="single" w:sz="6" w:space="0" w:color="000000"/>
              <w:left w:val="single" w:sz="6" w:space="0" w:color="000000"/>
              <w:bottom w:val="single" w:sz="6" w:space="0" w:color="000000"/>
              <w:right w:val="single" w:sz="6" w:space="0" w:color="000000"/>
            </w:tcBorders>
          </w:tcPr>
          <w:p w14:paraId="0B461981" w14:textId="77777777" w:rsidR="00B63F37" w:rsidRPr="008D7156" w:rsidRDefault="00B63F37" w:rsidP="00610BA2">
            <w:pPr>
              <w:jc w:val="center"/>
              <w:rPr>
                <w:sz w:val="22"/>
                <w:szCs w:val="24"/>
              </w:rPr>
            </w:pPr>
            <w:r w:rsidRPr="008D7156">
              <w:rPr>
                <w:sz w:val="22"/>
                <w:szCs w:val="24"/>
              </w:rPr>
              <w:t>21–30</w:t>
            </w:r>
          </w:p>
        </w:tc>
      </w:tr>
      <w:tr w:rsidR="00B63F37" w:rsidRPr="001E3EF7" w14:paraId="262F3063" w14:textId="77777777" w:rsidTr="00610BA2">
        <w:tc>
          <w:tcPr>
            <w:tcW w:w="2190" w:type="dxa"/>
            <w:tcBorders>
              <w:top w:val="single" w:sz="6" w:space="0" w:color="000000"/>
              <w:left w:val="single" w:sz="6" w:space="0" w:color="000000"/>
              <w:bottom w:val="single" w:sz="6" w:space="0" w:color="000000"/>
              <w:right w:val="single" w:sz="6" w:space="0" w:color="000000"/>
            </w:tcBorders>
          </w:tcPr>
          <w:p w14:paraId="76D61682" w14:textId="77777777" w:rsidR="00B63F37" w:rsidRPr="008D7156" w:rsidRDefault="00B63F37" w:rsidP="00610BA2">
            <w:pPr>
              <w:rPr>
                <w:sz w:val="22"/>
                <w:szCs w:val="24"/>
              </w:rPr>
            </w:pPr>
            <w:r w:rsidRPr="008D7156">
              <w:rPr>
                <w:sz w:val="22"/>
                <w:szCs w:val="24"/>
              </w:rPr>
              <w:t>Кариотип</w:t>
            </w:r>
          </w:p>
        </w:tc>
        <w:tc>
          <w:tcPr>
            <w:tcW w:w="1470" w:type="dxa"/>
            <w:tcBorders>
              <w:top w:val="single" w:sz="6" w:space="0" w:color="000000"/>
              <w:left w:val="single" w:sz="6" w:space="0" w:color="000000"/>
              <w:bottom w:val="single" w:sz="6" w:space="0" w:color="000000"/>
              <w:right w:val="single" w:sz="6" w:space="0" w:color="000000"/>
            </w:tcBorders>
          </w:tcPr>
          <w:p w14:paraId="0E2A7E9A" w14:textId="77777777" w:rsidR="00B63F37" w:rsidRPr="008D7156" w:rsidRDefault="00B63F37" w:rsidP="00610BA2">
            <w:pPr>
              <w:jc w:val="center"/>
              <w:rPr>
                <w:sz w:val="22"/>
                <w:szCs w:val="24"/>
              </w:rPr>
            </w:pPr>
            <w:r w:rsidRPr="008D7156">
              <w:rPr>
                <w:sz w:val="22"/>
                <w:szCs w:val="24"/>
              </w:rPr>
              <w:t>Хороший</w:t>
            </w:r>
          </w:p>
        </w:tc>
        <w:tc>
          <w:tcPr>
            <w:tcW w:w="1995" w:type="dxa"/>
            <w:gridSpan w:val="2"/>
            <w:tcBorders>
              <w:top w:val="single" w:sz="6" w:space="0" w:color="000000"/>
              <w:left w:val="single" w:sz="6" w:space="0" w:color="000000"/>
              <w:bottom w:val="single" w:sz="6" w:space="0" w:color="000000"/>
              <w:right w:val="single" w:sz="6" w:space="0" w:color="000000"/>
            </w:tcBorders>
          </w:tcPr>
          <w:p w14:paraId="0F4799B6" w14:textId="77777777" w:rsidR="00B63F37" w:rsidRPr="008D7156" w:rsidRDefault="00B63F37" w:rsidP="00610BA2">
            <w:pPr>
              <w:jc w:val="center"/>
              <w:rPr>
                <w:sz w:val="22"/>
                <w:szCs w:val="24"/>
              </w:rPr>
            </w:pPr>
            <w:r w:rsidRPr="008D7156">
              <w:rPr>
                <w:sz w:val="22"/>
                <w:szCs w:val="24"/>
              </w:rPr>
              <w:t>Промежуточный</w:t>
            </w:r>
          </w:p>
        </w:tc>
        <w:tc>
          <w:tcPr>
            <w:tcW w:w="1140" w:type="dxa"/>
            <w:tcBorders>
              <w:top w:val="single" w:sz="6" w:space="0" w:color="000000"/>
              <w:left w:val="single" w:sz="6" w:space="0" w:color="000000"/>
              <w:bottom w:val="single" w:sz="6" w:space="0" w:color="000000"/>
              <w:right w:val="single" w:sz="6" w:space="0" w:color="000000"/>
            </w:tcBorders>
          </w:tcPr>
          <w:p w14:paraId="48E0A4B2" w14:textId="77777777" w:rsidR="00B63F37" w:rsidRPr="008D7156" w:rsidRDefault="00B63F37" w:rsidP="00610BA2">
            <w:pPr>
              <w:jc w:val="center"/>
              <w:rPr>
                <w:sz w:val="22"/>
                <w:szCs w:val="24"/>
              </w:rPr>
            </w:pPr>
            <w:r w:rsidRPr="008D7156">
              <w:rPr>
                <w:sz w:val="22"/>
                <w:szCs w:val="24"/>
              </w:rPr>
              <w:t>Плохой</w:t>
            </w:r>
          </w:p>
        </w:tc>
        <w:tc>
          <w:tcPr>
            <w:tcW w:w="1260" w:type="dxa"/>
            <w:tcBorders>
              <w:top w:val="single" w:sz="6" w:space="0" w:color="000000"/>
              <w:left w:val="single" w:sz="6" w:space="0" w:color="000000"/>
              <w:bottom w:val="single" w:sz="6" w:space="0" w:color="000000"/>
              <w:right w:val="single" w:sz="6" w:space="0" w:color="000000"/>
            </w:tcBorders>
          </w:tcPr>
          <w:p w14:paraId="6D1B28BD" w14:textId="77777777" w:rsidR="00B63F37" w:rsidRPr="008D7156" w:rsidRDefault="00B63F37" w:rsidP="00610BA2">
            <w:pPr>
              <w:jc w:val="center"/>
              <w:rPr>
                <w:sz w:val="22"/>
                <w:szCs w:val="24"/>
              </w:rPr>
            </w:pPr>
          </w:p>
        </w:tc>
        <w:tc>
          <w:tcPr>
            <w:tcW w:w="1245" w:type="dxa"/>
            <w:tcBorders>
              <w:top w:val="single" w:sz="6" w:space="0" w:color="000000"/>
              <w:left w:val="single" w:sz="6" w:space="0" w:color="000000"/>
              <w:bottom w:val="single" w:sz="6" w:space="0" w:color="000000"/>
              <w:right w:val="single" w:sz="6" w:space="0" w:color="000000"/>
            </w:tcBorders>
          </w:tcPr>
          <w:p w14:paraId="45F6BFF7" w14:textId="77777777" w:rsidR="00B63F37" w:rsidRPr="008D7156" w:rsidRDefault="00B63F37" w:rsidP="00610BA2">
            <w:pPr>
              <w:jc w:val="center"/>
              <w:rPr>
                <w:sz w:val="22"/>
                <w:szCs w:val="24"/>
              </w:rPr>
            </w:pPr>
          </w:p>
        </w:tc>
      </w:tr>
      <w:tr w:rsidR="00B63F37" w:rsidRPr="001E3EF7" w14:paraId="6D24775C" w14:textId="77777777" w:rsidTr="00610BA2">
        <w:tc>
          <w:tcPr>
            <w:tcW w:w="2190" w:type="dxa"/>
            <w:tcBorders>
              <w:top w:val="single" w:sz="6" w:space="0" w:color="000000"/>
              <w:left w:val="single" w:sz="6" w:space="0" w:color="000000"/>
              <w:bottom w:val="single" w:sz="6" w:space="0" w:color="000000"/>
              <w:right w:val="single" w:sz="6" w:space="0" w:color="000000"/>
            </w:tcBorders>
          </w:tcPr>
          <w:p w14:paraId="7B600EA4" w14:textId="77777777" w:rsidR="00B63F37" w:rsidRPr="008D7156" w:rsidRDefault="00B63F37" w:rsidP="00610BA2">
            <w:pPr>
              <w:rPr>
                <w:sz w:val="22"/>
                <w:szCs w:val="24"/>
              </w:rPr>
            </w:pPr>
            <w:r w:rsidRPr="008D7156">
              <w:rPr>
                <w:sz w:val="22"/>
                <w:szCs w:val="24"/>
              </w:rPr>
              <w:t>Цитопении</w:t>
            </w:r>
          </w:p>
        </w:tc>
        <w:tc>
          <w:tcPr>
            <w:tcW w:w="1470" w:type="dxa"/>
            <w:tcBorders>
              <w:top w:val="single" w:sz="6" w:space="0" w:color="000000"/>
              <w:left w:val="single" w:sz="6" w:space="0" w:color="000000"/>
              <w:bottom w:val="single" w:sz="6" w:space="0" w:color="000000"/>
              <w:right w:val="single" w:sz="6" w:space="0" w:color="000000"/>
            </w:tcBorders>
          </w:tcPr>
          <w:p w14:paraId="2F1EB120" w14:textId="77777777" w:rsidR="00B63F37" w:rsidRPr="008D7156" w:rsidRDefault="00B63F37" w:rsidP="00610BA2">
            <w:pPr>
              <w:jc w:val="center"/>
              <w:rPr>
                <w:sz w:val="22"/>
                <w:szCs w:val="24"/>
              </w:rPr>
            </w:pPr>
            <w:r w:rsidRPr="008D7156">
              <w:rPr>
                <w:sz w:val="22"/>
                <w:szCs w:val="24"/>
              </w:rPr>
              <w:t>0/1</w:t>
            </w:r>
          </w:p>
        </w:tc>
        <w:tc>
          <w:tcPr>
            <w:tcW w:w="1995" w:type="dxa"/>
            <w:gridSpan w:val="2"/>
            <w:tcBorders>
              <w:top w:val="single" w:sz="6" w:space="0" w:color="000000"/>
              <w:left w:val="single" w:sz="6" w:space="0" w:color="000000"/>
              <w:bottom w:val="single" w:sz="6" w:space="0" w:color="000000"/>
              <w:right w:val="single" w:sz="6" w:space="0" w:color="000000"/>
            </w:tcBorders>
          </w:tcPr>
          <w:p w14:paraId="477DE2BB" w14:textId="77777777" w:rsidR="00B63F37" w:rsidRPr="008D7156" w:rsidRDefault="00B63F37" w:rsidP="00610BA2">
            <w:pPr>
              <w:jc w:val="center"/>
              <w:rPr>
                <w:sz w:val="22"/>
                <w:szCs w:val="24"/>
              </w:rPr>
            </w:pPr>
            <w:r w:rsidRPr="008D7156">
              <w:rPr>
                <w:sz w:val="22"/>
                <w:szCs w:val="24"/>
              </w:rPr>
              <w:t>2/3</w:t>
            </w:r>
          </w:p>
        </w:tc>
        <w:tc>
          <w:tcPr>
            <w:tcW w:w="1140" w:type="dxa"/>
            <w:tcBorders>
              <w:top w:val="single" w:sz="6" w:space="0" w:color="000000"/>
              <w:left w:val="single" w:sz="6" w:space="0" w:color="000000"/>
              <w:bottom w:val="single" w:sz="6" w:space="0" w:color="000000"/>
              <w:right w:val="single" w:sz="6" w:space="0" w:color="000000"/>
            </w:tcBorders>
          </w:tcPr>
          <w:p w14:paraId="436FEC10" w14:textId="77777777" w:rsidR="00B63F37" w:rsidRPr="008D7156" w:rsidRDefault="00B63F37" w:rsidP="00610BA2">
            <w:pPr>
              <w:jc w:val="center"/>
              <w:rPr>
                <w:sz w:val="22"/>
                <w:szCs w:val="24"/>
              </w:rPr>
            </w:pPr>
          </w:p>
        </w:tc>
        <w:tc>
          <w:tcPr>
            <w:tcW w:w="1260" w:type="dxa"/>
            <w:tcBorders>
              <w:top w:val="single" w:sz="6" w:space="0" w:color="000000"/>
              <w:left w:val="single" w:sz="6" w:space="0" w:color="000000"/>
              <w:bottom w:val="single" w:sz="6" w:space="0" w:color="000000"/>
              <w:right w:val="single" w:sz="6" w:space="0" w:color="000000"/>
            </w:tcBorders>
          </w:tcPr>
          <w:p w14:paraId="37BFEA45" w14:textId="77777777" w:rsidR="00B63F37" w:rsidRPr="008D7156" w:rsidRDefault="00B63F37" w:rsidP="00610BA2">
            <w:pPr>
              <w:jc w:val="center"/>
              <w:rPr>
                <w:sz w:val="22"/>
                <w:szCs w:val="24"/>
              </w:rPr>
            </w:pPr>
          </w:p>
        </w:tc>
        <w:tc>
          <w:tcPr>
            <w:tcW w:w="1245" w:type="dxa"/>
            <w:tcBorders>
              <w:top w:val="single" w:sz="6" w:space="0" w:color="000000"/>
              <w:left w:val="single" w:sz="6" w:space="0" w:color="000000"/>
              <w:bottom w:val="single" w:sz="6" w:space="0" w:color="000000"/>
              <w:right w:val="single" w:sz="6" w:space="0" w:color="000000"/>
            </w:tcBorders>
          </w:tcPr>
          <w:p w14:paraId="588B2558" w14:textId="77777777" w:rsidR="00B63F37" w:rsidRPr="008D7156" w:rsidRDefault="00B63F37" w:rsidP="00610BA2">
            <w:pPr>
              <w:jc w:val="center"/>
              <w:rPr>
                <w:sz w:val="22"/>
                <w:szCs w:val="24"/>
              </w:rPr>
            </w:pPr>
          </w:p>
        </w:tc>
      </w:tr>
      <w:tr w:rsidR="00B63F37" w:rsidRPr="001E3EF7" w14:paraId="1BFBAF5C" w14:textId="77777777" w:rsidTr="00610BA2">
        <w:tc>
          <w:tcPr>
            <w:tcW w:w="2190" w:type="dxa"/>
            <w:tcBorders>
              <w:top w:val="single" w:sz="6" w:space="0" w:color="000000"/>
              <w:left w:val="single" w:sz="6" w:space="0" w:color="000000"/>
              <w:bottom w:val="single" w:sz="6" w:space="0" w:color="000000"/>
              <w:right w:val="single" w:sz="6" w:space="0" w:color="000000"/>
            </w:tcBorders>
            <w:vAlign w:val="center"/>
          </w:tcPr>
          <w:p w14:paraId="2B03EED2" w14:textId="77777777" w:rsidR="00B63F37" w:rsidRPr="008D7156" w:rsidRDefault="00B63F37" w:rsidP="00610BA2">
            <w:pPr>
              <w:jc w:val="center"/>
              <w:rPr>
                <w:sz w:val="22"/>
                <w:szCs w:val="24"/>
              </w:rPr>
            </w:pPr>
            <w:r w:rsidRPr="008D7156">
              <w:rPr>
                <w:sz w:val="22"/>
                <w:szCs w:val="24"/>
              </w:rPr>
              <w:t>Сумма баллов</w:t>
            </w:r>
          </w:p>
        </w:tc>
        <w:tc>
          <w:tcPr>
            <w:tcW w:w="2175" w:type="dxa"/>
            <w:gridSpan w:val="2"/>
            <w:tcBorders>
              <w:top w:val="single" w:sz="6" w:space="0" w:color="000000"/>
              <w:left w:val="single" w:sz="6" w:space="0" w:color="000000"/>
              <w:bottom w:val="single" w:sz="6" w:space="0" w:color="000000"/>
              <w:right w:val="single" w:sz="6" w:space="0" w:color="000000"/>
            </w:tcBorders>
            <w:vAlign w:val="center"/>
          </w:tcPr>
          <w:p w14:paraId="50EDC56E" w14:textId="77777777" w:rsidR="00B63F37" w:rsidRPr="008D7156" w:rsidRDefault="00B63F37" w:rsidP="00610BA2">
            <w:pPr>
              <w:jc w:val="center"/>
              <w:rPr>
                <w:sz w:val="22"/>
                <w:szCs w:val="24"/>
              </w:rPr>
            </w:pPr>
            <w:r w:rsidRPr="008D7156">
              <w:rPr>
                <w:sz w:val="22"/>
                <w:szCs w:val="24"/>
              </w:rPr>
              <w:t>Категория риска</w:t>
            </w:r>
          </w:p>
        </w:tc>
        <w:tc>
          <w:tcPr>
            <w:tcW w:w="2445" w:type="dxa"/>
            <w:gridSpan w:val="2"/>
            <w:tcBorders>
              <w:top w:val="single" w:sz="6" w:space="0" w:color="000000"/>
              <w:left w:val="single" w:sz="6" w:space="0" w:color="000000"/>
              <w:bottom w:val="single" w:sz="6" w:space="0" w:color="000000"/>
              <w:right w:val="single" w:sz="6" w:space="0" w:color="000000"/>
            </w:tcBorders>
            <w:vAlign w:val="center"/>
          </w:tcPr>
          <w:p w14:paraId="4CBBF051" w14:textId="77777777" w:rsidR="00B63F37" w:rsidRPr="008D7156" w:rsidRDefault="00B63F37" w:rsidP="00610BA2">
            <w:pPr>
              <w:jc w:val="center"/>
              <w:rPr>
                <w:sz w:val="22"/>
                <w:szCs w:val="24"/>
              </w:rPr>
            </w:pPr>
            <w:r w:rsidRPr="008D7156">
              <w:rPr>
                <w:sz w:val="22"/>
                <w:szCs w:val="24"/>
              </w:rPr>
              <w:t>Медиана общей выживаемости,</w:t>
            </w:r>
          </w:p>
          <w:p w14:paraId="60FF27B8" w14:textId="77777777" w:rsidR="00B63F37" w:rsidRPr="008D7156" w:rsidRDefault="00B63F37" w:rsidP="00610BA2">
            <w:pPr>
              <w:jc w:val="center"/>
              <w:rPr>
                <w:sz w:val="22"/>
                <w:szCs w:val="24"/>
              </w:rPr>
            </w:pPr>
            <w:r w:rsidRPr="008D7156">
              <w:rPr>
                <w:sz w:val="22"/>
                <w:szCs w:val="24"/>
              </w:rPr>
              <w:t>лет</w:t>
            </w:r>
          </w:p>
        </w:tc>
        <w:tc>
          <w:tcPr>
            <w:tcW w:w="2505" w:type="dxa"/>
            <w:gridSpan w:val="2"/>
            <w:tcBorders>
              <w:top w:val="single" w:sz="6" w:space="0" w:color="000000"/>
              <w:left w:val="single" w:sz="6" w:space="0" w:color="000000"/>
              <w:bottom w:val="single" w:sz="6" w:space="0" w:color="000000"/>
              <w:right w:val="single" w:sz="6" w:space="0" w:color="000000"/>
            </w:tcBorders>
            <w:vAlign w:val="center"/>
          </w:tcPr>
          <w:p w14:paraId="37A3A4F2" w14:textId="77777777" w:rsidR="00B63F37" w:rsidRPr="008D7156" w:rsidRDefault="00B63F37" w:rsidP="00610BA2">
            <w:pPr>
              <w:jc w:val="center"/>
              <w:rPr>
                <w:sz w:val="22"/>
                <w:szCs w:val="24"/>
              </w:rPr>
            </w:pPr>
            <w:r w:rsidRPr="008D7156">
              <w:rPr>
                <w:sz w:val="22"/>
                <w:szCs w:val="24"/>
              </w:rPr>
              <w:t>Медиана времени до трансформации в ОМЛ 25% пациентов, лет</w:t>
            </w:r>
          </w:p>
        </w:tc>
      </w:tr>
      <w:tr w:rsidR="00B63F37" w:rsidRPr="001E3EF7" w14:paraId="614EE3AC" w14:textId="77777777" w:rsidTr="00610BA2">
        <w:tc>
          <w:tcPr>
            <w:tcW w:w="2190" w:type="dxa"/>
            <w:tcBorders>
              <w:top w:val="single" w:sz="6" w:space="0" w:color="000000"/>
              <w:left w:val="single" w:sz="6" w:space="0" w:color="000000"/>
              <w:bottom w:val="single" w:sz="6" w:space="0" w:color="000000"/>
              <w:right w:val="single" w:sz="6" w:space="0" w:color="000000"/>
            </w:tcBorders>
          </w:tcPr>
          <w:p w14:paraId="21830EED" w14:textId="77777777" w:rsidR="00B63F37" w:rsidRPr="008D7156" w:rsidRDefault="00B63F37" w:rsidP="00610BA2">
            <w:pPr>
              <w:jc w:val="center"/>
              <w:rPr>
                <w:sz w:val="22"/>
                <w:szCs w:val="24"/>
              </w:rPr>
            </w:pPr>
            <w:r w:rsidRPr="008D7156">
              <w:rPr>
                <w:sz w:val="22"/>
                <w:szCs w:val="24"/>
              </w:rPr>
              <w:t>0</w:t>
            </w:r>
          </w:p>
        </w:tc>
        <w:tc>
          <w:tcPr>
            <w:tcW w:w="2175" w:type="dxa"/>
            <w:gridSpan w:val="2"/>
            <w:tcBorders>
              <w:top w:val="single" w:sz="6" w:space="0" w:color="000000"/>
              <w:left w:val="single" w:sz="6" w:space="0" w:color="000000"/>
              <w:bottom w:val="single" w:sz="6" w:space="0" w:color="000000"/>
              <w:right w:val="single" w:sz="6" w:space="0" w:color="000000"/>
            </w:tcBorders>
          </w:tcPr>
          <w:p w14:paraId="3BE05DE9" w14:textId="77777777" w:rsidR="00B63F37" w:rsidRPr="008D7156" w:rsidRDefault="00B63F37" w:rsidP="00610BA2">
            <w:pPr>
              <w:jc w:val="center"/>
              <w:rPr>
                <w:sz w:val="22"/>
                <w:szCs w:val="24"/>
              </w:rPr>
            </w:pPr>
            <w:r w:rsidRPr="008D7156">
              <w:rPr>
                <w:sz w:val="22"/>
                <w:szCs w:val="24"/>
              </w:rPr>
              <w:t>Низкий</w:t>
            </w:r>
          </w:p>
        </w:tc>
        <w:tc>
          <w:tcPr>
            <w:tcW w:w="2445" w:type="dxa"/>
            <w:gridSpan w:val="2"/>
            <w:tcBorders>
              <w:top w:val="single" w:sz="6" w:space="0" w:color="000000"/>
              <w:left w:val="single" w:sz="6" w:space="0" w:color="000000"/>
              <w:bottom w:val="single" w:sz="6" w:space="0" w:color="000000"/>
              <w:right w:val="single" w:sz="6" w:space="0" w:color="000000"/>
            </w:tcBorders>
          </w:tcPr>
          <w:p w14:paraId="297F75E2" w14:textId="77777777" w:rsidR="00B63F37" w:rsidRPr="008D7156" w:rsidRDefault="00B63F37" w:rsidP="00610BA2">
            <w:pPr>
              <w:jc w:val="center"/>
              <w:rPr>
                <w:sz w:val="22"/>
                <w:szCs w:val="24"/>
              </w:rPr>
            </w:pPr>
            <w:r w:rsidRPr="008D7156">
              <w:rPr>
                <w:sz w:val="22"/>
                <w:szCs w:val="24"/>
              </w:rPr>
              <w:t>5,7</w:t>
            </w:r>
          </w:p>
        </w:tc>
        <w:tc>
          <w:tcPr>
            <w:tcW w:w="2505" w:type="dxa"/>
            <w:gridSpan w:val="2"/>
            <w:tcBorders>
              <w:top w:val="single" w:sz="6" w:space="0" w:color="000000"/>
              <w:left w:val="single" w:sz="6" w:space="0" w:color="000000"/>
              <w:bottom w:val="single" w:sz="6" w:space="0" w:color="000000"/>
              <w:right w:val="single" w:sz="6" w:space="0" w:color="000000"/>
            </w:tcBorders>
          </w:tcPr>
          <w:p w14:paraId="19DA2876" w14:textId="77777777" w:rsidR="00B63F37" w:rsidRPr="008D7156" w:rsidRDefault="00B63F37" w:rsidP="00610BA2">
            <w:pPr>
              <w:jc w:val="center"/>
              <w:rPr>
                <w:sz w:val="22"/>
                <w:szCs w:val="24"/>
              </w:rPr>
            </w:pPr>
            <w:r w:rsidRPr="008D7156">
              <w:rPr>
                <w:sz w:val="22"/>
                <w:szCs w:val="24"/>
              </w:rPr>
              <w:t>9,4</w:t>
            </w:r>
          </w:p>
        </w:tc>
      </w:tr>
      <w:tr w:rsidR="00B63F37" w:rsidRPr="001E3EF7" w14:paraId="5BC645CC" w14:textId="77777777" w:rsidTr="00610BA2">
        <w:tc>
          <w:tcPr>
            <w:tcW w:w="2190" w:type="dxa"/>
            <w:tcBorders>
              <w:top w:val="single" w:sz="6" w:space="0" w:color="000000"/>
              <w:left w:val="single" w:sz="6" w:space="0" w:color="000000"/>
              <w:bottom w:val="single" w:sz="6" w:space="0" w:color="000000"/>
              <w:right w:val="single" w:sz="6" w:space="0" w:color="000000"/>
            </w:tcBorders>
          </w:tcPr>
          <w:p w14:paraId="2A812F27" w14:textId="77777777" w:rsidR="00B63F37" w:rsidRPr="008D7156" w:rsidRDefault="00B63F37" w:rsidP="00610BA2">
            <w:pPr>
              <w:jc w:val="center"/>
              <w:rPr>
                <w:sz w:val="22"/>
                <w:szCs w:val="24"/>
              </w:rPr>
            </w:pPr>
            <w:r w:rsidRPr="008D7156">
              <w:rPr>
                <w:sz w:val="22"/>
                <w:szCs w:val="24"/>
              </w:rPr>
              <w:t>0,5–1,0</w:t>
            </w:r>
          </w:p>
        </w:tc>
        <w:tc>
          <w:tcPr>
            <w:tcW w:w="2175" w:type="dxa"/>
            <w:gridSpan w:val="2"/>
            <w:tcBorders>
              <w:top w:val="single" w:sz="6" w:space="0" w:color="000000"/>
              <w:left w:val="single" w:sz="6" w:space="0" w:color="000000"/>
              <w:bottom w:val="single" w:sz="6" w:space="0" w:color="000000"/>
              <w:right w:val="single" w:sz="6" w:space="0" w:color="000000"/>
            </w:tcBorders>
          </w:tcPr>
          <w:p w14:paraId="38FAB3B3" w14:textId="77777777" w:rsidR="00B63F37" w:rsidRPr="008D7156" w:rsidRDefault="00B63F37" w:rsidP="00610BA2">
            <w:pPr>
              <w:jc w:val="center"/>
              <w:rPr>
                <w:sz w:val="22"/>
                <w:szCs w:val="24"/>
              </w:rPr>
            </w:pPr>
            <w:r w:rsidRPr="008D7156">
              <w:rPr>
                <w:sz w:val="22"/>
                <w:szCs w:val="24"/>
              </w:rPr>
              <w:t>Промежуточный-1</w:t>
            </w:r>
          </w:p>
        </w:tc>
        <w:tc>
          <w:tcPr>
            <w:tcW w:w="2445" w:type="dxa"/>
            <w:gridSpan w:val="2"/>
            <w:tcBorders>
              <w:top w:val="single" w:sz="6" w:space="0" w:color="000000"/>
              <w:left w:val="single" w:sz="6" w:space="0" w:color="000000"/>
              <w:bottom w:val="single" w:sz="6" w:space="0" w:color="000000"/>
              <w:right w:val="single" w:sz="6" w:space="0" w:color="000000"/>
            </w:tcBorders>
          </w:tcPr>
          <w:p w14:paraId="04CCAD47" w14:textId="77777777" w:rsidR="00B63F37" w:rsidRPr="008D7156" w:rsidRDefault="00B63F37" w:rsidP="00610BA2">
            <w:pPr>
              <w:jc w:val="center"/>
              <w:rPr>
                <w:sz w:val="22"/>
                <w:szCs w:val="24"/>
              </w:rPr>
            </w:pPr>
            <w:r w:rsidRPr="008D7156">
              <w:rPr>
                <w:sz w:val="22"/>
                <w:szCs w:val="24"/>
              </w:rPr>
              <w:t>3,5</w:t>
            </w:r>
          </w:p>
        </w:tc>
        <w:tc>
          <w:tcPr>
            <w:tcW w:w="2505" w:type="dxa"/>
            <w:gridSpan w:val="2"/>
            <w:tcBorders>
              <w:top w:val="single" w:sz="6" w:space="0" w:color="000000"/>
              <w:left w:val="single" w:sz="6" w:space="0" w:color="000000"/>
              <w:bottom w:val="single" w:sz="6" w:space="0" w:color="000000"/>
              <w:right w:val="single" w:sz="6" w:space="0" w:color="000000"/>
            </w:tcBorders>
          </w:tcPr>
          <w:p w14:paraId="3B2028B4" w14:textId="77777777" w:rsidR="00B63F37" w:rsidRPr="008D7156" w:rsidRDefault="00B63F37" w:rsidP="00610BA2">
            <w:pPr>
              <w:jc w:val="center"/>
              <w:rPr>
                <w:sz w:val="22"/>
                <w:szCs w:val="24"/>
              </w:rPr>
            </w:pPr>
            <w:r w:rsidRPr="008D7156">
              <w:rPr>
                <w:sz w:val="22"/>
                <w:szCs w:val="24"/>
              </w:rPr>
              <w:t>3,3</w:t>
            </w:r>
          </w:p>
        </w:tc>
      </w:tr>
      <w:tr w:rsidR="00B63F37" w:rsidRPr="001E3EF7" w14:paraId="19D8FF63" w14:textId="77777777" w:rsidTr="00610BA2">
        <w:tc>
          <w:tcPr>
            <w:tcW w:w="2190" w:type="dxa"/>
            <w:tcBorders>
              <w:top w:val="single" w:sz="6" w:space="0" w:color="000000"/>
              <w:left w:val="single" w:sz="6" w:space="0" w:color="000000"/>
              <w:bottom w:val="single" w:sz="6" w:space="0" w:color="000000"/>
              <w:right w:val="single" w:sz="6" w:space="0" w:color="000000"/>
            </w:tcBorders>
          </w:tcPr>
          <w:p w14:paraId="60709D17" w14:textId="77777777" w:rsidR="00B63F37" w:rsidRPr="008D7156" w:rsidRDefault="00B63F37" w:rsidP="00610BA2">
            <w:pPr>
              <w:jc w:val="center"/>
              <w:rPr>
                <w:sz w:val="22"/>
                <w:szCs w:val="24"/>
              </w:rPr>
            </w:pPr>
            <w:r w:rsidRPr="008D7156">
              <w:rPr>
                <w:sz w:val="22"/>
                <w:szCs w:val="24"/>
              </w:rPr>
              <w:t>1,5–2,0</w:t>
            </w:r>
          </w:p>
        </w:tc>
        <w:tc>
          <w:tcPr>
            <w:tcW w:w="2175" w:type="dxa"/>
            <w:gridSpan w:val="2"/>
            <w:tcBorders>
              <w:top w:val="single" w:sz="6" w:space="0" w:color="000000"/>
              <w:left w:val="single" w:sz="6" w:space="0" w:color="000000"/>
              <w:bottom w:val="single" w:sz="6" w:space="0" w:color="000000"/>
              <w:right w:val="single" w:sz="6" w:space="0" w:color="000000"/>
            </w:tcBorders>
          </w:tcPr>
          <w:p w14:paraId="5B477078" w14:textId="77777777" w:rsidR="00B63F37" w:rsidRPr="008D7156" w:rsidRDefault="00B63F37" w:rsidP="00610BA2">
            <w:pPr>
              <w:jc w:val="center"/>
              <w:rPr>
                <w:sz w:val="22"/>
                <w:szCs w:val="24"/>
              </w:rPr>
            </w:pPr>
            <w:r w:rsidRPr="008D7156">
              <w:rPr>
                <w:sz w:val="22"/>
                <w:szCs w:val="24"/>
              </w:rPr>
              <w:t>Промежуточный-2</w:t>
            </w:r>
          </w:p>
        </w:tc>
        <w:tc>
          <w:tcPr>
            <w:tcW w:w="2445" w:type="dxa"/>
            <w:gridSpan w:val="2"/>
            <w:tcBorders>
              <w:top w:val="single" w:sz="6" w:space="0" w:color="000000"/>
              <w:left w:val="single" w:sz="6" w:space="0" w:color="000000"/>
              <w:bottom w:val="single" w:sz="6" w:space="0" w:color="000000"/>
              <w:right w:val="single" w:sz="6" w:space="0" w:color="000000"/>
            </w:tcBorders>
          </w:tcPr>
          <w:p w14:paraId="5EB281C2" w14:textId="77777777" w:rsidR="00B63F37" w:rsidRPr="008D7156" w:rsidRDefault="00B63F37" w:rsidP="00610BA2">
            <w:pPr>
              <w:jc w:val="center"/>
              <w:rPr>
                <w:sz w:val="22"/>
                <w:szCs w:val="24"/>
              </w:rPr>
            </w:pPr>
            <w:r w:rsidRPr="008D7156">
              <w:rPr>
                <w:sz w:val="22"/>
                <w:szCs w:val="24"/>
              </w:rPr>
              <w:t>1,1</w:t>
            </w:r>
          </w:p>
        </w:tc>
        <w:tc>
          <w:tcPr>
            <w:tcW w:w="2505" w:type="dxa"/>
            <w:gridSpan w:val="2"/>
            <w:tcBorders>
              <w:top w:val="single" w:sz="6" w:space="0" w:color="000000"/>
              <w:left w:val="single" w:sz="6" w:space="0" w:color="000000"/>
              <w:bottom w:val="single" w:sz="6" w:space="0" w:color="000000"/>
              <w:right w:val="single" w:sz="6" w:space="0" w:color="000000"/>
            </w:tcBorders>
          </w:tcPr>
          <w:p w14:paraId="0128EB56" w14:textId="77777777" w:rsidR="00B63F37" w:rsidRPr="008D7156" w:rsidRDefault="00B63F37" w:rsidP="00610BA2">
            <w:pPr>
              <w:jc w:val="center"/>
              <w:rPr>
                <w:sz w:val="22"/>
                <w:szCs w:val="24"/>
              </w:rPr>
            </w:pPr>
            <w:r w:rsidRPr="008D7156">
              <w:rPr>
                <w:sz w:val="22"/>
                <w:szCs w:val="24"/>
              </w:rPr>
              <w:t>1,1</w:t>
            </w:r>
          </w:p>
        </w:tc>
      </w:tr>
      <w:tr w:rsidR="00B63F37" w:rsidRPr="001E3EF7" w14:paraId="1085CE58" w14:textId="77777777" w:rsidTr="00610BA2">
        <w:tc>
          <w:tcPr>
            <w:tcW w:w="2190" w:type="dxa"/>
            <w:tcBorders>
              <w:top w:val="single" w:sz="6" w:space="0" w:color="000000"/>
              <w:left w:val="single" w:sz="6" w:space="0" w:color="000000"/>
              <w:bottom w:val="single" w:sz="6" w:space="0" w:color="000000"/>
              <w:right w:val="single" w:sz="6" w:space="0" w:color="000000"/>
            </w:tcBorders>
          </w:tcPr>
          <w:p w14:paraId="34CA34D6" w14:textId="77777777" w:rsidR="00B63F37" w:rsidRPr="008D7156" w:rsidRDefault="00B63F37" w:rsidP="00610BA2">
            <w:pPr>
              <w:jc w:val="center"/>
              <w:rPr>
                <w:sz w:val="22"/>
                <w:szCs w:val="24"/>
              </w:rPr>
            </w:pPr>
            <w:r w:rsidRPr="008D7156">
              <w:rPr>
                <w:sz w:val="22"/>
                <w:szCs w:val="24"/>
              </w:rPr>
              <w:t>≥2,5</w:t>
            </w:r>
          </w:p>
        </w:tc>
        <w:tc>
          <w:tcPr>
            <w:tcW w:w="2175" w:type="dxa"/>
            <w:gridSpan w:val="2"/>
            <w:tcBorders>
              <w:top w:val="single" w:sz="6" w:space="0" w:color="000000"/>
              <w:left w:val="single" w:sz="6" w:space="0" w:color="000000"/>
              <w:bottom w:val="single" w:sz="6" w:space="0" w:color="000000"/>
              <w:right w:val="single" w:sz="6" w:space="0" w:color="000000"/>
            </w:tcBorders>
          </w:tcPr>
          <w:p w14:paraId="4C59B9BD" w14:textId="77777777" w:rsidR="00B63F37" w:rsidRPr="008D7156" w:rsidRDefault="00B63F37" w:rsidP="00610BA2">
            <w:pPr>
              <w:jc w:val="center"/>
              <w:rPr>
                <w:sz w:val="22"/>
                <w:szCs w:val="24"/>
              </w:rPr>
            </w:pPr>
            <w:r w:rsidRPr="008D7156">
              <w:rPr>
                <w:sz w:val="22"/>
                <w:szCs w:val="24"/>
              </w:rPr>
              <w:t>Высокий</w:t>
            </w:r>
          </w:p>
        </w:tc>
        <w:tc>
          <w:tcPr>
            <w:tcW w:w="2445" w:type="dxa"/>
            <w:gridSpan w:val="2"/>
            <w:tcBorders>
              <w:top w:val="single" w:sz="6" w:space="0" w:color="000000"/>
              <w:left w:val="single" w:sz="6" w:space="0" w:color="000000"/>
              <w:bottom w:val="single" w:sz="6" w:space="0" w:color="000000"/>
              <w:right w:val="single" w:sz="6" w:space="0" w:color="000000"/>
            </w:tcBorders>
          </w:tcPr>
          <w:p w14:paraId="29376E80" w14:textId="77777777" w:rsidR="00B63F37" w:rsidRPr="008D7156" w:rsidRDefault="00B63F37" w:rsidP="00610BA2">
            <w:pPr>
              <w:jc w:val="center"/>
              <w:rPr>
                <w:sz w:val="22"/>
                <w:szCs w:val="24"/>
              </w:rPr>
            </w:pPr>
            <w:r w:rsidRPr="008D7156">
              <w:rPr>
                <w:sz w:val="22"/>
                <w:szCs w:val="24"/>
              </w:rPr>
              <w:t>0,4</w:t>
            </w:r>
          </w:p>
        </w:tc>
        <w:tc>
          <w:tcPr>
            <w:tcW w:w="2505" w:type="dxa"/>
            <w:gridSpan w:val="2"/>
            <w:tcBorders>
              <w:top w:val="single" w:sz="6" w:space="0" w:color="000000"/>
              <w:left w:val="single" w:sz="6" w:space="0" w:color="000000"/>
              <w:bottom w:val="single" w:sz="6" w:space="0" w:color="000000"/>
              <w:right w:val="single" w:sz="6" w:space="0" w:color="000000"/>
            </w:tcBorders>
          </w:tcPr>
          <w:p w14:paraId="4E96F6C5" w14:textId="77777777" w:rsidR="00B63F37" w:rsidRPr="008D7156" w:rsidRDefault="00B63F37" w:rsidP="00610BA2">
            <w:pPr>
              <w:jc w:val="center"/>
              <w:rPr>
                <w:sz w:val="22"/>
                <w:szCs w:val="24"/>
              </w:rPr>
            </w:pPr>
            <w:r w:rsidRPr="008D7156">
              <w:rPr>
                <w:sz w:val="22"/>
                <w:szCs w:val="24"/>
              </w:rPr>
              <w:t>0,2</w:t>
            </w:r>
          </w:p>
        </w:tc>
      </w:tr>
    </w:tbl>
    <w:p w14:paraId="7849B339" w14:textId="77777777" w:rsidR="00B63F37" w:rsidRPr="006A377C" w:rsidRDefault="00B63F37" w:rsidP="00B63F37">
      <w:pPr>
        <w:rPr>
          <w:szCs w:val="24"/>
        </w:rPr>
      </w:pPr>
    </w:p>
    <w:p w14:paraId="3E6D86D2" w14:textId="77777777" w:rsidR="00B63F37" w:rsidRPr="006A377C" w:rsidRDefault="00B63F37" w:rsidP="00B63F37">
      <w:pPr>
        <w:rPr>
          <w:b/>
          <w:szCs w:val="24"/>
        </w:rPr>
      </w:pPr>
      <w:r w:rsidRPr="006A377C">
        <w:rPr>
          <w:b/>
          <w:szCs w:val="24"/>
        </w:rPr>
        <w:t>Примечания:</w:t>
      </w:r>
    </w:p>
    <w:p w14:paraId="0AD9FC89" w14:textId="77777777" w:rsidR="00B63F37" w:rsidRPr="006A377C" w:rsidRDefault="00B63F37" w:rsidP="00B63F37">
      <w:pPr>
        <w:ind w:firstLine="709"/>
        <w:rPr>
          <w:szCs w:val="24"/>
        </w:rPr>
      </w:pPr>
      <w:r w:rsidRPr="006A377C">
        <w:rPr>
          <w:b/>
          <w:szCs w:val="24"/>
        </w:rPr>
        <w:t xml:space="preserve">Цитопения: </w:t>
      </w:r>
      <w:r w:rsidRPr="006A377C">
        <w:rPr>
          <w:szCs w:val="24"/>
        </w:rPr>
        <w:t>Hb &lt;100 г/л; абсолютное число нейтрофилов &lt;1,5×10</w:t>
      </w:r>
      <w:r w:rsidRPr="006A377C">
        <w:rPr>
          <w:szCs w:val="24"/>
          <w:vertAlign w:val="superscript"/>
        </w:rPr>
        <w:t>9</w:t>
      </w:r>
      <w:r w:rsidRPr="006A377C">
        <w:rPr>
          <w:szCs w:val="24"/>
        </w:rPr>
        <w:t>/л; тромбоциты &lt;100×10</w:t>
      </w:r>
      <w:r w:rsidRPr="006A377C">
        <w:rPr>
          <w:szCs w:val="24"/>
          <w:vertAlign w:val="superscript"/>
        </w:rPr>
        <w:t>9</w:t>
      </w:r>
      <w:r w:rsidRPr="006A377C">
        <w:rPr>
          <w:szCs w:val="24"/>
        </w:rPr>
        <w:t>/л.</w:t>
      </w:r>
    </w:p>
    <w:p w14:paraId="67B9C9DE" w14:textId="77777777" w:rsidR="00B63F37" w:rsidRPr="006A377C" w:rsidRDefault="00B63F37" w:rsidP="00B63F37">
      <w:pPr>
        <w:ind w:firstLine="709"/>
        <w:rPr>
          <w:szCs w:val="24"/>
        </w:rPr>
      </w:pPr>
      <w:r w:rsidRPr="006A377C">
        <w:rPr>
          <w:b/>
          <w:szCs w:val="24"/>
        </w:rPr>
        <w:t>Кариотип</w:t>
      </w:r>
      <w:r w:rsidRPr="006A377C">
        <w:rPr>
          <w:szCs w:val="24"/>
        </w:rPr>
        <w:t>: хороший – нормальный кариотип, –Y, –20, –5; плохой – аномалии 7-й хромосомы и комплексные аберрации (≥3 хромосом); промежуточный – все остальные.</w:t>
      </w:r>
    </w:p>
    <w:p w14:paraId="5D822908" w14:textId="77777777" w:rsidR="00B63F37" w:rsidRPr="006A377C" w:rsidRDefault="00B63F37" w:rsidP="00B63F37">
      <w:pPr>
        <w:ind w:firstLine="709"/>
        <w:rPr>
          <w:szCs w:val="24"/>
        </w:rPr>
      </w:pPr>
      <w:r w:rsidRPr="006A377C">
        <w:rPr>
          <w:szCs w:val="24"/>
        </w:rPr>
        <w:t xml:space="preserve">Система IPSS оказалась полезной для прогнозирования общей выживаемости и риска трансформации в острый миелолейкоз (ОМЛ) пациентов с МДС, что помогает в принятии клинических решений </w:t>
      </w:r>
      <w:r w:rsidRPr="006A377C">
        <w:rPr>
          <w:szCs w:val="24"/>
        </w:rPr>
        <w:fldChar w:fldCharType="begin" w:fldLock="1"/>
      </w:r>
      <w:r w:rsidR="00AE1E12">
        <w:rPr>
          <w:szCs w:val="24"/>
        </w:rPr>
        <w:instrText>ADDIN CSL_CITATION {"citationItems":[{"id":"ITEM-1","itemData":{"ISSN":"0006-4971","PMID":"9058730","abstract":"Despite multiple disparate prognostic risk analysis systems for evaluating clinical outcome for patients with myelodysplastic syndrome (MDS), imprecision persists with such analyses. To attempt to improve on these systems, an International MDS Risk Analysis Workshop combined cytogenetic, morphological, and clinical data from seven large previously reported risk-based studies that had generated prognostic systems. A global analysis was performed on these patients, and critical prognostic variables were re-evaluated to generate a consensus prognostic system, particularly using a more refined bone marrow (BM) cytogenetic classification. Univariate analysis indicated that the major variables having an impact on disease outcome for evolution to acute myeloid leukemia were cytogenetic abnormalities, percentage of BM myeloblasts, and number of cytopenias; for survival, in addition to the above, variables also included age and gender. Cytogenetic subgroups of outcome were as follows: \"good\" outcomes were normal, -Y alone, del(5q) alone, del(20q) alone; \"poor\" outcomes were complex (ie, &gt; or = 3 abnormalities) or chromosome 7 anomalies; and \"intermediate\" outcomes were other abnormalities. Multivariate analysis combined these cytogenetic subgroups with percentage of BM blasts and number of cytopenias to generate a prognostic model. Weighting these variables by their statistical power separated patients into distinctive subgroups of risk for 25% of patients to undergo evolution to acute myeloid leukemia, with: low (31% of patients), 9.4 years; intermediate-1 (INT-1; 39%), 3.3 years; INT-2 (22%), 1.1 years; and high (8%), 0.2 year. These features also separated patients into similar distinctive risk groups for median survival: low, 5.7 years; INT-1, 3.5 years; INT-2, 1.2 years; and high, 0.4 year. Stratification for age further improved analysis of survival. Compared with prior risk-based classifications, this International Prognostic Scoring System provides an improved method for evaluating prognosis in MDS. This classification system should prove useful for more precise design and analysis of therapeutic trials in this disease.","author":[{"dropping-particle":"","family":"Greenberg","given":"P","non-dropping-particle":"","parse-names":false,"suffix":""},{"dropping-particle":"","family":"Cox","given":"C","non-dropping-particle":"","parse-names":false,"suffix":""},{"dropping-particle":"","family":"LeBeau","given":"M M","non-dropping-particle":"","parse-names":false,"suffix":""},{"dropping-particle":"","family":"Fenaux","given":"P","non-dropping-particle":"","parse-names":false,"suffix":""},{"dropping-particle":"","family":"Morel","given":"P","non-dropping-particle":"","parse-names":false,"suffix":""},{"dropping-particle":"","family":"Sanz","given":"G","non-dropping-particle":"","parse-names":false,"suffix":""},{"dropping-particle":"","family":"Sanz","given":"M","non-dropping-particle":"","parse-names":false,"suffix":""},{"dropping-particle":"","family":"Vallespi","given":"T","non-dropping-particle":"","parse-names":false,"suffix":""},{"dropping-particle":"","family":"Hamblin","given":"T","non-dropping-particle":"","parse-names":false,"suffix":""},{"dropping-particle":"","family":"Oscier","given":"D","non-dropping-particle":"","parse-names":false,"suffix":""},{"dropping-particle":"","family":"Ohyashiki","given":"K","non-dropping-particle":"","parse-names":false,"suffix":""},{"dropping-particle":"","family":"Toyama","given":"K","non-dropping-particle":"","parse-names":false,"suffix":""},{"dropping-particle":"","family":"Aul","given":"C","non-dropping-particle":"","parse-names":false,"suffix":""},{"dropping-particle":"","family":"Mufti","given":"G","non-dropping-particle":"","parse-names":false,"suffix":""},{"dropping-particle":"","family":"Bennett","given":"J","non-dropping-particle":"","parse-names":false,"suffix":""}],"container-title":"Blood","id":"ITEM-1","issue":"6","issued":{"date-parts":[["1997","3","15"]]},"page":"2079-88","title":"International scoring system for evaluating prognosis in myelodysplastic syndromes.","type":"article-journal","volume":"89"},"uris":["http://www.mendeley.com/documents/?uuid=4f36222e-90cc-3b82-bc74-6e2ea459f4bb"]}],"mendeley":{"formattedCitation":"[63]","plainTextFormattedCitation":"[63]","previouslyFormattedCitation":"[63]"},"properties":{"noteIndex":0},"schema":"https://github.com/citation-style-language/schema/raw/master/csl-citation.json"}</w:instrText>
      </w:r>
      <w:r w:rsidRPr="006A377C">
        <w:rPr>
          <w:szCs w:val="24"/>
        </w:rPr>
        <w:fldChar w:fldCharType="separate"/>
      </w:r>
      <w:r w:rsidR="00AE1E12" w:rsidRPr="00AE1E12">
        <w:rPr>
          <w:noProof/>
          <w:szCs w:val="24"/>
        </w:rPr>
        <w:t>[63]</w:t>
      </w:r>
      <w:r w:rsidRPr="006A377C">
        <w:rPr>
          <w:szCs w:val="24"/>
        </w:rPr>
        <w:fldChar w:fldCharType="end"/>
      </w:r>
      <w:r w:rsidRPr="006A377C">
        <w:rPr>
          <w:szCs w:val="24"/>
        </w:rPr>
        <w:t>.</w:t>
      </w:r>
    </w:p>
    <w:p w14:paraId="656CFA83" w14:textId="77777777" w:rsidR="00B63F37" w:rsidRPr="006A377C" w:rsidRDefault="00B63F37" w:rsidP="00B63F37">
      <w:pPr>
        <w:ind w:firstLine="709"/>
        <w:rPr>
          <w:szCs w:val="24"/>
        </w:rPr>
      </w:pPr>
      <w:r w:rsidRPr="006A377C">
        <w:rPr>
          <w:szCs w:val="24"/>
        </w:rPr>
        <w:t xml:space="preserve">Дополнительные факторы, которые также имеют прогностическое значение, в том числе мультилинейная дисплазия, тяжелая анемия с зависимостью от трансфузий, были </w:t>
      </w:r>
      <w:r w:rsidRPr="006A377C">
        <w:rPr>
          <w:szCs w:val="24"/>
        </w:rPr>
        <w:lastRenderedPageBreak/>
        <w:t xml:space="preserve">включены в Прогностическую балльную систему ВОЗ (WPSS), которая позволяет разделить пациентов на 5 групп риска с различными показателями выживаемости и вероятности трансформации в ОМЛ (табл. 2). Эта шкала позволяет более точно определить прогноз отдельных пациентов с МДС, в особенности из групп низкого и промежуточного-1 риска по IPSS </w:t>
      </w:r>
      <w:r w:rsidRPr="006A377C">
        <w:rPr>
          <w:szCs w:val="24"/>
        </w:rPr>
        <w:fldChar w:fldCharType="begin" w:fldLock="1"/>
      </w:r>
      <w:r w:rsidR="00AE1E12">
        <w:rPr>
          <w:szCs w:val="24"/>
        </w:rPr>
        <w:instrText>ADDIN CSL_CITATION {"citationItems":[{"id":"ITEM-1","itemData":{"DOI":"10.3324/haematol.2011.044602","ISSN":"1592-8721","PMID":"21659359","abstract":"BACKGROUND Anemia is an established negative prognostic factor in myelodysplastic syndromes but the relationship between its degree and clinical outcome is poorly defined. We, therefore, studied the relationship between severity of anemia and outcome in myelodysplastic syndrome patients. DESIGN AND METHODS We studied 840 consecutive patients diagnosed with myelodysplastic syndromes at the Fondazione IRCCS Policlinico San Matteo, Pavia, Italy, and 504 patients seen at the Heinrich-Heine-University Hospital, Düsseldorf, Germany. Hemoglobin levels were monitored longitudinally and analyzed by means of time-dependent Cox's proportional hazards regression models. RESULTS Hemoglobin levels lower than 9 g/dL in males (HR 5.56, P=0.018) and 8 g/dL in females (HR=5.35, P=0.026) were independently related to reduced overall survival, higher risk of non-leukemic death and cardiac death (P&lt;0.001). Severe anemia, defined as hemoglobin below these thresholds, was found to be as effective as transfusion-dependency in the prognostic assessment. After integrating this definition of severe anemia into the WHO classification-based Prognostic Scoring System, time-dependent regression and landmark analyses showed that the refined model was able to identify risk groups with different survivals at any time during follow up. CONCLUSIONS Accounting for severity of anemia through the WHO classification-based Prognostic Scoring System provides an objective criterion for prognostic assessment and implementation of risk-adapted treatment strategies in myelodysplastic syndrome patients.","author":[{"dropping-particle":"","family":"Malcovati","given":"Luca","non-dropping-particle":"","parse-names":false,"suffix":""},{"dropping-particle":"","family":"Porta","given":"Matteo G","non-dropping-particle":"Della","parse-names":false,"suffix":""},{"dropping-particle":"","family":"Strupp","given":"Corinna","non-dropping-particle":"","parse-names":false,"suffix":""},{"dropping-particle":"","family":"Ambaglio","given":"Ilaria","non-dropping-particle":"","parse-names":false,"suffix":""},{"dropping-particle":"","family":"Kuendgen","given":"Andrea","non-dropping-particle":"","parse-names":false,"suffix":""},{"dropping-particle":"","family":"Nachtkamp","given":"Kathrin","non-dropping-particle":"","parse-names":false,"suffix":""},{"dropping-particle":"","family":"Travaglino","given":"Erica","non-dropping-particle":"","parse-names":false,"suffix":""},{"dropping-particle":"","family":"Invernizzi","given":"Rosangela","non-dropping-particle":"","parse-names":false,"suffix":""},{"dropping-particle":"","family":"Pascutto","given":"Cristiana","non-dropping-particle":"","parse-names":false,"suffix":""},{"dropping-particle":"","family":"Lazzarino","given":"Mario","non-dropping-particle":"","parse-names":false,"suffix":""},{"dropping-particle":"","family":"Germing","given":"Ulrich","non-dropping-particle":"","parse-names":false,"suffix":""},{"dropping-particle":"","family":"Cazzola","given":"Mario","non-dropping-particle":"","parse-names":false,"suffix":""}],"container-title":"Haematologica","id":"ITEM-1","issue":"10","issued":{"date-parts":[["2011","10"]]},"page":"1433-40","title":"Impact of the degree of anemia on the outcome of patients with myelodysplastic syndrome and its integration into the WHO classification-based Prognostic Scoring System (WPSS).","type":"article-journal","volume":"96"},"uris":["http://www.mendeley.com/documents/?uuid=cc59a631-1ec0-3d1b-aa84-3767e35504b4"]}],"mendeley":{"formattedCitation":"[64]","plainTextFormattedCitation":"[64]","previouslyFormattedCitation":"[64]"},"properties":{"noteIndex":0},"schema":"https://github.com/citation-style-language/schema/raw/master/csl-citation.json"}</w:instrText>
      </w:r>
      <w:r w:rsidRPr="006A377C">
        <w:rPr>
          <w:szCs w:val="24"/>
        </w:rPr>
        <w:fldChar w:fldCharType="separate"/>
      </w:r>
      <w:r w:rsidR="00AE1E12" w:rsidRPr="00AE1E12">
        <w:rPr>
          <w:noProof/>
          <w:szCs w:val="24"/>
        </w:rPr>
        <w:t>[64]</w:t>
      </w:r>
      <w:r w:rsidRPr="006A377C">
        <w:rPr>
          <w:szCs w:val="24"/>
        </w:rPr>
        <w:fldChar w:fldCharType="end"/>
      </w:r>
      <w:r w:rsidRPr="006A377C">
        <w:rPr>
          <w:szCs w:val="24"/>
        </w:rPr>
        <w:t>.</w:t>
      </w:r>
    </w:p>
    <w:p w14:paraId="20D34EEE" w14:textId="77777777" w:rsidR="00B63F37" w:rsidRPr="006A377C" w:rsidRDefault="00B63F37" w:rsidP="00B63F37">
      <w:pPr>
        <w:rPr>
          <w:szCs w:val="24"/>
        </w:rPr>
      </w:pPr>
    </w:p>
    <w:p w14:paraId="6587C40B" w14:textId="77777777" w:rsidR="00B63F37" w:rsidRPr="006A377C" w:rsidRDefault="00B63F37" w:rsidP="00B63F37">
      <w:pPr>
        <w:rPr>
          <w:b/>
          <w:szCs w:val="24"/>
        </w:rPr>
      </w:pPr>
      <w:r w:rsidRPr="006A377C">
        <w:rPr>
          <w:b/>
          <w:szCs w:val="24"/>
        </w:rPr>
        <w:t xml:space="preserve">Таблица 2. </w:t>
      </w:r>
      <w:r w:rsidRPr="006A377C">
        <w:rPr>
          <w:szCs w:val="24"/>
        </w:rPr>
        <w:t>Прогностическая шкала WPSS</w:t>
      </w:r>
    </w:p>
    <w:tbl>
      <w:tblPr>
        <w:tblW w:w="9360"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2094"/>
        <w:gridCol w:w="2125"/>
        <w:gridCol w:w="1593"/>
        <w:gridCol w:w="761"/>
        <w:gridCol w:w="924"/>
        <w:gridCol w:w="476"/>
        <w:gridCol w:w="1387"/>
      </w:tblGrid>
      <w:tr w:rsidR="00B63F37" w:rsidRPr="001E3EF7" w14:paraId="2A4E9AE2" w14:textId="77777777" w:rsidTr="00610BA2">
        <w:tc>
          <w:tcPr>
            <w:tcW w:w="2100" w:type="dxa"/>
            <w:vMerge w:val="restart"/>
            <w:tcBorders>
              <w:top w:val="single" w:sz="6" w:space="0" w:color="000000"/>
              <w:left w:val="single" w:sz="6" w:space="0" w:color="000000"/>
              <w:bottom w:val="single" w:sz="6" w:space="0" w:color="000000"/>
              <w:right w:val="single" w:sz="6" w:space="0" w:color="000000"/>
            </w:tcBorders>
            <w:vAlign w:val="center"/>
          </w:tcPr>
          <w:p w14:paraId="2478D40E" w14:textId="77777777" w:rsidR="00B63F37" w:rsidRPr="008D7156" w:rsidRDefault="00B63F37" w:rsidP="00610BA2">
            <w:pPr>
              <w:rPr>
                <w:b/>
                <w:sz w:val="22"/>
                <w:szCs w:val="24"/>
              </w:rPr>
            </w:pPr>
            <w:r w:rsidRPr="008D7156">
              <w:rPr>
                <w:b/>
                <w:sz w:val="22"/>
                <w:szCs w:val="24"/>
              </w:rPr>
              <w:t>Параметры</w:t>
            </w:r>
          </w:p>
        </w:tc>
        <w:tc>
          <w:tcPr>
            <w:tcW w:w="7260" w:type="dxa"/>
            <w:gridSpan w:val="6"/>
            <w:tcBorders>
              <w:top w:val="single" w:sz="6" w:space="0" w:color="000000"/>
              <w:left w:val="single" w:sz="6" w:space="0" w:color="000000"/>
              <w:bottom w:val="single" w:sz="6" w:space="0" w:color="000000"/>
              <w:right w:val="single" w:sz="6" w:space="0" w:color="000000"/>
            </w:tcBorders>
          </w:tcPr>
          <w:p w14:paraId="4A6BF2CE" w14:textId="77777777" w:rsidR="00B63F37" w:rsidRPr="008D7156" w:rsidRDefault="00B63F37" w:rsidP="00610BA2">
            <w:pPr>
              <w:jc w:val="center"/>
              <w:rPr>
                <w:b/>
                <w:sz w:val="22"/>
                <w:szCs w:val="24"/>
              </w:rPr>
            </w:pPr>
            <w:r w:rsidRPr="008D7156">
              <w:rPr>
                <w:b/>
                <w:sz w:val="22"/>
                <w:szCs w:val="24"/>
              </w:rPr>
              <w:t>Баллы</w:t>
            </w:r>
          </w:p>
        </w:tc>
      </w:tr>
      <w:tr w:rsidR="00B63F37" w:rsidRPr="001E3EF7" w14:paraId="11234AF4" w14:textId="77777777" w:rsidTr="00610BA2">
        <w:tc>
          <w:tcPr>
            <w:tcW w:w="0" w:type="auto"/>
            <w:vMerge/>
            <w:tcBorders>
              <w:top w:val="single" w:sz="6" w:space="0" w:color="000000"/>
              <w:left w:val="single" w:sz="6" w:space="0" w:color="000000"/>
              <w:bottom w:val="single" w:sz="6" w:space="0" w:color="000000"/>
              <w:right w:val="single" w:sz="6" w:space="0" w:color="000000"/>
            </w:tcBorders>
            <w:vAlign w:val="center"/>
          </w:tcPr>
          <w:p w14:paraId="2498A5F9" w14:textId="77777777" w:rsidR="00B63F37" w:rsidRPr="008D7156" w:rsidRDefault="00B63F37" w:rsidP="00610BA2">
            <w:pPr>
              <w:rPr>
                <w:sz w:val="22"/>
                <w:szCs w:val="24"/>
              </w:rPr>
            </w:pPr>
          </w:p>
        </w:tc>
        <w:tc>
          <w:tcPr>
            <w:tcW w:w="2130" w:type="dxa"/>
            <w:tcBorders>
              <w:top w:val="single" w:sz="6" w:space="0" w:color="000000"/>
              <w:left w:val="single" w:sz="6" w:space="0" w:color="000000"/>
              <w:bottom w:val="single" w:sz="6" w:space="0" w:color="000000"/>
              <w:right w:val="single" w:sz="6" w:space="0" w:color="000000"/>
            </w:tcBorders>
          </w:tcPr>
          <w:p w14:paraId="0F23FB15" w14:textId="77777777" w:rsidR="00B63F37" w:rsidRPr="008D7156" w:rsidRDefault="00B63F37" w:rsidP="00610BA2">
            <w:pPr>
              <w:jc w:val="center"/>
              <w:rPr>
                <w:sz w:val="22"/>
                <w:szCs w:val="24"/>
              </w:rPr>
            </w:pPr>
            <w:r w:rsidRPr="008D7156">
              <w:rPr>
                <w:sz w:val="22"/>
                <w:szCs w:val="24"/>
              </w:rPr>
              <w:t>0</w:t>
            </w:r>
          </w:p>
        </w:tc>
        <w:tc>
          <w:tcPr>
            <w:tcW w:w="1560" w:type="dxa"/>
            <w:tcBorders>
              <w:top w:val="single" w:sz="6" w:space="0" w:color="000000"/>
              <w:left w:val="single" w:sz="6" w:space="0" w:color="000000"/>
              <w:bottom w:val="single" w:sz="6" w:space="0" w:color="000000"/>
              <w:right w:val="single" w:sz="6" w:space="0" w:color="000000"/>
            </w:tcBorders>
          </w:tcPr>
          <w:p w14:paraId="7263FBE3" w14:textId="77777777" w:rsidR="00B63F37" w:rsidRPr="008D7156" w:rsidRDefault="00B63F37" w:rsidP="00610BA2">
            <w:pPr>
              <w:jc w:val="center"/>
              <w:rPr>
                <w:sz w:val="22"/>
                <w:szCs w:val="24"/>
              </w:rPr>
            </w:pPr>
            <w:r w:rsidRPr="008D7156">
              <w:rPr>
                <w:sz w:val="22"/>
                <w:szCs w:val="24"/>
              </w:rPr>
              <w:t>1</w:t>
            </w:r>
          </w:p>
        </w:tc>
        <w:tc>
          <w:tcPr>
            <w:tcW w:w="1695" w:type="dxa"/>
            <w:gridSpan w:val="2"/>
            <w:tcBorders>
              <w:top w:val="single" w:sz="6" w:space="0" w:color="000000"/>
              <w:left w:val="single" w:sz="6" w:space="0" w:color="000000"/>
              <w:bottom w:val="single" w:sz="6" w:space="0" w:color="000000"/>
              <w:right w:val="single" w:sz="6" w:space="0" w:color="000000"/>
            </w:tcBorders>
          </w:tcPr>
          <w:p w14:paraId="00C33A91" w14:textId="77777777" w:rsidR="00B63F37" w:rsidRPr="008D7156" w:rsidRDefault="00B63F37" w:rsidP="00610BA2">
            <w:pPr>
              <w:jc w:val="center"/>
              <w:rPr>
                <w:sz w:val="22"/>
                <w:szCs w:val="24"/>
              </w:rPr>
            </w:pPr>
            <w:r w:rsidRPr="008D7156">
              <w:rPr>
                <w:sz w:val="22"/>
                <w:szCs w:val="24"/>
              </w:rPr>
              <w:t>2</w:t>
            </w:r>
          </w:p>
        </w:tc>
        <w:tc>
          <w:tcPr>
            <w:tcW w:w="1875" w:type="dxa"/>
            <w:gridSpan w:val="2"/>
            <w:tcBorders>
              <w:top w:val="single" w:sz="6" w:space="0" w:color="000000"/>
              <w:left w:val="single" w:sz="6" w:space="0" w:color="000000"/>
              <w:bottom w:val="single" w:sz="6" w:space="0" w:color="000000"/>
              <w:right w:val="single" w:sz="6" w:space="0" w:color="000000"/>
            </w:tcBorders>
          </w:tcPr>
          <w:p w14:paraId="5CAA6CF8" w14:textId="77777777" w:rsidR="00B63F37" w:rsidRPr="008D7156" w:rsidRDefault="00B63F37" w:rsidP="00610BA2">
            <w:pPr>
              <w:jc w:val="center"/>
              <w:rPr>
                <w:sz w:val="22"/>
                <w:szCs w:val="24"/>
              </w:rPr>
            </w:pPr>
            <w:r w:rsidRPr="008D7156">
              <w:rPr>
                <w:sz w:val="22"/>
                <w:szCs w:val="24"/>
              </w:rPr>
              <w:t>3</w:t>
            </w:r>
          </w:p>
        </w:tc>
      </w:tr>
      <w:tr w:rsidR="00B63F37" w:rsidRPr="001E3EF7" w14:paraId="5ABF8763" w14:textId="77777777" w:rsidTr="00610BA2">
        <w:tc>
          <w:tcPr>
            <w:tcW w:w="2100" w:type="dxa"/>
            <w:tcBorders>
              <w:top w:val="single" w:sz="6" w:space="0" w:color="000000"/>
              <w:left w:val="single" w:sz="6" w:space="0" w:color="000000"/>
              <w:bottom w:val="single" w:sz="6" w:space="0" w:color="000000"/>
              <w:right w:val="single" w:sz="6" w:space="0" w:color="000000"/>
            </w:tcBorders>
          </w:tcPr>
          <w:p w14:paraId="11FF1DF4" w14:textId="77777777" w:rsidR="00B63F37" w:rsidRPr="008D7156" w:rsidRDefault="00B63F37" w:rsidP="00610BA2">
            <w:pPr>
              <w:rPr>
                <w:sz w:val="22"/>
                <w:szCs w:val="24"/>
              </w:rPr>
            </w:pPr>
            <w:r w:rsidRPr="008D7156">
              <w:rPr>
                <w:sz w:val="22"/>
                <w:szCs w:val="24"/>
              </w:rPr>
              <w:t>Вариант по классификации ВОЗ</w:t>
            </w:r>
            <w:r w:rsidRPr="008D7156">
              <w:rPr>
                <w:sz w:val="22"/>
                <w:szCs w:val="24"/>
                <w:vertAlign w:val="superscript"/>
              </w:rPr>
              <w:t>1</w:t>
            </w:r>
          </w:p>
        </w:tc>
        <w:tc>
          <w:tcPr>
            <w:tcW w:w="2130" w:type="dxa"/>
            <w:tcBorders>
              <w:top w:val="single" w:sz="6" w:space="0" w:color="000000"/>
              <w:left w:val="single" w:sz="6" w:space="0" w:color="000000"/>
              <w:bottom w:val="single" w:sz="6" w:space="0" w:color="000000"/>
              <w:right w:val="single" w:sz="6" w:space="0" w:color="000000"/>
            </w:tcBorders>
            <w:vAlign w:val="center"/>
          </w:tcPr>
          <w:p w14:paraId="032CCCAC" w14:textId="77777777" w:rsidR="00B63F37" w:rsidRPr="008D7156" w:rsidRDefault="00B63F37" w:rsidP="00610BA2">
            <w:pPr>
              <w:jc w:val="center"/>
              <w:rPr>
                <w:sz w:val="22"/>
                <w:szCs w:val="24"/>
              </w:rPr>
            </w:pPr>
            <w:r w:rsidRPr="008D7156">
              <w:rPr>
                <w:sz w:val="22"/>
                <w:szCs w:val="24"/>
              </w:rPr>
              <w:t>РА,</w:t>
            </w:r>
          </w:p>
          <w:p w14:paraId="68B48A58" w14:textId="77777777" w:rsidR="00B63F37" w:rsidRPr="008D7156" w:rsidRDefault="00B63F37" w:rsidP="00610BA2">
            <w:pPr>
              <w:jc w:val="center"/>
              <w:rPr>
                <w:sz w:val="22"/>
                <w:szCs w:val="24"/>
              </w:rPr>
            </w:pPr>
            <w:r w:rsidRPr="008D7156">
              <w:rPr>
                <w:sz w:val="22"/>
                <w:szCs w:val="24"/>
              </w:rPr>
              <w:t>РАКС,</w:t>
            </w:r>
          </w:p>
          <w:p w14:paraId="712C4416" w14:textId="77777777" w:rsidR="00B63F37" w:rsidRPr="008D7156" w:rsidRDefault="00B63F37" w:rsidP="00610BA2">
            <w:pPr>
              <w:jc w:val="center"/>
              <w:rPr>
                <w:sz w:val="22"/>
                <w:szCs w:val="24"/>
              </w:rPr>
            </w:pPr>
            <w:r w:rsidRPr="008D7156">
              <w:rPr>
                <w:sz w:val="22"/>
                <w:szCs w:val="24"/>
              </w:rPr>
              <w:t>5q–</w:t>
            </w:r>
          </w:p>
        </w:tc>
        <w:tc>
          <w:tcPr>
            <w:tcW w:w="1560" w:type="dxa"/>
            <w:tcBorders>
              <w:top w:val="single" w:sz="6" w:space="0" w:color="000000"/>
              <w:left w:val="single" w:sz="6" w:space="0" w:color="000000"/>
              <w:bottom w:val="single" w:sz="6" w:space="0" w:color="000000"/>
              <w:right w:val="single" w:sz="6" w:space="0" w:color="000000"/>
            </w:tcBorders>
            <w:vAlign w:val="center"/>
          </w:tcPr>
          <w:p w14:paraId="4A3CE2F9" w14:textId="77777777" w:rsidR="00B63F37" w:rsidRPr="008D7156" w:rsidRDefault="00B63F37" w:rsidP="00610BA2">
            <w:pPr>
              <w:jc w:val="center"/>
              <w:rPr>
                <w:sz w:val="22"/>
                <w:szCs w:val="24"/>
              </w:rPr>
            </w:pPr>
            <w:r w:rsidRPr="008D7156">
              <w:rPr>
                <w:sz w:val="22"/>
                <w:szCs w:val="24"/>
              </w:rPr>
              <w:t>РЦМД</w:t>
            </w:r>
          </w:p>
        </w:tc>
        <w:tc>
          <w:tcPr>
            <w:tcW w:w="1695" w:type="dxa"/>
            <w:gridSpan w:val="2"/>
            <w:tcBorders>
              <w:top w:val="single" w:sz="6" w:space="0" w:color="000000"/>
              <w:left w:val="single" w:sz="6" w:space="0" w:color="000000"/>
              <w:bottom w:val="single" w:sz="6" w:space="0" w:color="000000"/>
              <w:right w:val="single" w:sz="6" w:space="0" w:color="000000"/>
            </w:tcBorders>
            <w:vAlign w:val="center"/>
          </w:tcPr>
          <w:p w14:paraId="1CDC425A" w14:textId="77777777" w:rsidR="00B63F37" w:rsidRPr="008D7156" w:rsidRDefault="00B63F37" w:rsidP="00610BA2">
            <w:pPr>
              <w:jc w:val="center"/>
              <w:rPr>
                <w:sz w:val="22"/>
                <w:szCs w:val="24"/>
              </w:rPr>
            </w:pPr>
            <w:r w:rsidRPr="008D7156">
              <w:rPr>
                <w:sz w:val="22"/>
                <w:szCs w:val="24"/>
              </w:rPr>
              <w:t>РАИБ-1</w:t>
            </w:r>
          </w:p>
        </w:tc>
        <w:tc>
          <w:tcPr>
            <w:tcW w:w="1875" w:type="dxa"/>
            <w:gridSpan w:val="2"/>
            <w:tcBorders>
              <w:top w:val="single" w:sz="6" w:space="0" w:color="000000"/>
              <w:left w:val="single" w:sz="6" w:space="0" w:color="000000"/>
              <w:bottom w:val="single" w:sz="6" w:space="0" w:color="000000"/>
              <w:right w:val="single" w:sz="6" w:space="0" w:color="000000"/>
            </w:tcBorders>
            <w:vAlign w:val="center"/>
          </w:tcPr>
          <w:p w14:paraId="48EA2CA5" w14:textId="77777777" w:rsidR="00B63F37" w:rsidRPr="008D7156" w:rsidRDefault="00B63F37" w:rsidP="00610BA2">
            <w:pPr>
              <w:jc w:val="center"/>
              <w:rPr>
                <w:sz w:val="22"/>
                <w:szCs w:val="24"/>
              </w:rPr>
            </w:pPr>
            <w:r w:rsidRPr="008D7156">
              <w:rPr>
                <w:sz w:val="22"/>
                <w:szCs w:val="24"/>
              </w:rPr>
              <w:t>РАИБ-2</w:t>
            </w:r>
          </w:p>
        </w:tc>
      </w:tr>
      <w:tr w:rsidR="00B63F37" w:rsidRPr="001E3EF7" w14:paraId="3D8A34A4" w14:textId="77777777" w:rsidTr="00610BA2">
        <w:tc>
          <w:tcPr>
            <w:tcW w:w="2100" w:type="dxa"/>
            <w:tcBorders>
              <w:top w:val="single" w:sz="6" w:space="0" w:color="000000"/>
              <w:left w:val="single" w:sz="6" w:space="0" w:color="000000"/>
              <w:bottom w:val="single" w:sz="6" w:space="0" w:color="000000"/>
              <w:right w:val="single" w:sz="6" w:space="0" w:color="000000"/>
            </w:tcBorders>
          </w:tcPr>
          <w:p w14:paraId="00B9CBD1" w14:textId="77777777" w:rsidR="00B63F37" w:rsidRPr="008D7156" w:rsidRDefault="00B63F37" w:rsidP="00610BA2">
            <w:pPr>
              <w:rPr>
                <w:sz w:val="22"/>
                <w:szCs w:val="24"/>
              </w:rPr>
            </w:pPr>
            <w:r w:rsidRPr="008D7156">
              <w:rPr>
                <w:sz w:val="22"/>
                <w:szCs w:val="24"/>
              </w:rPr>
              <w:t>Кариотип</w:t>
            </w:r>
            <w:r w:rsidRPr="008D7156">
              <w:rPr>
                <w:sz w:val="22"/>
                <w:szCs w:val="24"/>
                <w:vertAlign w:val="superscript"/>
              </w:rPr>
              <w:t>2</w:t>
            </w:r>
          </w:p>
        </w:tc>
        <w:tc>
          <w:tcPr>
            <w:tcW w:w="2130" w:type="dxa"/>
            <w:tcBorders>
              <w:top w:val="single" w:sz="6" w:space="0" w:color="000000"/>
              <w:left w:val="single" w:sz="6" w:space="0" w:color="000000"/>
              <w:bottom w:val="single" w:sz="6" w:space="0" w:color="000000"/>
              <w:right w:val="single" w:sz="6" w:space="0" w:color="000000"/>
            </w:tcBorders>
            <w:vAlign w:val="center"/>
          </w:tcPr>
          <w:p w14:paraId="72CCC526" w14:textId="77777777" w:rsidR="00B63F37" w:rsidRPr="008D7156" w:rsidRDefault="00B63F37" w:rsidP="00610BA2">
            <w:pPr>
              <w:jc w:val="center"/>
              <w:rPr>
                <w:sz w:val="22"/>
                <w:szCs w:val="24"/>
              </w:rPr>
            </w:pPr>
            <w:r w:rsidRPr="008D7156">
              <w:rPr>
                <w:sz w:val="22"/>
                <w:szCs w:val="24"/>
              </w:rPr>
              <w:t>Хороший</w:t>
            </w:r>
          </w:p>
        </w:tc>
        <w:tc>
          <w:tcPr>
            <w:tcW w:w="1560" w:type="dxa"/>
            <w:tcBorders>
              <w:top w:val="single" w:sz="6" w:space="0" w:color="000000"/>
              <w:left w:val="single" w:sz="6" w:space="0" w:color="000000"/>
              <w:bottom w:val="single" w:sz="6" w:space="0" w:color="000000"/>
              <w:right w:val="single" w:sz="6" w:space="0" w:color="000000"/>
            </w:tcBorders>
            <w:vAlign w:val="center"/>
          </w:tcPr>
          <w:p w14:paraId="34B433CC" w14:textId="77777777" w:rsidR="00B63F37" w:rsidRPr="008D7156" w:rsidRDefault="00B63F37" w:rsidP="00610BA2">
            <w:pPr>
              <w:jc w:val="center"/>
              <w:rPr>
                <w:sz w:val="22"/>
                <w:szCs w:val="24"/>
              </w:rPr>
            </w:pPr>
            <w:r w:rsidRPr="008D7156">
              <w:rPr>
                <w:sz w:val="22"/>
                <w:szCs w:val="24"/>
              </w:rPr>
              <w:t>Промежуточный</w:t>
            </w:r>
          </w:p>
        </w:tc>
        <w:tc>
          <w:tcPr>
            <w:tcW w:w="1695" w:type="dxa"/>
            <w:gridSpan w:val="2"/>
            <w:tcBorders>
              <w:top w:val="single" w:sz="6" w:space="0" w:color="000000"/>
              <w:left w:val="single" w:sz="6" w:space="0" w:color="000000"/>
              <w:bottom w:val="single" w:sz="6" w:space="0" w:color="000000"/>
              <w:right w:val="single" w:sz="6" w:space="0" w:color="000000"/>
            </w:tcBorders>
            <w:vAlign w:val="center"/>
          </w:tcPr>
          <w:p w14:paraId="0033FB32" w14:textId="77777777" w:rsidR="00B63F37" w:rsidRPr="008D7156" w:rsidRDefault="00B63F37" w:rsidP="00610BA2">
            <w:pPr>
              <w:jc w:val="center"/>
              <w:rPr>
                <w:sz w:val="22"/>
                <w:szCs w:val="24"/>
              </w:rPr>
            </w:pPr>
            <w:r w:rsidRPr="008D7156">
              <w:rPr>
                <w:sz w:val="22"/>
                <w:szCs w:val="24"/>
              </w:rPr>
              <w:t>Плохой</w:t>
            </w:r>
          </w:p>
        </w:tc>
        <w:tc>
          <w:tcPr>
            <w:tcW w:w="1875" w:type="dxa"/>
            <w:gridSpan w:val="2"/>
            <w:tcBorders>
              <w:top w:val="single" w:sz="6" w:space="0" w:color="000000"/>
              <w:left w:val="single" w:sz="6" w:space="0" w:color="000000"/>
              <w:bottom w:val="single" w:sz="6" w:space="0" w:color="000000"/>
              <w:right w:val="single" w:sz="6" w:space="0" w:color="000000"/>
            </w:tcBorders>
            <w:vAlign w:val="center"/>
          </w:tcPr>
          <w:p w14:paraId="653857B9" w14:textId="77777777" w:rsidR="00B63F37" w:rsidRPr="008D7156" w:rsidRDefault="00B63F37" w:rsidP="00610BA2">
            <w:pPr>
              <w:jc w:val="center"/>
              <w:rPr>
                <w:sz w:val="22"/>
                <w:szCs w:val="24"/>
              </w:rPr>
            </w:pPr>
            <w:r w:rsidRPr="008D7156">
              <w:rPr>
                <w:sz w:val="22"/>
                <w:szCs w:val="24"/>
              </w:rPr>
              <w:t>–</w:t>
            </w:r>
          </w:p>
        </w:tc>
      </w:tr>
      <w:tr w:rsidR="00B63F37" w:rsidRPr="001E3EF7" w14:paraId="0F17D341" w14:textId="77777777" w:rsidTr="00610BA2">
        <w:tc>
          <w:tcPr>
            <w:tcW w:w="2100" w:type="dxa"/>
            <w:tcBorders>
              <w:top w:val="single" w:sz="6" w:space="0" w:color="000000"/>
              <w:left w:val="single" w:sz="6" w:space="0" w:color="000000"/>
              <w:bottom w:val="single" w:sz="6" w:space="0" w:color="000000"/>
              <w:right w:val="single" w:sz="6" w:space="0" w:color="000000"/>
            </w:tcBorders>
          </w:tcPr>
          <w:p w14:paraId="7A125709" w14:textId="77777777" w:rsidR="00B63F37" w:rsidRPr="008D7156" w:rsidRDefault="00B63F37" w:rsidP="00610BA2">
            <w:pPr>
              <w:rPr>
                <w:sz w:val="22"/>
                <w:szCs w:val="24"/>
              </w:rPr>
            </w:pPr>
            <w:r w:rsidRPr="008D7156">
              <w:rPr>
                <w:sz w:val="22"/>
                <w:szCs w:val="24"/>
              </w:rPr>
              <w:t>Нв&lt;90 г/л для мужчин и &lt;80г/л для женщин</w:t>
            </w:r>
          </w:p>
        </w:tc>
        <w:tc>
          <w:tcPr>
            <w:tcW w:w="2130" w:type="dxa"/>
            <w:tcBorders>
              <w:top w:val="single" w:sz="6" w:space="0" w:color="000000"/>
              <w:left w:val="single" w:sz="6" w:space="0" w:color="000000"/>
              <w:bottom w:val="single" w:sz="6" w:space="0" w:color="000000"/>
              <w:right w:val="single" w:sz="6" w:space="0" w:color="000000"/>
            </w:tcBorders>
            <w:vAlign w:val="center"/>
          </w:tcPr>
          <w:p w14:paraId="2CA1DDD8" w14:textId="77777777" w:rsidR="00B63F37" w:rsidRPr="008D7156" w:rsidRDefault="00B63F37" w:rsidP="00610BA2">
            <w:pPr>
              <w:jc w:val="center"/>
              <w:rPr>
                <w:sz w:val="22"/>
                <w:szCs w:val="24"/>
              </w:rPr>
            </w:pPr>
            <w:r w:rsidRPr="008D7156">
              <w:rPr>
                <w:sz w:val="22"/>
                <w:szCs w:val="24"/>
              </w:rPr>
              <w:t>Нет</w:t>
            </w:r>
          </w:p>
        </w:tc>
        <w:tc>
          <w:tcPr>
            <w:tcW w:w="1560" w:type="dxa"/>
            <w:tcBorders>
              <w:top w:val="single" w:sz="6" w:space="0" w:color="000000"/>
              <w:left w:val="single" w:sz="6" w:space="0" w:color="000000"/>
              <w:bottom w:val="single" w:sz="6" w:space="0" w:color="000000"/>
              <w:right w:val="single" w:sz="6" w:space="0" w:color="000000"/>
            </w:tcBorders>
            <w:vAlign w:val="center"/>
          </w:tcPr>
          <w:p w14:paraId="58C87EC2" w14:textId="77777777" w:rsidR="00B63F37" w:rsidRPr="008D7156" w:rsidRDefault="00B63F37" w:rsidP="00610BA2">
            <w:pPr>
              <w:jc w:val="center"/>
              <w:rPr>
                <w:sz w:val="22"/>
                <w:szCs w:val="24"/>
              </w:rPr>
            </w:pPr>
            <w:r w:rsidRPr="008D7156">
              <w:rPr>
                <w:sz w:val="22"/>
                <w:szCs w:val="24"/>
              </w:rPr>
              <w:t>Да</w:t>
            </w:r>
          </w:p>
        </w:tc>
        <w:tc>
          <w:tcPr>
            <w:tcW w:w="1695" w:type="dxa"/>
            <w:gridSpan w:val="2"/>
            <w:tcBorders>
              <w:top w:val="single" w:sz="6" w:space="0" w:color="000000"/>
              <w:left w:val="single" w:sz="6" w:space="0" w:color="000000"/>
              <w:bottom w:val="single" w:sz="6" w:space="0" w:color="000000"/>
              <w:right w:val="single" w:sz="6" w:space="0" w:color="000000"/>
            </w:tcBorders>
            <w:vAlign w:val="center"/>
          </w:tcPr>
          <w:p w14:paraId="1EB3C9C5" w14:textId="77777777" w:rsidR="00B63F37" w:rsidRPr="008D7156" w:rsidRDefault="00B63F37" w:rsidP="00610BA2">
            <w:pPr>
              <w:jc w:val="center"/>
              <w:rPr>
                <w:sz w:val="22"/>
                <w:szCs w:val="24"/>
              </w:rPr>
            </w:pPr>
            <w:r w:rsidRPr="008D7156">
              <w:rPr>
                <w:sz w:val="22"/>
                <w:szCs w:val="24"/>
              </w:rPr>
              <w:t>–</w:t>
            </w:r>
          </w:p>
        </w:tc>
        <w:tc>
          <w:tcPr>
            <w:tcW w:w="1875" w:type="dxa"/>
            <w:gridSpan w:val="2"/>
            <w:tcBorders>
              <w:top w:val="single" w:sz="6" w:space="0" w:color="000000"/>
              <w:left w:val="single" w:sz="6" w:space="0" w:color="000000"/>
              <w:bottom w:val="single" w:sz="6" w:space="0" w:color="000000"/>
              <w:right w:val="single" w:sz="6" w:space="0" w:color="000000"/>
            </w:tcBorders>
            <w:vAlign w:val="center"/>
          </w:tcPr>
          <w:p w14:paraId="7250569E" w14:textId="77777777" w:rsidR="00B63F37" w:rsidRPr="008D7156" w:rsidRDefault="00B63F37" w:rsidP="00610BA2">
            <w:pPr>
              <w:jc w:val="center"/>
              <w:rPr>
                <w:sz w:val="22"/>
                <w:szCs w:val="24"/>
              </w:rPr>
            </w:pPr>
            <w:r w:rsidRPr="008D7156">
              <w:rPr>
                <w:sz w:val="22"/>
                <w:szCs w:val="24"/>
              </w:rPr>
              <w:t>–</w:t>
            </w:r>
          </w:p>
        </w:tc>
      </w:tr>
      <w:tr w:rsidR="00B63F37" w:rsidRPr="001E3EF7" w14:paraId="47A0E8B8" w14:textId="77777777" w:rsidTr="00610BA2">
        <w:tc>
          <w:tcPr>
            <w:tcW w:w="2100" w:type="dxa"/>
            <w:vMerge w:val="restart"/>
            <w:tcBorders>
              <w:top w:val="single" w:sz="6" w:space="0" w:color="000000"/>
              <w:left w:val="single" w:sz="6" w:space="0" w:color="000000"/>
              <w:bottom w:val="single" w:sz="6" w:space="0" w:color="000000"/>
              <w:right w:val="single" w:sz="6" w:space="0" w:color="000000"/>
            </w:tcBorders>
            <w:vAlign w:val="center"/>
          </w:tcPr>
          <w:p w14:paraId="20100ECD" w14:textId="77777777" w:rsidR="00B63F37" w:rsidRPr="008D7156" w:rsidRDefault="00B63F37" w:rsidP="00610BA2">
            <w:pPr>
              <w:jc w:val="center"/>
              <w:rPr>
                <w:sz w:val="22"/>
                <w:szCs w:val="24"/>
              </w:rPr>
            </w:pPr>
            <w:r w:rsidRPr="008D7156">
              <w:rPr>
                <w:sz w:val="22"/>
                <w:szCs w:val="24"/>
              </w:rPr>
              <w:t>Сумма баллов</w:t>
            </w:r>
          </w:p>
        </w:tc>
        <w:tc>
          <w:tcPr>
            <w:tcW w:w="2130" w:type="dxa"/>
            <w:vMerge w:val="restart"/>
            <w:tcBorders>
              <w:top w:val="single" w:sz="6" w:space="0" w:color="000000"/>
              <w:left w:val="single" w:sz="6" w:space="0" w:color="000000"/>
              <w:bottom w:val="single" w:sz="6" w:space="0" w:color="000000"/>
              <w:right w:val="single" w:sz="6" w:space="0" w:color="000000"/>
            </w:tcBorders>
            <w:vAlign w:val="center"/>
          </w:tcPr>
          <w:p w14:paraId="23148C11" w14:textId="77777777" w:rsidR="00B63F37" w:rsidRPr="008D7156" w:rsidRDefault="00B63F37" w:rsidP="00610BA2">
            <w:pPr>
              <w:jc w:val="center"/>
              <w:rPr>
                <w:sz w:val="22"/>
                <w:szCs w:val="24"/>
              </w:rPr>
            </w:pPr>
            <w:r w:rsidRPr="008D7156">
              <w:rPr>
                <w:sz w:val="22"/>
                <w:szCs w:val="24"/>
              </w:rPr>
              <w:t>Категория риска</w:t>
            </w:r>
          </w:p>
        </w:tc>
        <w:tc>
          <w:tcPr>
            <w:tcW w:w="2325" w:type="dxa"/>
            <w:gridSpan w:val="2"/>
            <w:vMerge w:val="restart"/>
            <w:tcBorders>
              <w:top w:val="single" w:sz="6" w:space="0" w:color="000000"/>
              <w:left w:val="single" w:sz="6" w:space="0" w:color="000000"/>
              <w:bottom w:val="single" w:sz="6" w:space="0" w:color="000000"/>
              <w:right w:val="single" w:sz="6" w:space="0" w:color="000000"/>
            </w:tcBorders>
            <w:vAlign w:val="center"/>
          </w:tcPr>
          <w:p w14:paraId="664E277D" w14:textId="77777777" w:rsidR="00B63F37" w:rsidRPr="008D7156" w:rsidRDefault="00B63F37" w:rsidP="00610BA2">
            <w:pPr>
              <w:jc w:val="center"/>
              <w:rPr>
                <w:sz w:val="22"/>
                <w:szCs w:val="24"/>
              </w:rPr>
            </w:pPr>
            <w:r w:rsidRPr="008D7156">
              <w:rPr>
                <w:sz w:val="22"/>
                <w:szCs w:val="24"/>
              </w:rPr>
              <w:t>Медиана общей выживаемости, мес.</w:t>
            </w:r>
          </w:p>
        </w:tc>
        <w:tc>
          <w:tcPr>
            <w:tcW w:w="2805" w:type="dxa"/>
            <w:gridSpan w:val="3"/>
            <w:tcBorders>
              <w:top w:val="single" w:sz="6" w:space="0" w:color="000000"/>
              <w:left w:val="single" w:sz="6" w:space="0" w:color="000000"/>
              <w:bottom w:val="single" w:sz="6" w:space="0" w:color="000000"/>
              <w:right w:val="single" w:sz="6" w:space="0" w:color="000000"/>
            </w:tcBorders>
            <w:vAlign w:val="center"/>
          </w:tcPr>
          <w:p w14:paraId="5F4DD2E8" w14:textId="77777777" w:rsidR="00B63F37" w:rsidRPr="008D7156" w:rsidRDefault="00B63F37" w:rsidP="00610BA2">
            <w:pPr>
              <w:jc w:val="center"/>
              <w:rPr>
                <w:sz w:val="22"/>
                <w:szCs w:val="24"/>
              </w:rPr>
            </w:pPr>
            <w:r w:rsidRPr="008D7156">
              <w:rPr>
                <w:sz w:val="22"/>
                <w:szCs w:val="24"/>
              </w:rPr>
              <w:t>Вероятность прогрессии в ОМЛ (без лечения)</w:t>
            </w:r>
          </w:p>
        </w:tc>
      </w:tr>
      <w:tr w:rsidR="00B63F37" w:rsidRPr="001E3EF7" w14:paraId="4A54E0F1" w14:textId="77777777" w:rsidTr="00610BA2">
        <w:tc>
          <w:tcPr>
            <w:tcW w:w="0" w:type="auto"/>
            <w:vMerge/>
            <w:tcBorders>
              <w:top w:val="single" w:sz="6" w:space="0" w:color="000000"/>
              <w:left w:val="single" w:sz="6" w:space="0" w:color="000000"/>
              <w:bottom w:val="single" w:sz="6" w:space="0" w:color="000000"/>
              <w:right w:val="single" w:sz="6" w:space="0" w:color="000000"/>
            </w:tcBorders>
            <w:vAlign w:val="center"/>
          </w:tcPr>
          <w:p w14:paraId="030CBDE7" w14:textId="77777777" w:rsidR="00B63F37" w:rsidRPr="008D7156" w:rsidRDefault="00B63F37" w:rsidP="00610BA2">
            <w:pPr>
              <w:jc w:val="center"/>
              <w:rPr>
                <w:sz w:val="22"/>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14:paraId="1ADDFF57" w14:textId="77777777" w:rsidR="00B63F37" w:rsidRPr="008D7156" w:rsidRDefault="00B63F37" w:rsidP="00610BA2">
            <w:pPr>
              <w:jc w:val="center"/>
              <w:rPr>
                <w:sz w:val="22"/>
                <w:szCs w:val="24"/>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tcPr>
          <w:p w14:paraId="51997DD4" w14:textId="77777777" w:rsidR="00B63F37" w:rsidRPr="008D7156" w:rsidRDefault="00B63F37" w:rsidP="00610BA2">
            <w:pPr>
              <w:jc w:val="center"/>
              <w:rPr>
                <w:sz w:val="22"/>
                <w:szCs w:val="24"/>
              </w:rPr>
            </w:pPr>
          </w:p>
        </w:tc>
        <w:tc>
          <w:tcPr>
            <w:tcW w:w="1410" w:type="dxa"/>
            <w:gridSpan w:val="2"/>
            <w:tcBorders>
              <w:top w:val="single" w:sz="6" w:space="0" w:color="000000"/>
              <w:left w:val="single" w:sz="6" w:space="0" w:color="000000"/>
              <w:bottom w:val="single" w:sz="6" w:space="0" w:color="000000"/>
              <w:right w:val="single" w:sz="6" w:space="0" w:color="000000"/>
            </w:tcBorders>
          </w:tcPr>
          <w:p w14:paraId="087D1AF7" w14:textId="77777777" w:rsidR="00B63F37" w:rsidRPr="008D7156" w:rsidRDefault="00B63F37" w:rsidP="00610BA2">
            <w:pPr>
              <w:jc w:val="center"/>
              <w:rPr>
                <w:sz w:val="22"/>
                <w:szCs w:val="24"/>
              </w:rPr>
            </w:pPr>
            <w:r w:rsidRPr="008D7156">
              <w:rPr>
                <w:sz w:val="22"/>
                <w:szCs w:val="24"/>
              </w:rPr>
              <w:t>2 года</w:t>
            </w:r>
          </w:p>
        </w:tc>
        <w:tc>
          <w:tcPr>
            <w:tcW w:w="1395" w:type="dxa"/>
            <w:tcBorders>
              <w:top w:val="single" w:sz="6" w:space="0" w:color="000000"/>
              <w:left w:val="single" w:sz="6" w:space="0" w:color="000000"/>
              <w:bottom w:val="single" w:sz="6" w:space="0" w:color="000000"/>
              <w:right w:val="single" w:sz="6" w:space="0" w:color="000000"/>
            </w:tcBorders>
          </w:tcPr>
          <w:p w14:paraId="42802D41" w14:textId="77777777" w:rsidR="00B63F37" w:rsidRPr="008D7156" w:rsidRDefault="00B63F37" w:rsidP="00610BA2">
            <w:pPr>
              <w:jc w:val="center"/>
              <w:rPr>
                <w:sz w:val="22"/>
                <w:szCs w:val="24"/>
              </w:rPr>
            </w:pPr>
            <w:r w:rsidRPr="008D7156">
              <w:rPr>
                <w:sz w:val="22"/>
                <w:szCs w:val="24"/>
              </w:rPr>
              <w:t>5 лет</w:t>
            </w:r>
          </w:p>
        </w:tc>
      </w:tr>
      <w:tr w:rsidR="00B63F37" w:rsidRPr="001E3EF7" w14:paraId="47F9639A" w14:textId="77777777" w:rsidTr="00610BA2">
        <w:tc>
          <w:tcPr>
            <w:tcW w:w="2100" w:type="dxa"/>
            <w:tcBorders>
              <w:top w:val="single" w:sz="6" w:space="0" w:color="000000"/>
              <w:left w:val="single" w:sz="6" w:space="0" w:color="000000"/>
              <w:bottom w:val="single" w:sz="6" w:space="0" w:color="000000"/>
              <w:right w:val="single" w:sz="6" w:space="0" w:color="000000"/>
            </w:tcBorders>
          </w:tcPr>
          <w:p w14:paraId="35465E95" w14:textId="77777777" w:rsidR="00B63F37" w:rsidRPr="008D7156" w:rsidRDefault="00B63F37" w:rsidP="00610BA2">
            <w:pPr>
              <w:jc w:val="center"/>
              <w:rPr>
                <w:sz w:val="22"/>
                <w:szCs w:val="24"/>
              </w:rPr>
            </w:pPr>
            <w:r w:rsidRPr="008D7156">
              <w:rPr>
                <w:sz w:val="22"/>
                <w:szCs w:val="24"/>
              </w:rPr>
              <w:t>0</w:t>
            </w:r>
          </w:p>
        </w:tc>
        <w:tc>
          <w:tcPr>
            <w:tcW w:w="2130" w:type="dxa"/>
            <w:tcBorders>
              <w:top w:val="single" w:sz="6" w:space="0" w:color="000000"/>
              <w:left w:val="single" w:sz="6" w:space="0" w:color="000000"/>
              <w:bottom w:val="single" w:sz="6" w:space="0" w:color="000000"/>
              <w:right w:val="single" w:sz="6" w:space="0" w:color="000000"/>
            </w:tcBorders>
          </w:tcPr>
          <w:p w14:paraId="67A75C95" w14:textId="77777777" w:rsidR="00B63F37" w:rsidRPr="008D7156" w:rsidRDefault="00B63F37" w:rsidP="00610BA2">
            <w:pPr>
              <w:jc w:val="center"/>
              <w:rPr>
                <w:sz w:val="22"/>
                <w:szCs w:val="24"/>
              </w:rPr>
            </w:pPr>
            <w:r w:rsidRPr="008D7156">
              <w:rPr>
                <w:sz w:val="22"/>
                <w:szCs w:val="24"/>
              </w:rPr>
              <w:t>Очень низкий</w:t>
            </w:r>
          </w:p>
        </w:tc>
        <w:tc>
          <w:tcPr>
            <w:tcW w:w="2325" w:type="dxa"/>
            <w:gridSpan w:val="2"/>
            <w:tcBorders>
              <w:top w:val="single" w:sz="6" w:space="0" w:color="000000"/>
              <w:left w:val="single" w:sz="6" w:space="0" w:color="000000"/>
              <w:bottom w:val="single" w:sz="6" w:space="0" w:color="000000"/>
              <w:right w:val="single" w:sz="6" w:space="0" w:color="000000"/>
            </w:tcBorders>
          </w:tcPr>
          <w:p w14:paraId="1A97B3E5" w14:textId="77777777" w:rsidR="00B63F37" w:rsidRPr="008D7156" w:rsidRDefault="00B63F37" w:rsidP="00610BA2">
            <w:pPr>
              <w:jc w:val="center"/>
              <w:rPr>
                <w:sz w:val="22"/>
                <w:szCs w:val="24"/>
              </w:rPr>
            </w:pPr>
            <w:r w:rsidRPr="008D7156">
              <w:rPr>
                <w:sz w:val="22"/>
                <w:szCs w:val="24"/>
              </w:rPr>
              <w:t>103</w:t>
            </w:r>
          </w:p>
        </w:tc>
        <w:tc>
          <w:tcPr>
            <w:tcW w:w="1410" w:type="dxa"/>
            <w:gridSpan w:val="2"/>
            <w:tcBorders>
              <w:top w:val="single" w:sz="6" w:space="0" w:color="000000"/>
              <w:left w:val="single" w:sz="6" w:space="0" w:color="000000"/>
              <w:bottom w:val="single" w:sz="6" w:space="0" w:color="000000"/>
              <w:right w:val="single" w:sz="6" w:space="0" w:color="000000"/>
            </w:tcBorders>
          </w:tcPr>
          <w:p w14:paraId="48DD2405" w14:textId="77777777" w:rsidR="00B63F37" w:rsidRPr="008D7156" w:rsidRDefault="00B63F37" w:rsidP="00610BA2">
            <w:pPr>
              <w:jc w:val="center"/>
              <w:rPr>
                <w:sz w:val="22"/>
                <w:szCs w:val="24"/>
              </w:rPr>
            </w:pPr>
            <w:r w:rsidRPr="008D7156">
              <w:rPr>
                <w:sz w:val="22"/>
                <w:szCs w:val="24"/>
              </w:rPr>
              <w:t>0</w:t>
            </w:r>
          </w:p>
        </w:tc>
        <w:tc>
          <w:tcPr>
            <w:tcW w:w="1395" w:type="dxa"/>
            <w:tcBorders>
              <w:top w:val="single" w:sz="6" w:space="0" w:color="000000"/>
              <w:left w:val="single" w:sz="6" w:space="0" w:color="000000"/>
              <w:bottom w:val="single" w:sz="6" w:space="0" w:color="000000"/>
              <w:right w:val="single" w:sz="6" w:space="0" w:color="000000"/>
            </w:tcBorders>
          </w:tcPr>
          <w:p w14:paraId="66BBA6C3" w14:textId="77777777" w:rsidR="00B63F37" w:rsidRPr="008D7156" w:rsidRDefault="00B63F37" w:rsidP="00610BA2">
            <w:pPr>
              <w:jc w:val="center"/>
              <w:rPr>
                <w:sz w:val="22"/>
                <w:szCs w:val="24"/>
              </w:rPr>
            </w:pPr>
            <w:r w:rsidRPr="008D7156">
              <w:rPr>
                <w:sz w:val="22"/>
                <w:szCs w:val="24"/>
              </w:rPr>
              <w:t>0,06</w:t>
            </w:r>
          </w:p>
        </w:tc>
      </w:tr>
      <w:tr w:rsidR="00B63F37" w:rsidRPr="001E3EF7" w14:paraId="744A1F55" w14:textId="77777777" w:rsidTr="00610BA2">
        <w:tc>
          <w:tcPr>
            <w:tcW w:w="2100" w:type="dxa"/>
            <w:tcBorders>
              <w:top w:val="single" w:sz="6" w:space="0" w:color="000000"/>
              <w:left w:val="single" w:sz="6" w:space="0" w:color="000000"/>
              <w:bottom w:val="single" w:sz="6" w:space="0" w:color="000000"/>
              <w:right w:val="single" w:sz="6" w:space="0" w:color="000000"/>
            </w:tcBorders>
          </w:tcPr>
          <w:p w14:paraId="456EDFD7" w14:textId="77777777" w:rsidR="00B63F37" w:rsidRPr="008D7156" w:rsidRDefault="00B63F37" w:rsidP="00610BA2">
            <w:pPr>
              <w:jc w:val="center"/>
              <w:rPr>
                <w:sz w:val="22"/>
                <w:szCs w:val="24"/>
              </w:rPr>
            </w:pPr>
            <w:r w:rsidRPr="008D7156">
              <w:rPr>
                <w:sz w:val="22"/>
                <w:szCs w:val="24"/>
              </w:rPr>
              <w:t>1</w:t>
            </w:r>
          </w:p>
        </w:tc>
        <w:tc>
          <w:tcPr>
            <w:tcW w:w="2130" w:type="dxa"/>
            <w:tcBorders>
              <w:top w:val="single" w:sz="6" w:space="0" w:color="000000"/>
              <w:left w:val="single" w:sz="6" w:space="0" w:color="000000"/>
              <w:bottom w:val="single" w:sz="6" w:space="0" w:color="000000"/>
              <w:right w:val="single" w:sz="6" w:space="0" w:color="000000"/>
            </w:tcBorders>
          </w:tcPr>
          <w:p w14:paraId="498E0D3A" w14:textId="77777777" w:rsidR="00B63F37" w:rsidRPr="008D7156" w:rsidRDefault="00B63F37" w:rsidP="00610BA2">
            <w:pPr>
              <w:jc w:val="center"/>
              <w:rPr>
                <w:sz w:val="22"/>
                <w:szCs w:val="24"/>
              </w:rPr>
            </w:pPr>
            <w:r w:rsidRPr="008D7156">
              <w:rPr>
                <w:sz w:val="22"/>
                <w:szCs w:val="24"/>
              </w:rPr>
              <w:t>Низкий</w:t>
            </w:r>
          </w:p>
        </w:tc>
        <w:tc>
          <w:tcPr>
            <w:tcW w:w="2325" w:type="dxa"/>
            <w:gridSpan w:val="2"/>
            <w:tcBorders>
              <w:top w:val="single" w:sz="6" w:space="0" w:color="000000"/>
              <w:left w:val="single" w:sz="6" w:space="0" w:color="000000"/>
              <w:bottom w:val="single" w:sz="6" w:space="0" w:color="000000"/>
              <w:right w:val="single" w:sz="6" w:space="0" w:color="000000"/>
            </w:tcBorders>
          </w:tcPr>
          <w:p w14:paraId="699E46E7" w14:textId="77777777" w:rsidR="00B63F37" w:rsidRPr="008D7156" w:rsidRDefault="00B63F37" w:rsidP="00610BA2">
            <w:pPr>
              <w:jc w:val="center"/>
              <w:rPr>
                <w:sz w:val="22"/>
                <w:szCs w:val="24"/>
              </w:rPr>
            </w:pPr>
            <w:r w:rsidRPr="008D7156">
              <w:rPr>
                <w:sz w:val="22"/>
                <w:szCs w:val="24"/>
              </w:rPr>
              <w:t>72</w:t>
            </w:r>
          </w:p>
        </w:tc>
        <w:tc>
          <w:tcPr>
            <w:tcW w:w="1410" w:type="dxa"/>
            <w:gridSpan w:val="2"/>
            <w:tcBorders>
              <w:top w:val="single" w:sz="6" w:space="0" w:color="000000"/>
              <w:left w:val="single" w:sz="6" w:space="0" w:color="000000"/>
              <w:bottom w:val="single" w:sz="6" w:space="0" w:color="000000"/>
              <w:right w:val="single" w:sz="6" w:space="0" w:color="000000"/>
            </w:tcBorders>
          </w:tcPr>
          <w:p w14:paraId="78130E24" w14:textId="77777777" w:rsidR="00B63F37" w:rsidRPr="008D7156" w:rsidRDefault="00B63F37" w:rsidP="00610BA2">
            <w:pPr>
              <w:jc w:val="center"/>
              <w:rPr>
                <w:sz w:val="22"/>
                <w:szCs w:val="24"/>
              </w:rPr>
            </w:pPr>
            <w:r w:rsidRPr="008D7156">
              <w:rPr>
                <w:sz w:val="22"/>
                <w:szCs w:val="24"/>
              </w:rPr>
              <w:t>0,11</w:t>
            </w:r>
          </w:p>
        </w:tc>
        <w:tc>
          <w:tcPr>
            <w:tcW w:w="1395" w:type="dxa"/>
            <w:tcBorders>
              <w:top w:val="single" w:sz="6" w:space="0" w:color="000000"/>
              <w:left w:val="single" w:sz="6" w:space="0" w:color="000000"/>
              <w:bottom w:val="single" w:sz="6" w:space="0" w:color="000000"/>
              <w:right w:val="single" w:sz="6" w:space="0" w:color="000000"/>
            </w:tcBorders>
          </w:tcPr>
          <w:p w14:paraId="0E126F72" w14:textId="77777777" w:rsidR="00B63F37" w:rsidRPr="008D7156" w:rsidRDefault="00B63F37" w:rsidP="00610BA2">
            <w:pPr>
              <w:jc w:val="center"/>
              <w:rPr>
                <w:sz w:val="22"/>
                <w:szCs w:val="24"/>
              </w:rPr>
            </w:pPr>
            <w:r w:rsidRPr="008D7156">
              <w:rPr>
                <w:sz w:val="22"/>
                <w:szCs w:val="24"/>
              </w:rPr>
              <w:t>0,24</w:t>
            </w:r>
          </w:p>
        </w:tc>
      </w:tr>
      <w:tr w:rsidR="00B63F37" w:rsidRPr="001E3EF7" w14:paraId="65745C65" w14:textId="77777777" w:rsidTr="00610BA2">
        <w:tc>
          <w:tcPr>
            <w:tcW w:w="2100" w:type="dxa"/>
            <w:tcBorders>
              <w:top w:val="single" w:sz="6" w:space="0" w:color="000000"/>
              <w:left w:val="single" w:sz="6" w:space="0" w:color="000000"/>
              <w:bottom w:val="single" w:sz="6" w:space="0" w:color="000000"/>
              <w:right w:val="single" w:sz="6" w:space="0" w:color="000000"/>
            </w:tcBorders>
          </w:tcPr>
          <w:p w14:paraId="5AA1058D" w14:textId="77777777" w:rsidR="00B63F37" w:rsidRPr="008D7156" w:rsidRDefault="00B63F37" w:rsidP="00610BA2">
            <w:pPr>
              <w:jc w:val="center"/>
              <w:rPr>
                <w:sz w:val="22"/>
                <w:szCs w:val="24"/>
              </w:rPr>
            </w:pPr>
            <w:r w:rsidRPr="008D7156">
              <w:rPr>
                <w:sz w:val="22"/>
                <w:szCs w:val="24"/>
              </w:rPr>
              <w:t>2</w:t>
            </w:r>
          </w:p>
        </w:tc>
        <w:tc>
          <w:tcPr>
            <w:tcW w:w="2130" w:type="dxa"/>
            <w:tcBorders>
              <w:top w:val="single" w:sz="6" w:space="0" w:color="000000"/>
              <w:left w:val="single" w:sz="6" w:space="0" w:color="000000"/>
              <w:bottom w:val="single" w:sz="6" w:space="0" w:color="000000"/>
              <w:right w:val="single" w:sz="6" w:space="0" w:color="000000"/>
            </w:tcBorders>
          </w:tcPr>
          <w:p w14:paraId="6E5ECDDC" w14:textId="77777777" w:rsidR="00B63F37" w:rsidRPr="008D7156" w:rsidRDefault="00B63F37" w:rsidP="00610BA2">
            <w:pPr>
              <w:jc w:val="center"/>
              <w:rPr>
                <w:sz w:val="22"/>
                <w:szCs w:val="24"/>
              </w:rPr>
            </w:pPr>
            <w:r w:rsidRPr="008D7156">
              <w:rPr>
                <w:sz w:val="22"/>
                <w:szCs w:val="24"/>
              </w:rPr>
              <w:t>Промежуточный</w:t>
            </w:r>
          </w:p>
        </w:tc>
        <w:tc>
          <w:tcPr>
            <w:tcW w:w="2325" w:type="dxa"/>
            <w:gridSpan w:val="2"/>
            <w:tcBorders>
              <w:top w:val="single" w:sz="6" w:space="0" w:color="000000"/>
              <w:left w:val="single" w:sz="6" w:space="0" w:color="000000"/>
              <w:bottom w:val="single" w:sz="6" w:space="0" w:color="000000"/>
              <w:right w:val="single" w:sz="6" w:space="0" w:color="000000"/>
            </w:tcBorders>
          </w:tcPr>
          <w:p w14:paraId="460C5061" w14:textId="77777777" w:rsidR="00B63F37" w:rsidRPr="008D7156" w:rsidRDefault="00B63F37" w:rsidP="00610BA2">
            <w:pPr>
              <w:jc w:val="center"/>
              <w:rPr>
                <w:sz w:val="22"/>
                <w:szCs w:val="24"/>
              </w:rPr>
            </w:pPr>
            <w:r w:rsidRPr="008D7156">
              <w:rPr>
                <w:sz w:val="22"/>
                <w:szCs w:val="24"/>
              </w:rPr>
              <w:t>40</w:t>
            </w:r>
          </w:p>
        </w:tc>
        <w:tc>
          <w:tcPr>
            <w:tcW w:w="1410" w:type="dxa"/>
            <w:gridSpan w:val="2"/>
            <w:tcBorders>
              <w:top w:val="single" w:sz="6" w:space="0" w:color="000000"/>
              <w:left w:val="single" w:sz="6" w:space="0" w:color="000000"/>
              <w:bottom w:val="single" w:sz="6" w:space="0" w:color="000000"/>
              <w:right w:val="single" w:sz="6" w:space="0" w:color="000000"/>
            </w:tcBorders>
          </w:tcPr>
          <w:p w14:paraId="617482F6" w14:textId="77777777" w:rsidR="00B63F37" w:rsidRPr="008D7156" w:rsidRDefault="00B63F37" w:rsidP="00610BA2">
            <w:pPr>
              <w:jc w:val="center"/>
              <w:rPr>
                <w:sz w:val="22"/>
                <w:szCs w:val="24"/>
              </w:rPr>
            </w:pPr>
            <w:r w:rsidRPr="008D7156">
              <w:rPr>
                <w:sz w:val="22"/>
                <w:szCs w:val="24"/>
              </w:rPr>
              <w:t>0,28</w:t>
            </w:r>
          </w:p>
        </w:tc>
        <w:tc>
          <w:tcPr>
            <w:tcW w:w="1395" w:type="dxa"/>
            <w:tcBorders>
              <w:top w:val="single" w:sz="6" w:space="0" w:color="000000"/>
              <w:left w:val="single" w:sz="6" w:space="0" w:color="000000"/>
              <w:bottom w:val="single" w:sz="6" w:space="0" w:color="000000"/>
              <w:right w:val="single" w:sz="6" w:space="0" w:color="000000"/>
            </w:tcBorders>
          </w:tcPr>
          <w:p w14:paraId="4DD0FC85" w14:textId="77777777" w:rsidR="00B63F37" w:rsidRPr="008D7156" w:rsidRDefault="00B63F37" w:rsidP="00610BA2">
            <w:pPr>
              <w:jc w:val="center"/>
              <w:rPr>
                <w:sz w:val="22"/>
                <w:szCs w:val="24"/>
              </w:rPr>
            </w:pPr>
            <w:r w:rsidRPr="008D7156">
              <w:rPr>
                <w:sz w:val="22"/>
                <w:szCs w:val="24"/>
              </w:rPr>
              <w:t>0,48</w:t>
            </w:r>
          </w:p>
        </w:tc>
      </w:tr>
      <w:tr w:rsidR="00B63F37" w:rsidRPr="001E3EF7" w14:paraId="14425125" w14:textId="77777777" w:rsidTr="00610BA2">
        <w:tc>
          <w:tcPr>
            <w:tcW w:w="2100" w:type="dxa"/>
            <w:tcBorders>
              <w:top w:val="single" w:sz="6" w:space="0" w:color="000000"/>
              <w:left w:val="single" w:sz="6" w:space="0" w:color="000000"/>
              <w:bottom w:val="single" w:sz="6" w:space="0" w:color="000000"/>
              <w:right w:val="single" w:sz="6" w:space="0" w:color="000000"/>
            </w:tcBorders>
          </w:tcPr>
          <w:p w14:paraId="3C0985FA" w14:textId="77777777" w:rsidR="00B63F37" w:rsidRPr="008D7156" w:rsidRDefault="00B63F37" w:rsidP="00610BA2">
            <w:pPr>
              <w:jc w:val="center"/>
              <w:rPr>
                <w:sz w:val="22"/>
                <w:szCs w:val="24"/>
              </w:rPr>
            </w:pPr>
            <w:r w:rsidRPr="008D7156">
              <w:rPr>
                <w:sz w:val="22"/>
                <w:szCs w:val="24"/>
              </w:rPr>
              <w:t>3–4</w:t>
            </w:r>
          </w:p>
        </w:tc>
        <w:tc>
          <w:tcPr>
            <w:tcW w:w="2130" w:type="dxa"/>
            <w:tcBorders>
              <w:top w:val="single" w:sz="6" w:space="0" w:color="000000"/>
              <w:left w:val="single" w:sz="6" w:space="0" w:color="000000"/>
              <w:bottom w:val="single" w:sz="6" w:space="0" w:color="000000"/>
              <w:right w:val="single" w:sz="6" w:space="0" w:color="000000"/>
            </w:tcBorders>
          </w:tcPr>
          <w:p w14:paraId="5465A841" w14:textId="77777777" w:rsidR="00B63F37" w:rsidRPr="008D7156" w:rsidRDefault="00B63F37" w:rsidP="00610BA2">
            <w:pPr>
              <w:jc w:val="center"/>
              <w:rPr>
                <w:sz w:val="22"/>
                <w:szCs w:val="24"/>
              </w:rPr>
            </w:pPr>
            <w:r w:rsidRPr="008D7156">
              <w:rPr>
                <w:sz w:val="22"/>
                <w:szCs w:val="24"/>
              </w:rPr>
              <w:t>Высокий</w:t>
            </w:r>
          </w:p>
        </w:tc>
        <w:tc>
          <w:tcPr>
            <w:tcW w:w="2325" w:type="dxa"/>
            <w:gridSpan w:val="2"/>
            <w:tcBorders>
              <w:top w:val="single" w:sz="6" w:space="0" w:color="000000"/>
              <w:left w:val="single" w:sz="6" w:space="0" w:color="000000"/>
              <w:bottom w:val="single" w:sz="6" w:space="0" w:color="000000"/>
              <w:right w:val="single" w:sz="6" w:space="0" w:color="000000"/>
            </w:tcBorders>
          </w:tcPr>
          <w:p w14:paraId="5AF496AF" w14:textId="77777777" w:rsidR="00B63F37" w:rsidRPr="008D7156" w:rsidRDefault="00B63F37" w:rsidP="00610BA2">
            <w:pPr>
              <w:jc w:val="center"/>
              <w:rPr>
                <w:sz w:val="22"/>
                <w:szCs w:val="24"/>
              </w:rPr>
            </w:pPr>
            <w:r w:rsidRPr="008D7156">
              <w:rPr>
                <w:sz w:val="22"/>
                <w:szCs w:val="24"/>
              </w:rPr>
              <w:t>21</w:t>
            </w:r>
          </w:p>
        </w:tc>
        <w:tc>
          <w:tcPr>
            <w:tcW w:w="1410" w:type="dxa"/>
            <w:gridSpan w:val="2"/>
            <w:tcBorders>
              <w:top w:val="single" w:sz="6" w:space="0" w:color="000000"/>
              <w:left w:val="single" w:sz="6" w:space="0" w:color="000000"/>
              <w:bottom w:val="single" w:sz="6" w:space="0" w:color="000000"/>
              <w:right w:val="single" w:sz="6" w:space="0" w:color="000000"/>
            </w:tcBorders>
          </w:tcPr>
          <w:p w14:paraId="7445A5F1" w14:textId="77777777" w:rsidR="00B63F37" w:rsidRPr="008D7156" w:rsidRDefault="00B63F37" w:rsidP="00610BA2">
            <w:pPr>
              <w:jc w:val="center"/>
              <w:rPr>
                <w:sz w:val="22"/>
                <w:szCs w:val="24"/>
              </w:rPr>
            </w:pPr>
            <w:r w:rsidRPr="008D7156">
              <w:rPr>
                <w:sz w:val="22"/>
                <w:szCs w:val="24"/>
              </w:rPr>
              <w:t>0,52</w:t>
            </w:r>
          </w:p>
        </w:tc>
        <w:tc>
          <w:tcPr>
            <w:tcW w:w="1395" w:type="dxa"/>
            <w:tcBorders>
              <w:top w:val="single" w:sz="6" w:space="0" w:color="000000"/>
              <w:left w:val="single" w:sz="6" w:space="0" w:color="000000"/>
              <w:bottom w:val="single" w:sz="6" w:space="0" w:color="000000"/>
              <w:right w:val="single" w:sz="6" w:space="0" w:color="000000"/>
            </w:tcBorders>
          </w:tcPr>
          <w:p w14:paraId="2EFBFDBF" w14:textId="77777777" w:rsidR="00B63F37" w:rsidRPr="008D7156" w:rsidRDefault="00B63F37" w:rsidP="00610BA2">
            <w:pPr>
              <w:jc w:val="center"/>
              <w:rPr>
                <w:sz w:val="22"/>
                <w:szCs w:val="24"/>
              </w:rPr>
            </w:pPr>
            <w:r w:rsidRPr="008D7156">
              <w:rPr>
                <w:sz w:val="22"/>
                <w:szCs w:val="24"/>
              </w:rPr>
              <w:t>0,63</w:t>
            </w:r>
          </w:p>
        </w:tc>
      </w:tr>
      <w:tr w:rsidR="00B63F37" w:rsidRPr="001E3EF7" w14:paraId="37C49CB2" w14:textId="77777777" w:rsidTr="00610BA2">
        <w:tc>
          <w:tcPr>
            <w:tcW w:w="2100" w:type="dxa"/>
            <w:tcBorders>
              <w:top w:val="single" w:sz="6" w:space="0" w:color="000000"/>
              <w:left w:val="single" w:sz="6" w:space="0" w:color="000000"/>
              <w:bottom w:val="single" w:sz="6" w:space="0" w:color="000000"/>
              <w:right w:val="single" w:sz="6" w:space="0" w:color="000000"/>
            </w:tcBorders>
          </w:tcPr>
          <w:p w14:paraId="4F2FBA3A" w14:textId="77777777" w:rsidR="00B63F37" w:rsidRPr="008D7156" w:rsidRDefault="00B63F37" w:rsidP="00610BA2">
            <w:pPr>
              <w:jc w:val="center"/>
              <w:rPr>
                <w:sz w:val="22"/>
                <w:szCs w:val="24"/>
              </w:rPr>
            </w:pPr>
            <w:r w:rsidRPr="008D7156">
              <w:rPr>
                <w:sz w:val="22"/>
                <w:szCs w:val="24"/>
              </w:rPr>
              <w:t>5–6</w:t>
            </w:r>
          </w:p>
        </w:tc>
        <w:tc>
          <w:tcPr>
            <w:tcW w:w="2130" w:type="dxa"/>
            <w:tcBorders>
              <w:top w:val="single" w:sz="6" w:space="0" w:color="000000"/>
              <w:left w:val="single" w:sz="6" w:space="0" w:color="000000"/>
              <w:bottom w:val="single" w:sz="6" w:space="0" w:color="000000"/>
              <w:right w:val="single" w:sz="6" w:space="0" w:color="000000"/>
            </w:tcBorders>
          </w:tcPr>
          <w:p w14:paraId="75082F57" w14:textId="77777777" w:rsidR="00B63F37" w:rsidRPr="008D7156" w:rsidRDefault="00B63F37" w:rsidP="00610BA2">
            <w:pPr>
              <w:jc w:val="center"/>
              <w:rPr>
                <w:sz w:val="22"/>
                <w:szCs w:val="24"/>
              </w:rPr>
            </w:pPr>
            <w:r w:rsidRPr="008D7156">
              <w:rPr>
                <w:sz w:val="22"/>
                <w:szCs w:val="24"/>
              </w:rPr>
              <w:t>Очень высокий</w:t>
            </w:r>
          </w:p>
        </w:tc>
        <w:tc>
          <w:tcPr>
            <w:tcW w:w="2325" w:type="dxa"/>
            <w:gridSpan w:val="2"/>
            <w:tcBorders>
              <w:top w:val="single" w:sz="6" w:space="0" w:color="000000"/>
              <w:left w:val="single" w:sz="6" w:space="0" w:color="000000"/>
              <w:bottom w:val="single" w:sz="6" w:space="0" w:color="000000"/>
              <w:right w:val="single" w:sz="6" w:space="0" w:color="000000"/>
            </w:tcBorders>
            <w:vAlign w:val="center"/>
          </w:tcPr>
          <w:p w14:paraId="560D0880" w14:textId="77777777" w:rsidR="00B63F37" w:rsidRPr="008D7156" w:rsidRDefault="00B63F37" w:rsidP="00610BA2">
            <w:pPr>
              <w:jc w:val="center"/>
              <w:rPr>
                <w:sz w:val="22"/>
                <w:szCs w:val="24"/>
              </w:rPr>
            </w:pPr>
            <w:r w:rsidRPr="008D7156">
              <w:rPr>
                <w:sz w:val="22"/>
                <w:szCs w:val="24"/>
              </w:rPr>
              <w:t>12</w:t>
            </w:r>
          </w:p>
        </w:tc>
        <w:tc>
          <w:tcPr>
            <w:tcW w:w="1410" w:type="dxa"/>
            <w:gridSpan w:val="2"/>
            <w:tcBorders>
              <w:top w:val="single" w:sz="6" w:space="0" w:color="000000"/>
              <w:left w:val="single" w:sz="6" w:space="0" w:color="000000"/>
              <w:bottom w:val="single" w:sz="6" w:space="0" w:color="000000"/>
              <w:right w:val="single" w:sz="6" w:space="0" w:color="000000"/>
            </w:tcBorders>
            <w:vAlign w:val="center"/>
          </w:tcPr>
          <w:p w14:paraId="4D0C05EB" w14:textId="77777777" w:rsidR="00B63F37" w:rsidRPr="008D7156" w:rsidRDefault="00B63F37" w:rsidP="00610BA2">
            <w:pPr>
              <w:jc w:val="center"/>
              <w:rPr>
                <w:sz w:val="22"/>
                <w:szCs w:val="24"/>
              </w:rPr>
            </w:pPr>
            <w:r w:rsidRPr="008D7156">
              <w:rPr>
                <w:sz w:val="22"/>
                <w:szCs w:val="24"/>
              </w:rPr>
              <w:t>0,79</w:t>
            </w:r>
          </w:p>
        </w:tc>
        <w:tc>
          <w:tcPr>
            <w:tcW w:w="1395" w:type="dxa"/>
            <w:tcBorders>
              <w:top w:val="single" w:sz="6" w:space="0" w:color="000000"/>
              <w:left w:val="single" w:sz="6" w:space="0" w:color="000000"/>
              <w:bottom w:val="single" w:sz="6" w:space="0" w:color="000000"/>
              <w:right w:val="single" w:sz="6" w:space="0" w:color="000000"/>
            </w:tcBorders>
            <w:vAlign w:val="center"/>
          </w:tcPr>
          <w:p w14:paraId="614BE608" w14:textId="77777777" w:rsidR="00B63F37" w:rsidRPr="008D7156" w:rsidRDefault="00B63F37" w:rsidP="00610BA2">
            <w:pPr>
              <w:jc w:val="center"/>
              <w:rPr>
                <w:sz w:val="22"/>
                <w:szCs w:val="24"/>
              </w:rPr>
            </w:pPr>
            <w:r w:rsidRPr="008D7156">
              <w:rPr>
                <w:sz w:val="22"/>
                <w:szCs w:val="24"/>
              </w:rPr>
              <w:t>1</w:t>
            </w:r>
          </w:p>
        </w:tc>
      </w:tr>
    </w:tbl>
    <w:p w14:paraId="0CBC1FB3" w14:textId="77777777" w:rsidR="00B63F37" w:rsidRPr="006A377C" w:rsidRDefault="00B63F37" w:rsidP="00B63F37">
      <w:pPr>
        <w:rPr>
          <w:b/>
          <w:szCs w:val="24"/>
        </w:rPr>
      </w:pPr>
    </w:p>
    <w:p w14:paraId="2818D0FF" w14:textId="77777777" w:rsidR="00B63F37" w:rsidRPr="006A377C" w:rsidRDefault="00B63F37" w:rsidP="00B63F37">
      <w:pPr>
        <w:rPr>
          <w:b/>
          <w:szCs w:val="24"/>
        </w:rPr>
      </w:pPr>
      <w:r w:rsidRPr="006A377C">
        <w:rPr>
          <w:b/>
          <w:szCs w:val="24"/>
        </w:rPr>
        <w:t>Примечания:</w:t>
      </w:r>
    </w:p>
    <w:p w14:paraId="5B169E9A" w14:textId="77777777" w:rsidR="00B63F37" w:rsidRPr="006A377C" w:rsidRDefault="00B63F37" w:rsidP="005F2F2B">
      <w:pPr>
        <w:pStyle w:val="aff"/>
        <w:numPr>
          <w:ilvl w:val="0"/>
          <w:numId w:val="7"/>
        </w:numPr>
        <w:rPr>
          <w:szCs w:val="24"/>
        </w:rPr>
      </w:pPr>
      <w:r w:rsidRPr="006A377C">
        <w:rPr>
          <w:b/>
          <w:szCs w:val="24"/>
        </w:rPr>
        <w:t xml:space="preserve">Морфологические варианты по ВОЗ: </w:t>
      </w:r>
      <w:r w:rsidRPr="006A377C">
        <w:rPr>
          <w:szCs w:val="24"/>
        </w:rPr>
        <w:t>РА – рефрактерная анемия; РАКС – рефрактерная анемия с кольцевыми сидеробластами; 5q–синдром – МДС с изолированной делецией 5q; РЦМД – рефрактерная цитопения с мультилинейной дисплазией; РАИБ-1 – рефрактерная анемия с избытком бластов 1 и РАИБ-2 – рефрактерная анемия с избытком бластов-2.</w:t>
      </w:r>
    </w:p>
    <w:p w14:paraId="0DCF5D3B" w14:textId="77777777" w:rsidR="00B63F37" w:rsidRPr="006A377C" w:rsidRDefault="00B63F37" w:rsidP="005F2F2B">
      <w:pPr>
        <w:pStyle w:val="aff"/>
        <w:numPr>
          <w:ilvl w:val="0"/>
          <w:numId w:val="7"/>
        </w:numPr>
        <w:rPr>
          <w:szCs w:val="24"/>
        </w:rPr>
      </w:pPr>
      <w:r w:rsidRPr="006A377C">
        <w:rPr>
          <w:b/>
          <w:szCs w:val="24"/>
        </w:rPr>
        <w:t>Кариотип</w:t>
      </w:r>
      <w:r w:rsidRPr="006A377C">
        <w:rPr>
          <w:szCs w:val="24"/>
        </w:rPr>
        <w:t>: хороший – нормальный, –Y, del(5q), del(20q); плохой – комплексные аномалии ≥3 аберраций и любые изменения 7-й хромосомы; промежуточный – все другие аномалии кариотипа.</w:t>
      </w:r>
    </w:p>
    <w:p w14:paraId="67384765" w14:textId="77777777" w:rsidR="00B63F37" w:rsidRPr="006A377C" w:rsidRDefault="00B63F37" w:rsidP="005F2F2B">
      <w:pPr>
        <w:pStyle w:val="aff"/>
        <w:numPr>
          <w:ilvl w:val="0"/>
          <w:numId w:val="7"/>
        </w:numPr>
        <w:rPr>
          <w:szCs w:val="24"/>
        </w:rPr>
      </w:pPr>
      <w:r w:rsidRPr="006A377C">
        <w:rPr>
          <w:b/>
          <w:szCs w:val="24"/>
        </w:rPr>
        <w:t xml:space="preserve">Трансфузионная зависимость (регулярная) </w:t>
      </w:r>
      <w:r w:rsidRPr="006A377C">
        <w:rPr>
          <w:szCs w:val="24"/>
        </w:rPr>
        <w:t xml:space="preserve">– это минимум одна трансфузия донорских эритроцитов каждые 8 недель на протяжении 4 месяцев </w:t>
      </w:r>
      <w:r w:rsidRPr="006A377C">
        <w:rPr>
          <w:szCs w:val="24"/>
        </w:rPr>
        <w:fldChar w:fldCharType="begin" w:fldLock="1"/>
      </w:r>
      <w:r w:rsidRPr="006A377C">
        <w:rPr>
          <w:szCs w:val="24"/>
        </w:rPr>
        <w:instrText>ADDIN CSL_CITATION {"citationItems":[{"id":"ITEM-1","itemData":{"author":[{"dropping-particle":"","family":"Greenberg","given":"P.L.","non-dropping-particle":"","parse-names":false,"suffix":""},{"dropping-particle":"","family":"Stone","given":"Richard M.","non-dropping-particle":"","parse-names":false,"suffix":""},{"dropping-particle":"","family":"Al-Kali","given":"Aref","non-dropping-particle":"","parse-names":false,"suffix":""},{"dropping-particle":"","family":"Bejar","given":"Rafael","non-dropping-particle":"","parse-names":false,"suffix":""},{"dropping-particle":"","family":"Bennett","given":"John M.","non-dropping-particle":"","parse-names":false,"suffix":""}],"id":"ITEM-1","issued":{"date-parts":[["2019"]]},"title":"NCCN Clinical Practice Guidelines in Oncology. Myelodysplastic syndromes","type":"article"},"uris":["http://www.mendeley.com/documents/?uuid=42bd97a2-0774-4214-9691-f403cd4a21df"]}],"mendeley":{"formattedCitation":"[5]","plainTextFormattedCitation":"[5]","previouslyFormattedCitation":"[5]"},"properties":{"noteIndex":0},"schema":"https://github.com/citation-style-language/schema/raw/master/csl-citation.json"}</w:instrText>
      </w:r>
      <w:r w:rsidRPr="006A377C">
        <w:rPr>
          <w:szCs w:val="24"/>
        </w:rPr>
        <w:fldChar w:fldCharType="separate"/>
      </w:r>
      <w:r w:rsidRPr="006A377C">
        <w:rPr>
          <w:noProof/>
          <w:szCs w:val="24"/>
        </w:rPr>
        <w:t>[5]</w:t>
      </w:r>
      <w:r w:rsidRPr="006A377C">
        <w:rPr>
          <w:szCs w:val="24"/>
        </w:rPr>
        <w:fldChar w:fldCharType="end"/>
      </w:r>
    </w:p>
    <w:p w14:paraId="7517D8E9" w14:textId="77777777" w:rsidR="00B63F37" w:rsidRPr="006A377C" w:rsidRDefault="00B63F37" w:rsidP="00B63F37">
      <w:pPr>
        <w:ind w:firstLine="709"/>
        <w:rPr>
          <w:szCs w:val="24"/>
        </w:rPr>
      </w:pPr>
      <w:r w:rsidRPr="006A377C">
        <w:rPr>
          <w:szCs w:val="24"/>
        </w:rPr>
        <w:lastRenderedPageBreak/>
        <w:t xml:space="preserve">Относительно недавно Международная рабочая группа по прогнозированию МДС, проанализировав отдаленные результаты большого многоцентрового исследования по первичным пациентам с МДС, пересмотрела систему IPSS. В работе было проанализирована прогностическая значимость большого количества даже весьма редких аномалий кариотипа, что позволило классифицировать их на 5 цитогенетических групп риска. В конечном виде пересмотренная прогностическая балльная система (IPSS-R) позволяет классифицировать заболевание на 5 прогностических групп, точно учитывая кариотип, количество бластных клеток и тяжесть отдельных цитопений (табл. 3) </w:t>
      </w:r>
      <w:r w:rsidRPr="006A377C">
        <w:rPr>
          <w:szCs w:val="24"/>
          <w:lang w:val="en-US"/>
        </w:rPr>
        <w:fldChar w:fldCharType="begin" w:fldLock="1"/>
      </w:r>
      <w:r w:rsidR="00AE1E12">
        <w:rPr>
          <w:szCs w:val="24"/>
          <w:lang w:val="en-US"/>
        </w:rPr>
        <w:instrText>ADDIN CSL_CITATION {"citationItems":[{"id":"ITEM-1","itemData":{"DOI":"10.1182/blood-2012-03-420489","ISSN":"00064971","abstract":"The International Prognostic Scoring Sytem (IPSS) is an important standard for ssessing prognosis of primary untreated adult patients with myelodysplastic syndromes (MDS). To refine the IPSS, MDS patient databases from international institutions were coalesced to assemble a much larger combined database (Revised-IPSS [IPSS-R], n = 7012, IPSS, n = 816) for analysis. Multiple statistically weighted clinical features were used to generate a prognostic categorization model. Bone marrow cytogenetics, marrow blast percentage, and cytopenias remained the basis of the new system. Novel components of the current analysis included: 5 rather than 3 cytogenetic prognostic subgroups with specific and new classifications of a number of less common cytogenetic subsets, splitting the low marrow blast percentage value, and depth of cytopenias. This model defined 5 rather than the 4 major prognostic categories that are present in the IPSS. Patient age, performance status, serum ferritin, and lactate dehydrogenase were significant additive features for survival but not for acute myeloid leukemia transformation. This system comprehensively integrated the numerous known clinical features into a method analyzing MDS patient prognosis more precisely than the initial IPSS. As such, this IPSS-R should prove beneficial for predicting the clinical outcomes of untreated MDS patients and aiding design and analysis of clinical trials in this disease. © 2012 by The American Society of Hematology.","author":[{"dropping-particle":"","family":"Greenberg","given":"Peter L.","non-dropping-particle":"","parse-names":false,"suffix":""},{"dropping-particle":"","family":"Tuechler","given":"Heinz","non-dropping-particle":"","parse-names":false,"suffix":""},{"dropping-particle":"","family":"Schanz","given":"Julie","non-dropping-particle":"","parse-names":false,"suffix":""},{"dropping-particle":"","family":"Sanz","given":"Guillermo","non-dropping-particle":"","parse-names":false,"suffix":""},{"dropping-particle":"","family":"Garcia-Manero","given":"Guillermo","non-dropping-particle":"","parse-names":false,"suffix":""},{"dropping-particle":"","family":"Solé","given":"Francesc","non-dropping-particle":"","parse-names":false,"suffix":""},{"dropping-particle":"","family":"Bennett","given":"John M.","non-dropping-particle":"","parse-names":false,"suffix":""},{"dropping-particle":"","family":"Bowen","given":"David","non-dropping-particle":"","parse-names":false,"suffix":""},{"dropping-particle":"","family":"Fenaux","given":"Pierre","non-dropping-particle":"","parse-names":false,"suffix":""},{"dropping-particle":"","family":"Dreyfus","given":"Francois","non-dropping-particle":"","parse-names":false,"suffix":""},{"dropping-particle":"","family":"Kantarjian","given":"Hagop","non-dropping-particle":"","parse-names":false,"suffix":""},{"dropping-particle":"","family":"Kuendgen","given":"Andrea","non-dropping-particle":"","parse-names":false,"suffix":""},{"dropping-particle":"","family":"Levis","given":"Alessandro","non-dropping-particle":"","parse-names":false,"suffix":""},{"dropping-particle":"","family":"Malcovati","given":"Luca","non-dropping-particle":"","parse-names":false,"suffix":""},{"dropping-particle":"","family":"Cazzola","given":"Mario","non-dropping-particle":"","parse-names":false,"suffix":""},{"dropping-particle":"","family":"Cermak","given":"Jaroslav","non-dropping-particle":"","parse-names":false,"suffix":""},{"dropping-particle":"","family":"Fonatsch","given":"Christa","non-dropping-particle":"","parse-names":false,"suffix":""},{"dropping-particle":"","family":"Beau","given":"Michelle M.","non-dropping-particle":"Le","parse-names":false,"suffix":""},{"dropping-particle":"","family":"Slovak","given":"Marilyn L.","non-dropping-particle":"","parse-names":false,"suffix":""},{"dropping-particle":"","family":"Krieger","given":"Otto","non-dropping-particle":"","parse-names":false,"suffix":""},{"dropping-particle":"","family":"Luebbert","given":"Michael","non-dropping-particle":"","parse-names":false,"suffix":""},{"dropping-particle":"","family":"Maciejewski","given":"Jaroslaw","non-dropping-particle":"","parse-names":false,"suffix":""},{"dropping-particle":"","family":"Magalhaes","given":"Silvia M.M.","non-dropping-particle":"","parse-names":false,"suffix":""},{"dropping-particle":"","family":"Miyazaki","given":"Yasushi","non-dropping-particle":"","parse-names":false,"suffix":""},{"dropping-particle":"","family":"Pfeilstöcker","given":"Michael","non-dropping-particle":"","parse-names":false,"suffix":""},{"dropping-particle":"","family":"Sekeres","given":"Mikkael","non-dropping-particle":"","parse-names":false,"suffix":""},{"dropping-particle":"","family":"Sperr","given":"Wolfgang R.","non-dropping-particle":"","parse-names":false,"suffix":""},{"dropping-particle":"","family":"Stauder","given":"Reinhard","non-dropping-particle":"","parse-names":false,"suffix":""},{"dropping-particle":"","family":"Tauro","given":"Sudhir","non-dropping-particle":"","parse-names":false,"suffix":""},{"dropping-particle":"","family":"Valent","given":"Peter","non-dropping-particle":"","parse-names":false,"suffix":""},{"dropping-particle":"","family":"Vallespi","given":"Teresa","non-dropping-particle":"","parse-names":false,"suffix":""},{"dropping-particle":"","family":"Loosdrecht","given":"Arjan A.","non-dropping-particle":"Van De","parse-names":false,"suffix":""},{"dropping-particle":"","family":"Germing","given":"Ulrich","non-dropping-particle":"","parse-names":false,"suffix":""},{"dropping-particle":"","family":"Haase","given":"Detlef","non-dropping-particle":"","parse-names":false,"suffix":""}],"container-title":"Blood","id":"ITEM-1","issue":"12","issued":{"date-parts":[["2012","9","20"]]},"page":"2454-2465","title":"Revised international prognostic scoring system for myelodysplastic syndromes","type":"article-journal","volume":"120"},"uris":["http://www.mendeley.com/documents/?uuid=b1c72144-0abd-346f-8404-90758124c8d4"]}],"mendeley":{"formattedCitation":"[30]","plainTextFormattedCitation":"[30]","previouslyFormattedCitation":"[30]"},"properties":{"noteIndex":0},"schema":"https://github.com/citation-style-language/schema/raw/master/csl-citation.json"}</w:instrText>
      </w:r>
      <w:r w:rsidRPr="006A377C">
        <w:rPr>
          <w:szCs w:val="24"/>
          <w:lang w:val="en-US"/>
        </w:rPr>
        <w:fldChar w:fldCharType="separate"/>
      </w:r>
      <w:r w:rsidR="00AE1E12" w:rsidRPr="00AE1E12">
        <w:rPr>
          <w:noProof/>
          <w:szCs w:val="24"/>
          <w:lang w:val="en-US"/>
        </w:rPr>
        <w:t>[30]</w:t>
      </w:r>
      <w:r w:rsidRPr="006A377C">
        <w:rPr>
          <w:szCs w:val="24"/>
          <w:lang w:val="en-US"/>
        </w:rPr>
        <w:fldChar w:fldCharType="end"/>
      </w:r>
      <w:r w:rsidRPr="006A377C">
        <w:rPr>
          <w:szCs w:val="24"/>
        </w:rPr>
        <w:t>.</w:t>
      </w:r>
    </w:p>
    <w:p w14:paraId="2EE96013" w14:textId="77777777" w:rsidR="00B63F37" w:rsidRPr="006A377C" w:rsidRDefault="00B63F37" w:rsidP="00B63F37">
      <w:pPr>
        <w:rPr>
          <w:szCs w:val="24"/>
        </w:rPr>
      </w:pPr>
    </w:p>
    <w:p w14:paraId="4A179570" w14:textId="77777777" w:rsidR="00B63F37" w:rsidRPr="006A377C" w:rsidRDefault="00B63F37" w:rsidP="00B63F37">
      <w:pPr>
        <w:rPr>
          <w:szCs w:val="24"/>
        </w:rPr>
      </w:pPr>
      <w:r w:rsidRPr="006A377C">
        <w:rPr>
          <w:b/>
          <w:szCs w:val="24"/>
        </w:rPr>
        <w:t xml:space="preserve">Таблица 3. </w:t>
      </w:r>
      <w:r w:rsidRPr="006A377C">
        <w:rPr>
          <w:szCs w:val="24"/>
        </w:rPr>
        <w:t>Прогностическая шкала IPSS-R</w:t>
      </w:r>
    </w:p>
    <w:tbl>
      <w:tblPr>
        <w:tblW w:w="9506"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851"/>
        <w:gridCol w:w="992"/>
        <w:gridCol w:w="1276"/>
        <w:gridCol w:w="1582"/>
        <w:gridCol w:w="1020"/>
        <w:gridCol w:w="1737"/>
        <w:gridCol w:w="1048"/>
      </w:tblGrid>
      <w:tr w:rsidR="00B63F37" w:rsidRPr="001E3EF7" w14:paraId="049CD09D" w14:textId="77777777" w:rsidTr="00610BA2">
        <w:trPr>
          <w:trHeight w:val="525"/>
        </w:trPr>
        <w:tc>
          <w:tcPr>
            <w:tcW w:w="1851" w:type="dxa"/>
            <w:vMerge w:val="restart"/>
            <w:tcBorders>
              <w:top w:val="single" w:sz="6" w:space="0" w:color="000000"/>
              <w:left w:val="single" w:sz="6" w:space="0" w:color="000000"/>
              <w:bottom w:val="single" w:sz="6" w:space="0" w:color="000000"/>
              <w:right w:val="single" w:sz="6" w:space="0" w:color="000000"/>
            </w:tcBorders>
            <w:vAlign w:val="center"/>
          </w:tcPr>
          <w:p w14:paraId="05CCD00B" w14:textId="77777777" w:rsidR="00B63F37" w:rsidRPr="008D7156" w:rsidRDefault="00B63F37" w:rsidP="00610BA2">
            <w:pPr>
              <w:jc w:val="center"/>
              <w:rPr>
                <w:b/>
                <w:sz w:val="22"/>
                <w:szCs w:val="24"/>
              </w:rPr>
            </w:pPr>
            <w:r w:rsidRPr="008D7156">
              <w:rPr>
                <w:b/>
                <w:sz w:val="22"/>
                <w:szCs w:val="24"/>
              </w:rPr>
              <w:t>Параметры</w:t>
            </w:r>
          </w:p>
        </w:tc>
        <w:tc>
          <w:tcPr>
            <w:tcW w:w="7655" w:type="dxa"/>
            <w:gridSpan w:val="6"/>
            <w:tcBorders>
              <w:top w:val="single" w:sz="6" w:space="0" w:color="000000"/>
              <w:left w:val="single" w:sz="6" w:space="0" w:color="000000"/>
              <w:bottom w:val="single" w:sz="6" w:space="0" w:color="000000"/>
              <w:right w:val="single" w:sz="6" w:space="0" w:color="000000"/>
            </w:tcBorders>
          </w:tcPr>
          <w:p w14:paraId="1D55EE1F" w14:textId="77777777" w:rsidR="00B63F37" w:rsidRPr="008D7156" w:rsidRDefault="00B63F37" w:rsidP="00610BA2">
            <w:pPr>
              <w:jc w:val="center"/>
              <w:rPr>
                <w:b/>
                <w:sz w:val="22"/>
                <w:szCs w:val="24"/>
              </w:rPr>
            </w:pPr>
            <w:r w:rsidRPr="008D7156">
              <w:rPr>
                <w:b/>
                <w:sz w:val="22"/>
                <w:szCs w:val="24"/>
              </w:rPr>
              <w:t>Баллы</w:t>
            </w:r>
          </w:p>
        </w:tc>
      </w:tr>
      <w:tr w:rsidR="00B63F37" w:rsidRPr="001E3EF7" w14:paraId="0BF1861D" w14:textId="77777777" w:rsidTr="00610BA2">
        <w:trPr>
          <w:trHeight w:val="525"/>
        </w:trPr>
        <w:tc>
          <w:tcPr>
            <w:tcW w:w="1851" w:type="dxa"/>
            <w:vMerge/>
            <w:tcBorders>
              <w:top w:val="single" w:sz="6" w:space="0" w:color="000000"/>
              <w:left w:val="single" w:sz="6" w:space="0" w:color="000000"/>
              <w:bottom w:val="single" w:sz="6" w:space="0" w:color="000000"/>
              <w:right w:val="single" w:sz="6" w:space="0" w:color="000000"/>
            </w:tcBorders>
            <w:vAlign w:val="center"/>
          </w:tcPr>
          <w:p w14:paraId="0EFBD71A" w14:textId="77777777" w:rsidR="00B63F37" w:rsidRPr="008D7156" w:rsidRDefault="00B63F37" w:rsidP="00610BA2">
            <w:pPr>
              <w:rPr>
                <w:sz w:val="22"/>
                <w:szCs w:val="24"/>
              </w:rPr>
            </w:pPr>
          </w:p>
        </w:tc>
        <w:tc>
          <w:tcPr>
            <w:tcW w:w="992" w:type="dxa"/>
            <w:tcBorders>
              <w:top w:val="single" w:sz="6" w:space="0" w:color="000000"/>
              <w:left w:val="single" w:sz="6" w:space="0" w:color="000000"/>
              <w:bottom w:val="single" w:sz="6" w:space="0" w:color="000000"/>
              <w:right w:val="single" w:sz="6" w:space="0" w:color="000000"/>
            </w:tcBorders>
          </w:tcPr>
          <w:p w14:paraId="6E77BF88" w14:textId="77777777" w:rsidR="00B63F37" w:rsidRPr="008D7156" w:rsidRDefault="00B63F37" w:rsidP="00610BA2">
            <w:pPr>
              <w:jc w:val="center"/>
              <w:rPr>
                <w:sz w:val="22"/>
                <w:szCs w:val="24"/>
              </w:rPr>
            </w:pPr>
            <w:r w:rsidRPr="008D7156">
              <w:rPr>
                <w:sz w:val="22"/>
                <w:szCs w:val="24"/>
              </w:rPr>
              <w:t>0</w:t>
            </w:r>
          </w:p>
        </w:tc>
        <w:tc>
          <w:tcPr>
            <w:tcW w:w="1276" w:type="dxa"/>
            <w:tcBorders>
              <w:top w:val="single" w:sz="6" w:space="0" w:color="000000"/>
              <w:left w:val="single" w:sz="6" w:space="0" w:color="000000"/>
              <w:bottom w:val="single" w:sz="6" w:space="0" w:color="000000"/>
              <w:right w:val="single" w:sz="6" w:space="0" w:color="000000"/>
            </w:tcBorders>
          </w:tcPr>
          <w:p w14:paraId="02FBC25D" w14:textId="77777777" w:rsidR="00B63F37" w:rsidRPr="008D7156" w:rsidRDefault="00B63F37" w:rsidP="00610BA2">
            <w:pPr>
              <w:jc w:val="center"/>
              <w:rPr>
                <w:sz w:val="22"/>
                <w:szCs w:val="24"/>
              </w:rPr>
            </w:pPr>
            <w:r w:rsidRPr="008D7156">
              <w:rPr>
                <w:sz w:val="22"/>
                <w:szCs w:val="24"/>
              </w:rPr>
              <w:t>0,5</w:t>
            </w:r>
          </w:p>
        </w:tc>
        <w:tc>
          <w:tcPr>
            <w:tcW w:w="1582" w:type="dxa"/>
            <w:tcBorders>
              <w:top w:val="single" w:sz="6" w:space="0" w:color="000000"/>
              <w:left w:val="single" w:sz="6" w:space="0" w:color="000000"/>
              <w:bottom w:val="single" w:sz="6" w:space="0" w:color="000000"/>
              <w:right w:val="single" w:sz="6" w:space="0" w:color="000000"/>
            </w:tcBorders>
          </w:tcPr>
          <w:p w14:paraId="0F5C2A4D" w14:textId="77777777" w:rsidR="00B63F37" w:rsidRPr="008D7156" w:rsidRDefault="00B63F37" w:rsidP="00610BA2">
            <w:pPr>
              <w:jc w:val="center"/>
              <w:rPr>
                <w:sz w:val="22"/>
                <w:szCs w:val="24"/>
              </w:rPr>
            </w:pPr>
            <w:r w:rsidRPr="008D7156">
              <w:rPr>
                <w:sz w:val="22"/>
                <w:szCs w:val="24"/>
              </w:rPr>
              <w:t>1</w:t>
            </w:r>
          </w:p>
        </w:tc>
        <w:tc>
          <w:tcPr>
            <w:tcW w:w="1020" w:type="dxa"/>
            <w:tcBorders>
              <w:top w:val="single" w:sz="6" w:space="0" w:color="000000"/>
              <w:left w:val="single" w:sz="6" w:space="0" w:color="000000"/>
              <w:bottom w:val="single" w:sz="6" w:space="0" w:color="000000"/>
              <w:right w:val="single" w:sz="6" w:space="0" w:color="000000"/>
            </w:tcBorders>
          </w:tcPr>
          <w:p w14:paraId="5DCF8E83" w14:textId="77777777" w:rsidR="00B63F37" w:rsidRPr="008D7156" w:rsidRDefault="00B63F37" w:rsidP="00610BA2">
            <w:pPr>
              <w:jc w:val="center"/>
              <w:rPr>
                <w:sz w:val="22"/>
                <w:szCs w:val="24"/>
              </w:rPr>
            </w:pPr>
            <w:r w:rsidRPr="008D7156">
              <w:rPr>
                <w:sz w:val="22"/>
                <w:szCs w:val="24"/>
              </w:rPr>
              <w:t>1,5</w:t>
            </w:r>
          </w:p>
        </w:tc>
        <w:tc>
          <w:tcPr>
            <w:tcW w:w="1737" w:type="dxa"/>
            <w:tcBorders>
              <w:top w:val="single" w:sz="6" w:space="0" w:color="000000"/>
              <w:left w:val="single" w:sz="6" w:space="0" w:color="000000"/>
              <w:bottom w:val="single" w:sz="6" w:space="0" w:color="000000"/>
              <w:right w:val="single" w:sz="6" w:space="0" w:color="000000"/>
            </w:tcBorders>
          </w:tcPr>
          <w:p w14:paraId="7E9B0D74" w14:textId="77777777" w:rsidR="00B63F37" w:rsidRPr="008D7156" w:rsidRDefault="00B63F37" w:rsidP="00610BA2">
            <w:pPr>
              <w:jc w:val="center"/>
              <w:rPr>
                <w:sz w:val="22"/>
                <w:szCs w:val="24"/>
              </w:rPr>
            </w:pPr>
            <w:r w:rsidRPr="008D7156">
              <w:rPr>
                <w:sz w:val="22"/>
                <w:szCs w:val="24"/>
              </w:rPr>
              <w:t>2</w:t>
            </w:r>
          </w:p>
        </w:tc>
        <w:tc>
          <w:tcPr>
            <w:tcW w:w="1048" w:type="dxa"/>
            <w:tcBorders>
              <w:top w:val="single" w:sz="6" w:space="0" w:color="000000"/>
              <w:left w:val="single" w:sz="6" w:space="0" w:color="000000"/>
              <w:bottom w:val="single" w:sz="6" w:space="0" w:color="000000"/>
              <w:right w:val="single" w:sz="6" w:space="0" w:color="000000"/>
            </w:tcBorders>
          </w:tcPr>
          <w:p w14:paraId="1D60217D" w14:textId="77777777" w:rsidR="00B63F37" w:rsidRPr="008D7156" w:rsidRDefault="00B63F37" w:rsidP="00610BA2">
            <w:pPr>
              <w:jc w:val="center"/>
              <w:rPr>
                <w:sz w:val="22"/>
                <w:szCs w:val="24"/>
              </w:rPr>
            </w:pPr>
            <w:r w:rsidRPr="008D7156">
              <w:rPr>
                <w:sz w:val="22"/>
                <w:szCs w:val="24"/>
              </w:rPr>
              <w:t>3–4</w:t>
            </w:r>
          </w:p>
        </w:tc>
      </w:tr>
      <w:tr w:rsidR="00B63F37" w:rsidRPr="001E3EF7" w14:paraId="71D4536C" w14:textId="77777777" w:rsidTr="00610BA2">
        <w:trPr>
          <w:trHeight w:val="915"/>
        </w:trPr>
        <w:tc>
          <w:tcPr>
            <w:tcW w:w="1851" w:type="dxa"/>
            <w:tcBorders>
              <w:top w:val="single" w:sz="6" w:space="0" w:color="000000"/>
              <w:left w:val="single" w:sz="6" w:space="0" w:color="000000"/>
              <w:bottom w:val="single" w:sz="6" w:space="0" w:color="000000"/>
              <w:right w:val="single" w:sz="6" w:space="0" w:color="000000"/>
            </w:tcBorders>
          </w:tcPr>
          <w:p w14:paraId="4BB2C7DF" w14:textId="77777777" w:rsidR="00B63F37" w:rsidRPr="008D7156" w:rsidRDefault="00B63F37" w:rsidP="00610BA2">
            <w:pPr>
              <w:rPr>
                <w:sz w:val="22"/>
                <w:szCs w:val="24"/>
              </w:rPr>
            </w:pPr>
            <w:r w:rsidRPr="008D7156">
              <w:rPr>
                <w:sz w:val="22"/>
                <w:szCs w:val="24"/>
              </w:rPr>
              <w:t>Кариотип</w:t>
            </w:r>
          </w:p>
        </w:tc>
        <w:tc>
          <w:tcPr>
            <w:tcW w:w="992" w:type="dxa"/>
            <w:tcBorders>
              <w:top w:val="single" w:sz="6" w:space="0" w:color="000000"/>
              <w:left w:val="single" w:sz="6" w:space="0" w:color="000000"/>
              <w:bottom w:val="single" w:sz="6" w:space="0" w:color="000000"/>
              <w:right w:val="single" w:sz="6" w:space="0" w:color="000000"/>
            </w:tcBorders>
          </w:tcPr>
          <w:p w14:paraId="24AA9ED7" w14:textId="77777777" w:rsidR="00B63F37" w:rsidRPr="008D7156" w:rsidRDefault="00B63F37" w:rsidP="00610BA2">
            <w:pPr>
              <w:jc w:val="center"/>
              <w:rPr>
                <w:sz w:val="22"/>
                <w:szCs w:val="24"/>
              </w:rPr>
            </w:pPr>
            <w:r w:rsidRPr="008D7156">
              <w:rPr>
                <w:sz w:val="22"/>
                <w:szCs w:val="24"/>
              </w:rPr>
              <w:t>Очень хороший</w:t>
            </w:r>
          </w:p>
        </w:tc>
        <w:tc>
          <w:tcPr>
            <w:tcW w:w="1276" w:type="dxa"/>
            <w:tcBorders>
              <w:top w:val="single" w:sz="6" w:space="0" w:color="000000"/>
              <w:left w:val="single" w:sz="6" w:space="0" w:color="000000"/>
              <w:bottom w:val="single" w:sz="6" w:space="0" w:color="000000"/>
              <w:right w:val="single" w:sz="6" w:space="0" w:color="000000"/>
            </w:tcBorders>
          </w:tcPr>
          <w:p w14:paraId="409C5601" w14:textId="77777777" w:rsidR="00B63F37" w:rsidRPr="008D7156" w:rsidRDefault="00B63F37" w:rsidP="00610BA2">
            <w:pPr>
              <w:jc w:val="center"/>
              <w:rPr>
                <w:sz w:val="22"/>
                <w:szCs w:val="24"/>
              </w:rPr>
            </w:pPr>
            <w:r w:rsidRPr="008D7156">
              <w:rPr>
                <w:sz w:val="22"/>
                <w:szCs w:val="24"/>
              </w:rPr>
              <w:t>–</w:t>
            </w:r>
          </w:p>
        </w:tc>
        <w:tc>
          <w:tcPr>
            <w:tcW w:w="1582" w:type="dxa"/>
            <w:tcBorders>
              <w:top w:val="single" w:sz="6" w:space="0" w:color="000000"/>
              <w:left w:val="single" w:sz="6" w:space="0" w:color="000000"/>
              <w:bottom w:val="single" w:sz="6" w:space="0" w:color="000000"/>
              <w:right w:val="single" w:sz="6" w:space="0" w:color="000000"/>
            </w:tcBorders>
          </w:tcPr>
          <w:p w14:paraId="489C2B2C" w14:textId="77777777" w:rsidR="00B63F37" w:rsidRPr="008D7156" w:rsidRDefault="00B63F37" w:rsidP="00610BA2">
            <w:pPr>
              <w:jc w:val="center"/>
              <w:rPr>
                <w:sz w:val="22"/>
                <w:szCs w:val="24"/>
              </w:rPr>
            </w:pPr>
            <w:r w:rsidRPr="008D7156">
              <w:rPr>
                <w:sz w:val="22"/>
                <w:szCs w:val="24"/>
              </w:rPr>
              <w:t>Хороший</w:t>
            </w:r>
          </w:p>
        </w:tc>
        <w:tc>
          <w:tcPr>
            <w:tcW w:w="1020" w:type="dxa"/>
            <w:tcBorders>
              <w:top w:val="single" w:sz="6" w:space="0" w:color="000000"/>
              <w:left w:val="single" w:sz="6" w:space="0" w:color="000000"/>
              <w:bottom w:val="single" w:sz="6" w:space="0" w:color="000000"/>
              <w:right w:val="single" w:sz="6" w:space="0" w:color="000000"/>
            </w:tcBorders>
          </w:tcPr>
          <w:p w14:paraId="2A31036A" w14:textId="77777777" w:rsidR="00B63F37" w:rsidRPr="008D7156" w:rsidRDefault="00B63F37" w:rsidP="00610BA2">
            <w:pPr>
              <w:jc w:val="center"/>
              <w:rPr>
                <w:sz w:val="22"/>
                <w:szCs w:val="24"/>
              </w:rPr>
            </w:pPr>
            <w:r w:rsidRPr="008D7156">
              <w:rPr>
                <w:sz w:val="22"/>
                <w:szCs w:val="24"/>
              </w:rPr>
              <w:t>–</w:t>
            </w:r>
          </w:p>
        </w:tc>
        <w:tc>
          <w:tcPr>
            <w:tcW w:w="1737" w:type="dxa"/>
            <w:tcBorders>
              <w:top w:val="single" w:sz="6" w:space="0" w:color="000000"/>
              <w:left w:val="single" w:sz="6" w:space="0" w:color="000000"/>
              <w:bottom w:val="single" w:sz="6" w:space="0" w:color="000000"/>
              <w:right w:val="single" w:sz="6" w:space="0" w:color="000000"/>
            </w:tcBorders>
          </w:tcPr>
          <w:p w14:paraId="355CB779" w14:textId="77777777" w:rsidR="00B63F37" w:rsidRPr="008D7156" w:rsidRDefault="00B63F37" w:rsidP="00610BA2">
            <w:pPr>
              <w:jc w:val="center"/>
              <w:rPr>
                <w:sz w:val="22"/>
                <w:szCs w:val="24"/>
              </w:rPr>
            </w:pPr>
            <w:r w:rsidRPr="008D7156">
              <w:rPr>
                <w:sz w:val="22"/>
                <w:szCs w:val="24"/>
              </w:rPr>
              <w:t>Промежуточный</w:t>
            </w:r>
          </w:p>
        </w:tc>
        <w:tc>
          <w:tcPr>
            <w:tcW w:w="1048" w:type="dxa"/>
            <w:tcBorders>
              <w:top w:val="single" w:sz="6" w:space="0" w:color="000000"/>
              <w:left w:val="single" w:sz="6" w:space="0" w:color="000000"/>
              <w:bottom w:val="single" w:sz="6" w:space="0" w:color="000000"/>
              <w:right w:val="single" w:sz="6" w:space="0" w:color="000000"/>
            </w:tcBorders>
          </w:tcPr>
          <w:p w14:paraId="40F77F1D" w14:textId="77777777" w:rsidR="00B63F37" w:rsidRPr="008D7156" w:rsidRDefault="00B63F37" w:rsidP="00610BA2">
            <w:pPr>
              <w:jc w:val="center"/>
              <w:rPr>
                <w:sz w:val="22"/>
                <w:szCs w:val="24"/>
              </w:rPr>
            </w:pPr>
            <w:r w:rsidRPr="008D7156">
              <w:rPr>
                <w:sz w:val="22"/>
                <w:szCs w:val="24"/>
              </w:rPr>
              <w:t>Плохой и очень плохой</w:t>
            </w:r>
          </w:p>
        </w:tc>
      </w:tr>
      <w:tr w:rsidR="00B63F37" w:rsidRPr="001E3EF7" w14:paraId="508D025E" w14:textId="77777777" w:rsidTr="00610BA2">
        <w:trPr>
          <w:trHeight w:val="525"/>
        </w:trPr>
        <w:tc>
          <w:tcPr>
            <w:tcW w:w="1851" w:type="dxa"/>
            <w:tcBorders>
              <w:top w:val="single" w:sz="6" w:space="0" w:color="000000"/>
              <w:left w:val="single" w:sz="6" w:space="0" w:color="000000"/>
              <w:bottom w:val="single" w:sz="6" w:space="0" w:color="000000"/>
              <w:right w:val="single" w:sz="6" w:space="0" w:color="000000"/>
            </w:tcBorders>
          </w:tcPr>
          <w:p w14:paraId="799158E8" w14:textId="77777777" w:rsidR="00B63F37" w:rsidRPr="008D7156" w:rsidRDefault="00B63F37" w:rsidP="00610BA2">
            <w:pPr>
              <w:rPr>
                <w:sz w:val="22"/>
                <w:szCs w:val="24"/>
              </w:rPr>
            </w:pPr>
            <w:r w:rsidRPr="008D7156">
              <w:rPr>
                <w:sz w:val="22"/>
                <w:szCs w:val="24"/>
              </w:rPr>
              <w:t>Бласты в КМ, %</w:t>
            </w:r>
          </w:p>
        </w:tc>
        <w:tc>
          <w:tcPr>
            <w:tcW w:w="992" w:type="dxa"/>
            <w:tcBorders>
              <w:top w:val="single" w:sz="6" w:space="0" w:color="000000"/>
              <w:left w:val="single" w:sz="6" w:space="0" w:color="000000"/>
              <w:bottom w:val="single" w:sz="6" w:space="0" w:color="000000"/>
              <w:right w:val="single" w:sz="6" w:space="0" w:color="000000"/>
            </w:tcBorders>
          </w:tcPr>
          <w:p w14:paraId="580CB417" w14:textId="77777777" w:rsidR="00B63F37" w:rsidRPr="008D7156" w:rsidRDefault="00B63F37" w:rsidP="00610BA2">
            <w:pPr>
              <w:jc w:val="center"/>
              <w:rPr>
                <w:sz w:val="22"/>
                <w:szCs w:val="24"/>
              </w:rPr>
            </w:pPr>
            <w:r w:rsidRPr="008D7156">
              <w:rPr>
                <w:sz w:val="22"/>
                <w:szCs w:val="24"/>
              </w:rPr>
              <w:t>≤2</w:t>
            </w:r>
          </w:p>
        </w:tc>
        <w:tc>
          <w:tcPr>
            <w:tcW w:w="1276" w:type="dxa"/>
            <w:tcBorders>
              <w:top w:val="single" w:sz="6" w:space="0" w:color="000000"/>
              <w:left w:val="single" w:sz="6" w:space="0" w:color="000000"/>
              <w:bottom w:val="single" w:sz="6" w:space="0" w:color="000000"/>
              <w:right w:val="single" w:sz="6" w:space="0" w:color="000000"/>
            </w:tcBorders>
          </w:tcPr>
          <w:p w14:paraId="7A65C146" w14:textId="77777777" w:rsidR="00B63F37" w:rsidRPr="008D7156" w:rsidRDefault="00B63F37" w:rsidP="00610BA2">
            <w:pPr>
              <w:jc w:val="center"/>
              <w:rPr>
                <w:sz w:val="22"/>
                <w:szCs w:val="24"/>
              </w:rPr>
            </w:pPr>
          </w:p>
        </w:tc>
        <w:tc>
          <w:tcPr>
            <w:tcW w:w="1582" w:type="dxa"/>
            <w:tcBorders>
              <w:top w:val="single" w:sz="6" w:space="0" w:color="000000"/>
              <w:left w:val="single" w:sz="6" w:space="0" w:color="000000"/>
              <w:bottom w:val="single" w:sz="6" w:space="0" w:color="000000"/>
              <w:right w:val="single" w:sz="6" w:space="0" w:color="000000"/>
            </w:tcBorders>
          </w:tcPr>
          <w:p w14:paraId="2CB4A25A" w14:textId="77777777" w:rsidR="00B63F37" w:rsidRPr="008D7156" w:rsidRDefault="00B63F37" w:rsidP="00610BA2">
            <w:pPr>
              <w:jc w:val="center"/>
              <w:rPr>
                <w:sz w:val="22"/>
                <w:szCs w:val="24"/>
              </w:rPr>
            </w:pPr>
            <w:r w:rsidRPr="008D7156">
              <w:rPr>
                <w:sz w:val="22"/>
                <w:szCs w:val="24"/>
              </w:rPr>
              <w:t>&gt;2–&lt;5</w:t>
            </w:r>
          </w:p>
        </w:tc>
        <w:tc>
          <w:tcPr>
            <w:tcW w:w="1020" w:type="dxa"/>
            <w:tcBorders>
              <w:top w:val="single" w:sz="6" w:space="0" w:color="000000"/>
              <w:left w:val="single" w:sz="6" w:space="0" w:color="000000"/>
              <w:bottom w:val="single" w:sz="6" w:space="0" w:color="000000"/>
              <w:right w:val="single" w:sz="6" w:space="0" w:color="000000"/>
            </w:tcBorders>
          </w:tcPr>
          <w:p w14:paraId="28C51D5B" w14:textId="77777777" w:rsidR="00B63F37" w:rsidRPr="008D7156" w:rsidRDefault="00B63F37" w:rsidP="00610BA2">
            <w:pPr>
              <w:jc w:val="center"/>
              <w:rPr>
                <w:sz w:val="22"/>
                <w:szCs w:val="24"/>
              </w:rPr>
            </w:pPr>
            <w:r w:rsidRPr="008D7156">
              <w:rPr>
                <w:sz w:val="22"/>
                <w:szCs w:val="24"/>
              </w:rPr>
              <w:t>–</w:t>
            </w:r>
          </w:p>
        </w:tc>
        <w:tc>
          <w:tcPr>
            <w:tcW w:w="1737" w:type="dxa"/>
            <w:tcBorders>
              <w:top w:val="single" w:sz="6" w:space="0" w:color="000000"/>
              <w:left w:val="single" w:sz="6" w:space="0" w:color="000000"/>
              <w:bottom w:val="single" w:sz="6" w:space="0" w:color="000000"/>
              <w:right w:val="single" w:sz="6" w:space="0" w:color="000000"/>
            </w:tcBorders>
          </w:tcPr>
          <w:p w14:paraId="2D03EA8D" w14:textId="77777777" w:rsidR="00B63F37" w:rsidRPr="008D7156" w:rsidRDefault="00B63F37" w:rsidP="00610BA2">
            <w:pPr>
              <w:jc w:val="center"/>
              <w:rPr>
                <w:sz w:val="22"/>
                <w:szCs w:val="24"/>
              </w:rPr>
            </w:pPr>
            <w:r w:rsidRPr="008D7156">
              <w:rPr>
                <w:sz w:val="22"/>
                <w:szCs w:val="24"/>
              </w:rPr>
              <w:t>5–10</w:t>
            </w:r>
          </w:p>
        </w:tc>
        <w:tc>
          <w:tcPr>
            <w:tcW w:w="1048" w:type="dxa"/>
            <w:tcBorders>
              <w:top w:val="single" w:sz="6" w:space="0" w:color="000000"/>
              <w:left w:val="single" w:sz="6" w:space="0" w:color="000000"/>
              <w:bottom w:val="single" w:sz="6" w:space="0" w:color="000000"/>
              <w:right w:val="single" w:sz="6" w:space="0" w:color="000000"/>
            </w:tcBorders>
          </w:tcPr>
          <w:p w14:paraId="0A49E96F" w14:textId="77777777" w:rsidR="00B63F37" w:rsidRPr="008D7156" w:rsidRDefault="00B63F37" w:rsidP="00610BA2">
            <w:pPr>
              <w:jc w:val="center"/>
              <w:rPr>
                <w:sz w:val="22"/>
                <w:szCs w:val="24"/>
              </w:rPr>
            </w:pPr>
            <w:r w:rsidRPr="008D7156">
              <w:rPr>
                <w:sz w:val="22"/>
                <w:szCs w:val="24"/>
              </w:rPr>
              <w:t>&gt; 10</w:t>
            </w:r>
          </w:p>
        </w:tc>
      </w:tr>
      <w:tr w:rsidR="00B63F37" w:rsidRPr="001E3EF7" w14:paraId="2B3D20EF" w14:textId="77777777" w:rsidTr="00610BA2">
        <w:trPr>
          <w:trHeight w:val="525"/>
        </w:trPr>
        <w:tc>
          <w:tcPr>
            <w:tcW w:w="1851" w:type="dxa"/>
            <w:tcBorders>
              <w:top w:val="single" w:sz="6" w:space="0" w:color="000000"/>
              <w:left w:val="single" w:sz="6" w:space="0" w:color="000000"/>
              <w:bottom w:val="single" w:sz="6" w:space="0" w:color="000000"/>
              <w:right w:val="single" w:sz="6" w:space="0" w:color="000000"/>
            </w:tcBorders>
          </w:tcPr>
          <w:p w14:paraId="4CA0AF15" w14:textId="77777777" w:rsidR="00B63F37" w:rsidRPr="008D7156" w:rsidRDefault="00B63F37" w:rsidP="00610BA2">
            <w:pPr>
              <w:rPr>
                <w:sz w:val="22"/>
                <w:szCs w:val="24"/>
              </w:rPr>
            </w:pPr>
            <w:r w:rsidRPr="008D7156">
              <w:rPr>
                <w:sz w:val="22"/>
                <w:szCs w:val="24"/>
              </w:rPr>
              <w:t>Гемоглобин, г/л</w:t>
            </w:r>
          </w:p>
        </w:tc>
        <w:tc>
          <w:tcPr>
            <w:tcW w:w="992" w:type="dxa"/>
            <w:tcBorders>
              <w:top w:val="single" w:sz="6" w:space="0" w:color="000000"/>
              <w:left w:val="single" w:sz="6" w:space="0" w:color="000000"/>
              <w:bottom w:val="single" w:sz="6" w:space="0" w:color="000000"/>
              <w:right w:val="single" w:sz="6" w:space="0" w:color="000000"/>
            </w:tcBorders>
          </w:tcPr>
          <w:p w14:paraId="4B6997CA" w14:textId="77777777" w:rsidR="00B63F37" w:rsidRPr="008D7156" w:rsidRDefault="00B63F37" w:rsidP="00610BA2">
            <w:pPr>
              <w:jc w:val="center"/>
              <w:rPr>
                <w:sz w:val="22"/>
                <w:szCs w:val="24"/>
              </w:rPr>
            </w:pPr>
            <w:r w:rsidRPr="008D7156">
              <w:rPr>
                <w:sz w:val="22"/>
                <w:szCs w:val="24"/>
              </w:rPr>
              <w:t>≥100</w:t>
            </w:r>
          </w:p>
        </w:tc>
        <w:tc>
          <w:tcPr>
            <w:tcW w:w="1276" w:type="dxa"/>
            <w:tcBorders>
              <w:top w:val="single" w:sz="6" w:space="0" w:color="000000"/>
              <w:left w:val="single" w:sz="6" w:space="0" w:color="000000"/>
              <w:bottom w:val="single" w:sz="6" w:space="0" w:color="000000"/>
              <w:right w:val="single" w:sz="6" w:space="0" w:color="000000"/>
            </w:tcBorders>
          </w:tcPr>
          <w:p w14:paraId="2CF0EE16" w14:textId="77777777" w:rsidR="00B63F37" w:rsidRPr="008D7156" w:rsidRDefault="00B63F37" w:rsidP="00610BA2">
            <w:pPr>
              <w:jc w:val="center"/>
              <w:rPr>
                <w:sz w:val="22"/>
                <w:szCs w:val="24"/>
              </w:rPr>
            </w:pPr>
            <w:r w:rsidRPr="008D7156">
              <w:rPr>
                <w:sz w:val="22"/>
                <w:szCs w:val="24"/>
              </w:rPr>
              <w:t>–</w:t>
            </w:r>
          </w:p>
        </w:tc>
        <w:tc>
          <w:tcPr>
            <w:tcW w:w="1582" w:type="dxa"/>
            <w:tcBorders>
              <w:top w:val="single" w:sz="6" w:space="0" w:color="000000"/>
              <w:left w:val="single" w:sz="6" w:space="0" w:color="000000"/>
              <w:bottom w:val="single" w:sz="6" w:space="0" w:color="000000"/>
              <w:right w:val="single" w:sz="6" w:space="0" w:color="000000"/>
            </w:tcBorders>
          </w:tcPr>
          <w:p w14:paraId="31EA8355" w14:textId="77777777" w:rsidR="00B63F37" w:rsidRPr="008D7156" w:rsidRDefault="00B63F37" w:rsidP="00610BA2">
            <w:pPr>
              <w:jc w:val="center"/>
              <w:rPr>
                <w:sz w:val="22"/>
                <w:szCs w:val="24"/>
              </w:rPr>
            </w:pPr>
            <w:r w:rsidRPr="008D7156">
              <w:rPr>
                <w:sz w:val="22"/>
                <w:szCs w:val="24"/>
              </w:rPr>
              <w:t>80–99</w:t>
            </w:r>
          </w:p>
        </w:tc>
        <w:tc>
          <w:tcPr>
            <w:tcW w:w="1020" w:type="dxa"/>
            <w:tcBorders>
              <w:top w:val="single" w:sz="6" w:space="0" w:color="000000"/>
              <w:left w:val="single" w:sz="6" w:space="0" w:color="000000"/>
              <w:bottom w:val="single" w:sz="6" w:space="0" w:color="000000"/>
              <w:right w:val="single" w:sz="6" w:space="0" w:color="000000"/>
            </w:tcBorders>
          </w:tcPr>
          <w:p w14:paraId="0CBD1658" w14:textId="77777777" w:rsidR="00B63F37" w:rsidRPr="008D7156" w:rsidRDefault="00B63F37" w:rsidP="00610BA2">
            <w:pPr>
              <w:jc w:val="center"/>
              <w:rPr>
                <w:sz w:val="22"/>
                <w:szCs w:val="24"/>
              </w:rPr>
            </w:pPr>
            <w:r w:rsidRPr="008D7156">
              <w:rPr>
                <w:sz w:val="22"/>
                <w:szCs w:val="24"/>
              </w:rPr>
              <w:t>&lt;80</w:t>
            </w:r>
          </w:p>
        </w:tc>
        <w:tc>
          <w:tcPr>
            <w:tcW w:w="1737" w:type="dxa"/>
            <w:tcBorders>
              <w:top w:val="single" w:sz="6" w:space="0" w:color="000000"/>
              <w:left w:val="single" w:sz="6" w:space="0" w:color="000000"/>
              <w:bottom w:val="single" w:sz="6" w:space="0" w:color="000000"/>
              <w:right w:val="single" w:sz="6" w:space="0" w:color="000000"/>
            </w:tcBorders>
          </w:tcPr>
          <w:p w14:paraId="4D0EE5DD" w14:textId="77777777" w:rsidR="00B63F37" w:rsidRPr="008D7156" w:rsidRDefault="00B63F37" w:rsidP="00610BA2">
            <w:pPr>
              <w:jc w:val="center"/>
              <w:rPr>
                <w:sz w:val="22"/>
                <w:szCs w:val="24"/>
              </w:rPr>
            </w:pPr>
            <w:r w:rsidRPr="008D7156">
              <w:rPr>
                <w:sz w:val="22"/>
                <w:szCs w:val="24"/>
              </w:rPr>
              <w:t>–</w:t>
            </w:r>
          </w:p>
        </w:tc>
        <w:tc>
          <w:tcPr>
            <w:tcW w:w="1048" w:type="dxa"/>
            <w:tcBorders>
              <w:top w:val="single" w:sz="6" w:space="0" w:color="000000"/>
              <w:left w:val="single" w:sz="6" w:space="0" w:color="000000"/>
              <w:bottom w:val="single" w:sz="6" w:space="0" w:color="000000"/>
              <w:right w:val="single" w:sz="6" w:space="0" w:color="000000"/>
            </w:tcBorders>
          </w:tcPr>
          <w:p w14:paraId="4F953C74" w14:textId="77777777" w:rsidR="00B63F37" w:rsidRPr="008D7156" w:rsidRDefault="00B63F37" w:rsidP="00610BA2">
            <w:pPr>
              <w:jc w:val="center"/>
              <w:rPr>
                <w:sz w:val="22"/>
                <w:szCs w:val="24"/>
              </w:rPr>
            </w:pPr>
            <w:r w:rsidRPr="008D7156">
              <w:rPr>
                <w:sz w:val="22"/>
                <w:szCs w:val="24"/>
              </w:rPr>
              <w:t>–</w:t>
            </w:r>
          </w:p>
        </w:tc>
      </w:tr>
      <w:tr w:rsidR="00B63F37" w:rsidRPr="001E3EF7" w14:paraId="7A427BF4" w14:textId="77777777" w:rsidTr="00610BA2">
        <w:trPr>
          <w:trHeight w:val="555"/>
        </w:trPr>
        <w:tc>
          <w:tcPr>
            <w:tcW w:w="1851" w:type="dxa"/>
            <w:tcBorders>
              <w:top w:val="single" w:sz="6" w:space="0" w:color="000000"/>
              <w:left w:val="single" w:sz="6" w:space="0" w:color="000000"/>
              <w:bottom w:val="single" w:sz="6" w:space="0" w:color="000000"/>
              <w:right w:val="single" w:sz="6" w:space="0" w:color="000000"/>
            </w:tcBorders>
          </w:tcPr>
          <w:p w14:paraId="63252ECA" w14:textId="77777777" w:rsidR="00B63F37" w:rsidRPr="008D7156" w:rsidRDefault="00B63F37" w:rsidP="00610BA2">
            <w:pPr>
              <w:rPr>
                <w:sz w:val="22"/>
                <w:szCs w:val="24"/>
              </w:rPr>
            </w:pPr>
            <w:r w:rsidRPr="008D7156">
              <w:rPr>
                <w:sz w:val="22"/>
                <w:szCs w:val="24"/>
              </w:rPr>
              <w:t>Тромбоциты, ×10</w:t>
            </w:r>
            <w:r w:rsidRPr="008D7156">
              <w:rPr>
                <w:sz w:val="22"/>
                <w:szCs w:val="24"/>
                <w:vertAlign w:val="superscript"/>
              </w:rPr>
              <w:t>9</w:t>
            </w:r>
            <w:r w:rsidRPr="008D7156">
              <w:rPr>
                <w:sz w:val="22"/>
                <w:szCs w:val="24"/>
              </w:rPr>
              <w:t>/л</w:t>
            </w:r>
          </w:p>
        </w:tc>
        <w:tc>
          <w:tcPr>
            <w:tcW w:w="992" w:type="dxa"/>
            <w:tcBorders>
              <w:top w:val="single" w:sz="6" w:space="0" w:color="000000"/>
              <w:left w:val="single" w:sz="6" w:space="0" w:color="000000"/>
              <w:bottom w:val="single" w:sz="6" w:space="0" w:color="000000"/>
              <w:right w:val="single" w:sz="6" w:space="0" w:color="000000"/>
            </w:tcBorders>
          </w:tcPr>
          <w:p w14:paraId="2480DD8A" w14:textId="77777777" w:rsidR="00B63F37" w:rsidRPr="008D7156" w:rsidRDefault="00B63F37" w:rsidP="00610BA2">
            <w:pPr>
              <w:jc w:val="center"/>
              <w:rPr>
                <w:sz w:val="22"/>
                <w:szCs w:val="24"/>
              </w:rPr>
            </w:pPr>
            <w:r w:rsidRPr="008D7156">
              <w:rPr>
                <w:sz w:val="22"/>
                <w:szCs w:val="24"/>
              </w:rPr>
              <w:t>≥100</w:t>
            </w:r>
          </w:p>
        </w:tc>
        <w:tc>
          <w:tcPr>
            <w:tcW w:w="1276" w:type="dxa"/>
            <w:tcBorders>
              <w:top w:val="single" w:sz="6" w:space="0" w:color="000000"/>
              <w:left w:val="single" w:sz="6" w:space="0" w:color="000000"/>
              <w:bottom w:val="single" w:sz="6" w:space="0" w:color="000000"/>
              <w:right w:val="single" w:sz="6" w:space="0" w:color="000000"/>
            </w:tcBorders>
          </w:tcPr>
          <w:p w14:paraId="7EBFCF05" w14:textId="77777777" w:rsidR="00B63F37" w:rsidRPr="008D7156" w:rsidRDefault="00B63F37" w:rsidP="00610BA2">
            <w:pPr>
              <w:jc w:val="center"/>
              <w:rPr>
                <w:sz w:val="22"/>
                <w:szCs w:val="24"/>
              </w:rPr>
            </w:pPr>
            <w:r w:rsidRPr="008D7156">
              <w:rPr>
                <w:sz w:val="22"/>
                <w:szCs w:val="24"/>
              </w:rPr>
              <w:t>50–99</w:t>
            </w:r>
          </w:p>
        </w:tc>
        <w:tc>
          <w:tcPr>
            <w:tcW w:w="1582" w:type="dxa"/>
            <w:tcBorders>
              <w:top w:val="single" w:sz="6" w:space="0" w:color="000000"/>
              <w:left w:val="single" w:sz="6" w:space="0" w:color="000000"/>
              <w:bottom w:val="single" w:sz="6" w:space="0" w:color="000000"/>
              <w:right w:val="single" w:sz="6" w:space="0" w:color="000000"/>
            </w:tcBorders>
          </w:tcPr>
          <w:p w14:paraId="1F75F57E" w14:textId="77777777" w:rsidR="00B63F37" w:rsidRPr="008D7156" w:rsidRDefault="00B63F37" w:rsidP="00610BA2">
            <w:pPr>
              <w:jc w:val="center"/>
              <w:rPr>
                <w:sz w:val="22"/>
                <w:szCs w:val="24"/>
              </w:rPr>
            </w:pPr>
            <w:r w:rsidRPr="008D7156">
              <w:rPr>
                <w:sz w:val="22"/>
                <w:szCs w:val="24"/>
              </w:rPr>
              <w:t>&lt;50</w:t>
            </w:r>
          </w:p>
        </w:tc>
        <w:tc>
          <w:tcPr>
            <w:tcW w:w="1020" w:type="dxa"/>
            <w:tcBorders>
              <w:top w:val="single" w:sz="6" w:space="0" w:color="000000"/>
              <w:left w:val="single" w:sz="6" w:space="0" w:color="000000"/>
              <w:bottom w:val="single" w:sz="6" w:space="0" w:color="000000"/>
              <w:right w:val="single" w:sz="6" w:space="0" w:color="000000"/>
            </w:tcBorders>
          </w:tcPr>
          <w:p w14:paraId="0B57B439" w14:textId="77777777" w:rsidR="00B63F37" w:rsidRPr="008D7156" w:rsidRDefault="00B63F37" w:rsidP="00610BA2">
            <w:pPr>
              <w:jc w:val="center"/>
              <w:rPr>
                <w:sz w:val="22"/>
                <w:szCs w:val="24"/>
              </w:rPr>
            </w:pPr>
            <w:r w:rsidRPr="008D7156">
              <w:rPr>
                <w:sz w:val="22"/>
                <w:szCs w:val="24"/>
              </w:rPr>
              <w:t>–</w:t>
            </w:r>
          </w:p>
        </w:tc>
        <w:tc>
          <w:tcPr>
            <w:tcW w:w="1737" w:type="dxa"/>
            <w:tcBorders>
              <w:top w:val="single" w:sz="6" w:space="0" w:color="000000"/>
              <w:left w:val="single" w:sz="6" w:space="0" w:color="000000"/>
              <w:bottom w:val="single" w:sz="6" w:space="0" w:color="000000"/>
              <w:right w:val="single" w:sz="6" w:space="0" w:color="000000"/>
            </w:tcBorders>
          </w:tcPr>
          <w:p w14:paraId="3EA9B331" w14:textId="77777777" w:rsidR="00B63F37" w:rsidRPr="008D7156" w:rsidRDefault="00B63F37" w:rsidP="00610BA2">
            <w:pPr>
              <w:jc w:val="center"/>
              <w:rPr>
                <w:sz w:val="22"/>
                <w:szCs w:val="24"/>
              </w:rPr>
            </w:pPr>
            <w:r w:rsidRPr="008D7156">
              <w:rPr>
                <w:sz w:val="22"/>
                <w:szCs w:val="24"/>
              </w:rPr>
              <w:t>–</w:t>
            </w:r>
          </w:p>
        </w:tc>
        <w:tc>
          <w:tcPr>
            <w:tcW w:w="1048" w:type="dxa"/>
            <w:tcBorders>
              <w:top w:val="single" w:sz="6" w:space="0" w:color="000000"/>
              <w:left w:val="single" w:sz="6" w:space="0" w:color="000000"/>
              <w:bottom w:val="single" w:sz="6" w:space="0" w:color="000000"/>
              <w:right w:val="single" w:sz="6" w:space="0" w:color="000000"/>
            </w:tcBorders>
          </w:tcPr>
          <w:p w14:paraId="0F4C3964" w14:textId="77777777" w:rsidR="00B63F37" w:rsidRPr="008D7156" w:rsidRDefault="00B63F37" w:rsidP="00610BA2">
            <w:pPr>
              <w:jc w:val="center"/>
              <w:rPr>
                <w:sz w:val="22"/>
                <w:szCs w:val="24"/>
              </w:rPr>
            </w:pPr>
            <w:r w:rsidRPr="008D7156">
              <w:rPr>
                <w:sz w:val="22"/>
                <w:szCs w:val="24"/>
              </w:rPr>
              <w:t>–</w:t>
            </w:r>
          </w:p>
        </w:tc>
      </w:tr>
      <w:tr w:rsidR="00B63F37" w:rsidRPr="001E3EF7" w14:paraId="37AE19AA" w14:textId="77777777" w:rsidTr="00610BA2">
        <w:trPr>
          <w:trHeight w:val="555"/>
        </w:trPr>
        <w:tc>
          <w:tcPr>
            <w:tcW w:w="1851" w:type="dxa"/>
            <w:tcBorders>
              <w:top w:val="single" w:sz="6" w:space="0" w:color="000000"/>
              <w:left w:val="single" w:sz="6" w:space="0" w:color="000000"/>
              <w:bottom w:val="single" w:sz="6" w:space="0" w:color="000000"/>
              <w:right w:val="single" w:sz="6" w:space="0" w:color="000000"/>
            </w:tcBorders>
          </w:tcPr>
          <w:p w14:paraId="639A3C8B" w14:textId="77777777" w:rsidR="00B63F37" w:rsidRPr="008D7156" w:rsidRDefault="00B63F37" w:rsidP="00610BA2">
            <w:pPr>
              <w:rPr>
                <w:sz w:val="22"/>
                <w:szCs w:val="24"/>
              </w:rPr>
            </w:pPr>
            <w:r w:rsidRPr="008D7156">
              <w:rPr>
                <w:sz w:val="22"/>
                <w:szCs w:val="24"/>
              </w:rPr>
              <w:t>Нейтрофилы, ×10</w:t>
            </w:r>
            <w:r w:rsidRPr="008D7156">
              <w:rPr>
                <w:sz w:val="22"/>
                <w:szCs w:val="24"/>
                <w:vertAlign w:val="superscript"/>
              </w:rPr>
              <w:t>9</w:t>
            </w:r>
            <w:r w:rsidRPr="008D7156">
              <w:rPr>
                <w:sz w:val="22"/>
                <w:szCs w:val="24"/>
              </w:rPr>
              <w:t>/л</w:t>
            </w:r>
          </w:p>
        </w:tc>
        <w:tc>
          <w:tcPr>
            <w:tcW w:w="992" w:type="dxa"/>
            <w:tcBorders>
              <w:top w:val="single" w:sz="6" w:space="0" w:color="000000"/>
              <w:left w:val="single" w:sz="6" w:space="0" w:color="000000"/>
              <w:bottom w:val="single" w:sz="6" w:space="0" w:color="000000"/>
              <w:right w:val="single" w:sz="6" w:space="0" w:color="000000"/>
            </w:tcBorders>
          </w:tcPr>
          <w:p w14:paraId="2F1198E8" w14:textId="77777777" w:rsidR="00B63F37" w:rsidRPr="008D7156" w:rsidRDefault="00B63F37" w:rsidP="00610BA2">
            <w:pPr>
              <w:jc w:val="center"/>
              <w:rPr>
                <w:sz w:val="22"/>
                <w:szCs w:val="24"/>
              </w:rPr>
            </w:pPr>
            <w:r w:rsidRPr="008D7156">
              <w:rPr>
                <w:sz w:val="22"/>
                <w:szCs w:val="24"/>
              </w:rPr>
              <w:t>≥0,8</w:t>
            </w:r>
          </w:p>
        </w:tc>
        <w:tc>
          <w:tcPr>
            <w:tcW w:w="1276" w:type="dxa"/>
            <w:tcBorders>
              <w:top w:val="single" w:sz="6" w:space="0" w:color="000000"/>
              <w:left w:val="single" w:sz="6" w:space="0" w:color="000000"/>
              <w:bottom w:val="single" w:sz="6" w:space="0" w:color="000000"/>
              <w:right w:val="single" w:sz="6" w:space="0" w:color="000000"/>
            </w:tcBorders>
          </w:tcPr>
          <w:p w14:paraId="5123D226" w14:textId="77777777" w:rsidR="00B63F37" w:rsidRPr="008D7156" w:rsidRDefault="00B63F37" w:rsidP="00610BA2">
            <w:pPr>
              <w:jc w:val="center"/>
              <w:rPr>
                <w:sz w:val="22"/>
                <w:szCs w:val="24"/>
              </w:rPr>
            </w:pPr>
            <w:r w:rsidRPr="008D7156">
              <w:rPr>
                <w:sz w:val="22"/>
                <w:szCs w:val="24"/>
              </w:rPr>
              <w:t>&lt;0,8</w:t>
            </w:r>
          </w:p>
        </w:tc>
        <w:tc>
          <w:tcPr>
            <w:tcW w:w="1582" w:type="dxa"/>
            <w:tcBorders>
              <w:top w:val="single" w:sz="6" w:space="0" w:color="000000"/>
              <w:left w:val="single" w:sz="6" w:space="0" w:color="000000"/>
              <w:bottom w:val="single" w:sz="6" w:space="0" w:color="000000"/>
              <w:right w:val="single" w:sz="6" w:space="0" w:color="000000"/>
            </w:tcBorders>
          </w:tcPr>
          <w:p w14:paraId="6641DBC9" w14:textId="77777777" w:rsidR="00B63F37" w:rsidRPr="008D7156" w:rsidRDefault="00B63F37" w:rsidP="00610BA2">
            <w:pPr>
              <w:jc w:val="center"/>
              <w:rPr>
                <w:sz w:val="22"/>
                <w:szCs w:val="24"/>
              </w:rPr>
            </w:pPr>
            <w:r w:rsidRPr="008D7156">
              <w:rPr>
                <w:sz w:val="22"/>
                <w:szCs w:val="24"/>
              </w:rPr>
              <w:t>–</w:t>
            </w:r>
          </w:p>
        </w:tc>
        <w:tc>
          <w:tcPr>
            <w:tcW w:w="1020" w:type="dxa"/>
            <w:tcBorders>
              <w:top w:val="single" w:sz="6" w:space="0" w:color="000000"/>
              <w:left w:val="single" w:sz="6" w:space="0" w:color="000000"/>
              <w:bottom w:val="single" w:sz="6" w:space="0" w:color="000000"/>
              <w:right w:val="single" w:sz="6" w:space="0" w:color="000000"/>
            </w:tcBorders>
          </w:tcPr>
          <w:p w14:paraId="0799A203" w14:textId="77777777" w:rsidR="00B63F37" w:rsidRPr="008D7156" w:rsidRDefault="00B63F37" w:rsidP="00610BA2">
            <w:pPr>
              <w:jc w:val="center"/>
              <w:rPr>
                <w:sz w:val="22"/>
                <w:szCs w:val="24"/>
              </w:rPr>
            </w:pPr>
            <w:r w:rsidRPr="008D7156">
              <w:rPr>
                <w:sz w:val="22"/>
                <w:szCs w:val="24"/>
              </w:rPr>
              <w:t>–</w:t>
            </w:r>
          </w:p>
        </w:tc>
        <w:tc>
          <w:tcPr>
            <w:tcW w:w="1737" w:type="dxa"/>
            <w:tcBorders>
              <w:top w:val="single" w:sz="6" w:space="0" w:color="000000"/>
              <w:left w:val="single" w:sz="6" w:space="0" w:color="000000"/>
              <w:bottom w:val="single" w:sz="6" w:space="0" w:color="000000"/>
              <w:right w:val="single" w:sz="6" w:space="0" w:color="000000"/>
            </w:tcBorders>
          </w:tcPr>
          <w:p w14:paraId="2BE90776" w14:textId="77777777" w:rsidR="00B63F37" w:rsidRPr="008D7156" w:rsidRDefault="00B63F37" w:rsidP="00610BA2">
            <w:pPr>
              <w:jc w:val="center"/>
              <w:rPr>
                <w:sz w:val="22"/>
                <w:szCs w:val="24"/>
              </w:rPr>
            </w:pPr>
            <w:r w:rsidRPr="008D7156">
              <w:rPr>
                <w:sz w:val="22"/>
                <w:szCs w:val="24"/>
              </w:rPr>
              <w:t>–</w:t>
            </w:r>
          </w:p>
        </w:tc>
        <w:tc>
          <w:tcPr>
            <w:tcW w:w="1048" w:type="dxa"/>
            <w:tcBorders>
              <w:top w:val="single" w:sz="6" w:space="0" w:color="000000"/>
              <w:left w:val="single" w:sz="6" w:space="0" w:color="000000"/>
              <w:bottom w:val="single" w:sz="6" w:space="0" w:color="000000"/>
              <w:right w:val="single" w:sz="6" w:space="0" w:color="000000"/>
            </w:tcBorders>
          </w:tcPr>
          <w:p w14:paraId="25D00074" w14:textId="77777777" w:rsidR="00B63F37" w:rsidRPr="008D7156" w:rsidRDefault="00B63F37" w:rsidP="00610BA2">
            <w:pPr>
              <w:jc w:val="center"/>
              <w:rPr>
                <w:sz w:val="22"/>
                <w:szCs w:val="24"/>
              </w:rPr>
            </w:pPr>
            <w:r w:rsidRPr="008D7156">
              <w:rPr>
                <w:sz w:val="22"/>
                <w:szCs w:val="24"/>
              </w:rPr>
              <w:t>–</w:t>
            </w:r>
          </w:p>
        </w:tc>
      </w:tr>
      <w:tr w:rsidR="00B63F37" w:rsidRPr="001E3EF7" w14:paraId="565C1D3A" w14:textId="77777777" w:rsidTr="00610BA2">
        <w:trPr>
          <w:trHeight w:val="720"/>
        </w:trPr>
        <w:tc>
          <w:tcPr>
            <w:tcW w:w="1851" w:type="dxa"/>
            <w:tcBorders>
              <w:top w:val="single" w:sz="6" w:space="0" w:color="000000"/>
              <w:left w:val="single" w:sz="6" w:space="0" w:color="000000"/>
              <w:bottom w:val="single" w:sz="6" w:space="0" w:color="000000"/>
              <w:right w:val="single" w:sz="6" w:space="0" w:color="000000"/>
            </w:tcBorders>
            <w:vAlign w:val="center"/>
          </w:tcPr>
          <w:p w14:paraId="2D1B5917" w14:textId="77777777" w:rsidR="00B63F37" w:rsidRPr="008D7156" w:rsidRDefault="00B63F37" w:rsidP="00610BA2">
            <w:pPr>
              <w:rPr>
                <w:b/>
                <w:sz w:val="22"/>
                <w:szCs w:val="24"/>
              </w:rPr>
            </w:pPr>
            <w:r w:rsidRPr="008D7156">
              <w:rPr>
                <w:b/>
                <w:sz w:val="22"/>
                <w:szCs w:val="24"/>
              </w:rPr>
              <w:t>Группа риска</w:t>
            </w:r>
          </w:p>
        </w:tc>
        <w:tc>
          <w:tcPr>
            <w:tcW w:w="992" w:type="dxa"/>
            <w:tcBorders>
              <w:top w:val="single" w:sz="6" w:space="0" w:color="000000"/>
              <w:left w:val="single" w:sz="6" w:space="0" w:color="000000"/>
              <w:bottom w:val="single" w:sz="6" w:space="0" w:color="000000"/>
              <w:right w:val="single" w:sz="6" w:space="0" w:color="000000"/>
            </w:tcBorders>
            <w:vAlign w:val="center"/>
          </w:tcPr>
          <w:p w14:paraId="0D358207" w14:textId="77777777" w:rsidR="00B63F37" w:rsidRPr="008D7156" w:rsidRDefault="00B63F37" w:rsidP="00610BA2">
            <w:pPr>
              <w:jc w:val="center"/>
              <w:rPr>
                <w:b/>
                <w:sz w:val="22"/>
                <w:szCs w:val="24"/>
              </w:rPr>
            </w:pPr>
            <w:r w:rsidRPr="008D7156">
              <w:rPr>
                <w:b/>
                <w:sz w:val="22"/>
                <w:szCs w:val="24"/>
              </w:rPr>
              <w:t>Сумма баллов</w:t>
            </w:r>
          </w:p>
        </w:tc>
        <w:tc>
          <w:tcPr>
            <w:tcW w:w="2858" w:type="dxa"/>
            <w:gridSpan w:val="2"/>
            <w:tcBorders>
              <w:top w:val="single" w:sz="6" w:space="0" w:color="000000"/>
              <w:left w:val="single" w:sz="6" w:space="0" w:color="000000"/>
              <w:bottom w:val="single" w:sz="6" w:space="0" w:color="000000"/>
              <w:right w:val="single" w:sz="6" w:space="0" w:color="000000"/>
            </w:tcBorders>
            <w:vAlign w:val="center"/>
          </w:tcPr>
          <w:p w14:paraId="58CA02A2" w14:textId="77777777" w:rsidR="00B63F37" w:rsidRPr="008D7156" w:rsidRDefault="00B63F37" w:rsidP="00610BA2">
            <w:pPr>
              <w:jc w:val="center"/>
              <w:rPr>
                <w:b/>
                <w:sz w:val="22"/>
                <w:szCs w:val="24"/>
              </w:rPr>
            </w:pPr>
            <w:r w:rsidRPr="008D7156">
              <w:rPr>
                <w:b/>
                <w:sz w:val="22"/>
                <w:szCs w:val="24"/>
              </w:rPr>
              <w:t>Медиана общей выживаемости, мес</w:t>
            </w:r>
          </w:p>
        </w:tc>
        <w:tc>
          <w:tcPr>
            <w:tcW w:w="3805" w:type="dxa"/>
            <w:gridSpan w:val="3"/>
            <w:tcBorders>
              <w:top w:val="single" w:sz="6" w:space="0" w:color="000000"/>
              <w:left w:val="single" w:sz="6" w:space="0" w:color="000000"/>
              <w:bottom w:val="single" w:sz="6" w:space="0" w:color="000000"/>
              <w:right w:val="single" w:sz="6" w:space="0" w:color="000000"/>
            </w:tcBorders>
            <w:vAlign w:val="center"/>
          </w:tcPr>
          <w:p w14:paraId="58D3F49D" w14:textId="77777777" w:rsidR="00B63F37" w:rsidRPr="008D7156" w:rsidRDefault="00B63F37" w:rsidP="00610BA2">
            <w:pPr>
              <w:jc w:val="center"/>
              <w:rPr>
                <w:b/>
                <w:sz w:val="22"/>
                <w:szCs w:val="24"/>
              </w:rPr>
            </w:pPr>
            <w:r w:rsidRPr="008D7156">
              <w:rPr>
                <w:b/>
                <w:sz w:val="22"/>
                <w:szCs w:val="24"/>
              </w:rPr>
              <w:t>Медиана времени до трансформации в ОМЛ 25% пациентов, мес</w:t>
            </w:r>
          </w:p>
        </w:tc>
      </w:tr>
      <w:tr w:rsidR="00B63F37" w:rsidRPr="001E3EF7" w14:paraId="7E33E8F8" w14:textId="77777777" w:rsidTr="00610BA2">
        <w:trPr>
          <w:trHeight w:val="525"/>
        </w:trPr>
        <w:tc>
          <w:tcPr>
            <w:tcW w:w="1851" w:type="dxa"/>
            <w:tcBorders>
              <w:top w:val="single" w:sz="6" w:space="0" w:color="000000"/>
              <w:left w:val="single" w:sz="6" w:space="0" w:color="000000"/>
              <w:bottom w:val="single" w:sz="6" w:space="0" w:color="000000"/>
              <w:right w:val="single" w:sz="6" w:space="0" w:color="000000"/>
            </w:tcBorders>
          </w:tcPr>
          <w:p w14:paraId="26DA0D05" w14:textId="77777777" w:rsidR="00B63F37" w:rsidRPr="008D7156" w:rsidRDefault="00B63F37" w:rsidP="00610BA2">
            <w:pPr>
              <w:rPr>
                <w:sz w:val="22"/>
                <w:szCs w:val="24"/>
              </w:rPr>
            </w:pPr>
            <w:r w:rsidRPr="008D7156">
              <w:rPr>
                <w:sz w:val="22"/>
                <w:szCs w:val="24"/>
              </w:rPr>
              <w:t>Очень низкий</w:t>
            </w:r>
          </w:p>
        </w:tc>
        <w:tc>
          <w:tcPr>
            <w:tcW w:w="992" w:type="dxa"/>
            <w:tcBorders>
              <w:top w:val="single" w:sz="6" w:space="0" w:color="000000"/>
              <w:left w:val="single" w:sz="6" w:space="0" w:color="000000"/>
              <w:bottom w:val="single" w:sz="6" w:space="0" w:color="000000"/>
              <w:right w:val="single" w:sz="6" w:space="0" w:color="000000"/>
            </w:tcBorders>
          </w:tcPr>
          <w:p w14:paraId="16322F38" w14:textId="77777777" w:rsidR="00B63F37" w:rsidRPr="008D7156" w:rsidRDefault="00B63F37" w:rsidP="00610BA2">
            <w:pPr>
              <w:jc w:val="center"/>
              <w:rPr>
                <w:sz w:val="22"/>
                <w:szCs w:val="24"/>
              </w:rPr>
            </w:pPr>
            <w:r w:rsidRPr="008D7156">
              <w:rPr>
                <w:sz w:val="22"/>
                <w:szCs w:val="24"/>
              </w:rPr>
              <w:t>≤1,5</w:t>
            </w:r>
          </w:p>
        </w:tc>
        <w:tc>
          <w:tcPr>
            <w:tcW w:w="2858" w:type="dxa"/>
            <w:gridSpan w:val="2"/>
            <w:tcBorders>
              <w:top w:val="single" w:sz="6" w:space="0" w:color="000000"/>
              <w:left w:val="single" w:sz="6" w:space="0" w:color="000000"/>
              <w:bottom w:val="single" w:sz="6" w:space="0" w:color="000000"/>
              <w:right w:val="single" w:sz="6" w:space="0" w:color="000000"/>
            </w:tcBorders>
          </w:tcPr>
          <w:p w14:paraId="1E4A25E0" w14:textId="77777777" w:rsidR="00B63F37" w:rsidRPr="008D7156" w:rsidRDefault="00B63F37" w:rsidP="00610BA2">
            <w:pPr>
              <w:jc w:val="center"/>
              <w:rPr>
                <w:sz w:val="22"/>
                <w:szCs w:val="24"/>
              </w:rPr>
            </w:pPr>
            <w:r w:rsidRPr="008D7156">
              <w:rPr>
                <w:sz w:val="22"/>
                <w:szCs w:val="24"/>
              </w:rPr>
              <w:t>9,3</w:t>
            </w:r>
          </w:p>
        </w:tc>
        <w:tc>
          <w:tcPr>
            <w:tcW w:w="3805" w:type="dxa"/>
            <w:gridSpan w:val="3"/>
            <w:tcBorders>
              <w:top w:val="single" w:sz="6" w:space="0" w:color="000000"/>
              <w:left w:val="single" w:sz="6" w:space="0" w:color="000000"/>
              <w:bottom w:val="single" w:sz="6" w:space="0" w:color="000000"/>
              <w:right w:val="single" w:sz="6" w:space="0" w:color="000000"/>
            </w:tcBorders>
          </w:tcPr>
          <w:p w14:paraId="1D9BD480" w14:textId="77777777" w:rsidR="00B63F37" w:rsidRPr="008D7156" w:rsidRDefault="00B63F37" w:rsidP="00610BA2">
            <w:pPr>
              <w:jc w:val="center"/>
              <w:rPr>
                <w:sz w:val="22"/>
                <w:szCs w:val="24"/>
              </w:rPr>
            </w:pPr>
            <w:r w:rsidRPr="008D7156">
              <w:rPr>
                <w:sz w:val="22"/>
                <w:szCs w:val="24"/>
              </w:rPr>
              <w:t>Не достигнута</w:t>
            </w:r>
          </w:p>
        </w:tc>
      </w:tr>
      <w:tr w:rsidR="00B63F37" w:rsidRPr="001E3EF7" w14:paraId="70D049DA" w14:textId="77777777" w:rsidTr="00610BA2">
        <w:trPr>
          <w:trHeight w:val="525"/>
        </w:trPr>
        <w:tc>
          <w:tcPr>
            <w:tcW w:w="1851" w:type="dxa"/>
            <w:tcBorders>
              <w:top w:val="single" w:sz="6" w:space="0" w:color="000000"/>
              <w:left w:val="single" w:sz="6" w:space="0" w:color="000000"/>
              <w:bottom w:val="single" w:sz="6" w:space="0" w:color="000000"/>
              <w:right w:val="single" w:sz="6" w:space="0" w:color="000000"/>
            </w:tcBorders>
          </w:tcPr>
          <w:p w14:paraId="287D7452" w14:textId="77777777" w:rsidR="00B63F37" w:rsidRPr="008D7156" w:rsidRDefault="00B63F37" w:rsidP="00610BA2">
            <w:pPr>
              <w:rPr>
                <w:sz w:val="22"/>
                <w:szCs w:val="24"/>
              </w:rPr>
            </w:pPr>
            <w:r w:rsidRPr="008D7156">
              <w:rPr>
                <w:sz w:val="22"/>
                <w:szCs w:val="24"/>
              </w:rPr>
              <w:t>Низкий</w:t>
            </w:r>
          </w:p>
        </w:tc>
        <w:tc>
          <w:tcPr>
            <w:tcW w:w="992" w:type="dxa"/>
            <w:tcBorders>
              <w:top w:val="single" w:sz="6" w:space="0" w:color="000000"/>
              <w:left w:val="single" w:sz="6" w:space="0" w:color="000000"/>
              <w:bottom w:val="single" w:sz="6" w:space="0" w:color="000000"/>
              <w:right w:val="single" w:sz="6" w:space="0" w:color="000000"/>
            </w:tcBorders>
          </w:tcPr>
          <w:p w14:paraId="6FE43BF0" w14:textId="77777777" w:rsidR="00B63F37" w:rsidRPr="008D7156" w:rsidRDefault="00B63F37" w:rsidP="00610BA2">
            <w:pPr>
              <w:jc w:val="center"/>
              <w:rPr>
                <w:sz w:val="22"/>
                <w:szCs w:val="24"/>
              </w:rPr>
            </w:pPr>
            <w:r w:rsidRPr="008D7156">
              <w:rPr>
                <w:sz w:val="22"/>
                <w:szCs w:val="24"/>
              </w:rPr>
              <w:t>&gt;1,5–3</w:t>
            </w:r>
          </w:p>
        </w:tc>
        <w:tc>
          <w:tcPr>
            <w:tcW w:w="2858" w:type="dxa"/>
            <w:gridSpan w:val="2"/>
            <w:tcBorders>
              <w:top w:val="single" w:sz="6" w:space="0" w:color="000000"/>
              <w:left w:val="single" w:sz="6" w:space="0" w:color="000000"/>
              <w:bottom w:val="single" w:sz="6" w:space="0" w:color="000000"/>
              <w:right w:val="single" w:sz="6" w:space="0" w:color="000000"/>
            </w:tcBorders>
          </w:tcPr>
          <w:p w14:paraId="21DC5156" w14:textId="77777777" w:rsidR="00B63F37" w:rsidRPr="008D7156" w:rsidRDefault="00B63F37" w:rsidP="00610BA2">
            <w:pPr>
              <w:jc w:val="center"/>
              <w:rPr>
                <w:sz w:val="22"/>
                <w:szCs w:val="24"/>
              </w:rPr>
            </w:pPr>
            <w:r w:rsidRPr="008D7156">
              <w:rPr>
                <w:sz w:val="22"/>
                <w:szCs w:val="24"/>
              </w:rPr>
              <w:t>6,3</w:t>
            </w:r>
          </w:p>
        </w:tc>
        <w:tc>
          <w:tcPr>
            <w:tcW w:w="3805" w:type="dxa"/>
            <w:gridSpan w:val="3"/>
            <w:tcBorders>
              <w:top w:val="single" w:sz="6" w:space="0" w:color="000000"/>
              <w:left w:val="single" w:sz="6" w:space="0" w:color="000000"/>
              <w:bottom w:val="single" w:sz="6" w:space="0" w:color="000000"/>
              <w:right w:val="single" w:sz="6" w:space="0" w:color="000000"/>
            </w:tcBorders>
          </w:tcPr>
          <w:p w14:paraId="1C29207E" w14:textId="77777777" w:rsidR="00B63F37" w:rsidRPr="008D7156" w:rsidRDefault="00B63F37" w:rsidP="00610BA2">
            <w:pPr>
              <w:jc w:val="center"/>
              <w:rPr>
                <w:sz w:val="22"/>
                <w:szCs w:val="24"/>
              </w:rPr>
            </w:pPr>
            <w:r w:rsidRPr="008D7156">
              <w:rPr>
                <w:sz w:val="22"/>
                <w:szCs w:val="24"/>
              </w:rPr>
              <w:t>Не достигнута</w:t>
            </w:r>
          </w:p>
        </w:tc>
      </w:tr>
      <w:tr w:rsidR="00B63F37" w:rsidRPr="001E3EF7" w14:paraId="7350E906" w14:textId="77777777" w:rsidTr="00610BA2">
        <w:trPr>
          <w:trHeight w:val="525"/>
        </w:trPr>
        <w:tc>
          <w:tcPr>
            <w:tcW w:w="1851" w:type="dxa"/>
            <w:tcBorders>
              <w:top w:val="single" w:sz="6" w:space="0" w:color="000000"/>
              <w:left w:val="single" w:sz="6" w:space="0" w:color="000000"/>
              <w:bottom w:val="single" w:sz="6" w:space="0" w:color="000000"/>
              <w:right w:val="single" w:sz="6" w:space="0" w:color="000000"/>
            </w:tcBorders>
          </w:tcPr>
          <w:p w14:paraId="01AE265D" w14:textId="77777777" w:rsidR="00B63F37" w:rsidRPr="008D7156" w:rsidRDefault="00B63F37" w:rsidP="00610BA2">
            <w:pPr>
              <w:rPr>
                <w:sz w:val="22"/>
                <w:szCs w:val="24"/>
              </w:rPr>
            </w:pPr>
            <w:r w:rsidRPr="008D7156">
              <w:rPr>
                <w:sz w:val="22"/>
                <w:szCs w:val="24"/>
              </w:rPr>
              <w:t>Промежуточный</w:t>
            </w:r>
          </w:p>
        </w:tc>
        <w:tc>
          <w:tcPr>
            <w:tcW w:w="992" w:type="dxa"/>
            <w:tcBorders>
              <w:top w:val="single" w:sz="6" w:space="0" w:color="000000"/>
              <w:left w:val="single" w:sz="6" w:space="0" w:color="000000"/>
              <w:bottom w:val="single" w:sz="6" w:space="0" w:color="000000"/>
              <w:right w:val="single" w:sz="6" w:space="0" w:color="000000"/>
            </w:tcBorders>
          </w:tcPr>
          <w:p w14:paraId="11025C22" w14:textId="77777777" w:rsidR="00B63F37" w:rsidRPr="008D7156" w:rsidRDefault="00B63F37" w:rsidP="00610BA2">
            <w:pPr>
              <w:jc w:val="center"/>
              <w:rPr>
                <w:sz w:val="22"/>
                <w:szCs w:val="24"/>
              </w:rPr>
            </w:pPr>
            <w:r w:rsidRPr="008D7156">
              <w:rPr>
                <w:sz w:val="22"/>
                <w:szCs w:val="24"/>
              </w:rPr>
              <w:t>&gt;3–4,5</w:t>
            </w:r>
          </w:p>
        </w:tc>
        <w:tc>
          <w:tcPr>
            <w:tcW w:w="2858" w:type="dxa"/>
            <w:gridSpan w:val="2"/>
            <w:tcBorders>
              <w:top w:val="single" w:sz="6" w:space="0" w:color="000000"/>
              <w:left w:val="single" w:sz="6" w:space="0" w:color="000000"/>
              <w:bottom w:val="single" w:sz="6" w:space="0" w:color="000000"/>
              <w:right w:val="single" w:sz="6" w:space="0" w:color="000000"/>
            </w:tcBorders>
          </w:tcPr>
          <w:p w14:paraId="22954D7C" w14:textId="77777777" w:rsidR="00B63F37" w:rsidRPr="008D7156" w:rsidRDefault="00B63F37" w:rsidP="00610BA2">
            <w:pPr>
              <w:jc w:val="center"/>
              <w:rPr>
                <w:sz w:val="22"/>
                <w:szCs w:val="24"/>
              </w:rPr>
            </w:pPr>
            <w:r w:rsidRPr="008D7156">
              <w:rPr>
                <w:sz w:val="22"/>
                <w:szCs w:val="24"/>
              </w:rPr>
              <w:t>3,4</w:t>
            </w:r>
          </w:p>
        </w:tc>
        <w:tc>
          <w:tcPr>
            <w:tcW w:w="3805" w:type="dxa"/>
            <w:gridSpan w:val="3"/>
            <w:tcBorders>
              <w:top w:val="single" w:sz="6" w:space="0" w:color="000000"/>
              <w:left w:val="single" w:sz="6" w:space="0" w:color="000000"/>
              <w:bottom w:val="single" w:sz="6" w:space="0" w:color="000000"/>
              <w:right w:val="single" w:sz="6" w:space="0" w:color="000000"/>
            </w:tcBorders>
          </w:tcPr>
          <w:p w14:paraId="54CA6350" w14:textId="77777777" w:rsidR="00B63F37" w:rsidRPr="008D7156" w:rsidRDefault="00B63F37" w:rsidP="00610BA2">
            <w:pPr>
              <w:jc w:val="center"/>
              <w:rPr>
                <w:sz w:val="22"/>
                <w:szCs w:val="24"/>
              </w:rPr>
            </w:pPr>
            <w:r w:rsidRPr="008D7156">
              <w:rPr>
                <w:sz w:val="22"/>
                <w:szCs w:val="24"/>
              </w:rPr>
              <w:t>2,4</w:t>
            </w:r>
          </w:p>
        </w:tc>
      </w:tr>
      <w:tr w:rsidR="00B63F37" w:rsidRPr="001E3EF7" w14:paraId="746F4C49" w14:textId="77777777" w:rsidTr="00610BA2">
        <w:trPr>
          <w:trHeight w:val="525"/>
        </w:trPr>
        <w:tc>
          <w:tcPr>
            <w:tcW w:w="1851" w:type="dxa"/>
            <w:tcBorders>
              <w:top w:val="single" w:sz="6" w:space="0" w:color="000000"/>
              <w:left w:val="single" w:sz="6" w:space="0" w:color="000000"/>
              <w:bottom w:val="single" w:sz="6" w:space="0" w:color="000000"/>
              <w:right w:val="single" w:sz="6" w:space="0" w:color="000000"/>
            </w:tcBorders>
          </w:tcPr>
          <w:p w14:paraId="020879C7" w14:textId="77777777" w:rsidR="00B63F37" w:rsidRPr="008D7156" w:rsidRDefault="00B63F37" w:rsidP="00610BA2">
            <w:pPr>
              <w:rPr>
                <w:sz w:val="22"/>
                <w:szCs w:val="24"/>
              </w:rPr>
            </w:pPr>
            <w:r w:rsidRPr="008D7156">
              <w:rPr>
                <w:sz w:val="22"/>
                <w:szCs w:val="24"/>
              </w:rPr>
              <w:t>Высокий</w:t>
            </w:r>
          </w:p>
        </w:tc>
        <w:tc>
          <w:tcPr>
            <w:tcW w:w="992" w:type="dxa"/>
            <w:tcBorders>
              <w:top w:val="single" w:sz="6" w:space="0" w:color="000000"/>
              <w:left w:val="single" w:sz="6" w:space="0" w:color="000000"/>
              <w:bottom w:val="single" w:sz="6" w:space="0" w:color="000000"/>
              <w:right w:val="single" w:sz="6" w:space="0" w:color="000000"/>
            </w:tcBorders>
          </w:tcPr>
          <w:p w14:paraId="1A347EAB" w14:textId="77777777" w:rsidR="00B63F37" w:rsidRPr="008D7156" w:rsidRDefault="00B63F37" w:rsidP="00610BA2">
            <w:pPr>
              <w:jc w:val="center"/>
              <w:rPr>
                <w:sz w:val="22"/>
                <w:szCs w:val="24"/>
              </w:rPr>
            </w:pPr>
            <w:r w:rsidRPr="008D7156">
              <w:rPr>
                <w:sz w:val="22"/>
                <w:szCs w:val="24"/>
              </w:rPr>
              <w:t>&gt;4,5–6</w:t>
            </w:r>
          </w:p>
        </w:tc>
        <w:tc>
          <w:tcPr>
            <w:tcW w:w="2858" w:type="dxa"/>
            <w:gridSpan w:val="2"/>
            <w:tcBorders>
              <w:top w:val="single" w:sz="6" w:space="0" w:color="000000"/>
              <w:left w:val="single" w:sz="6" w:space="0" w:color="000000"/>
              <w:bottom w:val="single" w:sz="6" w:space="0" w:color="000000"/>
              <w:right w:val="single" w:sz="6" w:space="0" w:color="000000"/>
            </w:tcBorders>
          </w:tcPr>
          <w:p w14:paraId="6AEC2283" w14:textId="77777777" w:rsidR="00B63F37" w:rsidRPr="008D7156" w:rsidRDefault="00B63F37" w:rsidP="00610BA2">
            <w:pPr>
              <w:jc w:val="center"/>
              <w:rPr>
                <w:sz w:val="22"/>
                <w:szCs w:val="24"/>
              </w:rPr>
            </w:pPr>
            <w:r w:rsidRPr="008D7156">
              <w:rPr>
                <w:sz w:val="22"/>
                <w:szCs w:val="24"/>
              </w:rPr>
              <w:t>1,2</w:t>
            </w:r>
          </w:p>
        </w:tc>
        <w:tc>
          <w:tcPr>
            <w:tcW w:w="3805" w:type="dxa"/>
            <w:gridSpan w:val="3"/>
            <w:tcBorders>
              <w:top w:val="single" w:sz="6" w:space="0" w:color="000000"/>
              <w:left w:val="single" w:sz="6" w:space="0" w:color="000000"/>
              <w:bottom w:val="single" w:sz="6" w:space="0" w:color="000000"/>
              <w:right w:val="single" w:sz="6" w:space="0" w:color="000000"/>
            </w:tcBorders>
          </w:tcPr>
          <w:p w14:paraId="7FF4FBDD" w14:textId="77777777" w:rsidR="00B63F37" w:rsidRPr="008D7156" w:rsidRDefault="00B63F37" w:rsidP="00610BA2">
            <w:pPr>
              <w:jc w:val="center"/>
              <w:rPr>
                <w:sz w:val="22"/>
                <w:szCs w:val="24"/>
              </w:rPr>
            </w:pPr>
            <w:r w:rsidRPr="008D7156">
              <w:rPr>
                <w:sz w:val="22"/>
                <w:szCs w:val="24"/>
              </w:rPr>
              <w:t>0,8</w:t>
            </w:r>
          </w:p>
        </w:tc>
      </w:tr>
      <w:tr w:rsidR="00B63F37" w:rsidRPr="001E3EF7" w14:paraId="2D9D4B55" w14:textId="77777777" w:rsidTr="00610BA2">
        <w:trPr>
          <w:trHeight w:val="525"/>
        </w:trPr>
        <w:tc>
          <w:tcPr>
            <w:tcW w:w="1851" w:type="dxa"/>
            <w:tcBorders>
              <w:top w:val="single" w:sz="6" w:space="0" w:color="000000"/>
              <w:left w:val="single" w:sz="6" w:space="0" w:color="000000"/>
              <w:bottom w:val="single" w:sz="6" w:space="0" w:color="000000"/>
              <w:right w:val="single" w:sz="6" w:space="0" w:color="000000"/>
            </w:tcBorders>
          </w:tcPr>
          <w:p w14:paraId="6CCE8839" w14:textId="77777777" w:rsidR="00B63F37" w:rsidRPr="008D7156" w:rsidRDefault="00B63F37" w:rsidP="00610BA2">
            <w:pPr>
              <w:rPr>
                <w:sz w:val="22"/>
                <w:szCs w:val="24"/>
              </w:rPr>
            </w:pPr>
            <w:r w:rsidRPr="008D7156">
              <w:rPr>
                <w:sz w:val="22"/>
                <w:szCs w:val="24"/>
              </w:rPr>
              <w:t>Очень высокий</w:t>
            </w:r>
          </w:p>
          <w:p w14:paraId="4A4CEEB7" w14:textId="77777777" w:rsidR="00B63F37" w:rsidRPr="008D7156" w:rsidRDefault="00B63F37" w:rsidP="00610BA2">
            <w:pPr>
              <w:rPr>
                <w:sz w:val="22"/>
                <w:szCs w:val="24"/>
              </w:rPr>
            </w:pPr>
          </w:p>
          <w:p w14:paraId="046EADA3" w14:textId="77777777" w:rsidR="00B63F37" w:rsidRPr="008D7156" w:rsidRDefault="00B63F37" w:rsidP="00610BA2">
            <w:pPr>
              <w:rPr>
                <w:sz w:val="22"/>
                <w:szCs w:val="24"/>
              </w:rPr>
            </w:pPr>
          </w:p>
          <w:p w14:paraId="250800D0" w14:textId="77777777" w:rsidR="00B63F37" w:rsidRPr="008D7156" w:rsidRDefault="00B63F37" w:rsidP="00610BA2">
            <w:pPr>
              <w:rPr>
                <w:sz w:val="22"/>
                <w:szCs w:val="24"/>
              </w:rPr>
            </w:pPr>
          </w:p>
        </w:tc>
        <w:tc>
          <w:tcPr>
            <w:tcW w:w="992" w:type="dxa"/>
            <w:tcBorders>
              <w:top w:val="single" w:sz="6" w:space="0" w:color="000000"/>
              <w:left w:val="single" w:sz="6" w:space="0" w:color="000000"/>
              <w:bottom w:val="single" w:sz="6" w:space="0" w:color="000000"/>
              <w:right w:val="single" w:sz="6" w:space="0" w:color="000000"/>
            </w:tcBorders>
          </w:tcPr>
          <w:p w14:paraId="3F13E0B0" w14:textId="77777777" w:rsidR="00B63F37" w:rsidRPr="008D7156" w:rsidRDefault="00B63F37" w:rsidP="00610BA2">
            <w:pPr>
              <w:jc w:val="center"/>
              <w:rPr>
                <w:sz w:val="22"/>
                <w:szCs w:val="24"/>
              </w:rPr>
            </w:pPr>
            <w:r w:rsidRPr="008D7156">
              <w:rPr>
                <w:sz w:val="22"/>
                <w:szCs w:val="24"/>
              </w:rPr>
              <w:t>&gt;6</w:t>
            </w:r>
          </w:p>
        </w:tc>
        <w:tc>
          <w:tcPr>
            <w:tcW w:w="2858" w:type="dxa"/>
            <w:gridSpan w:val="2"/>
            <w:tcBorders>
              <w:top w:val="single" w:sz="6" w:space="0" w:color="000000"/>
              <w:left w:val="single" w:sz="6" w:space="0" w:color="000000"/>
              <w:bottom w:val="single" w:sz="6" w:space="0" w:color="000000"/>
              <w:right w:val="single" w:sz="6" w:space="0" w:color="000000"/>
            </w:tcBorders>
          </w:tcPr>
          <w:p w14:paraId="789F9175" w14:textId="77777777" w:rsidR="00B63F37" w:rsidRPr="008D7156" w:rsidRDefault="00B63F37" w:rsidP="00610BA2">
            <w:pPr>
              <w:jc w:val="center"/>
              <w:rPr>
                <w:sz w:val="22"/>
                <w:szCs w:val="24"/>
              </w:rPr>
            </w:pPr>
            <w:r w:rsidRPr="008D7156">
              <w:rPr>
                <w:sz w:val="22"/>
                <w:szCs w:val="24"/>
              </w:rPr>
              <w:t>0,6</w:t>
            </w:r>
          </w:p>
        </w:tc>
        <w:tc>
          <w:tcPr>
            <w:tcW w:w="3805" w:type="dxa"/>
            <w:gridSpan w:val="3"/>
            <w:tcBorders>
              <w:top w:val="single" w:sz="6" w:space="0" w:color="000000"/>
              <w:left w:val="single" w:sz="6" w:space="0" w:color="000000"/>
              <w:bottom w:val="single" w:sz="6" w:space="0" w:color="000000"/>
              <w:right w:val="single" w:sz="6" w:space="0" w:color="000000"/>
            </w:tcBorders>
          </w:tcPr>
          <w:p w14:paraId="1C9C2753" w14:textId="77777777" w:rsidR="00B63F37" w:rsidRPr="008D7156" w:rsidRDefault="00B63F37" w:rsidP="00610BA2">
            <w:pPr>
              <w:jc w:val="center"/>
              <w:rPr>
                <w:sz w:val="22"/>
                <w:szCs w:val="24"/>
              </w:rPr>
            </w:pPr>
            <w:r w:rsidRPr="008D7156">
              <w:rPr>
                <w:sz w:val="22"/>
                <w:szCs w:val="24"/>
              </w:rPr>
              <w:t>0,6</w:t>
            </w:r>
          </w:p>
        </w:tc>
      </w:tr>
      <w:tr w:rsidR="00B63F37" w:rsidRPr="001E3EF7" w14:paraId="6942C3D2" w14:textId="77777777" w:rsidTr="00610BA2">
        <w:trPr>
          <w:trHeight w:val="525"/>
        </w:trPr>
        <w:tc>
          <w:tcPr>
            <w:tcW w:w="1851" w:type="dxa"/>
            <w:tcBorders>
              <w:top w:val="single" w:sz="6" w:space="0" w:color="000000"/>
              <w:left w:val="single" w:sz="6" w:space="0" w:color="000000"/>
              <w:bottom w:val="single" w:sz="6" w:space="0" w:color="000000"/>
              <w:right w:val="single" w:sz="6" w:space="0" w:color="000000"/>
            </w:tcBorders>
            <w:vAlign w:val="center"/>
          </w:tcPr>
          <w:p w14:paraId="065FCDDB" w14:textId="77777777" w:rsidR="00B63F37" w:rsidRPr="008D7156" w:rsidRDefault="00B63F37" w:rsidP="00610BA2">
            <w:pPr>
              <w:rPr>
                <w:b/>
                <w:sz w:val="22"/>
                <w:szCs w:val="24"/>
              </w:rPr>
            </w:pPr>
            <w:r w:rsidRPr="008D7156">
              <w:rPr>
                <w:b/>
                <w:sz w:val="22"/>
                <w:szCs w:val="24"/>
              </w:rPr>
              <w:t>Вариант кариотипа</w:t>
            </w:r>
          </w:p>
        </w:tc>
        <w:tc>
          <w:tcPr>
            <w:tcW w:w="7655" w:type="dxa"/>
            <w:gridSpan w:val="6"/>
            <w:tcBorders>
              <w:top w:val="single" w:sz="6" w:space="0" w:color="000000"/>
              <w:left w:val="single" w:sz="6" w:space="0" w:color="000000"/>
              <w:bottom w:val="single" w:sz="6" w:space="0" w:color="000000"/>
              <w:right w:val="single" w:sz="6" w:space="0" w:color="000000"/>
            </w:tcBorders>
            <w:vAlign w:val="center"/>
          </w:tcPr>
          <w:p w14:paraId="2468F319" w14:textId="77777777" w:rsidR="00B63F37" w:rsidRPr="008D7156" w:rsidRDefault="00B63F37" w:rsidP="00610BA2">
            <w:pPr>
              <w:jc w:val="center"/>
              <w:rPr>
                <w:b/>
                <w:sz w:val="22"/>
                <w:szCs w:val="24"/>
              </w:rPr>
            </w:pPr>
            <w:r w:rsidRPr="008D7156">
              <w:rPr>
                <w:b/>
                <w:sz w:val="22"/>
                <w:szCs w:val="24"/>
              </w:rPr>
              <w:t>Данные цитогенетического исследования</w:t>
            </w:r>
          </w:p>
        </w:tc>
      </w:tr>
      <w:tr w:rsidR="00B63F37" w:rsidRPr="001E3EF7" w14:paraId="6E267F2B" w14:textId="77777777" w:rsidTr="00610BA2">
        <w:trPr>
          <w:trHeight w:val="525"/>
        </w:trPr>
        <w:tc>
          <w:tcPr>
            <w:tcW w:w="1851" w:type="dxa"/>
            <w:tcBorders>
              <w:top w:val="single" w:sz="6" w:space="0" w:color="000000"/>
              <w:left w:val="single" w:sz="6" w:space="0" w:color="000000"/>
              <w:bottom w:val="single" w:sz="6" w:space="0" w:color="000000"/>
              <w:right w:val="single" w:sz="6" w:space="0" w:color="000000"/>
            </w:tcBorders>
          </w:tcPr>
          <w:p w14:paraId="415F42E7" w14:textId="77777777" w:rsidR="00B63F37" w:rsidRPr="008D7156" w:rsidRDefault="00B63F37" w:rsidP="00610BA2">
            <w:pPr>
              <w:rPr>
                <w:sz w:val="22"/>
                <w:szCs w:val="24"/>
              </w:rPr>
            </w:pPr>
            <w:r w:rsidRPr="008D7156">
              <w:rPr>
                <w:sz w:val="22"/>
                <w:szCs w:val="24"/>
              </w:rPr>
              <w:lastRenderedPageBreak/>
              <w:t>Очень хороший</w:t>
            </w:r>
          </w:p>
        </w:tc>
        <w:tc>
          <w:tcPr>
            <w:tcW w:w="7655" w:type="dxa"/>
            <w:gridSpan w:val="6"/>
            <w:tcBorders>
              <w:top w:val="single" w:sz="6" w:space="0" w:color="000000"/>
              <w:left w:val="single" w:sz="6" w:space="0" w:color="000000"/>
              <w:bottom w:val="single" w:sz="6" w:space="0" w:color="000000"/>
              <w:right w:val="single" w:sz="6" w:space="0" w:color="000000"/>
            </w:tcBorders>
          </w:tcPr>
          <w:p w14:paraId="7E967C2B" w14:textId="77777777" w:rsidR="00B63F37" w:rsidRPr="008D7156" w:rsidRDefault="00B63F37" w:rsidP="00610BA2">
            <w:pPr>
              <w:rPr>
                <w:sz w:val="22"/>
                <w:szCs w:val="24"/>
              </w:rPr>
            </w:pPr>
            <w:r w:rsidRPr="008D7156">
              <w:rPr>
                <w:sz w:val="22"/>
                <w:szCs w:val="24"/>
              </w:rPr>
              <w:t>–Y; del(11q)</w:t>
            </w:r>
          </w:p>
        </w:tc>
      </w:tr>
      <w:tr w:rsidR="00B63F37" w:rsidRPr="001E3EF7" w14:paraId="51CA7622" w14:textId="77777777" w:rsidTr="00610BA2">
        <w:trPr>
          <w:trHeight w:val="720"/>
        </w:trPr>
        <w:tc>
          <w:tcPr>
            <w:tcW w:w="1851" w:type="dxa"/>
            <w:tcBorders>
              <w:top w:val="single" w:sz="6" w:space="0" w:color="000000"/>
              <w:left w:val="single" w:sz="6" w:space="0" w:color="000000"/>
              <w:bottom w:val="single" w:sz="6" w:space="0" w:color="000000"/>
              <w:right w:val="single" w:sz="6" w:space="0" w:color="000000"/>
            </w:tcBorders>
          </w:tcPr>
          <w:p w14:paraId="55E99712" w14:textId="77777777" w:rsidR="00B63F37" w:rsidRPr="008D7156" w:rsidRDefault="00B63F37" w:rsidP="00610BA2">
            <w:pPr>
              <w:rPr>
                <w:sz w:val="22"/>
                <w:szCs w:val="24"/>
              </w:rPr>
            </w:pPr>
            <w:r w:rsidRPr="008D7156">
              <w:rPr>
                <w:sz w:val="22"/>
                <w:szCs w:val="24"/>
              </w:rPr>
              <w:t>Хороший</w:t>
            </w:r>
          </w:p>
        </w:tc>
        <w:tc>
          <w:tcPr>
            <w:tcW w:w="7655" w:type="dxa"/>
            <w:gridSpan w:val="6"/>
            <w:tcBorders>
              <w:top w:val="single" w:sz="6" w:space="0" w:color="000000"/>
              <w:left w:val="single" w:sz="6" w:space="0" w:color="000000"/>
              <w:bottom w:val="single" w:sz="6" w:space="0" w:color="000000"/>
              <w:right w:val="single" w:sz="6" w:space="0" w:color="000000"/>
            </w:tcBorders>
          </w:tcPr>
          <w:p w14:paraId="7D557084" w14:textId="77777777" w:rsidR="00B63F37" w:rsidRPr="008D7156" w:rsidRDefault="00B63F37" w:rsidP="00610BA2">
            <w:pPr>
              <w:rPr>
                <w:sz w:val="22"/>
                <w:szCs w:val="24"/>
              </w:rPr>
            </w:pPr>
            <w:r w:rsidRPr="008D7156">
              <w:rPr>
                <w:sz w:val="22"/>
                <w:szCs w:val="24"/>
              </w:rPr>
              <w:t>Нормальный; del(5q); del(12p); del(20q); del(5q) с дополнительной хромосомной аберрацией</w:t>
            </w:r>
          </w:p>
        </w:tc>
      </w:tr>
      <w:tr w:rsidR="00B63F37" w:rsidRPr="001E3EF7" w14:paraId="2CEC5EE8" w14:textId="77777777" w:rsidTr="00610BA2">
        <w:trPr>
          <w:trHeight w:val="525"/>
        </w:trPr>
        <w:tc>
          <w:tcPr>
            <w:tcW w:w="1851" w:type="dxa"/>
            <w:tcBorders>
              <w:top w:val="single" w:sz="6" w:space="0" w:color="000000"/>
              <w:left w:val="single" w:sz="6" w:space="0" w:color="000000"/>
              <w:bottom w:val="single" w:sz="6" w:space="0" w:color="000000"/>
              <w:right w:val="single" w:sz="6" w:space="0" w:color="000000"/>
            </w:tcBorders>
          </w:tcPr>
          <w:p w14:paraId="5F22CBB1" w14:textId="77777777" w:rsidR="00B63F37" w:rsidRPr="008D7156" w:rsidRDefault="00B63F37" w:rsidP="00610BA2">
            <w:pPr>
              <w:rPr>
                <w:sz w:val="22"/>
                <w:szCs w:val="24"/>
              </w:rPr>
            </w:pPr>
            <w:r w:rsidRPr="008D7156">
              <w:rPr>
                <w:sz w:val="22"/>
                <w:szCs w:val="24"/>
              </w:rPr>
              <w:t>Промежуточный</w:t>
            </w:r>
          </w:p>
        </w:tc>
        <w:tc>
          <w:tcPr>
            <w:tcW w:w="7655" w:type="dxa"/>
            <w:gridSpan w:val="6"/>
            <w:tcBorders>
              <w:top w:val="single" w:sz="6" w:space="0" w:color="000000"/>
              <w:left w:val="single" w:sz="6" w:space="0" w:color="000000"/>
              <w:bottom w:val="single" w:sz="6" w:space="0" w:color="000000"/>
              <w:right w:val="single" w:sz="6" w:space="0" w:color="000000"/>
            </w:tcBorders>
          </w:tcPr>
          <w:p w14:paraId="54ED413B" w14:textId="77777777" w:rsidR="00B63F37" w:rsidRPr="008D7156" w:rsidRDefault="00B63F37" w:rsidP="00610BA2">
            <w:pPr>
              <w:rPr>
                <w:sz w:val="22"/>
                <w:szCs w:val="24"/>
              </w:rPr>
            </w:pPr>
            <w:r w:rsidRPr="008D7156">
              <w:rPr>
                <w:sz w:val="22"/>
                <w:szCs w:val="24"/>
              </w:rPr>
              <w:t>Del(7q); +8; +19; i(17q); любая другая изолированная или двойная аберрация</w:t>
            </w:r>
          </w:p>
        </w:tc>
      </w:tr>
      <w:tr w:rsidR="00B63F37" w:rsidRPr="001E3EF7" w14:paraId="7BD0FFFB" w14:textId="77777777" w:rsidTr="00610BA2">
        <w:trPr>
          <w:trHeight w:val="720"/>
        </w:trPr>
        <w:tc>
          <w:tcPr>
            <w:tcW w:w="1851" w:type="dxa"/>
            <w:tcBorders>
              <w:top w:val="single" w:sz="6" w:space="0" w:color="000000"/>
              <w:left w:val="single" w:sz="6" w:space="0" w:color="000000"/>
              <w:bottom w:val="single" w:sz="6" w:space="0" w:color="000000"/>
              <w:right w:val="single" w:sz="6" w:space="0" w:color="000000"/>
            </w:tcBorders>
          </w:tcPr>
          <w:p w14:paraId="0301C865" w14:textId="77777777" w:rsidR="00B63F37" w:rsidRPr="008D7156" w:rsidRDefault="00B63F37" w:rsidP="00610BA2">
            <w:pPr>
              <w:rPr>
                <w:sz w:val="22"/>
                <w:szCs w:val="24"/>
              </w:rPr>
            </w:pPr>
            <w:r w:rsidRPr="008D7156">
              <w:rPr>
                <w:sz w:val="22"/>
                <w:szCs w:val="24"/>
              </w:rPr>
              <w:t>Плохой</w:t>
            </w:r>
          </w:p>
        </w:tc>
        <w:tc>
          <w:tcPr>
            <w:tcW w:w="7655" w:type="dxa"/>
            <w:gridSpan w:val="6"/>
            <w:tcBorders>
              <w:top w:val="single" w:sz="6" w:space="0" w:color="000000"/>
              <w:left w:val="single" w:sz="6" w:space="0" w:color="000000"/>
              <w:bottom w:val="single" w:sz="6" w:space="0" w:color="000000"/>
              <w:right w:val="single" w:sz="6" w:space="0" w:color="000000"/>
            </w:tcBorders>
          </w:tcPr>
          <w:p w14:paraId="7671838F" w14:textId="77777777" w:rsidR="00B63F37" w:rsidRPr="008D7156" w:rsidRDefault="00B63F37" w:rsidP="00610BA2">
            <w:pPr>
              <w:rPr>
                <w:sz w:val="22"/>
                <w:szCs w:val="24"/>
              </w:rPr>
            </w:pPr>
            <w:r w:rsidRPr="008D7156">
              <w:rPr>
                <w:sz w:val="22"/>
                <w:szCs w:val="24"/>
              </w:rPr>
              <w:t>–7; inv(3)/t(3q)/del(3q); двойная аберрация с –7/7q-; комплексный кариотип (3 аберрации)</w:t>
            </w:r>
          </w:p>
        </w:tc>
      </w:tr>
      <w:tr w:rsidR="00B63F37" w:rsidRPr="001E3EF7" w14:paraId="69967590" w14:textId="77777777" w:rsidTr="00610BA2">
        <w:trPr>
          <w:trHeight w:val="525"/>
        </w:trPr>
        <w:tc>
          <w:tcPr>
            <w:tcW w:w="1851" w:type="dxa"/>
            <w:tcBorders>
              <w:top w:val="single" w:sz="6" w:space="0" w:color="000000"/>
              <w:left w:val="single" w:sz="6" w:space="0" w:color="000000"/>
              <w:bottom w:val="single" w:sz="6" w:space="0" w:color="000000"/>
              <w:right w:val="single" w:sz="6" w:space="0" w:color="000000"/>
            </w:tcBorders>
          </w:tcPr>
          <w:p w14:paraId="1BF93AD8" w14:textId="77777777" w:rsidR="00B63F37" w:rsidRPr="008D7156" w:rsidRDefault="00B63F37" w:rsidP="00610BA2">
            <w:pPr>
              <w:rPr>
                <w:sz w:val="22"/>
                <w:szCs w:val="24"/>
              </w:rPr>
            </w:pPr>
            <w:r w:rsidRPr="008D7156">
              <w:rPr>
                <w:sz w:val="22"/>
                <w:szCs w:val="24"/>
              </w:rPr>
              <w:t>Очень плохой</w:t>
            </w:r>
          </w:p>
        </w:tc>
        <w:tc>
          <w:tcPr>
            <w:tcW w:w="7655" w:type="dxa"/>
            <w:gridSpan w:val="6"/>
            <w:tcBorders>
              <w:top w:val="single" w:sz="6" w:space="0" w:color="000000"/>
              <w:left w:val="single" w:sz="6" w:space="0" w:color="000000"/>
              <w:bottom w:val="single" w:sz="6" w:space="0" w:color="000000"/>
              <w:right w:val="single" w:sz="6" w:space="0" w:color="000000"/>
            </w:tcBorders>
          </w:tcPr>
          <w:p w14:paraId="43533148" w14:textId="77777777" w:rsidR="00B63F37" w:rsidRPr="008D7156" w:rsidRDefault="00B63F37" w:rsidP="00610BA2">
            <w:pPr>
              <w:rPr>
                <w:sz w:val="22"/>
                <w:szCs w:val="24"/>
              </w:rPr>
            </w:pPr>
            <w:r w:rsidRPr="008D7156">
              <w:rPr>
                <w:sz w:val="22"/>
                <w:szCs w:val="24"/>
              </w:rPr>
              <w:t>Комплексный кариотип (&gt;3 аберраций)</w:t>
            </w:r>
          </w:p>
        </w:tc>
      </w:tr>
    </w:tbl>
    <w:p w14:paraId="4C29106B" w14:textId="77777777" w:rsidR="00B63F37" w:rsidRDefault="00B63F37" w:rsidP="00B63F37">
      <w:pPr>
        <w:ind w:firstLine="709"/>
        <w:rPr>
          <w:szCs w:val="24"/>
        </w:rPr>
      </w:pPr>
      <w:r w:rsidRPr="006A377C">
        <w:rPr>
          <w:szCs w:val="24"/>
        </w:rPr>
        <w:t>Новая прогностическая система IPSS-R более совершенна и улучшает стратификацию пациентов. Оценка прогноза может технически быть упрощена с помощью Интернет-калькулятора (</w:t>
      </w:r>
      <w:hyperlink r:id="rId8" w:history="1">
        <w:r w:rsidRPr="006A377C">
          <w:rPr>
            <w:rStyle w:val="affd"/>
            <w:color w:val="auto"/>
            <w:szCs w:val="24"/>
          </w:rPr>
          <w:t>http://advanced.ipss-r.com</w:t>
        </w:r>
      </w:hyperlink>
      <w:r w:rsidRPr="006A377C">
        <w:rPr>
          <w:szCs w:val="24"/>
        </w:rPr>
        <w:t>) или бесплатного приложения IPSS-R для смартфонов и планшетных компьютеров.</w:t>
      </w:r>
    </w:p>
    <w:p w14:paraId="5E67C36B" w14:textId="5156DAAD" w:rsidR="00B63F37" w:rsidRPr="00A33E55" w:rsidRDefault="00B63F37" w:rsidP="00B63F37">
      <w:pPr>
        <w:pStyle w:val="2"/>
      </w:pPr>
      <w:bookmarkStart w:id="26" w:name="_Toc65104100"/>
      <w:r>
        <w:t>7.2</w:t>
      </w:r>
      <w:r w:rsidRPr="00A33E55">
        <w:t xml:space="preserve">. </w:t>
      </w:r>
      <w:r>
        <w:t>Другие факторы</w:t>
      </w:r>
      <w:r w:rsidR="00080E0A">
        <w:t>, влияющие на исход МДС</w:t>
      </w:r>
      <w:bookmarkEnd w:id="26"/>
    </w:p>
    <w:p w14:paraId="4DC0C4F3" w14:textId="77777777" w:rsidR="00F20CFD" w:rsidRPr="006A377C" w:rsidRDefault="00F20CFD" w:rsidP="00EA7BF5">
      <w:pPr>
        <w:ind w:firstLine="709"/>
        <w:rPr>
          <w:szCs w:val="24"/>
        </w:rPr>
      </w:pPr>
      <w:r w:rsidRPr="006A377C">
        <w:rPr>
          <w:szCs w:val="24"/>
        </w:rPr>
        <w:t>Отдельные параметры, характеризующие соматический статус пациента, могут влиять на естественное течение болезни и принятие терапевтических решений. К ним относятся возраст, сопутствующие заболевания, физические резервы, нутритивный и психический статус пациента.</w:t>
      </w:r>
    </w:p>
    <w:p w14:paraId="77507963" w14:textId="77777777" w:rsidR="00F20CFD" w:rsidRPr="006A377C" w:rsidRDefault="00F20CFD" w:rsidP="00EA7BF5">
      <w:pPr>
        <w:ind w:firstLine="709"/>
        <w:rPr>
          <w:szCs w:val="24"/>
        </w:rPr>
      </w:pPr>
      <w:r w:rsidRPr="006A377C">
        <w:rPr>
          <w:szCs w:val="24"/>
        </w:rPr>
        <w:t>При выявлении МДС возраст старше 60 лет является независимым неблагоприятным прогностическим фактором. Коррекция на возраст при оценке вероятности долгосрочной выживаемости была предоставлена для большинства прогностических систем. Тем не менее, хронологический возраст может отличаться от биологического, что необходимо учитывать при выборе тактики терапии.</w:t>
      </w:r>
    </w:p>
    <w:p w14:paraId="654DC65F" w14:textId="77777777" w:rsidR="00F20CFD" w:rsidRPr="006A377C" w:rsidRDefault="00F20CFD" w:rsidP="00EA7BF5">
      <w:pPr>
        <w:ind w:firstLine="709"/>
        <w:rPr>
          <w:szCs w:val="24"/>
        </w:rPr>
      </w:pPr>
      <w:r w:rsidRPr="006A377C">
        <w:rPr>
          <w:szCs w:val="24"/>
        </w:rPr>
        <w:t>Высокая частота сопутствующих заболеваний – обычное явление у пожилых людей. Одно или несколько сопутствующих заболеваний исходно встречается более чем у половины пациентов с МДС, что оказывает значительное влияние на выживаемость. Болезни сердца – это самые частые сопутствующие заболевания, определяющие коморбидность пациентов с МДС. Сердечно-сосудистые осложнения наиболее выражены у пациентов с тяжелой анемией и трансфузионной зависимостью.</w:t>
      </w:r>
    </w:p>
    <w:p w14:paraId="73C00AA4" w14:textId="77777777" w:rsidR="00F20CFD" w:rsidRPr="006A377C" w:rsidRDefault="00F20CFD" w:rsidP="00EA7BF5">
      <w:pPr>
        <w:ind w:firstLine="709"/>
        <w:rPr>
          <w:szCs w:val="24"/>
        </w:rPr>
      </w:pPr>
      <w:r w:rsidRPr="006A377C">
        <w:rPr>
          <w:szCs w:val="24"/>
        </w:rPr>
        <w:t xml:space="preserve">Проблемы, связанные с наличием сопутствующих заболеваний, по-разному проявляются у пациентов с МДС из групп низкого и высокого риска. У пациентов с МДС из группы низкого риска, сопутствующие заболевания влияют на прогноз, непосредственно увеличивая риск смерти, не связанной с трансформацией в ОЛ. И наоборот, у пациентов из группы высокого риска клиническое значение нетяжелой сопутствующей патологии не так велико по сравнению с неблагоприятным прогнозом самого МДС. Однако и у этих </w:t>
      </w:r>
      <w:r w:rsidRPr="006A377C">
        <w:rPr>
          <w:szCs w:val="24"/>
        </w:rPr>
        <w:lastRenderedPageBreak/>
        <w:t>пациентов коморбидность влияет на результаты лечения, ограничивая выбор возможных вариантов терапии.</w:t>
      </w:r>
    </w:p>
    <w:p w14:paraId="29653781" w14:textId="77777777" w:rsidR="00F20CFD" w:rsidRPr="006A377C" w:rsidRDefault="00F20CFD" w:rsidP="00EA7BF5">
      <w:pPr>
        <w:ind w:firstLine="709"/>
        <w:rPr>
          <w:szCs w:val="24"/>
        </w:rPr>
      </w:pPr>
      <w:r w:rsidRPr="006A377C">
        <w:rPr>
          <w:szCs w:val="24"/>
        </w:rPr>
        <w:t xml:space="preserve">Для прогнозирования влияния сопутствующих заболеваний на конечные результаты лечения у больных МДС наибольший интерес представляет МДС-специфичный индекс коморбидности (MDS-CI), для определения которого необходимо оценить функциональное состояние и/или наличие поражения сердца, печени, почек и легких, активных или излеченных солидных опухолей (Приложение </w:t>
      </w:r>
      <w:r w:rsidR="00B63F37" w:rsidRPr="006A377C">
        <w:rPr>
          <w:szCs w:val="24"/>
        </w:rPr>
        <w:t>Г</w:t>
      </w:r>
      <w:r w:rsidR="00B63F37">
        <w:rPr>
          <w:szCs w:val="24"/>
        </w:rPr>
        <w:t>2</w:t>
      </w:r>
      <w:r w:rsidRPr="006A377C">
        <w:rPr>
          <w:szCs w:val="24"/>
        </w:rPr>
        <w:t>).</w:t>
      </w:r>
    </w:p>
    <w:p w14:paraId="2B0F2881" w14:textId="77777777" w:rsidR="00F20CFD" w:rsidRPr="006A377C" w:rsidRDefault="00F20CFD" w:rsidP="00EA7BF5">
      <w:pPr>
        <w:ind w:firstLine="709"/>
        <w:rPr>
          <w:szCs w:val="24"/>
        </w:rPr>
      </w:pPr>
      <w:r w:rsidRPr="006A377C">
        <w:rPr>
          <w:szCs w:val="24"/>
        </w:rPr>
        <w:t>По сумме баллов, присвоенных каждому показателю, определяется прогностический вариант MDS-CI: низкий (0), промежуточный (1</w:t>
      </w:r>
      <w:r w:rsidRPr="006A377C">
        <w:rPr>
          <w:i/>
          <w:szCs w:val="24"/>
        </w:rPr>
        <w:t>–</w:t>
      </w:r>
      <w:r w:rsidRPr="006A377C">
        <w:rPr>
          <w:szCs w:val="24"/>
        </w:rPr>
        <w:t>2) и высокий (≥3 баллов). Последующее применение индекса коморбидности позволяет стратифицировать пациентов из группы низкого и промежуточного риска (но не высокого и очень высокого) на группы с разной выживаемостью. При прочих равных условиях высокое значение индекса MDS-CI как увеличивает риск смерти от причин, не связанных с трансформацией в ОЛ (HR 2,46; p &lt;0,001), так и уменьшает показатели ОВ в целом (HR 2,09; p &lt;0,001).</w:t>
      </w:r>
    </w:p>
    <w:p w14:paraId="7F91B221" w14:textId="77777777" w:rsidR="00F20CFD" w:rsidRPr="006A377C" w:rsidRDefault="00F20CFD" w:rsidP="00EA7BF5">
      <w:pPr>
        <w:ind w:firstLine="709"/>
        <w:rPr>
          <w:szCs w:val="24"/>
        </w:rPr>
      </w:pPr>
      <w:r w:rsidRPr="006A377C">
        <w:rPr>
          <w:szCs w:val="24"/>
        </w:rPr>
        <w:t xml:space="preserve">Таким образом, учет факторов, связанных как с заболеванием, так и с самим пациентом, значительно улучшает прогностическую мощность отдельных моделей, особенно в группах низкого риска </w:t>
      </w:r>
      <w:r w:rsidRPr="006A377C">
        <w:rPr>
          <w:szCs w:val="24"/>
        </w:rPr>
        <w:fldChar w:fldCharType="begin" w:fldLock="1"/>
      </w:r>
      <w:r w:rsidR="00AE1E12">
        <w:rPr>
          <w:szCs w:val="24"/>
        </w:rPr>
        <w:instrText>ADDIN CSL_CITATION {"citationItems":[{"id":"ITEM-1","itemData":{"DOI":"10.3324/haematol.2010.033506","ISBN":"0390-6078","ISSN":"03906078","PMID":"21134982","abstract":"The incidence of myelodysplastic syndromes increases with age and a high prevalence of co-morbid conditions has been reported in these patients. So far, risk assessment in myelodysplastic syndromes has been mainly based on disease status. We studied the prognostic impact of comorbidity on the natural history of myelodysplastic syndrome with the aim of developing novel tools for risk assessment. The study population included a learning cohort of 840 patients diagnosed with myelodysplastic syndrome in Pavia, Italy, and a validation cohort of 504 patients followed in Duesseldorf, Germany. Information on comorbidity was extracted from detailed review of the patients' medical charts and laboratory values at diagnosis and during the course of the disease. Univariable and multivariable survival analyses with both fixed and time-dependent covariates were performed using Cox's proportional hazards regression models. Comorbidity was present in 54% of patients in the learning cohort. Cardiac disease was the most frequent comorbidity and the main cause of non-leukemic death. In multivariable analysis, comorbidity had a significant impact on both non-leukemic death (P=0.01) and overall survival (P=0.02). Cardiac, liver, renal, pulmonary disease and solid tumors were found to independently affect the risk of non-leukemic death. A time-dependent myelodysplastic syndrome-specific comorbidity index (MDS-CI) was developed for predicting the effect of comorbidity on outcome. This identified three groups of patients which showed significantly different probabilities of non-leukemic death (P&lt;0.001) and survival (P=0.005) also in the validation cohort. Landmark survival analyses at fixed time points from diagnosis showed that the MDS-CI can better define the life expectancy of patients with myelodysplastic syndrome stratified according to the WHO-classification based Prognostic Scoring System (WPSS).Comorbidities have a significant impact on the outcome of patients with myelodysplastic syndrome. Accounting for both disease status by means of the WPSS and comorbidity through the MDS-CI considerably improves risk stratification in myelodysplastic syndromes.","author":[{"dropping-particle":"Della","family":"Porta","given":"MG","non-dropping-particle":"","parse-names":false,"suffix":""},{"dropping-particle":"","family":"Malcovati","given":"Luca","non-dropping-particle":"","parse-names":false,"suffix":""},{"dropping-particle":"","family":"Porta","given":"Matteo G.","non-dropping-particle":"Della","parse-names":false,"suffix":""},{"dropping-particle":"","family":"Malcovati","given":"Luca","non-dropping-particle":"","parse-names":false,"suffix":""},{"dropping-particle":"","family":"Strupp","given":"Corinna","non-dropping-particle":"","parse-names":false,"suffix":""},{"dropping-particle":"","family":"Ambaglio","given":"Ilaria","non-dropping-particle":"","parse-names":false,"suffix":""},{"dropping-particle":"","family":"Kuendgen","given":"Andrea","non-dropping-particle":"","parse-names":false,"suffix":""},{"dropping-particle":"","family":"Zipperer","given":"Esther","non-dropping-particle":"","parse-names":false,"suffix":""},{"dropping-particle":"","family":"Travaglino","given":"Erica","non-dropping-particle":"","parse-names":false,"suffix":""},{"dropping-particle":"","family":"Invernizzi","given":"Rosangela","non-dropping-particle":"","parse-names":false,"suffix":""},{"dropping-particle":"","family":"Pascutto","given":"Cristiana","non-dropping-particle":"","parse-names":false,"suffix":""},{"dropping-particle":"","family":"Lazzarino","given":"Mario","non-dropping-particle":"","parse-names":false,"suffix":""},{"dropping-particle":"","family":"Germing","given":"Ulrich","non-dropping-particle":"","parse-names":false,"suffix":""},{"dropping-particle":"","family":"Cazzola","given":"Mario","non-dropping-particle":"","parse-names":false,"suffix":""},{"dropping-particle":"","family":"M.G.","given":"della Porta","non-dropping-particle":"","parse-names":false,"suffix":""},{"dropping-particle":"","family":"L.","given":"Malcovati","non-dropping-particle":"","parse-names":false,"suffix":""},{"dropping-particle":"","family":"C.","given":"Strupp","non-dropping-particle":"","parse-names":false,"suffix":""},{"dropping-particle":"","family":"I.","given":"Ambaglio","non-dropping-particle":"","parse-names":false,"suffix":""},{"dropping-particle":"","family":"A.","given":"Kuendgen","non-dropping-particle":"","parse-names":false,"suffix":""},{"dropping-particle":"","family":"E.","given":"Zipperer","non-dropping-particle":"","parse-names":false,"suffix":""},{"dropping-particle":"","family":"E.","given":"Travaglino","non-dropping-particle":"","parse-names":false,"suffix":""},{"dropping-particle":"","family":"R.","given":"Invernizzi","non-dropping-particle":"","parse-names":false,"suffix":""},{"dropping-particle":"","family":"C.","given":"Pascutto","non-dropping-particle":"","parse-names":false,"suffix":""},{"dropping-particle":"","family":"M.","given":"Lazzarino","non-dropping-particle":"","parse-names":false,"suffix":""},{"dropping-particle":"","family":"U.","given":"Germing","non-dropping-particle":"","parse-names":false,"suffix":""},{"dropping-particle":"","family":"M.","given":"Cazzola","non-dropping-particle":"","parse-names":false,"suffix":""},{"dropping-particle":"","family":"Porta","given":"Matteo G.","non-dropping-particle":"Della","parse-names":false,"suffix":""},{"dropping-particle":"","family":"Malcovati","given":"Luca","non-dropping-particle":"","parse-names":false,"suffix":""},{"dropping-particle":"","family":"Strupp","given":"Corinna","non-dropping-particle":"","parse-names":false,"suffix":""},{"dropping-particle":"","family":"Ambaglio","given":"Ilaria","non-dropping-particle":"","parse-names":false,"suffix":""},{"dropping-particle":"","family":"Kuendgen","given":"Andrea","non-dropping-particle":"","parse-names":false,"suffix":""},{"dropping-particle":"","family":"Zipperer","given":"Esther","non-dropping-particle":"","parse-names":false,"suffix":""},{"dropping-particle":"","family":"Travaglino","given":"Erica","non-dropping-particle":"","parse-names":false,"suffix":""},{"dropping-particle":"","family":"Invernizzi","given":"Rosangela","non-dropping-particle":"","parse-names":false,"suffix":""},{"dropping-particle":"","family":"Pascutto","given":"Cristiana","non-dropping-particle":"","parse-names":false,"suffix":""},{"dropping-particle":"","family":"Lazzarino","given":"Mario","non-dropping-particle":"","parse-names":false,"suffix":""},{"dropping-particle":"","family":"Germing","given":"Ulrich","non-dropping-particle":"","parse-names":false,"suffix":""},{"dropping-particle":"","family":"Cazzola","given":"Mario","non-dropping-particle":"","parse-names":false,"suffix":""}],"container-title":"Haematologica","id":"ITEM-1","issue":"3","issued":{"date-parts":[["2011"]]},"page":"441-449","title":"Risk stratification based on both disease status and extra-hematologic comorbidities in patients with myelodysplastic syndrome","type":"article-journal","volume":"96"},"uris":["http://www.mendeley.com/documents/?uuid=1cb02816-5b90-3934-85c2-099397e0a235"]}],"mendeley":{"formattedCitation":"[119]","plainTextFormattedCitation":"[119]","previouslyFormattedCitation":"[119]"},"properties":{"noteIndex":0},"schema":"https://github.com/citation-style-language/schema/raw/master/csl-citation.json"}</w:instrText>
      </w:r>
      <w:r w:rsidRPr="006A377C">
        <w:rPr>
          <w:szCs w:val="24"/>
        </w:rPr>
        <w:fldChar w:fldCharType="separate"/>
      </w:r>
      <w:r w:rsidR="00AE1E12" w:rsidRPr="00AE1E12">
        <w:rPr>
          <w:noProof/>
          <w:szCs w:val="24"/>
        </w:rPr>
        <w:t>[119]</w:t>
      </w:r>
      <w:r w:rsidRPr="006A377C">
        <w:rPr>
          <w:szCs w:val="24"/>
        </w:rPr>
        <w:fldChar w:fldCharType="end"/>
      </w:r>
      <w:r w:rsidRPr="006A377C">
        <w:rPr>
          <w:szCs w:val="24"/>
        </w:rPr>
        <w:t>.</w:t>
      </w:r>
    </w:p>
    <w:p w14:paraId="0BE49BDF" w14:textId="2C163AEA" w:rsidR="00080E0A" w:rsidRDefault="00080E0A" w:rsidP="00080E0A">
      <w:pPr>
        <w:ind w:left="360"/>
        <w:rPr>
          <w:szCs w:val="24"/>
        </w:rPr>
      </w:pPr>
    </w:p>
    <w:p w14:paraId="425567A3" w14:textId="388BC5FF" w:rsidR="00651041" w:rsidRDefault="00080E0A" w:rsidP="00651041">
      <w:pPr>
        <w:pStyle w:val="2"/>
      </w:pPr>
      <w:bookmarkStart w:id="27" w:name="_Toc65104101"/>
      <w:r>
        <w:t xml:space="preserve">7.3 </w:t>
      </w:r>
      <w:r w:rsidR="00651041" w:rsidRPr="005E31D3">
        <w:rPr>
          <w:lang w:eastAsia="ru-RU"/>
        </w:rPr>
        <w:t>Профилактика и лечение тошноты и рвоты</w:t>
      </w:r>
      <w:bookmarkEnd w:id="27"/>
      <w:r w:rsidR="00651041" w:rsidRPr="009600FA">
        <w:rPr>
          <w:lang w:eastAsia="ru-RU"/>
        </w:rPr>
        <w:t xml:space="preserve"> </w:t>
      </w:r>
    </w:p>
    <w:p w14:paraId="6175AE61" w14:textId="77777777" w:rsidR="00651041" w:rsidRPr="0030741F" w:rsidRDefault="00651041" w:rsidP="00651041">
      <w:pPr>
        <w:tabs>
          <w:tab w:val="left" w:pos="0"/>
        </w:tabs>
        <w:rPr>
          <w:b/>
          <w:szCs w:val="24"/>
        </w:rPr>
      </w:pPr>
    </w:p>
    <w:p w14:paraId="7AAFBB17" w14:textId="747B7940" w:rsidR="00651041" w:rsidRPr="001957E3" w:rsidRDefault="00651041" w:rsidP="00651041">
      <w:pPr>
        <w:ind w:firstLine="709"/>
      </w:pPr>
      <w:r w:rsidRPr="001957E3">
        <w:t xml:space="preserve">Одним из частых клинически значимых побочных эффектов </w:t>
      </w:r>
      <w:r>
        <w:t>П</w:t>
      </w:r>
      <w:r w:rsidRPr="001957E3">
        <w:t>ХТ является тошнота и рвота. Эти побочные явления приводят не только к ухудшению самочувствия пациента, снижению качества жизни, но и препятствуют применению лекарственных препаратов в пероральной форме, а также приему пищи. Появление новых комбинаций противоопухолевых средств приводит к улучшению результатов терапии онкогематологических больных, однако выраженная тошнота и рвота могут ограничивать применение химиопрепаратов в полных дозах, отрицательно влиять на приверженность больных лечению. В связи с этим контроль тошноты и рвоты играет жизненно важную роль в сопроводительной терапии больных гемобластозами</w:t>
      </w:r>
      <w:r>
        <w:t xml:space="preserve"> </w:t>
      </w:r>
      <w:r>
        <w:fldChar w:fldCharType="begin" w:fldLock="1"/>
      </w:r>
      <w:r w:rsidR="001264E7">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[120–126]","plainTextFormattedCitation":"[120–126]","previouslyFormattedCitation":"[120–126]"},"properties":{"noteIndex":0},"schema":"https://github.com/citation-style-language/schema/raw/master/csl-citation.json"}</w:instrText>
      </w:r>
      <w:r>
        <w:fldChar w:fldCharType="separate"/>
      </w:r>
      <w:r w:rsidR="00F15197" w:rsidRPr="00F15197">
        <w:rPr>
          <w:noProof/>
        </w:rPr>
        <w:t>[120–126]</w:t>
      </w:r>
      <w:r>
        <w:fldChar w:fldCharType="end"/>
      </w:r>
      <w:r w:rsidRPr="001957E3">
        <w:t xml:space="preserve">. </w:t>
      </w:r>
    </w:p>
    <w:p w14:paraId="42A96B39" w14:textId="77777777" w:rsidR="00651041" w:rsidRPr="001957E3" w:rsidRDefault="00651041" w:rsidP="00651041">
      <w:pPr>
        <w:ind w:firstLine="709"/>
      </w:pPr>
      <w:r w:rsidRPr="001957E3">
        <w:t xml:space="preserve">Тошнота и рвота развиваются при возбуждении рвотного центра несколькими путями - при воздействии нейротрансмиттеров на его рецепторы, или при поступлении в него импульсов от хеморецепторов триггерной зоны. Химическими веществами, вызывающими активацию рвотного центра, являются дофамин, серотонин, гистамин, </w:t>
      </w:r>
      <w:r w:rsidRPr="001957E3">
        <w:lastRenderedPageBreak/>
        <w:t>ацетилхолин и субстанция Р (нейрокинин-1 - NK-1). Противорвотные препараты избирательно блокируют какой-либо из перечисленных нейротрансмиттеров.</w:t>
      </w:r>
    </w:p>
    <w:p w14:paraId="78834BEF" w14:textId="77777777" w:rsidR="00651041" w:rsidRDefault="00651041" w:rsidP="00651041">
      <w:pPr>
        <w:pStyle w:val="Normal11"/>
        <w:tabs>
          <w:tab w:val="left" w:pos="0"/>
        </w:tabs>
        <w:spacing w:line="360" w:lineRule="auto"/>
        <w:ind w:firstLine="699"/>
        <w:rPr>
          <w:bCs/>
          <w:i/>
          <w:iCs/>
          <w:u w:val="single"/>
          <w:shd w:val="clear" w:color="auto" w:fill="FFFFFF"/>
        </w:rPr>
      </w:pPr>
    </w:p>
    <w:p w14:paraId="6005150C" w14:textId="77777777" w:rsidR="00651041" w:rsidRPr="00733870" w:rsidRDefault="00651041" w:rsidP="00651041">
      <w:pPr>
        <w:pStyle w:val="Normal11"/>
        <w:tabs>
          <w:tab w:val="left" w:pos="0"/>
        </w:tabs>
        <w:spacing w:line="360" w:lineRule="auto"/>
        <w:ind w:firstLine="699"/>
        <w:rPr>
          <w:bCs/>
          <w:i/>
          <w:iCs/>
          <w:u w:val="single"/>
          <w:shd w:val="clear" w:color="auto" w:fill="FFFFFF"/>
        </w:rPr>
      </w:pPr>
      <w:r w:rsidRPr="00733870">
        <w:rPr>
          <w:bCs/>
          <w:i/>
          <w:iCs/>
          <w:u w:val="single"/>
          <w:shd w:val="clear" w:color="auto" w:fill="FFFFFF"/>
        </w:rPr>
        <w:t>Типы тошноты и рвоты</w:t>
      </w:r>
    </w:p>
    <w:p w14:paraId="3E0545B3" w14:textId="77777777" w:rsidR="00651041" w:rsidRPr="001957E3" w:rsidRDefault="00651041" w:rsidP="0091350E">
      <w:pPr>
        <w:pStyle w:val="aff"/>
        <w:numPr>
          <w:ilvl w:val="0"/>
          <w:numId w:val="37"/>
        </w:numPr>
      </w:pPr>
      <w:r w:rsidRPr="001957E3">
        <w:t xml:space="preserve">Острая рвота – развивается в первые 24 ч после </w:t>
      </w:r>
      <w:r>
        <w:t>П</w:t>
      </w:r>
      <w:r w:rsidRPr="001957E3">
        <w:t>ХТ; отличается высокой интенсивностью; редко сопровождается тошнотой.</w:t>
      </w:r>
    </w:p>
    <w:p w14:paraId="6B4FC3C9" w14:textId="77777777" w:rsidR="00651041" w:rsidRPr="001957E3" w:rsidRDefault="00651041" w:rsidP="0091350E">
      <w:pPr>
        <w:pStyle w:val="aff"/>
        <w:numPr>
          <w:ilvl w:val="0"/>
          <w:numId w:val="37"/>
        </w:numPr>
      </w:pPr>
      <w:r w:rsidRPr="001957E3">
        <w:t xml:space="preserve">Отсроченная рвота – развивается на 2-5 сутки после начала </w:t>
      </w:r>
      <w:r>
        <w:t>П</w:t>
      </w:r>
      <w:r w:rsidRPr="001957E3">
        <w:t>ХТ; менее интенсивна, чем острая; часто сопровождается постоянной тошнотой.</w:t>
      </w:r>
    </w:p>
    <w:p w14:paraId="6E16D51A" w14:textId="77777777" w:rsidR="00651041" w:rsidRPr="001957E3" w:rsidRDefault="00651041" w:rsidP="0091350E">
      <w:pPr>
        <w:pStyle w:val="aff"/>
        <w:numPr>
          <w:ilvl w:val="0"/>
          <w:numId w:val="37"/>
        </w:numPr>
      </w:pPr>
      <w:r w:rsidRPr="001957E3">
        <w:t xml:space="preserve">Условно-рефлекторная рвота – развивается как условный рефлекс на </w:t>
      </w:r>
      <w:r>
        <w:t>П</w:t>
      </w:r>
      <w:r w:rsidRPr="001957E3">
        <w:t xml:space="preserve">ХТ и/или сопутствующие ей манипуляции и окружающую обстановку; риск ее развития увеличивается с количеством курсов </w:t>
      </w:r>
      <w:r>
        <w:t>П</w:t>
      </w:r>
      <w:r w:rsidRPr="001957E3">
        <w:t xml:space="preserve">ХТ; может сохраняться в течение длительного времени после окончания </w:t>
      </w:r>
      <w:r>
        <w:t>П</w:t>
      </w:r>
      <w:r w:rsidRPr="001957E3">
        <w:t>ХТ.</w:t>
      </w:r>
    </w:p>
    <w:p w14:paraId="7CFA339D" w14:textId="77777777" w:rsidR="00651041" w:rsidRPr="001957E3" w:rsidRDefault="00651041" w:rsidP="0091350E">
      <w:pPr>
        <w:pStyle w:val="aff"/>
        <w:numPr>
          <w:ilvl w:val="0"/>
          <w:numId w:val="37"/>
        </w:numPr>
      </w:pPr>
      <w:r w:rsidRPr="001957E3">
        <w:t>Неконтролируемая тошнота и рвота – развивается на фоне адекватной антиэметической профилактики и требует дополнительной коррекции.</w:t>
      </w:r>
    </w:p>
    <w:p w14:paraId="259B00E7" w14:textId="77777777" w:rsidR="00651041" w:rsidRPr="001957E3" w:rsidRDefault="00651041" w:rsidP="0091350E">
      <w:pPr>
        <w:pStyle w:val="aff"/>
        <w:numPr>
          <w:ilvl w:val="0"/>
          <w:numId w:val="37"/>
        </w:numPr>
      </w:pPr>
      <w:r w:rsidRPr="001957E3">
        <w:t xml:space="preserve">Рефрактерная рвота – возникает на последующих курсах </w:t>
      </w:r>
      <w:r>
        <w:t>П</w:t>
      </w:r>
      <w:r w:rsidRPr="001957E3">
        <w:t>ХТ при неэффективности противорвотной профилактики и / или препаратов резерва на предыдущих курсах лечения.</w:t>
      </w:r>
    </w:p>
    <w:p w14:paraId="467E62ED" w14:textId="77777777" w:rsidR="00651041" w:rsidRDefault="00651041" w:rsidP="00651041">
      <w:pPr>
        <w:pStyle w:val="Normal11"/>
        <w:tabs>
          <w:tab w:val="left" w:pos="0"/>
        </w:tabs>
        <w:spacing w:line="360" w:lineRule="auto"/>
        <w:rPr>
          <w:b/>
          <w:shd w:val="clear" w:color="auto" w:fill="FFFFFF"/>
        </w:rPr>
      </w:pPr>
    </w:p>
    <w:p w14:paraId="79A60319" w14:textId="77777777" w:rsidR="00651041" w:rsidRPr="00733870" w:rsidRDefault="00651041" w:rsidP="00651041">
      <w:pPr>
        <w:pStyle w:val="Normal11"/>
        <w:tabs>
          <w:tab w:val="left" w:pos="426"/>
        </w:tabs>
        <w:spacing w:line="360" w:lineRule="auto"/>
        <w:ind w:firstLine="426"/>
        <w:rPr>
          <w:bCs/>
          <w:i/>
          <w:iCs/>
          <w:u w:val="single"/>
          <w:shd w:val="clear" w:color="auto" w:fill="FFFFFF"/>
        </w:rPr>
      </w:pPr>
      <w:r w:rsidRPr="00733870">
        <w:rPr>
          <w:bCs/>
          <w:i/>
          <w:iCs/>
          <w:u w:val="single"/>
          <w:shd w:val="clear" w:color="auto" w:fill="FFFFFF"/>
        </w:rPr>
        <w:t>Эметогенный потенциал противоопухолевых препаратов</w:t>
      </w:r>
    </w:p>
    <w:p w14:paraId="70D1D096" w14:textId="1877BE17" w:rsidR="00651041" w:rsidRPr="001957E3" w:rsidRDefault="00651041" w:rsidP="00651041">
      <w:pPr>
        <w:ind w:firstLine="709"/>
      </w:pPr>
      <w:r w:rsidRPr="001957E3">
        <w:t>Эметогенность – это риск развития рвоты у больных, получающих противоопухолевый препарат (в монорежиме, без противорвотной терапии). Выделено 4 градации эметогенного потенциала</w:t>
      </w:r>
      <w:r>
        <w:t xml:space="preserve"> (см. таблицу 1) </w:t>
      </w:r>
      <w:r>
        <w:fldChar w:fldCharType="begin" w:fldLock="1"/>
      </w:r>
      <w:r w:rsidR="001264E7">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[120–126]","plainTextFormattedCitation":"[120–126]","previouslyFormattedCitation":"[120–126]"},"properties":{"noteIndex":0},"schema":"https://github.com/citation-style-language/schema/raw/master/csl-citation.json"}</w:instrText>
      </w:r>
      <w:r>
        <w:fldChar w:fldCharType="separate"/>
      </w:r>
      <w:r w:rsidR="00F15197" w:rsidRPr="00F15197">
        <w:rPr>
          <w:noProof/>
        </w:rPr>
        <w:t>[120–126]</w:t>
      </w:r>
      <w:r>
        <w:fldChar w:fldCharType="end"/>
      </w:r>
      <w:r w:rsidRPr="001957E3">
        <w:t>:</w:t>
      </w:r>
    </w:p>
    <w:p w14:paraId="3C3C0A18" w14:textId="77777777" w:rsidR="00651041" w:rsidRPr="001957E3" w:rsidRDefault="00651041" w:rsidP="0091350E">
      <w:pPr>
        <w:pStyle w:val="aff"/>
        <w:numPr>
          <w:ilvl w:val="0"/>
          <w:numId w:val="38"/>
        </w:numPr>
      </w:pPr>
      <w:r w:rsidRPr="001957E3">
        <w:t xml:space="preserve">минимальный </w:t>
      </w:r>
      <w:r>
        <w:t>–</w:t>
      </w:r>
      <w:r w:rsidRPr="001957E3">
        <w:t xml:space="preserve"> развитие рвоты менее чем у 10% </w:t>
      </w:r>
      <w:r>
        <w:t>пациентов</w:t>
      </w:r>
      <w:r w:rsidRPr="001957E3">
        <w:t>;</w:t>
      </w:r>
    </w:p>
    <w:p w14:paraId="665C2172" w14:textId="77777777" w:rsidR="00651041" w:rsidRPr="001957E3" w:rsidRDefault="00651041" w:rsidP="0091350E">
      <w:pPr>
        <w:pStyle w:val="aff"/>
        <w:numPr>
          <w:ilvl w:val="0"/>
          <w:numId w:val="38"/>
        </w:numPr>
      </w:pPr>
      <w:r w:rsidRPr="001957E3">
        <w:t xml:space="preserve">низкий </w:t>
      </w:r>
      <w:r>
        <w:t>–</w:t>
      </w:r>
      <w:r w:rsidRPr="001957E3">
        <w:t xml:space="preserve"> развитие рвоты у 10 - 30% </w:t>
      </w:r>
      <w:r>
        <w:t>пациентов</w:t>
      </w:r>
      <w:r w:rsidRPr="001957E3">
        <w:t>;</w:t>
      </w:r>
    </w:p>
    <w:p w14:paraId="777BED60" w14:textId="77777777" w:rsidR="00651041" w:rsidRPr="001957E3" w:rsidRDefault="00651041" w:rsidP="0091350E">
      <w:pPr>
        <w:pStyle w:val="aff"/>
        <w:numPr>
          <w:ilvl w:val="0"/>
          <w:numId w:val="38"/>
        </w:numPr>
      </w:pPr>
      <w:r w:rsidRPr="001957E3">
        <w:t xml:space="preserve">средний </w:t>
      </w:r>
      <w:r>
        <w:t>–</w:t>
      </w:r>
      <w:r w:rsidRPr="001957E3">
        <w:t xml:space="preserve"> развитие рвоты у 30 - 90% </w:t>
      </w:r>
      <w:r>
        <w:t>пациентов</w:t>
      </w:r>
      <w:r w:rsidRPr="001957E3">
        <w:t>;</w:t>
      </w:r>
    </w:p>
    <w:p w14:paraId="684E6958" w14:textId="77777777" w:rsidR="00651041" w:rsidRDefault="00651041" w:rsidP="0091350E">
      <w:pPr>
        <w:pStyle w:val="aff"/>
        <w:numPr>
          <w:ilvl w:val="0"/>
          <w:numId w:val="38"/>
        </w:numPr>
      </w:pPr>
      <w:r w:rsidRPr="001957E3">
        <w:t xml:space="preserve">высокий </w:t>
      </w:r>
      <w:r>
        <w:t>–</w:t>
      </w:r>
      <w:r w:rsidRPr="001957E3">
        <w:t xml:space="preserve"> развитие рвоты более чем у 90% </w:t>
      </w:r>
      <w:r>
        <w:t>пациентов</w:t>
      </w:r>
      <w:r w:rsidRPr="001957E3">
        <w:t>.</w:t>
      </w:r>
    </w:p>
    <w:p w14:paraId="232C3D59" w14:textId="77777777" w:rsidR="00651041" w:rsidRDefault="00651041" w:rsidP="00651041"/>
    <w:p w14:paraId="733A33C7" w14:textId="25D39B68" w:rsidR="00651041" w:rsidRPr="001957E3" w:rsidRDefault="00651041" w:rsidP="00651041">
      <w:r>
        <w:t>Таблица 1. Уровень эметогенности основных противоопухолевых препаратов</w:t>
      </w:r>
    </w:p>
    <w:tbl>
      <w:tblPr>
        <w:tblStyle w:val="affa"/>
        <w:tblW w:w="0" w:type="auto"/>
        <w:tblInd w:w="10" w:type="dxa"/>
        <w:tblLook w:val="04A0" w:firstRow="1" w:lastRow="0" w:firstColumn="1" w:lastColumn="0" w:noHBand="0" w:noVBand="1"/>
      </w:tblPr>
      <w:tblGrid>
        <w:gridCol w:w="1837"/>
        <w:gridCol w:w="3746"/>
        <w:gridCol w:w="3746"/>
      </w:tblGrid>
      <w:tr w:rsidR="00651041" w14:paraId="0B1A6C63" w14:textId="77777777" w:rsidTr="005A428D">
        <w:trPr>
          <w:trHeight w:val="692"/>
        </w:trPr>
        <w:tc>
          <w:tcPr>
            <w:tcW w:w="1837" w:type="dxa"/>
          </w:tcPr>
          <w:p w14:paraId="1AE15F31" w14:textId="77777777" w:rsidR="00651041" w:rsidRPr="00DE20E4" w:rsidRDefault="00651041" w:rsidP="005A428D">
            <w:pPr>
              <w:pStyle w:val="Normal11"/>
              <w:tabs>
                <w:tab w:val="left" w:pos="0"/>
              </w:tabs>
              <w:spacing w:line="360" w:lineRule="auto"/>
              <w:ind w:left="57" w:right="57"/>
              <w:rPr>
                <w:b/>
                <w:sz w:val="22"/>
                <w:szCs w:val="22"/>
                <w:shd w:val="clear" w:color="auto" w:fill="FFFFFF"/>
              </w:rPr>
            </w:pPr>
            <w:r w:rsidRPr="00DE20E4">
              <w:rPr>
                <w:b/>
                <w:sz w:val="22"/>
                <w:szCs w:val="22"/>
                <w:shd w:val="clear" w:color="auto" w:fill="FFFFFF"/>
              </w:rPr>
              <w:t>Уровень эметогенности</w:t>
            </w:r>
          </w:p>
        </w:tc>
        <w:tc>
          <w:tcPr>
            <w:tcW w:w="3746" w:type="dxa"/>
          </w:tcPr>
          <w:p w14:paraId="530DA50E" w14:textId="77777777" w:rsidR="00651041" w:rsidRPr="00DE20E4" w:rsidRDefault="00651041" w:rsidP="005A428D">
            <w:pPr>
              <w:pStyle w:val="Normal11"/>
              <w:tabs>
                <w:tab w:val="left" w:pos="0"/>
              </w:tabs>
              <w:spacing w:line="360" w:lineRule="auto"/>
              <w:ind w:left="57" w:right="57"/>
              <w:rPr>
                <w:b/>
                <w:sz w:val="22"/>
                <w:szCs w:val="22"/>
                <w:shd w:val="clear" w:color="auto" w:fill="FFFFFF"/>
              </w:rPr>
            </w:pPr>
            <w:r w:rsidRPr="00DE20E4">
              <w:rPr>
                <w:b/>
                <w:sz w:val="22"/>
                <w:szCs w:val="22"/>
                <w:shd w:val="clear" w:color="auto" w:fill="FFFFFF"/>
              </w:rPr>
              <w:t>Противоопухолевые препараты для внутривенного введения</w:t>
            </w:r>
          </w:p>
        </w:tc>
        <w:tc>
          <w:tcPr>
            <w:tcW w:w="3746" w:type="dxa"/>
          </w:tcPr>
          <w:p w14:paraId="4D81E426" w14:textId="77777777" w:rsidR="00651041" w:rsidRPr="00DE20E4" w:rsidRDefault="00651041" w:rsidP="005A428D">
            <w:pPr>
              <w:pStyle w:val="Normal11"/>
              <w:tabs>
                <w:tab w:val="left" w:pos="0"/>
              </w:tabs>
              <w:spacing w:line="360" w:lineRule="auto"/>
              <w:ind w:left="57" w:right="57"/>
              <w:rPr>
                <w:b/>
                <w:sz w:val="22"/>
                <w:szCs w:val="22"/>
                <w:shd w:val="clear" w:color="auto" w:fill="FFFFFF"/>
              </w:rPr>
            </w:pPr>
            <w:r w:rsidRPr="00DE20E4">
              <w:rPr>
                <w:b/>
                <w:sz w:val="22"/>
                <w:szCs w:val="22"/>
                <w:shd w:val="clear" w:color="auto" w:fill="FFFFFF"/>
              </w:rPr>
              <w:t xml:space="preserve">Противоопухолевые препараты для перорального приема </w:t>
            </w:r>
          </w:p>
        </w:tc>
      </w:tr>
      <w:tr w:rsidR="00651041" w14:paraId="11A481BF" w14:textId="77777777" w:rsidTr="005A428D">
        <w:trPr>
          <w:trHeight w:val="692"/>
        </w:trPr>
        <w:tc>
          <w:tcPr>
            <w:tcW w:w="1837" w:type="dxa"/>
          </w:tcPr>
          <w:p w14:paraId="0FBCB8A2" w14:textId="77777777" w:rsidR="00651041" w:rsidRDefault="00651041" w:rsidP="005A428D">
            <w:pPr>
              <w:pStyle w:val="Normal11"/>
              <w:tabs>
                <w:tab w:val="left" w:pos="0"/>
              </w:tabs>
              <w:spacing w:line="360" w:lineRule="auto"/>
              <w:ind w:left="57" w:right="57"/>
              <w:rPr>
                <w:sz w:val="22"/>
                <w:szCs w:val="22"/>
              </w:rPr>
            </w:pPr>
            <w:r w:rsidRPr="00DE20E4">
              <w:rPr>
                <w:sz w:val="22"/>
                <w:szCs w:val="22"/>
              </w:rPr>
              <w:t xml:space="preserve">Высокий </w:t>
            </w:r>
          </w:p>
          <w:p w14:paraId="5603C7D6" w14:textId="77777777" w:rsidR="00651041" w:rsidRPr="00DE20E4" w:rsidRDefault="00651041" w:rsidP="005A428D">
            <w:pPr>
              <w:pStyle w:val="Normal11"/>
              <w:tabs>
                <w:tab w:val="left" w:pos="0"/>
              </w:tabs>
              <w:spacing w:line="360" w:lineRule="auto"/>
              <w:ind w:left="57" w:right="57"/>
              <w:rPr>
                <w:sz w:val="22"/>
                <w:szCs w:val="22"/>
                <w:shd w:val="clear" w:color="auto" w:fill="FFFFFF"/>
              </w:rPr>
            </w:pPr>
            <w:r w:rsidRPr="00DE20E4">
              <w:rPr>
                <w:sz w:val="22"/>
                <w:szCs w:val="22"/>
              </w:rPr>
              <w:t>(</w:t>
            </w:r>
            <w:r w:rsidRPr="00DE20E4">
              <w:rPr>
                <w:sz w:val="22"/>
                <w:szCs w:val="22"/>
                <w:shd w:val="clear" w:color="auto" w:fill="FFFFFF"/>
              </w:rPr>
              <w:t>&gt;</w:t>
            </w:r>
            <w:r>
              <w:rPr>
                <w:sz w:val="22"/>
                <w:szCs w:val="22"/>
              </w:rPr>
              <w:t>90 %</w:t>
            </w:r>
            <w:r w:rsidRPr="00DE20E4">
              <w:rPr>
                <w:sz w:val="22"/>
                <w:szCs w:val="22"/>
              </w:rPr>
              <w:t>)</w:t>
            </w:r>
          </w:p>
        </w:tc>
        <w:tc>
          <w:tcPr>
            <w:tcW w:w="3746" w:type="dxa"/>
          </w:tcPr>
          <w:p w14:paraId="6A16444A" w14:textId="77777777" w:rsidR="00651041" w:rsidRPr="00DE20E4" w:rsidRDefault="00651041" w:rsidP="0091350E">
            <w:pPr>
              <w:pStyle w:val="Normal11"/>
              <w:numPr>
                <w:ilvl w:val="0"/>
                <w:numId w:val="33"/>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 xml:space="preserve">комбинация антрациклин / циклофосфамид </w:t>
            </w:r>
          </w:p>
          <w:p w14:paraId="7346CC22" w14:textId="77777777" w:rsidR="00651041" w:rsidRPr="00DE20E4" w:rsidRDefault="00651041" w:rsidP="0091350E">
            <w:pPr>
              <w:pStyle w:val="Normal11"/>
              <w:numPr>
                <w:ilvl w:val="0"/>
                <w:numId w:val="33"/>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дакарбазин</w:t>
            </w:r>
          </w:p>
          <w:p w14:paraId="7E121ADA" w14:textId="77777777" w:rsidR="00651041" w:rsidRPr="00DE20E4" w:rsidRDefault="00651041" w:rsidP="0091350E">
            <w:pPr>
              <w:pStyle w:val="Normal11"/>
              <w:numPr>
                <w:ilvl w:val="0"/>
                <w:numId w:val="33"/>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кармустин</w:t>
            </w:r>
          </w:p>
          <w:p w14:paraId="179D099F" w14:textId="77777777" w:rsidR="00651041" w:rsidRPr="00DE20E4" w:rsidRDefault="00651041" w:rsidP="0091350E">
            <w:pPr>
              <w:pStyle w:val="Normal11"/>
              <w:numPr>
                <w:ilvl w:val="0"/>
                <w:numId w:val="33"/>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мехлорэтамин</w:t>
            </w:r>
          </w:p>
          <w:p w14:paraId="7E86C5F1" w14:textId="77777777" w:rsidR="00651041" w:rsidRPr="00DE20E4" w:rsidRDefault="00651041" w:rsidP="0091350E">
            <w:pPr>
              <w:pStyle w:val="Normal11"/>
              <w:numPr>
                <w:ilvl w:val="0"/>
                <w:numId w:val="33"/>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lastRenderedPageBreak/>
              <w:t>стрептозоцин</w:t>
            </w:r>
          </w:p>
          <w:p w14:paraId="13649CB3" w14:textId="77777777" w:rsidR="00651041" w:rsidRPr="00DE20E4" w:rsidRDefault="00651041" w:rsidP="0091350E">
            <w:pPr>
              <w:pStyle w:val="Normal11"/>
              <w:numPr>
                <w:ilvl w:val="0"/>
                <w:numId w:val="33"/>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циклофосфамид ≥ 1500 мг / м</w:t>
            </w:r>
            <w:r w:rsidRPr="00046796">
              <w:rPr>
                <w:sz w:val="22"/>
                <w:szCs w:val="22"/>
                <w:shd w:val="clear" w:color="auto" w:fill="FFFFFF"/>
                <w:vertAlign w:val="superscript"/>
              </w:rPr>
              <w:t>2</w:t>
            </w:r>
          </w:p>
          <w:p w14:paraId="15DC331B" w14:textId="77777777" w:rsidR="00651041" w:rsidRPr="00DE20E4" w:rsidRDefault="00651041" w:rsidP="0091350E">
            <w:pPr>
              <w:pStyle w:val="Normal11"/>
              <w:numPr>
                <w:ilvl w:val="0"/>
                <w:numId w:val="33"/>
              </w:numPr>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цисплатин</w:t>
            </w:r>
          </w:p>
        </w:tc>
        <w:tc>
          <w:tcPr>
            <w:tcW w:w="3746" w:type="dxa"/>
          </w:tcPr>
          <w:p w14:paraId="3BA14F80" w14:textId="77777777" w:rsidR="00651041" w:rsidRPr="00DE20E4" w:rsidRDefault="00651041" w:rsidP="0091350E">
            <w:pPr>
              <w:pStyle w:val="Normal11"/>
              <w:numPr>
                <w:ilvl w:val="0"/>
                <w:numId w:val="33"/>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lastRenderedPageBreak/>
              <w:t>гексаметилмеламин</w:t>
            </w:r>
          </w:p>
          <w:p w14:paraId="3673C049" w14:textId="77777777" w:rsidR="00651041" w:rsidRPr="00DE20E4" w:rsidRDefault="00651041" w:rsidP="0091350E">
            <w:pPr>
              <w:pStyle w:val="Normal11"/>
              <w:numPr>
                <w:ilvl w:val="0"/>
                <w:numId w:val="33"/>
              </w:numPr>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прокарбазин</w:t>
            </w:r>
          </w:p>
        </w:tc>
      </w:tr>
      <w:tr w:rsidR="00651041" w14:paraId="04678BF7" w14:textId="77777777" w:rsidTr="005A428D">
        <w:trPr>
          <w:trHeight w:val="692"/>
        </w:trPr>
        <w:tc>
          <w:tcPr>
            <w:tcW w:w="1837" w:type="dxa"/>
          </w:tcPr>
          <w:p w14:paraId="6F122BF7" w14:textId="77777777" w:rsidR="00651041" w:rsidRPr="00DE20E4" w:rsidRDefault="00651041" w:rsidP="005A428D">
            <w:pPr>
              <w:pStyle w:val="Normal11"/>
              <w:tabs>
                <w:tab w:val="left" w:pos="0"/>
              </w:tabs>
              <w:spacing w:line="360" w:lineRule="auto"/>
              <w:ind w:left="57" w:right="57"/>
              <w:rPr>
                <w:sz w:val="22"/>
                <w:szCs w:val="22"/>
                <w:shd w:val="clear" w:color="auto" w:fill="FFFFFF"/>
              </w:rPr>
            </w:pPr>
            <w:r w:rsidRPr="00DE20E4">
              <w:rPr>
                <w:sz w:val="22"/>
                <w:szCs w:val="22"/>
              </w:rPr>
              <w:t>Умеренный (30–90 %)</w:t>
            </w:r>
          </w:p>
        </w:tc>
        <w:tc>
          <w:tcPr>
            <w:tcW w:w="3746" w:type="dxa"/>
          </w:tcPr>
          <w:p w14:paraId="272D89AF" w14:textId="77777777" w:rsidR="00651041" w:rsidRPr="00DE20E4" w:rsidRDefault="00651041" w:rsidP="0091350E">
            <w:pPr>
              <w:pStyle w:val="Normal11"/>
              <w:numPr>
                <w:ilvl w:val="0"/>
                <w:numId w:val="34"/>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азацитидин</w:t>
            </w:r>
          </w:p>
          <w:p w14:paraId="1907C83B" w14:textId="77777777" w:rsidR="00651041" w:rsidRPr="00DE20E4" w:rsidRDefault="00651041" w:rsidP="0091350E">
            <w:pPr>
              <w:pStyle w:val="Normal11"/>
              <w:numPr>
                <w:ilvl w:val="0"/>
                <w:numId w:val="34"/>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алемтузумаб</w:t>
            </w:r>
          </w:p>
          <w:p w14:paraId="5A99481D" w14:textId="77777777" w:rsidR="00651041" w:rsidRPr="00DE20E4" w:rsidRDefault="00651041" w:rsidP="0091350E">
            <w:pPr>
              <w:pStyle w:val="Normal11"/>
              <w:numPr>
                <w:ilvl w:val="0"/>
                <w:numId w:val="34"/>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бендамустин</w:t>
            </w:r>
          </w:p>
          <w:p w14:paraId="457061B8" w14:textId="77777777" w:rsidR="00651041" w:rsidRPr="00DE20E4" w:rsidRDefault="00651041" w:rsidP="0091350E">
            <w:pPr>
              <w:pStyle w:val="Normal11"/>
              <w:numPr>
                <w:ilvl w:val="0"/>
                <w:numId w:val="34"/>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бусульфан</w:t>
            </w:r>
          </w:p>
          <w:p w14:paraId="036199E0" w14:textId="77777777" w:rsidR="00651041" w:rsidRPr="00DE20E4" w:rsidRDefault="00651041" w:rsidP="0091350E">
            <w:pPr>
              <w:pStyle w:val="Normal11"/>
              <w:numPr>
                <w:ilvl w:val="0"/>
                <w:numId w:val="34"/>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даунорубицин</w:t>
            </w:r>
          </w:p>
          <w:p w14:paraId="5258EB88" w14:textId="77777777" w:rsidR="00651041" w:rsidRPr="00DE20E4" w:rsidRDefault="00651041" w:rsidP="0091350E">
            <w:pPr>
              <w:pStyle w:val="Normal11"/>
              <w:numPr>
                <w:ilvl w:val="0"/>
                <w:numId w:val="34"/>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доксорубицин</w:t>
            </w:r>
          </w:p>
          <w:p w14:paraId="3850B359" w14:textId="77777777" w:rsidR="00651041" w:rsidRPr="00DE20E4" w:rsidRDefault="00651041" w:rsidP="0091350E">
            <w:pPr>
              <w:pStyle w:val="Normal11"/>
              <w:numPr>
                <w:ilvl w:val="0"/>
                <w:numId w:val="34"/>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идарубицин</w:t>
            </w:r>
          </w:p>
          <w:p w14:paraId="0AFD293D" w14:textId="77777777" w:rsidR="00651041" w:rsidRPr="00DE20E4" w:rsidRDefault="00651041" w:rsidP="0091350E">
            <w:pPr>
              <w:pStyle w:val="Normal11"/>
              <w:numPr>
                <w:ilvl w:val="0"/>
                <w:numId w:val="34"/>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иринотекан</w:t>
            </w:r>
          </w:p>
          <w:p w14:paraId="2D23BCB6" w14:textId="77777777" w:rsidR="00651041" w:rsidRPr="002C441B" w:rsidRDefault="00651041" w:rsidP="0091350E">
            <w:pPr>
              <w:pStyle w:val="Normal11"/>
              <w:numPr>
                <w:ilvl w:val="0"/>
                <w:numId w:val="34"/>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 xml:space="preserve">иринотекан </w:t>
            </w:r>
            <w:r w:rsidRPr="002C441B">
              <w:rPr>
                <w:sz w:val="22"/>
                <w:szCs w:val="22"/>
                <w:shd w:val="clear" w:color="auto" w:fill="FFFFFF"/>
              </w:rPr>
              <w:t>[</w:t>
            </w:r>
            <w:r w:rsidRPr="00DE20E4">
              <w:rPr>
                <w:sz w:val="22"/>
                <w:szCs w:val="22"/>
                <w:shd w:val="clear" w:color="auto" w:fill="FFFFFF"/>
              </w:rPr>
              <w:t>липосомальная форма</w:t>
            </w:r>
            <w:r w:rsidRPr="002C441B">
              <w:rPr>
                <w:sz w:val="22"/>
                <w:szCs w:val="22"/>
                <w:shd w:val="clear" w:color="auto" w:fill="FFFFFF"/>
              </w:rPr>
              <w:t>]</w:t>
            </w:r>
          </w:p>
          <w:p w14:paraId="4F0B6AC2" w14:textId="77777777" w:rsidR="00651041" w:rsidRPr="00DE20E4" w:rsidRDefault="00651041" w:rsidP="0091350E">
            <w:pPr>
              <w:pStyle w:val="Normal11"/>
              <w:numPr>
                <w:ilvl w:val="0"/>
                <w:numId w:val="34"/>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ифосфамид</w:t>
            </w:r>
          </w:p>
          <w:p w14:paraId="040B69C0" w14:textId="77777777" w:rsidR="00651041" w:rsidRPr="00DE20E4" w:rsidRDefault="00651041" w:rsidP="0091350E">
            <w:pPr>
              <w:pStyle w:val="Normal11"/>
              <w:numPr>
                <w:ilvl w:val="0"/>
                <w:numId w:val="34"/>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карбоплатин</w:t>
            </w:r>
          </w:p>
          <w:p w14:paraId="44E492FD" w14:textId="77777777" w:rsidR="00651041" w:rsidRPr="00DE20E4" w:rsidRDefault="00651041" w:rsidP="0091350E">
            <w:pPr>
              <w:pStyle w:val="Normal11"/>
              <w:numPr>
                <w:ilvl w:val="0"/>
                <w:numId w:val="34"/>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клофарабин</w:t>
            </w:r>
          </w:p>
          <w:p w14:paraId="0FE7BC25" w14:textId="77777777" w:rsidR="00651041" w:rsidRPr="00DE20E4" w:rsidRDefault="00651041" w:rsidP="0091350E">
            <w:pPr>
              <w:pStyle w:val="Normal11"/>
              <w:numPr>
                <w:ilvl w:val="0"/>
                <w:numId w:val="34"/>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оксалиплатин</w:t>
            </w:r>
          </w:p>
          <w:p w14:paraId="48298ED0" w14:textId="77777777" w:rsidR="00651041" w:rsidRPr="00DE20E4" w:rsidRDefault="00651041" w:rsidP="0091350E">
            <w:pPr>
              <w:pStyle w:val="Normal11"/>
              <w:numPr>
                <w:ilvl w:val="0"/>
                <w:numId w:val="34"/>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 xml:space="preserve">ромидепсин </w:t>
            </w:r>
          </w:p>
          <w:p w14:paraId="7D58A451" w14:textId="77777777" w:rsidR="00651041" w:rsidRPr="00DE20E4" w:rsidRDefault="00651041" w:rsidP="0091350E">
            <w:pPr>
              <w:pStyle w:val="Normal11"/>
              <w:numPr>
                <w:ilvl w:val="0"/>
                <w:numId w:val="34"/>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темозоломид</w:t>
            </w:r>
          </w:p>
          <w:p w14:paraId="4CA4A0B3" w14:textId="77777777" w:rsidR="00651041" w:rsidRPr="00DE20E4" w:rsidRDefault="00651041" w:rsidP="0091350E">
            <w:pPr>
              <w:pStyle w:val="Normal11"/>
              <w:numPr>
                <w:ilvl w:val="0"/>
                <w:numId w:val="34"/>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тиотепа</w:t>
            </w:r>
          </w:p>
          <w:p w14:paraId="62B5D4CF" w14:textId="77777777" w:rsidR="00651041" w:rsidRPr="00DE20E4" w:rsidRDefault="00651041" w:rsidP="0091350E">
            <w:pPr>
              <w:pStyle w:val="Normal11"/>
              <w:numPr>
                <w:ilvl w:val="0"/>
                <w:numId w:val="34"/>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трабектедин</w:t>
            </w:r>
          </w:p>
          <w:p w14:paraId="74B1E49C" w14:textId="77777777" w:rsidR="00651041" w:rsidRPr="00DE20E4" w:rsidRDefault="00651041" w:rsidP="0091350E">
            <w:pPr>
              <w:pStyle w:val="Normal11"/>
              <w:numPr>
                <w:ilvl w:val="0"/>
                <w:numId w:val="34"/>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циклофосфамид &lt;1500 мг / м</w:t>
            </w:r>
            <w:r w:rsidRPr="00046796">
              <w:rPr>
                <w:sz w:val="22"/>
                <w:szCs w:val="22"/>
                <w:shd w:val="clear" w:color="auto" w:fill="FFFFFF"/>
                <w:vertAlign w:val="superscript"/>
              </w:rPr>
              <w:t>2</w:t>
            </w:r>
          </w:p>
          <w:p w14:paraId="679C2596" w14:textId="77777777" w:rsidR="00651041" w:rsidRPr="00DE20E4" w:rsidRDefault="00651041" w:rsidP="0091350E">
            <w:pPr>
              <w:pStyle w:val="Normal11"/>
              <w:numPr>
                <w:ilvl w:val="0"/>
                <w:numId w:val="34"/>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цитарабин</w:t>
            </w:r>
            <w:r>
              <w:rPr>
                <w:sz w:val="22"/>
                <w:szCs w:val="22"/>
                <w:shd w:val="clear" w:color="auto" w:fill="FFFFFF"/>
              </w:rPr>
              <w:t xml:space="preserve"> </w:t>
            </w:r>
            <w:r w:rsidRPr="00DE20E4">
              <w:rPr>
                <w:sz w:val="22"/>
                <w:szCs w:val="22"/>
                <w:shd w:val="clear" w:color="auto" w:fill="FFFFFF"/>
              </w:rPr>
              <w:t>&gt;1000 мг / м</w:t>
            </w:r>
            <w:r w:rsidRPr="00046796">
              <w:rPr>
                <w:sz w:val="22"/>
                <w:szCs w:val="22"/>
                <w:shd w:val="clear" w:color="auto" w:fill="FFFFFF"/>
                <w:vertAlign w:val="superscript"/>
              </w:rPr>
              <w:t>2</w:t>
            </w:r>
          </w:p>
          <w:p w14:paraId="6C5AE180" w14:textId="77777777" w:rsidR="00651041" w:rsidRPr="00DE20E4" w:rsidRDefault="00651041" w:rsidP="0091350E">
            <w:pPr>
              <w:pStyle w:val="Normal11"/>
              <w:numPr>
                <w:ilvl w:val="0"/>
                <w:numId w:val="34"/>
              </w:numPr>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эпирубицин</w:t>
            </w:r>
          </w:p>
        </w:tc>
        <w:tc>
          <w:tcPr>
            <w:tcW w:w="3746" w:type="dxa"/>
          </w:tcPr>
          <w:p w14:paraId="7589EEEC" w14:textId="77777777" w:rsidR="00651041" w:rsidRPr="00DE20E4" w:rsidRDefault="00651041" w:rsidP="0091350E">
            <w:pPr>
              <w:pStyle w:val="Normal11"/>
              <w:numPr>
                <w:ilvl w:val="0"/>
                <w:numId w:val="34"/>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Pr>
                <w:sz w:val="22"/>
                <w:szCs w:val="22"/>
                <w:shd w:val="clear" w:color="auto" w:fill="FFFFFF"/>
              </w:rPr>
              <w:t>б</w:t>
            </w:r>
            <w:r w:rsidRPr="00DE20E4">
              <w:rPr>
                <w:sz w:val="22"/>
                <w:szCs w:val="22"/>
                <w:shd w:val="clear" w:color="auto" w:fill="FFFFFF"/>
              </w:rPr>
              <w:t>осутиниб</w:t>
            </w:r>
          </w:p>
          <w:p w14:paraId="479FC4A7" w14:textId="77777777" w:rsidR="00651041" w:rsidRPr="00DE20E4" w:rsidRDefault="00651041" w:rsidP="0091350E">
            <w:pPr>
              <w:pStyle w:val="Normal11"/>
              <w:numPr>
                <w:ilvl w:val="0"/>
                <w:numId w:val="34"/>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винорельбин</w:t>
            </w:r>
          </w:p>
          <w:p w14:paraId="57480A51" w14:textId="77777777" w:rsidR="00651041" w:rsidRDefault="00651041" w:rsidP="0091350E">
            <w:pPr>
              <w:pStyle w:val="Normal11"/>
              <w:numPr>
                <w:ilvl w:val="0"/>
                <w:numId w:val="34"/>
              </w:numPr>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иматиниб</w:t>
            </w:r>
          </w:p>
          <w:p w14:paraId="01C0A27E" w14:textId="77777777" w:rsidR="00651041" w:rsidRPr="00DE20E4" w:rsidRDefault="00651041" w:rsidP="0091350E">
            <w:pPr>
              <w:pStyle w:val="Normal11"/>
              <w:numPr>
                <w:ilvl w:val="0"/>
                <w:numId w:val="34"/>
              </w:numPr>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кабозантиниб</w:t>
            </w:r>
          </w:p>
          <w:p w14:paraId="56265FD0" w14:textId="77777777" w:rsidR="00651041" w:rsidRPr="00DE20E4" w:rsidRDefault="00651041" w:rsidP="0091350E">
            <w:pPr>
              <w:pStyle w:val="Normal11"/>
              <w:numPr>
                <w:ilvl w:val="0"/>
                <w:numId w:val="34"/>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кризотиниб</w:t>
            </w:r>
          </w:p>
          <w:p w14:paraId="19369691" w14:textId="77777777" w:rsidR="00651041" w:rsidRPr="00DE20E4" w:rsidRDefault="00651041" w:rsidP="0091350E">
            <w:pPr>
              <w:pStyle w:val="Normal11"/>
              <w:numPr>
                <w:ilvl w:val="0"/>
                <w:numId w:val="34"/>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ленватиниб</w:t>
            </w:r>
          </w:p>
          <w:p w14:paraId="5E3B07A6" w14:textId="77777777" w:rsidR="00651041" w:rsidRDefault="00651041" w:rsidP="0091350E">
            <w:pPr>
              <w:pStyle w:val="Normal11"/>
              <w:numPr>
                <w:ilvl w:val="0"/>
                <w:numId w:val="34"/>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темозоломид</w:t>
            </w:r>
          </w:p>
          <w:p w14:paraId="19A15661" w14:textId="77777777" w:rsidR="00651041" w:rsidRPr="00DE20E4" w:rsidRDefault="00651041" w:rsidP="0091350E">
            <w:pPr>
              <w:pStyle w:val="Normal11"/>
              <w:numPr>
                <w:ilvl w:val="0"/>
                <w:numId w:val="34"/>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Pr>
                <w:sz w:val="22"/>
                <w:szCs w:val="22"/>
                <w:shd w:val="clear" w:color="auto" w:fill="FFFFFF"/>
              </w:rPr>
              <w:t>трифлуридин-типирацил</w:t>
            </w:r>
          </w:p>
          <w:p w14:paraId="5D7B905E" w14:textId="77777777" w:rsidR="00651041" w:rsidRPr="00DE20E4" w:rsidRDefault="00651041" w:rsidP="0091350E">
            <w:pPr>
              <w:pStyle w:val="Normal11"/>
              <w:numPr>
                <w:ilvl w:val="0"/>
                <w:numId w:val="34"/>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церитиниб</w:t>
            </w:r>
          </w:p>
          <w:p w14:paraId="685E4AC6" w14:textId="77777777" w:rsidR="00651041" w:rsidRPr="00DE20E4" w:rsidRDefault="00651041" w:rsidP="0091350E">
            <w:pPr>
              <w:pStyle w:val="Normal11"/>
              <w:numPr>
                <w:ilvl w:val="0"/>
                <w:numId w:val="34"/>
              </w:numPr>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циклофосфамид</w:t>
            </w:r>
          </w:p>
        </w:tc>
      </w:tr>
      <w:tr w:rsidR="00651041" w14:paraId="496C043E" w14:textId="77777777" w:rsidTr="005A428D">
        <w:trPr>
          <w:trHeight w:val="692"/>
        </w:trPr>
        <w:tc>
          <w:tcPr>
            <w:tcW w:w="1837" w:type="dxa"/>
          </w:tcPr>
          <w:p w14:paraId="137123C7" w14:textId="77777777" w:rsidR="00651041" w:rsidRDefault="00651041" w:rsidP="005A428D">
            <w:pPr>
              <w:pStyle w:val="Normal11"/>
              <w:tabs>
                <w:tab w:val="left" w:pos="0"/>
              </w:tabs>
              <w:spacing w:line="360" w:lineRule="auto"/>
              <w:ind w:left="57" w:right="57"/>
              <w:rPr>
                <w:sz w:val="22"/>
                <w:szCs w:val="22"/>
              </w:rPr>
            </w:pPr>
            <w:r w:rsidRPr="00DE20E4">
              <w:rPr>
                <w:sz w:val="22"/>
                <w:szCs w:val="22"/>
              </w:rPr>
              <w:t xml:space="preserve">Низкий </w:t>
            </w:r>
          </w:p>
          <w:p w14:paraId="767640BD" w14:textId="77777777" w:rsidR="00651041" w:rsidRPr="00DE20E4" w:rsidRDefault="00651041" w:rsidP="005A428D">
            <w:pPr>
              <w:pStyle w:val="Normal11"/>
              <w:tabs>
                <w:tab w:val="left" w:pos="0"/>
              </w:tabs>
              <w:spacing w:line="360" w:lineRule="auto"/>
              <w:ind w:left="57" w:right="57"/>
              <w:rPr>
                <w:sz w:val="22"/>
                <w:szCs w:val="22"/>
                <w:shd w:val="clear" w:color="auto" w:fill="FFFFFF"/>
              </w:rPr>
            </w:pPr>
            <w:r w:rsidRPr="00DE20E4">
              <w:rPr>
                <w:sz w:val="22"/>
                <w:szCs w:val="22"/>
              </w:rPr>
              <w:t>(10–30 %)</w:t>
            </w:r>
          </w:p>
        </w:tc>
        <w:tc>
          <w:tcPr>
            <w:tcW w:w="3746" w:type="dxa"/>
          </w:tcPr>
          <w:p w14:paraId="319E7C63" w14:textId="77777777" w:rsidR="00651041" w:rsidRPr="00DE20E4" w:rsidRDefault="00651041" w:rsidP="0091350E">
            <w:pPr>
              <w:pStyle w:val="Normal11"/>
              <w:numPr>
                <w:ilvl w:val="0"/>
                <w:numId w:val="35"/>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Pr>
                <w:sz w:val="22"/>
                <w:szCs w:val="22"/>
                <w:shd w:val="clear" w:color="auto" w:fill="FFFFFF"/>
              </w:rPr>
              <w:t>а</w:t>
            </w:r>
            <w:r w:rsidRPr="00DE20E4">
              <w:rPr>
                <w:sz w:val="22"/>
                <w:szCs w:val="22"/>
                <w:shd w:val="clear" w:color="auto" w:fill="FFFFFF"/>
              </w:rPr>
              <w:t>тезолизумаб</w:t>
            </w:r>
          </w:p>
          <w:p w14:paraId="2816A0D5" w14:textId="77777777" w:rsidR="00651041" w:rsidRPr="00DE20E4" w:rsidRDefault="00651041" w:rsidP="0091350E">
            <w:pPr>
              <w:pStyle w:val="Normal11"/>
              <w:numPr>
                <w:ilvl w:val="0"/>
                <w:numId w:val="35"/>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Pr>
                <w:sz w:val="22"/>
                <w:szCs w:val="22"/>
                <w:shd w:val="clear" w:color="auto" w:fill="FFFFFF"/>
              </w:rPr>
              <w:t>а</w:t>
            </w:r>
            <w:r w:rsidRPr="00DE20E4">
              <w:rPr>
                <w:sz w:val="22"/>
                <w:szCs w:val="22"/>
                <w:shd w:val="clear" w:color="auto" w:fill="FFFFFF"/>
              </w:rPr>
              <w:t>флиберцепт</w:t>
            </w:r>
          </w:p>
          <w:p w14:paraId="0724CE12" w14:textId="77777777" w:rsidR="00651041" w:rsidRPr="00DE20E4" w:rsidRDefault="00651041" w:rsidP="0091350E">
            <w:pPr>
              <w:pStyle w:val="Normal11"/>
              <w:numPr>
                <w:ilvl w:val="0"/>
                <w:numId w:val="35"/>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Pr>
                <w:sz w:val="22"/>
                <w:szCs w:val="22"/>
                <w:shd w:val="clear" w:color="auto" w:fill="FFFFFF"/>
              </w:rPr>
              <w:t>б</w:t>
            </w:r>
            <w:r w:rsidRPr="00DE20E4">
              <w:rPr>
                <w:sz w:val="22"/>
                <w:szCs w:val="22"/>
                <w:shd w:val="clear" w:color="auto" w:fill="FFFFFF"/>
              </w:rPr>
              <w:t>елиностат</w:t>
            </w:r>
          </w:p>
          <w:p w14:paraId="2A022EFB" w14:textId="77777777" w:rsidR="00651041" w:rsidRPr="00DE20E4" w:rsidRDefault="00651041" w:rsidP="0091350E">
            <w:pPr>
              <w:pStyle w:val="Normal11"/>
              <w:numPr>
                <w:ilvl w:val="0"/>
                <w:numId w:val="35"/>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блинатумомаб</w:t>
            </w:r>
          </w:p>
          <w:p w14:paraId="30D10DA1" w14:textId="77777777" w:rsidR="00651041" w:rsidRPr="00DE20E4" w:rsidRDefault="00651041" w:rsidP="0091350E">
            <w:pPr>
              <w:pStyle w:val="Normal11"/>
              <w:numPr>
                <w:ilvl w:val="0"/>
                <w:numId w:val="35"/>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бортезомиб</w:t>
            </w:r>
          </w:p>
          <w:p w14:paraId="5F04A70A" w14:textId="77777777" w:rsidR="00651041" w:rsidRPr="00DE20E4" w:rsidRDefault="00651041" w:rsidP="0091350E">
            <w:pPr>
              <w:pStyle w:val="Normal11"/>
              <w:numPr>
                <w:ilvl w:val="0"/>
                <w:numId w:val="35"/>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брентуксимаб</w:t>
            </w:r>
          </w:p>
          <w:p w14:paraId="50890465" w14:textId="77777777" w:rsidR="00651041" w:rsidRPr="00DE20E4" w:rsidRDefault="00651041" w:rsidP="0091350E">
            <w:pPr>
              <w:pStyle w:val="Normal11"/>
              <w:numPr>
                <w:ilvl w:val="0"/>
                <w:numId w:val="35"/>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винфлунин</w:t>
            </w:r>
          </w:p>
          <w:p w14:paraId="337A87C2" w14:textId="77777777" w:rsidR="00651041" w:rsidRPr="00DE20E4" w:rsidRDefault="00651041" w:rsidP="0091350E">
            <w:pPr>
              <w:pStyle w:val="Normal11"/>
              <w:numPr>
                <w:ilvl w:val="0"/>
                <w:numId w:val="35"/>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гемцитабин</w:t>
            </w:r>
          </w:p>
          <w:p w14:paraId="7EB6FAFC" w14:textId="77777777" w:rsidR="00651041" w:rsidRPr="00DE20E4" w:rsidRDefault="00651041" w:rsidP="0091350E">
            <w:pPr>
              <w:pStyle w:val="Normal11"/>
              <w:numPr>
                <w:ilvl w:val="0"/>
                <w:numId w:val="35"/>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доксорубици</w:t>
            </w:r>
            <w:r>
              <w:rPr>
                <w:sz w:val="22"/>
                <w:szCs w:val="22"/>
                <w:shd w:val="clear" w:color="auto" w:fill="FFFFFF"/>
              </w:rPr>
              <w:t xml:space="preserve">н </w:t>
            </w:r>
            <w:r w:rsidRPr="00DE20E4">
              <w:rPr>
                <w:sz w:val="22"/>
                <w:szCs w:val="22"/>
                <w:shd w:val="clear" w:color="auto" w:fill="FFFFFF"/>
              </w:rPr>
              <w:t>пегилированный</w:t>
            </w:r>
            <w:r>
              <w:rPr>
                <w:sz w:val="22"/>
                <w:szCs w:val="22"/>
                <w:shd w:val="clear" w:color="auto" w:fill="FFFFFF"/>
              </w:rPr>
              <w:t xml:space="preserve"> </w:t>
            </w:r>
            <w:r w:rsidRPr="00DE20E4">
              <w:rPr>
                <w:sz w:val="22"/>
                <w:szCs w:val="22"/>
                <w:shd w:val="clear" w:color="auto" w:fill="FFFFFF"/>
              </w:rPr>
              <w:t>липосомальный</w:t>
            </w:r>
          </w:p>
          <w:p w14:paraId="4CC789C3" w14:textId="77777777" w:rsidR="00651041" w:rsidRPr="00DE20E4" w:rsidRDefault="00651041" w:rsidP="0091350E">
            <w:pPr>
              <w:pStyle w:val="Normal11"/>
              <w:numPr>
                <w:ilvl w:val="0"/>
                <w:numId w:val="35"/>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доцетаксел</w:t>
            </w:r>
          </w:p>
          <w:p w14:paraId="1DFCCD31" w14:textId="77777777" w:rsidR="00651041" w:rsidRPr="00DE20E4" w:rsidRDefault="00651041" w:rsidP="0091350E">
            <w:pPr>
              <w:pStyle w:val="Normal11"/>
              <w:numPr>
                <w:ilvl w:val="0"/>
                <w:numId w:val="35"/>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иксабепилон</w:t>
            </w:r>
          </w:p>
          <w:p w14:paraId="065891FE" w14:textId="77777777" w:rsidR="00651041" w:rsidRPr="00DE20E4" w:rsidRDefault="00651041" w:rsidP="0091350E">
            <w:pPr>
              <w:pStyle w:val="Normal11"/>
              <w:numPr>
                <w:ilvl w:val="0"/>
                <w:numId w:val="35"/>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ипилимумаб</w:t>
            </w:r>
          </w:p>
          <w:p w14:paraId="0EE571CD" w14:textId="77777777" w:rsidR="00651041" w:rsidRPr="00DE20E4" w:rsidRDefault="00651041" w:rsidP="0091350E">
            <w:pPr>
              <w:pStyle w:val="Normal11"/>
              <w:numPr>
                <w:ilvl w:val="0"/>
                <w:numId w:val="35"/>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lastRenderedPageBreak/>
              <w:t>кабазитаксел</w:t>
            </w:r>
          </w:p>
          <w:p w14:paraId="134B859D" w14:textId="77777777" w:rsidR="00651041" w:rsidRPr="00DE20E4" w:rsidRDefault="00651041" w:rsidP="0091350E">
            <w:pPr>
              <w:pStyle w:val="Normal11"/>
              <w:numPr>
                <w:ilvl w:val="0"/>
                <w:numId w:val="35"/>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карфилзомиб</w:t>
            </w:r>
          </w:p>
          <w:p w14:paraId="53519E18" w14:textId="77777777" w:rsidR="00651041" w:rsidRPr="00DE20E4" w:rsidRDefault="00651041" w:rsidP="0091350E">
            <w:pPr>
              <w:pStyle w:val="Normal11"/>
              <w:numPr>
                <w:ilvl w:val="0"/>
                <w:numId w:val="35"/>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катумаксумаб</w:t>
            </w:r>
          </w:p>
          <w:p w14:paraId="7D2AD22F" w14:textId="77777777" w:rsidR="00651041" w:rsidRPr="00DE20E4" w:rsidRDefault="00651041" w:rsidP="0091350E">
            <w:pPr>
              <w:pStyle w:val="Normal11"/>
              <w:numPr>
                <w:ilvl w:val="0"/>
                <w:numId w:val="35"/>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метотрексат</w:t>
            </w:r>
          </w:p>
          <w:p w14:paraId="6ECE629C" w14:textId="77777777" w:rsidR="00651041" w:rsidRPr="00DE20E4" w:rsidRDefault="00651041" w:rsidP="0091350E">
            <w:pPr>
              <w:pStyle w:val="Normal11"/>
              <w:numPr>
                <w:ilvl w:val="0"/>
                <w:numId w:val="35"/>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митоксантрон</w:t>
            </w:r>
          </w:p>
          <w:p w14:paraId="7EA9FF84" w14:textId="77777777" w:rsidR="00651041" w:rsidRPr="00DE20E4" w:rsidRDefault="00651041" w:rsidP="0091350E">
            <w:pPr>
              <w:pStyle w:val="Normal11"/>
              <w:numPr>
                <w:ilvl w:val="0"/>
                <w:numId w:val="35"/>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митомицин</w:t>
            </w:r>
          </w:p>
          <w:p w14:paraId="5ABC6D1A" w14:textId="77777777" w:rsidR="00651041" w:rsidRPr="00DE20E4" w:rsidRDefault="00651041" w:rsidP="0091350E">
            <w:pPr>
              <w:pStyle w:val="Normal11"/>
              <w:numPr>
                <w:ilvl w:val="0"/>
                <w:numId w:val="35"/>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наб-паклитаксел</w:t>
            </w:r>
          </w:p>
          <w:p w14:paraId="09B26BEB" w14:textId="77777777" w:rsidR="00651041" w:rsidRPr="00DE20E4" w:rsidRDefault="00651041" w:rsidP="0091350E">
            <w:pPr>
              <w:pStyle w:val="Normal11"/>
              <w:numPr>
                <w:ilvl w:val="0"/>
                <w:numId w:val="35"/>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нецитумумаб</w:t>
            </w:r>
          </w:p>
          <w:p w14:paraId="1CE2D84F" w14:textId="77777777" w:rsidR="00651041" w:rsidRPr="00DE20E4" w:rsidRDefault="00651041" w:rsidP="0091350E">
            <w:pPr>
              <w:pStyle w:val="Normal11"/>
              <w:numPr>
                <w:ilvl w:val="0"/>
                <w:numId w:val="35"/>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паклитаксел</w:t>
            </w:r>
          </w:p>
          <w:p w14:paraId="4591228B" w14:textId="77777777" w:rsidR="00651041" w:rsidRPr="00DE20E4" w:rsidRDefault="00651041" w:rsidP="0091350E">
            <w:pPr>
              <w:pStyle w:val="Normal11"/>
              <w:numPr>
                <w:ilvl w:val="0"/>
                <w:numId w:val="35"/>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панитумумаб</w:t>
            </w:r>
          </w:p>
          <w:p w14:paraId="6BE71226" w14:textId="77777777" w:rsidR="00651041" w:rsidRPr="00DE20E4" w:rsidRDefault="00651041" w:rsidP="0091350E">
            <w:pPr>
              <w:pStyle w:val="Normal11"/>
              <w:numPr>
                <w:ilvl w:val="0"/>
                <w:numId w:val="35"/>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пеметрексед</w:t>
            </w:r>
          </w:p>
          <w:p w14:paraId="1AB02BFA" w14:textId="77777777" w:rsidR="00651041" w:rsidRPr="00DE20E4" w:rsidRDefault="00651041" w:rsidP="0091350E">
            <w:pPr>
              <w:pStyle w:val="Normal11"/>
              <w:numPr>
                <w:ilvl w:val="0"/>
                <w:numId w:val="35"/>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пертузумаб</w:t>
            </w:r>
          </w:p>
          <w:p w14:paraId="7393C625" w14:textId="77777777" w:rsidR="00651041" w:rsidRPr="00DE20E4" w:rsidRDefault="00651041" w:rsidP="0091350E">
            <w:pPr>
              <w:pStyle w:val="Normal11"/>
              <w:numPr>
                <w:ilvl w:val="0"/>
                <w:numId w:val="35"/>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темсиролимус</w:t>
            </w:r>
          </w:p>
          <w:p w14:paraId="07257FB7" w14:textId="77777777" w:rsidR="00651041" w:rsidRPr="00DE20E4" w:rsidRDefault="00651041" w:rsidP="0091350E">
            <w:pPr>
              <w:pStyle w:val="Normal11"/>
              <w:numPr>
                <w:ilvl w:val="0"/>
                <w:numId w:val="35"/>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топотекан</w:t>
            </w:r>
          </w:p>
          <w:p w14:paraId="44A15623" w14:textId="77777777" w:rsidR="00651041" w:rsidRPr="00DE20E4" w:rsidRDefault="00651041" w:rsidP="0091350E">
            <w:pPr>
              <w:pStyle w:val="Normal11"/>
              <w:numPr>
                <w:ilvl w:val="0"/>
                <w:numId w:val="35"/>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трастузумаб-эмтанзин</w:t>
            </w:r>
          </w:p>
          <w:p w14:paraId="7C726191" w14:textId="77777777" w:rsidR="00651041" w:rsidRPr="00DE20E4" w:rsidRDefault="00651041" w:rsidP="0091350E">
            <w:pPr>
              <w:pStyle w:val="Normal11"/>
              <w:numPr>
                <w:ilvl w:val="0"/>
                <w:numId w:val="35"/>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цетуксимаб</w:t>
            </w:r>
          </w:p>
          <w:p w14:paraId="4B15E43F" w14:textId="77777777" w:rsidR="00651041" w:rsidRPr="00DE20E4" w:rsidRDefault="00651041" w:rsidP="0091350E">
            <w:pPr>
              <w:pStyle w:val="Normal11"/>
              <w:numPr>
                <w:ilvl w:val="0"/>
                <w:numId w:val="35"/>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цитарабин ≤ 1000 мг / м</w:t>
            </w:r>
            <w:r w:rsidRPr="00046796">
              <w:rPr>
                <w:sz w:val="22"/>
                <w:szCs w:val="22"/>
                <w:shd w:val="clear" w:color="auto" w:fill="FFFFFF"/>
                <w:vertAlign w:val="superscript"/>
              </w:rPr>
              <w:t>2</w:t>
            </w:r>
          </w:p>
          <w:p w14:paraId="21E2265F" w14:textId="77777777" w:rsidR="00651041" w:rsidRPr="00DE20E4" w:rsidRDefault="00651041" w:rsidP="0091350E">
            <w:pPr>
              <w:pStyle w:val="Normal11"/>
              <w:numPr>
                <w:ilvl w:val="0"/>
                <w:numId w:val="35"/>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элотузумаб</w:t>
            </w:r>
          </w:p>
          <w:p w14:paraId="7BE6CA0C" w14:textId="77777777" w:rsidR="00651041" w:rsidRPr="00DE20E4" w:rsidRDefault="00651041" w:rsidP="0091350E">
            <w:pPr>
              <w:pStyle w:val="Normal11"/>
              <w:numPr>
                <w:ilvl w:val="0"/>
                <w:numId w:val="35"/>
              </w:numPr>
              <w:shd w:val="clear" w:color="auto" w:fill="FFFFFF"/>
              <w:tabs>
                <w:tab w:val="left" w:pos="0"/>
                <w:tab w:val="left" w:pos="394"/>
                <w:tab w:val="left" w:pos="1515"/>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эрибулин</w:t>
            </w:r>
            <w:r w:rsidRPr="00DE20E4">
              <w:rPr>
                <w:sz w:val="22"/>
                <w:szCs w:val="22"/>
                <w:shd w:val="clear" w:color="auto" w:fill="FFFFFF"/>
              </w:rPr>
              <w:tab/>
            </w:r>
          </w:p>
          <w:p w14:paraId="5FE22FC2" w14:textId="77777777" w:rsidR="00651041" w:rsidRPr="00DE20E4" w:rsidRDefault="00651041" w:rsidP="0091350E">
            <w:pPr>
              <w:pStyle w:val="Normal11"/>
              <w:numPr>
                <w:ilvl w:val="0"/>
                <w:numId w:val="35"/>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этопозид</w:t>
            </w:r>
          </w:p>
          <w:p w14:paraId="034F19FE" w14:textId="77777777" w:rsidR="00651041" w:rsidRPr="00DE20E4" w:rsidRDefault="00651041" w:rsidP="0091350E">
            <w:pPr>
              <w:pStyle w:val="Normal11"/>
              <w:numPr>
                <w:ilvl w:val="0"/>
                <w:numId w:val="35"/>
              </w:numPr>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5</w:t>
            </w:r>
            <w:r w:rsidRPr="00DE20E4">
              <w:rPr>
                <w:rFonts w:ascii="MS Mincho" w:eastAsia="MS Mincho" w:hAnsi="MS Mincho" w:cs="MS Mincho" w:hint="eastAsia"/>
                <w:sz w:val="22"/>
                <w:szCs w:val="22"/>
                <w:shd w:val="clear" w:color="auto" w:fill="FFFFFF"/>
              </w:rPr>
              <w:t>‑</w:t>
            </w:r>
            <w:r w:rsidRPr="00DE20E4">
              <w:rPr>
                <w:sz w:val="22"/>
                <w:szCs w:val="22"/>
                <w:shd w:val="clear" w:color="auto" w:fill="FFFFFF"/>
              </w:rPr>
              <w:t>фторурацил</w:t>
            </w:r>
          </w:p>
        </w:tc>
        <w:tc>
          <w:tcPr>
            <w:tcW w:w="3746" w:type="dxa"/>
          </w:tcPr>
          <w:p w14:paraId="0CA4EA10" w14:textId="77777777" w:rsidR="00651041" w:rsidRPr="00DE20E4" w:rsidRDefault="00651041" w:rsidP="0091350E">
            <w:pPr>
              <w:pStyle w:val="Normal11"/>
              <w:numPr>
                <w:ilvl w:val="0"/>
                <w:numId w:val="35"/>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Pr>
                <w:sz w:val="22"/>
                <w:szCs w:val="22"/>
                <w:shd w:val="clear" w:color="auto" w:fill="FFFFFF"/>
              </w:rPr>
              <w:lastRenderedPageBreak/>
              <w:t>а</w:t>
            </w:r>
            <w:r w:rsidRPr="00DE20E4">
              <w:rPr>
                <w:sz w:val="22"/>
                <w:szCs w:val="22"/>
                <w:shd w:val="clear" w:color="auto" w:fill="FFFFFF"/>
              </w:rPr>
              <w:t>ксатиниб</w:t>
            </w:r>
          </w:p>
          <w:p w14:paraId="2DB4118D" w14:textId="77777777" w:rsidR="00651041" w:rsidRPr="00015EAB" w:rsidRDefault="00651041" w:rsidP="0091350E">
            <w:pPr>
              <w:pStyle w:val="Normal11"/>
              <w:numPr>
                <w:ilvl w:val="0"/>
                <w:numId w:val="35"/>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Pr>
                <w:sz w:val="22"/>
                <w:szCs w:val="22"/>
                <w:shd w:val="clear" w:color="auto" w:fill="FFFFFF"/>
              </w:rPr>
              <w:t>а</w:t>
            </w:r>
            <w:r w:rsidRPr="00015EAB">
              <w:rPr>
                <w:sz w:val="22"/>
                <w:szCs w:val="22"/>
                <w:shd w:val="clear" w:color="auto" w:fill="FFFFFF"/>
              </w:rPr>
              <w:t xml:space="preserve">лектиниб </w:t>
            </w:r>
          </w:p>
          <w:p w14:paraId="70121F5C" w14:textId="77777777" w:rsidR="00651041" w:rsidRPr="00015EAB" w:rsidRDefault="00651041" w:rsidP="0091350E">
            <w:pPr>
              <w:pStyle w:val="Normal11"/>
              <w:numPr>
                <w:ilvl w:val="0"/>
                <w:numId w:val="35"/>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015EAB">
              <w:rPr>
                <w:sz w:val="22"/>
                <w:szCs w:val="22"/>
                <w:shd w:val="clear" w:color="auto" w:fill="FFFFFF"/>
              </w:rPr>
              <w:t>афатиниб</w:t>
            </w:r>
          </w:p>
          <w:p w14:paraId="0249F284" w14:textId="77777777" w:rsidR="00651041" w:rsidRPr="00015EAB" w:rsidRDefault="00651041" w:rsidP="0091350E">
            <w:pPr>
              <w:pStyle w:val="Normal11"/>
              <w:numPr>
                <w:ilvl w:val="0"/>
                <w:numId w:val="35"/>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015EAB">
              <w:rPr>
                <w:sz w:val="22"/>
                <w:szCs w:val="22"/>
                <w:shd w:val="clear" w:color="auto" w:fill="FFFFFF"/>
              </w:rPr>
              <w:t>вандетаниб</w:t>
            </w:r>
          </w:p>
          <w:p w14:paraId="69E964FA" w14:textId="77777777" w:rsidR="00651041" w:rsidRPr="00015EAB" w:rsidRDefault="00651041" w:rsidP="0091350E">
            <w:pPr>
              <w:pStyle w:val="Normal11"/>
              <w:numPr>
                <w:ilvl w:val="0"/>
                <w:numId w:val="35"/>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015EAB">
              <w:rPr>
                <w:sz w:val="22"/>
                <w:szCs w:val="22"/>
                <w:shd w:val="clear" w:color="auto" w:fill="FFFFFF"/>
              </w:rPr>
              <w:t>венетоклакс</w:t>
            </w:r>
          </w:p>
          <w:p w14:paraId="39D3BF69" w14:textId="77777777" w:rsidR="00651041" w:rsidRPr="00015EAB" w:rsidRDefault="00651041" w:rsidP="0091350E">
            <w:pPr>
              <w:pStyle w:val="Normal11"/>
              <w:numPr>
                <w:ilvl w:val="0"/>
                <w:numId w:val="35"/>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015EAB">
              <w:rPr>
                <w:sz w:val="22"/>
                <w:szCs w:val="22"/>
                <w:shd w:val="clear" w:color="auto" w:fill="FFFFFF"/>
              </w:rPr>
              <w:t>вориностат</w:t>
            </w:r>
          </w:p>
          <w:p w14:paraId="0B6301E7" w14:textId="77777777" w:rsidR="00651041" w:rsidRPr="00015EAB" w:rsidRDefault="00651041" w:rsidP="0091350E">
            <w:pPr>
              <w:pStyle w:val="Normal11"/>
              <w:numPr>
                <w:ilvl w:val="0"/>
                <w:numId w:val="35"/>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015EAB">
              <w:rPr>
                <w:sz w:val="22"/>
                <w:szCs w:val="22"/>
                <w:shd w:val="clear" w:color="auto" w:fill="FFFFFF"/>
              </w:rPr>
              <w:t>дабрафениб</w:t>
            </w:r>
          </w:p>
          <w:p w14:paraId="704CBDD4" w14:textId="77777777" w:rsidR="00651041" w:rsidRPr="00015EAB" w:rsidRDefault="00651041" w:rsidP="0091350E">
            <w:pPr>
              <w:pStyle w:val="Normal11"/>
              <w:numPr>
                <w:ilvl w:val="0"/>
                <w:numId w:val="35"/>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015EAB">
              <w:rPr>
                <w:sz w:val="22"/>
                <w:szCs w:val="22"/>
                <w:shd w:val="clear" w:color="auto" w:fill="FFFFFF"/>
              </w:rPr>
              <w:t>дазатиниб</w:t>
            </w:r>
          </w:p>
          <w:p w14:paraId="4B1B4FB9" w14:textId="77777777" w:rsidR="00651041" w:rsidRPr="00015EAB" w:rsidRDefault="00651041" w:rsidP="0091350E">
            <w:pPr>
              <w:pStyle w:val="Normal11"/>
              <w:numPr>
                <w:ilvl w:val="0"/>
                <w:numId w:val="35"/>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015EAB">
              <w:rPr>
                <w:sz w:val="22"/>
                <w:szCs w:val="22"/>
                <w:shd w:val="clear" w:color="auto" w:fill="FFFFFF"/>
              </w:rPr>
              <w:t>ибрутиниб</w:t>
            </w:r>
          </w:p>
          <w:p w14:paraId="71CE40A6" w14:textId="77777777" w:rsidR="00651041" w:rsidRPr="00015EAB" w:rsidRDefault="00651041" w:rsidP="0091350E">
            <w:pPr>
              <w:pStyle w:val="Normal11"/>
              <w:numPr>
                <w:ilvl w:val="0"/>
                <w:numId w:val="35"/>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015EAB">
              <w:rPr>
                <w:sz w:val="22"/>
                <w:szCs w:val="22"/>
                <w:shd w:val="clear" w:color="auto" w:fill="FFFFFF"/>
              </w:rPr>
              <w:t xml:space="preserve">иделалисиб </w:t>
            </w:r>
          </w:p>
          <w:p w14:paraId="10931559" w14:textId="77777777" w:rsidR="00651041" w:rsidRPr="00015EAB" w:rsidRDefault="00651041" w:rsidP="0091350E">
            <w:pPr>
              <w:pStyle w:val="Normal11"/>
              <w:numPr>
                <w:ilvl w:val="0"/>
                <w:numId w:val="35"/>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015EAB">
              <w:rPr>
                <w:sz w:val="22"/>
                <w:szCs w:val="22"/>
                <w:shd w:val="clear" w:color="auto" w:fill="FFFFFF"/>
              </w:rPr>
              <w:t>иксазомиб</w:t>
            </w:r>
          </w:p>
          <w:p w14:paraId="75A6A051" w14:textId="77777777" w:rsidR="00651041" w:rsidRPr="00015EAB" w:rsidRDefault="00651041" w:rsidP="0091350E">
            <w:pPr>
              <w:pStyle w:val="Normal11"/>
              <w:numPr>
                <w:ilvl w:val="0"/>
                <w:numId w:val="35"/>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015EAB">
              <w:rPr>
                <w:sz w:val="22"/>
                <w:szCs w:val="22"/>
                <w:shd w:val="clear" w:color="auto" w:fill="FFFFFF"/>
              </w:rPr>
              <w:t>капецитабин</w:t>
            </w:r>
          </w:p>
          <w:p w14:paraId="14612AFB" w14:textId="77777777" w:rsidR="00651041" w:rsidRPr="00015EAB" w:rsidRDefault="00651041" w:rsidP="0091350E">
            <w:pPr>
              <w:pStyle w:val="Normal11"/>
              <w:numPr>
                <w:ilvl w:val="0"/>
                <w:numId w:val="35"/>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015EAB">
              <w:rPr>
                <w:sz w:val="22"/>
                <w:szCs w:val="22"/>
                <w:shd w:val="clear" w:color="auto" w:fill="FFFFFF"/>
              </w:rPr>
              <w:t>кобиметиниб</w:t>
            </w:r>
          </w:p>
          <w:p w14:paraId="6EBA93DB" w14:textId="77777777" w:rsidR="00651041" w:rsidRPr="00015EAB" w:rsidRDefault="00651041" w:rsidP="0091350E">
            <w:pPr>
              <w:pStyle w:val="Normal11"/>
              <w:numPr>
                <w:ilvl w:val="0"/>
                <w:numId w:val="35"/>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015EAB">
              <w:rPr>
                <w:sz w:val="22"/>
                <w:szCs w:val="22"/>
                <w:shd w:val="clear" w:color="auto" w:fill="FFFFFF"/>
              </w:rPr>
              <w:lastRenderedPageBreak/>
              <w:t>лапатиниб</w:t>
            </w:r>
          </w:p>
          <w:p w14:paraId="06C72D00" w14:textId="77777777" w:rsidR="00651041" w:rsidRPr="00015EAB" w:rsidRDefault="00651041" w:rsidP="0091350E">
            <w:pPr>
              <w:pStyle w:val="Normal11"/>
              <w:numPr>
                <w:ilvl w:val="0"/>
                <w:numId w:val="35"/>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015EAB">
              <w:rPr>
                <w:sz w:val="22"/>
                <w:szCs w:val="22"/>
                <w:shd w:val="clear" w:color="auto" w:fill="FFFFFF"/>
              </w:rPr>
              <w:t>леналидомид</w:t>
            </w:r>
          </w:p>
          <w:p w14:paraId="221616F8" w14:textId="77777777" w:rsidR="00651041" w:rsidRPr="00015EAB" w:rsidRDefault="00651041" w:rsidP="0091350E">
            <w:pPr>
              <w:pStyle w:val="Normal11"/>
              <w:numPr>
                <w:ilvl w:val="0"/>
                <w:numId w:val="35"/>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015EAB">
              <w:rPr>
                <w:sz w:val="22"/>
                <w:szCs w:val="22"/>
                <w:shd w:val="clear" w:color="auto" w:fill="FFFFFF"/>
              </w:rPr>
              <w:t>нилотиниб</w:t>
            </w:r>
          </w:p>
          <w:p w14:paraId="447BE3E3" w14:textId="77777777" w:rsidR="00651041" w:rsidRPr="00015EAB" w:rsidRDefault="00651041" w:rsidP="0091350E">
            <w:pPr>
              <w:pStyle w:val="Normal11"/>
              <w:numPr>
                <w:ilvl w:val="0"/>
                <w:numId w:val="35"/>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015EAB">
              <w:rPr>
                <w:sz w:val="22"/>
                <w:szCs w:val="22"/>
                <w:shd w:val="clear" w:color="auto" w:fill="FFFFFF"/>
              </w:rPr>
              <w:t>олапариб</w:t>
            </w:r>
          </w:p>
          <w:p w14:paraId="5FE2535B" w14:textId="77777777" w:rsidR="00651041" w:rsidRPr="00015EAB" w:rsidRDefault="00651041" w:rsidP="0091350E">
            <w:pPr>
              <w:pStyle w:val="Normal11"/>
              <w:numPr>
                <w:ilvl w:val="0"/>
                <w:numId w:val="35"/>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015EAB">
              <w:rPr>
                <w:sz w:val="22"/>
                <w:szCs w:val="22"/>
                <w:shd w:val="clear" w:color="auto" w:fill="FFFFFF"/>
              </w:rPr>
              <w:t>осимертиниб</w:t>
            </w:r>
          </w:p>
          <w:p w14:paraId="08A4A660" w14:textId="77777777" w:rsidR="00651041" w:rsidRPr="00015EAB" w:rsidRDefault="00651041" w:rsidP="0091350E">
            <w:pPr>
              <w:pStyle w:val="Normal11"/>
              <w:numPr>
                <w:ilvl w:val="0"/>
                <w:numId w:val="35"/>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015EAB">
              <w:rPr>
                <w:sz w:val="22"/>
                <w:szCs w:val="22"/>
                <w:shd w:val="clear" w:color="auto" w:fill="FFFFFF"/>
              </w:rPr>
              <w:t>пазопаниб</w:t>
            </w:r>
          </w:p>
          <w:p w14:paraId="2F8F5BF6" w14:textId="77777777" w:rsidR="00651041" w:rsidRPr="00015EAB" w:rsidRDefault="00651041" w:rsidP="0091350E">
            <w:pPr>
              <w:pStyle w:val="Normal11"/>
              <w:numPr>
                <w:ilvl w:val="0"/>
                <w:numId w:val="35"/>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015EAB">
              <w:rPr>
                <w:sz w:val="22"/>
                <w:szCs w:val="22"/>
                <w:shd w:val="clear" w:color="auto" w:fill="FFFFFF"/>
              </w:rPr>
              <w:t>палбоциклиб</w:t>
            </w:r>
          </w:p>
          <w:p w14:paraId="29C7B0DA" w14:textId="77777777" w:rsidR="00651041" w:rsidRPr="00015EAB" w:rsidRDefault="00651041" w:rsidP="0091350E">
            <w:pPr>
              <w:pStyle w:val="Normal11"/>
              <w:numPr>
                <w:ilvl w:val="0"/>
                <w:numId w:val="35"/>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015EAB">
              <w:rPr>
                <w:sz w:val="22"/>
                <w:szCs w:val="22"/>
                <w:shd w:val="clear" w:color="auto" w:fill="FFFFFF"/>
              </w:rPr>
              <w:t>панобиностат</w:t>
            </w:r>
          </w:p>
          <w:p w14:paraId="6CD875C8" w14:textId="77777777" w:rsidR="00651041" w:rsidRPr="00015EAB" w:rsidRDefault="00651041" w:rsidP="0091350E">
            <w:pPr>
              <w:pStyle w:val="Normal11"/>
              <w:numPr>
                <w:ilvl w:val="0"/>
                <w:numId w:val="35"/>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015EAB">
              <w:rPr>
                <w:sz w:val="22"/>
                <w:szCs w:val="22"/>
                <w:shd w:val="clear" w:color="auto" w:fill="FFFFFF"/>
              </w:rPr>
              <w:t>понатиниб</w:t>
            </w:r>
          </w:p>
          <w:p w14:paraId="472B6AA6" w14:textId="77777777" w:rsidR="00651041" w:rsidRPr="00015EAB" w:rsidRDefault="00651041" w:rsidP="0091350E">
            <w:pPr>
              <w:pStyle w:val="Normal11"/>
              <w:numPr>
                <w:ilvl w:val="0"/>
                <w:numId w:val="35"/>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015EAB">
              <w:rPr>
                <w:sz w:val="22"/>
                <w:szCs w:val="22"/>
                <w:shd w:val="clear" w:color="auto" w:fill="FFFFFF"/>
              </w:rPr>
              <w:t>регорафениб</w:t>
            </w:r>
          </w:p>
          <w:p w14:paraId="67A738D8" w14:textId="77777777" w:rsidR="00651041" w:rsidRPr="00015EAB" w:rsidRDefault="00651041" w:rsidP="0091350E">
            <w:pPr>
              <w:pStyle w:val="Normal11"/>
              <w:numPr>
                <w:ilvl w:val="0"/>
                <w:numId w:val="35"/>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015EAB">
              <w:rPr>
                <w:sz w:val="22"/>
                <w:szCs w:val="22"/>
                <w:shd w:val="clear" w:color="auto" w:fill="FFFFFF"/>
              </w:rPr>
              <w:t>сонидегиб</w:t>
            </w:r>
          </w:p>
          <w:p w14:paraId="153CAECE" w14:textId="77777777" w:rsidR="00651041" w:rsidRPr="00DE20E4" w:rsidRDefault="00651041" w:rsidP="0091350E">
            <w:pPr>
              <w:pStyle w:val="Normal11"/>
              <w:numPr>
                <w:ilvl w:val="0"/>
                <w:numId w:val="35"/>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сунитиниб</w:t>
            </w:r>
          </w:p>
          <w:p w14:paraId="540AE3BC" w14:textId="77777777" w:rsidR="00651041" w:rsidRPr="00DE20E4" w:rsidRDefault="00651041" w:rsidP="0091350E">
            <w:pPr>
              <w:pStyle w:val="Normal11"/>
              <w:numPr>
                <w:ilvl w:val="0"/>
                <w:numId w:val="35"/>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талидомид</w:t>
            </w:r>
          </w:p>
          <w:p w14:paraId="40CF8767" w14:textId="77777777" w:rsidR="00651041" w:rsidRPr="00DE20E4" w:rsidRDefault="00651041" w:rsidP="0091350E">
            <w:pPr>
              <w:pStyle w:val="Normal11"/>
              <w:numPr>
                <w:ilvl w:val="0"/>
                <w:numId w:val="35"/>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тегафур-урацил</w:t>
            </w:r>
          </w:p>
          <w:p w14:paraId="748A47AB" w14:textId="77777777" w:rsidR="00651041" w:rsidRPr="00DE20E4" w:rsidRDefault="00651041" w:rsidP="0091350E">
            <w:pPr>
              <w:pStyle w:val="Normal11"/>
              <w:numPr>
                <w:ilvl w:val="0"/>
                <w:numId w:val="35"/>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траметиниб</w:t>
            </w:r>
          </w:p>
          <w:p w14:paraId="77EC4F5F" w14:textId="77777777" w:rsidR="00651041" w:rsidRPr="00DE20E4" w:rsidRDefault="00651041" w:rsidP="0091350E">
            <w:pPr>
              <w:pStyle w:val="Normal11"/>
              <w:numPr>
                <w:ilvl w:val="0"/>
                <w:numId w:val="35"/>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флударабин</w:t>
            </w:r>
          </w:p>
          <w:p w14:paraId="3FADF137" w14:textId="77777777" w:rsidR="00651041" w:rsidRPr="00DE20E4" w:rsidRDefault="00651041" w:rsidP="0091350E">
            <w:pPr>
              <w:pStyle w:val="Normal11"/>
              <w:numPr>
                <w:ilvl w:val="0"/>
                <w:numId w:val="35"/>
              </w:numPr>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эверолимус</w:t>
            </w:r>
          </w:p>
          <w:p w14:paraId="0F0B8EA5" w14:textId="77777777" w:rsidR="00651041" w:rsidRPr="00DE20E4" w:rsidRDefault="00651041" w:rsidP="0091350E">
            <w:pPr>
              <w:pStyle w:val="Normal11"/>
              <w:numPr>
                <w:ilvl w:val="0"/>
                <w:numId w:val="35"/>
              </w:numPr>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 xml:space="preserve">этопозид </w:t>
            </w:r>
          </w:p>
        </w:tc>
      </w:tr>
      <w:tr w:rsidR="00651041" w14:paraId="57E21889" w14:textId="77777777" w:rsidTr="005A428D">
        <w:trPr>
          <w:trHeight w:val="692"/>
        </w:trPr>
        <w:tc>
          <w:tcPr>
            <w:tcW w:w="1837" w:type="dxa"/>
          </w:tcPr>
          <w:p w14:paraId="4FEB901F" w14:textId="77777777" w:rsidR="00651041" w:rsidRPr="00DE20E4" w:rsidRDefault="00651041" w:rsidP="005A428D">
            <w:pPr>
              <w:pStyle w:val="Normal11"/>
              <w:tabs>
                <w:tab w:val="left" w:pos="0"/>
              </w:tabs>
              <w:spacing w:line="360" w:lineRule="auto"/>
              <w:ind w:left="57" w:right="57"/>
              <w:rPr>
                <w:sz w:val="22"/>
                <w:szCs w:val="22"/>
                <w:shd w:val="clear" w:color="auto" w:fill="FFFFFF"/>
              </w:rPr>
            </w:pPr>
            <w:r w:rsidRPr="00DE20E4">
              <w:rPr>
                <w:sz w:val="22"/>
                <w:szCs w:val="22"/>
              </w:rPr>
              <w:lastRenderedPageBreak/>
              <w:t>Минимальный (&lt;10 %)</w:t>
            </w:r>
          </w:p>
        </w:tc>
        <w:tc>
          <w:tcPr>
            <w:tcW w:w="3746" w:type="dxa"/>
          </w:tcPr>
          <w:p w14:paraId="1B04C7AF" w14:textId="77777777" w:rsidR="00651041" w:rsidRPr="00DE20E4" w:rsidRDefault="00651041" w:rsidP="0091350E">
            <w:pPr>
              <w:pStyle w:val="Normal11"/>
              <w:numPr>
                <w:ilvl w:val="0"/>
                <w:numId w:val="36"/>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Pr>
                <w:sz w:val="22"/>
                <w:szCs w:val="22"/>
                <w:shd w:val="clear" w:color="auto" w:fill="FFFFFF"/>
              </w:rPr>
              <w:t>б</w:t>
            </w:r>
            <w:r w:rsidRPr="00DE20E4">
              <w:rPr>
                <w:sz w:val="22"/>
                <w:szCs w:val="22"/>
                <w:shd w:val="clear" w:color="auto" w:fill="FFFFFF"/>
              </w:rPr>
              <w:t>евацизумаб</w:t>
            </w:r>
          </w:p>
          <w:p w14:paraId="216D56EC" w14:textId="77777777" w:rsidR="00651041" w:rsidRPr="00DE20E4" w:rsidRDefault="00651041" w:rsidP="0091350E">
            <w:pPr>
              <w:pStyle w:val="Normal11"/>
              <w:numPr>
                <w:ilvl w:val="0"/>
                <w:numId w:val="36"/>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блеомицин</w:t>
            </w:r>
          </w:p>
          <w:p w14:paraId="7AAC671C" w14:textId="77777777" w:rsidR="00651041" w:rsidRPr="00DE20E4" w:rsidRDefault="00651041" w:rsidP="0091350E">
            <w:pPr>
              <w:pStyle w:val="Normal11"/>
              <w:numPr>
                <w:ilvl w:val="0"/>
                <w:numId w:val="36"/>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винбластин</w:t>
            </w:r>
          </w:p>
          <w:p w14:paraId="42FC9309" w14:textId="77777777" w:rsidR="00651041" w:rsidRPr="00DE20E4" w:rsidRDefault="00651041" w:rsidP="0091350E">
            <w:pPr>
              <w:pStyle w:val="Normal11"/>
              <w:numPr>
                <w:ilvl w:val="0"/>
                <w:numId w:val="36"/>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винкристин</w:t>
            </w:r>
          </w:p>
          <w:p w14:paraId="6EA18F77" w14:textId="77777777" w:rsidR="00651041" w:rsidRPr="00DE20E4" w:rsidRDefault="00651041" w:rsidP="0091350E">
            <w:pPr>
              <w:pStyle w:val="Normal11"/>
              <w:numPr>
                <w:ilvl w:val="0"/>
                <w:numId w:val="36"/>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винорельбин</w:t>
            </w:r>
          </w:p>
          <w:p w14:paraId="4709C835" w14:textId="77777777" w:rsidR="00651041" w:rsidRPr="00DE20E4" w:rsidRDefault="00651041" w:rsidP="0091350E">
            <w:pPr>
              <w:pStyle w:val="Normal11"/>
              <w:numPr>
                <w:ilvl w:val="0"/>
                <w:numId w:val="36"/>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даратумумаб</w:t>
            </w:r>
          </w:p>
          <w:p w14:paraId="5D527C62" w14:textId="77777777" w:rsidR="00651041" w:rsidRPr="00DE20E4" w:rsidRDefault="00651041" w:rsidP="0091350E">
            <w:pPr>
              <w:pStyle w:val="Normal11"/>
              <w:numPr>
                <w:ilvl w:val="0"/>
                <w:numId w:val="36"/>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кладрибин</w:t>
            </w:r>
          </w:p>
          <w:p w14:paraId="407AA15B" w14:textId="77777777" w:rsidR="00651041" w:rsidRPr="00DE20E4" w:rsidRDefault="00651041" w:rsidP="0091350E">
            <w:pPr>
              <w:pStyle w:val="Normal11"/>
              <w:numPr>
                <w:ilvl w:val="0"/>
                <w:numId w:val="36"/>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ниволумаб</w:t>
            </w:r>
          </w:p>
          <w:p w14:paraId="3B8CED29" w14:textId="77777777" w:rsidR="00651041" w:rsidRPr="00DE20E4" w:rsidRDefault="00651041" w:rsidP="0091350E">
            <w:pPr>
              <w:pStyle w:val="Normal11"/>
              <w:numPr>
                <w:ilvl w:val="0"/>
                <w:numId w:val="36"/>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обинутузумаб</w:t>
            </w:r>
          </w:p>
          <w:p w14:paraId="28731437" w14:textId="77777777" w:rsidR="00651041" w:rsidRPr="00DE20E4" w:rsidRDefault="00651041" w:rsidP="0091350E">
            <w:pPr>
              <w:pStyle w:val="Normal11"/>
              <w:numPr>
                <w:ilvl w:val="0"/>
                <w:numId w:val="36"/>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офатумумаб</w:t>
            </w:r>
          </w:p>
          <w:p w14:paraId="61DB3F0C" w14:textId="77777777" w:rsidR="00651041" w:rsidRPr="00DE20E4" w:rsidRDefault="00651041" w:rsidP="0091350E">
            <w:pPr>
              <w:pStyle w:val="Normal11"/>
              <w:numPr>
                <w:ilvl w:val="0"/>
                <w:numId w:val="36"/>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пембролизумаб</w:t>
            </w:r>
          </w:p>
          <w:p w14:paraId="330E8AA0" w14:textId="77777777" w:rsidR="00651041" w:rsidRPr="00DE20E4" w:rsidRDefault="00651041" w:rsidP="0091350E">
            <w:pPr>
              <w:pStyle w:val="Normal11"/>
              <w:numPr>
                <w:ilvl w:val="0"/>
                <w:numId w:val="36"/>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пиксантрон</w:t>
            </w:r>
          </w:p>
          <w:p w14:paraId="4FE8D8BE" w14:textId="77777777" w:rsidR="00651041" w:rsidRPr="00DE20E4" w:rsidRDefault="00651041" w:rsidP="0091350E">
            <w:pPr>
              <w:pStyle w:val="Normal11"/>
              <w:numPr>
                <w:ilvl w:val="0"/>
                <w:numId w:val="36"/>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пралатрексат</w:t>
            </w:r>
          </w:p>
          <w:p w14:paraId="32CFC8D7" w14:textId="77777777" w:rsidR="00651041" w:rsidRPr="00DE20E4" w:rsidRDefault="00651041" w:rsidP="0091350E">
            <w:pPr>
              <w:pStyle w:val="Normal11"/>
              <w:numPr>
                <w:ilvl w:val="0"/>
                <w:numId w:val="36"/>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рамуцирумаб</w:t>
            </w:r>
          </w:p>
          <w:p w14:paraId="6858B572" w14:textId="77777777" w:rsidR="00651041" w:rsidRPr="00FA793D" w:rsidRDefault="00651041" w:rsidP="0091350E">
            <w:pPr>
              <w:pStyle w:val="Normal11"/>
              <w:numPr>
                <w:ilvl w:val="0"/>
                <w:numId w:val="36"/>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FA793D">
              <w:rPr>
                <w:sz w:val="22"/>
                <w:szCs w:val="22"/>
                <w:shd w:val="clear" w:color="auto" w:fill="FFFFFF"/>
              </w:rPr>
              <w:t>ритуксимаб</w:t>
            </w:r>
          </w:p>
          <w:p w14:paraId="2E35D259" w14:textId="77777777" w:rsidR="00651041" w:rsidRPr="00FA793D" w:rsidRDefault="00651041" w:rsidP="0091350E">
            <w:pPr>
              <w:pStyle w:val="Normal11"/>
              <w:numPr>
                <w:ilvl w:val="0"/>
                <w:numId w:val="36"/>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FA793D">
              <w:rPr>
                <w:sz w:val="22"/>
                <w:szCs w:val="22"/>
                <w:shd w:val="clear" w:color="auto" w:fill="FFFFFF"/>
              </w:rPr>
              <w:lastRenderedPageBreak/>
              <w:t>трастузумаб</w:t>
            </w:r>
          </w:p>
          <w:p w14:paraId="61D36471" w14:textId="77777777" w:rsidR="00651041" w:rsidRPr="00FA793D" w:rsidRDefault="00651041" w:rsidP="0091350E">
            <w:pPr>
              <w:pStyle w:val="Normal11"/>
              <w:numPr>
                <w:ilvl w:val="0"/>
                <w:numId w:val="36"/>
              </w:numPr>
              <w:tabs>
                <w:tab w:val="left" w:pos="0"/>
                <w:tab w:val="left" w:pos="394"/>
              </w:tabs>
              <w:autoSpaceDE/>
              <w:autoSpaceDN/>
              <w:adjustRightInd/>
              <w:spacing w:before="5" w:line="360" w:lineRule="auto"/>
              <w:ind w:left="57" w:right="57"/>
              <w:rPr>
                <w:sz w:val="22"/>
                <w:szCs w:val="22"/>
                <w:shd w:val="clear" w:color="auto" w:fill="FFFFFF"/>
              </w:rPr>
            </w:pPr>
            <w:r w:rsidRPr="00FA793D">
              <w:rPr>
                <w:sz w:val="22"/>
                <w:szCs w:val="22"/>
                <w:shd w:val="clear" w:color="auto" w:fill="FFFFFF"/>
              </w:rPr>
              <w:t>флударабин</w:t>
            </w:r>
          </w:p>
          <w:p w14:paraId="05C1212A" w14:textId="77777777" w:rsidR="00651041" w:rsidRPr="00DE20E4" w:rsidRDefault="00651041" w:rsidP="0091350E">
            <w:pPr>
              <w:pStyle w:val="Normal11"/>
              <w:numPr>
                <w:ilvl w:val="0"/>
                <w:numId w:val="36"/>
              </w:numPr>
              <w:tabs>
                <w:tab w:val="left" w:pos="0"/>
                <w:tab w:val="left" w:pos="394"/>
              </w:tabs>
              <w:autoSpaceDE/>
              <w:autoSpaceDN/>
              <w:adjustRightInd/>
              <w:spacing w:before="5" w:line="360" w:lineRule="auto"/>
              <w:ind w:left="57" w:right="57"/>
              <w:rPr>
                <w:sz w:val="22"/>
                <w:szCs w:val="22"/>
                <w:shd w:val="clear" w:color="auto" w:fill="FFFFFF"/>
              </w:rPr>
            </w:pPr>
            <w:r w:rsidRPr="00FA793D">
              <w:rPr>
                <w:sz w:val="22"/>
                <w:szCs w:val="22"/>
                <w:shd w:val="clear" w:color="auto" w:fill="FFFFFF"/>
              </w:rPr>
              <w:t>2-хлордеоксиаденозин</w:t>
            </w:r>
          </w:p>
        </w:tc>
        <w:tc>
          <w:tcPr>
            <w:tcW w:w="3746" w:type="dxa"/>
          </w:tcPr>
          <w:p w14:paraId="5D220120" w14:textId="77777777" w:rsidR="00651041" w:rsidRPr="00DE20E4" w:rsidRDefault="00651041" w:rsidP="0091350E">
            <w:pPr>
              <w:pStyle w:val="Normal11"/>
              <w:numPr>
                <w:ilvl w:val="0"/>
                <w:numId w:val="36"/>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Pr>
                <w:sz w:val="22"/>
                <w:szCs w:val="22"/>
                <w:shd w:val="clear" w:color="auto" w:fill="FFFFFF"/>
              </w:rPr>
              <w:lastRenderedPageBreak/>
              <w:t>б</w:t>
            </w:r>
            <w:r w:rsidRPr="00DE20E4">
              <w:rPr>
                <w:sz w:val="22"/>
                <w:szCs w:val="22"/>
                <w:shd w:val="clear" w:color="auto" w:fill="FFFFFF"/>
              </w:rPr>
              <w:t>усульфан</w:t>
            </w:r>
          </w:p>
          <w:p w14:paraId="7C9223A7" w14:textId="77777777" w:rsidR="00651041" w:rsidRPr="00DE20E4" w:rsidRDefault="00651041" w:rsidP="0091350E">
            <w:pPr>
              <w:pStyle w:val="Normal11"/>
              <w:numPr>
                <w:ilvl w:val="0"/>
                <w:numId w:val="36"/>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Pr>
                <w:sz w:val="22"/>
                <w:szCs w:val="22"/>
                <w:shd w:val="clear" w:color="auto" w:fill="FFFFFF"/>
              </w:rPr>
              <w:t>в</w:t>
            </w:r>
            <w:r w:rsidRPr="00DE20E4">
              <w:rPr>
                <w:sz w:val="22"/>
                <w:szCs w:val="22"/>
                <w:shd w:val="clear" w:color="auto" w:fill="FFFFFF"/>
              </w:rPr>
              <w:t>емурафениб</w:t>
            </w:r>
          </w:p>
          <w:p w14:paraId="0D6EC79D" w14:textId="77777777" w:rsidR="00651041" w:rsidRPr="00DE20E4" w:rsidRDefault="00651041" w:rsidP="0091350E">
            <w:pPr>
              <w:pStyle w:val="Normal11"/>
              <w:numPr>
                <w:ilvl w:val="0"/>
                <w:numId w:val="36"/>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висмодегиб</w:t>
            </w:r>
          </w:p>
          <w:p w14:paraId="6DEC94F2" w14:textId="77777777" w:rsidR="00651041" w:rsidRPr="00DE20E4" w:rsidRDefault="00651041" w:rsidP="0091350E">
            <w:pPr>
              <w:pStyle w:val="Normal11"/>
              <w:numPr>
                <w:ilvl w:val="0"/>
                <w:numId w:val="36"/>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гефитиниб</w:t>
            </w:r>
          </w:p>
          <w:p w14:paraId="281AE99F" w14:textId="77777777" w:rsidR="00651041" w:rsidRPr="00DE20E4" w:rsidRDefault="00651041" w:rsidP="0091350E">
            <w:pPr>
              <w:pStyle w:val="Normal11"/>
              <w:numPr>
                <w:ilvl w:val="0"/>
                <w:numId w:val="36"/>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гидроксиуреа</w:t>
            </w:r>
          </w:p>
          <w:p w14:paraId="2B814D35" w14:textId="77777777" w:rsidR="00651041" w:rsidRPr="00DE20E4" w:rsidRDefault="00651041" w:rsidP="0091350E">
            <w:pPr>
              <w:pStyle w:val="Normal11"/>
              <w:numPr>
                <w:ilvl w:val="0"/>
                <w:numId w:val="36"/>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мелфалан</w:t>
            </w:r>
          </w:p>
          <w:p w14:paraId="1A7BB8EE" w14:textId="77777777" w:rsidR="00651041" w:rsidRPr="00DE20E4" w:rsidRDefault="00651041" w:rsidP="0091350E">
            <w:pPr>
              <w:pStyle w:val="Normal11"/>
              <w:numPr>
                <w:ilvl w:val="0"/>
                <w:numId w:val="36"/>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метотрексат</w:t>
            </w:r>
          </w:p>
          <w:p w14:paraId="177251AA" w14:textId="77777777" w:rsidR="00651041" w:rsidRPr="00DE20E4" w:rsidRDefault="00651041" w:rsidP="0091350E">
            <w:pPr>
              <w:pStyle w:val="Normal11"/>
              <w:numPr>
                <w:ilvl w:val="0"/>
                <w:numId w:val="36"/>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помалидомид</w:t>
            </w:r>
          </w:p>
          <w:p w14:paraId="17B39A03" w14:textId="77777777" w:rsidR="00651041" w:rsidRPr="00DE20E4" w:rsidRDefault="00651041" w:rsidP="0091350E">
            <w:pPr>
              <w:pStyle w:val="Normal11"/>
              <w:numPr>
                <w:ilvl w:val="0"/>
                <w:numId w:val="36"/>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руксолитиниб</w:t>
            </w:r>
          </w:p>
          <w:p w14:paraId="602821DB" w14:textId="77777777" w:rsidR="00651041" w:rsidRPr="00DE20E4" w:rsidRDefault="00651041" w:rsidP="0091350E">
            <w:pPr>
              <w:pStyle w:val="Normal11"/>
              <w:numPr>
                <w:ilvl w:val="0"/>
                <w:numId w:val="36"/>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сорафениб</w:t>
            </w:r>
          </w:p>
          <w:p w14:paraId="7EA7B44F" w14:textId="77777777" w:rsidR="00651041" w:rsidRPr="00DE20E4" w:rsidRDefault="00651041" w:rsidP="0091350E">
            <w:pPr>
              <w:pStyle w:val="Normal11"/>
              <w:numPr>
                <w:ilvl w:val="0"/>
                <w:numId w:val="36"/>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хлорамбуцил</w:t>
            </w:r>
          </w:p>
          <w:p w14:paraId="02BD2E2B" w14:textId="77777777" w:rsidR="00651041" w:rsidRPr="00DE20E4" w:rsidRDefault="00651041" w:rsidP="0091350E">
            <w:pPr>
              <w:pStyle w:val="Normal11"/>
              <w:numPr>
                <w:ilvl w:val="0"/>
                <w:numId w:val="36"/>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эрлотиниб</w:t>
            </w:r>
          </w:p>
          <w:p w14:paraId="2EA0D7A7" w14:textId="77777777" w:rsidR="00651041" w:rsidRPr="00DE20E4" w:rsidRDefault="00651041" w:rsidP="0091350E">
            <w:pPr>
              <w:pStyle w:val="Normal11"/>
              <w:numPr>
                <w:ilvl w:val="0"/>
                <w:numId w:val="36"/>
              </w:numPr>
              <w:shd w:val="clear" w:color="auto" w:fill="FFFFFF"/>
              <w:tabs>
                <w:tab w:val="left" w:pos="0"/>
                <w:tab w:val="left" w:pos="394"/>
              </w:tabs>
              <w:autoSpaceDE/>
              <w:autoSpaceDN/>
              <w:adjustRightInd/>
              <w:spacing w:before="5" w:line="360" w:lineRule="auto"/>
              <w:ind w:left="57" w:right="57"/>
              <w:rPr>
                <w:sz w:val="22"/>
                <w:szCs w:val="22"/>
                <w:shd w:val="clear" w:color="auto" w:fill="FFFFFF"/>
              </w:rPr>
            </w:pPr>
            <w:r w:rsidRPr="00DE20E4">
              <w:rPr>
                <w:sz w:val="22"/>
                <w:szCs w:val="22"/>
                <w:shd w:val="clear" w:color="auto" w:fill="FFFFFF"/>
              </w:rPr>
              <w:t>6</w:t>
            </w:r>
            <w:r w:rsidRPr="00DE20E4">
              <w:rPr>
                <w:rFonts w:ascii="MS Mincho" w:eastAsia="MS Mincho" w:hAnsi="MS Mincho" w:cs="MS Mincho" w:hint="eastAsia"/>
                <w:sz w:val="22"/>
                <w:szCs w:val="22"/>
                <w:shd w:val="clear" w:color="auto" w:fill="FFFFFF"/>
              </w:rPr>
              <w:t>‑</w:t>
            </w:r>
            <w:r w:rsidRPr="00DE20E4">
              <w:rPr>
                <w:sz w:val="22"/>
                <w:szCs w:val="22"/>
                <w:shd w:val="clear" w:color="auto" w:fill="FFFFFF"/>
              </w:rPr>
              <w:t>тиогуанин</w:t>
            </w:r>
          </w:p>
          <w:p w14:paraId="6B7DE5B4" w14:textId="77777777" w:rsidR="00651041" w:rsidRPr="00DE20E4" w:rsidRDefault="00651041" w:rsidP="005A428D">
            <w:pPr>
              <w:pStyle w:val="Normal11"/>
              <w:tabs>
                <w:tab w:val="left" w:pos="0"/>
              </w:tabs>
              <w:spacing w:line="360" w:lineRule="auto"/>
              <w:ind w:left="57" w:right="57"/>
              <w:rPr>
                <w:sz w:val="22"/>
                <w:szCs w:val="22"/>
                <w:shd w:val="clear" w:color="auto" w:fill="FFFFFF"/>
              </w:rPr>
            </w:pPr>
          </w:p>
        </w:tc>
      </w:tr>
    </w:tbl>
    <w:p w14:paraId="17D41A36" w14:textId="77777777" w:rsidR="00651041" w:rsidRDefault="00651041" w:rsidP="00651041"/>
    <w:p w14:paraId="3EFE464F" w14:textId="57EF565D" w:rsidR="00651041" w:rsidRDefault="00651041" w:rsidP="005F2F2B">
      <w:pPr>
        <w:ind w:firstLine="709"/>
      </w:pPr>
      <w:r w:rsidRPr="001957E3">
        <w:t>Рекомендации экспертов по принципам противорвотного (антиэметогенного) лечения основываются на том, в какую категорию эметогенного потенциала входит цитостатик</w:t>
      </w:r>
      <w:r>
        <w:t xml:space="preserve"> </w:t>
      </w:r>
      <w:r>
        <w:fldChar w:fldCharType="begin" w:fldLock="1"/>
      </w:r>
      <w:r w:rsidR="001264E7">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[120–126]","plainTextFormattedCitation":"[120–126]","previouslyFormattedCitation":"[120–126]"},"properties":{"noteIndex":0},"schema":"https://github.com/citation-style-language/schema/raw/master/csl-citation.json"}</w:instrText>
      </w:r>
      <w:r>
        <w:fldChar w:fldCharType="separate"/>
      </w:r>
      <w:r w:rsidR="00F15197" w:rsidRPr="00F15197">
        <w:rPr>
          <w:noProof/>
        </w:rPr>
        <w:t>[120–126]</w:t>
      </w:r>
      <w:r>
        <w:fldChar w:fldCharType="end"/>
      </w:r>
      <w:r w:rsidRPr="001957E3">
        <w:t xml:space="preserve">. Эметогенный потенциал препаратов для внутривенного введения определяется, как правило, для режима однодневного введения, то есть определяется эметогенность разовой дозы. В основу эметогенной классификации таблетированных препаратов положен учет эметогенности полного курса лечения. Эметогенность комбинированного режима </w:t>
      </w:r>
      <w:r>
        <w:t>П</w:t>
      </w:r>
      <w:r w:rsidRPr="001957E3">
        <w:t>ХТ определяется, как правило, препаратом, обладающим наибольшим эметогенным потенциалом. Это положение является абсолютно верным для режимов, включающих высокоэметогенные цитостатики. Комбинация средне-эметогенных цитостатиков может повышать эметогенность режима в целом.</w:t>
      </w:r>
    </w:p>
    <w:p w14:paraId="3BDC237C" w14:textId="77777777" w:rsidR="00651041" w:rsidRPr="001957E3" w:rsidRDefault="00651041" w:rsidP="00651041"/>
    <w:p w14:paraId="074A1D46" w14:textId="77777777" w:rsidR="00651041" w:rsidRPr="00376A77" w:rsidRDefault="00651041" w:rsidP="00651041">
      <w:pPr>
        <w:pStyle w:val="Normal11"/>
        <w:tabs>
          <w:tab w:val="left" w:pos="0"/>
        </w:tabs>
        <w:spacing w:line="360" w:lineRule="auto"/>
        <w:ind w:firstLine="699"/>
        <w:rPr>
          <w:bCs/>
          <w:i/>
          <w:iCs/>
          <w:u w:val="single"/>
          <w:shd w:val="clear" w:color="auto" w:fill="FFFFFF"/>
        </w:rPr>
      </w:pPr>
      <w:r w:rsidRPr="00376A77">
        <w:rPr>
          <w:bCs/>
          <w:i/>
          <w:iCs/>
          <w:u w:val="single"/>
          <w:shd w:val="clear" w:color="auto" w:fill="FFFFFF"/>
        </w:rPr>
        <w:t>Противорвотные препараты</w:t>
      </w:r>
    </w:p>
    <w:p w14:paraId="4151B602" w14:textId="02EFCFB0" w:rsidR="00651041" w:rsidRPr="0030741F" w:rsidRDefault="00651041" w:rsidP="005F2F2B">
      <w:pPr>
        <w:ind w:firstLine="709"/>
      </w:pPr>
      <w:r w:rsidRPr="0030741F">
        <w:t>Для клинического применения используется 5 групп препаратов, обладающих противорвотным действием</w:t>
      </w:r>
      <w:r>
        <w:t xml:space="preserve"> </w:t>
      </w:r>
      <w:r>
        <w:fldChar w:fldCharType="begin" w:fldLock="1"/>
      </w:r>
      <w:r w:rsidR="001264E7">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[120–126]","plainTextFormattedCitation":"[120–126]","previouslyFormattedCitation":"[120–126]"},"properties":{"noteIndex":0},"schema":"https://github.com/citation-style-language/schema/raw/master/csl-citation.json"}</w:instrText>
      </w:r>
      <w:r>
        <w:fldChar w:fldCharType="separate"/>
      </w:r>
      <w:r w:rsidR="00F15197" w:rsidRPr="00F15197">
        <w:rPr>
          <w:noProof/>
        </w:rPr>
        <w:t>[120–126]</w:t>
      </w:r>
      <w:r>
        <w:fldChar w:fldCharType="end"/>
      </w:r>
      <w:r w:rsidRPr="0030741F">
        <w:t>:</w:t>
      </w:r>
    </w:p>
    <w:p w14:paraId="76C051AD" w14:textId="77777777" w:rsidR="00651041" w:rsidRDefault="00651041" w:rsidP="0091350E">
      <w:pPr>
        <w:pStyle w:val="aff"/>
        <w:numPr>
          <w:ilvl w:val="0"/>
          <w:numId w:val="39"/>
        </w:numPr>
      </w:pPr>
      <w:r w:rsidRPr="00340360">
        <w:rPr>
          <w:i/>
          <w:iCs/>
        </w:rPr>
        <w:t>Антагонисты 5-HT3-рецепторов (HT - гидрокситриптамин)</w:t>
      </w:r>
      <w:r>
        <w:t xml:space="preserve">. </w:t>
      </w:r>
      <w:r w:rsidRPr="00376A77">
        <w:t xml:space="preserve">Эта группа препаратов включает ондансетрон, гранисетрон, трописетрон, палоносетрон. Механизм действия препаратов обусловлен способностью селективно блокировать серотониновые 5-HT3-рецепторы, предупреждая возникновение рвотного рефлекса вследствие стимуляции афферентных волокон блуждающего нерва серотонином, выделяющимся из энтерохромаффинных клеток слизистой оболочки ЖКТ. Антагонисты 5-HT3-рецепторов также угнетают центральные звенья рвотного рефлекса, блокируя 5-HT3-рецепторы дна IV желудочка головного мозга. Препараты назначаются за 30-60 минут до ХТ. В таблице </w:t>
      </w:r>
      <w:r>
        <w:t>А3.</w:t>
      </w:r>
      <w:r w:rsidRPr="00376A77">
        <w:t>2</w:t>
      </w:r>
      <w:r>
        <w:t>.2</w:t>
      </w:r>
      <w:r w:rsidRPr="00376A77">
        <w:t xml:space="preserve"> указан режим дозирования антагонистов 5-HT3-рецепторов.</w:t>
      </w:r>
      <w:r>
        <w:t xml:space="preserve"> Необходим</w:t>
      </w:r>
      <w:r w:rsidRPr="00F4328A">
        <w:t xml:space="preserve"> мониторинг ЭКГ, электролитов у больных с признаками кардиальных нарушений. Антагонисты 5-HT3-рецепторов могут удлинять интервал QT, в связи с чем у пациентов с синдромом удлинения QT следует избегать применения 5-HT3-антагонистов, за исключением палоносетрона, который не оказывает влияния на интервал QT. Палоносетрон – высокоселективный антагонист серотониновых рецепторов, имеющий самый длительный период полувыведения </w:t>
      </w:r>
      <w:r w:rsidRPr="00F4328A">
        <w:lastRenderedPageBreak/>
        <w:t xml:space="preserve">(до 40 часов). Применяется однократно с 1-го дня 1-го цикла при однодневном курсе </w:t>
      </w:r>
      <w:r>
        <w:t>П</w:t>
      </w:r>
      <w:r w:rsidRPr="00F4328A">
        <w:t xml:space="preserve">ХТ и через день - при многодневном курсе </w:t>
      </w:r>
      <w:r>
        <w:t>П</w:t>
      </w:r>
      <w:r w:rsidRPr="00F4328A">
        <w:t>ХТ.</w:t>
      </w:r>
    </w:p>
    <w:p w14:paraId="4B0A49B7" w14:textId="77777777" w:rsidR="00651041" w:rsidRDefault="00651041" w:rsidP="00651041">
      <w:pPr>
        <w:pStyle w:val="Normal11"/>
        <w:tabs>
          <w:tab w:val="left" w:pos="0"/>
        </w:tabs>
        <w:spacing w:line="360" w:lineRule="auto"/>
        <w:rPr>
          <w:bCs/>
        </w:rPr>
      </w:pPr>
    </w:p>
    <w:p w14:paraId="64BAD2A9" w14:textId="77777777" w:rsidR="00651041" w:rsidRPr="0070602A" w:rsidRDefault="00651041" w:rsidP="00651041">
      <w:pPr>
        <w:pStyle w:val="Normal11"/>
        <w:tabs>
          <w:tab w:val="left" w:pos="0"/>
        </w:tabs>
        <w:spacing w:line="360" w:lineRule="auto"/>
        <w:rPr>
          <w:bCs/>
        </w:rPr>
      </w:pPr>
      <w:r w:rsidRPr="0070602A">
        <w:rPr>
          <w:bCs/>
        </w:rPr>
        <w:t xml:space="preserve">Таблица </w:t>
      </w:r>
      <w:r>
        <w:rPr>
          <w:bCs/>
        </w:rPr>
        <w:t>А3.2.</w:t>
      </w:r>
      <w:r w:rsidRPr="0070602A">
        <w:rPr>
          <w:bCs/>
        </w:rPr>
        <w:t xml:space="preserve">2. Режим дозирования антагонистов 5-HT3-рецепторов </w:t>
      </w:r>
    </w:p>
    <w:tbl>
      <w:tblPr>
        <w:tblStyle w:val="affa"/>
        <w:tblW w:w="0" w:type="auto"/>
        <w:jc w:val="center"/>
        <w:tblLook w:val="04A0" w:firstRow="1" w:lastRow="0" w:firstColumn="1" w:lastColumn="0" w:noHBand="0" w:noVBand="1"/>
      </w:tblPr>
      <w:tblGrid>
        <w:gridCol w:w="2220"/>
        <w:gridCol w:w="2756"/>
        <w:gridCol w:w="3557"/>
      </w:tblGrid>
      <w:tr w:rsidR="00651041" w:rsidRPr="0079248E" w14:paraId="51779CAD" w14:textId="77777777" w:rsidTr="005A428D">
        <w:trPr>
          <w:jc w:val="center"/>
        </w:trPr>
        <w:tc>
          <w:tcPr>
            <w:tcW w:w="2220" w:type="dxa"/>
          </w:tcPr>
          <w:p w14:paraId="6E308DC9" w14:textId="77777777" w:rsidR="00651041" w:rsidRPr="0079248E" w:rsidRDefault="00651041" w:rsidP="005A428D">
            <w:pPr>
              <w:tabs>
                <w:tab w:val="left" w:pos="0"/>
              </w:tabs>
              <w:ind w:left="57" w:right="57"/>
              <w:jc w:val="center"/>
              <w:rPr>
                <w:szCs w:val="24"/>
                <w:lang w:eastAsia="ru-RU"/>
              </w:rPr>
            </w:pPr>
            <w:r w:rsidRPr="0079248E">
              <w:rPr>
                <w:szCs w:val="24"/>
                <w:lang w:eastAsia="ru-RU"/>
              </w:rPr>
              <w:t>Препарат</w:t>
            </w:r>
          </w:p>
        </w:tc>
        <w:tc>
          <w:tcPr>
            <w:tcW w:w="2756" w:type="dxa"/>
          </w:tcPr>
          <w:p w14:paraId="57BC438A" w14:textId="77777777" w:rsidR="00651041" w:rsidRPr="0079248E" w:rsidRDefault="00651041" w:rsidP="005A428D">
            <w:pPr>
              <w:tabs>
                <w:tab w:val="left" w:pos="0"/>
              </w:tabs>
              <w:ind w:left="57" w:right="57"/>
              <w:jc w:val="center"/>
              <w:rPr>
                <w:szCs w:val="24"/>
                <w:lang w:eastAsia="ru-RU"/>
              </w:rPr>
            </w:pPr>
            <w:r w:rsidRPr="0079248E">
              <w:rPr>
                <w:szCs w:val="24"/>
                <w:lang w:eastAsia="ru-RU"/>
              </w:rPr>
              <w:t>Разовая доза, мг</w:t>
            </w:r>
          </w:p>
        </w:tc>
        <w:tc>
          <w:tcPr>
            <w:tcW w:w="3557" w:type="dxa"/>
          </w:tcPr>
          <w:p w14:paraId="6C77F825" w14:textId="77777777" w:rsidR="00651041" w:rsidRPr="0079248E" w:rsidRDefault="00651041" w:rsidP="005A428D">
            <w:pPr>
              <w:tabs>
                <w:tab w:val="left" w:pos="0"/>
              </w:tabs>
              <w:ind w:left="57" w:right="57"/>
              <w:jc w:val="center"/>
              <w:rPr>
                <w:szCs w:val="24"/>
                <w:lang w:eastAsia="ru-RU"/>
              </w:rPr>
            </w:pPr>
            <w:r w:rsidRPr="00835D9B">
              <w:rPr>
                <w:szCs w:val="24"/>
                <w:lang w:eastAsia="ru-RU"/>
              </w:rPr>
              <w:t>Способ применения</w:t>
            </w:r>
            <w:r>
              <w:rPr>
                <w:szCs w:val="24"/>
                <w:lang w:eastAsia="ru-RU"/>
              </w:rPr>
              <w:t xml:space="preserve"> </w:t>
            </w:r>
          </w:p>
        </w:tc>
      </w:tr>
      <w:tr w:rsidR="00651041" w:rsidRPr="0030741F" w14:paraId="48E54BA8" w14:textId="77777777" w:rsidTr="005A428D">
        <w:trPr>
          <w:jc w:val="center"/>
        </w:trPr>
        <w:tc>
          <w:tcPr>
            <w:tcW w:w="2220" w:type="dxa"/>
          </w:tcPr>
          <w:p w14:paraId="74C26ECA" w14:textId="77777777" w:rsidR="00651041" w:rsidRPr="0030741F" w:rsidRDefault="00651041" w:rsidP="005A428D">
            <w:pPr>
              <w:tabs>
                <w:tab w:val="left" w:pos="0"/>
              </w:tabs>
              <w:ind w:left="57" w:right="57"/>
              <w:rPr>
                <w:szCs w:val="24"/>
                <w:lang w:eastAsia="ru-RU"/>
              </w:rPr>
            </w:pPr>
            <w:r w:rsidRPr="0030741F">
              <w:rPr>
                <w:szCs w:val="24"/>
                <w:lang w:eastAsia="ru-RU"/>
              </w:rPr>
              <w:t>Ондансетрон</w:t>
            </w:r>
          </w:p>
        </w:tc>
        <w:tc>
          <w:tcPr>
            <w:tcW w:w="2756" w:type="dxa"/>
          </w:tcPr>
          <w:p w14:paraId="62212255" w14:textId="77777777" w:rsidR="00651041" w:rsidRPr="0030741F" w:rsidRDefault="00651041" w:rsidP="005A428D">
            <w:pPr>
              <w:tabs>
                <w:tab w:val="left" w:pos="0"/>
              </w:tabs>
              <w:ind w:left="57" w:right="57"/>
              <w:rPr>
                <w:szCs w:val="24"/>
                <w:lang w:eastAsia="ru-RU"/>
              </w:rPr>
            </w:pPr>
            <w:r w:rsidRPr="0030741F">
              <w:rPr>
                <w:szCs w:val="24"/>
                <w:lang w:eastAsia="ru-RU"/>
              </w:rPr>
              <w:t>8</w:t>
            </w:r>
          </w:p>
          <w:p w14:paraId="2C2F06E6" w14:textId="77777777" w:rsidR="00651041" w:rsidRDefault="00651041" w:rsidP="005A428D">
            <w:pPr>
              <w:tabs>
                <w:tab w:val="left" w:pos="0"/>
              </w:tabs>
              <w:ind w:left="57" w:right="57"/>
              <w:rPr>
                <w:szCs w:val="24"/>
                <w:lang w:eastAsia="ru-RU"/>
              </w:rPr>
            </w:pPr>
            <w:r w:rsidRPr="0030741F">
              <w:rPr>
                <w:szCs w:val="24"/>
                <w:lang w:eastAsia="ru-RU"/>
              </w:rPr>
              <w:t xml:space="preserve">16 </w:t>
            </w:r>
          </w:p>
          <w:p w14:paraId="23286E3D" w14:textId="77777777" w:rsidR="00651041" w:rsidRPr="0030741F" w:rsidRDefault="00651041" w:rsidP="005A428D">
            <w:pPr>
              <w:tabs>
                <w:tab w:val="left" w:pos="0"/>
              </w:tabs>
              <w:ind w:left="57" w:right="57"/>
              <w:rPr>
                <w:szCs w:val="24"/>
                <w:lang w:eastAsia="ru-RU"/>
              </w:rPr>
            </w:pPr>
            <w:r>
              <w:rPr>
                <w:szCs w:val="24"/>
                <w:lang w:eastAsia="ru-RU"/>
              </w:rPr>
              <w:t>8</w:t>
            </w:r>
          </w:p>
        </w:tc>
        <w:tc>
          <w:tcPr>
            <w:tcW w:w="3557" w:type="dxa"/>
          </w:tcPr>
          <w:p w14:paraId="6119D4FA" w14:textId="77777777" w:rsidR="00651041" w:rsidRPr="00C36F88" w:rsidRDefault="00651041" w:rsidP="005A428D">
            <w:pPr>
              <w:tabs>
                <w:tab w:val="left" w:pos="0"/>
              </w:tabs>
              <w:ind w:left="57" w:right="57"/>
              <w:rPr>
                <w:szCs w:val="24"/>
                <w:lang w:eastAsia="ru-RU"/>
              </w:rPr>
            </w:pPr>
            <w:r w:rsidRPr="00C36F88">
              <w:rPr>
                <w:szCs w:val="24"/>
                <w:lang w:eastAsia="ru-RU"/>
              </w:rPr>
              <w:t xml:space="preserve">в/в </w:t>
            </w:r>
          </w:p>
          <w:p w14:paraId="370C6B37" w14:textId="77777777" w:rsidR="00651041" w:rsidRPr="00C36F88" w:rsidRDefault="00651041" w:rsidP="005A428D">
            <w:pPr>
              <w:tabs>
                <w:tab w:val="left" w:pos="0"/>
              </w:tabs>
              <w:ind w:left="57" w:right="57"/>
              <w:rPr>
                <w:szCs w:val="24"/>
                <w:lang w:eastAsia="ru-RU"/>
              </w:rPr>
            </w:pPr>
            <w:r w:rsidRPr="00C36F88">
              <w:rPr>
                <w:szCs w:val="24"/>
                <w:lang w:eastAsia="ru-RU"/>
              </w:rPr>
              <w:t>внутрь</w:t>
            </w:r>
          </w:p>
          <w:p w14:paraId="7279E223" w14:textId="77777777" w:rsidR="00651041" w:rsidRPr="00C36F88" w:rsidRDefault="00651041" w:rsidP="005A428D">
            <w:pPr>
              <w:tabs>
                <w:tab w:val="left" w:pos="0"/>
              </w:tabs>
              <w:ind w:left="57" w:right="57"/>
              <w:rPr>
                <w:szCs w:val="24"/>
                <w:lang w:eastAsia="ru-RU"/>
              </w:rPr>
            </w:pPr>
            <w:r w:rsidRPr="00C36F88">
              <w:rPr>
                <w:szCs w:val="24"/>
                <w:lang w:eastAsia="ru-RU"/>
              </w:rPr>
              <w:t>суппозитории ректальные</w:t>
            </w:r>
          </w:p>
        </w:tc>
      </w:tr>
      <w:tr w:rsidR="00651041" w:rsidRPr="0030741F" w14:paraId="100251BF" w14:textId="77777777" w:rsidTr="005A428D">
        <w:trPr>
          <w:jc w:val="center"/>
        </w:trPr>
        <w:tc>
          <w:tcPr>
            <w:tcW w:w="2220" w:type="dxa"/>
          </w:tcPr>
          <w:p w14:paraId="1F943816" w14:textId="77777777" w:rsidR="00651041" w:rsidRPr="0030741F" w:rsidRDefault="00651041" w:rsidP="005A428D">
            <w:pPr>
              <w:tabs>
                <w:tab w:val="left" w:pos="0"/>
              </w:tabs>
              <w:ind w:left="57" w:right="57"/>
              <w:rPr>
                <w:szCs w:val="24"/>
                <w:lang w:eastAsia="ru-RU"/>
              </w:rPr>
            </w:pPr>
            <w:r w:rsidRPr="0030741F">
              <w:rPr>
                <w:szCs w:val="24"/>
                <w:lang w:eastAsia="ru-RU"/>
              </w:rPr>
              <w:t>Гранисетрон</w:t>
            </w:r>
          </w:p>
        </w:tc>
        <w:tc>
          <w:tcPr>
            <w:tcW w:w="2756" w:type="dxa"/>
          </w:tcPr>
          <w:p w14:paraId="1438657C" w14:textId="77777777" w:rsidR="00651041" w:rsidRPr="0030741F" w:rsidRDefault="00651041" w:rsidP="005A428D">
            <w:pPr>
              <w:tabs>
                <w:tab w:val="left" w:pos="0"/>
              </w:tabs>
              <w:ind w:left="57" w:right="57"/>
              <w:rPr>
                <w:szCs w:val="24"/>
                <w:lang w:eastAsia="ru-RU"/>
              </w:rPr>
            </w:pPr>
            <w:r w:rsidRPr="0030741F">
              <w:rPr>
                <w:szCs w:val="24"/>
                <w:lang w:eastAsia="ru-RU"/>
              </w:rPr>
              <w:t>1-3</w:t>
            </w:r>
          </w:p>
          <w:p w14:paraId="5299F015" w14:textId="77777777" w:rsidR="00651041" w:rsidRPr="0030741F" w:rsidRDefault="00651041" w:rsidP="005A428D">
            <w:pPr>
              <w:tabs>
                <w:tab w:val="left" w:pos="0"/>
              </w:tabs>
              <w:ind w:left="57" w:right="57"/>
              <w:rPr>
                <w:szCs w:val="24"/>
                <w:lang w:eastAsia="ru-RU"/>
              </w:rPr>
            </w:pPr>
            <w:r w:rsidRPr="0030741F">
              <w:rPr>
                <w:szCs w:val="24"/>
                <w:lang w:eastAsia="ru-RU"/>
              </w:rPr>
              <w:t>2</w:t>
            </w:r>
          </w:p>
        </w:tc>
        <w:tc>
          <w:tcPr>
            <w:tcW w:w="3557" w:type="dxa"/>
          </w:tcPr>
          <w:p w14:paraId="769C2BA5" w14:textId="77777777" w:rsidR="00651041" w:rsidRPr="0030741F" w:rsidRDefault="00651041" w:rsidP="005A428D">
            <w:pPr>
              <w:tabs>
                <w:tab w:val="left" w:pos="0"/>
              </w:tabs>
              <w:ind w:left="57" w:right="57"/>
              <w:rPr>
                <w:szCs w:val="24"/>
                <w:lang w:eastAsia="ru-RU"/>
              </w:rPr>
            </w:pPr>
            <w:r w:rsidRPr="0030741F">
              <w:rPr>
                <w:szCs w:val="24"/>
                <w:lang w:eastAsia="ru-RU"/>
              </w:rPr>
              <w:t xml:space="preserve">в/в  </w:t>
            </w:r>
          </w:p>
          <w:p w14:paraId="604346DC" w14:textId="77777777" w:rsidR="00651041" w:rsidRPr="0030741F" w:rsidRDefault="00651041" w:rsidP="005A428D">
            <w:pPr>
              <w:ind w:left="57" w:right="57"/>
              <w:rPr>
                <w:szCs w:val="24"/>
              </w:rPr>
            </w:pPr>
            <w:r w:rsidRPr="0030741F">
              <w:rPr>
                <w:szCs w:val="24"/>
                <w:lang w:eastAsia="ru-RU"/>
              </w:rPr>
              <w:t>внутрь</w:t>
            </w:r>
          </w:p>
        </w:tc>
      </w:tr>
      <w:tr w:rsidR="00651041" w:rsidRPr="0030741F" w14:paraId="727BBA74" w14:textId="77777777" w:rsidTr="005A428D">
        <w:trPr>
          <w:jc w:val="center"/>
        </w:trPr>
        <w:tc>
          <w:tcPr>
            <w:tcW w:w="2220" w:type="dxa"/>
          </w:tcPr>
          <w:p w14:paraId="4406CE79" w14:textId="77777777" w:rsidR="00651041" w:rsidRPr="0030741F" w:rsidRDefault="00651041" w:rsidP="005A428D">
            <w:pPr>
              <w:tabs>
                <w:tab w:val="left" w:pos="0"/>
              </w:tabs>
              <w:ind w:left="57" w:right="57"/>
              <w:rPr>
                <w:szCs w:val="24"/>
                <w:lang w:eastAsia="ru-RU"/>
              </w:rPr>
            </w:pPr>
            <w:r w:rsidRPr="0030741F">
              <w:rPr>
                <w:szCs w:val="24"/>
                <w:lang w:eastAsia="ru-RU"/>
              </w:rPr>
              <w:t>Трописетрон</w:t>
            </w:r>
          </w:p>
        </w:tc>
        <w:tc>
          <w:tcPr>
            <w:tcW w:w="2756" w:type="dxa"/>
          </w:tcPr>
          <w:p w14:paraId="542BD9BD" w14:textId="77777777" w:rsidR="00651041" w:rsidRPr="0030741F" w:rsidRDefault="00651041" w:rsidP="005A428D">
            <w:pPr>
              <w:tabs>
                <w:tab w:val="left" w:pos="0"/>
              </w:tabs>
              <w:ind w:left="57" w:right="57"/>
              <w:rPr>
                <w:szCs w:val="24"/>
                <w:lang w:eastAsia="ru-RU"/>
              </w:rPr>
            </w:pPr>
            <w:r w:rsidRPr="0030741F">
              <w:rPr>
                <w:szCs w:val="24"/>
                <w:lang w:eastAsia="ru-RU"/>
              </w:rPr>
              <w:t xml:space="preserve">5 </w:t>
            </w:r>
          </w:p>
        </w:tc>
        <w:tc>
          <w:tcPr>
            <w:tcW w:w="3557" w:type="dxa"/>
          </w:tcPr>
          <w:p w14:paraId="314D0313" w14:textId="77777777" w:rsidR="00651041" w:rsidRPr="0030741F" w:rsidRDefault="00651041" w:rsidP="005A428D">
            <w:pPr>
              <w:ind w:left="57" w:right="57"/>
              <w:rPr>
                <w:szCs w:val="24"/>
              </w:rPr>
            </w:pPr>
            <w:r w:rsidRPr="0030741F">
              <w:rPr>
                <w:szCs w:val="24"/>
                <w:lang w:eastAsia="ru-RU"/>
              </w:rPr>
              <w:t>в/в или внутрь</w:t>
            </w:r>
          </w:p>
        </w:tc>
      </w:tr>
      <w:tr w:rsidR="00651041" w:rsidRPr="0030741F" w14:paraId="60B0A978" w14:textId="77777777" w:rsidTr="005A428D">
        <w:trPr>
          <w:jc w:val="center"/>
        </w:trPr>
        <w:tc>
          <w:tcPr>
            <w:tcW w:w="2220" w:type="dxa"/>
          </w:tcPr>
          <w:p w14:paraId="0FACEA15" w14:textId="77777777" w:rsidR="00651041" w:rsidRPr="0030741F" w:rsidRDefault="00651041" w:rsidP="005A428D">
            <w:pPr>
              <w:tabs>
                <w:tab w:val="left" w:pos="0"/>
              </w:tabs>
              <w:ind w:left="57" w:right="57"/>
              <w:rPr>
                <w:szCs w:val="24"/>
                <w:lang w:eastAsia="ru-RU"/>
              </w:rPr>
            </w:pPr>
            <w:r w:rsidRPr="0030741F">
              <w:rPr>
                <w:szCs w:val="24"/>
              </w:rPr>
              <w:t>Палоносетрон</w:t>
            </w:r>
          </w:p>
        </w:tc>
        <w:tc>
          <w:tcPr>
            <w:tcW w:w="2756" w:type="dxa"/>
          </w:tcPr>
          <w:p w14:paraId="779CD781" w14:textId="77777777" w:rsidR="00651041" w:rsidRPr="0030741F" w:rsidRDefault="00651041" w:rsidP="005A428D">
            <w:pPr>
              <w:tabs>
                <w:tab w:val="left" w:pos="0"/>
              </w:tabs>
              <w:ind w:left="57" w:right="57"/>
              <w:rPr>
                <w:szCs w:val="24"/>
                <w:lang w:eastAsia="ru-RU"/>
              </w:rPr>
            </w:pPr>
            <w:r w:rsidRPr="0030741F">
              <w:rPr>
                <w:szCs w:val="24"/>
                <w:lang w:eastAsia="ru-RU"/>
              </w:rPr>
              <w:t>0,25</w:t>
            </w:r>
          </w:p>
        </w:tc>
        <w:tc>
          <w:tcPr>
            <w:tcW w:w="3557" w:type="dxa"/>
          </w:tcPr>
          <w:p w14:paraId="570472B0" w14:textId="77777777" w:rsidR="00651041" w:rsidRPr="0030741F" w:rsidRDefault="00651041" w:rsidP="005A428D">
            <w:pPr>
              <w:ind w:left="57" w:right="57"/>
              <w:rPr>
                <w:szCs w:val="24"/>
              </w:rPr>
            </w:pPr>
            <w:r w:rsidRPr="0030741F">
              <w:rPr>
                <w:szCs w:val="24"/>
                <w:lang w:eastAsia="ru-RU"/>
              </w:rPr>
              <w:t>в/в</w:t>
            </w:r>
          </w:p>
        </w:tc>
      </w:tr>
    </w:tbl>
    <w:p w14:paraId="74625122" w14:textId="77777777" w:rsidR="00651041" w:rsidRPr="0030741F" w:rsidRDefault="00651041" w:rsidP="00651041"/>
    <w:p w14:paraId="7ACF7ECF" w14:textId="77777777" w:rsidR="00651041" w:rsidRPr="0030741F" w:rsidRDefault="00651041" w:rsidP="0091350E">
      <w:pPr>
        <w:pStyle w:val="aff"/>
        <w:numPr>
          <w:ilvl w:val="0"/>
          <w:numId w:val="39"/>
        </w:numPr>
      </w:pPr>
      <w:r w:rsidRPr="00E04057">
        <w:rPr>
          <w:i/>
          <w:iCs/>
        </w:rPr>
        <w:t>Кортикостероиды</w:t>
      </w:r>
      <w:r>
        <w:t>.</w:t>
      </w:r>
      <w:r w:rsidRPr="00E04057">
        <w:t xml:space="preserve"> </w:t>
      </w:r>
      <w:r>
        <w:t>Если схема ХТ содержит кортикостероиды, дополнительного назначения дексаметазона с противорвотной целью не требуется. Добавление дексаметазона к антагонистам серотониновых рецепторов позволяет уменьшить риск появления острой тошноты и рвоты и предотвращает развитие отсроченной тошноты и рвоты. Кроме того, он обладает самостоятельной противорвотной активностью и может использоваться в монотерапии для профилактики острой рвоты после введения низкоэметогенных цитостатиков. Препарат назначается в дозе 12 мг внутривенно однократно за 30–60 минут до ХТ. В случае высокоэметогенной терапии в последующие дни назначается внутрь в дозе 8 мг два раза в сутки, продолжительностью до 5 дней.</w:t>
      </w:r>
    </w:p>
    <w:p w14:paraId="0540B5FA" w14:textId="77777777" w:rsidR="00651041" w:rsidRDefault="00651041" w:rsidP="0091350E">
      <w:pPr>
        <w:pStyle w:val="aff"/>
        <w:numPr>
          <w:ilvl w:val="0"/>
          <w:numId w:val="39"/>
        </w:numPr>
      </w:pPr>
      <w:r w:rsidRPr="00E04057">
        <w:rPr>
          <w:i/>
          <w:iCs/>
        </w:rPr>
        <w:t>Антагонисты рецепторов нейрокинина-1 (NK-1)</w:t>
      </w:r>
      <w:r>
        <w:t xml:space="preserve">. В эту группу препаратов входят апрепитант и фосапрепитант. Апрепитант – селективный высокоаффинный антагонист рецепторов NK-1 центрального механизма действия (за счет связывания с NK1-рецепторами головного мозга). Центральное действие апрепитанта обладает большой продолжительностью, причем он ингибирует как острую, так и отсроченную фазы рвоты, а также повышает противорвотную активность антагонистов 5-НТ3-рецепторов (например, ондансетрона) и глюкокортикостероидов (дексаметазона).  Антагонисты NK1-рецепторов являются умеренными ингибиторами CYP3A4, что необходимо учитывать при одновременном использовании препаратов, метаболизируемых этой же системой (так, апрепитант снижает эффективность гормональных контрацептивов, в связи с чем, необходимо использовать альтернативные методы </w:t>
      </w:r>
      <w:r>
        <w:lastRenderedPageBreak/>
        <w:t>контрацепции; апрепитант повышает концентрацию кортикостероидов, в связи с чем в комбинации с апрепитантом доза дексаметазона должна быть снижена приблизительно на 50%; у пациентов, поручающих варфарин, необходимо дополнительно контролировать уровень международного нормализованного отношения). Антагонисты NK1-рецепторов применяют в комбинации с кортикостероидами и антагонистами серотониновых 5-НТ3-рецепторов. Апрепитант принимается за час до ХТ, фосапрепитант вводится за 30 минут до ХТ в дозах, представленных в таблице А3.2.3.</w:t>
      </w:r>
    </w:p>
    <w:p w14:paraId="1E91E528" w14:textId="77777777" w:rsidR="00651041" w:rsidRDefault="00651041" w:rsidP="00651041">
      <w:pPr>
        <w:rPr>
          <w:bCs/>
          <w:szCs w:val="24"/>
        </w:rPr>
      </w:pPr>
    </w:p>
    <w:p w14:paraId="5E10DEE2" w14:textId="77777777" w:rsidR="00651041" w:rsidRPr="008578C0" w:rsidRDefault="00651041" w:rsidP="00651041">
      <w:pPr>
        <w:rPr>
          <w:bCs/>
          <w:szCs w:val="24"/>
          <w:lang w:eastAsia="ru-RU"/>
        </w:rPr>
      </w:pPr>
      <w:r w:rsidRPr="008578C0">
        <w:rPr>
          <w:bCs/>
          <w:szCs w:val="24"/>
        </w:rPr>
        <w:t xml:space="preserve">Таблица </w:t>
      </w:r>
      <w:r>
        <w:rPr>
          <w:bCs/>
          <w:szCs w:val="24"/>
        </w:rPr>
        <w:t>А.</w:t>
      </w:r>
      <w:r w:rsidRPr="008578C0">
        <w:rPr>
          <w:bCs/>
          <w:szCs w:val="24"/>
        </w:rPr>
        <w:t>3</w:t>
      </w:r>
      <w:r>
        <w:rPr>
          <w:bCs/>
          <w:szCs w:val="24"/>
        </w:rPr>
        <w:t>.2.3</w:t>
      </w:r>
      <w:r w:rsidRPr="008578C0">
        <w:rPr>
          <w:bCs/>
          <w:szCs w:val="24"/>
        </w:rPr>
        <w:t xml:space="preserve">. Режим дозирования антагонистов </w:t>
      </w:r>
      <w:r w:rsidRPr="008578C0">
        <w:rPr>
          <w:bCs/>
          <w:szCs w:val="24"/>
          <w:lang w:eastAsia="ru-RU"/>
        </w:rPr>
        <w:t>NK1-рецепторов</w:t>
      </w:r>
    </w:p>
    <w:tbl>
      <w:tblPr>
        <w:tblStyle w:val="affa"/>
        <w:tblW w:w="0" w:type="auto"/>
        <w:jc w:val="center"/>
        <w:tblLook w:val="04A0" w:firstRow="1" w:lastRow="0" w:firstColumn="1" w:lastColumn="0" w:noHBand="0" w:noVBand="1"/>
      </w:tblPr>
      <w:tblGrid>
        <w:gridCol w:w="2263"/>
        <w:gridCol w:w="2103"/>
        <w:gridCol w:w="4701"/>
      </w:tblGrid>
      <w:tr w:rsidR="00651041" w:rsidRPr="003F4776" w14:paraId="19173601" w14:textId="77777777" w:rsidTr="005A428D">
        <w:trPr>
          <w:jc w:val="center"/>
        </w:trPr>
        <w:tc>
          <w:tcPr>
            <w:tcW w:w="2263" w:type="dxa"/>
          </w:tcPr>
          <w:p w14:paraId="48437C83" w14:textId="77777777" w:rsidR="00651041" w:rsidRPr="003F4776" w:rsidRDefault="00651041" w:rsidP="005A428D">
            <w:pPr>
              <w:tabs>
                <w:tab w:val="left" w:pos="0"/>
              </w:tabs>
              <w:ind w:left="57" w:right="57"/>
              <w:rPr>
                <w:bCs/>
                <w:szCs w:val="24"/>
                <w:lang w:eastAsia="ru-RU"/>
              </w:rPr>
            </w:pPr>
            <w:r w:rsidRPr="003F4776">
              <w:rPr>
                <w:bCs/>
                <w:szCs w:val="24"/>
                <w:lang w:eastAsia="ru-RU"/>
              </w:rPr>
              <w:t>Препарат</w:t>
            </w:r>
          </w:p>
        </w:tc>
        <w:tc>
          <w:tcPr>
            <w:tcW w:w="2103" w:type="dxa"/>
          </w:tcPr>
          <w:p w14:paraId="600C8375" w14:textId="77777777" w:rsidR="00651041" w:rsidRPr="003F4776" w:rsidRDefault="00651041" w:rsidP="005A428D">
            <w:pPr>
              <w:tabs>
                <w:tab w:val="left" w:pos="0"/>
              </w:tabs>
              <w:ind w:left="57" w:right="57"/>
              <w:rPr>
                <w:bCs/>
                <w:szCs w:val="24"/>
                <w:lang w:eastAsia="ru-RU"/>
              </w:rPr>
            </w:pPr>
            <w:r w:rsidRPr="003F4776">
              <w:rPr>
                <w:bCs/>
                <w:szCs w:val="24"/>
                <w:lang w:eastAsia="ru-RU"/>
              </w:rPr>
              <w:t>Разовая доза, мг</w:t>
            </w:r>
          </w:p>
        </w:tc>
        <w:tc>
          <w:tcPr>
            <w:tcW w:w="4701" w:type="dxa"/>
          </w:tcPr>
          <w:p w14:paraId="5B1BFF7C" w14:textId="77777777" w:rsidR="00651041" w:rsidRPr="003F4776" w:rsidRDefault="00651041" w:rsidP="005A428D">
            <w:pPr>
              <w:tabs>
                <w:tab w:val="left" w:pos="0"/>
              </w:tabs>
              <w:ind w:left="57" w:right="57"/>
              <w:rPr>
                <w:bCs/>
                <w:szCs w:val="24"/>
                <w:lang w:eastAsia="ru-RU"/>
              </w:rPr>
            </w:pPr>
            <w:r w:rsidRPr="003F4776">
              <w:rPr>
                <w:bCs/>
                <w:szCs w:val="24"/>
                <w:lang w:eastAsia="ru-RU"/>
              </w:rPr>
              <w:t xml:space="preserve">Способ применения  / </w:t>
            </w:r>
          </w:p>
          <w:p w14:paraId="5C252C09" w14:textId="77777777" w:rsidR="00651041" w:rsidRPr="003F4776" w:rsidRDefault="00651041" w:rsidP="005A428D">
            <w:pPr>
              <w:tabs>
                <w:tab w:val="left" w:pos="0"/>
              </w:tabs>
              <w:ind w:left="57" w:right="57"/>
              <w:rPr>
                <w:bCs/>
                <w:szCs w:val="24"/>
                <w:lang w:eastAsia="ru-RU"/>
              </w:rPr>
            </w:pPr>
            <w:r w:rsidRPr="003F4776">
              <w:rPr>
                <w:bCs/>
                <w:szCs w:val="24"/>
                <w:lang w:eastAsia="ru-RU"/>
              </w:rPr>
              <w:t>Режим дозирования</w:t>
            </w:r>
          </w:p>
        </w:tc>
      </w:tr>
      <w:tr w:rsidR="00651041" w:rsidRPr="0030741F" w14:paraId="7A5E7030" w14:textId="77777777" w:rsidTr="005A428D">
        <w:trPr>
          <w:jc w:val="center"/>
        </w:trPr>
        <w:tc>
          <w:tcPr>
            <w:tcW w:w="2263" w:type="dxa"/>
          </w:tcPr>
          <w:p w14:paraId="2A7F8AF3" w14:textId="77777777" w:rsidR="00651041" w:rsidRPr="0030741F" w:rsidRDefault="00651041" w:rsidP="005A428D">
            <w:pPr>
              <w:tabs>
                <w:tab w:val="left" w:pos="0"/>
              </w:tabs>
              <w:ind w:left="57" w:right="57"/>
              <w:rPr>
                <w:szCs w:val="24"/>
                <w:lang w:eastAsia="ru-RU"/>
              </w:rPr>
            </w:pPr>
            <w:r w:rsidRPr="0030741F">
              <w:rPr>
                <w:szCs w:val="24"/>
                <w:lang w:eastAsia="ru-RU"/>
              </w:rPr>
              <w:t>Апрепитант</w:t>
            </w:r>
          </w:p>
        </w:tc>
        <w:tc>
          <w:tcPr>
            <w:tcW w:w="2103" w:type="dxa"/>
          </w:tcPr>
          <w:p w14:paraId="7A0243CC" w14:textId="77777777" w:rsidR="00651041" w:rsidRPr="0030741F" w:rsidRDefault="00651041" w:rsidP="005A428D">
            <w:pPr>
              <w:tabs>
                <w:tab w:val="left" w:pos="0"/>
              </w:tabs>
              <w:ind w:left="57" w:right="57"/>
              <w:rPr>
                <w:szCs w:val="24"/>
                <w:lang w:eastAsia="ru-RU"/>
              </w:rPr>
            </w:pPr>
            <w:r w:rsidRPr="0030741F">
              <w:rPr>
                <w:szCs w:val="24"/>
                <w:lang w:eastAsia="ru-RU"/>
              </w:rPr>
              <w:t xml:space="preserve">125  </w:t>
            </w:r>
          </w:p>
          <w:p w14:paraId="43EFD9CD" w14:textId="77777777" w:rsidR="00651041" w:rsidRPr="0030741F" w:rsidRDefault="00651041" w:rsidP="005A428D">
            <w:pPr>
              <w:tabs>
                <w:tab w:val="left" w:pos="0"/>
              </w:tabs>
              <w:ind w:left="57" w:right="57"/>
              <w:rPr>
                <w:szCs w:val="24"/>
                <w:lang w:eastAsia="ru-RU"/>
              </w:rPr>
            </w:pPr>
            <w:r w:rsidRPr="0030741F">
              <w:rPr>
                <w:szCs w:val="24"/>
                <w:lang w:eastAsia="ru-RU"/>
              </w:rPr>
              <w:t xml:space="preserve">80 </w:t>
            </w:r>
          </w:p>
        </w:tc>
        <w:tc>
          <w:tcPr>
            <w:tcW w:w="4701" w:type="dxa"/>
          </w:tcPr>
          <w:p w14:paraId="63836E81" w14:textId="77777777" w:rsidR="00651041" w:rsidRPr="0030741F" w:rsidRDefault="00651041" w:rsidP="005A428D">
            <w:pPr>
              <w:tabs>
                <w:tab w:val="left" w:pos="0"/>
              </w:tabs>
              <w:ind w:left="57" w:right="57"/>
              <w:rPr>
                <w:szCs w:val="24"/>
                <w:lang w:eastAsia="ru-RU"/>
              </w:rPr>
            </w:pPr>
            <w:r w:rsidRPr="0030741F">
              <w:rPr>
                <w:szCs w:val="24"/>
                <w:lang w:eastAsia="ru-RU"/>
              </w:rPr>
              <w:t>Внутрь в 1 день</w:t>
            </w:r>
          </w:p>
          <w:p w14:paraId="44332D52" w14:textId="77777777" w:rsidR="00651041" w:rsidRPr="0030741F" w:rsidRDefault="00651041" w:rsidP="005A428D">
            <w:pPr>
              <w:tabs>
                <w:tab w:val="left" w:pos="0"/>
              </w:tabs>
              <w:ind w:left="57" w:right="57"/>
              <w:rPr>
                <w:szCs w:val="24"/>
                <w:lang w:eastAsia="ru-RU"/>
              </w:rPr>
            </w:pPr>
            <w:r w:rsidRPr="0030741F">
              <w:rPr>
                <w:szCs w:val="24"/>
                <w:lang w:eastAsia="ru-RU"/>
              </w:rPr>
              <w:t xml:space="preserve">Внутрь во 2 и </w:t>
            </w:r>
            <w:r>
              <w:rPr>
                <w:szCs w:val="24"/>
                <w:lang w:eastAsia="ru-RU"/>
              </w:rPr>
              <w:t>3</w:t>
            </w:r>
            <w:r w:rsidRPr="0030741F">
              <w:rPr>
                <w:szCs w:val="24"/>
                <w:lang w:eastAsia="ru-RU"/>
              </w:rPr>
              <w:t xml:space="preserve"> дни </w:t>
            </w:r>
            <w:r>
              <w:rPr>
                <w:szCs w:val="24"/>
                <w:lang w:eastAsia="ru-RU"/>
              </w:rPr>
              <w:t>П</w:t>
            </w:r>
            <w:r w:rsidRPr="0030741F">
              <w:rPr>
                <w:szCs w:val="24"/>
                <w:lang w:eastAsia="ru-RU"/>
              </w:rPr>
              <w:t>ХТ</w:t>
            </w:r>
          </w:p>
        </w:tc>
      </w:tr>
      <w:tr w:rsidR="00651041" w:rsidRPr="0030741F" w14:paraId="3BF12DE3" w14:textId="77777777" w:rsidTr="005A428D">
        <w:trPr>
          <w:jc w:val="center"/>
        </w:trPr>
        <w:tc>
          <w:tcPr>
            <w:tcW w:w="2263" w:type="dxa"/>
          </w:tcPr>
          <w:p w14:paraId="1402D3A2" w14:textId="77777777" w:rsidR="00651041" w:rsidRPr="0030741F" w:rsidRDefault="00651041" w:rsidP="005A428D">
            <w:pPr>
              <w:tabs>
                <w:tab w:val="left" w:pos="0"/>
              </w:tabs>
              <w:ind w:left="57" w:right="57"/>
              <w:rPr>
                <w:szCs w:val="24"/>
                <w:lang w:eastAsia="ru-RU"/>
              </w:rPr>
            </w:pPr>
            <w:r w:rsidRPr="0030741F">
              <w:rPr>
                <w:bCs/>
                <w:szCs w:val="24"/>
              </w:rPr>
              <w:t>Фосапрепитант</w:t>
            </w:r>
          </w:p>
        </w:tc>
        <w:tc>
          <w:tcPr>
            <w:tcW w:w="2103" w:type="dxa"/>
          </w:tcPr>
          <w:p w14:paraId="4B7D9A6F" w14:textId="77777777" w:rsidR="00651041" w:rsidRPr="0030741F" w:rsidRDefault="00651041" w:rsidP="005A428D">
            <w:pPr>
              <w:tabs>
                <w:tab w:val="left" w:pos="0"/>
              </w:tabs>
              <w:ind w:left="57" w:right="57"/>
              <w:rPr>
                <w:szCs w:val="24"/>
                <w:lang w:eastAsia="ru-RU"/>
              </w:rPr>
            </w:pPr>
            <w:r w:rsidRPr="0030741F">
              <w:rPr>
                <w:szCs w:val="24"/>
                <w:lang w:eastAsia="ru-RU"/>
              </w:rPr>
              <w:t>150</w:t>
            </w:r>
          </w:p>
        </w:tc>
        <w:tc>
          <w:tcPr>
            <w:tcW w:w="4701" w:type="dxa"/>
          </w:tcPr>
          <w:p w14:paraId="2C9A7116" w14:textId="77777777" w:rsidR="00651041" w:rsidRPr="0030741F" w:rsidRDefault="00651041" w:rsidP="005A428D">
            <w:pPr>
              <w:tabs>
                <w:tab w:val="left" w:pos="0"/>
              </w:tabs>
              <w:ind w:left="57" w:right="57"/>
              <w:rPr>
                <w:szCs w:val="24"/>
              </w:rPr>
            </w:pPr>
            <w:r w:rsidRPr="0030741F">
              <w:rPr>
                <w:szCs w:val="24"/>
                <w:lang w:eastAsia="ru-RU"/>
              </w:rPr>
              <w:t>В/в однократно</w:t>
            </w:r>
          </w:p>
        </w:tc>
      </w:tr>
    </w:tbl>
    <w:p w14:paraId="2E7A2F96" w14:textId="77777777" w:rsidR="00651041" w:rsidRPr="0030741F" w:rsidRDefault="00651041" w:rsidP="00651041">
      <w:pPr>
        <w:pStyle w:val="aff"/>
        <w:ind w:left="1069"/>
      </w:pPr>
    </w:p>
    <w:p w14:paraId="20806A55" w14:textId="77777777" w:rsidR="00651041" w:rsidRPr="0030741F" w:rsidRDefault="00651041" w:rsidP="0091350E">
      <w:pPr>
        <w:pStyle w:val="aff"/>
        <w:numPr>
          <w:ilvl w:val="0"/>
          <w:numId w:val="39"/>
        </w:numPr>
      </w:pPr>
      <w:r w:rsidRPr="003F4776">
        <w:rPr>
          <w:i/>
          <w:iCs/>
        </w:rPr>
        <w:t>Блокаторы рецепторов допамина</w:t>
      </w:r>
      <w:r>
        <w:t>. В эту группу входят бензамиды (метоклопрамид, итоприд), фенотиазины (хлорпромазин или аминазин, прометазин, метопемазин), бутирофеноны (дроперидол, галоперидол), бензодиазепины (диазепам, лоразепам, альпрозолам). Препараты обладают седативными и анксиолитическими свойствами. Метоклопрамид, широко использовавшийся ранее в высоких дозах для профилактики острой тошноты и рвоты после высоко- и среднеэметогенной ПХТ, в настоящее время применяется реже, так как при сопоставимой эффективности с антагонистами серотониновых рецепторов имеет значительное количество выраженных побочных эффектов. Согласно международным рекомендациям, использование метоклопрамида допустимо в стандартных дозах для профилактики острой тошноты и рвоты после низкоэметогенной химиотерапии, для профилактики отсроченной рвоты в комбинации с дексаметазоном. Режим дозирования – 10 мг 1 - 4 раза в сутки внутривенно или внутрь. Добавление блокаторов рецепторов допамина к схеме противорвотной терапии проводится по показаниям на усмотрение лечащего врача.</w:t>
      </w:r>
    </w:p>
    <w:p w14:paraId="797BF460" w14:textId="77777777" w:rsidR="00651041" w:rsidRDefault="00651041" w:rsidP="0091350E">
      <w:pPr>
        <w:pStyle w:val="aff"/>
        <w:numPr>
          <w:ilvl w:val="0"/>
          <w:numId w:val="39"/>
        </w:numPr>
      </w:pPr>
      <w:r w:rsidRPr="000F06CA">
        <w:rPr>
          <w:i/>
          <w:iCs/>
        </w:rPr>
        <w:t>Нейролептики</w:t>
      </w:r>
      <w:r>
        <w:t xml:space="preserve">. </w:t>
      </w:r>
      <w:r w:rsidRPr="00B328AA">
        <w:t xml:space="preserve">Добавление нейролептиков к схеме противорвотной терапии проводится по показаниям на усмотрение лечащего врача (например, при </w:t>
      </w:r>
      <w:r w:rsidRPr="00B328AA">
        <w:lastRenderedPageBreak/>
        <w:t xml:space="preserve">возникновении неконтролируемой тошноты и рвоты – оланзапин 5–10 мг в сутки внутрь). </w:t>
      </w:r>
    </w:p>
    <w:p w14:paraId="235AFB3E" w14:textId="77777777" w:rsidR="00651041" w:rsidRPr="00B328AA" w:rsidRDefault="00651041" w:rsidP="00651041"/>
    <w:p w14:paraId="74653071" w14:textId="77777777" w:rsidR="00651041" w:rsidRPr="00F10383" w:rsidRDefault="00651041" w:rsidP="00651041">
      <w:pPr>
        <w:pStyle w:val="Normal11"/>
        <w:tabs>
          <w:tab w:val="left" w:pos="0"/>
        </w:tabs>
        <w:spacing w:line="360" w:lineRule="auto"/>
        <w:ind w:firstLine="699"/>
        <w:rPr>
          <w:bCs/>
          <w:i/>
          <w:iCs/>
          <w:u w:val="single"/>
          <w:shd w:val="clear" w:color="auto" w:fill="FFFFFF"/>
        </w:rPr>
      </w:pPr>
      <w:r w:rsidRPr="00F10383">
        <w:rPr>
          <w:bCs/>
          <w:i/>
          <w:iCs/>
          <w:u w:val="single"/>
          <w:shd w:val="clear" w:color="auto" w:fill="FFFFFF"/>
        </w:rPr>
        <w:t xml:space="preserve">Принципы профилактики и терапии тошноты и рвоты. </w:t>
      </w:r>
    </w:p>
    <w:p w14:paraId="690064B8" w14:textId="09F26894" w:rsidR="00651041" w:rsidRPr="00B328AA" w:rsidRDefault="00651041" w:rsidP="005F2F2B">
      <w:pPr>
        <w:ind w:firstLine="709"/>
      </w:pPr>
      <w:r w:rsidRPr="00B328AA">
        <w:t>Эксперты Международной ассоциации по поддерживающему лечению в онкологии (MASCC) разработали принципы антиэметической терапии, согласно которым используются следующие алогритм и методы профилактики тошноты и рвоты</w:t>
      </w:r>
      <w:r>
        <w:t xml:space="preserve"> </w:t>
      </w:r>
      <w:r>
        <w:fldChar w:fldCharType="begin" w:fldLock="1"/>
      </w:r>
      <w:r w:rsidR="001264E7">
        <w:instrText>ADDIN CSL_CITATION {"citationItems":[{"id":"ITEM-1","itemData":{"DOI":"10.1007/s00520-018-4464-y","ISSN":"14337339","PMID":"30284039","abstract":"Chemotherapy-induced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Cancer","id":"ITEM-1","issue":"1","issued":{"date-parts":[["2019","1","1"]]},"page":"87-95","publisher":"Springer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-2","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онкологии.","id":"ITEM-2","issued":{"date-parts":[["2018"]]},"page":"502-511","title":"Практические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[120,126]","plainTextFormattedCitation":"[120,126]","previouslyFormattedCitation":"[120,126]"},"properties":{"noteIndex":0},"schema":"https://github.com/citation-style-language/schema/raw/master/csl-citation.json"}</w:instrText>
      </w:r>
      <w:r>
        <w:fldChar w:fldCharType="separate"/>
      </w:r>
      <w:r w:rsidR="00F15197" w:rsidRPr="00F15197">
        <w:rPr>
          <w:noProof/>
        </w:rPr>
        <w:t>[120,126]</w:t>
      </w:r>
      <w:r>
        <w:fldChar w:fldCharType="end"/>
      </w:r>
      <w:r w:rsidRPr="00B328AA">
        <w:t xml:space="preserve">. </w:t>
      </w:r>
    </w:p>
    <w:p w14:paraId="4F24E8D8" w14:textId="77777777" w:rsidR="00651041" w:rsidRPr="00FB3FAC" w:rsidRDefault="00651041" w:rsidP="005F2F2B">
      <w:pPr>
        <w:tabs>
          <w:tab w:val="left" w:pos="0"/>
        </w:tabs>
        <w:ind w:firstLine="709"/>
        <w:rPr>
          <w:bCs/>
          <w:szCs w:val="24"/>
        </w:rPr>
      </w:pPr>
      <w:r w:rsidRPr="00FB3FAC">
        <w:rPr>
          <w:bCs/>
          <w:szCs w:val="24"/>
        </w:rPr>
        <w:t>Алгоритм профилактики и терапии тошноты и рвоты:</w:t>
      </w:r>
    </w:p>
    <w:p w14:paraId="560585ED" w14:textId="77777777" w:rsidR="00651041" w:rsidRPr="00B328AA" w:rsidRDefault="00651041" w:rsidP="0091350E">
      <w:pPr>
        <w:pStyle w:val="aff"/>
        <w:numPr>
          <w:ilvl w:val="0"/>
          <w:numId w:val="39"/>
        </w:numPr>
      </w:pPr>
      <w:r w:rsidRPr="00B328AA">
        <w:t xml:space="preserve">Определить эметогенный потенциал назначенного режима ХТ </w:t>
      </w:r>
    </w:p>
    <w:p w14:paraId="2CEFBEAC" w14:textId="77777777" w:rsidR="00651041" w:rsidRPr="00B328AA" w:rsidRDefault="00651041" w:rsidP="0091350E">
      <w:pPr>
        <w:pStyle w:val="aff"/>
        <w:numPr>
          <w:ilvl w:val="0"/>
          <w:numId w:val="39"/>
        </w:numPr>
      </w:pPr>
      <w:r w:rsidRPr="00B328AA">
        <w:t>Назначить профилактическую терапию, исходя из эметогенности режима ХТ, начиная с первого курса</w:t>
      </w:r>
    </w:p>
    <w:p w14:paraId="0472A3B4" w14:textId="77777777" w:rsidR="00651041" w:rsidRPr="00B328AA" w:rsidRDefault="00651041" w:rsidP="0091350E">
      <w:pPr>
        <w:pStyle w:val="aff"/>
        <w:numPr>
          <w:ilvl w:val="0"/>
          <w:numId w:val="39"/>
        </w:numPr>
      </w:pPr>
      <w:r w:rsidRPr="00B328AA">
        <w:t>Назначить лечение в случае развития тошноты и рвоты на фоне профилактической терапии</w:t>
      </w:r>
    </w:p>
    <w:p w14:paraId="3CFEF45A" w14:textId="77777777" w:rsidR="00651041" w:rsidRPr="00B328AA" w:rsidRDefault="00651041" w:rsidP="0091350E">
      <w:pPr>
        <w:pStyle w:val="aff"/>
        <w:numPr>
          <w:ilvl w:val="0"/>
          <w:numId w:val="39"/>
        </w:numPr>
      </w:pPr>
      <w:r w:rsidRPr="00B328AA">
        <w:t>В случае развития тошноты и рвоты внести изменения в профилактическую терапию на последующих циклах ХТ</w:t>
      </w:r>
    </w:p>
    <w:p w14:paraId="1BF0F0DF" w14:textId="77777777" w:rsidR="00651041" w:rsidRPr="00B328AA" w:rsidRDefault="00651041" w:rsidP="0091350E">
      <w:pPr>
        <w:pStyle w:val="aff"/>
        <w:numPr>
          <w:ilvl w:val="0"/>
          <w:numId w:val="39"/>
        </w:numPr>
      </w:pPr>
      <w:r w:rsidRPr="00B328AA">
        <w:t>Критерием эффективности противорвотной терапии является полное отсутствие (полный контроль) рвоты и тошноты в течение 24 часов (период развития острой рвоты) с момента введения противоопухолевых препаратов.</w:t>
      </w:r>
    </w:p>
    <w:p w14:paraId="05555C21" w14:textId="77777777" w:rsidR="00651041" w:rsidRDefault="00651041" w:rsidP="00651041">
      <w:pPr>
        <w:tabs>
          <w:tab w:val="left" w:pos="0"/>
        </w:tabs>
        <w:rPr>
          <w:b/>
          <w:szCs w:val="24"/>
        </w:rPr>
      </w:pPr>
    </w:p>
    <w:p w14:paraId="36BC0B8C" w14:textId="77777777" w:rsidR="00651041" w:rsidRPr="00FB3FAC" w:rsidRDefault="00651041" w:rsidP="00651041">
      <w:pPr>
        <w:pStyle w:val="Normal11"/>
        <w:tabs>
          <w:tab w:val="left" w:pos="0"/>
        </w:tabs>
        <w:spacing w:line="360" w:lineRule="auto"/>
        <w:ind w:firstLine="699"/>
        <w:rPr>
          <w:bCs/>
          <w:i/>
          <w:iCs/>
          <w:u w:val="single"/>
          <w:shd w:val="clear" w:color="auto" w:fill="FFFFFF"/>
        </w:rPr>
      </w:pPr>
      <w:r w:rsidRPr="00FB3FAC">
        <w:rPr>
          <w:bCs/>
          <w:i/>
          <w:iCs/>
          <w:u w:val="single"/>
          <w:shd w:val="clear" w:color="auto" w:fill="FFFFFF"/>
        </w:rPr>
        <w:t>Профилактика острой и отсроченной тошноты и рвоты при высоко-эметогенной ХТ</w:t>
      </w:r>
    </w:p>
    <w:p w14:paraId="6713BE1E" w14:textId="09AD16C3" w:rsidR="00651041" w:rsidRPr="00B328AA" w:rsidRDefault="00651041" w:rsidP="005F2F2B">
      <w:pPr>
        <w:ind w:firstLine="709"/>
      </w:pPr>
      <w:r w:rsidRPr="00B328AA">
        <w:t>Профилактика тошноты и рвоты должна начинаться до начала ХТ и проводиться не менее 2-3 дней после ее окончания. Антиэметики назначают во все дни ХТ ежедневно (исключение: палоносетрон – через день) на основе эметогенного потенциала цитостатиков, вводимых в тот или иной день. Выбор противорвотной комбинации осуществляется на основе компонента ХТ, обладающего наибольшей эметогенностью. В настоящее время наиболее эффективной антиэметической комбинацией является комбинация противорвотных препаратов, включающая антагонист NK1-рецепторов + антагонист рецепторов серотонина (5-HT3) + дексаметазон (не добавляют при наличии дексаметазона в схеме ХТ). Дополнительно по показаниям на усмотрение лечащего врача могут применяться бензодиазепины, блокаторы H2-рецепторов гистамина, ингибиторы протонной помпы. Может быть назначен апрепитант в дозе 125 мг в 1 день и 80 мг в последующие дни</w:t>
      </w:r>
      <w:r>
        <w:t xml:space="preserve"> </w:t>
      </w:r>
      <w:r>
        <w:fldChar w:fldCharType="begin" w:fldLock="1"/>
      </w:r>
      <w:r w:rsidR="001264E7">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[120–126]","plainTextFormattedCitation":"[120–126]","previouslyFormattedCitation":"[120–126]"},"properties":{"noteIndex":0},"schema":"https://github.com/citation-style-language/schema/raw/master/csl-citation.json"}</w:instrText>
      </w:r>
      <w:r>
        <w:fldChar w:fldCharType="separate"/>
      </w:r>
      <w:r w:rsidR="00F15197" w:rsidRPr="00F15197">
        <w:rPr>
          <w:noProof/>
        </w:rPr>
        <w:t>[120–126]</w:t>
      </w:r>
      <w:r>
        <w:fldChar w:fldCharType="end"/>
      </w:r>
      <w:r w:rsidRPr="00B328AA">
        <w:t>.</w:t>
      </w:r>
    </w:p>
    <w:p w14:paraId="7B7170F1" w14:textId="77777777" w:rsidR="00651041" w:rsidRPr="0030741F" w:rsidRDefault="00651041" w:rsidP="00651041">
      <w:pPr>
        <w:tabs>
          <w:tab w:val="left" w:pos="0"/>
        </w:tabs>
        <w:rPr>
          <w:szCs w:val="24"/>
        </w:rPr>
      </w:pPr>
    </w:p>
    <w:p w14:paraId="4A06CAE8" w14:textId="77777777" w:rsidR="00651041" w:rsidRPr="00FB3FAC" w:rsidRDefault="00651041" w:rsidP="00651041">
      <w:pPr>
        <w:pStyle w:val="Normal11"/>
        <w:tabs>
          <w:tab w:val="left" w:pos="0"/>
        </w:tabs>
        <w:spacing w:line="360" w:lineRule="auto"/>
        <w:ind w:firstLine="699"/>
        <w:rPr>
          <w:bCs/>
          <w:i/>
          <w:iCs/>
          <w:u w:val="single"/>
          <w:shd w:val="clear" w:color="auto" w:fill="FFFFFF"/>
        </w:rPr>
      </w:pPr>
      <w:r w:rsidRPr="00FB3FAC">
        <w:rPr>
          <w:bCs/>
          <w:i/>
          <w:iCs/>
          <w:u w:val="single"/>
          <w:shd w:val="clear" w:color="auto" w:fill="FFFFFF"/>
        </w:rPr>
        <w:lastRenderedPageBreak/>
        <w:t>Профилактика острой и отсроченной тошноты и рвоты при умеренно-эметогенной ХТ</w:t>
      </w:r>
    </w:p>
    <w:p w14:paraId="01A2FBC7" w14:textId="2514249E" w:rsidR="00651041" w:rsidRPr="00B328AA" w:rsidRDefault="00651041" w:rsidP="005F2F2B">
      <w:pPr>
        <w:ind w:firstLine="709"/>
      </w:pPr>
      <w:r w:rsidRPr="00B328AA">
        <w:t>Профилактика тошноты и рвоты должна начинаться до начала ХТ и проводиться при необходимости еще 2-3 дня после ее окончания. В настоящее время наиболее эффективной антиэметической комбинацией является комбинация противорвотных препаратов, включающая антагонист рецепторов серотонина (5-HT3) + дексаметазон. При некоторых умеренно-эметогенных режимах, включающих карбоплатин, рекомендовано назначение апрепитанта/фосапрепитанта в комбинации с 5-НТ3-антагонистом и дексаметазоном</w:t>
      </w:r>
      <w:r>
        <w:t xml:space="preserve"> </w:t>
      </w:r>
      <w:r>
        <w:fldChar w:fldCharType="begin" w:fldLock="1"/>
      </w:r>
      <w:r w:rsidR="001264E7">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[120–126]","plainTextFormattedCitation":"[120–126]","previouslyFormattedCitation":"[120–126]"},"properties":{"noteIndex":0},"schema":"https://github.com/citation-style-language/schema/raw/master/csl-citation.json"}</w:instrText>
      </w:r>
      <w:r>
        <w:fldChar w:fldCharType="separate"/>
      </w:r>
      <w:r w:rsidR="00F15197" w:rsidRPr="00F15197">
        <w:rPr>
          <w:noProof/>
        </w:rPr>
        <w:t>[120–126]</w:t>
      </w:r>
      <w:r>
        <w:fldChar w:fldCharType="end"/>
      </w:r>
      <w:r w:rsidRPr="00B328AA">
        <w:t>.</w:t>
      </w:r>
    </w:p>
    <w:p w14:paraId="64A1BE6F" w14:textId="77777777" w:rsidR="00651041" w:rsidRDefault="00651041" w:rsidP="00651041">
      <w:pPr>
        <w:pStyle w:val="Normal11"/>
        <w:tabs>
          <w:tab w:val="left" w:pos="0"/>
        </w:tabs>
        <w:spacing w:line="360" w:lineRule="auto"/>
        <w:ind w:firstLine="699"/>
        <w:rPr>
          <w:bCs/>
          <w:i/>
          <w:iCs/>
          <w:u w:val="single"/>
          <w:shd w:val="clear" w:color="auto" w:fill="FFFFFF"/>
        </w:rPr>
      </w:pPr>
    </w:p>
    <w:p w14:paraId="2C138A8F" w14:textId="77777777" w:rsidR="00651041" w:rsidRPr="00FB3FAC" w:rsidRDefault="00651041" w:rsidP="00651041">
      <w:pPr>
        <w:pStyle w:val="Normal11"/>
        <w:tabs>
          <w:tab w:val="left" w:pos="0"/>
        </w:tabs>
        <w:spacing w:line="360" w:lineRule="auto"/>
        <w:ind w:firstLine="699"/>
        <w:rPr>
          <w:bCs/>
          <w:i/>
          <w:iCs/>
          <w:u w:val="single"/>
          <w:shd w:val="clear" w:color="auto" w:fill="FFFFFF"/>
        </w:rPr>
      </w:pPr>
      <w:r w:rsidRPr="00FB3FAC">
        <w:rPr>
          <w:bCs/>
          <w:i/>
          <w:iCs/>
          <w:u w:val="single"/>
          <w:shd w:val="clear" w:color="auto" w:fill="FFFFFF"/>
        </w:rPr>
        <w:t>Профилактика острой и отсроченной тошноты и рвоты при низко-эметогенной и минимально-эметогенной ХТ</w:t>
      </w:r>
    </w:p>
    <w:p w14:paraId="04B753EA" w14:textId="412493AA" w:rsidR="00651041" w:rsidRPr="00B328AA" w:rsidRDefault="00651041" w:rsidP="005F2F2B">
      <w:pPr>
        <w:ind w:firstLine="709"/>
      </w:pPr>
      <w:r w:rsidRPr="00B328AA">
        <w:t>Для профилактики тошноты и рвоты при химиотерапии с низкой эметогенностью следует использовать только один из препаратов: дексаметазон, антагонист 5-HT3-рецепторов или антагонист рецепторов допамина (например, метоклопрамид). При минимально-эметогенной ХТ профилактика тошноты и рвоты не требуется</w:t>
      </w:r>
      <w:r>
        <w:t xml:space="preserve"> </w:t>
      </w:r>
      <w:r>
        <w:fldChar w:fldCharType="begin" w:fldLock="1"/>
      </w:r>
      <w:r w:rsidR="001264E7">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[120–126]","plainTextFormattedCitation":"[120–126]","previouslyFormattedCitation":"[120–126]"},"properties":{"noteIndex":0},"schema":"https://github.com/citation-style-language/schema/raw/master/csl-citation.json"}</w:instrText>
      </w:r>
      <w:r>
        <w:fldChar w:fldCharType="separate"/>
      </w:r>
      <w:r w:rsidR="00F15197" w:rsidRPr="00F15197">
        <w:rPr>
          <w:noProof/>
        </w:rPr>
        <w:t>[120–126]</w:t>
      </w:r>
      <w:r>
        <w:fldChar w:fldCharType="end"/>
      </w:r>
      <w:r w:rsidRPr="00B328AA">
        <w:t>.</w:t>
      </w:r>
    </w:p>
    <w:p w14:paraId="081AE1D2" w14:textId="77777777" w:rsidR="00651041" w:rsidRDefault="00651041" w:rsidP="00651041">
      <w:pPr>
        <w:pStyle w:val="Normal11"/>
        <w:tabs>
          <w:tab w:val="left" w:pos="0"/>
        </w:tabs>
        <w:spacing w:line="360" w:lineRule="auto"/>
        <w:ind w:firstLine="699"/>
        <w:rPr>
          <w:bCs/>
          <w:i/>
          <w:iCs/>
          <w:u w:val="single"/>
          <w:shd w:val="clear" w:color="auto" w:fill="FFFFFF"/>
        </w:rPr>
      </w:pPr>
    </w:p>
    <w:p w14:paraId="0A55F668" w14:textId="77777777" w:rsidR="00651041" w:rsidRPr="00FB3FAC" w:rsidRDefault="00651041" w:rsidP="00651041">
      <w:pPr>
        <w:pStyle w:val="Normal11"/>
        <w:tabs>
          <w:tab w:val="left" w:pos="0"/>
        </w:tabs>
        <w:spacing w:line="360" w:lineRule="auto"/>
        <w:ind w:firstLine="699"/>
        <w:rPr>
          <w:bCs/>
          <w:i/>
          <w:iCs/>
          <w:u w:val="single"/>
          <w:shd w:val="clear" w:color="auto" w:fill="FFFFFF"/>
        </w:rPr>
      </w:pPr>
      <w:r w:rsidRPr="00FB3FAC">
        <w:rPr>
          <w:bCs/>
          <w:i/>
          <w:iCs/>
          <w:u w:val="single"/>
          <w:shd w:val="clear" w:color="auto" w:fill="FFFFFF"/>
        </w:rPr>
        <w:t xml:space="preserve">Профилактика тошноты и рвоты при лучевой терапии </w:t>
      </w:r>
    </w:p>
    <w:p w14:paraId="1EDAA157" w14:textId="1EEF7FE5" w:rsidR="00651041" w:rsidRPr="00B328AA" w:rsidRDefault="00651041" w:rsidP="005F2F2B">
      <w:pPr>
        <w:ind w:firstLine="709"/>
      </w:pPr>
      <w:r w:rsidRPr="00B328AA">
        <w:t>При облучении верхней половины туловища и конечностей в большинстве случаев антиэметическая терапия не требуется. При необходимости назначения антиэметиков эметогенный потенциал определяется по максимально эметогенному воздействию (по зоне лучевой нагрузки или по лекарственному препарату, в случае сочетания лучевой терапии и ХТ) и с учетом зоны облучения. Антиэметики (в основном антагонисты 5-НТ3-рецепторов) чаще применяют неивазивным путем (перорально, ректально) за 30-60 мин до облучения. При недостаточной эффективности антагонистов 5-НТ3-рецепторов в монотерапии возможно присоединение глюкокортикоидов</w:t>
      </w:r>
      <w:r>
        <w:t xml:space="preserve"> </w:t>
      </w:r>
      <w:r>
        <w:fldChar w:fldCharType="begin" w:fldLock="1"/>
      </w:r>
      <w:r w:rsidR="001264E7">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[120–126]","plainTextFormattedCitation":"[120–126]","previouslyFormattedCitation":"[120–126]"},"properties":{"noteIndex":0},"schema":"https://github.com/citation-style-language/schema/raw/master/csl-citation.json"}</w:instrText>
      </w:r>
      <w:r>
        <w:fldChar w:fldCharType="separate"/>
      </w:r>
      <w:r w:rsidR="00F15197" w:rsidRPr="00F15197">
        <w:rPr>
          <w:noProof/>
        </w:rPr>
        <w:t>[120–126]</w:t>
      </w:r>
      <w:r>
        <w:fldChar w:fldCharType="end"/>
      </w:r>
      <w:r w:rsidRPr="00B328AA">
        <w:t>.</w:t>
      </w:r>
    </w:p>
    <w:p w14:paraId="446C4ADD" w14:textId="77777777" w:rsidR="00651041" w:rsidRDefault="00651041" w:rsidP="00651041">
      <w:pPr>
        <w:pStyle w:val="Normal11"/>
        <w:tabs>
          <w:tab w:val="left" w:pos="0"/>
        </w:tabs>
        <w:spacing w:line="360" w:lineRule="auto"/>
        <w:ind w:firstLine="699"/>
        <w:rPr>
          <w:bCs/>
          <w:i/>
          <w:iCs/>
          <w:u w:val="single"/>
          <w:shd w:val="clear" w:color="auto" w:fill="FFFFFF"/>
        </w:rPr>
      </w:pPr>
    </w:p>
    <w:p w14:paraId="0980EC56" w14:textId="77777777" w:rsidR="00651041" w:rsidRPr="00FB3FAC" w:rsidRDefault="00651041" w:rsidP="00651041">
      <w:pPr>
        <w:pStyle w:val="Normal11"/>
        <w:tabs>
          <w:tab w:val="left" w:pos="0"/>
        </w:tabs>
        <w:spacing w:line="360" w:lineRule="auto"/>
        <w:ind w:firstLine="699"/>
        <w:rPr>
          <w:bCs/>
          <w:i/>
          <w:iCs/>
          <w:u w:val="single"/>
          <w:shd w:val="clear" w:color="auto" w:fill="FFFFFF"/>
        </w:rPr>
      </w:pPr>
      <w:r w:rsidRPr="00FB3FAC">
        <w:rPr>
          <w:bCs/>
          <w:i/>
          <w:iCs/>
          <w:u w:val="single"/>
          <w:shd w:val="clear" w:color="auto" w:fill="FFFFFF"/>
        </w:rPr>
        <w:t>Терапия неконтролируемой тошноты и рвоты</w:t>
      </w:r>
    </w:p>
    <w:p w14:paraId="31F74FDF" w14:textId="52DF747C" w:rsidR="00651041" w:rsidRPr="00B328AA" w:rsidRDefault="00651041" w:rsidP="005F2F2B">
      <w:pPr>
        <w:ind w:firstLine="709"/>
      </w:pPr>
      <w:r w:rsidRPr="00B328AA">
        <w:t xml:space="preserve">При возникновении неконтролируемой тошноты и рвоты, несмотря на плановое назначение стандартной для эметогенности данного режима ХТ антиэметической схемы, необходимо исключить причины, не связанные с непосредственным назначением цитостатиков (патология ЖКТ, электролитные нарушения, гипергликемия, уремия, метастазы в головной мозг, побочное действие опиоидных анальгетиков, психофизиологические причины). В случае их исключения необходимо перевести пациента на схему профилактики с низко-эметогенного потенциала на умеренно-эметогенный и с </w:t>
      </w:r>
      <w:r w:rsidRPr="00B328AA">
        <w:lastRenderedPageBreak/>
        <w:t>умеренно-эметогенного на высоко-эметогенный. При возникновении неконтролируемой тошноты и рвоты на фоне стандартных противорвотных схем (без использования апрепитанта или фосапрепитанта) необходимо при последующих курсах ввести в противорвотный режим апрепитант или фосапрепитант</w:t>
      </w:r>
      <w:r>
        <w:t xml:space="preserve"> </w:t>
      </w:r>
      <w:r>
        <w:fldChar w:fldCharType="begin" w:fldLock="1"/>
      </w:r>
      <w:r w:rsidR="001264E7">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[120–126]","plainTextFormattedCitation":"[120–126]","previouslyFormattedCitation":"[120–126]"},"properties":{"noteIndex":0},"schema":"https://github.com/citation-style-language/schema/raw/master/csl-citation.json"}</w:instrText>
      </w:r>
      <w:r>
        <w:fldChar w:fldCharType="separate"/>
      </w:r>
      <w:r w:rsidR="00F15197" w:rsidRPr="00F15197">
        <w:rPr>
          <w:noProof/>
        </w:rPr>
        <w:t>[120–126]</w:t>
      </w:r>
      <w:r>
        <w:fldChar w:fldCharType="end"/>
      </w:r>
      <w:r w:rsidRPr="00B328AA">
        <w:t xml:space="preserve">. </w:t>
      </w:r>
    </w:p>
    <w:p w14:paraId="77BFF36D" w14:textId="77777777" w:rsidR="00651041" w:rsidRPr="00B328AA" w:rsidRDefault="00651041" w:rsidP="005F2F2B">
      <w:pPr>
        <w:ind w:firstLine="709"/>
      </w:pPr>
      <w:r w:rsidRPr="00B328AA">
        <w:t>Развитие неконтролируемой или рефрактерной рвоты может развиться у пациентов с так называемым сверхбыстрым метаболическим фенотипом (ускоренный метаболизм антагонистов 5-HT3-рецепторов в печени). В таком случае целесообразна смена 5-HT3-блокатора на другой антиэметик данного класса препаратов.</w:t>
      </w:r>
    </w:p>
    <w:p w14:paraId="19EA9F80" w14:textId="77777777" w:rsidR="00651041" w:rsidRPr="00B328AA" w:rsidRDefault="00651041" w:rsidP="005F2F2B">
      <w:pPr>
        <w:ind w:firstLine="709"/>
      </w:pPr>
      <w:r w:rsidRPr="00B328AA">
        <w:t>Кроме того, следует выполнять ряд общих принципов профилактики и лечения тошноты и рвоты:</w:t>
      </w:r>
    </w:p>
    <w:p w14:paraId="58F5B190" w14:textId="77777777" w:rsidR="00651041" w:rsidRPr="00B328AA" w:rsidRDefault="00651041" w:rsidP="0091350E">
      <w:pPr>
        <w:pStyle w:val="aff"/>
        <w:numPr>
          <w:ilvl w:val="0"/>
          <w:numId w:val="39"/>
        </w:numPr>
      </w:pPr>
      <w:r w:rsidRPr="00B328AA">
        <w:t>Назначать антиэметики строго по часам, а не при появлении тошноты или рвоты.</w:t>
      </w:r>
    </w:p>
    <w:p w14:paraId="64A9C6C3" w14:textId="77777777" w:rsidR="00651041" w:rsidRPr="00B328AA" w:rsidRDefault="00651041" w:rsidP="0091350E">
      <w:pPr>
        <w:pStyle w:val="aff"/>
        <w:numPr>
          <w:ilvl w:val="0"/>
          <w:numId w:val="39"/>
        </w:numPr>
      </w:pPr>
      <w:r w:rsidRPr="00B328AA">
        <w:t xml:space="preserve">Оценивать предпочтительный путь введения препаратов (парентерально, в ректальных суппозиториях, или внутрь). </w:t>
      </w:r>
    </w:p>
    <w:p w14:paraId="603B24CB" w14:textId="77777777" w:rsidR="00651041" w:rsidRPr="00B328AA" w:rsidRDefault="00651041" w:rsidP="0091350E">
      <w:pPr>
        <w:pStyle w:val="aff"/>
        <w:numPr>
          <w:ilvl w:val="0"/>
          <w:numId w:val="39"/>
        </w:numPr>
      </w:pPr>
      <w:r w:rsidRPr="00B328AA">
        <w:t>Осуществлять адекватную гидратацию и коррекцию электролитов.</w:t>
      </w:r>
    </w:p>
    <w:p w14:paraId="57FF668C" w14:textId="77777777" w:rsidR="00651041" w:rsidRPr="00B328AA" w:rsidRDefault="00651041" w:rsidP="0091350E">
      <w:pPr>
        <w:pStyle w:val="aff"/>
        <w:numPr>
          <w:ilvl w:val="0"/>
          <w:numId w:val="39"/>
        </w:numPr>
      </w:pPr>
      <w:r w:rsidRPr="00B328AA">
        <w:t>Добавлять при диспепсии Н2-блокаторы или блокаторы протонной помпы.</w:t>
      </w:r>
    </w:p>
    <w:p w14:paraId="7C0DEACA" w14:textId="77777777" w:rsidR="00651041" w:rsidRPr="0006238A" w:rsidRDefault="00651041" w:rsidP="005F2F2B">
      <w:pPr>
        <w:ind w:firstLine="709"/>
        <w:rPr>
          <w:rFonts w:eastAsia="GaramondC-Light"/>
          <w:color w:val="000000"/>
          <w:szCs w:val="24"/>
        </w:rPr>
      </w:pPr>
      <w:r w:rsidRPr="0006238A">
        <w:rPr>
          <w:rFonts w:eastAsia="GaramondC-Light"/>
          <w:color w:val="000000"/>
          <w:szCs w:val="24"/>
        </w:rPr>
        <w:t>При возникновении неконтролируемой тошноты и рвоты на фоне трехкомпонентной противорвотной схемы стандартного подхода нет</w:t>
      </w:r>
      <w:r>
        <w:rPr>
          <w:rFonts w:eastAsia="GaramondC-Light"/>
          <w:color w:val="000000"/>
          <w:szCs w:val="24"/>
        </w:rPr>
        <w:t>, с</w:t>
      </w:r>
      <w:r w:rsidRPr="0006238A">
        <w:rPr>
          <w:rFonts w:eastAsia="GaramondC-Light"/>
          <w:color w:val="000000"/>
          <w:szCs w:val="24"/>
        </w:rPr>
        <w:t xml:space="preserve">ледует рассмотреть добавление препаратов иного класса из </w:t>
      </w:r>
      <w:r>
        <w:rPr>
          <w:rFonts w:eastAsia="GaramondC-Light"/>
          <w:color w:val="000000"/>
          <w:szCs w:val="24"/>
        </w:rPr>
        <w:t xml:space="preserve">группы </w:t>
      </w:r>
      <w:r w:rsidRPr="0006238A">
        <w:rPr>
          <w:rFonts w:eastAsia="GaramondC-Light"/>
          <w:color w:val="000000"/>
          <w:szCs w:val="24"/>
        </w:rPr>
        <w:t>резерва:</w:t>
      </w:r>
      <w:r>
        <w:rPr>
          <w:rFonts w:eastAsia="GaramondC-Light"/>
          <w:color w:val="000000"/>
          <w:szCs w:val="24"/>
        </w:rPr>
        <w:t xml:space="preserve"> </w:t>
      </w:r>
    </w:p>
    <w:p w14:paraId="3CF530BC" w14:textId="77777777" w:rsidR="00651041" w:rsidRPr="00B328AA" w:rsidRDefault="00651041" w:rsidP="0091350E">
      <w:pPr>
        <w:pStyle w:val="aff"/>
        <w:numPr>
          <w:ilvl w:val="0"/>
          <w:numId w:val="39"/>
        </w:numPr>
      </w:pPr>
      <w:r w:rsidRPr="00B328AA">
        <w:t>бензодиазепины (например, лоразепам по 0,5–2 мг каждые 4–6 ч);</w:t>
      </w:r>
    </w:p>
    <w:p w14:paraId="255B5EC3" w14:textId="77777777" w:rsidR="00651041" w:rsidRPr="00B328AA" w:rsidRDefault="00651041" w:rsidP="0091350E">
      <w:pPr>
        <w:pStyle w:val="aff"/>
        <w:numPr>
          <w:ilvl w:val="0"/>
          <w:numId w:val="39"/>
        </w:numPr>
      </w:pPr>
      <w:r w:rsidRPr="00B328AA">
        <w:t>блокаторы рецепторов допамина (например, метоклопрамид по 20 мг каждые 6 ч);</w:t>
      </w:r>
    </w:p>
    <w:p w14:paraId="3D4F16BD" w14:textId="77777777" w:rsidR="00651041" w:rsidRPr="00B328AA" w:rsidRDefault="00651041" w:rsidP="0091350E">
      <w:pPr>
        <w:pStyle w:val="aff"/>
        <w:numPr>
          <w:ilvl w:val="0"/>
          <w:numId w:val="39"/>
        </w:numPr>
      </w:pPr>
      <w:r w:rsidRPr="00B328AA">
        <w:t>фенотиазины (например, аминазин 25 мг 4 раза в сутки);</w:t>
      </w:r>
    </w:p>
    <w:p w14:paraId="1E281778" w14:textId="77777777" w:rsidR="00651041" w:rsidRPr="00B328AA" w:rsidRDefault="00651041" w:rsidP="0091350E">
      <w:pPr>
        <w:pStyle w:val="aff"/>
        <w:numPr>
          <w:ilvl w:val="0"/>
          <w:numId w:val="39"/>
        </w:numPr>
      </w:pPr>
      <w:r w:rsidRPr="00B328AA">
        <w:t>бутирофеноны (например, галоперидол 1–2 мг каждые 4–6 ч).</w:t>
      </w:r>
    </w:p>
    <w:p w14:paraId="03192306" w14:textId="77777777" w:rsidR="00651041" w:rsidRPr="00B328AA" w:rsidRDefault="00651041" w:rsidP="005F2F2B">
      <w:pPr>
        <w:ind w:firstLine="709"/>
      </w:pPr>
      <w:r w:rsidRPr="00B328AA">
        <w:t>Возможно также использование альтернативного варианта профилактики тошноты и рвоты:</w:t>
      </w:r>
    </w:p>
    <w:p w14:paraId="76615B24" w14:textId="77777777" w:rsidR="00651041" w:rsidRPr="00B53E48" w:rsidRDefault="00651041" w:rsidP="0091350E">
      <w:pPr>
        <w:pStyle w:val="aff"/>
        <w:numPr>
          <w:ilvl w:val="0"/>
          <w:numId w:val="39"/>
        </w:numPr>
      </w:pPr>
      <w:r w:rsidRPr="00B53E48">
        <w:t>оланзапин 5–10 мг в сутки внутрь с 1 по 3 дни;</w:t>
      </w:r>
    </w:p>
    <w:p w14:paraId="0FF27C9A" w14:textId="77777777" w:rsidR="00651041" w:rsidRPr="00B53E48" w:rsidRDefault="00651041" w:rsidP="0091350E">
      <w:pPr>
        <w:pStyle w:val="aff"/>
        <w:numPr>
          <w:ilvl w:val="0"/>
          <w:numId w:val="39"/>
        </w:numPr>
      </w:pPr>
      <w:r w:rsidRPr="00B53E48">
        <w:t>палоносетрон 0,25 мг в/в за 60 минут до ХТ в 1 день однократно;</w:t>
      </w:r>
    </w:p>
    <w:p w14:paraId="64A2E88D" w14:textId="77777777" w:rsidR="00651041" w:rsidRPr="00B53E48" w:rsidRDefault="00651041" w:rsidP="0091350E">
      <w:pPr>
        <w:pStyle w:val="aff"/>
        <w:numPr>
          <w:ilvl w:val="0"/>
          <w:numId w:val="39"/>
        </w:numPr>
      </w:pPr>
      <w:r w:rsidRPr="00B53E48">
        <w:t>дексаметазон 20 мг в/в за 30 минут до ХТ в 1 день.</w:t>
      </w:r>
    </w:p>
    <w:p w14:paraId="58C0436F" w14:textId="77777777" w:rsidR="00651041" w:rsidRDefault="00651041" w:rsidP="00651041">
      <w:pPr>
        <w:pStyle w:val="Normal11"/>
        <w:tabs>
          <w:tab w:val="left" w:pos="0"/>
        </w:tabs>
        <w:spacing w:line="360" w:lineRule="auto"/>
        <w:ind w:firstLine="699"/>
        <w:rPr>
          <w:bCs/>
          <w:i/>
          <w:iCs/>
          <w:u w:val="single"/>
          <w:shd w:val="clear" w:color="auto" w:fill="FFFFFF"/>
        </w:rPr>
      </w:pPr>
    </w:p>
    <w:p w14:paraId="62E7EDD6" w14:textId="77777777" w:rsidR="00651041" w:rsidRPr="00FB3FAC" w:rsidRDefault="00651041" w:rsidP="00651041">
      <w:pPr>
        <w:pStyle w:val="Normal11"/>
        <w:tabs>
          <w:tab w:val="left" w:pos="0"/>
        </w:tabs>
        <w:spacing w:line="360" w:lineRule="auto"/>
        <w:ind w:firstLine="699"/>
        <w:rPr>
          <w:bCs/>
          <w:i/>
          <w:iCs/>
          <w:u w:val="single"/>
          <w:shd w:val="clear" w:color="auto" w:fill="FFFFFF"/>
        </w:rPr>
      </w:pPr>
      <w:r w:rsidRPr="00FB3FAC">
        <w:rPr>
          <w:bCs/>
          <w:i/>
          <w:iCs/>
          <w:u w:val="single"/>
          <w:shd w:val="clear" w:color="auto" w:fill="FFFFFF"/>
        </w:rPr>
        <w:t>Профилактика и терапия условно-рефлекторной рвоты</w:t>
      </w:r>
    </w:p>
    <w:p w14:paraId="769C15E3" w14:textId="210EC8F4" w:rsidR="00651041" w:rsidRDefault="00651041" w:rsidP="005F2F2B">
      <w:pPr>
        <w:ind w:firstLine="709"/>
      </w:pPr>
      <w:r w:rsidRPr="00B328AA">
        <w:t>Для профилактики и лечения условно-рефлекторной тошноты и рвоты, в первую очередь, важна оптимальная профилактика тошноты и рвоты в каждом цикле ХТ. Также, с учетом психогенного механизма, применяют бензодиазепины (например, лоразепам по 0,5-2 мг на ночь накануне и утром перед ХТ), и нефармакологические методы – психотерапия, гипноз, системная десенсибилизация</w:t>
      </w:r>
      <w:r>
        <w:t xml:space="preserve"> </w:t>
      </w:r>
      <w:r>
        <w:fldChar w:fldCharType="begin" w:fldLock="1"/>
      </w:r>
      <w:r w:rsidR="001264E7">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[120–126]","plainTextFormattedCitation":"[120–126]","previouslyFormattedCitation":"[120–126]"},"properties":{"noteIndex":0},"schema":"https://github.com/citation-style-language/schema/raw/master/csl-citation.json"}</w:instrText>
      </w:r>
      <w:r>
        <w:fldChar w:fldCharType="separate"/>
      </w:r>
      <w:r w:rsidR="00F15197" w:rsidRPr="00F15197">
        <w:rPr>
          <w:noProof/>
        </w:rPr>
        <w:t>[120–126]</w:t>
      </w:r>
      <w:r>
        <w:fldChar w:fldCharType="end"/>
      </w:r>
      <w:r w:rsidRPr="00B328AA">
        <w:t>.</w:t>
      </w:r>
    </w:p>
    <w:p w14:paraId="5D009BED" w14:textId="77777777" w:rsidR="00651041" w:rsidRPr="0046237C" w:rsidRDefault="00651041" w:rsidP="00651041">
      <w:pPr>
        <w:pStyle w:val="Normal11"/>
        <w:tabs>
          <w:tab w:val="left" w:pos="0"/>
        </w:tabs>
        <w:spacing w:line="360" w:lineRule="auto"/>
        <w:ind w:firstLine="699"/>
        <w:rPr>
          <w:noProof/>
        </w:rPr>
      </w:pPr>
    </w:p>
    <w:p w14:paraId="7A4BA834" w14:textId="12B825BB" w:rsidR="00640C0A" w:rsidRPr="003C1AEB" w:rsidRDefault="00F15197" w:rsidP="00640C0A">
      <w:pPr>
        <w:pStyle w:val="2"/>
        <w:rPr>
          <w:lang w:eastAsia="ru-RU"/>
        </w:rPr>
      </w:pPr>
      <w:bookmarkStart w:id="28" w:name="_Toc65104102"/>
      <w:r>
        <w:t>7.4</w:t>
      </w:r>
      <w:r w:rsidRPr="009600FA">
        <w:rPr>
          <w:lang w:eastAsia="ru-RU"/>
        </w:rPr>
        <w:t xml:space="preserve"> </w:t>
      </w:r>
      <w:bookmarkStart w:id="29" w:name="_Toc64295967"/>
      <w:bookmarkStart w:id="30" w:name="_Toc64479399"/>
      <w:r w:rsidR="00640C0A" w:rsidRPr="003C1AEB">
        <w:rPr>
          <w:u w:color="000000"/>
          <w:lang w:eastAsia="ru-RU"/>
        </w:rPr>
        <w:t>Профилактика язвенной болезни желудка и 12-перстной кишки на фоне терапии глюкокортикостероидами</w:t>
      </w:r>
      <w:bookmarkEnd w:id="28"/>
      <w:bookmarkEnd w:id="29"/>
      <w:bookmarkEnd w:id="30"/>
    </w:p>
    <w:p w14:paraId="4380DEA2" w14:textId="77777777" w:rsidR="00640C0A" w:rsidRDefault="00640C0A" w:rsidP="00640C0A">
      <w:pPr>
        <w:pStyle w:val="Normal11"/>
        <w:tabs>
          <w:tab w:val="left" w:pos="0"/>
        </w:tabs>
        <w:spacing w:line="360" w:lineRule="auto"/>
        <w:ind w:firstLine="567"/>
      </w:pPr>
    </w:p>
    <w:p w14:paraId="41E9BD8D" w14:textId="66C686F1" w:rsidR="00640C0A" w:rsidRDefault="00640C0A" w:rsidP="00640C0A">
      <w:pPr>
        <w:ind w:firstLine="709"/>
      </w:pPr>
      <w:r w:rsidRPr="00C96416">
        <w:t xml:space="preserve">В абсолютное большинство протоколов противоопухолевого лечения </w:t>
      </w:r>
      <w:r>
        <w:t>онко</w:t>
      </w:r>
      <w:r w:rsidRPr="003A77F4">
        <w:t>гематологических заболеваний</w:t>
      </w:r>
      <w:r w:rsidRPr="00C96416">
        <w:t xml:space="preserve"> включены высокие дозы глюкокортикостероидов (ГКС). Язва желудка или двенадцатиперстной кишки является одним из серьёзных побочных эффектов терапии ГКС. Механизм ульцерогенного действия ГКС заключается в повышении секреции соляной кислоты в желудке, изменении качественного состава слизи, торможении регенерации поверхностного эпителия. При сочетанном применении </w:t>
      </w:r>
      <w:r>
        <w:t xml:space="preserve">ГКС с </w:t>
      </w:r>
      <w:r w:rsidRPr="00C96416">
        <w:t>нестероидны</w:t>
      </w:r>
      <w:r>
        <w:t>ми</w:t>
      </w:r>
      <w:r w:rsidRPr="00C96416">
        <w:t xml:space="preserve"> противовоспалительны</w:t>
      </w:r>
      <w:r>
        <w:t>ми</w:t>
      </w:r>
      <w:r w:rsidRPr="00C96416">
        <w:t xml:space="preserve"> средств</w:t>
      </w:r>
      <w:r>
        <w:t xml:space="preserve">ами и антикоагулянтами </w:t>
      </w:r>
      <w:r w:rsidRPr="00C96416">
        <w:t>риск развития стероидных язв возрастает.</w:t>
      </w:r>
      <w:r>
        <w:t xml:space="preserve"> В связи с ульцерогенностью, при использовании ГКС необходимо проводить антисекреторную терапию с целью профилактики стероидных язв </w:t>
      </w:r>
      <w:r>
        <w:fldChar w:fldCharType="begin" w:fldLock="1"/>
      </w:r>
      <w:r w:rsidR="00312D7F">
        <w:instrText>ADDIN CSL_CITATION {"citationItems":[{"id":"ITEM-1","itemData":{"DOI":"10.1136/bmjopen-2013-004587","ISSN":"20446055","PMID":"24833682","abstract":"Objective: To assess whether corticosteroids are associated with increased risk of gastrointestinal bleeding or perforation. Design: Systematic review and meta-analysis of randomised, double-blind, controlled trials comparing a corticosteroid to placebo for any medical condition or in healthy participants. Studies with steroids given either locally, as a single dose, or in crossover studies were excluded. Data sources: Literature search using MEDLINE, EMBASE and Cochrane Database of Systematic Reviews between 1983 and 22 May 2013. Outcome measure: Outcome measures were the occurrence of gastrointestinal bleeding or perforation. Predefined subgroup analyses were carried out for disease severity, use of non-steroidal anti-inflammatory drugs (NSAIDs) or gastroprotective drugs, and history of peptic ulcer. Results: 159 studies (N=33 253) were included. In total, 804 (2.4%) patients had a gastrointestinal bleeding or perforation (2.9% and 2.0% for corticosteroids and placebo). Corticosteroids increased the risk of gastrointestinal bleeding or perforation by 40% (OR 1.43, 95% CI 1.22 to 1.66). The risk was increased for hospitalised patients (OR 1.42, 95% CI 1.22 to 1.66). For patients in ambulatory care, the increased risk was not statistically significant (OR 1.63, 95% CI 0.42 to 6.34). Only 11 gastrointestinal bleeds or perforations occurred among 8651 patients in ambulatory care (0.13%). Increased risk was still present in subgroup analyses (studies with NSAID use excluded; OR 1.44, 95% CI 1.20 to 1.71, peptic ulcer as an exclusion criterion excluded; OR 1.47, 95% CI 1.21 to 1.78, and use of gastroprotective drugs excluded; OR 1.42, 95% CI 1.21 to 1.67). Conclusions: Corticosteroid use was associated with increased risk of gastrointestinal bleeding and perforation. The increased risk was statistically significant for hospitalised patients only. For patients in ambulatory care, the total occurrence of bleeding or perforation was very low, and the increased risk was not statistically significant.","author":[{"dropping-particle":"","family":"Narum","given":"Sigrid","non-dropping-particle":"","parse-names":false,"suffix":""},{"dropping-particle":"","family":"Westergren","given":"Tone","non-dropping-particle":"","parse-names":false,"suffix":""},{"dropping-particle":"","family":"Klemp","given":"Marianne","non-dropping-particle":"","parse-names":false,"suffix":""}],"container-title":"BMJ Open","id":"ITEM-1","issue":"5","issued":{"date-parts":[["2014"]]},"publisher":"BMJ Publishing Group","title":"Corticosteroids and risk of gastrointestinal bleeding: A systematic review and meta-analysis","type":"article-journal","volume":"4"},"uris":["http://www.mendeley.com/documents/?uuid=e701298a-dc65-3059-b1f1-21f394625ffe"]},{"id":"ITEM-2","itemData":{"DOI":"10.1111/j.1365-2796.1994.tb00855.x","ISSN":"0954-6820","PMID":"7989897","abstract":"OBJECTIVES This meta-analysis was performed to determine whether corticosteroid therapy induces the development of peptic ulcer and other putative complications of steroid therapy. DESIGN A retrospective investigation in which we analysed all the randomized, double-blind, controlled trials (RDBCT) in which steroids had been administered that we were able to identify. The number of episodes of peptic ulcer, dermatological effects, sepsis, diabetes, hypertension, osteoporosis, psychosis and tuberculosis reported in both the placebo and steroid groups were compared. SETTING The international medical literature was analysed for any RDBCT in which any steroid or ACTH had been administered in any dosage for any duration, and any putative complication of steroid therapy was reported. SUBJECTS Of 1857 articles, 93 satisfied our requirements and were analysed by the meta-analytic techniques of Peto, DerSimonian and Laird. A total of 6602 patients were included. MAIN OUTCOME MEASURES The relative frequencies of each of these eight 'complications' were compared in the placebo and steroid groups using conventional statistics and meta-analysis. The relative frequencies of 'annualized' subgroups of patients who received treatment for 1 to 7 days, 1 week to 1 month, 1 to 3 months and more than 3 months, were similarly analysed. RESULTS Nine of 3267 patients in the placebo group (0.3%) and 13 of 3335 patients in the steroid group (0.4%) were reported to develop peptic ulcer (P &gt; 0.05). The dermatological cosmetic effects of steroid therapy were observed more frequently in the steroid group (P &lt; 0.001), as was diabetes (P &lt; 0.001), hypertension (P &lt; 0.01) and psychosis (P &lt; 0.001). Sepsis, osteoporosis and tuberculosis all occurred more frequently in the steroid than in the placebo group, but the differences are not statistically significant. CONCLUSIONS Peptic ulcer is a rare complication of corticosteroid therapy that should not be considered a contraindication when steroid therapy is indicated.","author":[{"dropping-particle":"","family":"Conn","given":"H O","non-dropping-particle":"","parse-names":false,"suffix":""},{"dropping-particle":"","family":"Poynard","given":"T","non-dropping-particle":"","parse-names":false,"suffix":""}],"container-title":"Journal of internal medicine","id":"ITEM-2","issue":"6","issued":{"date-parts":[["1994","12"]]},"page":"619-32","publisher":"J Intern Med","title":"Corticosteroids and peptic ulcer: meta-analysis of adverse events during steroid therapy.","type":"article-journal","volume":"236"},"uris":["http://www.mendeley.com/documents/?uuid=84af1729-7cf0-45a4-828e-6c0ee9132476"]}],"mendeley":{"formattedCitation":"[127,128]","plainTextFormattedCitation":"[127,128]","previouslyFormattedCitation":"[127,128]"},"properties":{"noteIndex":0},"schema":"https://github.com/citation-style-language/schema/raw/master/csl-citation.json"}</w:instrText>
      </w:r>
      <w:r>
        <w:fldChar w:fldCharType="separate"/>
      </w:r>
      <w:r w:rsidR="001264E7" w:rsidRPr="001264E7">
        <w:rPr>
          <w:noProof/>
        </w:rPr>
        <w:t>[127,128]</w:t>
      </w:r>
      <w:r>
        <w:fldChar w:fldCharType="end"/>
      </w:r>
      <w:r>
        <w:t>.</w:t>
      </w:r>
    </w:p>
    <w:p w14:paraId="3F1995C0" w14:textId="77777777" w:rsidR="00640C0A" w:rsidRDefault="00640C0A" w:rsidP="00640C0A"/>
    <w:p w14:paraId="5392C42F" w14:textId="77777777" w:rsidR="00640C0A" w:rsidRPr="00A56C81" w:rsidRDefault="00640C0A" w:rsidP="00640C0A">
      <w:pPr>
        <w:pStyle w:val="Normal11"/>
        <w:tabs>
          <w:tab w:val="left" w:pos="0"/>
        </w:tabs>
        <w:spacing w:line="360" w:lineRule="auto"/>
        <w:ind w:firstLine="699"/>
        <w:rPr>
          <w:bCs/>
          <w:i/>
          <w:iCs/>
          <w:u w:val="single"/>
          <w:shd w:val="clear" w:color="auto" w:fill="FFFFFF"/>
        </w:rPr>
      </w:pPr>
      <w:r w:rsidRPr="00A56C81">
        <w:rPr>
          <w:bCs/>
          <w:i/>
          <w:iCs/>
          <w:u w:val="single"/>
          <w:shd w:val="clear" w:color="auto" w:fill="FFFFFF"/>
        </w:rPr>
        <w:t>Диагностика язвенной болезни желудка и 12-перстной кишки при применении ГСК</w:t>
      </w:r>
    </w:p>
    <w:p w14:paraId="407D2C52" w14:textId="77777777" w:rsidR="00640C0A" w:rsidRDefault="00640C0A" w:rsidP="00640C0A">
      <w:pPr>
        <w:ind w:firstLine="709"/>
      </w:pPr>
      <w:r w:rsidRPr="00C96416">
        <w:t xml:space="preserve">Формирование язв </w:t>
      </w:r>
      <w:r>
        <w:t xml:space="preserve">ЖКТ </w:t>
      </w:r>
      <w:r w:rsidRPr="00C96416">
        <w:t xml:space="preserve">может проявляться диспепсическими явлениями и </w:t>
      </w:r>
      <w:r>
        <w:t xml:space="preserve">абдоминальными </w:t>
      </w:r>
      <w:r w:rsidRPr="00C96416">
        <w:t>болями, но нередко протекает и бессимптомно, манифестируя кровотечением или пер</w:t>
      </w:r>
      <w:r>
        <w:t xml:space="preserve">форацией. </w:t>
      </w:r>
    </w:p>
    <w:p w14:paraId="1D1A1930" w14:textId="77777777" w:rsidR="00640C0A" w:rsidRPr="003A77F4" w:rsidRDefault="00640C0A" w:rsidP="00640C0A">
      <w:pPr>
        <w:ind w:firstLine="709"/>
      </w:pPr>
      <w:r>
        <w:t>Для диагностики язвенного поражения ЖКТ применяется э</w:t>
      </w:r>
      <w:r w:rsidRPr="006252FA">
        <w:t>зофагодуоденоскопия</w:t>
      </w:r>
      <w:r>
        <w:t xml:space="preserve">, при необходимости </w:t>
      </w:r>
      <w:r w:rsidRPr="003A77F4">
        <w:t xml:space="preserve">с биопсийным исследованием и тестом на наличие </w:t>
      </w:r>
      <w:r w:rsidRPr="003A77F4">
        <w:rPr>
          <w:lang w:val="en-US"/>
        </w:rPr>
        <w:t>H</w:t>
      </w:r>
      <w:r w:rsidRPr="003A77F4">
        <w:t xml:space="preserve">. </w:t>
      </w:r>
      <w:r w:rsidRPr="003A77F4">
        <w:rPr>
          <w:lang w:val="en-US"/>
        </w:rPr>
        <w:t>Pylori</w:t>
      </w:r>
      <w:r w:rsidRPr="003A77F4">
        <w:t>.</w:t>
      </w:r>
    </w:p>
    <w:p w14:paraId="0D450049" w14:textId="77777777" w:rsidR="00640C0A" w:rsidRDefault="00640C0A" w:rsidP="00640C0A">
      <w:pPr>
        <w:pStyle w:val="Normal11"/>
        <w:tabs>
          <w:tab w:val="left" w:pos="0"/>
        </w:tabs>
        <w:spacing w:line="360" w:lineRule="auto"/>
        <w:ind w:firstLine="699"/>
        <w:rPr>
          <w:bCs/>
          <w:i/>
          <w:iCs/>
          <w:u w:val="single"/>
          <w:shd w:val="clear" w:color="auto" w:fill="FFFFFF"/>
        </w:rPr>
      </w:pPr>
    </w:p>
    <w:p w14:paraId="2B28ACB0" w14:textId="77777777" w:rsidR="00640C0A" w:rsidRPr="00A56C81" w:rsidRDefault="00640C0A" w:rsidP="00640C0A">
      <w:pPr>
        <w:pStyle w:val="Normal11"/>
        <w:tabs>
          <w:tab w:val="left" w:pos="0"/>
        </w:tabs>
        <w:spacing w:line="360" w:lineRule="auto"/>
        <w:ind w:firstLine="699"/>
        <w:rPr>
          <w:bCs/>
          <w:i/>
          <w:iCs/>
          <w:u w:val="single"/>
          <w:shd w:val="clear" w:color="auto" w:fill="FFFFFF"/>
        </w:rPr>
      </w:pPr>
      <w:r w:rsidRPr="00A56C81">
        <w:rPr>
          <w:bCs/>
          <w:i/>
          <w:iCs/>
          <w:u w:val="single"/>
          <w:shd w:val="clear" w:color="auto" w:fill="FFFFFF"/>
        </w:rPr>
        <w:t>Профилактика язвенной болезни желудка и 12-перстной кишки при применении ГКС.</w:t>
      </w:r>
    </w:p>
    <w:p w14:paraId="5275B04E" w14:textId="54641AEE" w:rsidR="00640C0A" w:rsidRDefault="00640C0A" w:rsidP="00640C0A">
      <w:pPr>
        <w:ind w:firstLine="709"/>
      </w:pPr>
      <w:r w:rsidRPr="00A56C81">
        <w:t xml:space="preserve">По результатам </w:t>
      </w:r>
      <w:r w:rsidRPr="00C96416">
        <w:t>мета</w:t>
      </w:r>
      <w:r>
        <w:t>-</w:t>
      </w:r>
      <w:r w:rsidRPr="00C96416">
        <w:t>анализа 300 работ</w:t>
      </w:r>
      <w:r>
        <w:fldChar w:fldCharType="begin" w:fldLock="1"/>
      </w:r>
      <w:r w:rsidR="00312D7F">
        <w:instrText>ADDIN CSL_CITATION {"citationItems":[{"id":"ITEM-1","itemData":{"DOI":"10.1016/0016-5085(90)91015-X","ISSN":"00165085","PMID":"2142113","abstract":"The optimal degree and duration of suppression of gastric acidity required for the healing of peptic ulcers has never been established. Although very potent inhibitors of acid secretion are now available, the need for this degree of suppression has not been shown, and there is a possibility of adverse effects because of pronounced acid inhibition. Therefore, a model has been constructed that defines the relationship between duodenal ulcer healing and antisecretory therapy. Acid suppression data were obtained directly from investigators as raw data from 24-hour studies of acid secretion. Twenty-one experiments from seven investigators provided 490 24-hour studies using 19 different treatment regimens. Healing data were collected from a metaanalysis of published clinical trials of duodenal ulcer healing. A total of 144 published trials in 14,208 patients provided healing data at several endoscopic endpoints for the 19 drug regimens for which acidity data were provided. Weighted least-squares polynomial regression analysis was used to define those parameters of antisecretory therapy that contributed most to duodenal ulcer healing and to define the shape of the response surface. A highly significant correlation (r = 0.9814) was found between healing and the degree of acid suppression, the duration of acid suppression, and the length of therapy. The shape of the contour expressing this relationship shows that healing increases as the duration of suppression increases and as gastric pH increases. However, suppression that increased pH beyond 3.0 was not found to increase ulcer healing further. It is concluded that a longer duration of antisecretory effect and/or a longer duration of therapy are of greater importance than potency for duodenal ulcer healing. © 1990.","author":[{"dropping-particle":"","family":"Burget","given":"Douglas W.","non-dropping-particle":"","parse-names":false,"suffix":""},{"dropping-particle":"","family":"Chiverton","given":"Stephen G.","non-dropping-particle":"","parse-names":false,"suffix":""},{"dropping-particle":"","family":"Hunt","given":"Richard H.","non-dropping-particle":"","parse-names":false,"suffix":""}],"container-title":"Gastroenterology","id":"ITEM-1","issue":"2","issued":{"date-parts":[["1990","8"]]},"page":"345-351","publisher":"Gastroenterology","title":"Is there an optimal degree of acid suppression for healing of duodenal ulcers? A model of the relationship between ulcer healing and acid suppression","type":"article-journal","volume":"99"},"uris":["http://www.mendeley.com/documents/?uuid=55c5fe56-6faa-4e55-bfe2-e8e5c51854a2"]}],"mendeley":{"formattedCitation":"[129]","plainTextFormattedCitation":"[129]","previouslyFormattedCitation":"[129]"},"properties":{"noteIndex":0},"schema":"https://github.com/citation-style-language/schema/raw/master/csl-citation.json"}</w:instrText>
      </w:r>
      <w:r>
        <w:fldChar w:fldCharType="separate"/>
      </w:r>
      <w:r w:rsidR="001264E7" w:rsidRPr="001264E7">
        <w:rPr>
          <w:noProof/>
        </w:rPr>
        <w:t>[129]</w:t>
      </w:r>
      <w:r>
        <w:fldChar w:fldCharType="end"/>
      </w:r>
      <w:r>
        <w:t xml:space="preserve">, </w:t>
      </w:r>
      <w:r w:rsidRPr="00C96416">
        <w:t>язвы желудка и двенадцатиперстной кишки рубцуются практически во всех случаях, если рН внутрижелудочного содержимого поддерживается более 3</w:t>
      </w:r>
      <w:r>
        <w:t xml:space="preserve"> </w:t>
      </w:r>
      <w:r w:rsidRPr="00C96416">
        <w:t xml:space="preserve">в течение суток </w:t>
      </w:r>
      <w:r>
        <w:t>на протяжении</w:t>
      </w:r>
      <w:r w:rsidRPr="00C96416">
        <w:t xml:space="preserve"> 18 часо</w:t>
      </w:r>
      <w:r>
        <w:t>в</w:t>
      </w:r>
      <w:r w:rsidRPr="00C96416">
        <w:t xml:space="preserve">. С учетом указанного правила в качестве противоязвенной терапии в настоящее время могут рассматриваться антациды, блокаторы Н2-гистаминовых рецепторов и ингибиторы протонной помпы </w:t>
      </w:r>
      <w:r>
        <w:t>(</w:t>
      </w:r>
      <w:r w:rsidRPr="00C96416">
        <w:t>ИПП</w:t>
      </w:r>
      <w:r>
        <w:t>)</w:t>
      </w:r>
      <w:r w:rsidRPr="00C96416">
        <w:t>. Согласно одному из последних мета</w:t>
      </w:r>
      <w:r>
        <w:t>-</w:t>
      </w:r>
      <w:r w:rsidRPr="00C96416">
        <w:t xml:space="preserve">анализов, при использовании </w:t>
      </w:r>
      <w:r>
        <w:t xml:space="preserve">ИПП </w:t>
      </w:r>
      <w:r w:rsidRPr="00C96416">
        <w:t>и</w:t>
      </w:r>
      <w:r>
        <w:t>ли</w:t>
      </w:r>
      <w:r w:rsidRPr="00C96416">
        <w:t xml:space="preserve"> блокатор</w:t>
      </w:r>
      <w:r>
        <w:t>ов</w:t>
      </w:r>
      <w:r w:rsidRPr="00C96416">
        <w:t xml:space="preserve"> Н2-гистаминовых рецепторов достоверно эффективнее достигается рубцевание язвенного дефекта, а также снижается риск повторного крово</w:t>
      </w:r>
      <w:r>
        <w:t>течения</w:t>
      </w:r>
      <w:r w:rsidRPr="00C96416">
        <w:t xml:space="preserve">. Лишь препараты этих двух групп позволяют достигать и поддерживать необходимую рН-среду желудка, при которой происходит заживление гастродуоденальных язв. </w:t>
      </w:r>
    </w:p>
    <w:p w14:paraId="07F98E69" w14:textId="76E6D837" w:rsidR="00640C0A" w:rsidRPr="00C96416" w:rsidRDefault="00640C0A" w:rsidP="00640C0A">
      <w:pPr>
        <w:ind w:firstLine="709"/>
      </w:pPr>
      <w:r w:rsidRPr="00A56C81">
        <w:lastRenderedPageBreak/>
        <w:t>В настоящее время с антисекреторной целью для п</w:t>
      </w:r>
      <w:r w:rsidRPr="00294C11">
        <w:t>рофилактик</w:t>
      </w:r>
      <w:r>
        <w:t xml:space="preserve">и </w:t>
      </w:r>
      <w:r w:rsidRPr="00294C11">
        <w:t>язвенной болезни желудка и двенадцатиперстной кишки, в том числе на фоне терапии глюкокортикостероидами</w:t>
      </w:r>
      <w:r>
        <w:t xml:space="preserve">, </w:t>
      </w:r>
      <w:r w:rsidRPr="00A56C81">
        <w:t>применяются два класса п</w:t>
      </w:r>
      <w:r w:rsidRPr="00C96416">
        <w:t>репаратов: ингибиторы протонной помпы и блокаторы Н2-гистаминовых рецепторов</w:t>
      </w:r>
      <w:r>
        <w:t xml:space="preserve"> </w:t>
      </w:r>
      <w:r>
        <w:fldChar w:fldCharType="begin" w:fldLock="1"/>
      </w:r>
      <w:r w:rsidR="00312D7F">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общества).","type":"article-journal","volume":"30"},"uris":["http://www.mendeley.com/documents/?uuid=858a1835-2f3b-419a-91b4-8a8e3ef10cc9"]},{"id":"ITEM-2","itemData":{"DOI":"10.1016/S2468-1253(18)30037-2","ISSN":"24681253","PMID":"29475806","abstract":"Background: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Hepatology","id":"ITEM-2","issue":"4","issued":{"date-parts":[["2018","4","1"]]},"page":"231-241","publisher":"Elsevier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mendeley":{"formattedCitation":"[130,131]","plainTextFormattedCitation":"[130,131]","previouslyFormattedCitation":"[130,131]"},"properties":{"noteIndex":0},"schema":"https://github.com/citation-style-language/schema/raw/master/csl-citation.json"}</w:instrText>
      </w:r>
      <w:r>
        <w:fldChar w:fldCharType="separate"/>
      </w:r>
      <w:r w:rsidR="001264E7" w:rsidRPr="001264E7">
        <w:rPr>
          <w:noProof/>
        </w:rPr>
        <w:t>[130,131]</w:t>
      </w:r>
      <w:r>
        <w:fldChar w:fldCharType="end"/>
      </w:r>
      <w:r w:rsidRPr="00C96416">
        <w:t>.</w:t>
      </w:r>
    </w:p>
    <w:p w14:paraId="0BD8FF1B" w14:textId="77777777" w:rsidR="00640C0A" w:rsidRDefault="00640C0A" w:rsidP="00640C0A">
      <w:pPr>
        <w:pStyle w:val="Normal11"/>
        <w:tabs>
          <w:tab w:val="left" w:pos="0"/>
        </w:tabs>
        <w:spacing w:line="360" w:lineRule="auto"/>
        <w:ind w:firstLine="699"/>
        <w:rPr>
          <w:bCs/>
          <w:i/>
          <w:iCs/>
          <w:u w:val="single"/>
          <w:shd w:val="clear" w:color="auto" w:fill="FFFFFF"/>
        </w:rPr>
      </w:pPr>
    </w:p>
    <w:p w14:paraId="1EBF61B0" w14:textId="77777777" w:rsidR="00640C0A" w:rsidRPr="00A56C81" w:rsidRDefault="00640C0A" w:rsidP="00640C0A">
      <w:pPr>
        <w:pStyle w:val="Normal11"/>
        <w:tabs>
          <w:tab w:val="left" w:pos="0"/>
        </w:tabs>
        <w:spacing w:line="360" w:lineRule="auto"/>
        <w:ind w:firstLine="699"/>
        <w:rPr>
          <w:bCs/>
          <w:i/>
          <w:iCs/>
          <w:u w:val="single"/>
          <w:shd w:val="clear" w:color="auto" w:fill="FFFFFF"/>
        </w:rPr>
      </w:pPr>
      <w:r w:rsidRPr="00A56C81">
        <w:rPr>
          <w:bCs/>
          <w:i/>
          <w:iCs/>
          <w:u w:val="single"/>
          <w:shd w:val="clear" w:color="auto" w:fill="FFFFFF"/>
        </w:rPr>
        <w:t>Ингибиторы протонной помпы (ИПП)</w:t>
      </w:r>
    </w:p>
    <w:p w14:paraId="2F135D3A" w14:textId="49F8385D" w:rsidR="00640C0A" w:rsidRDefault="00640C0A" w:rsidP="00640C0A">
      <w:pPr>
        <w:ind w:firstLine="709"/>
      </w:pPr>
      <w:r w:rsidRPr="00C96416">
        <w:t xml:space="preserve">Ингибиторы протоновой помпы (ингибиторы протонового насоса, блокаторы протонного насоса, блокаторы Н+/К+-АТФазы, блокаторы водородной помпы) — антисекреторные лекарственные </w:t>
      </w:r>
      <w:r>
        <w:t xml:space="preserve">препараты, </w:t>
      </w:r>
      <w:r w:rsidRPr="00C96416">
        <w:t>блокир</w:t>
      </w:r>
      <w:r>
        <w:t>ующие Н+/К+-АТФазу</w:t>
      </w:r>
      <w:r w:rsidRPr="00C96416">
        <w:t xml:space="preserve"> обкладочных (париетальных) клеток слизистой оболочки желудка</w:t>
      </w:r>
      <w:r>
        <w:t xml:space="preserve"> и уменьшающие </w:t>
      </w:r>
      <w:r w:rsidRPr="00C96416">
        <w:t>секреци</w:t>
      </w:r>
      <w:r>
        <w:t>ю</w:t>
      </w:r>
      <w:r w:rsidRPr="00C96416">
        <w:t xml:space="preserve"> соляной кислоты</w:t>
      </w:r>
      <w:r>
        <w:t xml:space="preserve">, путем </w:t>
      </w:r>
      <w:r w:rsidRPr="00C96416">
        <w:t>проник</w:t>
      </w:r>
      <w:r>
        <w:t>новения</w:t>
      </w:r>
      <w:r w:rsidRPr="00C96416">
        <w:t xml:space="preserve"> в париетальные клетки слизистой оболочки желудка</w:t>
      </w:r>
      <w:r>
        <w:t xml:space="preserve">, </w:t>
      </w:r>
      <w:r w:rsidRPr="00C96416">
        <w:t>концентр</w:t>
      </w:r>
      <w:r>
        <w:t>ации</w:t>
      </w:r>
      <w:r w:rsidRPr="00C96416">
        <w:t xml:space="preserve"> в секреторных канальцах</w:t>
      </w:r>
      <w:r>
        <w:t>, и активации</w:t>
      </w:r>
      <w:r w:rsidRPr="00C96416">
        <w:t xml:space="preserve"> при кислом значении рН. </w:t>
      </w:r>
      <w:r>
        <w:t xml:space="preserve">При активации </w:t>
      </w:r>
      <w:r w:rsidRPr="00C96416">
        <w:t>ИПП образуют прочные ковалентные связи с меркаптогруппами цистеиновых остатков Н+/К+-АТФазы, блокиру</w:t>
      </w:r>
      <w:r>
        <w:t>я</w:t>
      </w:r>
      <w:r w:rsidRPr="00C96416">
        <w:t xml:space="preserve"> действие протонной помпы</w:t>
      </w:r>
      <w:r>
        <w:t xml:space="preserve"> так</w:t>
      </w:r>
      <w:r w:rsidRPr="00C96416">
        <w:t xml:space="preserve">, </w:t>
      </w:r>
      <w:r>
        <w:t xml:space="preserve">что </w:t>
      </w:r>
      <w:r w:rsidRPr="00C96416">
        <w:t xml:space="preserve">она </w:t>
      </w:r>
      <w:r>
        <w:t>необратимо исключается</w:t>
      </w:r>
      <w:r w:rsidRPr="00C96416">
        <w:t xml:space="preserve"> из процесса секреции соляной кислоты. Влияние ИПП на последнюю стадию процесса образования соляной кислоты в желудке является дозозависимым и обеспечивает высокоэффективное ингибирование базальной и стимулированной секреции</w:t>
      </w:r>
      <w:r>
        <w:t xml:space="preserve"> соляной кислоты независимо от</w:t>
      </w:r>
      <w:r w:rsidRPr="00C96416">
        <w:t xml:space="preserve"> фактора</w:t>
      </w:r>
      <w:r>
        <w:t xml:space="preserve"> его вызывающего</w:t>
      </w:r>
      <w:r w:rsidRPr="00C96416">
        <w:t>.</w:t>
      </w:r>
      <w:r>
        <w:t xml:space="preserve"> В группу препаратов ИПП входят о</w:t>
      </w:r>
      <w:r w:rsidRPr="00C96416">
        <w:t>мепразол</w:t>
      </w:r>
      <w:r>
        <w:t>, лансопразол, п</w:t>
      </w:r>
      <w:r w:rsidRPr="00C96416">
        <w:t>антопразол</w:t>
      </w:r>
      <w:r>
        <w:t xml:space="preserve">, рабепразол, </w:t>
      </w:r>
      <w:r w:rsidRPr="00C96416">
        <w:t>зомепразол</w:t>
      </w:r>
      <w:r>
        <w:t xml:space="preserve">, применяемые во время проведения курсов специфической противоопухолевой терапии, включающей системные ГКС, в указанных в таблице А3.3.1 дозах </w:t>
      </w:r>
      <w:r>
        <w:fldChar w:fldCharType="begin" w:fldLock="1"/>
      </w:r>
      <w:r w:rsidR="00312D7F">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общества).","type":"article-journal","volume":"30"},"uris":["http://www.mendeley.com/documents/?uuid=858a1835-2f3b-419a-91b4-8a8e3ef10cc9"]},{"id":"ITEM-2","itemData":{"DOI":"10.1016/S2468-1253(18)30037-2","ISSN":"24681253","PMID":"29475806","abstract":"Background: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Hepatology","id":"ITEM-2","issue":"4","issued":{"date-parts":[["2018","4","1"]]},"page":"231-241","publisher":"Elsevier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trials","type":"article-journal","volume":"3"},"uris":["http://www.mendeley.com/documents/?uuid=f1962b3a-e3e6-3474-95a8-4fc5245efa04"]},{"id":"ITEM-3","itemData":{"DOI":"10.4103/1319-3767.199117","ISSN":"1319-3767","abstract":"Background/Aim: To compare the efficacy and tolerance of different proton pump inhibitors (PPIs) in different doses for patients with duodenal ulcers. Materials and Methods: An electronic database was searched to collect all randomized clinical trials (RCTs), and a pairwise and network meta-analysis were performed. Results: A total of 24 RCTs involving 6188 patients were included. The network meta-analysis showed that there were no significant differences for the 4-week healing rate of duodenal ulcer treated with different PPI regimens except pantoprazle 40 mg/d versus lansoprazole 15 mg/d [Relative risk (RR) = 3.57; 95% confidence interval (CI) = 1.36-10.31)] and lansoprazole 30 mg/d versus lansoprazole 15 mg/d (RR = 2.45; 95% CI = 1.01-6.14). In comparison with H2receptor antagonists (H2RA), pantoprazole 40 mg/d and lansoprazole 30 mg/d significantly increase the healing rate (RR = 2.96; 95% CI = 1.78-5.14 and RR = 2.04; 95% CI = 1.13-3.53, respectively). There was no significant difference for the rate of adverse events between different regimens, including H2RA for a duration of 4-week of follow up. Conclusion: There was no significant difference for the efficacy and tolerance between the ordinary doses of different PPIs with the exception of lansoprazle 15 mg/d.","author":[{"dropping-particle":"","family":"Hu","given":"Zhan-Hong","non-dropping-particle":"","parse-names":false,"suffix":""},{"dropping-particle":"","family":"Shi","given":"Ai-Ming","non-dropping-particle":"","parse-names":false,"suffix":""},{"dropping-particle":"","family":"Hu","given":"Duan-Min","non-dropping-particle":"","parse-names":false,"suffix":""},{"dropping-particle":"","family":"Bao","given":"Jun-Jie","non-dropping-particle":"","parse-names":false,"suffix":""}],"container-title":"Saudi Journal of Gastroenterology","id":"ITEM-3","issue":"1","issued":{"date-parts":[["2017","1","1"]]},"page":"11","publisher":"Medknow Publications","title":"Efficacy of proton pump inhibitors for patients with duodenal ulcers: A pairwise and network meta-analysis of randomized controlled trials","type":"article-journal","volume":"23"},"uris":["http://www.mendeley.com/documents/?uuid=d523d0fc-026a-365d-b2ac-773ed8aed036"]}],"mendeley":{"formattedCitation":"[130–132]","plainTextFormattedCitation":"[130–132]","previouslyFormattedCitation":"[130–132]"},"properties":{"noteIndex":0},"schema":"https://github.com/citation-style-language/schema/raw/master/csl-citation.json"}</w:instrText>
      </w:r>
      <w:r>
        <w:fldChar w:fldCharType="separate"/>
      </w:r>
      <w:r w:rsidR="001264E7" w:rsidRPr="001264E7">
        <w:rPr>
          <w:noProof/>
        </w:rPr>
        <w:t>[130–132]</w:t>
      </w:r>
      <w:r>
        <w:fldChar w:fldCharType="end"/>
      </w:r>
      <w:r>
        <w:t xml:space="preserve">. </w:t>
      </w:r>
    </w:p>
    <w:p w14:paraId="14EC4E11" w14:textId="77777777" w:rsidR="00640C0A" w:rsidRDefault="00640C0A" w:rsidP="00640C0A">
      <w:pPr>
        <w:rPr>
          <w:b/>
        </w:rPr>
      </w:pPr>
    </w:p>
    <w:p w14:paraId="487BAD67" w14:textId="77777777" w:rsidR="00640C0A" w:rsidRPr="005B1687" w:rsidRDefault="00640C0A" w:rsidP="00640C0A">
      <w:pPr>
        <w:rPr>
          <w:bCs/>
        </w:rPr>
      </w:pPr>
      <w:r w:rsidRPr="005B1687">
        <w:rPr>
          <w:bCs/>
        </w:rPr>
        <w:t xml:space="preserve">Таблица </w:t>
      </w:r>
      <w:r>
        <w:rPr>
          <w:bCs/>
        </w:rPr>
        <w:t>А3.3.</w:t>
      </w:r>
      <w:r w:rsidRPr="005B1687">
        <w:rPr>
          <w:bCs/>
        </w:rPr>
        <w:t>1. Режим дозирования ИПП с целью профилактики язвенной болезни</w:t>
      </w:r>
    </w:p>
    <w:tbl>
      <w:tblPr>
        <w:tblStyle w:val="affa"/>
        <w:tblW w:w="0" w:type="auto"/>
        <w:jc w:val="center"/>
        <w:tblLook w:val="04A0" w:firstRow="1" w:lastRow="0" w:firstColumn="1" w:lastColumn="0" w:noHBand="0" w:noVBand="1"/>
      </w:tblPr>
      <w:tblGrid>
        <w:gridCol w:w="2220"/>
        <w:gridCol w:w="2344"/>
        <w:gridCol w:w="3713"/>
      </w:tblGrid>
      <w:tr w:rsidR="00640C0A" w:rsidRPr="00C96416" w14:paraId="6BFA5D15" w14:textId="77777777" w:rsidTr="005A428D">
        <w:trPr>
          <w:jc w:val="center"/>
        </w:trPr>
        <w:tc>
          <w:tcPr>
            <w:tcW w:w="2220" w:type="dxa"/>
          </w:tcPr>
          <w:p w14:paraId="4BB83058" w14:textId="77777777" w:rsidR="00640C0A" w:rsidRPr="00C96416" w:rsidRDefault="00640C0A" w:rsidP="005A428D">
            <w:pPr>
              <w:tabs>
                <w:tab w:val="left" w:pos="0"/>
              </w:tabs>
              <w:ind w:left="57" w:right="57"/>
              <w:rPr>
                <w:b/>
                <w:szCs w:val="24"/>
                <w:lang w:eastAsia="ru-RU"/>
              </w:rPr>
            </w:pPr>
            <w:r>
              <w:rPr>
                <w:b/>
                <w:szCs w:val="24"/>
                <w:lang w:eastAsia="ru-RU"/>
              </w:rPr>
              <w:t>Препарат</w:t>
            </w:r>
          </w:p>
        </w:tc>
        <w:tc>
          <w:tcPr>
            <w:tcW w:w="2344" w:type="dxa"/>
          </w:tcPr>
          <w:p w14:paraId="74237755" w14:textId="77777777" w:rsidR="00640C0A" w:rsidRPr="00C96416" w:rsidRDefault="00640C0A" w:rsidP="005A428D">
            <w:pPr>
              <w:tabs>
                <w:tab w:val="left" w:pos="0"/>
              </w:tabs>
              <w:ind w:left="57" w:right="57"/>
              <w:rPr>
                <w:b/>
                <w:szCs w:val="24"/>
                <w:lang w:eastAsia="ru-RU"/>
              </w:rPr>
            </w:pPr>
            <w:r w:rsidRPr="00C96416">
              <w:rPr>
                <w:b/>
                <w:szCs w:val="24"/>
                <w:lang w:eastAsia="ru-RU"/>
              </w:rPr>
              <w:t xml:space="preserve">Суточная </w:t>
            </w:r>
            <w:r>
              <w:rPr>
                <w:b/>
                <w:szCs w:val="24"/>
                <w:lang w:eastAsia="ru-RU"/>
              </w:rPr>
              <w:t>д</w:t>
            </w:r>
            <w:r w:rsidRPr="00C96416">
              <w:rPr>
                <w:b/>
                <w:szCs w:val="24"/>
                <w:lang w:eastAsia="ru-RU"/>
              </w:rPr>
              <w:t>оза, мг</w:t>
            </w:r>
          </w:p>
        </w:tc>
        <w:tc>
          <w:tcPr>
            <w:tcW w:w="3713" w:type="dxa"/>
          </w:tcPr>
          <w:p w14:paraId="0FA5F024" w14:textId="77777777" w:rsidR="00640C0A" w:rsidRPr="00C96416" w:rsidRDefault="00640C0A" w:rsidP="005A428D">
            <w:pPr>
              <w:tabs>
                <w:tab w:val="left" w:pos="0"/>
              </w:tabs>
              <w:ind w:left="57" w:right="57"/>
              <w:rPr>
                <w:b/>
                <w:szCs w:val="24"/>
                <w:lang w:eastAsia="ru-RU"/>
              </w:rPr>
            </w:pPr>
            <w:r>
              <w:rPr>
                <w:b/>
                <w:szCs w:val="24"/>
                <w:lang w:eastAsia="ru-RU"/>
              </w:rPr>
              <w:t>Способ применения и р</w:t>
            </w:r>
            <w:r w:rsidRPr="00C96416">
              <w:rPr>
                <w:b/>
                <w:szCs w:val="24"/>
                <w:lang w:eastAsia="ru-RU"/>
              </w:rPr>
              <w:t>ежим дозирования</w:t>
            </w:r>
          </w:p>
        </w:tc>
      </w:tr>
      <w:tr w:rsidR="00640C0A" w:rsidRPr="00C96416" w14:paraId="2B853861" w14:textId="77777777" w:rsidTr="005A428D">
        <w:trPr>
          <w:jc w:val="center"/>
        </w:trPr>
        <w:tc>
          <w:tcPr>
            <w:tcW w:w="2220" w:type="dxa"/>
          </w:tcPr>
          <w:p w14:paraId="7ED1DDD2" w14:textId="77777777" w:rsidR="00640C0A" w:rsidRPr="00C96416" w:rsidRDefault="00640C0A" w:rsidP="005A428D">
            <w:pPr>
              <w:tabs>
                <w:tab w:val="left" w:pos="0"/>
              </w:tabs>
              <w:ind w:left="57" w:right="57"/>
              <w:rPr>
                <w:szCs w:val="24"/>
                <w:lang w:eastAsia="ru-RU"/>
              </w:rPr>
            </w:pPr>
            <w:r w:rsidRPr="00C96416">
              <w:rPr>
                <w:szCs w:val="24"/>
                <w:lang w:eastAsia="ru-RU"/>
              </w:rPr>
              <w:t>Омепразол</w:t>
            </w:r>
          </w:p>
        </w:tc>
        <w:tc>
          <w:tcPr>
            <w:tcW w:w="2344" w:type="dxa"/>
          </w:tcPr>
          <w:p w14:paraId="5437B068" w14:textId="77777777" w:rsidR="00640C0A" w:rsidRDefault="00640C0A" w:rsidP="005A428D">
            <w:pPr>
              <w:tabs>
                <w:tab w:val="left" w:pos="0"/>
              </w:tabs>
              <w:ind w:left="57" w:right="57"/>
              <w:rPr>
                <w:szCs w:val="24"/>
                <w:lang w:eastAsia="ru-RU"/>
              </w:rPr>
            </w:pPr>
            <w:r w:rsidRPr="00C96416">
              <w:rPr>
                <w:szCs w:val="24"/>
                <w:lang w:eastAsia="ru-RU"/>
              </w:rPr>
              <w:t>20</w:t>
            </w:r>
          </w:p>
          <w:p w14:paraId="77776E01" w14:textId="77777777" w:rsidR="00640C0A" w:rsidRPr="00C96416" w:rsidRDefault="00640C0A" w:rsidP="005A428D">
            <w:pPr>
              <w:tabs>
                <w:tab w:val="left" w:pos="0"/>
              </w:tabs>
              <w:ind w:left="57" w:right="57"/>
              <w:rPr>
                <w:szCs w:val="24"/>
                <w:lang w:eastAsia="ru-RU"/>
              </w:rPr>
            </w:pPr>
            <w:r>
              <w:rPr>
                <w:szCs w:val="24"/>
                <w:lang w:eastAsia="ru-RU"/>
              </w:rPr>
              <w:t>40</w:t>
            </w:r>
          </w:p>
        </w:tc>
        <w:tc>
          <w:tcPr>
            <w:tcW w:w="3713" w:type="dxa"/>
          </w:tcPr>
          <w:p w14:paraId="3BC40F9B" w14:textId="77777777" w:rsidR="00640C0A" w:rsidRPr="00B56E4C" w:rsidRDefault="00640C0A" w:rsidP="005A428D">
            <w:pPr>
              <w:tabs>
                <w:tab w:val="left" w:pos="0"/>
              </w:tabs>
              <w:ind w:left="57" w:right="57"/>
              <w:rPr>
                <w:szCs w:val="24"/>
                <w:lang w:eastAsia="ru-RU"/>
              </w:rPr>
            </w:pPr>
            <w:r>
              <w:rPr>
                <w:szCs w:val="24"/>
                <w:lang w:eastAsia="ru-RU"/>
              </w:rPr>
              <w:t>Внутрь, 1 раз в сутки;</w:t>
            </w:r>
          </w:p>
          <w:p w14:paraId="6B976EDE" w14:textId="77777777" w:rsidR="00640C0A" w:rsidRPr="00D221D8" w:rsidRDefault="00640C0A" w:rsidP="005A428D">
            <w:pPr>
              <w:tabs>
                <w:tab w:val="left" w:pos="0"/>
              </w:tabs>
              <w:ind w:left="57" w:right="57"/>
              <w:rPr>
                <w:szCs w:val="24"/>
                <w:lang w:eastAsia="ru-RU"/>
              </w:rPr>
            </w:pPr>
            <w:r>
              <w:rPr>
                <w:szCs w:val="24"/>
                <w:lang w:eastAsia="ru-RU"/>
              </w:rPr>
              <w:t xml:space="preserve"> в/в, 1 раз в сутки</w:t>
            </w:r>
          </w:p>
        </w:tc>
      </w:tr>
      <w:tr w:rsidR="00640C0A" w:rsidRPr="00C96416" w14:paraId="26E3EDE8" w14:textId="77777777" w:rsidTr="005A428D">
        <w:trPr>
          <w:jc w:val="center"/>
        </w:trPr>
        <w:tc>
          <w:tcPr>
            <w:tcW w:w="2220" w:type="dxa"/>
          </w:tcPr>
          <w:p w14:paraId="30D0B349" w14:textId="77777777" w:rsidR="00640C0A" w:rsidRPr="00C96416" w:rsidRDefault="00640C0A" w:rsidP="005A428D">
            <w:pPr>
              <w:tabs>
                <w:tab w:val="left" w:pos="0"/>
              </w:tabs>
              <w:ind w:left="57" w:right="57"/>
              <w:rPr>
                <w:szCs w:val="24"/>
                <w:lang w:eastAsia="ru-RU"/>
              </w:rPr>
            </w:pPr>
            <w:r w:rsidRPr="00C96416">
              <w:rPr>
                <w:szCs w:val="24"/>
                <w:lang w:eastAsia="ru-RU"/>
              </w:rPr>
              <w:t>Лансопразол</w:t>
            </w:r>
          </w:p>
        </w:tc>
        <w:tc>
          <w:tcPr>
            <w:tcW w:w="2344" w:type="dxa"/>
          </w:tcPr>
          <w:p w14:paraId="517ACD63" w14:textId="77777777" w:rsidR="00640C0A" w:rsidRPr="00C96416" w:rsidRDefault="00640C0A" w:rsidP="005A428D">
            <w:pPr>
              <w:tabs>
                <w:tab w:val="left" w:pos="0"/>
              </w:tabs>
              <w:ind w:left="57" w:right="57"/>
              <w:rPr>
                <w:szCs w:val="24"/>
                <w:lang w:eastAsia="ru-RU"/>
              </w:rPr>
            </w:pPr>
            <w:r w:rsidRPr="00C96416">
              <w:rPr>
                <w:szCs w:val="24"/>
                <w:lang w:eastAsia="ru-RU"/>
              </w:rPr>
              <w:t>30</w:t>
            </w:r>
          </w:p>
        </w:tc>
        <w:tc>
          <w:tcPr>
            <w:tcW w:w="3713" w:type="dxa"/>
          </w:tcPr>
          <w:p w14:paraId="6F262EF2" w14:textId="77777777" w:rsidR="00640C0A" w:rsidRDefault="00640C0A" w:rsidP="005A428D">
            <w:pPr>
              <w:ind w:left="57" w:right="57"/>
            </w:pPr>
            <w:r w:rsidRPr="00826EC3">
              <w:rPr>
                <w:szCs w:val="24"/>
                <w:lang w:eastAsia="ru-RU"/>
              </w:rPr>
              <w:t>Внутрь, 1 раз в сутки</w:t>
            </w:r>
          </w:p>
        </w:tc>
      </w:tr>
      <w:tr w:rsidR="00640C0A" w:rsidRPr="00C96416" w14:paraId="046C720C" w14:textId="77777777" w:rsidTr="005A428D">
        <w:trPr>
          <w:jc w:val="center"/>
        </w:trPr>
        <w:tc>
          <w:tcPr>
            <w:tcW w:w="2220" w:type="dxa"/>
          </w:tcPr>
          <w:p w14:paraId="112A97A7" w14:textId="77777777" w:rsidR="00640C0A" w:rsidRPr="00C96416" w:rsidRDefault="00640C0A" w:rsidP="005A428D">
            <w:pPr>
              <w:tabs>
                <w:tab w:val="left" w:pos="0"/>
              </w:tabs>
              <w:ind w:left="57" w:right="57"/>
              <w:rPr>
                <w:szCs w:val="24"/>
                <w:lang w:eastAsia="ru-RU"/>
              </w:rPr>
            </w:pPr>
            <w:r>
              <w:rPr>
                <w:szCs w:val="24"/>
                <w:lang w:eastAsia="ru-RU"/>
              </w:rPr>
              <w:t>П</w:t>
            </w:r>
            <w:r w:rsidRPr="00C96416">
              <w:rPr>
                <w:szCs w:val="24"/>
                <w:lang w:eastAsia="ru-RU"/>
              </w:rPr>
              <w:t>антопразол</w:t>
            </w:r>
          </w:p>
        </w:tc>
        <w:tc>
          <w:tcPr>
            <w:tcW w:w="2344" w:type="dxa"/>
          </w:tcPr>
          <w:p w14:paraId="2A08A841" w14:textId="77777777" w:rsidR="00640C0A" w:rsidRPr="00C96416" w:rsidRDefault="00640C0A" w:rsidP="005A428D">
            <w:pPr>
              <w:tabs>
                <w:tab w:val="left" w:pos="0"/>
              </w:tabs>
              <w:ind w:left="57" w:right="57"/>
              <w:rPr>
                <w:szCs w:val="24"/>
                <w:lang w:eastAsia="ru-RU"/>
              </w:rPr>
            </w:pPr>
            <w:r w:rsidRPr="00C96416">
              <w:rPr>
                <w:szCs w:val="24"/>
                <w:lang w:eastAsia="ru-RU"/>
              </w:rPr>
              <w:t>40</w:t>
            </w:r>
          </w:p>
        </w:tc>
        <w:tc>
          <w:tcPr>
            <w:tcW w:w="3713" w:type="dxa"/>
          </w:tcPr>
          <w:p w14:paraId="292B7D23" w14:textId="77777777" w:rsidR="00640C0A" w:rsidRDefault="00640C0A" w:rsidP="005A428D">
            <w:pPr>
              <w:ind w:left="57" w:right="57"/>
            </w:pPr>
            <w:r w:rsidRPr="00826EC3">
              <w:rPr>
                <w:szCs w:val="24"/>
                <w:lang w:eastAsia="ru-RU"/>
              </w:rPr>
              <w:t>Внутрь, 1 раз в сутки</w:t>
            </w:r>
          </w:p>
        </w:tc>
      </w:tr>
      <w:tr w:rsidR="00640C0A" w:rsidRPr="00C96416" w14:paraId="51BC103F" w14:textId="77777777" w:rsidTr="005A428D">
        <w:trPr>
          <w:jc w:val="center"/>
        </w:trPr>
        <w:tc>
          <w:tcPr>
            <w:tcW w:w="2220" w:type="dxa"/>
          </w:tcPr>
          <w:p w14:paraId="4F5FF107" w14:textId="77777777" w:rsidR="00640C0A" w:rsidRPr="00C96416" w:rsidRDefault="00640C0A" w:rsidP="005A428D">
            <w:pPr>
              <w:tabs>
                <w:tab w:val="left" w:pos="0"/>
              </w:tabs>
              <w:ind w:left="57" w:right="57"/>
              <w:rPr>
                <w:szCs w:val="24"/>
                <w:lang w:eastAsia="ru-RU"/>
              </w:rPr>
            </w:pPr>
            <w:r>
              <w:rPr>
                <w:szCs w:val="24"/>
              </w:rPr>
              <w:t>Р</w:t>
            </w:r>
            <w:r w:rsidRPr="00C96416">
              <w:rPr>
                <w:szCs w:val="24"/>
              </w:rPr>
              <w:t>абепразол</w:t>
            </w:r>
          </w:p>
        </w:tc>
        <w:tc>
          <w:tcPr>
            <w:tcW w:w="2344" w:type="dxa"/>
          </w:tcPr>
          <w:p w14:paraId="2EAE7C00" w14:textId="77777777" w:rsidR="00640C0A" w:rsidRPr="00C96416" w:rsidRDefault="00640C0A" w:rsidP="005A428D">
            <w:pPr>
              <w:tabs>
                <w:tab w:val="left" w:pos="0"/>
              </w:tabs>
              <w:ind w:left="57" w:right="57"/>
              <w:rPr>
                <w:szCs w:val="24"/>
                <w:lang w:eastAsia="ru-RU"/>
              </w:rPr>
            </w:pPr>
            <w:r w:rsidRPr="00C96416">
              <w:rPr>
                <w:szCs w:val="24"/>
                <w:lang w:eastAsia="ru-RU"/>
              </w:rPr>
              <w:t>20</w:t>
            </w:r>
          </w:p>
        </w:tc>
        <w:tc>
          <w:tcPr>
            <w:tcW w:w="3713" w:type="dxa"/>
          </w:tcPr>
          <w:p w14:paraId="76D7D966" w14:textId="77777777" w:rsidR="00640C0A" w:rsidRDefault="00640C0A" w:rsidP="005A428D">
            <w:pPr>
              <w:ind w:left="57" w:right="57"/>
            </w:pPr>
            <w:r w:rsidRPr="00826EC3">
              <w:rPr>
                <w:szCs w:val="24"/>
                <w:lang w:eastAsia="ru-RU"/>
              </w:rPr>
              <w:t>Внутрь, 1 раз в сутки</w:t>
            </w:r>
          </w:p>
        </w:tc>
      </w:tr>
      <w:tr w:rsidR="00640C0A" w:rsidRPr="00C96416" w14:paraId="4CD83E94" w14:textId="77777777" w:rsidTr="005A428D">
        <w:trPr>
          <w:jc w:val="center"/>
        </w:trPr>
        <w:tc>
          <w:tcPr>
            <w:tcW w:w="2220" w:type="dxa"/>
          </w:tcPr>
          <w:p w14:paraId="36C813D5" w14:textId="77777777" w:rsidR="00640C0A" w:rsidRPr="00C96416" w:rsidRDefault="00640C0A" w:rsidP="005A428D">
            <w:pPr>
              <w:tabs>
                <w:tab w:val="left" w:pos="0"/>
              </w:tabs>
              <w:ind w:left="57" w:right="57"/>
              <w:rPr>
                <w:szCs w:val="24"/>
              </w:rPr>
            </w:pPr>
            <w:r>
              <w:rPr>
                <w:szCs w:val="24"/>
              </w:rPr>
              <w:t>Э</w:t>
            </w:r>
            <w:r w:rsidRPr="00C96416">
              <w:rPr>
                <w:szCs w:val="24"/>
              </w:rPr>
              <w:t>зомепразол</w:t>
            </w:r>
          </w:p>
        </w:tc>
        <w:tc>
          <w:tcPr>
            <w:tcW w:w="2344" w:type="dxa"/>
          </w:tcPr>
          <w:p w14:paraId="34ADAF24" w14:textId="77777777" w:rsidR="00640C0A" w:rsidRPr="00C96416" w:rsidRDefault="00640C0A" w:rsidP="005A428D">
            <w:pPr>
              <w:tabs>
                <w:tab w:val="left" w:pos="0"/>
              </w:tabs>
              <w:ind w:left="57" w:right="57"/>
              <w:rPr>
                <w:szCs w:val="24"/>
                <w:lang w:eastAsia="ru-RU"/>
              </w:rPr>
            </w:pPr>
            <w:r w:rsidRPr="00C96416">
              <w:rPr>
                <w:szCs w:val="24"/>
                <w:lang w:eastAsia="ru-RU"/>
              </w:rPr>
              <w:t>20</w:t>
            </w:r>
          </w:p>
        </w:tc>
        <w:tc>
          <w:tcPr>
            <w:tcW w:w="3713" w:type="dxa"/>
          </w:tcPr>
          <w:p w14:paraId="0624CCFA" w14:textId="77777777" w:rsidR="00640C0A" w:rsidRDefault="00640C0A" w:rsidP="005A428D">
            <w:pPr>
              <w:ind w:left="57" w:right="57"/>
            </w:pPr>
            <w:r w:rsidRPr="00826EC3">
              <w:rPr>
                <w:szCs w:val="24"/>
                <w:lang w:eastAsia="ru-RU"/>
              </w:rPr>
              <w:t>Внутрь</w:t>
            </w:r>
            <w:r>
              <w:rPr>
                <w:szCs w:val="24"/>
                <w:lang w:eastAsia="ru-RU"/>
              </w:rPr>
              <w:t xml:space="preserve"> или в/в</w:t>
            </w:r>
            <w:r w:rsidRPr="00826EC3">
              <w:rPr>
                <w:szCs w:val="24"/>
                <w:lang w:eastAsia="ru-RU"/>
              </w:rPr>
              <w:t>, 1 раз в сутки</w:t>
            </w:r>
          </w:p>
        </w:tc>
      </w:tr>
    </w:tbl>
    <w:p w14:paraId="1EE5909B" w14:textId="77777777" w:rsidR="00640C0A" w:rsidRDefault="00640C0A" w:rsidP="00640C0A">
      <w:pPr>
        <w:pStyle w:val="Normal11"/>
        <w:tabs>
          <w:tab w:val="left" w:pos="0"/>
        </w:tabs>
        <w:spacing w:line="360" w:lineRule="auto"/>
      </w:pPr>
    </w:p>
    <w:p w14:paraId="67E93FCE" w14:textId="77777777" w:rsidR="00640C0A" w:rsidRPr="00C96416" w:rsidRDefault="00640C0A" w:rsidP="00640C0A">
      <w:pPr>
        <w:ind w:firstLine="709"/>
      </w:pPr>
      <w:r>
        <w:t>Время суток и прием пищи не влияют на активность ИПП. Коррекции дозы при почечной недостаточности не требуется. При невозможности перорального приема ИПП вводятся внутривенно.</w:t>
      </w:r>
    </w:p>
    <w:p w14:paraId="7A41B632" w14:textId="77777777" w:rsidR="00640C0A" w:rsidRDefault="00640C0A" w:rsidP="00640C0A">
      <w:pPr>
        <w:pStyle w:val="Normal11"/>
        <w:tabs>
          <w:tab w:val="left" w:pos="0"/>
        </w:tabs>
        <w:spacing w:line="360" w:lineRule="auto"/>
        <w:ind w:firstLine="699"/>
        <w:rPr>
          <w:bCs/>
          <w:i/>
          <w:iCs/>
          <w:u w:val="single"/>
          <w:shd w:val="clear" w:color="auto" w:fill="FFFFFF"/>
        </w:rPr>
      </w:pPr>
    </w:p>
    <w:p w14:paraId="45F79FBD" w14:textId="77777777" w:rsidR="00640C0A" w:rsidRPr="00A56C81" w:rsidRDefault="00640C0A" w:rsidP="00640C0A">
      <w:pPr>
        <w:pStyle w:val="Normal11"/>
        <w:tabs>
          <w:tab w:val="left" w:pos="0"/>
        </w:tabs>
        <w:spacing w:line="360" w:lineRule="auto"/>
        <w:ind w:firstLine="699"/>
        <w:rPr>
          <w:bCs/>
          <w:i/>
          <w:iCs/>
          <w:u w:val="single"/>
          <w:shd w:val="clear" w:color="auto" w:fill="FFFFFF"/>
        </w:rPr>
      </w:pPr>
      <w:r w:rsidRPr="00A56C81">
        <w:rPr>
          <w:bCs/>
          <w:i/>
          <w:iCs/>
          <w:u w:val="single"/>
          <w:shd w:val="clear" w:color="auto" w:fill="FFFFFF"/>
        </w:rPr>
        <w:t xml:space="preserve">Блокаторы Н2-гистаминовых рецепторов </w:t>
      </w:r>
    </w:p>
    <w:p w14:paraId="47B7EE00" w14:textId="77777777" w:rsidR="00640C0A" w:rsidRPr="00A56C81" w:rsidRDefault="00640C0A" w:rsidP="00640C0A">
      <w:pPr>
        <w:ind w:firstLine="709"/>
      </w:pPr>
      <w:r w:rsidRPr="00A56C81">
        <w:t xml:space="preserve">Секреторные реакции желудка при действии экзогенного или эндогенного гистамина реализуются через Н2-гистаминорецепторы. Блокаторы гистаминовых Н2-рецепторов являются конкурентными антагонистами гистамина и подавляют вызванную различными раздражителями секрецию соляной кислоты за счет вытеснения гистамина из связи с Н2-рецепторами париетальных клеток. Препараты этой группы поддерживают показатели внутрижелудочного рН &gt; 3 на протяжении суток. Применение Н2-блокаторов в течение 1-1,5 месяца приводит к рубцеванию язвенного дефекта у 70–80 % пациентов с дуоденальными язвами и у 55–60 % пациентов с язвами желудка. Тем не менее, после внедрения ИПП в клиническую практику в качестве базисной антисекреторной терапии, Н2-блокаторы применяются реже, главным образом при невозможности применения ИПП. </w:t>
      </w:r>
    </w:p>
    <w:p w14:paraId="763255C1" w14:textId="269EE40B" w:rsidR="00640C0A" w:rsidRDefault="00640C0A" w:rsidP="00640C0A">
      <w:pPr>
        <w:ind w:firstLine="709"/>
      </w:pPr>
      <w:r w:rsidRPr="00A56C81">
        <w:t xml:space="preserve">В группу препаратов – блокаторов Н2-гистаминовых рецепторов входят ранитидин, фамотидин, применяемые во время проведения курсов противоопухолевой терапии, включающей системные ГКС, в указанных в таблице </w:t>
      </w:r>
      <w:r>
        <w:t>А3.3.</w:t>
      </w:r>
      <w:r w:rsidRPr="00A56C81">
        <w:t>2 дозах</w:t>
      </w:r>
      <w:r w:rsidRPr="0016000A">
        <w:t xml:space="preserve"> </w:t>
      </w:r>
      <w:r>
        <w:t xml:space="preserve"> </w:t>
      </w:r>
      <w:r>
        <w:fldChar w:fldCharType="begin" w:fldLock="1"/>
      </w:r>
      <w:r w:rsidR="00312D7F">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общества).","type":"article-journal","volume":"30"},"uris":["http://www.mendeley.com/documents/?uuid=858a1835-2f3b-419a-91b4-8a8e3ef10cc9"]},{"id":"ITEM-2","itemData":{"DOI":"10.1016/S2468-1253(18)30037-2","ISSN":"24681253","PMID":"29475806","abstract":"Background: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Hepatology","id":"ITEM-2","issue":"4","issued":{"date-parts":[["2018","4","1"]]},"page":"231-241","publisher":"Elsevier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id":"ITEM-3","itemData":{"author":[{"dropping-particle":"","family":"Poynard","given":"T.","non-dropping-particle":"","parse-names":false,"suffix":""},{"dropping-particle":"","family":"Lemaire","given":"M.","non-dropping-particle":"","parse-names":false,"suffix":""},{"dropping-particle":"","family":"Agostini","given":"H.","non-dropping-particle":"","parse-names":false,"suffix":""}],"container-title":"European Journal of Gastroenterology and Hepatology","id":"ITEM-3","issue":"7","issued":{"date-parts":[["1995"]]},"page":"661-665","title":"Meta-analysis of randomized clinical trials comparing lansoprazole with ranitidine or famotidine in the treatment of acute duodenal ulcer","type":"article-journal","volume":"7"},"uris":["http://www.mendeley.com/documents/?uuid=5db0b11d-6521-4aed-b5ed-29192f1bbc07"]}],"mendeley":{"formattedCitation":"[130,131,133]","plainTextFormattedCitation":"[130,131,133]","previouslyFormattedCitation":"[130,131,133]"},"properties":{"noteIndex":0},"schema":"https://github.com/citation-style-language/schema/raw/master/csl-citation.json"}</w:instrText>
      </w:r>
      <w:r>
        <w:fldChar w:fldCharType="separate"/>
      </w:r>
      <w:r w:rsidR="001264E7" w:rsidRPr="001264E7">
        <w:rPr>
          <w:noProof/>
        </w:rPr>
        <w:t>[130,131,133]</w:t>
      </w:r>
      <w:r>
        <w:fldChar w:fldCharType="end"/>
      </w:r>
      <w:r w:rsidRPr="00A56C81">
        <w:t>.</w:t>
      </w:r>
    </w:p>
    <w:p w14:paraId="0410D291" w14:textId="77777777" w:rsidR="00640C0A" w:rsidRDefault="00640C0A" w:rsidP="00640C0A">
      <w:pPr>
        <w:rPr>
          <w:b/>
          <w:szCs w:val="24"/>
        </w:rPr>
      </w:pPr>
    </w:p>
    <w:p w14:paraId="146AA51F" w14:textId="77777777" w:rsidR="00640C0A" w:rsidRPr="00F76AD4" w:rsidRDefault="00640C0A" w:rsidP="00640C0A">
      <w:pPr>
        <w:rPr>
          <w:bCs/>
        </w:rPr>
      </w:pPr>
      <w:r w:rsidRPr="00F76AD4">
        <w:rPr>
          <w:bCs/>
          <w:szCs w:val="24"/>
        </w:rPr>
        <w:t xml:space="preserve">Таблица 2 . Режим дозирования блокаторов Н2-гистаминовых рецепторов </w:t>
      </w:r>
    </w:p>
    <w:tbl>
      <w:tblPr>
        <w:tblStyle w:val="affa"/>
        <w:tblW w:w="0" w:type="auto"/>
        <w:jc w:val="center"/>
        <w:tblLook w:val="04A0" w:firstRow="1" w:lastRow="0" w:firstColumn="1" w:lastColumn="0" w:noHBand="0" w:noVBand="1"/>
      </w:tblPr>
      <w:tblGrid>
        <w:gridCol w:w="1942"/>
        <w:gridCol w:w="2268"/>
        <w:gridCol w:w="3358"/>
      </w:tblGrid>
      <w:tr w:rsidR="00640C0A" w:rsidRPr="00C96416" w14:paraId="6856A7D0" w14:textId="77777777" w:rsidTr="005A428D">
        <w:trPr>
          <w:jc w:val="center"/>
        </w:trPr>
        <w:tc>
          <w:tcPr>
            <w:tcW w:w="1942" w:type="dxa"/>
          </w:tcPr>
          <w:p w14:paraId="5A4D62B0" w14:textId="77777777" w:rsidR="00640C0A" w:rsidRPr="00C96416" w:rsidRDefault="00640C0A" w:rsidP="005A428D">
            <w:pPr>
              <w:tabs>
                <w:tab w:val="left" w:pos="0"/>
              </w:tabs>
              <w:rPr>
                <w:b/>
                <w:szCs w:val="24"/>
                <w:lang w:eastAsia="ru-RU"/>
              </w:rPr>
            </w:pPr>
            <w:r w:rsidRPr="00C96416">
              <w:rPr>
                <w:b/>
                <w:szCs w:val="24"/>
                <w:lang w:eastAsia="ru-RU"/>
              </w:rPr>
              <w:t>Препараты</w:t>
            </w:r>
          </w:p>
        </w:tc>
        <w:tc>
          <w:tcPr>
            <w:tcW w:w="2268" w:type="dxa"/>
          </w:tcPr>
          <w:p w14:paraId="65CFDE44" w14:textId="77777777" w:rsidR="00640C0A" w:rsidRPr="00C96416" w:rsidRDefault="00640C0A" w:rsidP="005A428D">
            <w:pPr>
              <w:tabs>
                <w:tab w:val="left" w:pos="0"/>
              </w:tabs>
              <w:rPr>
                <w:b/>
                <w:szCs w:val="24"/>
                <w:lang w:eastAsia="ru-RU"/>
              </w:rPr>
            </w:pPr>
            <w:r w:rsidRPr="00C96416">
              <w:rPr>
                <w:b/>
                <w:szCs w:val="24"/>
                <w:lang w:eastAsia="ru-RU"/>
              </w:rPr>
              <w:t xml:space="preserve">Суточная </w:t>
            </w:r>
            <w:r>
              <w:rPr>
                <w:b/>
                <w:szCs w:val="24"/>
                <w:lang w:eastAsia="ru-RU"/>
              </w:rPr>
              <w:t>д</w:t>
            </w:r>
            <w:r w:rsidRPr="00C96416">
              <w:rPr>
                <w:b/>
                <w:szCs w:val="24"/>
                <w:lang w:eastAsia="ru-RU"/>
              </w:rPr>
              <w:t>оза, мг</w:t>
            </w:r>
          </w:p>
        </w:tc>
        <w:tc>
          <w:tcPr>
            <w:tcW w:w="3358" w:type="dxa"/>
          </w:tcPr>
          <w:p w14:paraId="728EB8DB" w14:textId="77777777" w:rsidR="00640C0A" w:rsidRPr="00C96416" w:rsidRDefault="00640C0A" w:rsidP="005A428D">
            <w:pPr>
              <w:tabs>
                <w:tab w:val="left" w:pos="0"/>
              </w:tabs>
              <w:rPr>
                <w:b/>
                <w:szCs w:val="24"/>
                <w:lang w:eastAsia="ru-RU"/>
              </w:rPr>
            </w:pPr>
            <w:r w:rsidRPr="00C96416">
              <w:rPr>
                <w:b/>
                <w:szCs w:val="24"/>
                <w:lang w:eastAsia="ru-RU"/>
              </w:rPr>
              <w:t>Режим дозирования</w:t>
            </w:r>
          </w:p>
        </w:tc>
      </w:tr>
      <w:tr w:rsidR="00640C0A" w:rsidRPr="00C96416" w14:paraId="6638CC81" w14:textId="77777777" w:rsidTr="005A428D">
        <w:trPr>
          <w:jc w:val="center"/>
        </w:trPr>
        <w:tc>
          <w:tcPr>
            <w:tcW w:w="1942" w:type="dxa"/>
          </w:tcPr>
          <w:p w14:paraId="5F70B2F3" w14:textId="77777777" w:rsidR="00640C0A" w:rsidRPr="00C96416" w:rsidRDefault="00640C0A" w:rsidP="005A428D">
            <w:pPr>
              <w:tabs>
                <w:tab w:val="left" w:pos="0"/>
              </w:tabs>
              <w:rPr>
                <w:szCs w:val="24"/>
                <w:lang w:eastAsia="ru-RU"/>
              </w:rPr>
            </w:pPr>
            <w:r>
              <w:rPr>
                <w:szCs w:val="24"/>
                <w:lang w:eastAsia="ru-RU"/>
              </w:rPr>
              <w:t>Ранитидин</w:t>
            </w:r>
          </w:p>
        </w:tc>
        <w:tc>
          <w:tcPr>
            <w:tcW w:w="2268" w:type="dxa"/>
          </w:tcPr>
          <w:p w14:paraId="018DECB2" w14:textId="77777777" w:rsidR="00640C0A" w:rsidRPr="00C96416" w:rsidRDefault="00640C0A" w:rsidP="005A428D">
            <w:pPr>
              <w:tabs>
                <w:tab w:val="left" w:pos="0"/>
              </w:tabs>
              <w:rPr>
                <w:szCs w:val="24"/>
                <w:lang w:eastAsia="ru-RU"/>
              </w:rPr>
            </w:pPr>
            <w:r>
              <w:rPr>
                <w:szCs w:val="24"/>
                <w:lang w:eastAsia="ru-RU"/>
              </w:rPr>
              <w:t>150</w:t>
            </w:r>
          </w:p>
        </w:tc>
        <w:tc>
          <w:tcPr>
            <w:tcW w:w="3358" w:type="dxa"/>
          </w:tcPr>
          <w:p w14:paraId="3CBE2907" w14:textId="77777777" w:rsidR="00640C0A" w:rsidRPr="00C96416" w:rsidRDefault="00640C0A" w:rsidP="005A428D">
            <w:pPr>
              <w:tabs>
                <w:tab w:val="left" w:pos="0"/>
              </w:tabs>
              <w:rPr>
                <w:szCs w:val="24"/>
                <w:lang w:eastAsia="ru-RU"/>
              </w:rPr>
            </w:pPr>
            <w:r>
              <w:rPr>
                <w:szCs w:val="24"/>
                <w:lang w:eastAsia="ru-RU"/>
              </w:rPr>
              <w:t>Внутрь, 1 раз в сутки, на ночь</w:t>
            </w:r>
          </w:p>
        </w:tc>
      </w:tr>
      <w:tr w:rsidR="00640C0A" w:rsidRPr="00C96416" w14:paraId="17CF5544" w14:textId="77777777" w:rsidTr="005A428D">
        <w:trPr>
          <w:jc w:val="center"/>
        </w:trPr>
        <w:tc>
          <w:tcPr>
            <w:tcW w:w="1942" w:type="dxa"/>
          </w:tcPr>
          <w:p w14:paraId="2C0A69CD" w14:textId="77777777" w:rsidR="00640C0A" w:rsidRPr="00C96416" w:rsidRDefault="00640C0A" w:rsidP="005A428D">
            <w:pPr>
              <w:tabs>
                <w:tab w:val="left" w:pos="0"/>
              </w:tabs>
              <w:rPr>
                <w:szCs w:val="24"/>
                <w:lang w:eastAsia="ru-RU"/>
              </w:rPr>
            </w:pPr>
            <w:r>
              <w:rPr>
                <w:szCs w:val="24"/>
                <w:lang w:eastAsia="ru-RU"/>
              </w:rPr>
              <w:t>Фамотидин</w:t>
            </w:r>
          </w:p>
        </w:tc>
        <w:tc>
          <w:tcPr>
            <w:tcW w:w="2268" w:type="dxa"/>
          </w:tcPr>
          <w:p w14:paraId="26899765" w14:textId="77777777" w:rsidR="00640C0A" w:rsidRPr="00C96416" w:rsidRDefault="00640C0A" w:rsidP="005A428D">
            <w:pPr>
              <w:tabs>
                <w:tab w:val="left" w:pos="0"/>
              </w:tabs>
              <w:rPr>
                <w:szCs w:val="24"/>
                <w:lang w:eastAsia="ru-RU"/>
              </w:rPr>
            </w:pPr>
            <w:r>
              <w:rPr>
                <w:szCs w:val="24"/>
                <w:lang w:eastAsia="ru-RU"/>
              </w:rPr>
              <w:t>2</w:t>
            </w:r>
            <w:r w:rsidRPr="00C96416">
              <w:rPr>
                <w:szCs w:val="24"/>
                <w:lang w:eastAsia="ru-RU"/>
              </w:rPr>
              <w:t xml:space="preserve">0 </w:t>
            </w:r>
          </w:p>
        </w:tc>
        <w:tc>
          <w:tcPr>
            <w:tcW w:w="3358" w:type="dxa"/>
          </w:tcPr>
          <w:p w14:paraId="0781C0D5" w14:textId="77777777" w:rsidR="00640C0A" w:rsidRDefault="00640C0A" w:rsidP="005A428D">
            <w:r w:rsidRPr="00826EC3">
              <w:rPr>
                <w:szCs w:val="24"/>
                <w:lang w:eastAsia="ru-RU"/>
              </w:rPr>
              <w:t>Внутрь, 1 раз в сутки</w:t>
            </w:r>
            <w:r>
              <w:rPr>
                <w:szCs w:val="24"/>
                <w:lang w:eastAsia="ru-RU"/>
              </w:rPr>
              <w:t>, на ночь</w:t>
            </w:r>
          </w:p>
        </w:tc>
      </w:tr>
    </w:tbl>
    <w:p w14:paraId="0806D9CA" w14:textId="77777777" w:rsidR="00640C0A" w:rsidRPr="007C2EE2" w:rsidRDefault="00640C0A" w:rsidP="00640C0A">
      <w:pPr>
        <w:pStyle w:val="aff"/>
        <w:tabs>
          <w:tab w:val="left" w:pos="0"/>
        </w:tabs>
        <w:ind w:left="0" w:firstLine="567"/>
        <w:rPr>
          <w:szCs w:val="24"/>
        </w:rPr>
      </w:pPr>
    </w:p>
    <w:p w14:paraId="5AFF0382" w14:textId="63D628D6" w:rsidR="001264E7" w:rsidRDefault="00640C0A" w:rsidP="001264E7">
      <w:pPr>
        <w:pStyle w:val="2"/>
      </w:pPr>
      <w:bookmarkStart w:id="31" w:name="_Toc65104103"/>
      <w:r>
        <w:t xml:space="preserve">7.5 </w:t>
      </w:r>
      <w:bookmarkStart w:id="32" w:name="_Toc64295957"/>
      <w:bookmarkStart w:id="33" w:name="_Toc64479345"/>
      <w:bookmarkStart w:id="34" w:name="__RefHeading___doc_criteria"/>
      <w:bookmarkStart w:id="35" w:name="_Toc11747750"/>
      <w:bookmarkStart w:id="36" w:name="_Toc24572135"/>
      <w:r w:rsidR="001264E7">
        <w:t>Профилактика, диагностика и лечение тромботических осложнений</w:t>
      </w:r>
      <w:bookmarkEnd w:id="31"/>
      <w:bookmarkEnd w:id="32"/>
      <w:bookmarkEnd w:id="33"/>
    </w:p>
    <w:p w14:paraId="04367BCE" w14:textId="0227248D" w:rsidR="001264E7" w:rsidRDefault="001264E7" w:rsidP="00B0477D">
      <w:pPr>
        <w:ind w:firstLine="709"/>
        <w:rPr>
          <w:rFonts w:eastAsia="Times New Roman"/>
          <w:szCs w:val="24"/>
          <w:lang w:eastAsia="ru-RU"/>
        </w:rPr>
      </w:pPr>
      <w:r>
        <w:rPr>
          <w:szCs w:val="24"/>
          <w:lang w:eastAsia="ru-RU"/>
        </w:rPr>
        <w:t>При гематологических заболеваниях, как первично, так и в процессе их лечения часто возникают тромботические осложнения, требующие профилактики и терапии. Частота тромботических нарушений при опухолях системы крови различна, проведение химиотерапии (ХТ) увеличивает частоту тромботических осложнений практически в 2 раза с 2.21% до 4.24% относительно исходного уровня</w:t>
      </w:r>
      <w:r w:rsidRPr="002470CB">
        <w:rPr>
          <w:szCs w:val="24"/>
          <w:lang w:eastAsia="ru-RU"/>
        </w:rPr>
        <w:t xml:space="preserve"> </w:t>
      </w:r>
      <w:r>
        <w:rPr>
          <w:szCs w:val="24"/>
          <w:lang w:eastAsia="ru-RU"/>
        </w:rPr>
        <w:fldChar w:fldCharType="begin" w:fldLock="1"/>
      </w:r>
      <w:r w:rsidR="00312D7F">
        <w:rPr>
          <w:szCs w:val="24"/>
          <w:lang w:eastAsia="ru-RU"/>
        </w:rPr>
        <w:instrText>ADDIN CSL_CITATION {"citationItems":[{"id":"ITEM-1","itemData":{"DOI":"10.1016/j.critrevonc.2018.02.003","ISSN":"18790461","PMID":"29548485","abstract":"Venous Thromboembolism (VTE) frequently complicates the course of hematologic malignancies (HM) and its incidence is similar to that observed in high-risk solid tumors. Despite that, pharmacologic prophylaxis and treatment of VTE in patients with HM is challenging, mainly because a severe thrombocytopenia frequently complicates the course of treatments or may be present since diagnosis, thus increasing the risk of bleeding. Therefore, in this setting, safe and effective methods of VTE prophylaxis and treatment have not been well defined and hematologists generally refer to guidelines produced for cancer patients that give indications on anticoagulation in patients with thrombocytopenia. In this review, besides to summarize the incidence and the available data on prophylaxis and treatment of VTE in HM, we give some advices on how to use antithrombotic drugs in patients with HM according to platelets count.","author":[{"dropping-particle":"","family":"Annibali","given":"Ombretta","non-dropping-particle":"","parse-names":false,"suffix":""},{"dropping-particle":"","family":"Napolitano","given":"Mariasanta","non-dropping-particle":"","parse-names":false,"suffix":""},{"dropping-particle":"","family":"Avvisati","given":"Giuseppe","non-dropping-particle":"","parse-names":false,"suffix":""},{"dropping-particle":"","family":"Siragusa","given":"Sergio","non-dropping-particle":"","parse-names":false,"suffix":""}],"container-title":"Critical Reviews in Oncology/Hematology","id":"ITEM-1","issued":{"date-parts":[["2018","4","1"]]},"page":"41-50","publisher":"Elsevier Ireland Ltd","title":"Incidence of venous thromboembolism and use of anticoagulation in hematological malignancies: Critical review of the literature","type":"article","volume":"124"},"uris":["http://www.mendeley.com/documents/?uuid=22f80e37-ad15-39e0-a4bd-123ad1adb983"]},{"id":"ITEM-2","itemData":{"DOI":"10.1097/CCO.0b013e3283592331","ISSN":"10408746","PMID":"23014188","abstract":"Purpose of Review: This review summarizes the current knowledge of the epidemiology, prophylaxis, and treatment of venous thromboembolism (VTE) in patients with lymphoma, multiple myeloma or acute leukemia. Recent Findings: Hematologic malignancies are associated with a high risk of thrombotic complications. The incidence of these events is greatly variable and is influenced by many factors, including the type and the stage of disease, antitumor therapies, and the use of central venous device (CVD). Epidemiological data allow an estimate of the incidence of VTE in acute leukemia, lymphomas, and multiple myeloma. The effect of chemotherapy on the incidence of thrombosis is particularly evident in acute leukemia as it causes the exacerbation of the clotting/bleeding syndrome typical of this disease. The role of chemotherapy is also relevant in lymphoma, and in multiple myeloma, in which the use of immunomodulating agents, in combination with chemotherapy and steroids significantly increases the risk of VTE. Summary: Thrombotic complications have a significant impact on morbidity and mortality of hematological cancer patients, therefore, in this setting, the issue of thromboprophylaxis to prevent VTE is important. However, no clear recommendation in these conditions is available, with the exception of multiple myeloma. Large prospective randomized clinical trials are needed to establish the best practice for prevention and treatment of VTE in these types of malignant diseases. © 2012 Wolters Kluwer Health | Lippincott Williams &amp; Wilkins.","author":[{"dropping-particle":"","family":"Falanga","given":"Anna","non-dropping-particle":"","parse-names":false,"suffix":""},{"dropping-particle":"","family":"Marchetti","given":"Marina","non-dropping-particle":"","parse-names":false,"suffix":""},{"dropping-particle":"","family":"Russo","given":"Laura","non-dropping-particle":"","parse-names":false,"suffix":""}],"container-title":"Current Opinion in Oncology","id":"ITEM-2","issue":"6","issued":{"date-parts":[["2012","11"]]},"page":"702-710","publisher":"Curr Opin Oncol","title":"Venous thromboembolism in the hematologic malignancies","type":"article","volume":"24"},"uris":["http://www.mendeley.com/documents/?uuid=59d797ff-66d3-3605-b564-548d92885ee6"]}],"mendeley":{"formattedCitation":"[134,135]","plainTextFormattedCitation":"[134,135]","previouslyFormattedCitation":"[134,135]"},"properties":{"noteIndex":0},"schema":"https://github.com/citation-style-language/schema/raw/master/csl-citation.json"}</w:instrText>
      </w:r>
      <w:r>
        <w:rPr>
          <w:szCs w:val="24"/>
          <w:lang w:eastAsia="ru-RU"/>
        </w:rPr>
        <w:fldChar w:fldCharType="separate"/>
      </w:r>
      <w:r w:rsidRPr="001264E7">
        <w:rPr>
          <w:noProof/>
          <w:szCs w:val="24"/>
          <w:lang w:eastAsia="ru-RU"/>
        </w:rPr>
        <w:t>[134,135]</w:t>
      </w:r>
      <w:r>
        <w:rPr>
          <w:szCs w:val="24"/>
          <w:lang w:eastAsia="ru-RU"/>
        </w:rPr>
        <w:fldChar w:fldCharType="end"/>
      </w:r>
      <w:r>
        <w:rPr>
          <w:szCs w:val="24"/>
          <w:lang w:eastAsia="ru-RU"/>
        </w:rPr>
        <w:t xml:space="preserve">. </w:t>
      </w:r>
      <w:r>
        <w:rPr>
          <w:rFonts w:eastAsia="Times New Roman"/>
          <w:szCs w:val="24"/>
          <w:lang w:eastAsia="ru-RU"/>
        </w:rPr>
        <w:t xml:space="preserve">Причинами тромбозов у пациентов онкогематологическими заболеваниями, в частности с лимфомами, могут быть </w:t>
      </w:r>
      <w:r>
        <w:fldChar w:fldCharType="begin" w:fldLock="1"/>
      </w:r>
      <w:r w:rsidR="00312D7F">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[136]","plainTextFormattedCitation":"[136]","previouslyFormattedCitation":"[136]"},"properties":{"noteIndex":0},"schema":"https://github.com/citation-style-language/schema/raw/master/csl-citation.json"}</w:instrText>
      </w:r>
      <w:r>
        <w:fldChar w:fldCharType="separate"/>
      </w:r>
      <w:r w:rsidRPr="001264E7">
        <w:rPr>
          <w:noProof/>
        </w:rPr>
        <w:t>[136]</w:t>
      </w:r>
      <w:r>
        <w:fldChar w:fldCharType="end"/>
      </w:r>
      <w:r>
        <w:rPr>
          <w:rFonts w:eastAsia="Times New Roman"/>
          <w:szCs w:val="24"/>
          <w:lang w:eastAsia="ru-RU"/>
        </w:rPr>
        <w:t>:</w:t>
      </w:r>
    </w:p>
    <w:p w14:paraId="39383EB1" w14:textId="77777777" w:rsidR="001264E7" w:rsidRPr="00F62DEE" w:rsidRDefault="001264E7" w:rsidP="0091350E">
      <w:pPr>
        <w:numPr>
          <w:ilvl w:val="0"/>
          <w:numId w:val="46"/>
        </w:numPr>
        <w:rPr>
          <w:rFonts w:eastAsia="Times New Roman"/>
          <w:szCs w:val="24"/>
          <w:lang w:eastAsia="ru-RU"/>
        </w:rPr>
      </w:pPr>
      <w:r w:rsidRPr="00E5560E">
        <w:rPr>
          <w:rFonts w:eastAsia="Times New Roman"/>
          <w:szCs w:val="24"/>
          <w:lang w:eastAsia="ru-RU"/>
        </w:rPr>
        <w:t>механические факторы (сдавление опухолью кровеносного сосуда, центральный или периферический венозные катетеры, нарушение целостности эндотелия некоторыми химиопрепаратами и др.);</w:t>
      </w:r>
    </w:p>
    <w:p w14:paraId="3DC9D043" w14:textId="77777777" w:rsidR="001264E7" w:rsidRPr="00F62DEE" w:rsidRDefault="001264E7" w:rsidP="0091350E">
      <w:pPr>
        <w:numPr>
          <w:ilvl w:val="0"/>
          <w:numId w:val="46"/>
        </w:numPr>
        <w:rPr>
          <w:rFonts w:eastAsia="Times New Roman"/>
          <w:szCs w:val="24"/>
          <w:lang w:eastAsia="ru-RU"/>
        </w:rPr>
      </w:pPr>
      <w:r w:rsidRPr="00E5560E">
        <w:rPr>
          <w:rFonts w:eastAsia="Times New Roman"/>
          <w:szCs w:val="24"/>
          <w:lang w:eastAsia="ru-RU"/>
        </w:rPr>
        <w:lastRenderedPageBreak/>
        <w:t>коагулогические факторы (повышение или снижение активности факторов свертывания крови, повышение агрегационных свойств тромбоцитов и гипертромбоцитоз);</w:t>
      </w:r>
    </w:p>
    <w:p w14:paraId="02476A84" w14:textId="77777777" w:rsidR="001264E7" w:rsidRPr="00F62DEE" w:rsidRDefault="001264E7" w:rsidP="0091350E">
      <w:pPr>
        <w:numPr>
          <w:ilvl w:val="0"/>
          <w:numId w:val="46"/>
        </w:numPr>
        <w:rPr>
          <w:rFonts w:eastAsia="Times New Roman"/>
          <w:szCs w:val="24"/>
          <w:lang w:eastAsia="ru-RU"/>
        </w:rPr>
      </w:pPr>
      <w:r w:rsidRPr="00E5560E">
        <w:rPr>
          <w:rFonts w:eastAsia="Times New Roman"/>
          <w:szCs w:val="24"/>
          <w:lang w:eastAsia="ru-RU"/>
        </w:rPr>
        <w:t xml:space="preserve">реологические факторы (в том числе за счет гиперлейкоцитоза, эритроцитоза, гипертромбоцитоза); </w:t>
      </w:r>
    </w:p>
    <w:p w14:paraId="08CE0B12" w14:textId="77777777" w:rsidR="001264E7" w:rsidRPr="00F62DEE" w:rsidRDefault="001264E7" w:rsidP="0091350E">
      <w:pPr>
        <w:numPr>
          <w:ilvl w:val="0"/>
          <w:numId w:val="46"/>
        </w:numPr>
        <w:rPr>
          <w:rFonts w:eastAsia="Times New Roman"/>
          <w:szCs w:val="24"/>
          <w:lang w:eastAsia="ru-RU"/>
        </w:rPr>
      </w:pPr>
      <w:r w:rsidRPr="00E5560E">
        <w:rPr>
          <w:rFonts w:eastAsia="Times New Roman"/>
          <w:szCs w:val="24"/>
          <w:lang w:eastAsia="ru-RU"/>
        </w:rPr>
        <w:t>химиолучевая терапия.</w:t>
      </w:r>
    </w:p>
    <w:p w14:paraId="638B5F19" w14:textId="77777777" w:rsidR="001264E7" w:rsidRDefault="001264E7" w:rsidP="00B0477D">
      <w:pPr>
        <w:ind w:firstLine="709"/>
        <w:rPr>
          <w:rFonts w:eastAsia="Times New Roman"/>
          <w:szCs w:val="24"/>
          <w:lang w:eastAsia="ru-RU"/>
        </w:rPr>
      </w:pPr>
      <w:r>
        <w:rPr>
          <w:rFonts w:eastAsia="Times New Roman"/>
          <w:szCs w:val="24"/>
          <w:lang w:eastAsia="ru-RU"/>
        </w:rPr>
        <w:t>Эти факторы часто сочетаются друг с другом.</w:t>
      </w:r>
    </w:p>
    <w:p w14:paraId="74CC1D55" w14:textId="77777777" w:rsidR="001264E7" w:rsidRDefault="001264E7" w:rsidP="001264E7">
      <w:pPr>
        <w:ind w:firstLine="567"/>
        <w:rPr>
          <w:rFonts w:eastAsia="Times New Roman"/>
          <w:szCs w:val="24"/>
          <w:lang w:eastAsia="ru-RU"/>
        </w:rPr>
      </w:pPr>
    </w:p>
    <w:p w14:paraId="558E3FF0" w14:textId="77777777" w:rsidR="001264E7" w:rsidRPr="00E5560E" w:rsidRDefault="001264E7" w:rsidP="001264E7">
      <w:pPr>
        <w:rPr>
          <w:rFonts w:eastAsia="Times New Roman"/>
          <w:i/>
          <w:iCs/>
          <w:szCs w:val="24"/>
          <w:u w:val="single"/>
          <w:lang w:eastAsia="ru-RU"/>
        </w:rPr>
      </w:pPr>
      <w:r w:rsidRPr="00E5560E">
        <w:rPr>
          <w:rFonts w:eastAsia="Times New Roman"/>
          <w:i/>
          <w:iCs/>
          <w:szCs w:val="24"/>
          <w:u w:val="single"/>
          <w:lang w:eastAsia="ru-RU"/>
        </w:rPr>
        <w:t>Клинические проявления тромботических осложнений.</w:t>
      </w:r>
    </w:p>
    <w:p w14:paraId="4D37AFFB" w14:textId="77777777" w:rsidR="001264E7" w:rsidRDefault="001264E7" w:rsidP="00B0477D">
      <w:pPr>
        <w:ind w:firstLine="709"/>
        <w:rPr>
          <w:rFonts w:eastAsia="Times New Roman"/>
          <w:szCs w:val="24"/>
          <w:lang w:eastAsia="ru-RU"/>
        </w:rPr>
      </w:pPr>
      <w:r>
        <w:rPr>
          <w:rFonts w:eastAsia="Times New Roman"/>
          <w:szCs w:val="24"/>
          <w:lang w:eastAsia="ru-RU"/>
        </w:rPr>
        <w:t xml:space="preserve">Тромботические осложнения имеют гетерогенные проявления и подтверждаются различными лабораторными (коагулологическими, молекулярно-генетическими, биохимическими, цитологическими) и инструментальными методами. </w:t>
      </w:r>
    </w:p>
    <w:p w14:paraId="6C670932" w14:textId="143E72AD" w:rsidR="001264E7" w:rsidRDefault="001264E7" w:rsidP="00B0477D">
      <w:pPr>
        <w:ind w:firstLine="709"/>
        <w:rPr>
          <w:rFonts w:eastAsia="Times New Roman"/>
          <w:szCs w:val="24"/>
          <w:lang w:eastAsia="ru-RU"/>
        </w:rPr>
      </w:pPr>
      <w:r>
        <w:rPr>
          <w:rFonts w:eastAsia="Times New Roman"/>
          <w:szCs w:val="24"/>
          <w:lang w:eastAsia="ru-RU"/>
        </w:rPr>
        <w:t xml:space="preserve">Для тромбозов характерны следующие признаки </w:t>
      </w:r>
      <w:r>
        <w:fldChar w:fldCharType="begin" w:fldLock="1"/>
      </w:r>
      <w:r w:rsidR="00312D7F">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[136,137]","plainTextFormattedCitation":"[136,137]","previouslyFormattedCitation":"[136,137]"},"properties":{"noteIndex":0},"schema":"https://github.com/citation-style-language/schema/raw/master/csl-citation.json"}</w:instrText>
      </w:r>
      <w:r>
        <w:fldChar w:fldCharType="separate"/>
      </w:r>
      <w:r w:rsidRPr="001264E7">
        <w:rPr>
          <w:noProof/>
        </w:rPr>
        <w:t>[136,137]</w:t>
      </w:r>
      <w:r>
        <w:fldChar w:fldCharType="end"/>
      </w:r>
      <w:r>
        <w:rPr>
          <w:rFonts w:eastAsia="Times New Roman"/>
          <w:szCs w:val="24"/>
          <w:lang w:eastAsia="ru-RU"/>
        </w:rPr>
        <w:t xml:space="preserve">: </w:t>
      </w:r>
    </w:p>
    <w:p w14:paraId="47D8BB46" w14:textId="77777777" w:rsidR="001264E7" w:rsidRDefault="001264E7" w:rsidP="0091350E">
      <w:pPr>
        <w:numPr>
          <w:ilvl w:val="0"/>
          <w:numId w:val="49"/>
        </w:numPr>
        <w:rPr>
          <w:rFonts w:eastAsia="Times New Roman"/>
          <w:szCs w:val="24"/>
          <w:lang w:eastAsia="ru-RU"/>
        </w:rPr>
      </w:pPr>
      <w:r>
        <w:rPr>
          <w:rFonts w:eastAsia="Times New Roman"/>
          <w:szCs w:val="24"/>
          <w:lang w:eastAsia="ru-RU"/>
        </w:rPr>
        <w:t>отек на месте тромбоза (венозный тромбоз);</w:t>
      </w:r>
    </w:p>
    <w:p w14:paraId="60954CDC" w14:textId="77777777" w:rsidR="001264E7" w:rsidRDefault="001264E7" w:rsidP="0091350E">
      <w:pPr>
        <w:numPr>
          <w:ilvl w:val="0"/>
          <w:numId w:val="49"/>
        </w:numPr>
        <w:rPr>
          <w:rFonts w:eastAsia="Times New Roman"/>
          <w:szCs w:val="24"/>
          <w:lang w:eastAsia="ru-RU"/>
        </w:rPr>
      </w:pPr>
      <w:r>
        <w:rPr>
          <w:rFonts w:eastAsia="Times New Roman"/>
          <w:szCs w:val="24"/>
          <w:lang w:eastAsia="ru-RU"/>
        </w:rPr>
        <w:t>умеренные болевые ощущения - чувство распирания, постоянные локальные боли (венозные и артериальные тромбозы);</w:t>
      </w:r>
    </w:p>
    <w:p w14:paraId="5AB28B5B" w14:textId="77777777" w:rsidR="001264E7" w:rsidRDefault="001264E7" w:rsidP="0091350E">
      <w:pPr>
        <w:numPr>
          <w:ilvl w:val="0"/>
          <w:numId w:val="49"/>
        </w:numPr>
        <w:rPr>
          <w:rFonts w:eastAsia="Times New Roman"/>
          <w:szCs w:val="24"/>
          <w:lang w:eastAsia="ru-RU"/>
        </w:rPr>
      </w:pPr>
      <w:r>
        <w:rPr>
          <w:rFonts w:eastAsia="Times New Roman"/>
          <w:szCs w:val="24"/>
          <w:lang w:eastAsia="ru-RU"/>
        </w:rPr>
        <w:t xml:space="preserve">повышение кожной температуры непосредственно в области тромбоза (венозные тромбозы); </w:t>
      </w:r>
    </w:p>
    <w:p w14:paraId="0E99106E" w14:textId="77777777" w:rsidR="001264E7" w:rsidRDefault="001264E7" w:rsidP="0091350E">
      <w:pPr>
        <w:numPr>
          <w:ilvl w:val="0"/>
          <w:numId w:val="49"/>
        </w:numPr>
        <w:rPr>
          <w:rFonts w:eastAsia="Times New Roman"/>
          <w:szCs w:val="24"/>
          <w:lang w:eastAsia="ru-RU"/>
        </w:rPr>
      </w:pPr>
      <w:r>
        <w:rPr>
          <w:rFonts w:eastAsia="Times New Roman"/>
          <w:szCs w:val="24"/>
          <w:lang w:eastAsia="ru-RU"/>
        </w:rPr>
        <w:t>резкая болезненность, цианоз (синюшность), снижение температуры в области тромбообразования и прилежащих тканях (артериальные тромбозы);</w:t>
      </w:r>
    </w:p>
    <w:p w14:paraId="211814CB" w14:textId="77777777" w:rsidR="001264E7" w:rsidRDefault="001264E7" w:rsidP="0091350E">
      <w:pPr>
        <w:numPr>
          <w:ilvl w:val="0"/>
          <w:numId w:val="49"/>
        </w:numPr>
        <w:rPr>
          <w:rFonts w:eastAsia="Times New Roman"/>
          <w:szCs w:val="24"/>
          <w:lang w:eastAsia="ru-RU"/>
        </w:rPr>
      </w:pPr>
      <w:r>
        <w:rPr>
          <w:rFonts w:eastAsia="Times New Roman"/>
          <w:szCs w:val="24"/>
          <w:lang w:eastAsia="ru-RU"/>
        </w:rPr>
        <w:t>перемежающаяся хромота (артериальные тромбозы);</w:t>
      </w:r>
    </w:p>
    <w:p w14:paraId="33E27881" w14:textId="77777777" w:rsidR="001264E7" w:rsidRDefault="001264E7" w:rsidP="0091350E">
      <w:pPr>
        <w:numPr>
          <w:ilvl w:val="0"/>
          <w:numId w:val="49"/>
        </w:numPr>
        <w:rPr>
          <w:rFonts w:eastAsia="Times New Roman"/>
          <w:szCs w:val="24"/>
          <w:lang w:eastAsia="ru-RU"/>
        </w:rPr>
      </w:pPr>
      <w:r>
        <w:rPr>
          <w:rFonts w:eastAsia="Times New Roman"/>
          <w:szCs w:val="24"/>
          <w:lang w:eastAsia="ru-RU"/>
        </w:rPr>
        <w:t>при незначительных неокклюзирующих венозных и артериальных тромбозах клинические проявления могут быть минимальными или отсутствовать;</w:t>
      </w:r>
    </w:p>
    <w:p w14:paraId="1235AEA7" w14:textId="77777777" w:rsidR="001264E7" w:rsidRDefault="001264E7" w:rsidP="0091350E">
      <w:pPr>
        <w:numPr>
          <w:ilvl w:val="0"/>
          <w:numId w:val="49"/>
        </w:numPr>
        <w:rPr>
          <w:rFonts w:eastAsia="Times New Roman"/>
          <w:szCs w:val="24"/>
          <w:lang w:eastAsia="ru-RU"/>
        </w:rPr>
      </w:pPr>
      <w:r>
        <w:rPr>
          <w:rFonts w:eastAsia="Times New Roman"/>
          <w:szCs w:val="24"/>
          <w:lang w:eastAsia="ru-RU"/>
        </w:rPr>
        <w:t>головные боли, неврологическая симптоматика, нарушение сознания (признаки ишемического инсульта).</w:t>
      </w:r>
    </w:p>
    <w:p w14:paraId="307A0294" w14:textId="77777777" w:rsidR="001264E7" w:rsidRDefault="001264E7" w:rsidP="0091350E">
      <w:pPr>
        <w:numPr>
          <w:ilvl w:val="0"/>
          <w:numId w:val="49"/>
        </w:numPr>
        <w:rPr>
          <w:rFonts w:eastAsia="Times New Roman"/>
          <w:szCs w:val="24"/>
          <w:lang w:eastAsia="ru-RU"/>
        </w:rPr>
      </w:pPr>
      <w:r>
        <w:rPr>
          <w:szCs w:val="24"/>
        </w:rPr>
        <w:t>синдром сдавления венозного ствола или вены;</w:t>
      </w:r>
    </w:p>
    <w:p w14:paraId="53C1AD4C" w14:textId="77777777" w:rsidR="001264E7" w:rsidRDefault="001264E7" w:rsidP="0091350E">
      <w:pPr>
        <w:numPr>
          <w:ilvl w:val="0"/>
          <w:numId w:val="49"/>
        </w:numPr>
        <w:rPr>
          <w:rFonts w:eastAsia="Times New Roman"/>
          <w:szCs w:val="24"/>
          <w:lang w:eastAsia="ru-RU"/>
        </w:rPr>
      </w:pPr>
      <w:r>
        <w:rPr>
          <w:szCs w:val="24"/>
        </w:rPr>
        <w:t>расширение венозной сети;</w:t>
      </w:r>
    </w:p>
    <w:p w14:paraId="48222C07" w14:textId="77777777" w:rsidR="001264E7" w:rsidRDefault="001264E7" w:rsidP="0091350E">
      <w:pPr>
        <w:numPr>
          <w:ilvl w:val="0"/>
          <w:numId w:val="49"/>
        </w:numPr>
        <w:rPr>
          <w:rFonts w:eastAsia="Times New Roman"/>
          <w:szCs w:val="24"/>
          <w:lang w:eastAsia="ru-RU"/>
        </w:rPr>
      </w:pPr>
      <w:r>
        <w:rPr>
          <w:szCs w:val="24"/>
        </w:rPr>
        <w:t xml:space="preserve"> признаки дыхательной недостаточности при тромбоэмболии легочной артерии (ТЭЛА).</w:t>
      </w:r>
    </w:p>
    <w:p w14:paraId="61FFE634" w14:textId="77777777" w:rsidR="001264E7" w:rsidRDefault="001264E7" w:rsidP="00B0477D">
      <w:pPr>
        <w:ind w:firstLine="709"/>
        <w:rPr>
          <w:rFonts w:eastAsia="Times New Roman"/>
          <w:szCs w:val="24"/>
          <w:lang w:eastAsia="ru-RU"/>
        </w:rPr>
      </w:pPr>
      <w:r>
        <w:rPr>
          <w:szCs w:val="24"/>
        </w:rPr>
        <w:t xml:space="preserve">Для оценки риска развития тромботических нарушений и их рецидивов при лимфоме необходим тщательный сбор анамнеза с уточнением наличия тромбозов у пациента и родственников первой линии, а также оценка общего состояния пациента и выявление сопутствующих заболеваний. </w:t>
      </w:r>
    </w:p>
    <w:p w14:paraId="312F34AE" w14:textId="77777777" w:rsidR="001264E7" w:rsidRDefault="001264E7" w:rsidP="001264E7">
      <w:pPr>
        <w:pStyle w:val="Numlist"/>
        <w:spacing w:line="360" w:lineRule="auto"/>
        <w:ind w:firstLine="360"/>
        <w:jc w:val="both"/>
        <w:rPr>
          <w:b/>
        </w:rPr>
      </w:pPr>
    </w:p>
    <w:p w14:paraId="7B04BE3D" w14:textId="4DB2BE71" w:rsidR="001264E7" w:rsidRDefault="001264E7" w:rsidP="001264E7">
      <w:pPr>
        <w:pStyle w:val="Numlist"/>
        <w:spacing w:line="360" w:lineRule="auto"/>
        <w:ind w:firstLine="360"/>
        <w:jc w:val="both"/>
      </w:pPr>
      <w:r w:rsidRPr="00D74B57">
        <w:rPr>
          <w:bCs/>
          <w:i/>
          <w:iCs/>
          <w:u w:val="single"/>
        </w:rPr>
        <w:lastRenderedPageBreak/>
        <w:t>Лабораторная диагностика</w:t>
      </w:r>
      <w:r>
        <w:rPr>
          <w:b/>
        </w:rPr>
        <w:t xml:space="preserve"> </w:t>
      </w:r>
      <w:r>
        <w:t xml:space="preserve">тромботических осложнений должна включать следующие исследования </w:t>
      </w:r>
      <w:r>
        <w:fldChar w:fldCharType="begin" w:fldLock="1"/>
      </w:r>
      <w:r w:rsidR="00312D7F">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[136,137]","plainTextFormattedCitation":"[136,137]","previouslyFormattedCitation":"[136,137]"},"properties":{"noteIndex":0},"schema":"https://github.com/citation-style-language/schema/raw/master/csl-citation.json"}</w:instrText>
      </w:r>
      <w:r>
        <w:fldChar w:fldCharType="separate"/>
      </w:r>
      <w:r w:rsidRPr="001264E7">
        <w:rPr>
          <w:noProof/>
        </w:rPr>
        <w:t>[136,137]</w:t>
      </w:r>
      <w:r>
        <w:fldChar w:fldCharType="end"/>
      </w:r>
      <w:r>
        <w:t xml:space="preserve">: </w:t>
      </w:r>
    </w:p>
    <w:p w14:paraId="000331DC" w14:textId="77777777" w:rsidR="001264E7" w:rsidRDefault="001264E7" w:rsidP="001264E7">
      <w:r>
        <w:t xml:space="preserve">1) </w:t>
      </w:r>
      <w:r>
        <w:rPr>
          <w:szCs w:val="24"/>
        </w:rPr>
        <w:t>Исследование периферической крови с подсчетом количества эритроцитов, гемоглобина и гематокрита, тромбоцитов (с подсчетом в мазке по Фонио), лейкоцитов, лейкоцитарной формулы – обязательно при диагностике, далее по показаниям с целью оценки динамики гематологических показателей и для контроля эффективности лечения</w:t>
      </w:r>
      <w:r>
        <w:t>.</w:t>
      </w:r>
    </w:p>
    <w:p w14:paraId="159C769A" w14:textId="77777777" w:rsidR="001264E7" w:rsidRDefault="001264E7" w:rsidP="001264E7">
      <w:pPr>
        <w:rPr>
          <w:szCs w:val="24"/>
        </w:rPr>
      </w:pPr>
      <w:r>
        <w:rPr>
          <w:szCs w:val="24"/>
        </w:rPr>
        <w:t>2) Коагулограмма с определением следующих показателей:</w:t>
      </w:r>
    </w:p>
    <w:p w14:paraId="2E7EB5D5" w14:textId="77777777" w:rsidR="001264E7" w:rsidRDefault="001264E7" w:rsidP="0091350E">
      <w:pPr>
        <w:pStyle w:val="aff"/>
        <w:widowControl w:val="0"/>
        <w:numPr>
          <w:ilvl w:val="0"/>
          <w:numId w:val="45"/>
        </w:numPr>
        <w:ind w:left="1418" w:hanging="567"/>
        <w:contextualSpacing/>
        <w:rPr>
          <w:szCs w:val="24"/>
        </w:rPr>
      </w:pPr>
      <w:r>
        <w:rPr>
          <w:szCs w:val="24"/>
        </w:rPr>
        <w:t>активированное частичное тромбопластиновое время (АЧТВ);</w:t>
      </w:r>
    </w:p>
    <w:p w14:paraId="4E128368" w14:textId="77777777" w:rsidR="001264E7" w:rsidRDefault="001264E7" w:rsidP="0091350E">
      <w:pPr>
        <w:pStyle w:val="aff"/>
        <w:widowControl w:val="0"/>
        <w:numPr>
          <w:ilvl w:val="0"/>
          <w:numId w:val="45"/>
        </w:numPr>
        <w:ind w:left="1418" w:hanging="567"/>
        <w:contextualSpacing/>
        <w:rPr>
          <w:szCs w:val="24"/>
        </w:rPr>
      </w:pPr>
      <w:r>
        <w:rPr>
          <w:szCs w:val="24"/>
        </w:rPr>
        <w:t>тромбиновое время (ТВ);</w:t>
      </w:r>
    </w:p>
    <w:p w14:paraId="374818DE" w14:textId="77777777" w:rsidR="001264E7" w:rsidRDefault="001264E7" w:rsidP="0091350E">
      <w:pPr>
        <w:pStyle w:val="aff"/>
        <w:widowControl w:val="0"/>
        <w:numPr>
          <w:ilvl w:val="0"/>
          <w:numId w:val="45"/>
        </w:numPr>
        <w:ind w:left="1418" w:hanging="567"/>
        <w:contextualSpacing/>
        <w:rPr>
          <w:szCs w:val="24"/>
        </w:rPr>
      </w:pPr>
      <w:r>
        <w:rPr>
          <w:szCs w:val="24"/>
        </w:rPr>
        <w:t>протромбин по Квику (международное нормализованное отношение - МНО);</w:t>
      </w:r>
    </w:p>
    <w:p w14:paraId="63EEC3FA" w14:textId="77777777" w:rsidR="001264E7" w:rsidRDefault="001264E7" w:rsidP="0091350E">
      <w:pPr>
        <w:pStyle w:val="aff"/>
        <w:widowControl w:val="0"/>
        <w:numPr>
          <w:ilvl w:val="0"/>
          <w:numId w:val="45"/>
        </w:numPr>
        <w:ind w:left="1418" w:hanging="567"/>
        <w:contextualSpacing/>
        <w:rPr>
          <w:szCs w:val="24"/>
        </w:rPr>
      </w:pPr>
      <w:r>
        <w:rPr>
          <w:szCs w:val="24"/>
        </w:rPr>
        <w:t>плазменная концентрация фибриногена;</w:t>
      </w:r>
    </w:p>
    <w:p w14:paraId="59E14B06" w14:textId="77777777" w:rsidR="001264E7" w:rsidRDefault="001264E7" w:rsidP="0091350E">
      <w:pPr>
        <w:pStyle w:val="aff"/>
        <w:widowControl w:val="0"/>
        <w:numPr>
          <w:ilvl w:val="0"/>
          <w:numId w:val="45"/>
        </w:numPr>
        <w:ind w:left="1418" w:hanging="567"/>
        <w:contextualSpacing/>
        <w:rPr>
          <w:szCs w:val="24"/>
        </w:rPr>
      </w:pPr>
      <w:r>
        <w:rPr>
          <w:szCs w:val="24"/>
        </w:rPr>
        <w:t xml:space="preserve">плазменная концентрация антитромбина III (АТ </w:t>
      </w:r>
      <w:r>
        <w:rPr>
          <w:szCs w:val="24"/>
          <w:lang w:val="en-US"/>
        </w:rPr>
        <w:t>III</w:t>
      </w:r>
      <w:r>
        <w:rPr>
          <w:szCs w:val="24"/>
        </w:rPr>
        <w:t>), особенно для групп высокого риска, в частности, получающих L-аспарагиназу;</w:t>
      </w:r>
    </w:p>
    <w:p w14:paraId="33081307" w14:textId="77777777" w:rsidR="001264E7" w:rsidRDefault="001264E7" w:rsidP="0091350E">
      <w:pPr>
        <w:pStyle w:val="aff"/>
        <w:widowControl w:val="0"/>
        <w:numPr>
          <w:ilvl w:val="0"/>
          <w:numId w:val="45"/>
        </w:numPr>
        <w:ind w:left="1418" w:hanging="567"/>
        <w:contextualSpacing/>
        <w:rPr>
          <w:szCs w:val="24"/>
        </w:rPr>
      </w:pPr>
      <w:r>
        <w:rPr>
          <w:szCs w:val="24"/>
        </w:rPr>
        <w:t>агрегация тромбоцитов, индуцированная АДФ и адреналином для пациентов, получающих терапию, соответственно клопидогрелом или ацетилсалициловой кислотой;</w:t>
      </w:r>
    </w:p>
    <w:p w14:paraId="57CEB1F5" w14:textId="4BB5C6B6" w:rsidR="001264E7" w:rsidRDefault="001264E7" w:rsidP="0091350E">
      <w:pPr>
        <w:pStyle w:val="aff"/>
        <w:widowControl w:val="0"/>
        <w:numPr>
          <w:ilvl w:val="0"/>
          <w:numId w:val="45"/>
        </w:numPr>
        <w:ind w:left="1418" w:hanging="567"/>
        <w:contextualSpacing/>
        <w:rPr>
          <w:szCs w:val="24"/>
        </w:rPr>
      </w:pPr>
      <w:r>
        <w:rPr>
          <w:szCs w:val="24"/>
        </w:rPr>
        <w:t>D-димер</w:t>
      </w:r>
      <w:r>
        <w:rPr>
          <w:szCs w:val="24"/>
          <w:lang w:val="en-US"/>
        </w:rPr>
        <w:t xml:space="preserve"> </w:t>
      </w:r>
      <w:r>
        <w:rPr>
          <w:szCs w:val="24"/>
          <w:lang w:val="en-US"/>
        </w:rPr>
        <w:fldChar w:fldCharType="begin" w:fldLock="1"/>
      </w:r>
      <w:r w:rsidR="00312D7F">
        <w:rPr>
          <w:szCs w:val="24"/>
          <w:lang w:val="en-US"/>
        </w:rPr>
        <w:instrText>ADDIN CSL_CITATION {"citationItems":[{"id":"ITEM-1","itemData":{"author":[{"dropping-particle":"","family":"Greenberg","given":"C.S.","non-dropping-particle":"","parse-names":false,"suffix":""}],"container-title":"Clinical Advances in Hematology &amp; Oncology","id":"ITEM-1","issue":"8","issued":{"date-parts":[["2017"]]},"page":"580-583","title":"The role of D-dimer testing in clinical hematology and oncology","type":"article-journal","volume":"15"},"uris":["http://www.mendeley.com/documents/?uuid=bcd25bdb-3f17-4690-af2f-221107e95f2a"]}],"mendeley":{"formattedCitation":"[138]","plainTextFormattedCitation":"[138]","previouslyFormattedCitation":"[138]"},"properties":{"noteIndex":0},"schema":"https://github.com/citation-style-language/schema/raw/master/csl-citation.json"}</w:instrText>
      </w:r>
      <w:r>
        <w:rPr>
          <w:szCs w:val="24"/>
          <w:lang w:val="en-US"/>
        </w:rPr>
        <w:fldChar w:fldCharType="separate"/>
      </w:r>
      <w:r w:rsidRPr="001264E7">
        <w:rPr>
          <w:noProof/>
          <w:szCs w:val="24"/>
          <w:lang w:val="en-US"/>
        </w:rPr>
        <w:t>[138]</w:t>
      </w:r>
      <w:r>
        <w:rPr>
          <w:szCs w:val="24"/>
          <w:lang w:val="en-US"/>
        </w:rPr>
        <w:fldChar w:fldCharType="end"/>
      </w:r>
      <w:r>
        <w:rPr>
          <w:szCs w:val="24"/>
        </w:rPr>
        <w:t>;</w:t>
      </w:r>
    </w:p>
    <w:p w14:paraId="2F8DE99C" w14:textId="77777777" w:rsidR="001264E7" w:rsidRDefault="001264E7" w:rsidP="0091350E">
      <w:pPr>
        <w:pStyle w:val="aff"/>
        <w:widowControl w:val="0"/>
        <w:numPr>
          <w:ilvl w:val="0"/>
          <w:numId w:val="45"/>
        </w:numPr>
        <w:ind w:left="1418" w:hanging="567"/>
        <w:contextualSpacing/>
        <w:rPr>
          <w:szCs w:val="24"/>
        </w:rPr>
      </w:pPr>
      <w:r>
        <w:rPr>
          <w:szCs w:val="24"/>
        </w:rPr>
        <w:t>протеин С;</w:t>
      </w:r>
    </w:p>
    <w:p w14:paraId="7247C4D5" w14:textId="77777777" w:rsidR="001264E7" w:rsidRDefault="001264E7" w:rsidP="0091350E">
      <w:pPr>
        <w:pStyle w:val="aff"/>
        <w:widowControl w:val="0"/>
        <w:numPr>
          <w:ilvl w:val="0"/>
          <w:numId w:val="45"/>
        </w:numPr>
        <w:ind w:left="1418" w:hanging="567"/>
        <w:contextualSpacing/>
        <w:rPr>
          <w:szCs w:val="24"/>
        </w:rPr>
      </w:pPr>
      <w:r>
        <w:rPr>
          <w:szCs w:val="24"/>
        </w:rPr>
        <w:t xml:space="preserve">протеин </w:t>
      </w:r>
      <w:r>
        <w:rPr>
          <w:szCs w:val="24"/>
          <w:lang w:val="en-US"/>
        </w:rPr>
        <w:t>S</w:t>
      </w:r>
      <w:r>
        <w:rPr>
          <w:szCs w:val="24"/>
        </w:rPr>
        <w:t>;</w:t>
      </w:r>
    </w:p>
    <w:p w14:paraId="4657244D" w14:textId="77777777" w:rsidR="001264E7" w:rsidRDefault="001264E7" w:rsidP="0091350E">
      <w:pPr>
        <w:pStyle w:val="aff"/>
        <w:widowControl w:val="0"/>
        <w:numPr>
          <w:ilvl w:val="0"/>
          <w:numId w:val="45"/>
        </w:numPr>
        <w:ind w:left="1418" w:hanging="567"/>
        <w:contextualSpacing/>
        <w:rPr>
          <w:szCs w:val="24"/>
        </w:rPr>
      </w:pPr>
      <w:r>
        <w:rPr>
          <w:szCs w:val="24"/>
        </w:rPr>
        <w:t>XIIa-зависимый фибринолиз;</w:t>
      </w:r>
    </w:p>
    <w:p w14:paraId="181880CE" w14:textId="77777777" w:rsidR="001264E7" w:rsidRDefault="001264E7" w:rsidP="00B0477D">
      <w:pPr>
        <w:widowControl w:val="0"/>
        <w:ind w:firstLine="709"/>
        <w:rPr>
          <w:szCs w:val="24"/>
        </w:rPr>
      </w:pPr>
      <w:r>
        <w:rPr>
          <w:szCs w:val="24"/>
        </w:rPr>
        <w:t>Для исследования показателей гемостаза забор крови производят строго натощак, с помощью вакуумных пробирок. Забор крови из катетеров запрещен. Кровь набирают в пробирки, содержащие 3,2% цитрат натрия в соотношении 1:9. Исследование должно проводиться в течение 2-х часов после забора крови.  Достоверность результатов агрегабельности тромбоцитов можно оценить только при содержании в крови тромбоцитов ≥ 100 х 10</w:t>
      </w:r>
      <w:r>
        <w:rPr>
          <w:szCs w:val="24"/>
          <w:vertAlign w:val="superscript"/>
        </w:rPr>
        <w:t>9</w:t>
      </w:r>
      <w:r>
        <w:rPr>
          <w:szCs w:val="24"/>
        </w:rPr>
        <w:t>/л.</w:t>
      </w:r>
    </w:p>
    <w:p w14:paraId="7F1228B6" w14:textId="77C15769" w:rsidR="001264E7" w:rsidRDefault="001264E7" w:rsidP="00B0477D">
      <w:pPr>
        <w:widowControl w:val="0"/>
        <w:ind w:firstLine="709"/>
        <w:rPr>
          <w:szCs w:val="24"/>
        </w:rPr>
      </w:pPr>
      <w:r>
        <w:rPr>
          <w:szCs w:val="24"/>
        </w:rPr>
        <w:t xml:space="preserve">Повышенная концентрация </w:t>
      </w:r>
      <w:r>
        <w:rPr>
          <w:szCs w:val="24"/>
          <w:lang w:val="en-US"/>
        </w:rPr>
        <w:t>D</w:t>
      </w:r>
      <w:r>
        <w:rPr>
          <w:szCs w:val="24"/>
        </w:rPr>
        <w:t>-димера у онкогематологических больных встречается при различных ситуациях, не всегда обусловленных венозными тромбо-эмболическими осложнениями (ВТЭО): синдром диссеминированного внутрисосудистого свертывания (ДВС-синдром), гиперфибринолиз, сепсис, поражения печени, серповидноклеточная анемия и др</w:t>
      </w:r>
      <w:r w:rsidRPr="00B06F48">
        <w:rPr>
          <w:szCs w:val="24"/>
        </w:rPr>
        <w:t xml:space="preserve"> </w:t>
      </w:r>
      <w:r>
        <w:rPr>
          <w:szCs w:val="24"/>
        </w:rPr>
        <w:fldChar w:fldCharType="begin" w:fldLock="1"/>
      </w:r>
      <w:r w:rsidR="00312D7F">
        <w:rPr>
          <w:szCs w:val="24"/>
        </w:rPr>
        <w:instrText>ADDIN CSL_CITATION {"citationItems":[{"id":"ITEM-1","itemData":{"author":[{"dropping-particle":"","family":"Greenberg","given":"C.S.","non-dropping-particle":"","parse-names":false,"suffix":""}],"container-title":"Clinical Advances in Hematology &amp; Oncology","id":"ITEM-1","issue":"8","issued":{"date-parts":[["2017"]]},"page":"580-583","title":"The role of D-dimer testing in clinical hematology and oncology","type":"article-journal","volume":"15"},"uris":["http://www.mendeley.com/documents/?uuid=bcd25bdb-3f17-4690-af2f-221107e95f2a"]}],"mendeley":{"formattedCitation":"[138]","plainTextFormattedCitation":"[138]","previouslyFormattedCitation":"[138]"},"properties":{"noteIndex":0},"schema":"https://github.com/citation-style-language/schema/raw/master/csl-citation.json"}</w:instrText>
      </w:r>
      <w:r>
        <w:rPr>
          <w:szCs w:val="24"/>
        </w:rPr>
        <w:fldChar w:fldCharType="separate"/>
      </w:r>
      <w:r w:rsidRPr="001264E7">
        <w:rPr>
          <w:noProof/>
          <w:szCs w:val="24"/>
        </w:rPr>
        <w:t>[138]</w:t>
      </w:r>
      <w:r>
        <w:rPr>
          <w:szCs w:val="24"/>
        </w:rPr>
        <w:fldChar w:fldCharType="end"/>
      </w:r>
      <w:r>
        <w:rPr>
          <w:szCs w:val="24"/>
        </w:rPr>
        <w:t xml:space="preserve">. Поэтому не рекомендуется начинать тромбопрофилактику ориентируясь только на повышенную концентрацию </w:t>
      </w:r>
      <w:r>
        <w:rPr>
          <w:szCs w:val="24"/>
          <w:lang w:val="en-US"/>
        </w:rPr>
        <w:t>D</w:t>
      </w:r>
      <w:r>
        <w:rPr>
          <w:szCs w:val="24"/>
        </w:rPr>
        <w:t>-димера. При концентрации D-димера выше порогового значения рекомендуется дополнительное проведение инструментальных методов обследования.</w:t>
      </w:r>
    </w:p>
    <w:p w14:paraId="76B0D210" w14:textId="77777777" w:rsidR="001264E7" w:rsidRPr="00494FA4" w:rsidRDefault="001264E7" w:rsidP="001264E7">
      <w:pPr>
        <w:rPr>
          <w:szCs w:val="24"/>
        </w:rPr>
      </w:pPr>
      <w:r>
        <w:rPr>
          <w:szCs w:val="24"/>
        </w:rPr>
        <w:lastRenderedPageBreak/>
        <w:t xml:space="preserve">3) Биохимический анализ крови: общий белок, альбумины, общий и прямой/непрямой билирубин, АСТ, АЛТ, ЛДГ, мочевая кислота, мочевина, креатинин, щелочная фосфатаза, </w:t>
      </w:r>
      <w:r w:rsidRPr="002B7BF0">
        <w:rPr>
          <w:szCs w:val="24"/>
        </w:rPr>
        <w:t xml:space="preserve">холестерин, триглицериды, индекс атерогенности </w:t>
      </w:r>
      <w:r>
        <w:rPr>
          <w:szCs w:val="24"/>
        </w:rPr>
        <w:t xml:space="preserve">– на этапе диагностике, далее по показаниям. </w:t>
      </w:r>
      <w:r w:rsidRPr="00494FA4">
        <w:rPr>
          <w:rStyle w:val="affb"/>
          <w:b w:val="0"/>
          <w:iCs/>
          <w:shd w:val="clear" w:color="auto" w:fill="FFFFFF"/>
        </w:rPr>
        <w:t>В</w:t>
      </w:r>
      <w:r w:rsidRPr="00111FC7">
        <w:rPr>
          <w:rStyle w:val="affc"/>
          <w:i w:val="0"/>
        </w:rPr>
        <w:t xml:space="preserve">ыполнение биохимического анализа крови необходимо для уточнения функциональной способности печени, что важно для выбора адекватной терапии. </w:t>
      </w:r>
    </w:p>
    <w:p w14:paraId="7877AB11" w14:textId="77777777" w:rsidR="001264E7" w:rsidRDefault="001264E7" w:rsidP="001264E7">
      <w:pPr>
        <w:rPr>
          <w:szCs w:val="24"/>
        </w:rPr>
      </w:pPr>
      <w:r>
        <w:rPr>
          <w:szCs w:val="24"/>
        </w:rPr>
        <w:t>4) Определение концентрации гомоцистеина – важно в диагностике гипергомоцистеинемии.</w:t>
      </w:r>
    </w:p>
    <w:p w14:paraId="21EAA3BD" w14:textId="77777777" w:rsidR="001264E7" w:rsidRDefault="001264E7" w:rsidP="001264E7">
      <w:r>
        <w:t xml:space="preserve">5) Исследование мутации генов факторов, участвующих в гемостазе (протромбина G20210A, фактора V Лейден, </w:t>
      </w:r>
      <w:r w:rsidRPr="00A042E1">
        <w:t>метилентетрагидрофолатредуктазы</w:t>
      </w:r>
      <w:r>
        <w:t>), важно для верификации формы и варианта наследственных тромбофилий, определяется по показаниям.</w:t>
      </w:r>
    </w:p>
    <w:p w14:paraId="4198472D" w14:textId="77777777" w:rsidR="001264E7" w:rsidRPr="00494FA4" w:rsidRDefault="001264E7" w:rsidP="001264E7">
      <w:pPr>
        <w:rPr>
          <w:szCs w:val="24"/>
        </w:rPr>
      </w:pPr>
      <w:r>
        <w:t xml:space="preserve">6) Тромбоэластография, пространственная тромбодинамика и определение тромбинового потенциала – по показаниям. </w:t>
      </w:r>
    </w:p>
    <w:p w14:paraId="09EF6810" w14:textId="77777777" w:rsidR="001264E7" w:rsidRDefault="001264E7" w:rsidP="001264E7">
      <w:pPr>
        <w:pStyle w:val="Numlist"/>
        <w:spacing w:line="360" w:lineRule="auto"/>
        <w:jc w:val="both"/>
      </w:pPr>
      <w:r>
        <w:t>Лабораторную оценку состояния системы свертывания крови осуществляют при первичном обследовании больного, до начала проведения специфической терапии, в том числе перед каждым курсом ХТ (по показаниям), а также в случае развития тромботических нарушений на любом этапе диагностики, наблюдения, лечения.</w:t>
      </w:r>
    </w:p>
    <w:p w14:paraId="4077D1B4" w14:textId="77777777" w:rsidR="001264E7" w:rsidRDefault="001264E7" w:rsidP="001264E7">
      <w:pPr>
        <w:rPr>
          <w:b/>
          <w:szCs w:val="24"/>
        </w:rPr>
      </w:pPr>
    </w:p>
    <w:p w14:paraId="4FB4C074" w14:textId="1EC25B9F" w:rsidR="001264E7" w:rsidRDefault="001264E7" w:rsidP="001264E7">
      <w:pPr>
        <w:rPr>
          <w:szCs w:val="24"/>
        </w:rPr>
      </w:pPr>
      <w:r w:rsidRPr="004C1787">
        <w:rPr>
          <w:bCs/>
          <w:i/>
          <w:iCs/>
          <w:szCs w:val="24"/>
          <w:u w:val="single"/>
        </w:rPr>
        <w:t>Инструментальная диагностика</w:t>
      </w:r>
      <w:r>
        <w:rPr>
          <w:szCs w:val="24"/>
        </w:rPr>
        <w:t xml:space="preserve"> рекомендуется для определения выраженности и уточнения локализации тромботических осложнений. Выбор метода зависит от клинической картины и данных лабораторного обследования. Проводятся следующие виды исследования </w:t>
      </w:r>
      <w:r>
        <w:fldChar w:fldCharType="begin" w:fldLock="1"/>
      </w:r>
      <w:r w:rsidR="00312D7F">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[136,137]","plainTextFormattedCitation":"[136,137]","previouslyFormattedCitation":"[136,137]"},"properties":{"noteIndex":0},"schema":"https://github.com/citation-style-language/schema/raw/master/csl-citation.json"}</w:instrText>
      </w:r>
      <w:r>
        <w:fldChar w:fldCharType="separate"/>
      </w:r>
      <w:r w:rsidRPr="001264E7">
        <w:rPr>
          <w:noProof/>
        </w:rPr>
        <w:t>[136,137]</w:t>
      </w:r>
      <w:r>
        <w:fldChar w:fldCharType="end"/>
      </w:r>
      <w:r>
        <w:rPr>
          <w:szCs w:val="24"/>
        </w:rPr>
        <w:t>:</w:t>
      </w:r>
    </w:p>
    <w:p w14:paraId="644808B7" w14:textId="77777777" w:rsidR="001264E7" w:rsidRDefault="001264E7" w:rsidP="0091350E">
      <w:pPr>
        <w:pStyle w:val="aff"/>
        <w:numPr>
          <w:ilvl w:val="0"/>
          <w:numId w:val="48"/>
        </w:numPr>
        <w:spacing w:after="200"/>
        <w:ind w:left="1134"/>
        <w:contextualSpacing/>
        <w:rPr>
          <w:szCs w:val="24"/>
        </w:rPr>
      </w:pPr>
      <w:r>
        <w:rPr>
          <w:szCs w:val="24"/>
        </w:rPr>
        <w:t>УЗИ сосудов, при котором определяются локализация тромбоза, размеры тромба, окклюзирующий или неокклюзирующий характер тромбоза, флотирующий или нефлотирующий характер тромба.</w:t>
      </w:r>
    </w:p>
    <w:p w14:paraId="3A8347DF" w14:textId="77777777" w:rsidR="001264E7" w:rsidRDefault="001264E7" w:rsidP="0091350E">
      <w:pPr>
        <w:pStyle w:val="aff"/>
        <w:numPr>
          <w:ilvl w:val="0"/>
          <w:numId w:val="48"/>
        </w:numPr>
        <w:ind w:left="1134"/>
        <w:contextualSpacing/>
        <w:rPr>
          <w:bCs/>
          <w:szCs w:val="24"/>
        </w:rPr>
      </w:pPr>
      <w:r>
        <w:rPr>
          <w:bCs/>
          <w:szCs w:val="24"/>
        </w:rPr>
        <w:t xml:space="preserve">УЗИ органов брюшной полости (размеры печени, селезенки, </w:t>
      </w:r>
      <w:r w:rsidRPr="00A042E1">
        <w:rPr>
          <w:bCs/>
          <w:szCs w:val="24"/>
        </w:rPr>
        <w:t>вены портальной системы и собственные вены печени</w:t>
      </w:r>
      <w:r>
        <w:rPr>
          <w:bCs/>
          <w:szCs w:val="24"/>
        </w:rPr>
        <w:t>), гемодинамические критерии портальной гипертензии при органомегалии и подозрении на тромбоз.</w:t>
      </w:r>
    </w:p>
    <w:p w14:paraId="5969055C" w14:textId="77777777" w:rsidR="001264E7" w:rsidRDefault="001264E7" w:rsidP="0091350E">
      <w:pPr>
        <w:pStyle w:val="aff"/>
        <w:numPr>
          <w:ilvl w:val="0"/>
          <w:numId w:val="48"/>
        </w:numPr>
        <w:ind w:left="1134"/>
        <w:contextualSpacing/>
        <w:rPr>
          <w:bCs/>
          <w:szCs w:val="24"/>
        </w:rPr>
      </w:pPr>
      <w:r w:rsidRPr="0065075D">
        <w:rPr>
          <w:iCs/>
          <w:szCs w:val="24"/>
        </w:rPr>
        <w:t xml:space="preserve">КТ </w:t>
      </w:r>
      <w:r w:rsidRPr="0065075D">
        <w:rPr>
          <w:bCs/>
          <w:szCs w:val="24"/>
        </w:rPr>
        <w:t xml:space="preserve">органов грудной клетки и брюшной полости с внутривенным контрастным </w:t>
      </w:r>
      <w:r>
        <w:rPr>
          <w:bCs/>
          <w:szCs w:val="24"/>
        </w:rPr>
        <w:t xml:space="preserve">усилением </w:t>
      </w:r>
      <w:r w:rsidRPr="0065075D">
        <w:rPr>
          <w:bCs/>
          <w:szCs w:val="24"/>
        </w:rPr>
        <w:t>для диагностики ТЭЛА, тромбоза вен и артерий брюшной полости, инфарктов паренхиматозных органов, оценки коллатералей.</w:t>
      </w:r>
    </w:p>
    <w:p w14:paraId="2CFF81F9" w14:textId="77777777" w:rsidR="001264E7" w:rsidRPr="004C1787" w:rsidRDefault="001264E7" w:rsidP="0091350E">
      <w:pPr>
        <w:pStyle w:val="aff"/>
        <w:numPr>
          <w:ilvl w:val="0"/>
          <w:numId w:val="48"/>
        </w:numPr>
        <w:ind w:left="1134"/>
        <w:contextualSpacing/>
        <w:rPr>
          <w:bCs/>
          <w:szCs w:val="24"/>
        </w:rPr>
      </w:pPr>
      <w:r w:rsidRPr="004C1787">
        <w:rPr>
          <w:iCs/>
          <w:color w:val="000000"/>
          <w:szCs w:val="24"/>
        </w:rPr>
        <w:t>Магнитно-резонансная томография (МРТ)</w:t>
      </w:r>
      <w:r w:rsidRPr="004C1787">
        <w:rPr>
          <w:i/>
          <w:iCs/>
          <w:color w:val="000000"/>
          <w:szCs w:val="24"/>
        </w:rPr>
        <w:t xml:space="preserve"> </w:t>
      </w:r>
      <w:r w:rsidRPr="004C1787">
        <w:rPr>
          <w:szCs w:val="24"/>
        </w:rPr>
        <w:t>с внутривенным контрастным усилением головного мозга для выявления тромботических изменений в сосудах головного мозга, ишемических инсультов, кровоизлияний в головной мозг. МРТ органов грудной клетки и брюшной полости – при невозможности проведения КТ.</w:t>
      </w:r>
    </w:p>
    <w:p w14:paraId="612A0858" w14:textId="77777777" w:rsidR="001264E7" w:rsidRPr="004C1787" w:rsidRDefault="001264E7" w:rsidP="0091350E">
      <w:pPr>
        <w:pStyle w:val="aff"/>
        <w:numPr>
          <w:ilvl w:val="0"/>
          <w:numId w:val="48"/>
        </w:numPr>
        <w:ind w:left="1134"/>
        <w:contextualSpacing/>
        <w:rPr>
          <w:bCs/>
          <w:szCs w:val="24"/>
        </w:rPr>
      </w:pPr>
      <w:r w:rsidRPr="004C1787">
        <w:rPr>
          <w:iCs/>
          <w:szCs w:val="24"/>
        </w:rPr>
        <w:lastRenderedPageBreak/>
        <w:t xml:space="preserve">Эзофагогастродуоденоскопия (ЭГДС) </w:t>
      </w:r>
      <w:r w:rsidRPr="004C1787">
        <w:rPr>
          <w:szCs w:val="24"/>
        </w:rPr>
        <w:t>с целью определения наличия варикозно расширенных вен пищевода и желудка даже при отсутствии симптоматики портальной гипертензии (в том числе и портальной гипертензионной гастропатии). Этот метод исследования может носить как диагностический, так и лечебный характер в отношении источника возникшего кровотечения. Желудочно-кишечное кровотечение, в том числе и анамнестическое, должно рассматриваться как абсолютное показание к неотложному эндоскопическому исследованию, которое тем эффективнее, чем раньше выполнено от начала кровотечения. Очень важным моментом диагностической ЭГДС является определение источника кровотечения: варикозно расширенные вены пищевода и/или язвы желудка или двенадцатиперстной кишки, а</w:t>
      </w:r>
      <w:r w:rsidRPr="004C1787">
        <w:rPr>
          <w:i/>
          <w:color w:val="4BACC6" w:themeColor="accent5"/>
          <w:szCs w:val="24"/>
        </w:rPr>
        <w:t xml:space="preserve"> </w:t>
      </w:r>
      <w:r w:rsidRPr="004C1787">
        <w:rPr>
          <w:szCs w:val="24"/>
        </w:rPr>
        <w:t>также оценка степени</w:t>
      </w:r>
      <w:r w:rsidRPr="004C1787">
        <w:rPr>
          <w:i/>
          <w:color w:val="4BACC6" w:themeColor="accent5"/>
          <w:szCs w:val="24"/>
        </w:rPr>
        <w:t xml:space="preserve"> </w:t>
      </w:r>
      <w:r w:rsidRPr="004C1787">
        <w:rPr>
          <w:szCs w:val="24"/>
        </w:rPr>
        <w:t>устойчивости гемостаза из обнаруженных источников. Исследование выполняется всем пациентам на этапе диагностики, далее проводится мониторинг при выявлении патологии каждые 6 месяцев, и по показаниям.</w:t>
      </w:r>
    </w:p>
    <w:p w14:paraId="248EFE79" w14:textId="77777777" w:rsidR="001264E7" w:rsidRPr="004C1787" w:rsidRDefault="001264E7" w:rsidP="0091350E">
      <w:pPr>
        <w:pStyle w:val="aff"/>
        <w:numPr>
          <w:ilvl w:val="0"/>
          <w:numId w:val="48"/>
        </w:numPr>
        <w:ind w:left="1134"/>
        <w:contextualSpacing/>
        <w:rPr>
          <w:bCs/>
          <w:szCs w:val="24"/>
        </w:rPr>
      </w:pPr>
      <w:r w:rsidRPr="004C1787">
        <w:rPr>
          <w:iCs/>
          <w:szCs w:val="24"/>
        </w:rPr>
        <w:t xml:space="preserve">Рентгенологическое исследование пищевода и желудка </w:t>
      </w:r>
      <w:r w:rsidRPr="004C1787">
        <w:rPr>
          <w:szCs w:val="24"/>
        </w:rPr>
        <w:t xml:space="preserve">позволяет определить протяжённость варикозного расширения вен по длине пищевода, состояние нижнего пищеводного сфинктера и его функциональные возможности (по показаниям).  </w:t>
      </w:r>
    </w:p>
    <w:p w14:paraId="1CC52E04" w14:textId="77777777" w:rsidR="001264E7" w:rsidRPr="004C1787" w:rsidRDefault="001264E7" w:rsidP="0091350E">
      <w:pPr>
        <w:pStyle w:val="aff"/>
        <w:numPr>
          <w:ilvl w:val="0"/>
          <w:numId w:val="48"/>
        </w:numPr>
        <w:ind w:left="1134"/>
        <w:contextualSpacing/>
        <w:rPr>
          <w:bCs/>
          <w:szCs w:val="24"/>
        </w:rPr>
      </w:pPr>
      <w:r w:rsidRPr="004C1787">
        <w:rPr>
          <w:szCs w:val="24"/>
        </w:rPr>
        <w:t>Контрастные артерио- и венографии выявляют локализацию и анатомические особенности тромботических процессов.</w:t>
      </w:r>
    </w:p>
    <w:p w14:paraId="538322EC" w14:textId="77777777" w:rsidR="001264E7" w:rsidRPr="004C1787" w:rsidRDefault="001264E7" w:rsidP="0091350E">
      <w:pPr>
        <w:pStyle w:val="aff"/>
        <w:numPr>
          <w:ilvl w:val="0"/>
          <w:numId w:val="48"/>
        </w:numPr>
        <w:ind w:left="1134"/>
        <w:contextualSpacing/>
        <w:rPr>
          <w:bCs/>
          <w:szCs w:val="24"/>
        </w:rPr>
      </w:pPr>
      <w:r w:rsidRPr="004C1787">
        <w:rPr>
          <w:szCs w:val="24"/>
        </w:rPr>
        <w:t>ЭхоКГ для оценки легочной гипертензии.</w:t>
      </w:r>
    </w:p>
    <w:p w14:paraId="68DF9EE9" w14:textId="77777777" w:rsidR="001264E7" w:rsidRPr="004C1787" w:rsidRDefault="001264E7" w:rsidP="0091350E">
      <w:pPr>
        <w:pStyle w:val="aff"/>
        <w:numPr>
          <w:ilvl w:val="0"/>
          <w:numId w:val="48"/>
        </w:numPr>
        <w:ind w:left="1134"/>
        <w:contextualSpacing/>
        <w:rPr>
          <w:bCs/>
          <w:szCs w:val="24"/>
        </w:rPr>
      </w:pPr>
      <w:r>
        <w:t>Для установления объема опухолевого поражения и степени компрессии сосудов опухолью возможно проведение по показаниям КТ и УЗИ органов и полостей.</w:t>
      </w:r>
    </w:p>
    <w:p w14:paraId="65E02F0D" w14:textId="77777777" w:rsidR="001264E7" w:rsidRDefault="001264E7" w:rsidP="001264E7">
      <w:pPr>
        <w:pStyle w:val="Numlist"/>
        <w:spacing w:line="360" w:lineRule="auto"/>
        <w:ind w:firstLine="709"/>
        <w:jc w:val="both"/>
        <w:rPr>
          <w:b/>
        </w:rPr>
      </w:pPr>
    </w:p>
    <w:p w14:paraId="647A00D4" w14:textId="64FBAC48" w:rsidR="001264E7" w:rsidRDefault="001264E7" w:rsidP="001264E7">
      <w:pPr>
        <w:pStyle w:val="Numlist"/>
        <w:spacing w:line="360" w:lineRule="auto"/>
        <w:ind w:firstLine="709"/>
        <w:jc w:val="both"/>
      </w:pPr>
      <w:r w:rsidRPr="004C1787">
        <w:rPr>
          <w:bCs/>
          <w:i/>
          <w:iCs/>
        </w:rPr>
        <w:t>Консультации специалистов</w:t>
      </w:r>
      <w:r>
        <w:t xml:space="preserve"> проводятся при необходимости уточнения тактики ведения пациентов с тромботическими осложнениями. По показаниям возможны консультации: ангиохирурга, травматолога-ортопеда, хирурга, уролога, невролога, кардиолога, ревматолога, оториноларинголога, гепатолога и др. специалистов </w:t>
      </w:r>
      <w:r>
        <w:fldChar w:fldCharType="begin" w:fldLock="1"/>
      </w:r>
      <w:r w:rsidR="00312D7F">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[136]","plainTextFormattedCitation":"[136]","previouslyFormattedCitation":"[136]"},"properties":{"noteIndex":0},"schema":"https://github.com/citation-style-language/schema/raw/master/csl-citation.json"}</w:instrText>
      </w:r>
      <w:r>
        <w:fldChar w:fldCharType="separate"/>
      </w:r>
      <w:r w:rsidRPr="001264E7">
        <w:rPr>
          <w:noProof/>
        </w:rPr>
        <w:t>[136]</w:t>
      </w:r>
      <w:r>
        <w:fldChar w:fldCharType="end"/>
      </w:r>
      <w:r>
        <w:t>.</w:t>
      </w:r>
    </w:p>
    <w:p w14:paraId="377EAF91" w14:textId="77777777" w:rsidR="001264E7" w:rsidRDefault="001264E7" w:rsidP="001264E7">
      <w:pPr>
        <w:rPr>
          <w:b/>
          <w:szCs w:val="24"/>
        </w:rPr>
      </w:pPr>
    </w:p>
    <w:p w14:paraId="12220C65" w14:textId="77777777" w:rsidR="001264E7" w:rsidRPr="004C1787" w:rsidRDefault="001264E7" w:rsidP="001264E7">
      <w:pPr>
        <w:rPr>
          <w:bCs/>
          <w:i/>
          <w:iCs/>
          <w:szCs w:val="24"/>
          <w:u w:val="single"/>
        </w:rPr>
      </w:pPr>
      <w:r w:rsidRPr="004C1787">
        <w:rPr>
          <w:bCs/>
          <w:i/>
          <w:iCs/>
          <w:szCs w:val="24"/>
          <w:u w:val="single"/>
        </w:rPr>
        <w:t xml:space="preserve">Общие принципы профилактики ВТЭО у гематологических больных. </w:t>
      </w:r>
    </w:p>
    <w:p w14:paraId="3F423371" w14:textId="77777777" w:rsidR="001264E7" w:rsidRDefault="001264E7" w:rsidP="001264E7">
      <w:pPr>
        <w:pStyle w:val="Numlist"/>
        <w:spacing w:line="360" w:lineRule="auto"/>
        <w:jc w:val="both"/>
      </w:pPr>
      <w:r>
        <w:t xml:space="preserve">Риск тромботических осложнений при проведении ХТ может быть высоким и низким. На высокий риск развития тромботических нарушений указывают тромбозы в анамнезе; привычное невынашивание беременности; одновременное выявление трех и более показателей, характеризующих гиперкоагуляционное состояние, а именно </w:t>
      </w:r>
      <w:r>
        <w:lastRenderedPageBreak/>
        <w:t>укорочение (замедление) АЧТВ, повышение концентрации протромбина, фибриногена, D-димера, угнетение (замедление) XIIa-зависимого фибринолиза; повышение количества тромбоцитов и их агрегабельности; гиперкоагуляция при тромбоэластографии, тромбодинамике, в тесте определения тромбинового потенциала; генетические тромбофилии (мутации генов протромбина G20210A, фактора V Лейден); дефицит АТ III, протеина С и протеина S; гипергомоцистеинемия; наличие АФС; применение овариопротекторов и глюкокортикоидов.</w:t>
      </w:r>
    </w:p>
    <w:p w14:paraId="69BC4B18" w14:textId="77777777" w:rsidR="001264E7" w:rsidRPr="00F855C8" w:rsidRDefault="001264E7" w:rsidP="001264E7">
      <w:pPr>
        <w:rPr>
          <w:szCs w:val="24"/>
        </w:rPr>
      </w:pPr>
      <w:r>
        <w:rPr>
          <w:szCs w:val="24"/>
        </w:rPr>
        <w:t>С целью определения тактики ведения пациента у</w:t>
      </w:r>
      <w:r w:rsidRPr="00F855C8">
        <w:rPr>
          <w:szCs w:val="24"/>
        </w:rPr>
        <w:t xml:space="preserve"> каждого больного должна быть оценена степень риска развития ВТЭО; у больных, получающих лекарственную противоопухолевую терапию, следует учитывать до</w:t>
      </w:r>
      <w:r>
        <w:rPr>
          <w:szCs w:val="24"/>
        </w:rPr>
        <w:t>полнительные факторы риска ВТЭО.</w:t>
      </w:r>
      <w:r w:rsidRPr="00F855C8">
        <w:rPr>
          <w:szCs w:val="24"/>
        </w:rPr>
        <w:t xml:space="preserve"> </w:t>
      </w:r>
    </w:p>
    <w:p w14:paraId="7799B7C6" w14:textId="1BB6409A" w:rsidR="001264E7" w:rsidRPr="00111FC7" w:rsidRDefault="001264E7" w:rsidP="001264E7">
      <w:pPr>
        <w:ind w:firstLine="708"/>
        <w:rPr>
          <w:szCs w:val="24"/>
        </w:rPr>
      </w:pPr>
      <w:r w:rsidRPr="00111FC7">
        <w:rPr>
          <w:szCs w:val="24"/>
        </w:rPr>
        <w:t>Профилактические мероприятия следует проводить у всех больных, относящихся к группам риска</w:t>
      </w:r>
      <w:r>
        <w:rPr>
          <w:szCs w:val="24"/>
        </w:rPr>
        <w:t xml:space="preserve"> </w:t>
      </w:r>
      <w:r>
        <w:fldChar w:fldCharType="begin" w:fldLock="1"/>
      </w:r>
      <w:r w:rsidR="00312D7F">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[136,137]","plainTextFormattedCitation":"[136,137]","previouslyFormattedCitation":"[136,137]"},"properties":{"noteIndex":0},"schema":"https://github.com/citation-style-language/schema/raw/master/csl-citation.json"}</w:instrText>
      </w:r>
      <w:r>
        <w:fldChar w:fldCharType="separate"/>
      </w:r>
      <w:r w:rsidRPr="001264E7">
        <w:rPr>
          <w:noProof/>
        </w:rPr>
        <w:t>[136,137]</w:t>
      </w:r>
      <w:r>
        <w:fldChar w:fldCharType="end"/>
      </w:r>
      <w:r w:rsidRPr="00111FC7">
        <w:rPr>
          <w:szCs w:val="24"/>
        </w:rPr>
        <w:t>:</w:t>
      </w:r>
    </w:p>
    <w:p w14:paraId="5F2C21E3" w14:textId="77777777" w:rsidR="001264E7" w:rsidRDefault="001264E7" w:rsidP="0091350E">
      <w:pPr>
        <w:pStyle w:val="aff"/>
        <w:numPr>
          <w:ilvl w:val="0"/>
          <w:numId w:val="41"/>
        </w:numPr>
        <w:contextualSpacing/>
        <w:rPr>
          <w:szCs w:val="24"/>
        </w:rPr>
      </w:pPr>
      <w:r>
        <w:rPr>
          <w:szCs w:val="24"/>
        </w:rPr>
        <w:t>обеспечение максимально возможной активности мышц нижних конечностей пациентов, находящихся на длительном постельном режиме, местные процедуры, увеличивающие объемный поток крови через глубокие вены нижних конечностей (эластическая компрессия нижних конечностей, перемежающаяся пневмокомпрессия, венозный насос для стопы);</w:t>
      </w:r>
    </w:p>
    <w:p w14:paraId="3B1CDE27" w14:textId="77777777" w:rsidR="001264E7" w:rsidRDefault="001264E7" w:rsidP="0091350E">
      <w:pPr>
        <w:pStyle w:val="aff"/>
        <w:numPr>
          <w:ilvl w:val="0"/>
          <w:numId w:val="41"/>
        </w:numPr>
        <w:contextualSpacing/>
        <w:rPr>
          <w:szCs w:val="24"/>
        </w:rPr>
      </w:pPr>
      <w:r>
        <w:rPr>
          <w:szCs w:val="24"/>
        </w:rPr>
        <w:t>массаж, активные и пассивные нагрузки на верхние конечности, улучшающие циркуляцию крови; механические способы профилактики (компрессионный трикотаж, перемежающаяся пневматическая компрессия);</w:t>
      </w:r>
    </w:p>
    <w:p w14:paraId="5D834C18" w14:textId="77777777" w:rsidR="001264E7" w:rsidRPr="0019724D" w:rsidRDefault="001264E7" w:rsidP="0091350E">
      <w:pPr>
        <w:pStyle w:val="aff"/>
        <w:numPr>
          <w:ilvl w:val="0"/>
          <w:numId w:val="41"/>
        </w:numPr>
        <w:contextualSpacing/>
        <w:rPr>
          <w:szCs w:val="24"/>
        </w:rPr>
      </w:pPr>
      <w:r>
        <w:rPr>
          <w:szCs w:val="24"/>
        </w:rPr>
        <w:t>о</w:t>
      </w:r>
      <w:r w:rsidRPr="0019724D">
        <w:rPr>
          <w:szCs w:val="24"/>
        </w:rPr>
        <w:t xml:space="preserve">собенно важно применять механические способы профилактики при наличии противопоказаний к использованию антикоагулянтов; </w:t>
      </w:r>
    </w:p>
    <w:p w14:paraId="110B0AF7" w14:textId="77777777" w:rsidR="001264E7" w:rsidRDefault="001264E7" w:rsidP="0091350E">
      <w:pPr>
        <w:pStyle w:val="aff"/>
        <w:numPr>
          <w:ilvl w:val="0"/>
          <w:numId w:val="41"/>
        </w:numPr>
        <w:contextualSpacing/>
        <w:rPr>
          <w:szCs w:val="24"/>
        </w:rPr>
      </w:pPr>
      <w:r>
        <w:rPr>
          <w:szCs w:val="24"/>
        </w:rPr>
        <w:t>у больных с крайне высоким риском ВТЭО медикаментозная и механическая профилактика должны сочетаться;</w:t>
      </w:r>
    </w:p>
    <w:p w14:paraId="6FB05BD3" w14:textId="77777777" w:rsidR="001264E7" w:rsidRDefault="001264E7" w:rsidP="0091350E">
      <w:pPr>
        <w:pStyle w:val="aff"/>
        <w:numPr>
          <w:ilvl w:val="0"/>
          <w:numId w:val="41"/>
        </w:numPr>
        <w:contextualSpacing/>
        <w:rPr>
          <w:szCs w:val="24"/>
        </w:rPr>
      </w:pPr>
      <w:r>
        <w:rPr>
          <w:szCs w:val="24"/>
        </w:rPr>
        <w:t xml:space="preserve">проведение лекарственной тромбопрофилактики прямыми (парентеральными и пероральными) и непрямыми антикоагулянтами; </w:t>
      </w:r>
    </w:p>
    <w:p w14:paraId="5BBFB366" w14:textId="77777777" w:rsidR="001264E7" w:rsidRDefault="001264E7" w:rsidP="0091350E">
      <w:pPr>
        <w:pStyle w:val="aff"/>
        <w:numPr>
          <w:ilvl w:val="0"/>
          <w:numId w:val="41"/>
        </w:numPr>
        <w:contextualSpacing/>
        <w:rPr>
          <w:szCs w:val="24"/>
        </w:rPr>
      </w:pPr>
      <w:r>
        <w:rPr>
          <w:szCs w:val="24"/>
        </w:rPr>
        <w:t xml:space="preserve">наличие острого кровотечения является абсолютным противопоказанием к назначению препаратов антикоагулянтного, антитромботического и антиагрегантного действия; </w:t>
      </w:r>
    </w:p>
    <w:p w14:paraId="645232BC" w14:textId="77777777" w:rsidR="001264E7" w:rsidRDefault="001264E7" w:rsidP="0091350E">
      <w:pPr>
        <w:pStyle w:val="aff"/>
        <w:numPr>
          <w:ilvl w:val="0"/>
          <w:numId w:val="41"/>
        </w:numPr>
        <w:contextualSpacing/>
        <w:rPr>
          <w:szCs w:val="24"/>
        </w:rPr>
      </w:pPr>
      <w:r>
        <w:rPr>
          <w:szCs w:val="24"/>
        </w:rPr>
        <w:t xml:space="preserve">установка кава-фильтра в нижней полой вене при повторных ТЭЛА при применении адекватной схемы антикоагулянтной лекарственной профилактики;  </w:t>
      </w:r>
    </w:p>
    <w:p w14:paraId="4071389A" w14:textId="77777777" w:rsidR="001264E7" w:rsidRDefault="001264E7" w:rsidP="0091350E">
      <w:pPr>
        <w:pStyle w:val="aff"/>
        <w:numPr>
          <w:ilvl w:val="0"/>
          <w:numId w:val="41"/>
        </w:numPr>
        <w:contextualSpacing/>
        <w:rPr>
          <w:szCs w:val="24"/>
        </w:rPr>
      </w:pPr>
      <w:r>
        <w:rPr>
          <w:szCs w:val="24"/>
        </w:rPr>
        <w:t xml:space="preserve">у пациентов после оперативных вмешательств - максимальная и возможно более ранняя активизация, включая методы пассивной нагрузки. </w:t>
      </w:r>
    </w:p>
    <w:p w14:paraId="529551C6" w14:textId="77777777" w:rsidR="001264E7" w:rsidRDefault="001264E7" w:rsidP="0091350E">
      <w:pPr>
        <w:pStyle w:val="aff"/>
        <w:numPr>
          <w:ilvl w:val="0"/>
          <w:numId w:val="40"/>
        </w:numPr>
        <w:contextualSpacing/>
        <w:rPr>
          <w:szCs w:val="24"/>
        </w:rPr>
      </w:pPr>
      <w:r>
        <w:rPr>
          <w:szCs w:val="24"/>
        </w:rPr>
        <w:t>Проводить профилактику следует до тех пор, пока сохраняется высокий риск развития тромботических осложнений (месяцы и годы).</w:t>
      </w:r>
    </w:p>
    <w:p w14:paraId="456EED00" w14:textId="77777777" w:rsidR="001264E7" w:rsidRDefault="001264E7" w:rsidP="001264E7">
      <w:pPr>
        <w:pStyle w:val="3"/>
        <w:spacing w:before="0"/>
        <w:ind w:firstLine="709"/>
        <w:rPr>
          <w:rFonts w:ascii="Times New Roman" w:hAnsi="Times New Roman"/>
          <w:b w:val="0"/>
          <w:bCs w:val="0"/>
          <w:i/>
          <w:iCs/>
          <w:sz w:val="24"/>
          <w:szCs w:val="24"/>
          <w:u w:val="single"/>
          <w:lang w:eastAsia="ru-RU"/>
        </w:rPr>
      </w:pPr>
    </w:p>
    <w:p w14:paraId="4B86EB32" w14:textId="77777777" w:rsidR="001264E7" w:rsidRPr="00F149A1" w:rsidRDefault="001264E7" w:rsidP="001264E7">
      <w:pPr>
        <w:pStyle w:val="afd"/>
        <w:spacing w:beforeAutospacing="0" w:afterAutospacing="0" w:line="360" w:lineRule="auto"/>
        <w:rPr>
          <w:i/>
          <w:iCs/>
          <w:u w:val="single"/>
        </w:rPr>
      </w:pPr>
      <w:r w:rsidRPr="00F149A1">
        <w:rPr>
          <w:i/>
          <w:iCs/>
          <w:u w:val="single"/>
        </w:rPr>
        <w:t>Профилактика и лечение тромботических нарушений у онкогематологических пациентов.</w:t>
      </w:r>
    </w:p>
    <w:p w14:paraId="11F9C0F9" w14:textId="18CDB8B9" w:rsidR="001264E7" w:rsidRDefault="001264E7" w:rsidP="001264E7">
      <w:pPr>
        <w:ind w:firstLine="360"/>
        <w:contextualSpacing/>
        <w:rPr>
          <w:rFonts w:eastAsia="Times New Roman"/>
          <w:szCs w:val="24"/>
          <w:lang w:eastAsia="ru-RU"/>
        </w:rPr>
      </w:pPr>
      <w:r>
        <w:rPr>
          <w:rFonts w:eastAsia="Times New Roman"/>
          <w:szCs w:val="24"/>
          <w:lang w:eastAsia="ru-RU"/>
        </w:rPr>
        <w:t xml:space="preserve">При выявлении ВТЭО и определении его давности, локализации, распространенности, назначается соответствующая терапия </w:t>
      </w:r>
      <w:r>
        <w:fldChar w:fldCharType="begin" w:fldLock="1"/>
      </w:r>
      <w:r w:rsidR="00312D7F">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[136,137]","plainTextFormattedCitation":"[136,137]","previouslyFormattedCitation":"[136,137]"},"properties":{"noteIndex":0},"schema":"https://github.com/citation-style-language/schema/raw/master/csl-citation.json"}</w:instrText>
      </w:r>
      <w:r>
        <w:fldChar w:fldCharType="separate"/>
      </w:r>
      <w:r w:rsidRPr="001264E7">
        <w:rPr>
          <w:noProof/>
        </w:rPr>
        <w:t>[136,137]</w:t>
      </w:r>
      <w:r>
        <w:fldChar w:fldCharType="end"/>
      </w:r>
      <w:r>
        <w:rPr>
          <w:rFonts w:eastAsia="Times New Roman"/>
          <w:szCs w:val="24"/>
          <w:lang w:eastAsia="ru-RU"/>
        </w:rPr>
        <w:t>. Терапия должна проводиться в течение всего периода проведения специфической терапии основного гематологического заболевания в стационарных и/или амбулаторных условиях. Пациенты с острыми тромбозами чаще всего нуждаются в госпитализации в стационар.</w:t>
      </w:r>
    </w:p>
    <w:p w14:paraId="356CC1D6" w14:textId="77777777" w:rsidR="001264E7" w:rsidRDefault="001264E7" w:rsidP="001264E7">
      <w:pPr>
        <w:rPr>
          <w:rFonts w:eastAsia="Times New Roman"/>
          <w:szCs w:val="24"/>
          <w:u w:val="single"/>
          <w:lang w:eastAsia="ru-RU"/>
        </w:rPr>
      </w:pPr>
    </w:p>
    <w:p w14:paraId="2854FD1E" w14:textId="77777777" w:rsidR="001264E7" w:rsidRDefault="001264E7" w:rsidP="001264E7">
      <w:pPr>
        <w:rPr>
          <w:rFonts w:eastAsia="Times New Roman"/>
          <w:szCs w:val="24"/>
          <w:u w:val="single"/>
          <w:lang w:eastAsia="ru-RU"/>
        </w:rPr>
      </w:pPr>
      <w:r>
        <w:rPr>
          <w:rFonts w:eastAsia="Times New Roman"/>
          <w:szCs w:val="24"/>
          <w:u w:val="single"/>
          <w:lang w:eastAsia="ru-RU"/>
        </w:rPr>
        <w:t>Медикаментозная терапия.</w:t>
      </w:r>
    </w:p>
    <w:p w14:paraId="5F7F4196" w14:textId="3E8B22C3" w:rsidR="001264E7" w:rsidRPr="003F7AC3" w:rsidRDefault="001264E7" w:rsidP="001264E7">
      <w:pPr>
        <w:ind w:firstLine="708"/>
        <w:rPr>
          <w:rFonts w:eastAsia="Times New Roman"/>
          <w:szCs w:val="24"/>
          <w:lang w:eastAsia="ru-RU"/>
        </w:rPr>
      </w:pPr>
      <w:r w:rsidRPr="003F7AC3">
        <w:rPr>
          <w:rFonts w:eastAsia="Times New Roman"/>
          <w:szCs w:val="24"/>
          <w:lang w:eastAsia="ru-RU"/>
        </w:rPr>
        <w:t>1) Антикоагулянтная терапия</w:t>
      </w:r>
      <w:r>
        <w:rPr>
          <w:rFonts w:eastAsia="Times New Roman"/>
          <w:szCs w:val="24"/>
          <w:lang w:eastAsia="ru-RU"/>
        </w:rPr>
        <w:t xml:space="preserve"> </w:t>
      </w:r>
      <w:r>
        <w:fldChar w:fldCharType="begin" w:fldLock="1"/>
      </w:r>
      <w:r w:rsidR="00312D7F">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терапия","type":"article-journal","volume":"61"},"uris":["http://www.mendeley.com/documents/?uuid=9198cd60-8a8e-46bc-9cfc-b0a20a2d96ea"]},{"id":"ITEM-2","itemData":{"DOI":"10.1016/j.critrevonc.2018.02.003","ISSN":"18790461","PMID":"29548485","abstract":"Venous Thromboembolism (VTE) frequently complicates the course of hematologic malignancies (HM) and its incidence is similar to that observed in high-risk solid tumors. Despite that, pharmacologic prophylaxis and treatment of VTE in patients with HM is challenging, mainly because a severe thrombocytopenia frequently complicates the course of treatments or may be present since diagnosis, thus increasing the risk of bleeding. Therefore, in this setting, safe and effective methods of VTE prophylaxis and treatment have not been well defined and hematologists generally refer to guidelines produced for cancer patients that give indications on anticoagulation in patients with thrombocytopenia. In this review, besides to summarize the incidence and the available data on prophylaxis and treatment of VTE in HM, we give some advices on how to use antithrombotic drugs in patients with HM according to platelets count.","author":[{"dropping-particle":"","family":"Annibali","given":"Ombretta","non-dropping-particle":"","parse-names":false,"suffix":""},{"dropping-particle":"","family":"Napolitano","given":"Mariasanta","non-dropping-particle":"","parse-names":false,"suffix":""},{"dropping-particle":"","family":"Avvisati","given":"Giuseppe","non-dropping-particle":"","parse-names":false,"suffix":""},{"dropping-particle":"","family":"Siragusa","given":"Sergio","non-dropping-particle":"","parse-names":false,"suffix":""}],"container-title":"Critical Reviews in Oncology/Hematology","id":"ITEM-2","issued":{"date-parts":[["2018","4","1"]]},"page":"41-50","publisher":"Elsevier Ireland Ltd","title":"Incidence of venous thromboembolism and use of anticoagulation in hematological malignancies: Critical review of the literature","type":"article","volume":"124"},"uris":["http://www.mendeley.com/documents/?uuid=22f80e37-ad15-39e0-a4bd-123ad1adb983"]},{"id":"ITEM-3","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-3","issued":{"date-parts":[["2010"]]},"number-of-pages":"192","title":"Практическая коагулология","type":"book"},"uris":["http://www.mendeley.com/documents/?uuid=36d7b04e-d654-47d2-a073-3cc2bb6e80ce"]}],"mendeley":{"formattedCitation":"[134,136,137]","plainTextFormattedCitation":"[134,136,137]","previouslyFormattedCitation":"[134,136,137]"},"properties":{"noteIndex":0},"schema":"https://github.com/citation-style-language/schema/raw/master/csl-citation.json"}</w:instrText>
      </w:r>
      <w:r>
        <w:fldChar w:fldCharType="separate"/>
      </w:r>
      <w:r w:rsidRPr="001264E7">
        <w:rPr>
          <w:noProof/>
        </w:rPr>
        <w:t>[134,136,137]</w:t>
      </w:r>
      <w:r>
        <w:fldChar w:fldCharType="end"/>
      </w:r>
      <w:r>
        <w:rPr>
          <w:rFonts w:eastAsia="Times New Roman"/>
          <w:szCs w:val="24"/>
          <w:lang w:eastAsia="ru-RU"/>
        </w:rPr>
        <w:t>.</w:t>
      </w:r>
    </w:p>
    <w:p w14:paraId="30040198" w14:textId="5F7AC0F3" w:rsidR="001264E7" w:rsidRDefault="001264E7" w:rsidP="00B0477D">
      <w:pPr>
        <w:widowControl w:val="0"/>
        <w:ind w:firstLine="709"/>
        <w:rPr>
          <w:rFonts w:eastAsia="Times New Roman"/>
          <w:szCs w:val="24"/>
          <w:lang w:eastAsia="ru-RU"/>
        </w:rPr>
      </w:pPr>
      <w:r>
        <w:rPr>
          <w:rFonts w:eastAsia="Times New Roman"/>
          <w:szCs w:val="24"/>
          <w:lang w:eastAsia="ru-RU"/>
        </w:rPr>
        <w:t>Осуществляется лечение нефракционированным гепарином (НФГ), предпочтительно путем постоянного внутривенного введения при помощи инфузомата</w:t>
      </w:r>
      <w:r w:rsidRPr="00987C04">
        <w:rPr>
          <w:rFonts w:eastAsia="Times New Roman"/>
          <w:szCs w:val="24"/>
          <w:lang w:eastAsia="ru-RU"/>
        </w:rPr>
        <w:t xml:space="preserve"> </w:t>
      </w:r>
      <w:r>
        <w:rPr>
          <w:rFonts w:eastAsia="Times New Roman"/>
          <w:szCs w:val="24"/>
          <w:lang w:eastAsia="ru-RU"/>
        </w:rPr>
        <w:fldChar w:fldCharType="begin" w:fldLock="1"/>
      </w:r>
      <w:r w:rsidR="00312D7F">
        <w:rPr>
          <w:rFonts w:eastAsia="Times New Roman"/>
          <w:szCs w:val="24"/>
          <w:lang w:eastAsia="ru-RU"/>
        </w:rPr>
        <w:instrText>ADDIN CSL_CITATION {"citationItems":[{"id":"ITEM-1","itemData":{"author":[{"dropping-particle":"","family":"Weitz","given":"I. C.","non-dropping-particle":"","parse-names":false,"suffix":""},{"dropping-particle":"","family":"Israel","given":"V. K.","non-dropping-particle":"","parse-names":false,"suffix":""},{"dropping-particle":"","family":"Waisman","given":"James R","non-dropping-particle":"","parse-names":false,"suffix":""},{"dropping-particle":"","family":"Presant","given":"Cary A","non-dropping-particle":"","parse-names":false,"suffix":""},{"dropping-particle":"","family":"Rochanda","given":"Leanne","non-dropping-particle":"","parse-names":false,"suffix":""},{"dropping-particle":"","family":"Liebman","given":"Howard A","non-dropping-particle":"","parse-names":false,"suffix":""}],"container-title":"Thrombosis and Haemostasis","id":"ITEM-1","issue":"2","issued":{"date-parts":[["2002"]]},"page":"213-220","title":"Chemotherapy-induced activation of hemostasis: effect of a low molecular weight heparin (dalteparin sodium) on plasma markers of hemostatic activation","type":"article-journal","volume":"88"},"uris":["http://www.mendeley.com/documents/?uuid=4bd2d375-bafa-4614-b494-989a99e4214d"]}],"mendeley":{"formattedCitation":"[139]","plainTextFormattedCitation":"[139]","previouslyFormattedCitation":"[139]"},"properties":{"noteIndex":0},"schema":"https://github.com/citation-style-language/schema/raw/master/csl-citation.json"}</w:instrText>
      </w:r>
      <w:r>
        <w:rPr>
          <w:rFonts w:eastAsia="Times New Roman"/>
          <w:szCs w:val="24"/>
          <w:lang w:eastAsia="ru-RU"/>
        </w:rPr>
        <w:fldChar w:fldCharType="separate"/>
      </w:r>
      <w:r w:rsidRPr="001264E7">
        <w:rPr>
          <w:rFonts w:eastAsia="Times New Roman"/>
          <w:noProof/>
          <w:szCs w:val="24"/>
          <w:lang w:eastAsia="ru-RU"/>
        </w:rPr>
        <w:t>[139]</w:t>
      </w:r>
      <w:r>
        <w:rPr>
          <w:rFonts w:eastAsia="Times New Roman"/>
          <w:szCs w:val="24"/>
          <w:lang w:eastAsia="ru-RU"/>
        </w:rPr>
        <w:fldChar w:fldCharType="end"/>
      </w:r>
      <w:r>
        <w:rPr>
          <w:rFonts w:eastAsia="Times New Roman"/>
          <w:szCs w:val="24"/>
          <w:lang w:eastAsia="ru-RU"/>
        </w:rPr>
        <w:t xml:space="preserve">. Доза гепарина подбирается по АЧТВ, которое должно составлять 1,5-2 нормы. Начальная доза гепарина составляет 1000 МЕ/час. Профилактические и лечебные режимы введения НФГ представлены в таблицах 1 и 2. </w:t>
      </w:r>
    </w:p>
    <w:p w14:paraId="24BDDF7D" w14:textId="0756E661" w:rsidR="001264E7" w:rsidRDefault="001264E7" w:rsidP="00B0477D">
      <w:pPr>
        <w:widowControl w:val="0"/>
        <w:ind w:firstLine="709"/>
        <w:rPr>
          <w:szCs w:val="24"/>
        </w:rPr>
      </w:pPr>
      <w:r>
        <w:rPr>
          <w:rFonts w:eastAsia="Times New Roman"/>
          <w:szCs w:val="24"/>
          <w:lang w:eastAsia="ru-RU"/>
        </w:rPr>
        <w:t>Если количество тромбоцитов в крови меньше 100 </w:t>
      </w:r>
      <w:r>
        <w:rPr>
          <w:szCs w:val="24"/>
        </w:rPr>
        <w:t>х 1</w:t>
      </w:r>
      <w:r>
        <w:rPr>
          <w:rFonts w:eastAsia="Times New Roman"/>
          <w:szCs w:val="24"/>
          <w:lang w:eastAsia="ru-RU"/>
        </w:rPr>
        <w:t>0</w:t>
      </w:r>
      <w:r>
        <w:rPr>
          <w:rFonts w:eastAsia="Times New Roman"/>
          <w:szCs w:val="24"/>
          <w:vertAlign w:val="superscript"/>
          <w:lang w:eastAsia="ru-RU"/>
        </w:rPr>
        <w:t>9</w:t>
      </w:r>
      <w:r>
        <w:rPr>
          <w:rFonts w:eastAsia="Times New Roman"/>
          <w:szCs w:val="24"/>
          <w:lang w:eastAsia="ru-RU"/>
        </w:rPr>
        <w:t>/л, дозу НФГ снижают вдвое; если меньше 50</w:t>
      </w:r>
      <w:r>
        <w:rPr>
          <w:szCs w:val="24"/>
        </w:rPr>
        <w:t>х1</w:t>
      </w:r>
      <w:r>
        <w:rPr>
          <w:rFonts w:eastAsia="Times New Roman"/>
          <w:szCs w:val="24"/>
          <w:lang w:eastAsia="ru-RU"/>
        </w:rPr>
        <w:t>0</w:t>
      </w:r>
      <w:r>
        <w:rPr>
          <w:rFonts w:eastAsia="Times New Roman"/>
          <w:szCs w:val="24"/>
          <w:vertAlign w:val="superscript"/>
          <w:lang w:eastAsia="ru-RU"/>
        </w:rPr>
        <w:t>9</w:t>
      </w:r>
      <w:r>
        <w:rPr>
          <w:rFonts w:eastAsia="Times New Roman"/>
          <w:szCs w:val="24"/>
          <w:lang w:eastAsia="ru-RU"/>
        </w:rPr>
        <w:t>/л, НФГ отменяют. При развитии геморрагического синдрома любой тяжести введение НФГ прекращают и вводят протамина сульфат или свежезамороженную плазму (СЗП) 10</w:t>
      </w:r>
      <w:r>
        <w:rPr>
          <w:i/>
          <w:szCs w:val="24"/>
        </w:rPr>
        <w:t>—</w:t>
      </w:r>
      <w:r>
        <w:rPr>
          <w:rFonts w:eastAsia="Times New Roman"/>
          <w:szCs w:val="24"/>
          <w:lang w:eastAsia="ru-RU"/>
        </w:rPr>
        <w:t xml:space="preserve">15 мл на кг массы тела. При гепаринотерапии обязателен контроль количества тромбоцитов в крови каждые 2-3 дня. В случае развития гепарин-индуцированной тромбоцитопении </w:t>
      </w:r>
      <w:r>
        <w:rPr>
          <w:rFonts w:eastAsia="Times New Roman"/>
          <w:szCs w:val="24"/>
          <w:lang w:val="en-US" w:eastAsia="ru-RU"/>
        </w:rPr>
        <w:t>II</w:t>
      </w:r>
      <w:r>
        <w:rPr>
          <w:rFonts w:eastAsia="Times New Roman"/>
          <w:szCs w:val="24"/>
          <w:lang w:eastAsia="ru-RU"/>
        </w:rPr>
        <w:t xml:space="preserve"> типа (ГИТ </w:t>
      </w:r>
      <w:r>
        <w:rPr>
          <w:rFonts w:eastAsia="Times New Roman"/>
          <w:szCs w:val="24"/>
          <w:lang w:val="en-US" w:eastAsia="ru-RU"/>
        </w:rPr>
        <w:t>II</w:t>
      </w:r>
      <w:r>
        <w:rPr>
          <w:rFonts w:eastAsia="Times New Roman"/>
          <w:szCs w:val="24"/>
          <w:lang w:eastAsia="ru-RU"/>
        </w:rPr>
        <w:t>) любые формы гепарина отменяются, не допускается промывка гепарином катетеров. При этом с антикоагулянтной целью применяются фондапаринукс или прямые оральные антикоагулянты (</w:t>
      </w:r>
      <w:r>
        <w:rPr>
          <w:szCs w:val="24"/>
        </w:rPr>
        <w:t>ривароксабан, дабигатран, апиксабан)</w:t>
      </w:r>
      <w:r w:rsidRPr="00E425CD">
        <w:rPr>
          <w:szCs w:val="24"/>
        </w:rPr>
        <w:t xml:space="preserve"> </w:t>
      </w:r>
      <w:r>
        <w:rPr>
          <w:szCs w:val="24"/>
        </w:rPr>
        <w:fldChar w:fldCharType="begin" w:fldLock="1"/>
      </w:r>
      <w:r w:rsidR="00312D7F">
        <w:rPr>
          <w:szCs w:val="24"/>
        </w:rPr>
        <w:instrText>ADDIN CSL_CITATION {"citationItems":[{"id":"ITEM-1","itemData":{"DOI":"10.1016/j.thromres.2015.01.009","ISSN":"18792472","PMID":"25613925","abstract":"Background Heparin induced thrombocytopenia (HIT) is a potentially catastrophic syndrome with a high incidence of vascular thrombosis. There are little data on the efficacy of new oral anticoagulants (NOAC) in this setting. This study reports on the outcome of patients with HIT, treated with NOAC. Materials and Methods We retrospectively identified 22 patients with HIT who were treated by our group with a combination of NOAC and a short course of argatroban. These patients were evaluated in a prospective fashion for development of outcomes at a mean follow up of 19 ± 3 months. Results There were a total of 5 deep and 2 superficial vein thromboses diagnosed at index hospitalization. No patient developed arterial thrombosis. All patients tolerated NOAC and their platelet count normalized before discharge. At 19 months of follow-up, 6 patients had died of non-thrombotic causes. There was no bleeding, limb loss or recurrent venous thromboembolism in any patient. Conclusions In patients with HIT, a short course of parenteral treatment with argatroban followed by administration of a NOAC is highly safe and effective in prevention of thrombosis and normalization of platelet count. Development of HIT however, portends a poor prognosis independent of vascular thrombosis.","author":[{"dropping-particle":"","family":"Sharifi","given":"Mohsen","non-dropping-particle":"","parse-names":false,"suffix":""},{"dropping-particle":"","family":"Bay","given":"Curt","non-dropping-particle":"","parse-names":false,"suffix":""},{"dropping-particle":"","family":"Vajo","given":"Zoltan","non-dropping-particle":"","parse-names":false,"suffix":""},{"dropping-particle":"","family":"Freeman","given":"Wilbur","non-dropping-particle":"","parse-names":false,"suffix":""},{"dropping-particle":"","family":"Sharifi","given":"Mirali","non-dropping-particle":"","parse-names":false,"suffix":""},{"dropping-particle":"","family":"Schwartz","given":"Frederic","non-dropping-particle":"","parse-names":false,"suffix":""}],"container-title":"Thrombosis Research","id":"ITEM-1","issue":"4","issued":{"date-parts":[["2015","4","1"]]},"page":"607-609","publisher":"Elsevier Ltd","title":"New oral anticoagulants in the treatment of heparin- Induced thrombocytopenia","type":"article-journal","volume":"135"},"uris":["http://www.mendeley.com/documents/?uuid=c18762a2-54f4-3dcb-8daf-003be3aa9168"]}],"mendeley":{"formattedCitation":"[140]","plainTextFormattedCitation":"[140]","previouslyFormattedCitation":"[140]"},"properties":{"noteIndex":0},"schema":"https://github.com/citation-style-language/schema/raw/master/csl-citation.json"}</w:instrText>
      </w:r>
      <w:r>
        <w:rPr>
          <w:szCs w:val="24"/>
        </w:rPr>
        <w:fldChar w:fldCharType="separate"/>
      </w:r>
      <w:r w:rsidRPr="001264E7">
        <w:rPr>
          <w:noProof/>
          <w:szCs w:val="24"/>
        </w:rPr>
        <w:t>[140]</w:t>
      </w:r>
      <w:r>
        <w:rPr>
          <w:szCs w:val="24"/>
        </w:rPr>
        <w:fldChar w:fldCharType="end"/>
      </w:r>
      <w:r>
        <w:rPr>
          <w:szCs w:val="24"/>
        </w:rPr>
        <w:t xml:space="preserve">. </w:t>
      </w:r>
    </w:p>
    <w:p w14:paraId="23338BE3" w14:textId="77777777" w:rsidR="001264E7" w:rsidRDefault="001264E7" w:rsidP="00B0477D">
      <w:pPr>
        <w:widowControl w:val="0"/>
        <w:ind w:firstLine="709"/>
        <w:rPr>
          <w:szCs w:val="24"/>
        </w:rPr>
      </w:pPr>
      <w:r>
        <w:rPr>
          <w:szCs w:val="24"/>
        </w:rPr>
        <w:t>ГИТ необходимо дифференцировать с миелотоксической тромбоцитопенией. Дифференциальным признаком является панцитопения при миелотоксичности и изолированная тромбоцитопения при ГИТ. Изолированное снижение тромбоцитов может быть и при инфекционных осложнениях – как признак потребления при микротромбировании.</w:t>
      </w:r>
    </w:p>
    <w:p w14:paraId="0B8A5644" w14:textId="77777777" w:rsidR="001264E7" w:rsidRDefault="001264E7" w:rsidP="00B0477D">
      <w:pPr>
        <w:widowControl w:val="0"/>
        <w:ind w:firstLine="709"/>
        <w:rPr>
          <w:rFonts w:eastAsia="Times New Roman"/>
          <w:szCs w:val="24"/>
          <w:lang w:eastAsia="ru-RU"/>
        </w:rPr>
      </w:pPr>
      <w:r>
        <w:rPr>
          <w:rFonts w:eastAsia="Times New Roman"/>
          <w:szCs w:val="24"/>
          <w:lang w:eastAsia="ru-RU"/>
        </w:rPr>
        <w:t>Альтернативой НФГ является подкожное введение низкомолекулярного гепарина (НМГ). Доза подбирается из расчета 100 анти-</w:t>
      </w:r>
      <w:r>
        <w:rPr>
          <w:rFonts w:eastAsia="Times New Roman"/>
          <w:szCs w:val="24"/>
          <w:lang w:val="en-US" w:eastAsia="ru-RU"/>
        </w:rPr>
        <w:t>Xa</w:t>
      </w:r>
      <w:r>
        <w:rPr>
          <w:rFonts w:eastAsia="Times New Roman"/>
          <w:szCs w:val="24"/>
          <w:lang w:eastAsia="ru-RU"/>
        </w:rPr>
        <w:t xml:space="preserve"> МЕ на кг массы тела. Препарат НМГ вводится подкожно 1-2 раза в день. Профилактические и лечебные режимы введения НМГ представлены в таблицах 1 и 2. </w:t>
      </w:r>
    </w:p>
    <w:p w14:paraId="551C172A" w14:textId="77777777" w:rsidR="001264E7" w:rsidRDefault="001264E7" w:rsidP="00B0477D">
      <w:pPr>
        <w:ind w:firstLine="709"/>
        <w:rPr>
          <w:rFonts w:eastAsia="Times New Roman"/>
          <w:szCs w:val="24"/>
          <w:lang w:eastAsia="ru-RU"/>
        </w:rPr>
      </w:pPr>
      <w:r>
        <w:rPr>
          <w:rFonts w:eastAsia="Times New Roman"/>
          <w:szCs w:val="24"/>
          <w:lang w:eastAsia="ru-RU"/>
        </w:rPr>
        <w:t>Для контроля используется анти-</w:t>
      </w:r>
      <w:r>
        <w:rPr>
          <w:rFonts w:eastAsia="Times New Roman"/>
          <w:szCs w:val="24"/>
          <w:lang w:val="en-US" w:eastAsia="ru-RU"/>
        </w:rPr>
        <w:t>X</w:t>
      </w:r>
      <w:r>
        <w:rPr>
          <w:rFonts w:eastAsia="Times New Roman"/>
          <w:szCs w:val="24"/>
          <w:lang w:eastAsia="ru-RU"/>
        </w:rPr>
        <w:t>а активность, максимальный пик которой должен составлять 0,3-1,0 МЕ/мл через 3-4 часа после введения НМГ, а именно:</w:t>
      </w:r>
    </w:p>
    <w:p w14:paraId="31B18365" w14:textId="77777777" w:rsidR="001264E7" w:rsidRDefault="001264E7" w:rsidP="0091350E">
      <w:pPr>
        <w:pStyle w:val="aff"/>
        <w:numPr>
          <w:ilvl w:val="0"/>
          <w:numId w:val="40"/>
        </w:numPr>
        <w:ind w:left="1134"/>
        <w:contextualSpacing/>
        <w:rPr>
          <w:szCs w:val="24"/>
        </w:rPr>
      </w:pPr>
      <w:r>
        <w:rPr>
          <w:szCs w:val="24"/>
        </w:rPr>
        <w:lastRenderedPageBreak/>
        <w:t xml:space="preserve">при профилактической дозе НМГ – 0,3-0,4 МЕ/мл плазмы, </w:t>
      </w:r>
    </w:p>
    <w:p w14:paraId="020A8B11" w14:textId="77777777" w:rsidR="001264E7" w:rsidRDefault="001264E7" w:rsidP="0091350E">
      <w:pPr>
        <w:pStyle w:val="aff"/>
        <w:numPr>
          <w:ilvl w:val="0"/>
          <w:numId w:val="42"/>
        </w:numPr>
        <w:ind w:left="1134"/>
        <w:contextualSpacing/>
        <w:rPr>
          <w:szCs w:val="24"/>
        </w:rPr>
      </w:pPr>
      <w:r>
        <w:rPr>
          <w:szCs w:val="24"/>
        </w:rPr>
        <w:t>при лечебной дозе НМГ при введении 2 р/сут – 0,5-1,0 МЕ/мл плазмы,</w:t>
      </w:r>
    </w:p>
    <w:p w14:paraId="6985C8B1" w14:textId="77777777" w:rsidR="001264E7" w:rsidRDefault="001264E7" w:rsidP="0091350E">
      <w:pPr>
        <w:pStyle w:val="aff"/>
        <w:numPr>
          <w:ilvl w:val="0"/>
          <w:numId w:val="42"/>
        </w:numPr>
        <w:ind w:left="1134"/>
        <w:contextualSpacing/>
        <w:rPr>
          <w:szCs w:val="24"/>
        </w:rPr>
      </w:pPr>
      <w:r>
        <w:rPr>
          <w:szCs w:val="24"/>
        </w:rPr>
        <w:t>при лечебной дозе НМГ при введении 1 р/сут – 1,0-2,0 МЕ/мл плазмы.</w:t>
      </w:r>
    </w:p>
    <w:p w14:paraId="4C710D03" w14:textId="77777777" w:rsidR="001264E7" w:rsidRDefault="001264E7" w:rsidP="001264E7">
      <w:pPr>
        <w:ind w:left="708"/>
        <w:rPr>
          <w:bCs/>
          <w:szCs w:val="24"/>
        </w:rPr>
      </w:pPr>
    </w:p>
    <w:p w14:paraId="280D0D59" w14:textId="77777777" w:rsidR="001264E7" w:rsidRPr="00B46409" w:rsidRDefault="001264E7" w:rsidP="001264E7">
      <w:pPr>
        <w:rPr>
          <w:bCs/>
          <w:szCs w:val="24"/>
        </w:rPr>
      </w:pPr>
      <w:r>
        <w:rPr>
          <w:bCs/>
          <w:szCs w:val="24"/>
        </w:rPr>
        <w:t>Таблица 1</w:t>
      </w:r>
      <w:r w:rsidRPr="00B46409">
        <w:rPr>
          <w:bCs/>
          <w:szCs w:val="24"/>
        </w:rPr>
        <w:t xml:space="preserve">. Дозы антикоагулянтных препаратов </w:t>
      </w:r>
      <w:r w:rsidRPr="00B46409">
        <w:rPr>
          <w:bCs/>
          <w:iCs/>
          <w:szCs w:val="24"/>
        </w:rPr>
        <w:t>для профилактики</w:t>
      </w:r>
      <w:r>
        <w:rPr>
          <w:bCs/>
          <w:iCs/>
          <w:szCs w:val="24"/>
        </w:rPr>
        <w:t xml:space="preserve"> </w:t>
      </w:r>
      <w:r w:rsidRPr="00B46409">
        <w:rPr>
          <w:bCs/>
          <w:szCs w:val="24"/>
        </w:rPr>
        <w:t>тромботических осложнений</w:t>
      </w:r>
    </w:p>
    <w:tbl>
      <w:tblPr>
        <w:tblStyle w:val="1f4"/>
        <w:tblW w:w="867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998"/>
        <w:gridCol w:w="4678"/>
      </w:tblGrid>
      <w:tr w:rsidR="001264E7" w:rsidRPr="00B46409" w14:paraId="1CBD4D53" w14:textId="77777777" w:rsidTr="005A428D">
        <w:trPr>
          <w:trHeight w:val="452"/>
        </w:trPr>
        <w:tc>
          <w:tcPr>
            <w:tcW w:w="3998" w:type="dxa"/>
            <w:shd w:val="clear" w:color="auto" w:fill="auto"/>
          </w:tcPr>
          <w:p w14:paraId="17C5E055" w14:textId="77777777" w:rsidR="001264E7" w:rsidRPr="00B46409" w:rsidRDefault="001264E7" w:rsidP="005A428D">
            <w:pPr>
              <w:jc w:val="center"/>
              <w:rPr>
                <w:rFonts w:cs="Times New Roman"/>
                <w:bCs/>
                <w:szCs w:val="24"/>
              </w:rPr>
            </w:pPr>
            <w:r w:rsidRPr="00B46409">
              <w:rPr>
                <w:rFonts w:eastAsiaTheme="majorEastAsia" w:cs="Times New Roman"/>
                <w:bCs/>
                <w:szCs w:val="24"/>
              </w:rPr>
              <w:t>Терапия</w:t>
            </w:r>
          </w:p>
        </w:tc>
        <w:tc>
          <w:tcPr>
            <w:tcW w:w="4678" w:type="dxa"/>
            <w:shd w:val="clear" w:color="auto" w:fill="auto"/>
          </w:tcPr>
          <w:p w14:paraId="1D3BDDEB" w14:textId="77777777" w:rsidR="001264E7" w:rsidRPr="00B46409" w:rsidRDefault="001264E7" w:rsidP="005A428D">
            <w:pPr>
              <w:jc w:val="center"/>
              <w:rPr>
                <w:rFonts w:cs="Times New Roman"/>
                <w:bCs/>
                <w:szCs w:val="24"/>
              </w:rPr>
            </w:pPr>
            <w:r w:rsidRPr="00B46409">
              <w:rPr>
                <w:rFonts w:eastAsiaTheme="majorEastAsia" w:cs="Times New Roman"/>
                <w:bCs/>
                <w:szCs w:val="24"/>
              </w:rPr>
              <w:t>Дозы</w:t>
            </w:r>
          </w:p>
        </w:tc>
      </w:tr>
      <w:tr w:rsidR="001264E7" w:rsidRPr="00B46409" w14:paraId="7F964BC7" w14:textId="77777777" w:rsidTr="005A428D">
        <w:trPr>
          <w:trHeight w:val="452"/>
        </w:trPr>
        <w:tc>
          <w:tcPr>
            <w:tcW w:w="3998" w:type="dxa"/>
            <w:shd w:val="clear" w:color="auto" w:fill="auto"/>
          </w:tcPr>
          <w:p w14:paraId="254C3189" w14:textId="77777777" w:rsidR="001264E7" w:rsidRPr="00B46409" w:rsidRDefault="001264E7" w:rsidP="005A428D">
            <w:pPr>
              <w:rPr>
                <w:rFonts w:cs="Times New Roman"/>
                <w:bCs/>
                <w:szCs w:val="24"/>
              </w:rPr>
            </w:pPr>
            <w:r w:rsidRPr="00B46409">
              <w:rPr>
                <w:rFonts w:eastAsiaTheme="majorEastAsia" w:cs="Times New Roman"/>
                <w:bCs/>
                <w:szCs w:val="24"/>
              </w:rPr>
              <w:t>Нефракционированный гепарин</w:t>
            </w:r>
          </w:p>
        </w:tc>
        <w:tc>
          <w:tcPr>
            <w:tcW w:w="4678" w:type="dxa"/>
            <w:shd w:val="clear" w:color="auto" w:fill="auto"/>
          </w:tcPr>
          <w:p w14:paraId="77151A13" w14:textId="77777777" w:rsidR="001264E7" w:rsidRPr="00B46409" w:rsidRDefault="001264E7" w:rsidP="005A428D">
            <w:pPr>
              <w:rPr>
                <w:rFonts w:cs="Times New Roman"/>
                <w:bCs/>
                <w:szCs w:val="24"/>
              </w:rPr>
            </w:pPr>
            <w:r>
              <w:rPr>
                <w:rFonts w:eastAsiaTheme="majorEastAsia" w:cs="Times New Roman"/>
                <w:bCs/>
                <w:szCs w:val="24"/>
              </w:rPr>
              <w:t>500 МЕ/час</w:t>
            </w:r>
            <w:r w:rsidRPr="00B46409">
              <w:rPr>
                <w:rFonts w:eastAsiaTheme="majorEastAsia" w:cs="Times New Roman"/>
                <w:bCs/>
                <w:szCs w:val="24"/>
              </w:rPr>
              <w:t xml:space="preserve"> </w:t>
            </w:r>
            <w:r>
              <w:rPr>
                <w:rFonts w:eastAsiaTheme="majorEastAsia" w:cs="Times New Roman"/>
                <w:bCs/>
                <w:szCs w:val="24"/>
              </w:rPr>
              <w:t>в/в непрерывно</w:t>
            </w:r>
            <w:r w:rsidRPr="00A4634E">
              <w:rPr>
                <w:rFonts w:eastAsia="Times New Roman" w:cs="Times New Roman"/>
                <w:bCs/>
                <w:color w:val="000000" w:themeColor="dark1" w:themeShade="BF"/>
                <w:kern w:val="2"/>
                <w:szCs w:val="24"/>
                <w:lang w:eastAsia="ru-RU"/>
              </w:rPr>
              <w:t xml:space="preserve"> под контролем АЧТВ</w:t>
            </w:r>
          </w:p>
        </w:tc>
      </w:tr>
      <w:tr w:rsidR="001264E7" w:rsidRPr="00B46409" w14:paraId="07BC7CD4" w14:textId="77777777" w:rsidTr="005A428D">
        <w:trPr>
          <w:trHeight w:val="452"/>
        </w:trPr>
        <w:tc>
          <w:tcPr>
            <w:tcW w:w="3998" w:type="dxa"/>
            <w:shd w:val="clear" w:color="auto" w:fill="auto"/>
          </w:tcPr>
          <w:p w14:paraId="43E5FB51" w14:textId="77777777" w:rsidR="001264E7" w:rsidRPr="00B46409" w:rsidRDefault="001264E7" w:rsidP="005A428D">
            <w:pPr>
              <w:rPr>
                <w:rFonts w:cs="Times New Roman"/>
                <w:bCs/>
                <w:szCs w:val="24"/>
              </w:rPr>
            </w:pPr>
            <w:r w:rsidRPr="00B46409">
              <w:rPr>
                <w:rFonts w:eastAsiaTheme="majorEastAsia" w:cs="Times New Roman"/>
                <w:bCs/>
                <w:szCs w:val="24"/>
              </w:rPr>
              <w:t>Далтепарин натрия</w:t>
            </w:r>
          </w:p>
        </w:tc>
        <w:tc>
          <w:tcPr>
            <w:tcW w:w="4678" w:type="dxa"/>
            <w:shd w:val="clear" w:color="auto" w:fill="auto"/>
          </w:tcPr>
          <w:p w14:paraId="68E72D29" w14:textId="77777777" w:rsidR="001264E7" w:rsidRPr="00B46409" w:rsidRDefault="001264E7" w:rsidP="005A428D">
            <w:pPr>
              <w:rPr>
                <w:rFonts w:cs="Times New Roman"/>
                <w:bCs/>
                <w:szCs w:val="24"/>
              </w:rPr>
            </w:pPr>
            <w:r w:rsidRPr="00B46409">
              <w:rPr>
                <w:rFonts w:eastAsiaTheme="majorEastAsia" w:cs="Times New Roman"/>
                <w:bCs/>
                <w:szCs w:val="24"/>
              </w:rPr>
              <w:t>5000 МЕ 1 раз в день, п/к</w:t>
            </w:r>
          </w:p>
        </w:tc>
      </w:tr>
      <w:tr w:rsidR="001264E7" w:rsidRPr="00B46409" w14:paraId="21E8E6A5" w14:textId="77777777" w:rsidTr="005A428D">
        <w:trPr>
          <w:trHeight w:val="452"/>
        </w:trPr>
        <w:tc>
          <w:tcPr>
            <w:tcW w:w="3998" w:type="dxa"/>
            <w:shd w:val="clear" w:color="auto" w:fill="auto"/>
          </w:tcPr>
          <w:p w14:paraId="650D78F3" w14:textId="77777777" w:rsidR="001264E7" w:rsidRPr="00B46409" w:rsidRDefault="001264E7" w:rsidP="005A428D">
            <w:pPr>
              <w:rPr>
                <w:rFonts w:cs="Times New Roman"/>
                <w:bCs/>
                <w:szCs w:val="24"/>
              </w:rPr>
            </w:pPr>
            <w:r w:rsidRPr="00B46409">
              <w:rPr>
                <w:rFonts w:eastAsiaTheme="majorEastAsia" w:cs="Times New Roman"/>
                <w:bCs/>
                <w:szCs w:val="24"/>
              </w:rPr>
              <w:t>Эноксапарин натрия</w:t>
            </w:r>
          </w:p>
        </w:tc>
        <w:tc>
          <w:tcPr>
            <w:tcW w:w="4678" w:type="dxa"/>
            <w:shd w:val="clear" w:color="auto" w:fill="auto"/>
          </w:tcPr>
          <w:p w14:paraId="50E5FB5C" w14:textId="77777777" w:rsidR="001264E7" w:rsidRPr="00B46409" w:rsidRDefault="001264E7" w:rsidP="005A428D">
            <w:pPr>
              <w:rPr>
                <w:rFonts w:cs="Times New Roman"/>
                <w:bCs/>
                <w:szCs w:val="24"/>
              </w:rPr>
            </w:pPr>
            <w:r w:rsidRPr="00B46409">
              <w:rPr>
                <w:rFonts w:eastAsiaTheme="majorEastAsia" w:cs="Times New Roman"/>
                <w:bCs/>
                <w:szCs w:val="24"/>
              </w:rPr>
              <w:t>0,4 мл 1 раз в день, п/к</w:t>
            </w:r>
          </w:p>
        </w:tc>
      </w:tr>
      <w:tr w:rsidR="001264E7" w:rsidRPr="00B46409" w14:paraId="564BE623" w14:textId="77777777" w:rsidTr="005A428D">
        <w:trPr>
          <w:trHeight w:val="452"/>
        </w:trPr>
        <w:tc>
          <w:tcPr>
            <w:tcW w:w="3998" w:type="dxa"/>
            <w:shd w:val="clear" w:color="auto" w:fill="auto"/>
          </w:tcPr>
          <w:p w14:paraId="7EE502D5" w14:textId="77777777" w:rsidR="001264E7" w:rsidRPr="00B46409" w:rsidRDefault="001264E7" w:rsidP="005A428D">
            <w:pPr>
              <w:rPr>
                <w:rFonts w:cs="Times New Roman"/>
                <w:bCs/>
                <w:szCs w:val="24"/>
              </w:rPr>
            </w:pPr>
            <w:r w:rsidRPr="00B46409">
              <w:rPr>
                <w:rFonts w:eastAsiaTheme="majorEastAsia" w:cs="Times New Roman"/>
                <w:bCs/>
                <w:szCs w:val="24"/>
              </w:rPr>
              <w:t>Надропарин кальция</w:t>
            </w:r>
          </w:p>
        </w:tc>
        <w:tc>
          <w:tcPr>
            <w:tcW w:w="4678" w:type="dxa"/>
            <w:shd w:val="clear" w:color="auto" w:fill="auto"/>
          </w:tcPr>
          <w:p w14:paraId="32AA9CBE" w14:textId="77777777" w:rsidR="001264E7" w:rsidRPr="00B46409" w:rsidRDefault="001264E7" w:rsidP="005A428D">
            <w:pPr>
              <w:rPr>
                <w:rFonts w:cs="Times New Roman"/>
                <w:bCs/>
                <w:szCs w:val="24"/>
              </w:rPr>
            </w:pPr>
            <w:r w:rsidRPr="00B46409">
              <w:rPr>
                <w:rFonts w:eastAsiaTheme="majorEastAsia" w:cs="Times New Roman"/>
                <w:bCs/>
                <w:szCs w:val="24"/>
              </w:rPr>
              <w:t>0,3 мл 1 раз в день, п/к</w:t>
            </w:r>
          </w:p>
        </w:tc>
      </w:tr>
      <w:tr w:rsidR="001264E7" w:rsidRPr="00B46409" w14:paraId="108D7B02" w14:textId="77777777" w:rsidTr="005A428D">
        <w:trPr>
          <w:trHeight w:val="452"/>
        </w:trPr>
        <w:tc>
          <w:tcPr>
            <w:tcW w:w="3998" w:type="dxa"/>
            <w:shd w:val="clear" w:color="auto" w:fill="auto"/>
          </w:tcPr>
          <w:p w14:paraId="38C8A0A3" w14:textId="77777777" w:rsidR="001264E7" w:rsidRPr="00B46409" w:rsidRDefault="001264E7" w:rsidP="005A428D">
            <w:pPr>
              <w:rPr>
                <w:rFonts w:cs="Times New Roman"/>
                <w:bCs/>
                <w:szCs w:val="24"/>
              </w:rPr>
            </w:pPr>
            <w:r w:rsidRPr="00B46409">
              <w:rPr>
                <w:rFonts w:eastAsiaTheme="majorEastAsia" w:cs="Times New Roman"/>
                <w:bCs/>
                <w:szCs w:val="24"/>
              </w:rPr>
              <w:t>Фондапаринукс натрия</w:t>
            </w:r>
          </w:p>
        </w:tc>
        <w:tc>
          <w:tcPr>
            <w:tcW w:w="4678" w:type="dxa"/>
            <w:shd w:val="clear" w:color="auto" w:fill="auto"/>
          </w:tcPr>
          <w:p w14:paraId="03C7517B" w14:textId="77777777" w:rsidR="001264E7" w:rsidRPr="00B46409" w:rsidRDefault="001264E7" w:rsidP="005A428D">
            <w:pPr>
              <w:rPr>
                <w:rFonts w:cs="Times New Roman"/>
                <w:bCs/>
                <w:szCs w:val="24"/>
              </w:rPr>
            </w:pPr>
            <w:r w:rsidRPr="00B46409">
              <w:rPr>
                <w:rFonts w:eastAsiaTheme="majorEastAsia" w:cs="Times New Roman"/>
                <w:bCs/>
                <w:szCs w:val="24"/>
              </w:rPr>
              <w:t>2,5 мг 1 раз в день, п/к</w:t>
            </w:r>
          </w:p>
        </w:tc>
      </w:tr>
      <w:tr w:rsidR="001264E7" w:rsidRPr="00B46409" w14:paraId="731D5FE8" w14:textId="77777777" w:rsidTr="005A428D">
        <w:trPr>
          <w:trHeight w:val="452"/>
        </w:trPr>
        <w:tc>
          <w:tcPr>
            <w:tcW w:w="3998" w:type="dxa"/>
            <w:shd w:val="clear" w:color="auto" w:fill="auto"/>
          </w:tcPr>
          <w:p w14:paraId="1EB4AC5B" w14:textId="77777777" w:rsidR="001264E7" w:rsidRPr="00A4634E" w:rsidRDefault="001264E7" w:rsidP="005A428D">
            <w:pPr>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Варфарин</w:t>
            </w:r>
          </w:p>
        </w:tc>
        <w:tc>
          <w:tcPr>
            <w:tcW w:w="4678" w:type="dxa"/>
            <w:shd w:val="clear" w:color="auto" w:fill="auto"/>
          </w:tcPr>
          <w:p w14:paraId="1444F47B" w14:textId="77777777" w:rsidR="001264E7" w:rsidRPr="00A4634E" w:rsidRDefault="001264E7" w:rsidP="005A428D">
            <w:pPr>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 xml:space="preserve">Перорально, </w:t>
            </w:r>
            <w:r>
              <w:rPr>
                <w:rFonts w:eastAsia="Times New Roman" w:cs="Times New Roman"/>
                <w:bCs/>
                <w:color w:val="000000" w:themeColor="dark1" w:themeShade="BF"/>
                <w:kern w:val="2"/>
                <w:szCs w:val="24"/>
                <w:lang w:eastAsia="ru-RU"/>
              </w:rPr>
              <w:t>под контролем МНО (ц</w:t>
            </w:r>
            <w:r w:rsidRPr="00A4634E">
              <w:rPr>
                <w:rFonts w:eastAsia="Times New Roman" w:cs="Times New Roman"/>
                <w:bCs/>
                <w:color w:val="000000" w:themeColor="dark1" w:themeShade="BF"/>
                <w:kern w:val="2"/>
                <w:szCs w:val="24"/>
                <w:lang w:eastAsia="ru-RU"/>
              </w:rPr>
              <w:t>елевые значе</w:t>
            </w:r>
            <w:r>
              <w:rPr>
                <w:rFonts w:eastAsia="Times New Roman" w:cs="Times New Roman"/>
                <w:bCs/>
                <w:color w:val="000000" w:themeColor="dark1" w:themeShade="BF"/>
                <w:kern w:val="2"/>
                <w:szCs w:val="24"/>
                <w:lang w:eastAsia="ru-RU"/>
              </w:rPr>
              <w:t>ния МНО: 2.0-2.5)</w:t>
            </w:r>
            <w:r w:rsidRPr="00A4634E">
              <w:rPr>
                <w:rFonts w:eastAsia="Times New Roman" w:cs="Times New Roman"/>
                <w:bCs/>
                <w:color w:val="000000" w:themeColor="dark1" w:themeShade="BF"/>
                <w:kern w:val="2"/>
                <w:szCs w:val="24"/>
                <w:lang w:eastAsia="ru-RU"/>
              </w:rPr>
              <w:t xml:space="preserve">, </w:t>
            </w:r>
          </w:p>
          <w:p w14:paraId="3463C8DC" w14:textId="77777777" w:rsidR="001264E7" w:rsidRPr="00A4634E" w:rsidRDefault="001264E7" w:rsidP="005A428D">
            <w:pPr>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после НМГ или НФГ</w:t>
            </w:r>
          </w:p>
        </w:tc>
      </w:tr>
      <w:tr w:rsidR="001264E7" w:rsidRPr="00B46409" w14:paraId="2AC4BE54" w14:textId="77777777" w:rsidTr="005A428D">
        <w:trPr>
          <w:trHeight w:val="452"/>
        </w:trPr>
        <w:tc>
          <w:tcPr>
            <w:tcW w:w="3998" w:type="dxa"/>
            <w:shd w:val="clear" w:color="auto" w:fill="auto"/>
          </w:tcPr>
          <w:p w14:paraId="48F54C21" w14:textId="77777777" w:rsidR="001264E7" w:rsidRPr="00A4634E" w:rsidRDefault="001264E7" w:rsidP="005A428D">
            <w:pPr>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Ривароксабан</w:t>
            </w:r>
          </w:p>
        </w:tc>
        <w:tc>
          <w:tcPr>
            <w:tcW w:w="4678" w:type="dxa"/>
            <w:shd w:val="clear" w:color="auto" w:fill="auto"/>
          </w:tcPr>
          <w:p w14:paraId="057669C8" w14:textId="77777777" w:rsidR="001264E7" w:rsidRPr="00A4634E" w:rsidRDefault="001264E7" w:rsidP="005A428D">
            <w:pPr>
              <w:rPr>
                <w:rFonts w:eastAsia="Times New Roman" w:cs="Times New Roman"/>
                <w:szCs w:val="24"/>
                <w:lang w:eastAsia="ru-RU"/>
              </w:rPr>
            </w:pPr>
            <w:r>
              <w:rPr>
                <w:rFonts w:eastAsia="Times New Roman" w:cs="Times New Roman"/>
                <w:bCs/>
                <w:color w:val="000000" w:themeColor="dark1" w:themeShade="BF"/>
                <w:kern w:val="2"/>
                <w:szCs w:val="24"/>
                <w:lang w:eastAsia="ru-RU"/>
              </w:rPr>
              <w:t>10-</w:t>
            </w:r>
            <w:r w:rsidRPr="00A4634E">
              <w:rPr>
                <w:rFonts w:eastAsia="Times New Roman" w:cs="Times New Roman"/>
                <w:bCs/>
                <w:color w:val="000000" w:themeColor="dark1" w:themeShade="BF"/>
                <w:kern w:val="2"/>
                <w:szCs w:val="24"/>
                <w:lang w:eastAsia="ru-RU"/>
              </w:rPr>
              <w:t>20 мг утром, перорально</w:t>
            </w:r>
          </w:p>
        </w:tc>
      </w:tr>
      <w:tr w:rsidR="001264E7" w:rsidRPr="00B46409" w14:paraId="2A9B3E5F" w14:textId="77777777" w:rsidTr="005A428D">
        <w:trPr>
          <w:trHeight w:val="452"/>
        </w:trPr>
        <w:tc>
          <w:tcPr>
            <w:tcW w:w="3998" w:type="dxa"/>
            <w:shd w:val="clear" w:color="auto" w:fill="auto"/>
          </w:tcPr>
          <w:p w14:paraId="58C6577C" w14:textId="77777777" w:rsidR="001264E7" w:rsidRPr="00A4634E" w:rsidRDefault="001264E7" w:rsidP="005A428D">
            <w:pPr>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Апиксабан</w:t>
            </w:r>
          </w:p>
        </w:tc>
        <w:tc>
          <w:tcPr>
            <w:tcW w:w="4678" w:type="dxa"/>
            <w:shd w:val="clear" w:color="auto" w:fill="auto"/>
          </w:tcPr>
          <w:p w14:paraId="4C170803" w14:textId="77777777" w:rsidR="001264E7" w:rsidRPr="00A4634E" w:rsidRDefault="001264E7" w:rsidP="005A428D">
            <w:pPr>
              <w:rPr>
                <w:rFonts w:eastAsia="Times New Roman" w:cs="Times New Roman"/>
                <w:szCs w:val="24"/>
                <w:lang w:eastAsia="ru-RU"/>
              </w:rPr>
            </w:pPr>
            <w:r>
              <w:rPr>
                <w:rFonts w:eastAsia="Times New Roman" w:cs="Times New Roman"/>
                <w:bCs/>
                <w:color w:val="000000" w:themeColor="dark1" w:themeShade="BF"/>
                <w:kern w:val="2"/>
                <w:szCs w:val="24"/>
                <w:lang w:eastAsia="ru-RU"/>
              </w:rPr>
              <w:t>2,5</w:t>
            </w:r>
            <w:r w:rsidRPr="00A4634E">
              <w:rPr>
                <w:rFonts w:eastAsia="Times New Roman" w:cs="Times New Roman"/>
                <w:bCs/>
                <w:color w:val="000000" w:themeColor="dark1" w:themeShade="BF"/>
                <w:kern w:val="2"/>
                <w:szCs w:val="24"/>
                <w:lang w:eastAsia="ru-RU"/>
              </w:rPr>
              <w:t xml:space="preserve"> мг х 2 р/сутки, перорально</w:t>
            </w:r>
          </w:p>
        </w:tc>
      </w:tr>
      <w:tr w:rsidR="001264E7" w:rsidRPr="00B46409" w14:paraId="5448ADCC" w14:textId="77777777" w:rsidTr="005A428D">
        <w:trPr>
          <w:trHeight w:val="452"/>
        </w:trPr>
        <w:tc>
          <w:tcPr>
            <w:tcW w:w="3998" w:type="dxa"/>
            <w:shd w:val="clear" w:color="auto" w:fill="auto"/>
          </w:tcPr>
          <w:p w14:paraId="20B48FD7" w14:textId="77777777" w:rsidR="001264E7" w:rsidRPr="00A4634E" w:rsidRDefault="001264E7" w:rsidP="005A428D">
            <w:pPr>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Дабигатран этексилат</w:t>
            </w:r>
          </w:p>
        </w:tc>
        <w:tc>
          <w:tcPr>
            <w:tcW w:w="4678" w:type="dxa"/>
            <w:shd w:val="clear" w:color="auto" w:fill="auto"/>
          </w:tcPr>
          <w:p w14:paraId="49FEEFF7" w14:textId="77777777" w:rsidR="001264E7" w:rsidRPr="00A4634E" w:rsidRDefault="001264E7" w:rsidP="005A428D">
            <w:pPr>
              <w:rPr>
                <w:rFonts w:eastAsia="Times New Roman" w:cs="Times New Roman"/>
                <w:szCs w:val="24"/>
                <w:lang w:eastAsia="ru-RU"/>
              </w:rPr>
            </w:pPr>
            <w:r>
              <w:rPr>
                <w:rFonts w:eastAsia="Times New Roman" w:cs="Times New Roman"/>
                <w:bCs/>
                <w:color w:val="000000" w:themeColor="dark1" w:themeShade="BF"/>
                <w:kern w:val="2"/>
                <w:szCs w:val="24"/>
                <w:lang w:eastAsia="ru-RU"/>
              </w:rPr>
              <w:t>110-</w:t>
            </w:r>
            <w:r w:rsidRPr="00A4634E">
              <w:rPr>
                <w:rFonts w:eastAsia="Times New Roman" w:cs="Times New Roman"/>
                <w:bCs/>
                <w:color w:val="000000" w:themeColor="dark1" w:themeShade="BF"/>
                <w:kern w:val="2"/>
                <w:szCs w:val="24"/>
                <w:lang w:eastAsia="ru-RU"/>
              </w:rPr>
              <w:t>150 мг х 2р/сутки, перорально</w:t>
            </w:r>
          </w:p>
        </w:tc>
      </w:tr>
    </w:tbl>
    <w:p w14:paraId="03404780" w14:textId="77777777" w:rsidR="001264E7" w:rsidRDefault="001264E7" w:rsidP="001264E7">
      <w:pPr>
        <w:rPr>
          <w:b/>
          <w:bCs/>
          <w:szCs w:val="24"/>
        </w:rPr>
      </w:pPr>
    </w:p>
    <w:p w14:paraId="5403AB8D" w14:textId="77777777" w:rsidR="001264E7" w:rsidRPr="00A4634E" w:rsidRDefault="001264E7" w:rsidP="001264E7">
      <w:pPr>
        <w:rPr>
          <w:szCs w:val="24"/>
        </w:rPr>
      </w:pPr>
      <w:r w:rsidRPr="00A4634E">
        <w:rPr>
          <w:bCs/>
          <w:szCs w:val="24"/>
        </w:rPr>
        <w:t xml:space="preserve">Таблица </w:t>
      </w:r>
      <w:r>
        <w:rPr>
          <w:bCs/>
          <w:szCs w:val="24"/>
        </w:rPr>
        <w:t>2</w:t>
      </w:r>
      <w:r w:rsidRPr="00A4634E">
        <w:rPr>
          <w:bCs/>
          <w:szCs w:val="24"/>
        </w:rPr>
        <w:t xml:space="preserve">. Режимы антикоагулянтной терапии </w:t>
      </w:r>
      <w:r w:rsidRPr="00A4634E">
        <w:rPr>
          <w:bCs/>
          <w:iCs/>
          <w:szCs w:val="24"/>
        </w:rPr>
        <w:t xml:space="preserve">для лечения </w:t>
      </w:r>
      <w:r w:rsidRPr="00A4634E">
        <w:rPr>
          <w:bCs/>
          <w:szCs w:val="24"/>
        </w:rPr>
        <w:t>тромботических осложнений</w:t>
      </w:r>
    </w:p>
    <w:tbl>
      <w:tblPr>
        <w:tblStyle w:val="1f4"/>
        <w:tblW w:w="867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573"/>
        <w:gridCol w:w="5103"/>
      </w:tblGrid>
      <w:tr w:rsidR="001264E7" w:rsidRPr="00A4634E" w14:paraId="683970ED" w14:textId="77777777" w:rsidTr="005A428D">
        <w:trPr>
          <w:trHeight w:val="333"/>
        </w:trPr>
        <w:tc>
          <w:tcPr>
            <w:tcW w:w="3573" w:type="dxa"/>
            <w:shd w:val="clear" w:color="auto" w:fill="auto"/>
          </w:tcPr>
          <w:p w14:paraId="2BD926F4" w14:textId="77777777" w:rsidR="001264E7" w:rsidRPr="00A4634E" w:rsidRDefault="001264E7" w:rsidP="005A428D">
            <w:pPr>
              <w:jc w:val="center"/>
              <w:rPr>
                <w:rFonts w:eastAsia="Times New Roman" w:cs="Times New Roman"/>
                <w:szCs w:val="24"/>
                <w:lang w:eastAsia="ru-RU"/>
              </w:rPr>
            </w:pPr>
            <w:r>
              <w:rPr>
                <w:rFonts w:eastAsia="Times New Roman" w:cs="Times New Roman"/>
                <w:bCs/>
                <w:color w:val="000000" w:themeColor="text1" w:themeShade="BF"/>
                <w:kern w:val="2"/>
                <w:szCs w:val="24"/>
                <w:lang w:eastAsia="ru-RU"/>
              </w:rPr>
              <w:t>Препарат</w:t>
            </w:r>
          </w:p>
        </w:tc>
        <w:tc>
          <w:tcPr>
            <w:tcW w:w="5103" w:type="dxa"/>
            <w:shd w:val="clear" w:color="auto" w:fill="auto"/>
          </w:tcPr>
          <w:p w14:paraId="44B82A3E" w14:textId="77777777" w:rsidR="001264E7" w:rsidRPr="00A4634E" w:rsidRDefault="001264E7" w:rsidP="005A428D">
            <w:pPr>
              <w:jc w:val="center"/>
              <w:rPr>
                <w:rFonts w:eastAsia="Times New Roman" w:cs="Times New Roman"/>
                <w:szCs w:val="24"/>
                <w:lang w:eastAsia="ru-RU"/>
              </w:rPr>
            </w:pPr>
            <w:r w:rsidRPr="00A4634E">
              <w:rPr>
                <w:rFonts w:eastAsia="Times New Roman" w:cs="Times New Roman"/>
                <w:bCs/>
                <w:color w:val="000000" w:themeColor="text1" w:themeShade="BF"/>
                <w:kern w:val="2"/>
                <w:szCs w:val="24"/>
                <w:lang w:eastAsia="ru-RU"/>
              </w:rPr>
              <w:t>Доза</w:t>
            </w:r>
          </w:p>
        </w:tc>
      </w:tr>
      <w:tr w:rsidR="001264E7" w:rsidRPr="00A4634E" w14:paraId="42F41028" w14:textId="77777777" w:rsidTr="005A428D">
        <w:trPr>
          <w:trHeight w:val="574"/>
        </w:trPr>
        <w:tc>
          <w:tcPr>
            <w:tcW w:w="3573" w:type="dxa"/>
            <w:shd w:val="clear" w:color="auto" w:fill="auto"/>
          </w:tcPr>
          <w:p w14:paraId="7EAE1D38" w14:textId="77777777" w:rsidR="001264E7" w:rsidRPr="00A4634E" w:rsidRDefault="001264E7" w:rsidP="005A428D">
            <w:pPr>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Нефракционированный гепарин</w:t>
            </w:r>
          </w:p>
        </w:tc>
        <w:tc>
          <w:tcPr>
            <w:tcW w:w="5103" w:type="dxa"/>
            <w:shd w:val="clear" w:color="auto" w:fill="auto"/>
          </w:tcPr>
          <w:p w14:paraId="78A3E779" w14:textId="77777777" w:rsidR="001264E7" w:rsidRPr="00A4634E" w:rsidRDefault="001264E7" w:rsidP="005A428D">
            <w:pPr>
              <w:rPr>
                <w:rFonts w:eastAsia="Times New Roman" w:cs="Times New Roman"/>
                <w:szCs w:val="24"/>
                <w:lang w:eastAsia="ru-RU"/>
              </w:rPr>
            </w:pPr>
            <w:r>
              <w:rPr>
                <w:rFonts w:eastAsia="Times New Roman" w:cs="Times New Roman"/>
                <w:bCs/>
                <w:color w:val="000000" w:themeColor="dark1" w:themeShade="BF"/>
                <w:kern w:val="2"/>
                <w:szCs w:val="24"/>
                <w:lang w:eastAsia="ru-RU"/>
              </w:rPr>
              <w:t>1000 МЕ/час в/в непрерывно</w:t>
            </w:r>
            <w:r w:rsidRPr="00A4634E">
              <w:rPr>
                <w:rFonts w:eastAsia="Times New Roman" w:cs="Times New Roman"/>
                <w:bCs/>
                <w:color w:val="000000" w:themeColor="dark1" w:themeShade="BF"/>
                <w:kern w:val="2"/>
                <w:szCs w:val="24"/>
                <w:lang w:eastAsia="ru-RU"/>
              </w:rPr>
              <w:t xml:space="preserve"> под контролем АЧТВ</w:t>
            </w:r>
          </w:p>
        </w:tc>
      </w:tr>
      <w:tr w:rsidR="001264E7" w:rsidRPr="00A4634E" w14:paraId="06377768" w14:textId="77777777" w:rsidTr="005A428D">
        <w:trPr>
          <w:trHeight w:val="574"/>
        </w:trPr>
        <w:tc>
          <w:tcPr>
            <w:tcW w:w="3573" w:type="dxa"/>
            <w:shd w:val="clear" w:color="auto" w:fill="auto"/>
          </w:tcPr>
          <w:p w14:paraId="281CAA78" w14:textId="77777777" w:rsidR="001264E7" w:rsidRPr="00A4634E" w:rsidRDefault="001264E7" w:rsidP="005A428D">
            <w:pPr>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Далтепарин натрия</w:t>
            </w:r>
          </w:p>
        </w:tc>
        <w:tc>
          <w:tcPr>
            <w:tcW w:w="5103" w:type="dxa"/>
            <w:shd w:val="clear" w:color="auto" w:fill="auto"/>
          </w:tcPr>
          <w:p w14:paraId="6EC4928F" w14:textId="77777777" w:rsidR="001264E7" w:rsidRPr="00A4634E" w:rsidRDefault="001264E7" w:rsidP="005A428D">
            <w:pPr>
              <w:rPr>
                <w:rFonts w:eastAsia="Times New Roman" w:cs="Times New Roman"/>
                <w:szCs w:val="24"/>
                <w:lang w:eastAsia="ru-RU"/>
              </w:rPr>
            </w:pPr>
            <w:r>
              <w:rPr>
                <w:rFonts w:eastAsia="Times New Roman" w:cs="Times New Roman"/>
                <w:bCs/>
                <w:color w:val="000000" w:themeColor="dark1" w:themeShade="BF"/>
                <w:kern w:val="2"/>
                <w:szCs w:val="24"/>
                <w:lang w:eastAsia="ru-RU"/>
              </w:rPr>
              <w:t xml:space="preserve">100 МЕ/кг каждые 12 ч или 200 МЕ/кг 1 раз в день, </w:t>
            </w:r>
            <w:r w:rsidRPr="00A4634E">
              <w:rPr>
                <w:rFonts w:eastAsia="Times New Roman" w:cs="Times New Roman"/>
                <w:bCs/>
                <w:color w:val="000000" w:themeColor="dark1" w:themeShade="BF"/>
                <w:kern w:val="2"/>
                <w:szCs w:val="24"/>
                <w:lang w:eastAsia="ru-RU"/>
              </w:rPr>
              <w:t>п/к</w:t>
            </w:r>
          </w:p>
        </w:tc>
      </w:tr>
      <w:tr w:rsidR="001264E7" w:rsidRPr="00A4634E" w14:paraId="74915439" w14:textId="77777777" w:rsidTr="005A428D">
        <w:trPr>
          <w:trHeight w:val="333"/>
        </w:trPr>
        <w:tc>
          <w:tcPr>
            <w:tcW w:w="3573" w:type="dxa"/>
            <w:shd w:val="clear" w:color="auto" w:fill="auto"/>
          </w:tcPr>
          <w:p w14:paraId="18EC8336" w14:textId="77777777" w:rsidR="001264E7" w:rsidRPr="00A4634E" w:rsidRDefault="001264E7" w:rsidP="005A428D">
            <w:pPr>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Эноксапарин натрия</w:t>
            </w:r>
          </w:p>
        </w:tc>
        <w:tc>
          <w:tcPr>
            <w:tcW w:w="5103" w:type="dxa"/>
            <w:shd w:val="clear" w:color="auto" w:fill="auto"/>
          </w:tcPr>
          <w:p w14:paraId="44726B76" w14:textId="77777777" w:rsidR="001264E7" w:rsidRPr="00A4634E" w:rsidRDefault="001264E7" w:rsidP="005A428D">
            <w:pPr>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 xml:space="preserve">100 МЕ/кг каждые 12 ч </w:t>
            </w:r>
            <w:r>
              <w:rPr>
                <w:rFonts w:eastAsia="Times New Roman" w:cs="Times New Roman"/>
                <w:bCs/>
                <w:color w:val="000000" w:themeColor="dark1" w:themeShade="BF"/>
                <w:kern w:val="2"/>
                <w:szCs w:val="24"/>
                <w:lang w:eastAsia="ru-RU"/>
              </w:rPr>
              <w:t>или</w:t>
            </w:r>
            <w:r w:rsidRPr="00A4634E">
              <w:rPr>
                <w:rFonts w:eastAsia="Times New Roman" w:cs="Times New Roman"/>
                <w:bCs/>
                <w:color w:val="000000" w:themeColor="dark1" w:themeShade="BF"/>
                <w:kern w:val="2"/>
                <w:szCs w:val="24"/>
                <w:lang w:eastAsia="ru-RU"/>
              </w:rPr>
              <w:t xml:space="preserve"> 1,5 мг/кг 1 раз в день, п/к</w:t>
            </w:r>
          </w:p>
        </w:tc>
      </w:tr>
      <w:tr w:rsidR="001264E7" w:rsidRPr="00A4634E" w14:paraId="52BCF528" w14:textId="77777777" w:rsidTr="005A428D">
        <w:trPr>
          <w:trHeight w:val="333"/>
        </w:trPr>
        <w:tc>
          <w:tcPr>
            <w:tcW w:w="3573" w:type="dxa"/>
            <w:shd w:val="clear" w:color="auto" w:fill="auto"/>
          </w:tcPr>
          <w:p w14:paraId="0658FE0E" w14:textId="77777777" w:rsidR="001264E7" w:rsidRPr="00A4634E" w:rsidRDefault="001264E7" w:rsidP="005A428D">
            <w:pPr>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Надропарин кальция</w:t>
            </w:r>
          </w:p>
        </w:tc>
        <w:tc>
          <w:tcPr>
            <w:tcW w:w="5103" w:type="dxa"/>
            <w:shd w:val="clear" w:color="auto" w:fill="auto"/>
          </w:tcPr>
          <w:p w14:paraId="1F170F91" w14:textId="77777777" w:rsidR="001264E7" w:rsidRPr="00A4634E" w:rsidRDefault="001264E7" w:rsidP="005A428D">
            <w:pPr>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86 МЕ/кг х 2 раза в день, п/к</w:t>
            </w:r>
          </w:p>
        </w:tc>
      </w:tr>
      <w:tr w:rsidR="001264E7" w:rsidRPr="00A4634E" w14:paraId="753F700F" w14:textId="77777777" w:rsidTr="005A428D">
        <w:trPr>
          <w:trHeight w:val="821"/>
        </w:trPr>
        <w:tc>
          <w:tcPr>
            <w:tcW w:w="3573" w:type="dxa"/>
            <w:shd w:val="clear" w:color="auto" w:fill="auto"/>
          </w:tcPr>
          <w:p w14:paraId="3615E450" w14:textId="77777777" w:rsidR="001264E7" w:rsidRPr="00A4634E" w:rsidRDefault="001264E7" w:rsidP="005A428D">
            <w:pPr>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Фондапаринукс натрия</w:t>
            </w:r>
          </w:p>
        </w:tc>
        <w:tc>
          <w:tcPr>
            <w:tcW w:w="5103" w:type="dxa"/>
            <w:shd w:val="clear" w:color="auto" w:fill="auto"/>
          </w:tcPr>
          <w:p w14:paraId="00E4904E" w14:textId="77777777" w:rsidR="001264E7" w:rsidRPr="00A4634E" w:rsidRDefault="001264E7" w:rsidP="005A428D">
            <w:pPr>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менее 50 кг: 5 мг 1 раз в день</w:t>
            </w:r>
            <w:r>
              <w:rPr>
                <w:rFonts w:eastAsia="Times New Roman" w:cs="Times New Roman"/>
                <w:bCs/>
                <w:color w:val="000000" w:themeColor="dark1" w:themeShade="BF"/>
                <w:kern w:val="2"/>
                <w:szCs w:val="24"/>
                <w:lang w:eastAsia="ru-RU"/>
              </w:rPr>
              <w:t>, п/к</w:t>
            </w:r>
          </w:p>
          <w:p w14:paraId="5B80BF80" w14:textId="77777777" w:rsidR="001264E7" w:rsidRPr="00A4634E" w:rsidRDefault="001264E7" w:rsidP="005A428D">
            <w:pPr>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50—100 кг: 7,5 мг 1 раз в д</w:t>
            </w:r>
            <w:r>
              <w:rPr>
                <w:rFonts w:eastAsia="Times New Roman" w:cs="Times New Roman"/>
                <w:bCs/>
                <w:color w:val="000000" w:themeColor="dark1" w:themeShade="BF"/>
                <w:kern w:val="2"/>
                <w:szCs w:val="24"/>
                <w:lang w:eastAsia="ru-RU"/>
              </w:rPr>
              <w:t xml:space="preserve">ень, п/к                         </w:t>
            </w:r>
            <w:r w:rsidRPr="00A4634E">
              <w:rPr>
                <w:rFonts w:eastAsia="Times New Roman" w:cs="Times New Roman"/>
                <w:bCs/>
                <w:color w:val="000000" w:themeColor="dark1" w:themeShade="BF"/>
                <w:kern w:val="2"/>
                <w:szCs w:val="24"/>
                <w:lang w:eastAsia="ru-RU"/>
              </w:rPr>
              <w:t>более 100 кг: 10 мг 1 раз в день</w:t>
            </w:r>
            <w:r>
              <w:rPr>
                <w:rFonts w:eastAsia="Times New Roman" w:cs="Times New Roman"/>
                <w:bCs/>
                <w:color w:val="000000" w:themeColor="dark1" w:themeShade="BF"/>
                <w:kern w:val="2"/>
                <w:szCs w:val="24"/>
                <w:lang w:eastAsia="ru-RU"/>
              </w:rPr>
              <w:t>, п/к</w:t>
            </w:r>
          </w:p>
        </w:tc>
      </w:tr>
      <w:tr w:rsidR="001264E7" w:rsidRPr="00A4634E" w14:paraId="1268B4C8" w14:textId="77777777" w:rsidTr="005A428D">
        <w:trPr>
          <w:trHeight w:val="821"/>
        </w:trPr>
        <w:tc>
          <w:tcPr>
            <w:tcW w:w="3573" w:type="dxa"/>
            <w:shd w:val="clear" w:color="auto" w:fill="auto"/>
          </w:tcPr>
          <w:p w14:paraId="1DBADD99" w14:textId="77777777" w:rsidR="001264E7" w:rsidRPr="00A4634E" w:rsidRDefault="001264E7" w:rsidP="005A428D">
            <w:pPr>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lastRenderedPageBreak/>
              <w:t>Варфарин</w:t>
            </w:r>
          </w:p>
        </w:tc>
        <w:tc>
          <w:tcPr>
            <w:tcW w:w="5103" w:type="dxa"/>
            <w:shd w:val="clear" w:color="auto" w:fill="auto"/>
          </w:tcPr>
          <w:p w14:paraId="24D3EAA9" w14:textId="77777777" w:rsidR="001264E7" w:rsidRPr="00A4634E" w:rsidRDefault="001264E7" w:rsidP="005A428D">
            <w:pPr>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 xml:space="preserve">Перорально, целевые значения МНО: 2.0—3.0, </w:t>
            </w:r>
          </w:p>
          <w:p w14:paraId="70DE1215" w14:textId="77777777" w:rsidR="001264E7" w:rsidRPr="00A4634E" w:rsidRDefault="001264E7" w:rsidP="005A428D">
            <w:pPr>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после НМГ или НФГ</w:t>
            </w:r>
          </w:p>
        </w:tc>
      </w:tr>
      <w:tr w:rsidR="001264E7" w:rsidRPr="00A4634E" w14:paraId="2C192A09" w14:textId="77777777" w:rsidTr="005A428D">
        <w:trPr>
          <w:trHeight w:val="387"/>
        </w:trPr>
        <w:tc>
          <w:tcPr>
            <w:tcW w:w="3573" w:type="dxa"/>
            <w:shd w:val="clear" w:color="auto" w:fill="auto"/>
          </w:tcPr>
          <w:p w14:paraId="55EC0797" w14:textId="77777777" w:rsidR="001264E7" w:rsidRPr="00A4634E" w:rsidRDefault="001264E7" w:rsidP="005A428D">
            <w:pPr>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Ривароксабан</w:t>
            </w:r>
          </w:p>
        </w:tc>
        <w:tc>
          <w:tcPr>
            <w:tcW w:w="5103" w:type="dxa"/>
            <w:shd w:val="clear" w:color="auto" w:fill="auto"/>
          </w:tcPr>
          <w:p w14:paraId="5AEC08C4" w14:textId="77777777" w:rsidR="001264E7" w:rsidRPr="00A4634E" w:rsidRDefault="001264E7" w:rsidP="005A428D">
            <w:pPr>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15 мг х 2 р/сутки в течение 21 дня, далее 20 мг утром, перорально</w:t>
            </w:r>
          </w:p>
        </w:tc>
      </w:tr>
      <w:tr w:rsidR="001264E7" w:rsidRPr="00A4634E" w14:paraId="20521126" w14:textId="77777777" w:rsidTr="005A428D">
        <w:trPr>
          <w:trHeight w:val="333"/>
        </w:trPr>
        <w:tc>
          <w:tcPr>
            <w:tcW w:w="3573" w:type="dxa"/>
            <w:shd w:val="clear" w:color="auto" w:fill="auto"/>
          </w:tcPr>
          <w:p w14:paraId="5C6E6526" w14:textId="77777777" w:rsidR="001264E7" w:rsidRPr="00A4634E" w:rsidRDefault="001264E7" w:rsidP="005A428D">
            <w:pPr>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Апиксабан</w:t>
            </w:r>
          </w:p>
        </w:tc>
        <w:tc>
          <w:tcPr>
            <w:tcW w:w="5103" w:type="dxa"/>
            <w:shd w:val="clear" w:color="auto" w:fill="auto"/>
          </w:tcPr>
          <w:p w14:paraId="122B4065" w14:textId="77777777" w:rsidR="001264E7" w:rsidRPr="00A4634E" w:rsidRDefault="001264E7" w:rsidP="005A428D">
            <w:pPr>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5,0 мг х 2 р/сутки, перорально</w:t>
            </w:r>
          </w:p>
        </w:tc>
      </w:tr>
      <w:tr w:rsidR="001264E7" w:rsidRPr="00A4634E" w14:paraId="059144DC" w14:textId="77777777" w:rsidTr="005A428D">
        <w:trPr>
          <w:trHeight w:val="333"/>
        </w:trPr>
        <w:tc>
          <w:tcPr>
            <w:tcW w:w="3573" w:type="dxa"/>
            <w:shd w:val="clear" w:color="auto" w:fill="auto"/>
          </w:tcPr>
          <w:p w14:paraId="0768A9F6" w14:textId="77777777" w:rsidR="001264E7" w:rsidRPr="00A4634E" w:rsidRDefault="001264E7" w:rsidP="005A428D">
            <w:pPr>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Дабигатран этексилат</w:t>
            </w:r>
          </w:p>
        </w:tc>
        <w:tc>
          <w:tcPr>
            <w:tcW w:w="5103" w:type="dxa"/>
            <w:shd w:val="clear" w:color="auto" w:fill="auto"/>
          </w:tcPr>
          <w:p w14:paraId="554CFCF6" w14:textId="77777777" w:rsidR="001264E7" w:rsidRPr="00A4634E" w:rsidRDefault="001264E7" w:rsidP="005A428D">
            <w:pPr>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150 мг х 2р/сутки, перорально</w:t>
            </w:r>
          </w:p>
        </w:tc>
      </w:tr>
    </w:tbl>
    <w:p w14:paraId="310B5715" w14:textId="77777777" w:rsidR="001264E7" w:rsidRDefault="001264E7" w:rsidP="001264E7">
      <w:pPr>
        <w:rPr>
          <w:szCs w:val="24"/>
        </w:rPr>
      </w:pPr>
    </w:p>
    <w:p w14:paraId="17C2D819" w14:textId="77777777" w:rsidR="001264E7" w:rsidRDefault="001264E7" w:rsidP="00B0477D">
      <w:pPr>
        <w:ind w:firstLine="709"/>
        <w:rPr>
          <w:szCs w:val="24"/>
        </w:rPr>
      </w:pPr>
      <w:r>
        <w:rPr>
          <w:rFonts w:eastAsia="Times New Roman"/>
          <w:szCs w:val="24"/>
          <w:lang w:eastAsia="ru-RU"/>
        </w:rPr>
        <w:t>При длительной терапии НМГ рекомендуется мониторинг анти-Ха активности и коррекция дозы НМГ (при необходимости) один раз в месяц.</w:t>
      </w:r>
    </w:p>
    <w:p w14:paraId="28E90216" w14:textId="77777777" w:rsidR="001264E7" w:rsidRDefault="001264E7" w:rsidP="00B0477D">
      <w:pPr>
        <w:ind w:firstLine="709"/>
        <w:rPr>
          <w:rFonts w:eastAsia="Times New Roman"/>
          <w:szCs w:val="24"/>
          <w:lang w:eastAsia="ru-RU"/>
        </w:rPr>
      </w:pPr>
      <w:r>
        <w:rPr>
          <w:szCs w:val="24"/>
        </w:rPr>
        <w:t xml:space="preserve">Мониторинг анти-Ха активности абсолютно необходим в случае рецидивирующего тромбоза при использовании терапевтических доз НМГ или у пациентов с почечной недостаточностью. </w:t>
      </w:r>
      <w:r>
        <w:rPr>
          <w:rFonts w:eastAsia="Times New Roman"/>
          <w:szCs w:val="24"/>
          <w:lang w:eastAsia="ru-RU"/>
        </w:rPr>
        <w:t>Больным с нарушением функции почек рекомендуется коррекция дозы НМГ и мониторинг анти-Ха активности с частотой один раз в неделю. Для больных с клинически выраженной почечной недостаточностью (клиренс креатинина &lt;30 мл/мин) дозу НМГ корректируют таким образом, чтобы она соответствовала уровню анти-Ха 0,2</w:t>
      </w:r>
      <w:r>
        <w:rPr>
          <w:i/>
          <w:szCs w:val="24"/>
        </w:rPr>
        <w:t>—</w:t>
      </w:r>
      <w:r>
        <w:rPr>
          <w:rFonts w:eastAsia="Times New Roman"/>
          <w:szCs w:val="24"/>
          <w:lang w:eastAsia="ru-RU"/>
        </w:rPr>
        <w:t xml:space="preserve">0,3 </w:t>
      </w:r>
      <w:r>
        <w:rPr>
          <w:szCs w:val="24"/>
        </w:rPr>
        <w:t>анти-</w:t>
      </w:r>
      <w:r>
        <w:rPr>
          <w:szCs w:val="24"/>
          <w:lang w:val="en-US"/>
        </w:rPr>
        <w:t>Xa</w:t>
      </w:r>
      <w:r>
        <w:rPr>
          <w:szCs w:val="24"/>
        </w:rPr>
        <w:t xml:space="preserve"> МЕ</w:t>
      </w:r>
      <w:r>
        <w:rPr>
          <w:rFonts w:eastAsia="Times New Roman"/>
          <w:szCs w:val="24"/>
          <w:lang w:eastAsia="ru-RU"/>
        </w:rPr>
        <w:t xml:space="preserve">/мл. </w:t>
      </w:r>
    </w:p>
    <w:p w14:paraId="0E01D904" w14:textId="77777777" w:rsidR="001264E7" w:rsidRDefault="001264E7" w:rsidP="00B0477D">
      <w:pPr>
        <w:ind w:firstLine="709"/>
        <w:rPr>
          <w:szCs w:val="24"/>
        </w:rPr>
      </w:pPr>
      <w:r>
        <w:rPr>
          <w:szCs w:val="24"/>
        </w:rPr>
        <w:t>Для выявления возможного накопления НМГ после нескольких введений следует проанализировать анти-Ха активность через 4 часа после третьего введения, если НМГ вводится дважды в день, или через 4 часа после второго введения, если препарат вводится один раз в сутки.</w:t>
      </w:r>
    </w:p>
    <w:p w14:paraId="77EF2BD1" w14:textId="77777777" w:rsidR="001264E7" w:rsidRDefault="001264E7" w:rsidP="00B0477D">
      <w:pPr>
        <w:ind w:firstLine="709"/>
        <w:rPr>
          <w:szCs w:val="24"/>
        </w:rPr>
      </w:pPr>
      <w:r>
        <w:rPr>
          <w:szCs w:val="24"/>
        </w:rPr>
        <w:t>Коррекция дозы НМГ у онкогематологических пациентов в связи с высоким риском кровотечений по причине тромбоцитопений заключается в двукратном снижении дозы при количестве тромбоцитов &lt;70×10</w:t>
      </w:r>
      <w:r>
        <w:rPr>
          <w:szCs w:val="24"/>
          <w:vertAlign w:val="superscript"/>
        </w:rPr>
        <w:t>9</w:t>
      </w:r>
      <w:r>
        <w:rPr>
          <w:szCs w:val="24"/>
        </w:rPr>
        <w:t>/л; временная отмена НМГ при количестве тромбоцитов &lt;30×10</w:t>
      </w:r>
      <w:r>
        <w:rPr>
          <w:szCs w:val="24"/>
          <w:vertAlign w:val="superscript"/>
        </w:rPr>
        <w:t>9</w:t>
      </w:r>
      <w:r>
        <w:rPr>
          <w:szCs w:val="24"/>
        </w:rPr>
        <w:t>/л. При острых тромбозах и тромбоцитопении в отсутствии геморрагических проявлений целесообразно использовать внутривенное с помощью инфузомата введение НФГ под контролем АЧТВ.</w:t>
      </w:r>
    </w:p>
    <w:p w14:paraId="2D70E810" w14:textId="77777777" w:rsidR="001264E7" w:rsidRDefault="001264E7" w:rsidP="00B0477D">
      <w:pPr>
        <w:ind w:firstLine="709"/>
        <w:rPr>
          <w:rFonts w:eastAsia="Times New Roman"/>
          <w:szCs w:val="24"/>
          <w:lang w:eastAsia="ru-RU"/>
        </w:rPr>
      </w:pPr>
      <w:r>
        <w:rPr>
          <w:rFonts w:eastAsia="Times New Roman"/>
          <w:szCs w:val="24"/>
          <w:lang w:eastAsia="ru-RU"/>
        </w:rPr>
        <w:t xml:space="preserve">В отдельных случаях тромбозов, а также при ГИТ </w:t>
      </w:r>
      <w:r>
        <w:rPr>
          <w:rFonts w:eastAsia="Times New Roman"/>
          <w:szCs w:val="24"/>
          <w:lang w:val="en-US" w:eastAsia="ru-RU"/>
        </w:rPr>
        <w:t>II</w:t>
      </w:r>
      <w:r>
        <w:rPr>
          <w:rFonts w:eastAsia="Times New Roman"/>
          <w:szCs w:val="24"/>
          <w:lang w:eastAsia="ru-RU"/>
        </w:rPr>
        <w:t xml:space="preserve"> применяется фондапаринукс 5 мг подкожно (п/к) 1 раз в день при весе пациента более 50кг. При весе пациента 75 кг и более фондапаринукс вводится в дозе 7,5 мг.</w:t>
      </w:r>
    </w:p>
    <w:p w14:paraId="5F838075" w14:textId="7714DCE5" w:rsidR="001264E7" w:rsidRDefault="001264E7" w:rsidP="001264E7">
      <w:pPr>
        <w:rPr>
          <w:rFonts w:eastAsia="Times New Roman"/>
          <w:szCs w:val="24"/>
          <w:lang w:eastAsia="ru-RU"/>
        </w:rPr>
      </w:pPr>
      <w:r>
        <w:rPr>
          <w:rFonts w:eastAsia="Times New Roman"/>
          <w:szCs w:val="24"/>
          <w:lang w:eastAsia="ru-RU"/>
        </w:rPr>
        <w:t>Прямые оральные антикоагулянты (ПОАК)</w:t>
      </w:r>
      <w:r>
        <w:rPr>
          <w:rFonts w:eastAsia="Times New Roman"/>
          <w:szCs w:val="24"/>
          <w:lang w:val="en-US" w:eastAsia="ru-RU"/>
        </w:rPr>
        <w:t xml:space="preserve"> </w:t>
      </w:r>
      <w:r>
        <w:rPr>
          <w:szCs w:val="24"/>
        </w:rPr>
        <w:fldChar w:fldCharType="begin" w:fldLock="1"/>
      </w:r>
      <w:r w:rsidR="00312D7F">
        <w:rPr>
          <w:szCs w:val="24"/>
        </w:rPr>
        <w:instrText>ADDIN CSL_CITATION {"citationItems":[{"id":"ITEM-1","itemData":{"DOI":"10.1016/j.thromres.2015.01.009","ISSN":"18792472","PMID":"25613925","abstract":"Background Heparin induced thrombocytopenia (HIT) is a potentially catastrophic syndrome with a high incidence of vascular thrombosis. There are little data on the efficacy of new oral anticoagulants (NOAC) in this setting. This study reports on the outcome of patients with HIT, treated with NOAC. Materials and Methods We retrospectively identified 22 patients with HIT who were treated by our group with a combination of NOAC and a short course of argatroban. These patients were evaluated in a prospective fashion for development of outcomes at a mean follow up of 19 ± 3 months. Results There were a total of 5 deep and 2 superficial vein thromboses diagnosed at index hospitalization. No patient developed arterial thrombosis. All patients tolerated NOAC and their platelet count normalized before discharge. At 19 months of follow-up, 6 patients had died of non-thrombotic causes. There was no bleeding, limb loss or recurrent venous thromboembolism in any patient. Conclusions In patients with HIT, a short course of parenteral treatment with argatroban followed by administration of a NOAC is highly safe and effective in prevention of thrombosis and normalization of platelet count. Development of HIT however, portends a poor prognosis independent of vascular thrombosis.","author":[{"dropping-particle":"","family":"Sharifi","given":"Mohsen","non-dropping-particle":"","parse-names":false,"suffix":""},{"dropping-particle":"","family":"Bay","given":"Curt","non-dropping-particle":"","parse-names":false,"suffix":""},{"dropping-particle":"","family":"Vajo","given":"Zoltan","non-dropping-particle":"","parse-names":false,"suffix":""},{"dropping-particle":"","family":"Freeman","given":"Wilbur","non-dropping-particle":"","parse-names":false,"suffix":""},{"dropping-particle":"","family":"Sharifi","given":"Mirali","non-dropping-particle":"","parse-names":false,"suffix":""},{"dropping-particle":"","family":"Schwartz","given":"Frederic","non-dropping-particle":"","parse-names":false,"suffix":""}],"container-title":"Thrombosis Research","id":"ITEM-1","issue":"4","issued":{"date-parts":[["2015","4","1"]]},"page":"607-609","publisher":"Elsevier Ltd","title":"New oral anticoagulants in the treatment of heparin- Induced thrombocytopenia","type":"article-journal","volume":"135"},"uris":["http://www.mendeley.com/documents/?uuid=c18762a2-54f4-3dcb-8daf-003be3aa9168"]}],"mendeley":{"formattedCitation":"[140]","plainTextFormattedCitation":"[140]","previouslyFormattedCitation":"[140]"},"properties":{"noteIndex":0},"schema":"https://github.com/citation-style-language/schema/raw/master/csl-citation.json"}</w:instrText>
      </w:r>
      <w:r>
        <w:rPr>
          <w:szCs w:val="24"/>
        </w:rPr>
        <w:fldChar w:fldCharType="separate"/>
      </w:r>
      <w:r w:rsidRPr="001264E7">
        <w:rPr>
          <w:noProof/>
          <w:szCs w:val="24"/>
        </w:rPr>
        <w:t>[140]</w:t>
      </w:r>
      <w:r>
        <w:rPr>
          <w:szCs w:val="24"/>
        </w:rPr>
        <w:fldChar w:fldCharType="end"/>
      </w:r>
      <w:r>
        <w:rPr>
          <w:rFonts w:eastAsia="Times New Roman"/>
          <w:szCs w:val="24"/>
          <w:lang w:eastAsia="ru-RU"/>
        </w:rPr>
        <w:t xml:space="preserve">: </w:t>
      </w:r>
    </w:p>
    <w:p w14:paraId="52E3EFC1" w14:textId="77777777" w:rsidR="001264E7" w:rsidRPr="00C83EC0" w:rsidRDefault="001264E7" w:rsidP="0091350E">
      <w:pPr>
        <w:pStyle w:val="aff"/>
        <w:numPr>
          <w:ilvl w:val="0"/>
          <w:numId w:val="50"/>
        </w:numPr>
        <w:ind w:left="1134"/>
        <w:rPr>
          <w:szCs w:val="24"/>
        </w:rPr>
      </w:pPr>
      <w:r w:rsidRPr="00C83EC0">
        <w:rPr>
          <w:szCs w:val="24"/>
        </w:rPr>
        <w:t>ривароксабан в дозе 15 мг 2 раза в сутки во время еды в первые 3 недели, затем в дозе 20 мг 1 раз в сутки во время еды. Доза ривароксабана должна быть скорректирована у пациентов с нарушенной выделительной функцией почек. Следует помнить, что протромбиновое время и АЧТВ не отражают истинной концентрации и эффект ПОАК;</w:t>
      </w:r>
    </w:p>
    <w:p w14:paraId="0D71A47F" w14:textId="77777777" w:rsidR="001264E7" w:rsidRPr="00C83EC0" w:rsidRDefault="001264E7" w:rsidP="0091350E">
      <w:pPr>
        <w:pStyle w:val="aff"/>
        <w:numPr>
          <w:ilvl w:val="0"/>
          <w:numId w:val="50"/>
        </w:numPr>
        <w:ind w:left="1134"/>
        <w:rPr>
          <w:rFonts w:eastAsia="Times New Roman"/>
          <w:szCs w:val="24"/>
          <w:lang w:eastAsia="ru-RU"/>
        </w:rPr>
      </w:pPr>
      <w:r w:rsidRPr="00C83EC0">
        <w:rPr>
          <w:rFonts w:eastAsia="Times New Roman"/>
          <w:szCs w:val="24"/>
          <w:lang w:eastAsia="ru-RU"/>
        </w:rPr>
        <w:lastRenderedPageBreak/>
        <w:t>дабигатрана этексилат назначают в дозе 150 г 2 раза в сутки; исследование тромбинового времени помогает подбирать необходимую дозу дабигатрана этексилата. При его удлинении более 120</w:t>
      </w:r>
      <w:r w:rsidRPr="00C83EC0">
        <w:rPr>
          <w:i/>
          <w:szCs w:val="24"/>
        </w:rPr>
        <w:t>—</w:t>
      </w:r>
      <w:r w:rsidRPr="00C83EC0">
        <w:rPr>
          <w:rFonts w:eastAsia="Times New Roman"/>
          <w:szCs w:val="24"/>
          <w:lang w:eastAsia="ru-RU"/>
        </w:rPr>
        <w:t xml:space="preserve">150 сек дозу препарата уменьшают до 110 мг 2 раза в сутки. Больным старше 75 лет дабигатрана этексилата назначают в дозе 75 мг 2 раза в сутки; </w:t>
      </w:r>
    </w:p>
    <w:p w14:paraId="5BC04665" w14:textId="77777777" w:rsidR="001264E7" w:rsidRPr="00C83EC0" w:rsidRDefault="001264E7" w:rsidP="0091350E">
      <w:pPr>
        <w:pStyle w:val="aff"/>
        <w:numPr>
          <w:ilvl w:val="0"/>
          <w:numId w:val="50"/>
        </w:numPr>
        <w:ind w:left="1134"/>
        <w:rPr>
          <w:rFonts w:eastAsia="Times New Roman"/>
          <w:szCs w:val="24"/>
          <w:lang w:eastAsia="ru-RU"/>
        </w:rPr>
      </w:pPr>
      <w:r w:rsidRPr="00C83EC0">
        <w:rPr>
          <w:rFonts w:eastAsia="Times New Roman"/>
          <w:szCs w:val="24"/>
          <w:lang w:eastAsia="ru-RU"/>
        </w:rPr>
        <w:t>апиксабан применяют в дозе 5 мг 2 раза в сутки. Больным старше 75 лет апиксабан назначают в дозе 2,5 мг 2 раза в сутки. Лабораторный контроль не проводится;</w:t>
      </w:r>
    </w:p>
    <w:p w14:paraId="7A597B9C" w14:textId="77777777" w:rsidR="001264E7" w:rsidRPr="00C83EC0" w:rsidRDefault="001264E7" w:rsidP="0091350E">
      <w:pPr>
        <w:pStyle w:val="aff"/>
        <w:numPr>
          <w:ilvl w:val="0"/>
          <w:numId w:val="50"/>
        </w:numPr>
        <w:ind w:left="1134"/>
        <w:rPr>
          <w:rFonts w:eastAsia="Times New Roman"/>
          <w:szCs w:val="24"/>
          <w:lang w:eastAsia="ru-RU"/>
        </w:rPr>
      </w:pPr>
      <w:r w:rsidRPr="00C83EC0">
        <w:rPr>
          <w:rFonts w:eastAsia="Times New Roman"/>
          <w:szCs w:val="24"/>
          <w:lang w:eastAsia="ru-RU"/>
        </w:rPr>
        <w:t>сулодексид 250 ЛЕ х 2 раза в день.</w:t>
      </w:r>
    </w:p>
    <w:p w14:paraId="55E81797" w14:textId="77777777" w:rsidR="001264E7" w:rsidRDefault="001264E7" w:rsidP="00B0477D">
      <w:pPr>
        <w:ind w:firstLine="709"/>
        <w:rPr>
          <w:szCs w:val="24"/>
        </w:rPr>
      </w:pPr>
      <w:r>
        <w:rPr>
          <w:rFonts w:eastAsia="Times New Roman"/>
          <w:szCs w:val="24"/>
          <w:lang w:eastAsia="ru-RU"/>
        </w:rPr>
        <w:t xml:space="preserve">Антагонист витамина К (АВК) – варфарин. </w:t>
      </w:r>
      <w:r>
        <w:rPr>
          <w:szCs w:val="24"/>
        </w:rPr>
        <w:t>Препарат следует принимать один раз в день в фиксированное время (предпочтительнее вечером) после еды. Доза варфарина корригируется по показателю МНО</w:t>
      </w:r>
      <w:r>
        <w:rPr>
          <w:rFonts w:eastAsia="Times New Roman"/>
          <w:szCs w:val="24"/>
          <w:lang w:eastAsia="ru-RU"/>
        </w:rPr>
        <w:t>. Целевые значения МНО при лечении варфарином составляют 2-2,5. У пациентов с искусственными клапанами сердца МНО на терапии варфарином должно составлять 3.0-4.0.</w:t>
      </w:r>
      <w:r>
        <w:rPr>
          <w:rFonts w:ascii="Arial" w:eastAsia="Times New Roman" w:hAnsi="Arial" w:cs="Arial"/>
          <w:color w:val="FF0000"/>
          <w:szCs w:val="24"/>
          <w:lang w:eastAsia="ru-RU"/>
        </w:rPr>
        <w:t xml:space="preserve"> </w:t>
      </w:r>
      <w:r>
        <w:rPr>
          <w:szCs w:val="24"/>
        </w:rPr>
        <w:t xml:space="preserve">Начальная доза препарата для пациентов, которые ранее не применяли варфарин, составляет 2,5-5,0 мг/сут. Для пациентов, которые ранее применяли варфарин, рекомендуемая стартовая доза составляет двойную дозу известной поддерживающей дозы препарата и назначается в течение первых 2-х дней. В случае необходимости перевода пациента с инъекций НМГ на длительный прием АВК, рекомендуется в течение первых 4-5 дней приема варфарина продолжать инъекции НМГ в профилактической дозе во избежание тромботических осложнений вследствие угнетения активности протеина С АВК. Первый контроль MHO следует проводить через 24-48 часов после начала приема варфарина. На протяжении первой недели определение MHO рекомендуется проводить ежедневно. </w:t>
      </w:r>
      <w:r>
        <w:rPr>
          <w:rFonts w:eastAsia="Times New Roman"/>
          <w:szCs w:val="24"/>
          <w:lang w:eastAsia="ru-RU"/>
        </w:rPr>
        <w:t xml:space="preserve">Через 3-4 дня одновременного применения варфарина и гепарина проводят исследование МНО. При достижении МНО 2,0 и более - гепарин отменяется. Если МНО меньше 2,0, то дозу варфарина увеличивают на 0,5 таблетки и продолжают одновременные применение варфарина и гепарина в течение 3 дней. Вновь проводят исследование МНО. Если МНО 2,0 и более, то гепарин отменяется. </w:t>
      </w:r>
      <w:r>
        <w:rPr>
          <w:szCs w:val="24"/>
        </w:rPr>
        <w:t>Схема подбора дозы варфарина представлена в таблице 3. В дальнейшем лабораторный контроль проводят регулярно каждые 4-8 недель.</w:t>
      </w:r>
    </w:p>
    <w:p w14:paraId="43DDE8E0" w14:textId="77777777" w:rsidR="001264E7" w:rsidRDefault="001264E7" w:rsidP="001264E7">
      <w:pPr>
        <w:ind w:firstLine="708"/>
        <w:rPr>
          <w:szCs w:val="24"/>
        </w:rPr>
      </w:pPr>
    </w:p>
    <w:p w14:paraId="333BBE3B" w14:textId="77777777" w:rsidR="001264E7" w:rsidRPr="00B46409" w:rsidRDefault="001264E7" w:rsidP="001264E7">
      <w:pPr>
        <w:rPr>
          <w:szCs w:val="24"/>
        </w:rPr>
      </w:pPr>
      <w:r w:rsidRPr="00B46409">
        <w:rPr>
          <w:szCs w:val="24"/>
        </w:rPr>
        <w:t xml:space="preserve">Таблица </w:t>
      </w:r>
      <w:r>
        <w:rPr>
          <w:szCs w:val="24"/>
        </w:rPr>
        <w:t>3</w:t>
      </w:r>
      <w:r w:rsidRPr="00B46409">
        <w:rPr>
          <w:szCs w:val="24"/>
        </w:rPr>
        <w:t xml:space="preserve">. </w:t>
      </w:r>
      <w:r w:rsidRPr="00B46409">
        <w:rPr>
          <w:bCs/>
          <w:szCs w:val="24"/>
        </w:rPr>
        <w:t>Коррекция дозы варфарина в зависимости от МНО</w:t>
      </w:r>
    </w:p>
    <w:tbl>
      <w:tblPr>
        <w:tblStyle w:val="1f4"/>
        <w:tblW w:w="89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4394"/>
        <w:gridCol w:w="4570"/>
      </w:tblGrid>
      <w:tr w:rsidR="001264E7" w14:paraId="2981C17C" w14:textId="77777777" w:rsidTr="005A428D">
        <w:trPr>
          <w:trHeight w:val="374"/>
        </w:trPr>
        <w:tc>
          <w:tcPr>
            <w:tcW w:w="4394" w:type="dxa"/>
            <w:shd w:val="clear" w:color="auto" w:fill="auto"/>
          </w:tcPr>
          <w:p w14:paraId="15FDA3A5" w14:textId="77777777" w:rsidR="001264E7" w:rsidRPr="007C4816" w:rsidRDefault="001264E7" w:rsidP="005A428D">
            <w:pPr>
              <w:jc w:val="center"/>
              <w:rPr>
                <w:rFonts w:cs="Times New Roman"/>
                <w:szCs w:val="24"/>
              </w:rPr>
            </w:pPr>
            <w:r w:rsidRPr="007C4816">
              <w:rPr>
                <w:rFonts w:eastAsiaTheme="majorEastAsia" w:cs="Times New Roman"/>
                <w:bCs/>
                <w:szCs w:val="24"/>
              </w:rPr>
              <w:t xml:space="preserve"> </w:t>
            </w:r>
            <w:r>
              <w:rPr>
                <w:rFonts w:eastAsiaTheme="majorEastAsia" w:cs="Times New Roman"/>
                <w:bCs/>
                <w:szCs w:val="24"/>
              </w:rPr>
              <w:t>Дни приема варфарина 2-5</w:t>
            </w:r>
          </w:p>
        </w:tc>
        <w:tc>
          <w:tcPr>
            <w:tcW w:w="4570" w:type="dxa"/>
            <w:shd w:val="clear" w:color="auto" w:fill="auto"/>
          </w:tcPr>
          <w:p w14:paraId="3E7BABFC" w14:textId="77777777" w:rsidR="001264E7" w:rsidRPr="007C4816" w:rsidRDefault="001264E7" w:rsidP="005A428D">
            <w:pPr>
              <w:jc w:val="center"/>
              <w:rPr>
                <w:rFonts w:cs="Times New Roman"/>
                <w:szCs w:val="24"/>
              </w:rPr>
            </w:pPr>
            <w:r w:rsidRPr="007C4816">
              <w:rPr>
                <w:rFonts w:eastAsiaTheme="majorEastAsia" w:cs="Times New Roman"/>
                <w:bCs/>
                <w:szCs w:val="24"/>
              </w:rPr>
              <w:t xml:space="preserve"> </w:t>
            </w:r>
            <w:r>
              <w:rPr>
                <w:rFonts w:eastAsiaTheme="majorEastAsia" w:cs="Times New Roman"/>
                <w:bCs/>
                <w:szCs w:val="24"/>
              </w:rPr>
              <w:t>Дни приема варфарина 6 и далее</w:t>
            </w:r>
          </w:p>
        </w:tc>
      </w:tr>
      <w:tr w:rsidR="001264E7" w14:paraId="4AC18F65" w14:textId="77777777" w:rsidTr="005A428D">
        <w:trPr>
          <w:trHeight w:val="714"/>
        </w:trPr>
        <w:tc>
          <w:tcPr>
            <w:tcW w:w="4394" w:type="dxa"/>
            <w:shd w:val="clear" w:color="auto" w:fill="auto"/>
          </w:tcPr>
          <w:p w14:paraId="71E86AD7" w14:textId="77777777" w:rsidR="001264E7" w:rsidRPr="007C4816" w:rsidRDefault="001264E7" w:rsidP="005A428D">
            <w:pPr>
              <w:rPr>
                <w:rFonts w:cs="Times New Roman"/>
                <w:szCs w:val="24"/>
              </w:rPr>
            </w:pPr>
            <w:r w:rsidRPr="007C4816">
              <w:rPr>
                <w:rFonts w:eastAsiaTheme="majorEastAsia" w:cs="Times New Roman"/>
                <w:bCs/>
                <w:szCs w:val="24"/>
              </w:rPr>
              <w:t>МНО</w:t>
            </w:r>
            <w:r>
              <w:rPr>
                <w:rFonts w:eastAsiaTheme="majorEastAsia" w:cs="Times New Roman"/>
                <w:bCs/>
                <w:szCs w:val="24"/>
              </w:rPr>
              <w:t xml:space="preserve"> 1.1–</w:t>
            </w:r>
            <w:r w:rsidRPr="007C4816">
              <w:rPr>
                <w:rFonts w:eastAsiaTheme="majorEastAsia" w:cs="Times New Roman"/>
                <w:bCs/>
                <w:szCs w:val="24"/>
              </w:rPr>
              <w:t>1.3 – повторить инициальную дозу</w:t>
            </w:r>
          </w:p>
        </w:tc>
        <w:tc>
          <w:tcPr>
            <w:tcW w:w="4570" w:type="dxa"/>
            <w:shd w:val="clear" w:color="auto" w:fill="auto"/>
          </w:tcPr>
          <w:p w14:paraId="7C57AE2B" w14:textId="77777777" w:rsidR="001264E7" w:rsidRPr="007C4816" w:rsidRDefault="001264E7" w:rsidP="005A428D">
            <w:pPr>
              <w:rPr>
                <w:rFonts w:cs="Times New Roman"/>
                <w:szCs w:val="24"/>
              </w:rPr>
            </w:pPr>
            <w:r w:rsidRPr="007C4816">
              <w:rPr>
                <w:rFonts w:eastAsiaTheme="majorEastAsia" w:cs="Times New Roman"/>
                <w:bCs/>
                <w:szCs w:val="24"/>
              </w:rPr>
              <w:t>МНО</w:t>
            </w:r>
            <w:r>
              <w:rPr>
                <w:rFonts w:eastAsiaTheme="majorEastAsia" w:cs="Times New Roman"/>
                <w:bCs/>
                <w:szCs w:val="24"/>
              </w:rPr>
              <w:t xml:space="preserve"> 1.1–</w:t>
            </w:r>
            <w:r w:rsidRPr="007C4816">
              <w:rPr>
                <w:rFonts w:eastAsiaTheme="majorEastAsia" w:cs="Times New Roman"/>
                <w:bCs/>
                <w:szCs w:val="24"/>
              </w:rPr>
              <w:t>1.4 – увеличить дозу на 20%</w:t>
            </w:r>
          </w:p>
        </w:tc>
      </w:tr>
      <w:tr w:rsidR="001264E7" w14:paraId="0913A284" w14:textId="77777777" w:rsidTr="005A428D">
        <w:trPr>
          <w:trHeight w:val="515"/>
        </w:trPr>
        <w:tc>
          <w:tcPr>
            <w:tcW w:w="4394" w:type="dxa"/>
            <w:shd w:val="clear" w:color="auto" w:fill="auto"/>
          </w:tcPr>
          <w:p w14:paraId="7EA7058E" w14:textId="77777777" w:rsidR="001264E7" w:rsidRPr="007C4816" w:rsidRDefault="001264E7" w:rsidP="005A428D">
            <w:pPr>
              <w:rPr>
                <w:rFonts w:cs="Times New Roman"/>
                <w:szCs w:val="24"/>
              </w:rPr>
            </w:pPr>
            <w:r w:rsidRPr="007C4816">
              <w:rPr>
                <w:rFonts w:eastAsiaTheme="majorEastAsia" w:cs="Times New Roman"/>
                <w:bCs/>
                <w:szCs w:val="24"/>
              </w:rPr>
              <w:lastRenderedPageBreak/>
              <w:t>МНО 1.4–1.9 – 50% инициальной дозы</w:t>
            </w:r>
          </w:p>
        </w:tc>
        <w:tc>
          <w:tcPr>
            <w:tcW w:w="4570" w:type="dxa"/>
            <w:shd w:val="clear" w:color="auto" w:fill="auto"/>
          </w:tcPr>
          <w:p w14:paraId="688D200E" w14:textId="77777777" w:rsidR="001264E7" w:rsidRPr="007C4816" w:rsidRDefault="001264E7" w:rsidP="005A428D">
            <w:pPr>
              <w:rPr>
                <w:rFonts w:cs="Times New Roman"/>
                <w:szCs w:val="24"/>
              </w:rPr>
            </w:pPr>
            <w:r w:rsidRPr="007C4816">
              <w:rPr>
                <w:rFonts w:eastAsiaTheme="majorEastAsia" w:cs="Times New Roman"/>
                <w:bCs/>
                <w:szCs w:val="24"/>
              </w:rPr>
              <w:t xml:space="preserve">МНО </w:t>
            </w:r>
            <w:r>
              <w:rPr>
                <w:rFonts w:eastAsiaTheme="majorEastAsia" w:cs="Times New Roman"/>
                <w:bCs/>
                <w:szCs w:val="24"/>
              </w:rPr>
              <w:t>1.5–</w:t>
            </w:r>
            <w:r w:rsidRPr="007C4816">
              <w:rPr>
                <w:rFonts w:eastAsiaTheme="majorEastAsia" w:cs="Times New Roman"/>
                <w:bCs/>
                <w:szCs w:val="24"/>
              </w:rPr>
              <w:t>1.9 – увеличить дозу на 10%</w:t>
            </w:r>
          </w:p>
        </w:tc>
      </w:tr>
      <w:tr w:rsidR="001264E7" w14:paraId="31B06C68" w14:textId="77777777" w:rsidTr="005A428D">
        <w:trPr>
          <w:trHeight w:val="539"/>
        </w:trPr>
        <w:tc>
          <w:tcPr>
            <w:tcW w:w="4394" w:type="dxa"/>
            <w:shd w:val="clear" w:color="auto" w:fill="auto"/>
          </w:tcPr>
          <w:p w14:paraId="514E44DE" w14:textId="77777777" w:rsidR="001264E7" w:rsidRPr="007C4816" w:rsidRDefault="001264E7" w:rsidP="005A428D">
            <w:pPr>
              <w:rPr>
                <w:rFonts w:cs="Times New Roman"/>
                <w:szCs w:val="24"/>
              </w:rPr>
            </w:pPr>
            <w:r w:rsidRPr="007C4816">
              <w:rPr>
                <w:rFonts w:eastAsiaTheme="majorEastAsia" w:cs="Times New Roman"/>
                <w:bCs/>
                <w:szCs w:val="24"/>
              </w:rPr>
              <w:t xml:space="preserve">МНО </w:t>
            </w:r>
            <w:r>
              <w:rPr>
                <w:rFonts w:eastAsiaTheme="majorEastAsia" w:cs="Times New Roman"/>
                <w:bCs/>
                <w:szCs w:val="24"/>
              </w:rPr>
              <w:t>2.0</w:t>
            </w:r>
            <w:r w:rsidRPr="007C4816">
              <w:rPr>
                <w:rFonts w:eastAsiaTheme="majorEastAsia" w:cs="Times New Roman"/>
                <w:bCs/>
                <w:szCs w:val="24"/>
              </w:rPr>
              <w:t>–3.0 – 50% инициальной дозы</w:t>
            </w:r>
          </w:p>
        </w:tc>
        <w:tc>
          <w:tcPr>
            <w:tcW w:w="4570" w:type="dxa"/>
            <w:shd w:val="clear" w:color="auto" w:fill="auto"/>
          </w:tcPr>
          <w:p w14:paraId="42B4EB37" w14:textId="77777777" w:rsidR="001264E7" w:rsidRPr="007C4816" w:rsidRDefault="001264E7" w:rsidP="005A428D">
            <w:pPr>
              <w:rPr>
                <w:rFonts w:cs="Times New Roman"/>
                <w:szCs w:val="24"/>
              </w:rPr>
            </w:pPr>
            <w:r w:rsidRPr="007C4816">
              <w:rPr>
                <w:rFonts w:eastAsiaTheme="majorEastAsia" w:cs="Times New Roman"/>
                <w:bCs/>
                <w:szCs w:val="24"/>
              </w:rPr>
              <w:t xml:space="preserve">МНО </w:t>
            </w:r>
            <w:r>
              <w:rPr>
                <w:rFonts w:eastAsiaTheme="majorEastAsia" w:cs="Times New Roman"/>
                <w:bCs/>
                <w:szCs w:val="24"/>
              </w:rPr>
              <w:t>2.0</w:t>
            </w:r>
            <w:r w:rsidRPr="007C4816">
              <w:rPr>
                <w:rFonts w:eastAsiaTheme="majorEastAsia" w:cs="Times New Roman"/>
                <w:bCs/>
                <w:szCs w:val="24"/>
              </w:rPr>
              <w:t>–3.0 – продолжать без изменений</w:t>
            </w:r>
          </w:p>
        </w:tc>
      </w:tr>
      <w:tr w:rsidR="001264E7" w14:paraId="281A1185" w14:textId="77777777" w:rsidTr="005A428D">
        <w:trPr>
          <w:trHeight w:val="437"/>
        </w:trPr>
        <w:tc>
          <w:tcPr>
            <w:tcW w:w="4394" w:type="dxa"/>
            <w:shd w:val="clear" w:color="auto" w:fill="auto"/>
          </w:tcPr>
          <w:p w14:paraId="583B99F0" w14:textId="77777777" w:rsidR="001264E7" w:rsidRPr="007C4816" w:rsidRDefault="001264E7" w:rsidP="005A428D">
            <w:pPr>
              <w:rPr>
                <w:rFonts w:cs="Times New Roman"/>
                <w:szCs w:val="24"/>
              </w:rPr>
            </w:pPr>
            <w:r w:rsidRPr="007C4816">
              <w:rPr>
                <w:rFonts w:eastAsiaTheme="majorEastAsia" w:cs="Times New Roman"/>
                <w:bCs/>
                <w:szCs w:val="24"/>
              </w:rPr>
              <w:t>МНО 3.1–3.5 – 25% инициальной дозы</w:t>
            </w:r>
          </w:p>
        </w:tc>
        <w:tc>
          <w:tcPr>
            <w:tcW w:w="4570" w:type="dxa"/>
            <w:shd w:val="clear" w:color="auto" w:fill="auto"/>
          </w:tcPr>
          <w:p w14:paraId="018D62F5" w14:textId="77777777" w:rsidR="001264E7" w:rsidRPr="007C4816" w:rsidRDefault="001264E7" w:rsidP="005A428D">
            <w:pPr>
              <w:rPr>
                <w:rFonts w:cs="Times New Roman"/>
                <w:szCs w:val="24"/>
              </w:rPr>
            </w:pPr>
            <w:r w:rsidRPr="007C4816">
              <w:rPr>
                <w:rFonts w:eastAsiaTheme="majorEastAsia" w:cs="Times New Roman"/>
                <w:bCs/>
                <w:szCs w:val="24"/>
              </w:rPr>
              <w:t xml:space="preserve">МНО </w:t>
            </w:r>
            <w:r>
              <w:rPr>
                <w:rFonts w:eastAsiaTheme="majorEastAsia" w:cs="Times New Roman"/>
                <w:bCs/>
                <w:szCs w:val="24"/>
              </w:rPr>
              <w:t>3.1–</w:t>
            </w:r>
            <w:r w:rsidRPr="007C4816">
              <w:rPr>
                <w:rFonts w:eastAsiaTheme="majorEastAsia" w:cs="Times New Roman"/>
                <w:bCs/>
                <w:szCs w:val="24"/>
              </w:rPr>
              <w:t>3.5 – уменьшить дозу на 10%</w:t>
            </w:r>
          </w:p>
        </w:tc>
      </w:tr>
      <w:tr w:rsidR="001264E7" w14:paraId="4ACA5480" w14:textId="77777777" w:rsidTr="005A428D">
        <w:trPr>
          <w:trHeight w:val="565"/>
        </w:trPr>
        <w:tc>
          <w:tcPr>
            <w:tcW w:w="4394" w:type="dxa"/>
            <w:vMerge w:val="restart"/>
            <w:shd w:val="clear" w:color="auto" w:fill="auto"/>
          </w:tcPr>
          <w:p w14:paraId="0B1EDDDC" w14:textId="77777777" w:rsidR="001264E7" w:rsidRPr="007C4816" w:rsidRDefault="001264E7" w:rsidP="005A428D">
            <w:pPr>
              <w:rPr>
                <w:rFonts w:cs="Times New Roman"/>
                <w:szCs w:val="24"/>
              </w:rPr>
            </w:pPr>
            <w:r w:rsidRPr="007C4816">
              <w:rPr>
                <w:rFonts w:eastAsiaTheme="majorEastAsia" w:cs="Times New Roman"/>
                <w:bCs/>
                <w:szCs w:val="24"/>
              </w:rPr>
              <w:t>МНО &gt;</w:t>
            </w:r>
            <w:r w:rsidRPr="007C4816">
              <w:rPr>
                <w:rFonts w:eastAsiaTheme="majorEastAsia" w:cs="Times New Roman"/>
                <w:bCs/>
                <w:szCs w:val="24"/>
                <w:lang w:val="pl-PL"/>
              </w:rPr>
              <w:t xml:space="preserve"> 3</w:t>
            </w:r>
            <w:r w:rsidRPr="007C4816">
              <w:rPr>
                <w:rFonts w:eastAsiaTheme="majorEastAsia" w:cs="Times New Roman"/>
                <w:bCs/>
                <w:szCs w:val="24"/>
              </w:rPr>
              <w:t xml:space="preserve">.5 – пауза до тех пор, пока МНО не станет &lt; 3.5, затем начать повторный прием </w:t>
            </w:r>
            <w:r>
              <w:rPr>
                <w:rFonts w:eastAsiaTheme="majorEastAsia" w:cs="Times New Roman"/>
                <w:bCs/>
                <w:szCs w:val="24"/>
              </w:rPr>
              <w:t>50% предшествующей дозы</w:t>
            </w:r>
          </w:p>
          <w:p w14:paraId="3A31E4ED" w14:textId="77777777" w:rsidR="001264E7" w:rsidRPr="007C4816" w:rsidRDefault="001264E7" w:rsidP="005A428D">
            <w:pPr>
              <w:jc w:val="center"/>
              <w:rPr>
                <w:rFonts w:cs="Times New Roman"/>
                <w:szCs w:val="24"/>
              </w:rPr>
            </w:pPr>
          </w:p>
        </w:tc>
        <w:tc>
          <w:tcPr>
            <w:tcW w:w="4570" w:type="dxa"/>
            <w:shd w:val="clear" w:color="auto" w:fill="auto"/>
          </w:tcPr>
          <w:p w14:paraId="2728296F" w14:textId="77777777" w:rsidR="001264E7" w:rsidRPr="007C4816" w:rsidRDefault="001264E7" w:rsidP="005A428D">
            <w:pPr>
              <w:rPr>
                <w:rFonts w:cs="Times New Roman"/>
                <w:szCs w:val="24"/>
              </w:rPr>
            </w:pPr>
            <w:r w:rsidRPr="007C4816">
              <w:rPr>
                <w:rFonts w:eastAsiaTheme="majorEastAsia" w:cs="Times New Roman"/>
                <w:bCs/>
                <w:szCs w:val="24"/>
              </w:rPr>
              <w:t xml:space="preserve">МНО </w:t>
            </w:r>
            <w:r>
              <w:rPr>
                <w:rFonts w:eastAsiaTheme="majorEastAsia" w:cs="Times New Roman"/>
                <w:bCs/>
                <w:szCs w:val="24"/>
              </w:rPr>
              <w:t>3.6</w:t>
            </w:r>
            <w:r w:rsidRPr="007C4816">
              <w:rPr>
                <w:rFonts w:eastAsiaTheme="majorEastAsia" w:cs="Times New Roman"/>
                <w:bCs/>
                <w:szCs w:val="24"/>
              </w:rPr>
              <w:t>–4.0 – однократно 50% дозы, затем в уменьшенной на 20%</w:t>
            </w:r>
            <w:r>
              <w:rPr>
                <w:rFonts w:eastAsiaTheme="majorEastAsia" w:cs="Times New Roman"/>
                <w:bCs/>
                <w:szCs w:val="24"/>
              </w:rPr>
              <w:t xml:space="preserve"> дозе</w:t>
            </w:r>
          </w:p>
        </w:tc>
      </w:tr>
      <w:tr w:rsidR="001264E7" w14:paraId="4846FF27" w14:textId="77777777" w:rsidTr="005A428D">
        <w:trPr>
          <w:trHeight w:val="755"/>
        </w:trPr>
        <w:tc>
          <w:tcPr>
            <w:tcW w:w="4394" w:type="dxa"/>
            <w:vMerge/>
            <w:shd w:val="clear" w:color="auto" w:fill="auto"/>
          </w:tcPr>
          <w:p w14:paraId="4F188FC9" w14:textId="77777777" w:rsidR="001264E7" w:rsidRPr="007C4816" w:rsidRDefault="001264E7" w:rsidP="005A428D">
            <w:pPr>
              <w:jc w:val="center"/>
              <w:rPr>
                <w:rFonts w:eastAsiaTheme="majorEastAsia" w:cs="Times New Roman"/>
                <w:bCs/>
                <w:szCs w:val="24"/>
              </w:rPr>
            </w:pPr>
          </w:p>
        </w:tc>
        <w:tc>
          <w:tcPr>
            <w:tcW w:w="4570" w:type="dxa"/>
            <w:shd w:val="clear" w:color="auto" w:fill="auto"/>
          </w:tcPr>
          <w:p w14:paraId="7C50F153" w14:textId="77777777" w:rsidR="001264E7" w:rsidRPr="007C4816" w:rsidRDefault="001264E7" w:rsidP="005A428D">
            <w:pPr>
              <w:rPr>
                <w:rFonts w:cs="Times New Roman"/>
                <w:szCs w:val="24"/>
              </w:rPr>
            </w:pPr>
            <w:r w:rsidRPr="007C4816">
              <w:rPr>
                <w:rFonts w:eastAsiaTheme="majorEastAsia" w:cs="Times New Roman"/>
                <w:bCs/>
                <w:szCs w:val="24"/>
              </w:rPr>
              <w:t>МНО &gt; 4.0 пауза до тех пор, пока МНО не станет &lt; 3.5, затем начать повторный прием (25% предшествующей дозы)</w:t>
            </w:r>
          </w:p>
        </w:tc>
      </w:tr>
    </w:tbl>
    <w:p w14:paraId="66B75AB3" w14:textId="77777777" w:rsidR="001264E7" w:rsidRDefault="001264E7" w:rsidP="001264E7">
      <w:pPr>
        <w:rPr>
          <w:strike/>
          <w:szCs w:val="24"/>
        </w:rPr>
      </w:pPr>
    </w:p>
    <w:p w14:paraId="231F7592" w14:textId="77777777" w:rsidR="001264E7" w:rsidRDefault="001264E7" w:rsidP="00B0477D">
      <w:pPr>
        <w:ind w:firstLine="709"/>
        <w:rPr>
          <w:rFonts w:eastAsia="Times New Roman"/>
          <w:szCs w:val="24"/>
          <w:lang w:eastAsia="ru-RU"/>
        </w:rPr>
      </w:pPr>
      <w:r>
        <w:rPr>
          <w:rFonts w:eastAsia="Times New Roman"/>
          <w:szCs w:val="24"/>
          <w:lang w:eastAsia="ru-RU"/>
        </w:rPr>
        <w:t xml:space="preserve">В случае если при лечении варфарином появляется патологическая кровоточивость, необходимо определить протромбин по Квику (МНО), отменить варфарин. В лечении тяжелых варфариновых кровотечений используются: концентраты протромбинового комплекса или свежезамороженная плазма (СЗП). </w:t>
      </w:r>
    </w:p>
    <w:p w14:paraId="08EE3523" w14:textId="77777777" w:rsidR="001264E7" w:rsidRDefault="001264E7" w:rsidP="00B0477D">
      <w:pPr>
        <w:ind w:firstLine="709"/>
        <w:rPr>
          <w:szCs w:val="24"/>
        </w:rPr>
      </w:pPr>
      <w:r>
        <w:rPr>
          <w:szCs w:val="24"/>
        </w:rPr>
        <w:t>Перевод пациентов с парентеральных препаратов на прямые пероральные антитромботические средства может производиться по следующему алгоритму:</w:t>
      </w:r>
    </w:p>
    <w:p w14:paraId="3579440D" w14:textId="77777777" w:rsidR="001264E7" w:rsidRDefault="001264E7" w:rsidP="0091350E">
      <w:pPr>
        <w:pStyle w:val="aff"/>
        <w:numPr>
          <w:ilvl w:val="0"/>
          <w:numId w:val="43"/>
        </w:numPr>
        <w:ind w:left="1134"/>
        <w:contextualSpacing/>
        <w:rPr>
          <w:szCs w:val="24"/>
        </w:rPr>
      </w:pPr>
      <w:r>
        <w:rPr>
          <w:szCs w:val="24"/>
        </w:rPr>
        <w:t>лечение прямыми пероральными антикоагулянтами должно быть начато за 0-2 часа до следующего планового введения парентерального антикоагулянта;</w:t>
      </w:r>
    </w:p>
    <w:p w14:paraId="08347361" w14:textId="77777777" w:rsidR="001264E7" w:rsidRDefault="001264E7" w:rsidP="0091350E">
      <w:pPr>
        <w:pStyle w:val="aff"/>
        <w:numPr>
          <w:ilvl w:val="0"/>
          <w:numId w:val="43"/>
        </w:numPr>
        <w:ind w:left="1134"/>
        <w:contextualSpacing/>
        <w:rPr>
          <w:szCs w:val="24"/>
        </w:rPr>
      </w:pPr>
      <w:r>
        <w:rPr>
          <w:szCs w:val="24"/>
        </w:rPr>
        <w:t>замена введения очередной дозы парентерального препарата приемом дозы перорального антикоагулянта для НМГ и фондапаринукса – через 24 часа, для НФГ – через 8 часов (для ривароксабана – прием пероральной формы сразу после отмены НФГ).</w:t>
      </w:r>
    </w:p>
    <w:p w14:paraId="5F3AFCBE" w14:textId="77777777" w:rsidR="001264E7" w:rsidRDefault="001264E7" w:rsidP="00B0477D">
      <w:pPr>
        <w:ind w:firstLine="709"/>
        <w:rPr>
          <w:rFonts w:eastAsia="Times New Roman"/>
          <w:szCs w:val="24"/>
          <w:lang w:eastAsia="ru-RU"/>
        </w:rPr>
      </w:pPr>
      <w:r>
        <w:rPr>
          <w:rFonts w:eastAsia="Times New Roman"/>
          <w:szCs w:val="24"/>
          <w:lang w:eastAsia="ru-RU"/>
        </w:rPr>
        <w:t>Препараты АВК и ПОАК можно использовать в виде монотерапии для профилактики тромботических нарушений во время ХТ и других видов специфического лечения.</w:t>
      </w:r>
    </w:p>
    <w:p w14:paraId="74FF012D" w14:textId="77777777" w:rsidR="001264E7" w:rsidRDefault="001264E7" w:rsidP="00B0477D">
      <w:pPr>
        <w:ind w:firstLine="709"/>
        <w:rPr>
          <w:szCs w:val="24"/>
        </w:rPr>
      </w:pPr>
      <w:r>
        <w:rPr>
          <w:szCs w:val="24"/>
        </w:rPr>
        <w:t>В настоящее время перевод пациентов с приема пероральных антикоагулянтов к парентеральному введению антикоагулянтов осуществляется по следующему алгоритму:</w:t>
      </w:r>
    </w:p>
    <w:p w14:paraId="75DD1AB9" w14:textId="77777777" w:rsidR="001264E7" w:rsidRDefault="001264E7" w:rsidP="0091350E">
      <w:pPr>
        <w:pStyle w:val="aff"/>
        <w:numPr>
          <w:ilvl w:val="0"/>
          <w:numId w:val="44"/>
        </w:numPr>
        <w:ind w:left="1134"/>
        <w:contextualSpacing/>
        <w:rPr>
          <w:szCs w:val="24"/>
        </w:rPr>
      </w:pPr>
      <w:r>
        <w:rPr>
          <w:szCs w:val="24"/>
        </w:rPr>
        <w:t>для дабигатрана этексилата или ривароксабана необходим перерыв 24 часа с приема последней дозы, после чего нужно ввести парентеральный антикоагулянт;</w:t>
      </w:r>
    </w:p>
    <w:p w14:paraId="3E572351" w14:textId="77777777" w:rsidR="001264E7" w:rsidRDefault="001264E7" w:rsidP="0091350E">
      <w:pPr>
        <w:pStyle w:val="aff"/>
        <w:numPr>
          <w:ilvl w:val="0"/>
          <w:numId w:val="44"/>
        </w:numPr>
        <w:ind w:left="1134"/>
        <w:contextualSpacing/>
        <w:rPr>
          <w:szCs w:val="24"/>
        </w:rPr>
      </w:pPr>
      <w:r>
        <w:rPr>
          <w:szCs w:val="24"/>
        </w:rPr>
        <w:t>для апиксабана – выждать 12 часов с приема последней дозы и ввести парентеральный антикоагулянт.</w:t>
      </w:r>
    </w:p>
    <w:p w14:paraId="2FF2BADC" w14:textId="77777777" w:rsidR="001264E7" w:rsidRDefault="001264E7" w:rsidP="001264E7">
      <w:pPr>
        <w:ind w:firstLine="708"/>
        <w:rPr>
          <w:bCs/>
          <w:szCs w:val="24"/>
        </w:rPr>
      </w:pPr>
      <w:r>
        <w:rPr>
          <w:bCs/>
          <w:szCs w:val="24"/>
        </w:rPr>
        <w:t xml:space="preserve">Гематологическим пациентам с высоким риском тромботических осложнений необходимо обязательное проведение антитромботической профилактики в случае </w:t>
      </w:r>
      <w:r>
        <w:rPr>
          <w:bCs/>
          <w:szCs w:val="24"/>
        </w:rPr>
        <w:lastRenderedPageBreak/>
        <w:t>проведения хирургического вмешательства. Дозы и режимы лекарственных препаратов представлены в таблице 4.</w:t>
      </w:r>
    </w:p>
    <w:p w14:paraId="0DF75AFF" w14:textId="77777777" w:rsidR="001264E7" w:rsidRDefault="001264E7" w:rsidP="001264E7">
      <w:pPr>
        <w:rPr>
          <w:bCs/>
          <w:szCs w:val="24"/>
        </w:rPr>
      </w:pPr>
    </w:p>
    <w:p w14:paraId="656AB0A4" w14:textId="77777777" w:rsidR="001264E7" w:rsidRPr="00B46409" w:rsidRDefault="001264E7" w:rsidP="001264E7">
      <w:pPr>
        <w:rPr>
          <w:bCs/>
          <w:szCs w:val="24"/>
        </w:rPr>
      </w:pPr>
      <w:r w:rsidRPr="00B46409">
        <w:rPr>
          <w:bCs/>
          <w:szCs w:val="24"/>
        </w:rPr>
        <w:t xml:space="preserve">Таблица </w:t>
      </w:r>
      <w:r>
        <w:rPr>
          <w:bCs/>
          <w:szCs w:val="24"/>
        </w:rPr>
        <w:t>4</w:t>
      </w:r>
      <w:r w:rsidRPr="00B46409">
        <w:rPr>
          <w:bCs/>
          <w:szCs w:val="24"/>
        </w:rPr>
        <w:t xml:space="preserve">. Дозы антикоагулянтных препаратов </w:t>
      </w:r>
      <w:r w:rsidRPr="00B46409">
        <w:rPr>
          <w:bCs/>
          <w:iCs/>
          <w:szCs w:val="24"/>
        </w:rPr>
        <w:t>для профилактики</w:t>
      </w:r>
      <w:r>
        <w:rPr>
          <w:bCs/>
          <w:iCs/>
          <w:szCs w:val="24"/>
        </w:rPr>
        <w:t xml:space="preserve"> </w:t>
      </w:r>
      <w:r w:rsidRPr="00B46409">
        <w:rPr>
          <w:bCs/>
          <w:szCs w:val="24"/>
        </w:rPr>
        <w:t>тромботических осложнений при проведении хирургических вмешательств</w:t>
      </w:r>
    </w:p>
    <w:tbl>
      <w:tblPr>
        <w:tblStyle w:val="1f4"/>
        <w:tblW w:w="793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258"/>
        <w:gridCol w:w="4680"/>
      </w:tblGrid>
      <w:tr w:rsidR="001264E7" w:rsidRPr="00B46409" w14:paraId="2ACDC7BA" w14:textId="77777777" w:rsidTr="005A428D">
        <w:trPr>
          <w:trHeight w:val="452"/>
        </w:trPr>
        <w:tc>
          <w:tcPr>
            <w:tcW w:w="3258" w:type="dxa"/>
            <w:shd w:val="clear" w:color="auto" w:fill="auto"/>
          </w:tcPr>
          <w:p w14:paraId="490772C5" w14:textId="77777777" w:rsidR="001264E7" w:rsidRPr="00B46409" w:rsidRDefault="001264E7" w:rsidP="005A428D">
            <w:pPr>
              <w:rPr>
                <w:rFonts w:cs="Times New Roman"/>
                <w:bCs/>
                <w:szCs w:val="24"/>
              </w:rPr>
            </w:pPr>
            <w:r w:rsidRPr="00B46409">
              <w:rPr>
                <w:rFonts w:eastAsiaTheme="majorEastAsia" w:cs="Times New Roman"/>
                <w:bCs/>
                <w:szCs w:val="24"/>
              </w:rPr>
              <w:t>Нефракционированный гепарин</w:t>
            </w:r>
          </w:p>
        </w:tc>
        <w:tc>
          <w:tcPr>
            <w:tcW w:w="4680" w:type="dxa"/>
            <w:shd w:val="clear" w:color="auto" w:fill="auto"/>
          </w:tcPr>
          <w:p w14:paraId="3DCADEAF" w14:textId="77777777" w:rsidR="001264E7" w:rsidRPr="00B46409" w:rsidRDefault="001264E7" w:rsidP="005A428D">
            <w:pPr>
              <w:rPr>
                <w:rFonts w:cs="Times New Roman"/>
                <w:bCs/>
                <w:szCs w:val="24"/>
              </w:rPr>
            </w:pPr>
            <w:r w:rsidRPr="00B46409">
              <w:rPr>
                <w:rFonts w:eastAsiaTheme="majorEastAsia" w:cs="Times New Roman"/>
                <w:bCs/>
                <w:szCs w:val="24"/>
              </w:rPr>
              <w:t>5000 МЕ за 10—12 ч перед операцией и 5000 МЕ 1 раз в день после, п/к</w:t>
            </w:r>
          </w:p>
        </w:tc>
      </w:tr>
      <w:tr w:rsidR="001264E7" w:rsidRPr="00B46409" w14:paraId="255A8167" w14:textId="77777777" w:rsidTr="005A428D">
        <w:trPr>
          <w:trHeight w:val="452"/>
        </w:trPr>
        <w:tc>
          <w:tcPr>
            <w:tcW w:w="3258" w:type="dxa"/>
            <w:shd w:val="clear" w:color="auto" w:fill="auto"/>
          </w:tcPr>
          <w:p w14:paraId="3373F07B" w14:textId="77777777" w:rsidR="001264E7" w:rsidRPr="00B46409" w:rsidRDefault="001264E7" w:rsidP="005A428D">
            <w:pPr>
              <w:rPr>
                <w:rFonts w:cs="Times New Roman"/>
                <w:bCs/>
                <w:szCs w:val="24"/>
              </w:rPr>
            </w:pPr>
            <w:r w:rsidRPr="00B46409">
              <w:rPr>
                <w:rFonts w:eastAsiaTheme="majorEastAsia" w:cs="Times New Roman"/>
                <w:bCs/>
                <w:szCs w:val="24"/>
              </w:rPr>
              <w:t>Далтепарин натрия</w:t>
            </w:r>
          </w:p>
        </w:tc>
        <w:tc>
          <w:tcPr>
            <w:tcW w:w="4680" w:type="dxa"/>
            <w:shd w:val="clear" w:color="auto" w:fill="auto"/>
          </w:tcPr>
          <w:p w14:paraId="01DD6439" w14:textId="77777777" w:rsidR="001264E7" w:rsidRPr="00B46409" w:rsidRDefault="001264E7" w:rsidP="005A428D">
            <w:pPr>
              <w:rPr>
                <w:rFonts w:cs="Times New Roman"/>
                <w:bCs/>
                <w:szCs w:val="24"/>
              </w:rPr>
            </w:pPr>
            <w:r w:rsidRPr="00B46409">
              <w:rPr>
                <w:rFonts w:eastAsiaTheme="majorEastAsia" w:cs="Times New Roman"/>
                <w:bCs/>
                <w:szCs w:val="24"/>
              </w:rPr>
              <w:t>5000 МЕ за 10—12 ч перед операцией и 5000 МЕ 1 раз в день после, п/к</w:t>
            </w:r>
          </w:p>
        </w:tc>
      </w:tr>
      <w:tr w:rsidR="001264E7" w:rsidRPr="00B46409" w14:paraId="24901966" w14:textId="77777777" w:rsidTr="005A428D">
        <w:trPr>
          <w:trHeight w:val="561"/>
        </w:trPr>
        <w:tc>
          <w:tcPr>
            <w:tcW w:w="3258" w:type="dxa"/>
            <w:shd w:val="clear" w:color="auto" w:fill="auto"/>
          </w:tcPr>
          <w:p w14:paraId="1C2303B8" w14:textId="77777777" w:rsidR="001264E7" w:rsidRPr="00B46409" w:rsidRDefault="001264E7" w:rsidP="005A428D">
            <w:pPr>
              <w:rPr>
                <w:rFonts w:cs="Times New Roman"/>
                <w:bCs/>
                <w:szCs w:val="24"/>
              </w:rPr>
            </w:pPr>
            <w:r w:rsidRPr="00B46409">
              <w:rPr>
                <w:rFonts w:eastAsiaTheme="majorEastAsia" w:cs="Times New Roman"/>
                <w:bCs/>
                <w:szCs w:val="24"/>
              </w:rPr>
              <w:t>Эноксапарин натрия</w:t>
            </w:r>
          </w:p>
        </w:tc>
        <w:tc>
          <w:tcPr>
            <w:tcW w:w="4680" w:type="dxa"/>
            <w:shd w:val="clear" w:color="auto" w:fill="auto"/>
          </w:tcPr>
          <w:p w14:paraId="06527646" w14:textId="77777777" w:rsidR="001264E7" w:rsidRPr="00B46409" w:rsidRDefault="001264E7" w:rsidP="005A428D">
            <w:pPr>
              <w:rPr>
                <w:rFonts w:cs="Times New Roman"/>
                <w:bCs/>
                <w:szCs w:val="24"/>
              </w:rPr>
            </w:pPr>
            <w:r w:rsidRPr="00B46409">
              <w:rPr>
                <w:rFonts w:eastAsiaTheme="majorEastAsia" w:cs="Times New Roman"/>
                <w:bCs/>
                <w:szCs w:val="24"/>
              </w:rPr>
              <w:t>0,4 мл за 10—12 ч перед операцией и 0,4 мл 1 раз в день после, п/к</w:t>
            </w:r>
          </w:p>
        </w:tc>
      </w:tr>
      <w:tr w:rsidR="001264E7" w:rsidRPr="00B46409" w14:paraId="0F96A286" w14:textId="77777777" w:rsidTr="005A428D">
        <w:trPr>
          <w:trHeight w:val="452"/>
        </w:trPr>
        <w:tc>
          <w:tcPr>
            <w:tcW w:w="3258" w:type="dxa"/>
            <w:shd w:val="clear" w:color="auto" w:fill="auto"/>
          </w:tcPr>
          <w:p w14:paraId="472B19D9" w14:textId="77777777" w:rsidR="001264E7" w:rsidRPr="00B46409" w:rsidRDefault="001264E7" w:rsidP="005A428D">
            <w:pPr>
              <w:rPr>
                <w:rFonts w:cs="Times New Roman"/>
                <w:bCs/>
                <w:szCs w:val="24"/>
              </w:rPr>
            </w:pPr>
            <w:r w:rsidRPr="00B46409">
              <w:rPr>
                <w:rFonts w:eastAsiaTheme="majorEastAsia" w:cs="Times New Roman"/>
                <w:bCs/>
                <w:szCs w:val="24"/>
              </w:rPr>
              <w:t>Надропарин кальция</w:t>
            </w:r>
          </w:p>
        </w:tc>
        <w:tc>
          <w:tcPr>
            <w:tcW w:w="4680" w:type="dxa"/>
            <w:shd w:val="clear" w:color="auto" w:fill="auto"/>
          </w:tcPr>
          <w:p w14:paraId="5B8B71B9" w14:textId="77777777" w:rsidR="001264E7" w:rsidRPr="00B46409" w:rsidRDefault="001264E7" w:rsidP="005A428D">
            <w:pPr>
              <w:rPr>
                <w:rFonts w:cs="Times New Roman"/>
                <w:bCs/>
                <w:szCs w:val="24"/>
              </w:rPr>
            </w:pPr>
            <w:r w:rsidRPr="00B46409">
              <w:rPr>
                <w:rFonts w:eastAsiaTheme="majorEastAsia" w:cs="Times New Roman"/>
                <w:bCs/>
                <w:szCs w:val="24"/>
              </w:rPr>
              <w:t>0,3 мл за 10—12 ч перед операцией и 0,3 мл 1 раз в день после, п/к</w:t>
            </w:r>
          </w:p>
        </w:tc>
      </w:tr>
      <w:tr w:rsidR="001264E7" w:rsidRPr="00B46409" w14:paraId="37E21287" w14:textId="77777777" w:rsidTr="005A428D">
        <w:trPr>
          <w:trHeight w:val="780"/>
        </w:trPr>
        <w:tc>
          <w:tcPr>
            <w:tcW w:w="3258" w:type="dxa"/>
            <w:shd w:val="clear" w:color="auto" w:fill="auto"/>
          </w:tcPr>
          <w:p w14:paraId="20E599C4" w14:textId="77777777" w:rsidR="001264E7" w:rsidRPr="00B46409" w:rsidRDefault="001264E7" w:rsidP="005A428D">
            <w:pPr>
              <w:rPr>
                <w:rFonts w:cs="Times New Roman"/>
                <w:bCs/>
                <w:szCs w:val="24"/>
              </w:rPr>
            </w:pPr>
            <w:r w:rsidRPr="00B46409">
              <w:rPr>
                <w:rFonts w:eastAsiaTheme="majorEastAsia" w:cs="Times New Roman"/>
                <w:bCs/>
                <w:szCs w:val="24"/>
              </w:rPr>
              <w:t>Фондапаринукс натрия</w:t>
            </w:r>
          </w:p>
        </w:tc>
        <w:tc>
          <w:tcPr>
            <w:tcW w:w="4680" w:type="dxa"/>
            <w:shd w:val="clear" w:color="auto" w:fill="auto"/>
          </w:tcPr>
          <w:p w14:paraId="2348B8B1" w14:textId="77777777" w:rsidR="001264E7" w:rsidRPr="00B46409" w:rsidRDefault="001264E7" w:rsidP="005A428D">
            <w:pPr>
              <w:rPr>
                <w:rFonts w:cs="Times New Roman"/>
                <w:bCs/>
                <w:szCs w:val="24"/>
              </w:rPr>
            </w:pPr>
            <w:r w:rsidRPr="00B46409">
              <w:rPr>
                <w:rFonts w:eastAsiaTheme="majorEastAsia" w:cs="Times New Roman"/>
                <w:bCs/>
                <w:szCs w:val="24"/>
              </w:rPr>
              <w:t>2,5 мг ежедневно 1 раз в день перед оперативным лечением и через 6—8 ч после, п/к</w:t>
            </w:r>
          </w:p>
        </w:tc>
      </w:tr>
    </w:tbl>
    <w:p w14:paraId="76ED8FAB" w14:textId="77777777" w:rsidR="001264E7" w:rsidRDefault="001264E7" w:rsidP="001264E7">
      <w:pPr>
        <w:rPr>
          <w:b/>
          <w:bCs/>
          <w:szCs w:val="24"/>
        </w:rPr>
      </w:pPr>
    </w:p>
    <w:p w14:paraId="12AD9008" w14:textId="77777777" w:rsidR="001264E7" w:rsidRPr="00C14067" w:rsidRDefault="001264E7" w:rsidP="00B0477D">
      <w:pPr>
        <w:ind w:firstLine="709"/>
        <w:rPr>
          <w:rFonts w:eastAsia="Times New Roman"/>
          <w:szCs w:val="24"/>
          <w:lang w:eastAsia="ru-RU"/>
        </w:rPr>
      </w:pPr>
      <w:r>
        <w:rPr>
          <w:rFonts w:eastAsia="Times New Roman"/>
          <w:szCs w:val="24"/>
          <w:lang w:eastAsia="ru-RU"/>
        </w:rPr>
        <w:t>Длительность терапии определяется причиной, видом и локализацией тромботического осложнения. Обязательно учитываются данные анамнеза пациента по предшествующим тромботическим событиям. В некоторых ситуациях антикоагулянтная терапия проводится пожизненно.</w:t>
      </w:r>
    </w:p>
    <w:p w14:paraId="277B2E97" w14:textId="77777777" w:rsidR="001264E7" w:rsidRDefault="001264E7" w:rsidP="001264E7">
      <w:pPr>
        <w:rPr>
          <w:rFonts w:eastAsia="Times New Roman"/>
          <w:szCs w:val="24"/>
          <w:u w:val="single"/>
          <w:lang w:eastAsia="ru-RU"/>
        </w:rPr>
      </w:pPr>
    </w:p>
    <w:p w14:paraId="3BB72CB9" w14:textId="42F1FBCB" w:rsidR="001264E7" w:rsidRPr="00307C3E" w:rsidRDefault="001264E7" w:rsidP="001264E7">
      <w:pPr>
        <w:rPr>
          <w:rFonts w:eastAsia="Times New Roman"/>
          <w:szCs w:val="24"/>
          <w:lang w:eastAsia="ru-RU"/>
        </w:rPr>
      </w:pPr>
      <w:r w:rsidRPr="00307C3E">
        <w:rPr>
          <w:rFonts w:eastAsia="Times New Roman"/>
          <w:szCs w:val="24"/>
          <w:lang w:eastAsia="ru-RU"/>
        </w:rPr>
        <w:t>2) Фибринолитическая терапия</w:t>
      </w:r>
      <w:r>
        <w:rPr>
          <w:rFonts w:eastAsia="Times New Roman"/>
          <w:szCs w:val="24"/>
          <w:lang w:eastAsia="ru-RU"/>
        </w:rPr>
        <w:t xml:space="preserve"> </w:t>
      </w:r>
      <w:r>
        <w:fldChar w:fldCharType="begin" w:fldLock="1"/>
      </w:r>
      <w:r w:rsidR="00312D7F">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[136,137]","plainTextFormattedCitation":"[136,137]","previouslyFormattedCitation":"[136,137]"},"properties":{"noteIndex":0},"schema":"https://github.com/citation-style-language/schema/raw/master/csl-citation.json"}</w:instrText>
      </w:r>
      <w:r>
        <w:fldChar w:fldCharType="separate"/>
      </w:r>
      <w:r w:rsidRPr="001264E7">
        <w:rPr>
          <w:noProof/>
        </w:rPr>
        <w:t>[136,137]</w:t>
      </w:r>
      <w:r>
        <w:fldChar w:fldCharType="end"/>
      </w:r>
      <w:r w:rsidRPr="00307C3E">
        <w:rPr>
          <w:rFonts w:eastAsia="Times New Roman"/>
          <w:szCs w:val="24"/>
          <w:lang w:eastAsia="ru-RU"/>
        </w:rPr>
        <w:t>.</w:t>
      </w:r>
    </w:p>
    <w:p w14:paraId="7D3B9530" w14:textId="77777777" w:rsidR="001264E7" w:rsidRDefault="001264E7" w:rsidP="00B0477D">
      <w:pPr>
        <w:ind w:firstLine="709"/>
        <w:rPr>
          <w:rFonts w:eastAsia="Times New Roman"/>
          <w:sz w:val="28"/>
          <w:szCs w:val="28"/>
          <w:lang w:eastAsia="ru-RU"/>
        </w:rPr>
      </w:pPr>
      <w:r>
        <w:rPr>
          <w:rFonts w:eastAsia="Times New Roman"/>
          <w:szCs w:val="24"/>
          <w:lang w:eastAsia="ru-RU"/>
        </w:rPr>
        <w:t xml:space="preserve">Тромболизис эффективен при ТЭЛА, в раннем периоде острого инфаркта миокарда и ишемического инсульта, тромбозе синусов головного мозга, а также при угрозе формирования гангрены вследствие венозной окклюзии. С целью тромболизиса используются такие препараты, как стрептокиназа, урокиназа, алтеплаза. Дозы фибринолитических препаратов и режимы их применения различны и зависят от показаний. </w:t>
      </w:r>
    </w:p>
    <w:p w14:paraId="71D7466C" w14:textId="77777777" w:rsidR="001264E7" w:rsidRDefault="001264E7" w:rsidP="001264E7">
      <w:pPr>
        <w:rPr>
          <w:rFonts w:eastAsia="Times New Roman"/>
          <w:szCs w:val="24"/>
          <w:u w:val="single"/>
          <w:lang w:eastAsia="ru-RU"/>
        </w:rPr>
      </w:pPr>
    </w:p>
    <w:p w14:paraId="6AB5A454" w14:textId="4D6400B2" w:rsidR="001264E7" w:rsidRPr="00307C3E" w:rsidRDefault="001264E7" w:rsidP="001264E7">
      <w:pPr>
        <w:rPr>
          <w:rFonts w:eastAsia="Times New Roman"/>
          <w:szCs w:val="24"/>
          <w:lang w:eastAsia="ru-RU"/>
        </w:rPr>
      </w:pPr>
      <w:r w:rsidRPr="00307C3E">
        <w:rPr>
          <w:rFonts w:eastAsia="Times New Roman"/>
          <w:szCs w:val="24"/>
          <w:lang w:eastAsia="ru-RU"/>
        </w:rPr>
        <w:t>3) Антиагрегантная терапия</w:t>
      </w:r>
      <w:r>
        <w:rPr>
          <w:rFonts w:eastAsia="Times New Roman"/>
          <w:szCs w:val="24"/>
          <w:lang w:eastAsia="ru-RU"/>
        </w:rPr>
        <w:t xml:space="preserve"> </w:t>
      </w:r>
      <w:r>
        <w:fldChar w:fldCharType="begin" w:fldLock="1"/>
      </w:r>
      <w:r w:rsidR="00312D7F">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[136,137]","plainTextFormattedCitation":"[136,137]","previouslyFormattedCitation":"[136,137]"},"properties":{"noteIndex":0},"schema":"https://github.com/citation-style-language/schema/raw/master/csl-citation.json"}</w:instrText>
      </w:r>
      <w:r>
        <w:fldChar w:fldCharType="separate"/>
      </w:r>
      <w:r w:rsidRPr="001264E7">
        <w:rPr>
          <w:noProof/>
        </w:rPr>
        <w:t>[136,137]</w:t>
      </w:r>
      <w:r>
        <w:fldChar w:fldCharType="end"/>
      </w:r>
      <w:r w:rsidRPr="00307C3E">
        <w:rPr>
          <w:rFonts w:eastAsia="Times New Roman"/>
          <w:szCs w:val="24"/>
          <w:lang w:eastAsia="ru-RU"/>
        </w:rPr>
        <w:t>.</w:t>
      </w:r>
    </w:p>
    <w:p w14:paraId="556E1789" w14:textId="77777777" w:rsidR="001264E7" w:rsidRDefault="001264E7" w:rsidP="00B0477D">
      <w:pPr>
        <w:ind w:firstLine="709"/>
        <w:rPr>
          <w:rFonts w:eastAsia="Times New Roman"/>
          <w:szCs w:val="24"/>
          <w:lang w:eastAsia="ru-RU"/>
        </w:rPr>
      </w:pPr>
      <w:r w:rsidRPr="00A4634E">
        <w:rPr>
          <w:rFonts w:eastAsia="Times New Roman"/>
          <w:szCs w:val="24"/>
          <w:lang w:eastAsia="ru-RU"/>
        </w:rPr>
        <w:t>Антиагрегантная терапия</w:t>
      </w:r>
      <w:r>
        <w:rPr>
          <w:rFonts w:eastAsia="Times New Roman"/>
          <w:szCs w:val="24"/>
          <w:lang w:eastAsia="ru-RU"/>
        </w:rPr>
        <w:t xml:space="preserve"> применяется при артериальных тромбозах, венозных тромбозах, гипертромбоцитозах.  Используются следующие препараты:</w:t>
      </w:r>
    </w:p>
    <w:p w14:paraId="7B89C79F" w14:textId="77777777" w:rsidR="001264E7" w:rsidRDefault="001264E7" w:rsidP="0091350E">
      <w:pPr>
        <w:numPr>
          <w:ilvl w:val="0"/>
          <w:numId w:val="47"/>
        </w:numPr>
        <w:ind w:left="1134"/>
        <w:rPr>
          <w:rFonts w:eastAsia="Times New Roman"/>
          <w:szCs w:val="24"/>
          <w:lang w:eastAsia="ru-RU"/>
        </w:rPr>
      </w:pPr>
      <w:r>
        <w:rPr>
          <w:rFonts w:eastAsia="Times New Roman"/>
          <w:szCs w:val="24"/>
          <w:lang w:eastAsia="ru-RU"/>
        </w:rPr>
        <w:t xml:space="preserve">Ацетилсалициловая кислота 75-150 мг в сутки. Подбор осуществляют с учетом показателей адреналин-индуцированной агрегации тромбоцитов. Агрегация должна составлять менее 50%. </w:t>
      </w:r>
    </w:p>
    <w:p w14:paraId="6FBC0B55" w14:textId="77777777" w:rsidR="001264E7" w:rsidRDefault="001264E7" w:rsidP="0091350E">
      <w:pPr>
        <w:pStyle w:val="aff"/>
        <w:numPr>
          <w:ilvl w:val="0"/>
          <w:numId w:val="47"/>
        </w:numPr>
        <w:ind w:left="1134"/>
        <w:contextualSpacing/>
        <w:rPr>
          <w:rFonts w:eastAsia="Times New Roman"/>
          <w:szCs w:val="24"/>
          <w:lang w:eastAsia="ru-RU"/>
        </w:rPr>
      </w:pPr>
      <w:r w:rsidRPr="00A4634E">
        <w:rPr>
          <w:rFonts w:eastAsia="Times New Roman"/>
          <w:szCs w:val="24"/>
          <w:lang w:eastAsia="ru-RU"/>
        </w:rPr>
        <w:lastRenderedPageBreak/>
        <w:t xml:space="preserve">Клопидогрел (непрямой ингибитор АДФ-рецептора тромбоцитов </w:t>
      </w:r>
      <w:r w:rsidRPr="00A4634E">
        <w:rPr>
          <w:rFonts w:eastAsia="Times New Roman"/>
          <w:szCs w:val="24"/>
          <w:lang w:val="en-US" w:eastAsia="ru-RU"/>
        </w:rPr>
        <w:t>P</w:t>
      </w:r>
      <w:r w:rsidRPr="00A4634E">
        <w:rPr>
          <w:rFonts w:eastAsia="Times New Roman"/>
          <w:szCs w:val="24"/>
          <w:lang w:eastAsia="ru-RU"/>
        </w:rPr>
        <w:t>2</w:t>
      </w:r>
      <w:r w:rsidRPr="00A4634E">
        <w:rPr>
          <w:rFonts w:eastAsia="Times New Roman"/>
          <w:szCs w:val="24"/>
          <w:lang w:val="en-US" w:eastAsia="ru-RU"/>
        </w:rPr>
        <w:t>Y</w:t>
      </w:r>
      <w:r w:rsidRPr="00A4634E">
        <w:rPr>
          <w:rFonts w:eastAsia="Times New Roman"/>
          <w:szCs w:val="24"/>
          <w:lang w:eastAsia="ru-RU"/>
        </w:rPr>
        <w:t>12) 75 мг/сут; в острых случаях клопидогрел принимается внутрь в дозе 300–600 мг/сут. Подбор осуществляют с учетом АДФ-индуцированной агрегации тромбоцитов. Агрегация должна составлять менее 45</w:t>
      </w:r>
      <w:r w:rsidRPr="00A4634E">
        <w:rPr>
          <w:i/>
          <w:szCs w:val="24"/>
        </w:rPr>
        <w:t>—</w:t>
      </w:r>
      <w:r w:rsidRPr="00A4634E">
        <w:rPr>
          <w:rFonts w:eastAsia="Times New Roman"/>
          <w:szCs w:val="24"/>
          <w:lang w:eastAsia="ru-RU"/>
        </w:rPr>
        <w:t xml:space="preserve">50%. </w:t>
      </w:r>
    </w:p>
    <w:p w14:paraId="1C0B9D5D" w14:textId="77777777" w:rsidR="001264E7" w:rsidRPr="00A4634E" w:rsidRDefault="001264E7" w:rsidP="0091350E">
      <w:pPr>
        <w:pStyle w:val="aff"/>
        <w:numPr>
          <w:ilvl w:val="0"/>
          <w:numId w:val="47"/>
        </w:numPr>
        <w:ind w:left="1134"/>
        <w:contextualSpacing/>
        <w:rPr>
          <w:rFonts w:eastAsia="Times New Roman"/>
          <w:szCs w:val="24"/>
          <w:lang w:eastAsia="ru-RU"/>
        </w:rPr>
      </w:pPr>
      <w:r w:rsidRPr="00A4634E">
        <w:rPr>
          <w:rFonts w:eastAsia="Times New Roman"/>
          <w:szCs w:val="24"/>
          <w:lang w:eastAsia="ru-RU"/>
        </w:rPr>
        <w:t>Дипиридамол 25-75 мг/сут.</w:t>
      </w:r>
    </w:p>
    <w:p w14:paraId="04A0B867" w14:textId="77777777" w:rsidR="001264E7" w:rsidRDefault="001264E7" w:rsidP="0091350E">
      <w:pPr>
        <w:numPr>
          <w:ilvl w:val="0"/>
          <w:numId w:val="47"/>
        </w:numPr>
        <w:ind w:left="1134"/>
        <w:rPr>
          <w:rFonts w:eastAsia="Times New Roman"/>
          <w:szCs w:val="24"/>
          <w:lang w:eastAsia="ru-RU"/>
        </w:rPr>
      </w:pPr>
      <w:r>
        <w:rPr>
          <w:rFonts w:eastAsia="Times New Roman"/>
          <w:szCs w:val="24"/>
          <w:lang w:eastAsia="ru-RU"/>
        </w:rPr>
        <w:t>Пентоксифиллин 0,1 х 3 раза в день; или 400 мг 2-3раза в день.</w:t>
      </w:r>
    </w:p>
    <w:p w14:paraId="24CF0310" w14:textId="77777777" w:rsidR="001264E7" w:rsidRPr="003A104D" w:rsidRDefault="001264E7" w:rsidP="0091350E">
      <w:pPr>
        <w:pStyle w:val="aff"/>
        <w:numPr>
          <w:ilvl w:val="0"/>
          <w:numId w:val="47"/>
        </w:numPr>
        <w:spacing w:after="200"/>
        <w:ind w:left="1134"/>
        <w:contextualSpacing/>
      </w:pPr>
      <w:r>
        <w:rPr>
          <w:rFonts w:eastAsia="Times New Roman"/>
          <w:szCs w:val="24"/>
          <w:lang w:eastAsia="ru-RU"/>
        </w:rPr>
        <w:t>Тикагрелор (прямой ингибитор АДФ-рецептора тромбоцитов Р2</w:t>
      </w:r>
      <w:r>
        <w:rPr>
          <w:rFonts w:eastAsia="Times New Roman"/>
          <w:szCs w:val="24"/>
          <w:lang w:val="en-US" w:eastAsia="ru-RU"/>
        </w:rPr>
        <w:t>Y</w:t>
      </w:r>
      <w:r>
        <w:rPr>
          <w:rFonts w:eastAsia="Times New Roman"/>
          <w:szCs w:val="24"/>
          <w:lang w:eastAsia="ru-RU"/>
        </w:rPr>
        <w:t>12) 90 мг х 2 раза в день совместно с ацетилсалициловой кислотой. Применяется при проведении химиотерапии у больных ишемической болезнью сердца. Подбор осуществляют с учетом АДФ-индуцированной агрегации тромбоцитов. Агрегация должна составлять менее 30</w:t>
      </w:r>
      <w:r>
        <w:rPr>
          <w:szCs w:val="24"/>
        </w:rPr>
        <w:t>—4</w:t>
      </w:r>
      <w:r>
        <w:rPr>
          <w:rFonts w:eastAsia="Times New Roman"/>
          <w:szCs w:val="24"/>
          <w:lang w:eastAsia="ru-RU"/>
        </w:rPr>
        <w:t>0%.</w:t>
      </w:r>
    </w:p>
    <w:p w14:paraId="34B546C5" w14:textId="77777777" w:rsidR="001264E7" w:rsidRPr="00A4634E" w:rsidRDefault="001264E7" w:rsidP="0091350E">
      <w:pPr>
        <w:pStyle w:val="aff"/>
        <w:numPr>
          <w:ilvl w:val="0"/>
          <w:numId w:val="47"/>
        </w:numPr>
        <w:spacing w:after="200"/>
        <w:ind w:left="1134"/>
        <w:contextualSpacing/>
      </w:pPr>
      <w:r w:rsidRPr="00A4634E">
        <w:rPr>
          <w:rFonts w:eastAsia="Times New Roman"/>
          <w:szCs w:val="24"/>
          <w:lang w:eastAsia="ru-RU"/>
        </w:rPr>
        <w:t>Прасугрел (прямой ингибитор АДФ-рецептора тромбоцитов P2Y12) 10мг: 1 день 6 таб., затем 1 таб. в день с ацетилсалициловой кислотой. Применяется при проведении химиотерапии у больных с ишемической болезнью сердца. Подбор осуществляется с учетом АДФ-индуцир</w:t>
      </w:r>
      <w:r>
        <w:rPr>
          <w:rFonts w:eastAsia="Times New Roman"/>
          <w:szCs w:val="24"/>
          <w:lang w:eastAsia="ru-RU"/>
        </w:rPr>
        <w:t>ованной агрегации тромбоцитов (а</w:t>
      </w:r>
      <w:r w:rsidRPr="00A4634E">
        <w:rPr>
          <w:rFonts w:eastAsia="Times New Roman"/>
          <w:szCs w:val="24"/>
          <w:lang w:eastAsia="ru-RU"/>
        </w:rPr>
        <w:t>грегация должна составлять менее 30-40%</w:t>
      </w:r>
      <w:r>
        <w:rPr>
          <w:rFonts w:eastAsia="Times New Roman"/>
          <w:szCs w:val="24"/>
          <w:lang w:eastAsia="ru-RU"/>
        </w:rPr>
        <w:t>)</w:t>
      </w:r>
      <w:r w:rsidRPr="00A4634E">
        <w:rPr>
          <w:rFonts w:eastAsia="Times New Roman"/>
          <w:szCs w:val="24"/>
          <w:lang w:eastAsia="ru-RU"/>
        </w:rPr>
        <w:t>.</w:t>
      </w:r>
    </w:p>
    <w:p w14:paraId="2968B1C2" w14:textId="77777777" w:rsidR="001264E7" w:rsidRPr="003A104D" w:rsidRDefault="001C0DEA" w:rsidP="0091350E">
      <w:pPr>
        <w:pStyle w:val="aff"/>
        <w:numPr>
          <w:ilvl w:val="0"/>
          <w:numId w:val="47"/>
        </w:numPr>
        <w:spacing w:after="200"/>
        <w:ind w:left="1134"/>
        <w:contextualSpacing/>
      </w:pPr>
      <w:hyperlink r:id="rId9" w:history="1">
        <w:r w:rsidR="001264E7" w:rsidRPr="00111FC7">
          <w:rPr>
            <w:rStyle w:val="affd"/>
            <w:color w:val="auto"/>
            <w:szCs w:val="24"/>
            <w:u w:val="none"/>
          </w:rPr>
          <w:t>Изосорбида мононитрат</w:t>
        </w:r>
      </w:hyperlink>
      <w:r w:rsidR="001264E7" w:rsidRPr="003A104D">
        <w:rPr>
          <w:rFonts w:eastAsia="Times New Roman"/>
          <w:szCs w:val="24"/>
          <w:lang w:eastAsia="ru-RU"/>
        </w:rPr>
        <w:t xml:space="preserve"> 40 мг х 1-2 раза в день. Обладает наряду с дезагрегационными свойствами выраженным сосудорасширяющим эффектом.</w:t>
      </w:r>
    </w:p>
    <w:p w14:paraId="3078302D" w14:textId="77777777" w:rsidR="001264E7" w:rsidRDefault="001264E7" w:rsidP="0091350E">
      <w:pPr>
        <w:pStyle w:val="aff"/>
        <w:numPr>
          <w:ilvl w:val="0"/>
          <w:numId w:val="47"/>
        </w:numPr>
        <w:spacing w:after="200"/>
        <w:ind w:left="1134"/>
        <w:contextualSpacing/>
      </w:pPr>
      <w:r w:rsidRPr="003A104D">
        <w:rPr>
          <w:rFonts w:eastAsia="Times New Roman"/>
          <w:szCs w:val="24"/>
          <w:lang w:eastAsia="ru-RU"/>
        </w:rPr>
        <w:t>Возможно использование никотиновой кислоты в инъекционной или таблетированной формах. Доза никотиновой кислоты подбирается по эритематозному эффекту, который проявляется легким покраснением лица и верхней половины туловища, тахикардией, небольшим чувством жара.</w:t>
      </w:r>
    </w:p>
    <w:p w14:paraId="0DDCF9E1" w14:textId="42FEF7EA" w:rsidR="001264E7" w:rsidRDefault="001264E7" w:rsidP="001264E7">
      <w:pPr>
        <w:rPr>
          <w:rFonts w:eastAsia="Times New Roman"/>
          <w:szCs w:val="24"/>
          <w:lang w:eastAsia="ru-RU"/>
        </w:rPr>
      </w:pPr>
      <w:r w:rsidRPr="006F5CEC">
        <w:rPr>
          <w:rFonts w:eastAsia="Times New Roman"/>
          <w:szCs w:val="24"/>
          <w:lang w:eastAsia="ru-RU"/>
        </w:rPr>
        <w:t>4)  Вазопротекторная терапия</w:t>
      </w:r>
      <w:r>
        <w:rPr>
          <w:rFonts w:eastAsia="Times New Roman"/>
          <w:szCs w:val="24"/>
          <w:lang w:eastAsia="ru-RU"/>
        </w:rPr>
        <w:t xml:space="preserve"> </w:t>
      </w:r>
      <w:r>
        <w:fldChar w:fldCharType="begin" w:fldLock="1"/>
      </w:r>
      <w:r w:rsidR="00312D7F">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[136]","plainTextFormattedCitation":"[136]","previouslyFormattedCitation":"[136]"},"properties":{"noteIndex":0},"schema":"https://github.com/citation-style-language/schema/raw/master/csl-citation.json"}</w:instrText>
      </w:r>
      <w:r>
        <w:fldChar w:fldCharType="separate"/>
      </w:r>
      <w:r w:rsidRPr="001264E7">
        <w:rPr>
          <w:noProof/>
        </w:rPr>
        <w:t>[136]</w:t>
      </w:r>
      <w:r>
        <w:fldChar w:fldCharType="end"/>
      </w:r>
      <w:r w:rsidRPr="006F5CEC">
        <w:rPr>
          <w:rFonts w:eastAsia="Times New Roman"/>
          <w:szCs w:val="24"/>
          <w:lang w:eastAsia="ru-RU"/>
        </w:rPr>
        <w:t>:</w:t>
      </w:r>
    </w:p>
    <w:p w14:paraId="716AE3CF" w14:textId="77777777" w:rsidR="001264E7" w:rsidRDefault="001264E7" w:rsidP="0091350E">
      <w:pPr>
        <w:pStyle w:val="aff"/>
        <w:numPr>
          <w:ilvl w:val="0"/>
          <w:numId w:val="51"/>
        </w:numPr>
        <w:rPr>
          <w:rFonts w:eastAsia="Times New Roman"/>
          <w:szCs w:val="24"/>
          <w:lang w:eastAsia="ru-RU"/>
        </w:rPr>
      </w:pPr>
      <w:r w:rsidRPr="00440427">
        <w:rPr>
          <w:color w:val="333333"/>
          <w:szCs w:val="24"/>
        </w:rPr>
        <w:t>сухой экстракт красных листьев винограда</w:t>
      </w:r>
      <w:r w:rsidRPr="00440427">
        <w:rPr>
          <w:rFonts w:eastAsia="Times New Roman"/>
          <w:szCs w:val="24"/>
          <w:lang w:eastAsia="ru-RU"/>
        </w:rPr>
        <w:t xml:space="preserve"> 2 капс. утром натощак;</w:t>
      </w:r>
    </w:p>
    <w:p w14:paraId="2CB26972" w14:textId="77777777" w:rsidR="001264E7" w:rsidRDefault="001264E7" w:rsidP="0091350E">
      <w:pPr>
        <w:pStyle w:val="aff"/>
        <w:numPr>
          <w:ilvl w:val="0"/>
          <w:numId w:val="51"/>
        </w:numPr>
        <w:rPr>
          <w:rFonts w:eastAsia="Times New Roman"/>
          <w:szCs w:val="24"/>
          <w:lang w:eastAsia="ru-RU"/>
        </w:rPr>
      </w:pPr>
      <w:r w:rsidRPr="00440427">
        <w:rPr>
          <w:rFonts w:eastAsia="Times New Roman"/>
          <w:szCs w:val="24"/>
          <w:lang w:eastAsia="ru-RU"/>
        </w:rPr>
        <w:t>диосмин-содержащие препараты;</w:t>
      </w:r>
    </w:p>
    <w:p w14:paraId="53840DF5" w14:textId="77777777" w:rsidR="001264E7" w:rsidRPr="00440427" w:rsidRDefault="001264E7" w:rsidP="0091350E">
      <w:pPr>
        <w:pStyle w:val="aff"/>
        <w:numPr>
          <w:ilvl w:val="0"/>
          <w:numId w:val="51"/>
        </w:numPr>
        <w:rPr>
          <w:rFonts w:eastAsia="Times New Roman"/>
          <w:szCs w:val="24"/>
          <w:lang w:eastAsia="ru-RU"/>
        </w:rPr>
      </w:pPr>
      <w:r w:rsidRPr="00440427">
        <w:rPr>
          <w:rFonts w:eastAsia="Times New Roman"/>
          <w:szCs w:val="24"/>
          <w:lang w:eastAsia="ru-RU"/>
        </w:rPr>
        <w:t>алпростадил 20 мкг в/в капельно 1 раз в  сутки 10-14 дней.</w:t>
      </w:r>
    </w:p>
    <w:p w14:paraId="0C185E27" w14:textId="77777777" w:rsidR="001264E7" w:rsidRDefault="001264E7" w:rsidP="001264E7">
      <w:pPr>
        <w:rPr>
          <w:rFonts w:eastAsia="Times New Roman"/>
          <w:szCs w:val="24"/>
          <w:u w:val="single"/>
          <w:lang w:eastAsia="ru-RU"/>
        </w:rPr>
      </w:pPr>
    </w:p>
    <w:p w14:paraId="1DE0B218" w14:textId="3A6BD22C" w:rsidR="001264E7" w:rsidRDefault="001264E7" w:rsidP="001264E7">
      <w:pPr>
        <w:rPr>
          <w:rFonts w:eastAsia="Times New Roman"/>
          <w:szCs w:val="24"/>
          <w:lang w:eastAsia="ru-RU"/>
        </w:rPr>
      </w:pPr>
      <w:r w:rsidRPr="00440427">
        <w:rPr>
          <w:rFonts w:eastAsia="Times New Roman"/>
          <w:szCs w:val="24"/>
          <w:lang w:eastAsia="ru-RU"/>
        </w:rPr>
        <w:t>5) Коррекция тромбофилических состояний</w:t>
      </w:r>
      <w:r>
        <w:rPr>
          <w:rFonts w:eastAsia="Times New Roman"/>
          <w:szCs w:val="24"/>
          <w:lang w:eastAsia="ru-RU"/>
        </w:rPr>
        <w:t xml:space="preserve"> </w:t>
      </w:r>
      <w:r>
        <w:fldChar w:fldCharType="begin" w:fldLock="1"/>
      </w:r>
      <w:r w:rsidR="00312D7F">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[136]","plainTextFormattedCitation":"[136]","previouslyFormattedCitation":"[136]"},"properties":{"noteIndex":0},"schema":"https://github.com/citation-style-language/schema/raw/master/csl-citation.json"}</w:instrText>
      </w:r>
      <w:r>
        <w:fldChar w:fldCharType="separate"/>
      </w:r>
      <w:r w:rsidRPr="001264E7">
        <w:rPr>
          <w:noProof/>
        </w:rPr>
        <w:t>[136]</w:t>
      </w:r>
      <w:r>
        <w:fldChar w:fldCharType="end"/>
      </w:r>
      <w:r w:rsidRPr="00440427">
        <w:rPr>
          <w:rFonts w:eastAsia="Times New Roman"/>
          <w:szCs w:val="24"/>
          <w:lang w:eastAsia="ru-RU"/>
        </w:rPr>
        <w:t>:</w:t>
      </w:r>
    </w:p>
    <w:p w14:paraId="501D17D6" w14:textId="77777777" w:rsidR="001264E7" w:rsidRDefault="001264E7" w:rsidP="0091350E">
      <w:pPr>
        <w:pStyle w:val="aff"/>
        <w:numPr>
          <w:ilvl w:val="0"/>
          <w:numId w:val="53"/>
        </w:numPr>
        <w:rPr>
          <w:rFonts w:eastAsia="Times New Roman"/>
          <w:szCs w:val="24"/>
          <w:lang w:eastAsia="ru-RU"/>
        </w:rPr>
      </w:pPr>
      <w:r w:rsidRPr="00B54A88">
        <w:rPr>
          <w:rFonts w:eastAsia="Times New Roman"/>
          <w:szCs w:val="24"/>
          <w:lang w:eastAsia="ru-RU"/>
        </w:rPr>
        <w:t>При гипергомоцистеинемии используются витамины В6, В12, фолиевая кислота.</w:t>
      </w:r>
    </w:p>
    <w:p w14:paraId="072853C6" w14:textId="77777777" w:rsidR="001264E7" w:rsidRPr="00B54A88" w:rsidRDefault="001264E7" w:rsidP="0091350E">
      <w:pPr>
        <w:pStyle w:val="aff"/>
        <w:numPr>
          <w:ilvl w:val="0"/>
          <w:numId w:val="53"/>
        </w:numPr>
        <w:rPr>
          <w:rFonts w:eastAsia="Times New Roman"/>
          <w:szCs w:val="24"/>
          <w:lang w:eastAsia="ru-RU"/>
        </w:rPr>
      </w:pPr>
      <w:r w:rsidRPr="00B54A88">
        <w:rPr>
          <w:rFonts w:eastAsia="Times New Roman"/>
          <w:szCs w:val="24"/>
          <w:lang w:eastAsia="ru-RU"/>
        </w:rPr>
        <w:t xml:space="preserve">При применении гепаринов может развиться резистентность к ним, наиболее часто обусловленная дефицитом АТ III вследствие его увеличенного потребления, длительной гепаринотерапией, патологией печени и действием </w:t>
      </w:r>
      <w:r w:rsidRPr="00B54A88">
        <w:rPr>
          <w:rFonts w:eastAsia="Times New Roman"/>
          <w:szCs w:val="24"/>
          <w:lang w:eastAsia="ru-RU"/>
        </w:rPr>
        <w:lastRenderedPageBreak/>
        <w:t xml:space="preserve">лекарственных препаратов. Препарат Антитромбин </w:t>
      </w:r>
      <w:r w:rsidRPr="00B54A88">
        <w:rPr>
          <w:rFonts w:eastAsia="Times New Roman"/>
          <w:szCs w:val="24"/>
          <w:lang w:val="en-US" w:eastAsia="ru-RU"/>
        </w:rPr>
        <w:t>III</w:t>
      </w:r>
      <w:r w:rsidRPr="00B54A88">
        <w:rPr>
          <w:rFonts w:eastAsia="Times New Roman"/>
          <w:szCs w:val="24"/>
          <w:lang w:eastAsia="ru-RU"/>
        </w:rPr>
        <w:t xml:space="preserve"> показан также при наследственном и приобретенном дефиците АТ </w:t>
      </w:r>
      <w:r w:rsidRPr="00B54A88">
        <w:rPr>
          <w:rFonts w:eastAsia="Times New Roman"/>
          <w:szCs w:val="24"/>
          <w:lang w:val="en-US" w:eastAsia="ru-RU"/>
        </w:rPr>
        <w:t>III</w:t>
      </w:r>
      <w:r w:rsidRPr="00B54A88">
        <w:rPr>
          <w:rFonts w:eastAsia="Times New Roman"/>
          <w:szCs w:val="24"/>
          <w:lang w:eastAsia="ru-RU"/>
        </w:rPr>
        <w:t>.</w:t>
      </w:r>
    </w:p>
    <w:p w14:paraId="31227D0A" w14:textId="77777777" w:rsidR="001264E7" w:rsidRPr="00B54A88" w:rsidRDefault="001264E7" w:rsidP="0091350E">
      <w:pPr>
        <w:pStyle w:val="aff"/>
        <w:numPr>
          <w:ilvl w:val="0"/>
          <w:numId w:val="52"/>
        </w:numPr>
        <w:rPr>
          <w:rFonts w:eastAsia="Times New Roman"/>
          <w:szCs w:val="24"/>
          <w:lang w:eastAsia="ru-RU"/>
        </w:rPr>
      </w:pPr>
      <w:r w:rsidRPr="00B54A88">
        <w:rPr>
          <w:rFonts w:eastAsia="Times New Roman"/>
          <w:szCs w:val="24"/>
          <w:lang w:eastAsia="ru-RU"/>
        </w:rPr>
        <w:t xml:space="preserve">Для коррекции дефицита АТ </w:t>
      </w:r>
      <w:r w:rsidRPr="00B54A88">
        <w:rPr>
          <w:rFonts w:eastAsia="Times New Roman"/>
          <w:szCs w:val="24"/>
          <w:lang w:val="en-US" w:eastAsia="ru-RU"/>
        </w:rPr>
        <w:t>III</w:t>
      </w:r>
      <w:r w:rsidRPr="00B54A88">
        <w:rPr>
          <w:rFonts w:eastAsia="Times New Roman"/>
          <w:szCs w:val="24"/>
          <w:lang w:eastAsia="ru-RU"/>
        </w:rPr>
        <w:t xml:space="preserve"> используют СЗП или концентрат АТ III в дозе, рассчитываемой по формуле:</w:t>
      </w:r>
    </w:p>
    <w:p w14:paraId="1323C59F" w14:textId="77777777" w:rsidR="001264E7" w:rsidRDefault="001264E7" w:rsidP="0091350E">
      <w:pPr>
        <w:pStyle w:val="aff"/>
        <w:numPr>
          <w:ilvl w:val="0"/>
          <w:numId w:val="52"/>
        </w:numPr>
        <w:rPr>
          <w:rFonts w:eastAsia="Times New Roman"/>
          <w:szCs w:val="24"/>
          <w:lang w:eastAsia="ru-RU"/>
        </w:rPr>
      </w:pPr>
      <w:r w:rsidRPr="00B54A88">
        <w:rPr>
          <w:rFonts w:eastAsia="Times New Roman"/>
          <w:szCs w:val="24"/>
          <w:lang w:eastAsia="ru-RU"/>
        </w:rPr>
        <w:t xml:space="preserve">Необходимая доза АТ </w:t>
      </w:r>
      <w:r w:rsidRPr="00B54A88">
        <w:rPr>
          <w:rFonts w:eastAsia="Times New Roman"/>
          <w:szCs w:val="24"/>
          <w:lang w:val="en-US" w:eastAsia="ru-RU"/>
        </w:rPr>
        <w:t>III</w:t>
      </w:r>
      <w:r w:rsidRPr="00B54A88">
        <w:rPr>
          <w:rFonts w:eastAsia="Times New Roman"/>
          <w:szCs w:val="24"/>
          <w:lang w:eastAsia="ru-RU"/>
        </w:rPr>
        <w:t xml:space="preserve"> (ME) = масса тела (кг) × (целевое значение – исходная  активность АТ </w:t>
      </w:r>
      <w:r w:rsidRPr="00B54A88">
        <w:rPr>
          <w:rFonts w:eastAsia="Times New Roman"/>
          <w:szCs w:val="24"/>
          <w:lang w:val="en-US" w:eastAsia="ru-RU"/>
        </w:rPr>
        <w:t>III</w:t>
      </w:r>
      <w:r w:rsidRPr="00B54A88">
        <w:rPr>
          <w:rFonts w:eastAsia="Times New Roman"/>
          <w:szCs w:val="24"/>
          <w:lang w:eastAsia="ru-RU"/>
        </w:rPr>
        <w:t xml:space="preserve"> (%)) × 0.5</w:t>
      </w:r>
    </w:p>
    <w:p w14:paraId="5E612832" w14:textId="77777777" w:rsidR="001264E7" w:rsidRDefault="001264E7" w:rsidP="0091350E">
      <w:pPr>
        <w:pStyle w:val="aff"/>
        <w:numPr>
          <w:ilvl w:val="0"/>
          <w:numId w:val="52"/>
        </w:numPr>
        <w:rPr>
          <w:rFonts w:eastAsia="Times New Roman"/>
          <w:szCs w:val="24"/>
          <w:lang w:eastAsia="ru-RU"/>
        </w:rPr>
      </w:pPr>
      <w:r w:rsidRPr="00B54A88">
        <w:rPr>
          <w:rFonts w:eastAsia="Times New Roman"/>
          <w:szCs w:val="24"/>
          <w:lang w:eastAsia="ru-RU"/>
        </w:rPr>
        <w:t xml:space="preserve">При дефиците плазменных антикоагулянтов, таких как АТ </w:t>
      </w:r>
      <w:r w:rsidRPr="00B54A88">
        <w:rPr>
          <w:rFonts w:eastAsia="Times New Roman"/>
          <w:szCs w:val="24"/>
          <w:lang w:val="en-US" w:eastAsia="ru-RU"/>
        </w:rPr>
        <w:t>III</w:t>
      </w:r>
      <w:r w:rsidRPr="00B54A88">
        <w:rPr>
          <w:rFonts w:eastAsia="Times New Roman"/>
          <w:szCs w:val="24"/>
          <w:lang w:eastAsia="ru-RU"/>
        </w:rPr>
        <w:t xml:space="preserve">, протеин С, протеин </w:t>
      </w:r>
      <w:r w:rsidRPr="00B54A88">
        <w:rPr>
          <w:rFonts w:eastAsia="Times New Roman"/>
          <w:szCs w:val="24"/>
          <w:lang w:val="en-US" w:eastAsia="ru-RU"/>
        </w:rPr>
        <w:t>S</w:t>
      </w:r>
      <w:r w:rsidRPr="00B54A88">
        <w:rPr>
          <w:rFonts w:eastAsia="Times New Roman"/>
          <w:szCs w:val="24"/>
          <w:lang w:eastAsia="ru-RU"/>
        </w:rPr>
        <w:t xml:space="preserve"> применяется СЗП. </w:t>
      </w:r>
    </w:p>
    <w:p w14:paraId="504FF249" w14:textId="77777777" w:rsidR="001264E7" w:rsidRDefault="001264E7" w:rsidP="0091350E">
      <w:pPr>
        <w:pStyle w:val="aff"/>
        <w:numPr>
          <w:ilvl w:val="0"/>
          <w:numId w:val="52"/>
        </w:numPr>
        <w:rPr>
          <w:rFonts w:eastAsia="Times New Roman"/>
          <w:szCs w:val="24"/>
          <w:lang w:eastAsia="ru-RU"/>
        </w:rPr>
      </w:pPr>
      <w:r w:rsidRPr="00B54A88">
        <w:rPr>
          <w:rFonts w:eastAsia="Times New Roman"/>
          <w:szCs w:val="24"/>
          <w:lang w:eastAsia="ru-RU"/>
        </w:rPr>
        <w:t xml:space="preserve">При глубоком дефиците протеина С возможно использование препарата очищенного протеина С (Сепротин).  </w:t>
      </w:r>
    </w:p>
    <w:p w14:paraId="260EB87B" w14:textId="77777777" w:rsidR="001264E7" w:rsidRPr="00B54A88" w:rsidRDefault="001264E7" w:rsidP="0091350E">
      <w:pPr>
        <w:pStyle w:val="aff"/>
        <w:numPr>
          <w:ilvl w:val="0"/>
          <w:numId w:val="52"/>
        </w:numPr>
        <w:rPr>
          <w:rFonts w:eastAsia="Times New Roman"/>
          <w:szCs w:val="24"/>
          <w:lang w:eastAsia="ru-RU"/>
        </w:rPr>
      </w:pPr>
      <w:r w:rsidRPr="00B54A88">
        <w:rPr>
          <w:rFonts w:eastAsia="Times New Roman"/>
          <w:szCs w:val="24"/>
          <w:lang w:eastAsia="ru-RU"/>
        </w:rPr>
        <w:t>В комплексной терапии АФС может быть эффективна комбинация: дипиридамол, витамин Е, плаквенил.</w:t>
      </w:r>
    </w:p>
    <w:p w14:paraId="1DC817FC" w14:textId="77777777" w:rsidR="001264E7" w:rsidRDefault="001264E7" w:rsidP="001264E7">
      <w:pPr>
        <w:rPr>
          <w:rFonts w:eastAsia="Times New Roman"/>
          <w:szCs w:val="24"/>
          <w:lang w:eastAsia="ru-RU"/>
        </w:rPr>
      </w:pPr>
    </w:p>
    <w:p w14:paraId="204CD519" w14:textId="77777777" w:rsidR="001264E7" w:rsidRDefault="001264E7" w:rsidP="001264E7">
      <w:pPr>
        <w:rPr>
          <w:rFonts w:eastAsia="Times New Roman"/>
          <w:szCs w:val="24"/>
          <w:u w:val="single"/>
          <w:lang w:eastAsia="ru-RU"/>
        </w:rPr>
      </w:pPr>
      <w:r>
        <w:rPr>
          <w:rFonts w:eastAsia="Times New Roman"/>
          <w:szCs w:val="24"/>
          <w:u w:val="single"/>
          <w:lang w:eastAsia="ru-RU"/>
        </w:rPr>
        <w:t xml:space="preserve">Инструментальные методы лечения. </w:t>
      </w:r>
    </w:p>
    <w:p w14:paraId="3E97DC8D" w14:textId="1CE1D6D3" w:rsidR="001264E7" w:rsidRDefault="001264E7" w:rsidP="001264E7">
      <w:pPr>
        <w:widowControl w:val="0"/>
        <w:rPr>
          <w:szCs w:val="24"/>
        </w:rPr>
      </w:pPr>
      <w:r w:rsidRPr="00482DE7">
        <w:rPr>
          <w:rFonts w:eastAsia="Times New Roman"/>
          <w:szCs w:val="24"/>
          <w:lang w:eastAsia="ru-RU"/>
        </w:rPr>
        <w:t>1)  Кава-фильтр</w:t>
      </w:r>
      <w:r>
        <w:rPr>
          <w:rFonts w:eastAsia="Times New Roman"/>
          <w:szCs w:val="24"/>
          <w:lang w:eastAsia="ru-RU"/>
        </w:rPr>
        <w:t xml:space="preserve"> устанавливается либо для профилактики ТЭЛА (если были эпизоды ТЭЛА ранее), либо при наличии флотирующего тромба в крупных венозных стволах </w:t>
      </w:r>
      <w:r>
        <w:fldChar w:fldCharType="begin" w:fldLock="1"/>
      </w:r>
      <w:r w:rsidR="00312D7F">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[136]","plainTextFormattedCitation":"[136]","previouslyFormattedCitation":"[136]"},"properties":{"noteIndex":0},"schema":"https://github.com/citation-style-language/schema/raw/master/csl-citation.json"}</w:instrText>
      </w:r>
      <w:r>
        <w:fldChar w:fldCharType="separate"/>
      </w:r>
      <w:r w:rsidRPr="001264E7">
        <w:rPr>
          <w:noProof/>
        </w:rPr>
        <w:t>[136]</w:t>
      </w:r>
      <w:r>
        <w:fldChar w:fldCharType="end"/>
      </w:r>
      <w:r>
        <w:rPr>
          <w:rFonts w:eastAsia="Times New Roman"/>
          <w:szCs w:val="24"/>
          <w:lang w:eastAsia="ru-RU"/>
        </w:rPr>
        <w:t>.</w:t>
      </w:r>
      <w:r>
        <w:rPr>
          <w:szCs w:val="24"/>
        </w:rPr>
        <w:t xml:space="preserve"> Показаниями для постановки венозного кава-фильтра является неэффективность или невозможность проведения антикоагулянтной терапии у больных с тромбозами глубоких вен нижних конечностей в следующих случаях:</w:t>
      </w:r>
    </w:p>
    <w:p w14:paraId="62F4D71A" w14:textId="77777777" w:rsidR="001264E7" w:rsidRPr="005650C3" w:rsidRDefault="001264E7" w:rsidP="0091350E">
      <w:pPr>
        <w:pStyle w:val="aff"/>
        <w:numPr>
          <w:ilvl w:val="0"/>
          <w:numId w:val="52"/>
        </w:numPr>
        <w:rPr>
          <w:rFonts w:eastAsia="Times New Roman"/>
          <w:szCs w:val="24"/>
          <w:lang w:eastAsia="ru-RU"/>
        </w:rPr>
      </w:pPr>
      <w:r w:rsidRPr="005650C3">
        <w:rPr>
          <w:rFonts w:eastAsia="Times New Roman"/>
          <w:szCs w:val="24"/>
          <w:lang w:eastAsia="ru-RU"/>
        </w:rPr>
        <w:t>рецидивирующая ТЭЛА, несмотря на адекватную антикоагулянтную терапию;</w:t>
      </w:r>
    </w:p>
    <w:p w14:paraId="65ECDE07" w14:textId="77777777" w:rsidR="001264E7" w:rsidRPr="005650C3" w:rsidRDefault="001264E7" w:rsidP="0091350E">
      <w:pPr>
        <w:pStyle w:val="aff"/>
        <w:numPr>
          <w:ilvl w:val="0"/>
          <w:numId w:val="52"/>
        </w:numPr>
        <w:rPr>
          <w:rFonts w:eastAsia="Times New Roman"/>
          <w:szCs w:val="24"/>
          <w:lang w:eastAsia="ru-RU"/>
        </w:rPr>
      </w:pPr>
      <w:r w:rsidRPr="005650C3">
        <w:rPr>
          <w:rFonts w:eastAsia="Times New Roman"/>
          <w:szCs w:val="24"/>
          <w:lang w:eastAsia="ru-RU"/>
        </w:rPr>
        <w:t>наличие противопоказаний к антикоагулянтной терапии;</w:t>
      </w:r>
    </w:p>
    <w:p w14:paraId="4B0EADBA" w14:textId="77777777" w:rsidR="001264E7" w:rsidRPr="005650C3" w:rsidRDefault="001264E7" w:rsidP="0091350E">
      <w:pPr>
        <w:pStyle w:val="aff"/>
        <w:numPr>
          <w:ilvl w:val="0"/>
          <w:numId w:val="52"/>
        </w:numPr>
        <w:rPr>
          <w:rFonts w:eastAsia="Times New Roman"/>
          <w:szCs w:val="24"/>
          <w:lang w:eastAsia="ru-RU"/>
        </w:rPr>
      </w:pPr>
      <w:r w:rsidRPr="005650C3">
        <w:rPr>
          <w:rFonts w:eastAsia="Times New Roman"/>
          <w:szCs w:val="24"/>
          <w:lang w:eastAsia="ru-RU"/>
        </w:rPr>
        <w:t>осложнения антикоагулянтной терапии, делающие невозможным</w:t>
      </w:r>
    </w:p>
    <w:p w14:paraId="0D2B83BA" w14:textId="77777777" w:rsidR="001264E7" w:rsidRPr="005650C3" w:rsidRDefault="001264E7" w:rsidP="0091350E">
      <w:pPr>
        <w:pStyle w:val="aff"/>
        <w:numPr>
          <w:ilvl w:val="0"/>
          <w:numId w:val="52"/>
        </w:numPr>
        <w:rPr>
          <w:rFonts w:eastAsia="Times New Roman"/>
          <w:szCs w:val="24"/>
          <w:lang w:eastAsia="ru-RU"/>
        </w:rPr>
      </w:pPr>
      <w:r w:rsidRPr="005650C3">
        <w:rPr>
          <w:rFonts w:eastAsia="Times New Roman"/>
          <w:szCs w:val="24"/>
          <w:lang w:eastAsia="ru-RU"/>
        </w:rPr>
        <w:t>дальнейшую гипокоагуляцию;</w:t>
      </w:r>
    </w:p>
    <w:p w14:paraId="5969312A" w14:textId="77777777" w:rsidR="001264E7" w:rsidRPr="005650C3" w:rsidRDefault="001264E7" w:rsidP="0091350E">
      <w:pPr>
        <w:pStyle w:val="aff"/>
        <w:numPr>
          <w:ilvl w:val="0"/>
          <w:numId w:val="52"/>
        </w:numPr>
        <w:rPr>
          <w:rFonts w:eastAsia="Times New Roman"/>
          <w:szCs w:val="24"/>
          <w:lang w:eastAsia="ru-RU"/>
        </w:rPr>
      </w:pPr>
      <w:r w:rsidRPr="005650C3">
        <w:rPr>
          <w:rFonts w:eastAsia="Times New Roman"/>
          <w:szCs w:val="24"/>
          <w:lang w:eastAsia="ru-RU"/>
        </w:rPr>
        <w:t>невозможность достигнуть или поддерживать лечебный антикоагулянтный эффект.</w:t>
      </w:r>
    </w:p>
    <w:p w14:paraId="338FF3BF" w14:textId="77777777" w:rsidR="001264E7" w:rsidRPr="00A13E2A" w:rsidRDefault="001264E7" w:rsidP="001264E7">
      <w:pPr>
        <w:rPr>
          <w:rFonts w:eastAsia="Times New Roman"/>
          <w:szCs w:val="24"/>
          <w:lang w:eastAsia="ru-RU"/>
        </w:rPr>
      </w:pPr>
      <w:r w:rsidRPr="00A13E2A">
        <w:rPr>
          <w:rFonts w:eastAsia="Times New Roman"/>
          <w:szCs w:val="24"/>
          <w:lang w:eastAsia="ru-RU"/>
        </w:rPr>
        <w:t>При исчезновении угрозы ВТЭО кава-фильтр удаляется (обычно через 1,5-2 мес).</w:t>
      </w:r>
    </w:p>
    <w:p w14:paraId="3486B7E9" w14:textId="77777777" w:rsidR="001264E7" w:rsidRDefault="001264E7" w:rsidP="001264E7">
      <w:pPr>
        <w:ind w:left="1459"/>
        <w:rPr>
          <w:rFonts w:eastAsia="Times New Roman"/>
          <w:szCs w:val="24"/>
          <w:lang w:eastAsia="ru-RU"/>
        </w:rPr>
      </w:pPr>
    </w:p>
    <w:p w14:paraId="2F4A3119" w14:textId="221A0167" w:rsidR="001264E7" w:rsidRDefault="001264E7" w:rsidP="001264E7">
      <w:pPr>
        <w:rPr>
          <w:rFonts w:eastAsia="Times New Roman"/>
          <w:szCs w:val="24"/>
          <w:lang w:eastAsia="ru-RU"/>
        </w:rPr>
      </w:pPr>
      <w:r w:rsidRPr="00482DE7">
        <w:rPr>
          <w:rFonts w:eastAsia="Times New Roman"/>
          <w:szCs w:val="24"/>
          <w:lang w:eastAsia="ru-RU"/>
        </w:rPr>
        <w:t>2) Эндоваскулярная тромбоэкстракция</w:t>
      </w:r>
      <w:r>
        <w:rPr>
          <w:rFonts w:eastAsia="Times New Roman"/>
          <w:szCs w:val="24"/>
          <w:lang w:eastAsia="ru-RU"/>
        </w:rPr>
        <w:t xml:space="preserve"> используется при острых тромбозах сосудов головного мозга, ТЭЛА, остром коронарном синдроме, а также при угрозе формирования некрозов тканей и органов </w:t>
      </w:r>
      <w:r>
        <w:fldChar w:fldCharType="begin" w:fldLock="1"/>
      </w:r>
      <w:r w:rsidR="00312D7F">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[136]","plainTextFormattedCitation":"[136]","previouslyFormattedCitation":"[136]"},"properties":{"noteIndex":0},"schema":"https://github.com/citation-style-language/schema/raw/master/csl-citation.json"}</w:instrText>
      </w:r>
      <w:r>
        <w:fldChar w:fldCharType="separate"/>
      </w:r>
      <w:r w:rsidRPr="001264E7">
        <w:rPr>
          <w:noProof/>
        </w:rPr>
        <w:t>[136]</w:t>
      </w:r>
      <w:r>
        <w:fldChar w:fldCharType="end"/>
      </w:r>
      <w:r>
        <w:rPr>
          <w:rFonts w:eastAsia="Times New Roman"/>
          <w:szCs w:val="24"/>
          <w:lang w:eastAsia="ru-RU"/>
        </w:rPr>
        <w:t xml:space="preserve">. При необходимости устанавливаются различные сосудистые стенты. </w:t>
      </w:r>
    </w:p>
    <w:p w14:paraId="4C4A628D" w14:textId="77777777" w:rsidR="001264E7" w:rsidRDefault="001264E7" w:rsidP="001264E7">
      <w:pPr>
        <w:ind w:left="708" w:firstLine="708"/>
        <w:rPr>
          <w:rFonts w:eastAsia="Times New Roman"/>
          <w:szCs w:val="24"/>
          <w:lang w:eastAsia="ru-RU"/>
        </w:rPr>
      </w:pPr>
    </w:p>
    <w:p w14:paraId="5CB38639" w14:textId="77777777" w:rsidR="001264E7" w:rsidRDefault="001264E7" w:rsidP="001264E7">
      <w:pPr>
        <w:rPr>
          <w:rFonts w:eastAsia="Times New Roman"/>
          <w:szCs w:val="24"/>
          <w:lang w:eastAsia="ru-RU"/>
        </w:rPr>
      </w:pPr>
      <w:r w:rsidRPr="00482DE7">
        <w:rPr>
          <w:rFonts w:eastAsia="Times New Roman"/>
          <w:szCs w:val="24"/>
          <w:lang w:eastAsia="ru-RU"/>
        </w:rPr>
        <w:t>3) Плазмаферез (ПФ)</w:t>
      </w:r>
      <w:r>
        <w:rPr>
          <w:rFonts w:eastAsia="Times New Roman"/>
          <w:szCs w:val="24"/>
          <w:lang w:eastAsia="ru-RU"/>
        </w:rPr>
        <w:t xml:space="preserve"> эффективен в комплексной терапии АФС и катастрофического АФС, ТТП и других видах ТМА, гипергомоцистеинемии, повышении активности факторов </w:t>
      </w:r>
      <w:r>
        <w:rPr>
          <w:rFonts w:eastAsia="Times New Roman"/>
          <w:szCs w:val="24"/>
          <w:lang w:eastAsia="ru-RU"/>
        </w:rPr>
        <w:lastRenderedPageBreak/>
        <w:t xml:space="preserve">свертывания крови, при рецидивирующих тромбозах с угрозой развития тяжелых трофических нарушений. Объем, интенсивность, способы замещения ПФ зависят от характеристики заболеваний. </w:t>
      </w:r>
    </w:p>
    <w:p w14:paraId="6E313217" w14:textId="77777777" w:rsidR="001264E7" w:rsidRDefault="001264E7" w:rsidP="001264E7">
      <w:pPr>
        <w:ind w:left="1429"/>
        <w:rPr>
          <w:rFonts w:eastAsia="Times New Roman"/>
          <w:szCs w:val="24"/>
          <w:lang w:eastAsia="ru-RU"/>
        </w:rPr>
      </w:pPr>
    </w:p>
    <w:p w14:paraId="705B8015" w14:textId="77777777" w:rsidR="001264E7" w:rsidRPr="00111FC7" w:rsidRDefault="001264E7" w:rsidP="001264E7">
      <w:pPr>
        <w:ind w:firstLine="708"/>
        <w:rPr>
          <w:rFonts w:eastAsia="Times New Roman"/>
          <w:szCs w:val="24"/>
          <w:u w:val="single"/>
          <w:lang w:eastAsia="ru-RU"/>
        </w:rPr>
      </w:pPr>
      <w:r w:rsidRPr="00111FC7">
        <w:rPr>
          <w:rFonts w:eastAsia="Times New Roman"/>
          <w:szCs w:val="24"/>
          <w:u w:val="single"/>
          <w:lang w:eastAsia="ru-RU"/>
        </w:rPr>
        <w:t xml:space="preserve">Хирургическое лечение.   </w:t>
      </w:r>
    </w:p>
    <w:p w14:paraId="014D9CD8" w14:textId="77777777" w:rsidR="001264E7" w:rsidRPr="00A13E2A" w:rsidRDefault="001264E7" w:rsidP="00B0477D">
      <w:pPr>
        <w:ind w:firstLine="709"/>
        <w:contextualSpacing/>
        <w:rPr>
          <w:rFonts w:eastAsia="Times New Roman"/>
          <w:b/>
          <w:szCs w:val="24"/>
          <w:lang w:eastAsia="ru-RU"/>
        </w:rPr>
      </w:pPr>
      <w:r w:rsidRPr="00A13E2A">
        <w:rPr>
          <w:rFonts w:eastAsia="Times New Roman"/>
          <w:szCs w:val="24"/>
          <w:lang w:eastAsia="ru-RU"/>
        </w:rPr>
        <w:t xml:space="preserve">Диагностику и лечение артериальных тромбозов необходимо строго осуществлять совместно с ангиохирургом, часто в условиях специализированного ангиологического хирургического стационара. При ТЭЛА с тяжелыми гемодинамическими расстройствами (АД в легочной артерии более 60-65 мм.рт.ст.) показано хирургическое удаление тромбов из легочной артерии.  </w:t>
      </w:r>
    </w:p>
    <w:p w14:paraId="1986BDA6" w14:textId="77777777" w:rsidR="001264E7" w:rsidRPr="00A13E2A" w:rsidRDefault="001264E7" w:rsidP="00B0477D">
      <w:pPr>
        <w:ind w:firstLine="709"/>
        <w:rPr>
          <w:rFonts w:eastAsia="Times New Roman"/>
          <w:b/>
          <w:szCs w:val="24"/>
          <w:lang w:eastAsia="ru-RU"/>
        </w:rPr>
      </w:pPr>
      <w:r w:rsidRPr="00A13E2A">
        <w:rPr>
          <w:rFonts w:eastAsia="Times New Roman"/>
          <w:szCs w:val="24"/>
          <w:lang w:eastAsia="ru-RU"/>
        </w:rPr>
        <w:t>При развитии некротических изменений в результате окклюзирующих тромбозов показано экстренное хирургическое пособие.</w:t>
      </w:r>
    </w:p>
    <w:p w14:paraId="61263F1A" w14:textId="77777777" w:rsidR="001264E7" w:rsidRPr="00A13E2A" w:rsidRDefault="001264E7" w:rsidP="00B0477D">
      <w:pPr>
        <w:ind w:firstLine="709"/>
        <w:rPr>
          <w:rFonts w:eastAsia="Times New Roman"/>
          <w:b/>
          <w:szCs w:val="24"/>
          <w:lang w:eastAsia="ru-RU"/>
        </w:rPr>
      </w:pPr>
      <w:r w:rsidRPr="00A13E2A">
        <w:rPr>
          <w:rFonts w:eastAsia="Times New Roman"/>
          <w:szCs w:val="24"/>
          <w:lang w:eastAsia="ru-RU"/>
        </w:rPr>
        <w:t xml:space="preserve">При флотирующих тромбах возможны применение эндоваскулярной тромбоэкстракции, установка кава-фильтра, хирургическая перевязка сосудов, прошивание нижней полой вены и др. </w:t>
      </w:r>
    </w:p>
    <w:p w14:paraId="134FBDD3" w14:textId="77777777" w:rsidR="001264E7" w:rsidRDefault="001264E7" w:rsidP="00B0477D">
      <w:pPr>
        <w:ind w:firstLine="709"/>
        <w:rPr>
          <w:rFonts w:eastAsia="Times New Roman"/>
          <w:szCs w:val="24"/>
          <w:lang w:eastAsia="ru-RU"/>
        </w:rPr>
      </w:pPr>
      <w:r>
        <w:rPr>
          <w:rFonts w:eastAsia="Times New Roman"/>
          <w:szCs w:val="24"/>
          <w:lang w:eastAsia="ru-RU"/>
        </w:rPr>
        <w:t xml:space="preserve">Целью терапии тромбозов является максимально возможное лизирование тромбов и максимальная реканализация сосуда. Длительность терапии тромбоза составляет, как правило, не менее 3-х месяцев. Однако продолжительность лечения тромбозов по показаниям может составлять от 6 до 12 мес. При некоторых тромбофилиях профилактическая антитромботическая терапия может продолжаться пожизненно. </w:t>
      </w:r>
    </w:p>
    <w:p w14:paraId="7531FCB3" w14:textId="77777777" w:rsidR="001264E7" w:rsidRDefault="001264E7" w:rsidP="00B0477D">
      <w:pPr>
        <w:ind w:firstLine="709"/>
        <w:rPr>
          <w:szCs w:val="24"/>
        </w:rPr>
      </w:pPr>
      <w:r>
        <w:rPr>
          <w:szCs w:val="24"/>
        </w:rPr>
        <w:t xml:space="preserve">При сохранении таких факторов риска, как иммобилизация, гнойная инфекция, длительная катетеризация центральных сосудов, продолжающаяся ХТ или другие виды специфической терапии, сахарный диабет, сохраняющаяся злокачественная опухоль, генетические тромбофилии (исключая дефицит АТ </w:t>
      </w:r>
      <w:r>
        <w:rPr>
          <w:szCs w:val="24"/>
          <w:lang w:val="en-US"/>
        </w:rPr>
        <w:t>III</w:t>
      </w:r>
      <w:r>
        <w:rPr>
          <w:szCs w:val="24"/>
        </w:rPr>
        <w:t xml:space="preserve">), целесообразно продлить антикоагулянтную профилактику. В этом случае дополнительным аргументом может служить сохранение тромбинемии (высокая концентрация </w:t>
      </w:r>
      <w:r>
        <w:rPr>
          <w:szCs w:val="24"/>
          <w:lang w:val="en-US"/>
        </w:rPr>
        <w:t>D</w:t>
      </w:r>
      <w:r>
        <w:rPr>
          <w:szCs w:val="24"/>
        </w:rPr>
        <w:t>-димера), а также признаки замедления кровотока в глубоких венах нижних конечностей или таза при УЗДГ. Завершение противотромботического курса проводится индивидуально с учетом динамики факторов риска и тромбинемии.</w:t>
      </w:r>
    </w:p>
    <w:p w14:paraId="19B84FF2" w14:textId="77777777" w:rsidR="001264E7" w:rsidRDefault="001264E7" w:rsidP="00B0477D">
      <w:pPr>
        <w:pStyle w:val="afd"/>
        <w:spacing w:beforeAutospacing="0" w:afterAutospacing="0" w:line="360" w:lineRule="auto"/>
        <w:ind w:firstLine="709"/>
      </w:pPr>
    </w:p>
    <w:p w14:paraId="43B6074D" w14:textId="6A704FEE" w:rsidR="00312D7F" w:rsidRPr="00C731E3" w:rsidRDefault="00B0477D" w:rsidP="00312D7F">
      <w:pPr>
        <w:pStyle w:val="2"/>
      </w:pPr>
      <w:bookmarkStart w:id="37" w:name="_Toc65104104"/>
      <w:bookmarkEnd w:id="34"/>
      <w:bookmarkEnd w:id="35"/>
      <w:bookmarkEnd w:id="36"/>
      <w:r>
        <w:t xml:space="preserve">7.6 </w:t>
      </w:r>
      <w:bookmarkStart w:id="38" w:name="_Toc64295958"/>
      <w:bookmarkStart w:id="39" w:name="_Toc64477688"/>
      <w:r w:rsidR="00312D7F" w:rsidRPr="00312D7F">
        <w:t xml:space="preserve"> </w:t>
      </w:r>
      <w:r w:rsidR="00312D7F" w:rsidRPr="00C731E3">
        <w:t>Профилактика, диагностика и лечение геморрагических осложнений</w:t>
      </w:r>
      <w:bookmarkEnd w:id="37"/>
      <w:bookmarkEnd w:id="38"/>
      <w:bookmarkEnd w:id="39"/>
    </w:p>
    <w:p w14:paraId="3942DD34" w14:textId="12E0126F" w:rsidR="00312D7F" w:rsidRDefault="00312D7F" w:rsidP="00273B8C">
      <w:pPr>
        <w:ind w:firstLine="709"/>
        <w:rPr>
          <w:rFonts w:eastAsia="Times New Roman"/>
          <w:szCs w:val="24"/>
          <w:lang w:eastAsia="ru-RU"/>
        </w:rPr>
      </w:pPr>
      <w:r w:rsidRPr="00C731E3">
        <w:rPr>
          <w:rFonts w:eastAsia="Times New Roman"/>
          <w:szCs w:val="24"/>
          <w:lang w:eastAsia="ru-RU"/>
        </w:rPr>
        <w:t xml:space="preserve">Геморрагические </w:t>
      </w:r>
      <w:r>
        <w:rPr>
          <w:rFonts w:eastAsia="Times New Roman"/>
          <w:szCs w:val="24"/>
          <w:lang w:eastAsia="ru-RU"/>
        </w:rPr>
        <w:t>проявления</w:t>
      </w:r>
      <w:r w:rsidRPr="00C731E3">
        <w:rPr>
          <w:rFonts w:eastAsia="Times New Roman"/>
          <w:szCs w:val="24"/>
          <w:lang w:eastAsia="ru-RU"/>
        </w:rPr>
        <w:t xml:space="preserve"> </w:t>
      </w:r>
      <w:r>
        <w:rPr>
          <w:rFonts w:eastAsia="Times New Roman"/>
          <w:szCs w:val="24"/>
          <w:lang w:eastAsia="ru-RU"/>
        </w:rPr>
        <w:t xml:space="preserve">у гематологических пациентов отличаются многообразием и могут быть </w:t>
      </w:r>
      <w:r w:rsidRPr="00B81EE6">
        <w:rPr>
          <w:rFonts w:eastAsia="Times New Roman"/>
          <w:szCs w:val="24"/>
          <w:lang w:eastAsia="ru-RU"/>
        </w:rPr>
        <w:t xml:space="preserve">обусловлены как самим заболеванием, так и его осложнениями, </w:t>
      </w:r>
      <w:r>
        <w:rPr>
          <w:rFonts w:eastAsia="Times New Roman"/>
          <w:szCs w:val="24"/>
          <w:lang w:eastAsia="ru-RU"/>
        </w:rPr>
        <w:t>в том числе вследствие</w:t>
      </w:r>
      <w:r w:rsidRPr="00B81EE6">
        <w:rPr>
          <w:rFonts w:eastAsia="Times New Roman"/>
          <w:szCs w:val="24"/>
          <w:lang w:eastAsia="ru-RU"/>
        </w:rPr>
        <w:t xml:space="preserve"> проведения </w:t>
      </w:r>
      <w:r>
        <w:rPr>
          <w:rFonts w:eastAsia="Times New Roman"/>
          <w:szCs w:val="24"/>
          <w:lang w:eastAsia="ru-RU"/>
        </w:rPr>
        <w:t xml:space="preserve">специфической терапии, а также </w:t>
      </w:r>
      <w:r>
        <w:rPr>
          <w:rFonts w:eastAsia="Times New Roman"/>
          <w:szCs w:val="24"/>
          <w:lang w:eastAsia="ru-RU"/>
        </w:rPr>
        <w:lastRenderedPageBreak/>
        <w:t xml:space="preserve">появиться в результате проводимой антитромботической терапии. </w:t>
      </w:r>
      <w:r w:rsidRPr="00C731E3">
        <w:rPr>
          <w:rFonts w:eastAsia="Times New Roman"/>
          <w:szCs w:val="24"/>
          <w:lang w:eastAsia="ru-RU"/>
        </w:rPr>
        <w:t xml:space="preserve">Геморрагические </w:t>
      </w:r>
      <w:r>
        <w:rPr>
          <w:rFonts w:eastAsia="Times New Roman"/>
          <w:szCs w:val="24"/>
          <w:lang w:eastAsia="ru-RU"/>
        </w:rPr>
        <w:t xml:space="preserve">проявления могут встречаться на любом этапе диагностики и лечения гематологического заболевания. </w:t>
      </w:r>
      <w:r w:rsidRPr="0096696C">
        <w:rPr>
          <w:rFonts w:eastAsia="Times New Roman"/>
          <w:szCs w:val="24"/>
          <w:lang w:eastAsia="ru-RU"/>
        </w:rPr>
        <w:t xml:space="preserve">Для предотвращения </w:t>
      </w:r>
      <w:r>
        <w:rPr>
          <w:rFonts w:eastAsia="Times New Roman"/>
          <w:szCs w:val="24"/>
          <w:lang w:eastAsia="ru-RU"/>
        </w:rPr>
        <w:t>геморрагических нарушений</w:t>
      </w:r>
      <w:r w:rsidRPr="0096696C">
        <w:rPr>
          <w:rFonts w:eastAsia="Times New Roman"/>
          <w:szCs w:val="24"/>
          <w:lang w:eastAsia="ru-RU"/>
        </w:rPr>
        <w:t xml:space="preserve"> требуется </w:t>
      </w:r>
      <w:r>
        <w:rPr>
          <w:rFonts w:eastAsia="Times New Roman"/>
          <w:szCs w:val="24"/>
          <w:lang w:eastAsia="ru-RU"/>
        </w:rPr>
        <w:t xml:space="preserve">динамический лабораторный контроль </w:t>
      </w:r>
      <w:r w:rsidRPr="0096696C">
        <w:rPr>
          <w:rFonts w:eastAsia="Times New Roman"/>
          <w:szCs w:val="24"/>
          <w:lang w:eastAsia="ru-RU"/>
        </w:rPr>
        <w:t xml:space="preserve">за показателями </w:t>
      </w:r>
      <w:r>
        <w:rPr>
          <w:rFonts w:eastAsia="Times New Roman"/>
          <w:szCs w:val="24"/>
          <w:lang w:eastAsia="ru-RU"/>
        </w:rPr>
        <w:t xml:space="preserve">периферической </w:t>
      </w:r>
      <w:r w:rsidRPr="0096696C">
        <w:rPr>
          <w:rFonts w:eastAsia="Times New Roman"/>
          <w:szCs w:val="24"/>
          <w:lang w:eastAsia="ru-RU"/>
        </w:rPr>
        <w:t>крови и коагулограммы</w:t>
      </w:r>
      <w:r>
        <w:rPr>
          <w:rFonts w:eastAsia="Times New Roman"/>
          <w:szCs w:val="24"/>
          <w:lang w:eastAsia="ru-RU"/>
        </w:rPr>
        <w:t xml:space="preserve"> </w:t>
      </w:r>
      <w:r>
        <w:rPr>
          <w:rFonts w:eastAsia="Times New Roman"/>
          <w:szCs w:val="24"/>
          <w:lang w:eastAsia="ru-RU"/>
        </w:rPr>
        <w:fldChar w:fldCharType="begin" w:fldLock="1"/>
      </w:r>
      <w:r w:rsidR="00180F03">
        <w:rPr>
          <w:rFonts w:eastAsia="Times New Roman"/>
          <w:szCs w:val="24"/>
          <w:lang w:eastAsia="ru-RU"/>
        </w:rPr>
        <w:instrText>ADDIN CSL_CITATION {"citationItems":[{"id":"ITEM-1","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-1","issued":{"date-parts":[["2010"]]},"number-of-pages":"192","title":"Практическая коагулология","type":"book"},"uris":["http://www.mendeley.com/documents/?uuid=36d7b04e-d654-47d2-a073-3cc2bb6e80ce"]}],"mendeley":{"formattedCitation":"[137]","plainTextFormattedCitation":"[137]","previouslyFormattedCitation":"[137]"},"properties":{"noteIndex":0},"schema":"https://github.com/citation-style-language/schema/raw/master/csl-citation.json"}</w:instrText>
      </w:r>
      <w:r>
        <w:rPr>
          <w:rFonts w:eastAsia="Times New Roman"/>
          <w:szCs w:val="24"/>
          <w:lang w:eastAsia="ru-RU"/>
        </w:rPr>
        <w:fldChar w:fldCharType="separate"/>
      </w:r>
      <w:r w:rsidRPr="00312D7F">
        <w:rPr>
          <w:rFonts w:eastAsia="Times New Roman"/>
          <w:noProof/>
          <w:szCs w:val="24"/>
          <w:lang w:eastAsia="ru-RU"/>
        </w:rPr>
        <w:t>[137]</w:t>
      </w:r>
      <w:r>
        <w:rPr>
          <w:rFonts w:eastAsia="Times New Roman"/>
          <w:szCs w:val="24"/>
          <w:lang w:eastAsia="ru-RU"/>
        </w:rPr>
        <w:fldChar w:fldCharType="end"/>
      </w:r>
      <w:r w:rsidRPr="0096696C">
        <w:rPr>
          <w:rFonts w:eastAsia="Times New Roman"/>
          <w:szCs w:val="24"/>
          <w:lang w:eastAsia="ru-RU"/>
        </w:rPr>
        <w:t>.</w:t>
      </w:r>
      <w:r w:rsidRPr="00D61164">
        <w:rPr>
          <w:rFonts w:eastAsia="Times New Roman"/>
          <w:szCs w:val="24"/>
          <w:lang w:eastAsia="ru-RU"/>
        </w:rPr>
        <w:t xml:space="preserve"> </w:t>
      </w:r>
      <w:r w:rsidRPr="00C731E3">
        <w:rPr>
          <w:rFonts w:eastAsia="Times New Roman"/>
          <w:szCs w:val="24"/>
          <w:lang w:eastAsia="ru-RU"/>
        </w:rPr>
        <w:t xml:space="preserve">Если появляются ранние признаки геморрагического синдрома или лабораторные </w:t>
      </w:r>
      <w:r>
        <w:rPr>
          <w:rFonts w:eastAsia="Times New Roman"/>
          <w:szCs w:val="24"/>
          <w:lang w:eastAsia="ru-RU"/>
        </w:rPr>
        <w:t>параметры</w:t>
      </w:r>
      <w:r w:rsidRPr="00C731E3">
        <w:rPr>
          <w:rFonts w:eastAsia="Times New Roman"/>
          <w:szCs w:val="24"/>
          <w:lang w:eastAsia="ru-RU"/>
        </w:rPr>
        <w:t xml:space="preserve"> указывают на выраженную гипокоагуляцию, </w:t>
      </w:r>
      <w:r>
        <w:rPr>
          <w:rFonts w:eastAsia="Times New Roman"/>
          <w:szCs w:val="24"/>
          <w:lang w:eastAsia="ru-RU"/>
        </w:rPr>
        <w:t>необходимо решить вопрос о прекращении антикоагулянтной терапии в случае ее проведения или снижении доз препаратов.</w:t>
      </w:r>
    </w:p>
    <w:p w14:paraId="552CF1A0" w14:textId="77777777" w:rsidR="00312D7F" w:rsidRDefault="00312D7F" w:rsidP="00312D7F">
      <w:pPr>
        <w:rPr>
          <w:rFonts w:eastAsia="Times New Roman"/>
          <w:szCs w:val="24"/>
          <w:lang w:eastAsia="ru-RU"/>
        </w:rPr>
      </w:pPr>
    </w:p>
    <w:p w14:paraId="383E69E2" w14:textId="77777777" w:rsidR="00312D7F" w:rsidRPr="00777FF8" w:rsidRDefault="00312D7F" w:rsidP="00312D7F">
      <w:pPr>
        <w:pStyle w:val="afd"/>
        <w:spacing w:beforeAutospacing="0" w:afterAutospacing="0" w:line="360" w:lineRule="auto"/>
        <w:rPr>
          <w:i/>
          <w:iCs/>
          <w:u w:val="single"/>
        </w:rPr>
      </w:pPr>
      <w:r w:rsidRPr="00777FF8">
        <w:rPr>
          <w:i/>
          <w:iCs/>
          <w:u w:val="single"/>
        </w:rPr>
        <w:t>Клинические проявления.</w:t>
      </w:r>
    </w:p>
    <w:p w14:paraId="4D70C603" w14:textId="77777777" w:rsidR="00312D7F" w:rsidRDefault="00312D7F" w:rsidP="00273B8C">
      <w:pPr>
        <w:pStyle w:val="aff"/>
        <w:ind w:left="0" w:firstLine="709"/>
        <w:rPr>
          <w:rFonts w:eastAsia="Times New Roman"/>
          <w:szCs w:val="24"/>
          <w:lang w:eastAsia="ru-RU"/>
        </w:rPr>
      </w:pPr>
      <w:r>
        <w:rPr>
          <w:rFonts w:eastAsia="Times New Roman"/>
          <w:szCs w:val="24"/>
          <w:lang w:eastAsia="ru-RU"/>
        </w:rPr>
        <w:t>Геморрагический синдром</w:t>
      </w:r>
      <w:r w:rsidRPr="0096696C">
        <w:rPr>
          <w:rFonts w:eastAsia="Times New Roman"/>
          <w:szCs w:val="24"/>
          <w:lang w:eastAsia="ru-RU"/>
        </w:rPr>
        <w:t xml:space="preserve"> </w:t>
      </w:r>
      <w:r>
        <w:rPr>
          <w:rFonts w:eastAsia="Times New Roman"/>
          <w:szCs w:val="24"/>
          <w:lang w:eastAsia="ru-RU"/>
        </w:rPr>
        <w:t xml:space="preserve">может </w:t>
      </w:r>
      <w:r w:rsidRPr="0096696C">
        <w:rPr>
          <w:rFonts w:eastAsia="Times New Roman"/>
          <w:szCs w:val="24"/>
          <w:lang w:eastAsia="ru-RU"/>
        </w:rPr>
        <w:t>проявля</w:t>
      </w:r>
      <w:r>
        <w:rPr>
          <w:rFonts w:eastAsia="Times New Roman"/>
          <w:szCs w:val="24"/>
          <w:lang w:eastAsia="ru-RU"/>
        </w:rPr>
        <w:t>ть</w:t>
      </w:r>
      <w:r w:rsidRPr="0096696C">
        <w:rPr>
          <w:rFonts w:eastAsia="Times New Roman"/>
          <w:szCs w:val="24"/>
          <w:lang w:eastAsia="ru-RU"/>
        </w:rPr>
        <w:t>ся в виде экхимозов и петехиальных высыпаний; носовых, десневых,</w:t>
      </w:r>
      <w:r>
        <w:rPr>
          <w:rFonts w:eastAsia="Times New Roman"/>
          <w:szCs w:val="24"/>
          <w:lang w:eastAsia="ru-RU"/>
        </w:rPr>
        <w:t xml:space="preserve"> луночковых,</w:t>
      </w:r>
      <w:r w:rsidRPr="0096696C">
        <w:rPr>
          <w:rFonts w:eastAsia="Times New Roman"/>
          <w:szCs w:val="24"/>
          <w:lang w:eastAsia="ru-RU"/>
        </w:rPr>
        <w:t xml:space="preserve"> геморроидальных, маточных и желудочно-кишечных кровотечений</w:t>
      </w:r>
      <w:r>
        <w:rPr>
          <w:rFonts w:eastAsia="Times New Roman"/>
          <w:szCs w:val="24"/>
          <w:lang w:eastAsia="ru-RU"/>
        </w:rPr>
        <w:t xml:space="preserve"> (ЖКК)</w:t>
      </w:r>
      <w:r w:rsidRPr="0096696C">
        <w:rPr>
          <w:rFonts w:eastAsia="Times New Roman"/>
          <w:szCs w:val="24"/>
          <w:lang w:eastAsia="ru-RU"/>
        </w:rPr>
        <w:t xml:space="preserve">; </w:t>
      </w:r>
      <w:r>
        <w:rPr>
          <w:rFonts w:eastAsia="Times New Roman"/>
          <w:szCs w:val="24"/>
          <w:lang w:eastAsia="ru-RU"/>
        </w:rPr>
        <w:t xml:space="preserve">гематурии или </w:t>
      </w:r>
      <w:r w:rsidRPr="0096696C">
        <w:rPr>
          <w:rFonts w:eastAsia="Times New Roman"/>
          <w:szCs w:val="24"/>
          <w:lang w:eastAsia="ru-RU"/>
        </w:rPr>
        <w:t xml:space="preserve">геморрагического цистита; </w:t>
      </w:r>
      <w:r>
        <w:rPr>
          <w:rFonts w:eastAsia="Times New Roman"/>
          <w:szCs w:val="24"/>
          <w:lang w:eastAsia="ru-RU"/>
        </w:rPr>
        <w:t xml:space="preserve">кровоизлияний в орбиту; </w:t>
      </w:r>
      <w:r w:rsidRPr="0096696C">
        <w:rPr>
          <w:rFonts w:eastAsia="Times New Roman"/>
          <w:szCs w:val="24"/>
          <w:lang w:eastAsia="ru-RU"/>
        </w:rPr>
        <w:t xml:space="preserve">внутримозговых гематом и </w:t>
      </w:r>
      <w:r>
        <w:rPr>
          <w:rFonts w:eastAsia="Times New Roman"/>
          <w:szCs w:val="24"/>
          <w:lang w:eastAsia="ru-RU"/>
        </w:rPr>
        <w:t>кровоизлияний в центральную нервную систему (ЦНС), забрюшинных гематом, гемартрозов, гематом мягких тканей и межмышечных гематом</w:t>
      </w:r>
      <w:r w:rsidRPr="0096696C">
        <w:rPr>
          <w:rFonts w:eastAsia="Times New Roman"/>
          <w:szCs w:val="24"/>
          <w:lang w:eastAsia="ru-RU"/>
        </w:rPr>
        <w:t xml:space="preserve">. </w:t>
      </w:r>
      <w:r>
        <w:rPr>
          <w:rFonts w:eastAsia="Times New Roman"/>
          <w:szCs w:val="24"/>
          <w:lang w:eastAsia="ru-RU"/>
        </w:rPr>
        <w:t xml:space="preserve">Геморрагический синдром может быть спонтанным или посттравматическим/провокационным (после травм, инвазивных вмешательств и др.). </w:t>
      </w:r>
      <w:r w:rsidRPr="0096696C">
        <w:rPr>
          <w:rFonts w:eastAsia="Times New Roman"/>
          <w:szCs w:val="24"/>
          <w:lang w:eastAsia="ru-RU"/>
        </w:rPr>
        <w:t xml:space="preserve">С целью ранней диагностики геморрагических осложнений необходимо ежедневно осматривать кожные покровы и слизистые больного, </w:t>
      </w:r>
      <w:r>
        <w:rPr>
          <w:rFonts w:eastAsia="Times New Roman"/>
          <w:szCs w:val="24"/>
          <w:lang w:eastAsia="ru-RU"/>
        </w:rPr>
        <w:t>активно выяснять, имею</w:t>
      </w:r>
      <w:r w:rsidRPr="0096696C">
        <w:rPr>
          <w:rFonts w:eastAsia="Times New Roman"/>
          <w:szCs w:val="24"/>
          <w:lang w:eastAsia="ru-RU"/>
        </w:rPr>
        <w:t>тся ли какие-либо проявления геморрагического синдрома.</w:t>
      </w:r>
      <w:r>
        <w:rPr>
          <w:rFonts w:eastAsia="Times New Roman"/>
          <w:szCs w:val="24"/>
          <w:lang w:eastAsia="ru-RU"/>
        </w:rPr>
        <w:t xml:space="preserve"> Также необходим тщательный сбор анамнеза с уточнением наличия геморрагических проявлений до заболевания лимфомой у самого пациента, а также у его родственников первой линии, с детства, для исключения сочетания лимфомы с наследственными коагулопатиями и тромбоцитопатиями.</w:t>
      </w:r>
    </w:p>
    <w:p w14:paraId="7A6942CB" w14:textId="77777777" w:rsidR="00312D7F" w:rsidRDefault="00312D7F" w:rsidP="00312D7F">
      <w:pPr>
        <w:pStyle w:val="aff"/>
        <w:ind w:left="0"/>
        <w:rPr>
          <w:rFonts w:eastAsia="Times New Roman"/>
          <w:szCs w:val="24"/>
          <w:lang w:eastAsia="ru-RU"/>
        </w:rPr>
      </w:pPr>
    </w:p>
    <w:p w14:paraId="3334608E" w14:textId="77777777" w:rsidR="00312D7F" w:rsidRPr="00777FF8" w:rsidRDefault="00312D7F" w:rsidP="00312D7F">
      <w:pPr>
        <w:pStyle w:val="afd"/>
        <w:spacing w:beforeAutospacing="0" w:afterAutospacing="0" w:line="360" w:lineRule="auto"/>
        <w:rPr>
          <w:i/>
          <w:iCs/>
          <w:u w:val="single"/>
        </w:rPr>
      </w:pPr>
      <w:r w:rsidRPr="00777FF8">
        <w:rPr>
          <w:i/>
          <w:iCs/>
          <w:u w:val="single"/>
        </w:rPr>
        <w:t>Лабораторная диагностика.</w:t>
      </w:r>
    </w:p>
    <w:p w14:paraId="7B68F655" w14:textId="77777777" w:rsidR="00312D7F" w:rsidRDefault="00312D7F" w:rsidP="00273B8C">
      <w:pPr>
        <w:ind w:firstLine="709"/>
        <w:rPr>
          <w:szCs w:val="24"/>
        </w:rPr>
      </w:pPr>
      <w:r>
        <w:rPr>
          <w:szCs w:val="24"/>
        </w:rPr>
        <w:t>Для определения конкретного нарушения, вследствие которого появились геморрагические проявления</w:t>
      </w:r>
      <w:r w:rsidRPr="006E084C">
        <w:rPr>
          <w:szCs w:val="24"/>
        </w:rPr>
        <w:t>,</w:t>
      </w:r>
      <w:r>
        <w:rPr>
          <w:szCs w:val="24"/>
        </w:rPr>
        <w:t xml:space="preserve"> помимо тщательного сбора анамнеза и жалоб, а также оценки проводимой специфической терапии, в том числе химиотерапии (ХТ</w:t>
      </w:r>
      <w:r w:rsidRPr="006E084C">
        <w:rPr>
          <w:szCs w:val="24"/>
        </w:rPr>
        <w:t>),</w:t>
      </w:r>
      <w:r>
        <w:rPr>
          <w:szCs w:val="24"/>
        </w:rPr>
        <w:t xml:space="preserve">  </w:t>
      </w:r>
      <w:r w:rsidRPr="004308D7">
        <w:rPr>
          <w:szCs w:val="24"/>
        </w:rPr>
        <w:t>обязательно проведение поэтапного лабораторного исследования.</w:t>
      </w:r>
      <w:r>
        <w:rPr>
          <w:szCs w:val="24"/>
        </w:rPr>
        <w:t xml:space="preserve"> </w:t>
      </w:r>
    </w:p>
    <w:p w14:paraId="04BF176A" w14:textId="1D728496" w:rsidR="00312D7F" w:rsidRPr="009F1473" w:rsidRDefault="00312D7F" w:rsidP="00273B8C">
      <w:pPr>
        <w:ind w:firstLine="709"/>
        <w:rPr>
          <w:szCs w:val="24"/>
        </w:rPr>
      </w:pPr>
      <w:r w:rsidRPr="009F1473">
        <w:rPr>
          <w:szCs w:val="24"/>
        </w:rPr>
        <w:t>Необходимо проведение следующих исследований</w:t>
      </w:r>
      <w:r>
        <w:rPr>
          <w:szCs w:val="24"/>
        </w:rPr>
        <w:t xml:space="preserve"> </w:t>
      </w:r>
      <w:r>
        <w:rPr>
          <w:szCs w:val="24"/>
        </w:rPr>
        <w:fldChar w:fldCharType="begin" w:fldLock="1"/>
      </w:r>
      <w:r w:rsidR="00180F03">
        <w:rPr>
          <w:szCs w:val="24"/>
        </w:rPr>
        <w:instrText>ADDIN CSL_CITATION {"citationItems":[{"id":"ITEM-1","itemData":{"DOI":"10.1111/ijlh.12822","ISSN":"1751553X","PMID":"29741250","abstract":"Introduction: Laboratory investigations for bleeding disorders are warranted when an individual has a personal and/or family history of bleeding, and/or laboratory findings that suggest the possibility of an inherited or acquired bleeding disorder. Methods: This review summarizes author's experience with ordering and reporting on diagnostic investigations for common and rare bleeding disorders, with consideration of recent articles on diagnosing bleeding disorders. An updated strategy is presented for investigating common and rare, congenital and acquired bleeding disorders. Results: An investigation of a suspected bleeding disorder requires a practical strategy that considers the clinical problem to be investigated, the pretest probability of true-positive and false-positive findings, the investigations can be performed locally or in a reference laboratory and limit the number of blood samples required to establish a diagnosis. It is often advantageous to simultaneously test for von Willebrand disease and platelet function disorders, and for coagulation defects, including fibrinogen disorders. An investigation for rarer bleeding disorders, including those affecting factor XIII, α2 antiplasmin, and plasminogen activator inhibitor-1, is appropriate when faced with a severe congenital or acquired bleeding problem that cannot be explained by the initial diagnostic investigations. Conclusion: An organized strategy for investigating bleeding disorders that consider important issues, confirms abnormal findings, encourages proper interpretation of the results, and provides a helpful framework for assessing both common and rare causes of bleeding.","author":[{"dropping-particle":"","family":"Hayward","given":"C. P.M.","non-dropping-particle":"","parse-names":false,"suffix":""}],"container-title":"International Journal of Laboratory Hematology","id":"ITEM-1","issued":{"date-parts":[["2018","5","1"]]},"page":"6-14","publisher":"Blackwell Publishing Ltd","title":"How I investigate for bleeding disorders","type":"article","volume":"40"},"uris":["http://www.mendeley.com/documents/?uuid=8c375aab-6218-4ed1-9ecf-6629bbffa285"]},{"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[137,141]","plainTextFormattedCitation":"[137,141]","previouslyFormattedCitation":"[137,141]"},"properties":{"noteIndex":0},"schema":"https://github.com/citation-style-language/schema/raw/master/csl-citation.json"}</w:instrText>
      </w:r>
      <w:r>
        <w:rPr>
          <w:szCs w:val="24"/>
        </w:rPr>
        <w:fldChar w:fldCharType="separate"/>
      </w:r>
      <w:r w:rsidRPr="00312D7F">
        <w:rPr>
          <w:noProof/>
          <w:szCs w:val="24"/>
        </w:rPr>
        <w:t>[137,141]</w:t>
      </w:r>
      <w:r>
        <w:rPr>
          <w:szCs w:val="24"/>
        </w:rPr>
        <w:fldChar w:fldCharType="end"/>
      </w:r>
      <w:r w:rsidRPr="009F1473">
        <w:rPr>
          <w:szCs w:val="24"/>
        </w:rPr>
        <w:t xml:space="preserve">: </w:t>
      </w:r>
    </w:p>
    <w:p w14:paraId="31F1ECCA" w14:textId="77777777" w:rsidR="00312D7F" w:rsidRPr="00777FF8" w:rsidRDefault="00312D7F" w:rsidP="0091350E">
      <w:pPr>
        <w:pStyle w:val="aff"/>
        <w:numPr>
          <w:ilvl w:val="1"/>
          <w:numId w:val="40"/>
        </w:numPr>
        <w:rPr>
          <w:szCs w:val="24"/>
        </w:rPr>
      </w:pPr>
      <w:r w:rsidRPr="00777FF8">
        <w:rPr>
          <w:szCs w:val="24"/>
        </w:rPr>
        <w:t>Исследование периферической крови с подсчетом количества эритроцитов, гемоглобина и гематокрита, тромбоцитов (с подсчетом в мазке по Фонио), лейкоцитов, лейкоцитарной формулы – обязательно при диагностике, далее - по показаниям с целью оценки динамики гематологических показателей и для контроля эффективности  лечения</w:t>
      </w:r>
      <w:r>
        <w:t xml:space="preserve">. </w:t>
      </w:r>
      <w:r w:rsidRPr="00777FF8">
        <w:rPr>
          <w:szCs w:val="24"/>
        </w:rPr>
        <w:t xml:space="preserve">При снижении количества тромбоцитов ≤ </w:t>
      </w:r>
      <w:r w:rsidRPr="00777FF8">
        <w:rPr>
          <w:szCs w:val="24"/>
        </w:rPr>
        <w:lastRenderedPageBreak/>
        <w:t>20х10</w:t>
      </w:r>
      <w:r w:rsidRPr="00777FF8">
        <w:rPr>
          <w:szCs w:val="24"/>
          <w:vertAlign w:val="superscript"/>
        </w:rPr>
        <w:t>9</w:t>
      </w:r>
      <w:r w:rsidRPr="00777FF8">
        <w:rPr>
          <w:szCs w:val="24"/>
        </w:rPr>
        <w:t xml:space="preserve"> мкл геморрагические осложнения высоковероятны. Однако не всегда тяжесть геморрагических проявлений прямо коррелирует со степенью тромбоцитопении.</w:t>
      </w:r>
    </w:p>
    <w:p w14:paraId="2915CC76" w14:textId="77777777" w:rsidR="00312D7F" w:rsidRDefault="00312D7F" w:rsidP="0091350E">
      <w:pPr>
        <w:pStyle w:val="aff"/>
        <w:numPr>
          <w:ilvl w:val="1"/>
          <w:numId w:val="40"/>
        </w:numPr>
        <w:rPr>
          <w:szCs w:val="24"/>
        </w:rPr>
      </w:pPr>
      <w:r w:rsidRPr="00777FF8">
        <w:rPr>
          <w:szCs w:val="24"/>
        </w:rPr>
        <w:t>Коагулограмма с определением следующих показателей:</w:t>
      </w:r>
    </w:p>
    <w:p w14:paraId="4451A4DB" w14:textId="77777777" w:rsidR="00312D7F" w:rsidRDefault="00312D7F" w:rsidP="0091350E">
      <w:pPr>
        <w:pStyle w:val="aff"/>
        <w:numPr>
          <w:ilvl w:val="2"/>
          <w:numId w:val="55"/>
        </w:numPr>
        <w:rPr>
          <w:szCs w:val="24"/>
        </w:rPr>
      </w:pPr>
      <w:r w:rsidRPr="00777FF8">
        <w:rPr>
          <w:szCs w:val="24"/>
        </w:rPr>
        <w:t>активированное частичное тромбопластиновое время (АЧТВ);</w:t>
      </w:r>
    </w:p>
    <w:p w14:paraId="0B2E452C" w14:textId="77777777" w:rsidR="00312D7F" w:rsidRDefault="00312D7F" w:rsidP="0091350E">
      <w:pPr>
        <w:pStyle w:val="aff"/>
        <w:numPr>
          <w:ilvl w:val="2"/>
          <w:numId w:val="55"/>
        </w:numPr>
        <w:rPr>
          <w:szCs w:val="24"/>
        </w:rPr>
      </w:pPr>
      <w:r w:rsidRPr="00777FF8">
        <w:rPr>
          <w:szCs w:val="24"/>
        </w:rPr>
        <w:t>тромбиновое время (ТВ);</w:t>
      </w:r>
    </w:p>
    <w:p w14:paraId="092053C6" w14:textId="77777777" w:rsidR="00312D7F" w:rsidRDefault="00312D7F" w:rsidP="0091350E">
      <w:pPr>
        <w:pStyle w:val="aff"/>
        <w:numPr>
          <w:ilvl w:val="2"/>
          <w:numId w:val="55"/>
        </w:numPr>
        <w:rPr>
          <w:szCs w:val="24"/>
        </w:rPr>
      </w:pPr>
      <w:r w:rsidRPr="00777FF8">
        <w:rPr>
          <w:szCs w:val="24"/>
        </w:rPr>
        <w:t>протромбин по Квику (международное нормализованное отношение - МНО);</w:t>
      </w:r>
    </w:p>
    <w:p w14:paraId="383A7B8B" w14:textId="77777777" w:rsidR="00312D7F" w:rsidRDefault="00312D7F" w:rsidP="0091350E">
      <w:pPr>
        <w:pStyle w:val="aff"/>
        <w:numPr>
          <w:ilvl w:val="2"/>
          <w:numId w:val="55"/>
        </w:numPr>
        <w:rPr>
          <w:szCs w:val="24"/>
        </w:rPr>
      </w:pPr>
      <w:r w:rsidRPr="00777FF8">
        <w:rPr>
          <w:szCs w:val="24"/>
        </w:rPr>
        <w:t>плазменная концентрация фибриногена;</w:t>
      </w:r>
    </w:p>
    <w:p w14:paraId="36A24835" w14:textId="77777777" w:rsidR="00312D7F" w:rsidRDefault="00312D7F" w:rsidP="0091350E">
      <w:pPr>
        <w:pStyle w:val="aff"/>
        <w:numPr>
          <w:ilvl w:val="2"/>
          <w:numId w:val="55"/>
        </w:numPr>
        <w:rPr>
          <w:szCs w:val="24"/>
        </w:rPr>
      </w:pPr>
      <w:r w:rsidRPr="00777FF8">
        <w:rPr>
          <w:szCs w:val="24"/>
        </w:rPr>
        <w:t>активность фактора Виллебранда (</w:t>
      </w:r>
      <w:r w:rsidRPr="00777FF8">
        <w:rPr>
          <w:szCs w:val="24"/>
          <w:lang w:val="en-US"/>
        </w:rPr>
        <w:t>vWF</w:t>
      </w:r>
      <w:r w:rsidRPr="00777FF8">
        <w:rPr>
          <w:szCs w:val="24"/>
        </w:rPr>
        <w:t xml:space="preserve">) и антигена  </w:t>
      </w:r>
      <w:r w:rsidRPr="00777FF8">
        <w:rPr>
          <w:szCs w:val="24"/>
          <w:lang w:val="en-US"/>
        </w:rPr>
        <w:t>vWF</w:t>
      </w:r>
      <w:r w:rsidRPr="00777FF8">
        <w:rPr>
          <w:szCs w:val="24"/>
        </w:rPr>
        <w:t xml:space="preserve"> (</w:t>
      </w:r>
      <w:r w:rsidRPr="00777FF8">
        <w:rPr>
          <w:szCs w:val="24"/>
          <w:lang w:val="en-US"/>
        </w:rPr>
        <w:t>ag</w:t>
      </w:r>
      <w:r w:rsidRPr="00777FF8">
        <w:rPr>
          <w:szCs w:val="24"/>
        </w:rPr>
        <w:t>-</w:t>
      </w:r>
      <w:r w:rsidRPr="00777FF8">
        <w:rPr>
          <w:szCs w:val="24"/>
          <w:lang w:val="en-US"/>
        </w:rPr>
        <w:t>vWF</w:t>
      </w:r>
      <w:r w:rsidRPr="00777FF8">
        <w:rPr>
          <w:szCs w:val="24"/>
        </w:rPr>
        <w:t>) – по показаниям;</w:t>
      </w:r>
    </w:p>
    <w:p w14:paraId="0AB8E263" w14:textId="77777777" w:rsidR="00312D7F" w:rsidRDefault="00312D7F" w:rsidP="0091350E">
      <w:pPr>
        <w:pStyle w:val="aff"/>
        <w:numPr>
          <w:ilvl w:val="2"/>
          <w:numId w:val="55"/>
        </w:numPr>
        <w:rPr>
          <w:szCs w:val="24"/>
        </w:rPr>
      </w:pPr>
      <w:r w:rsidRPr="00777FF8">
        <w:rPr>
          <w:szCs w:val="24"/>
        </w:rPr>
        <w:t xml:space="preserve">плазменная концентрация антитромбина III (АТ </w:t>
      </w:r>
      <w:r w:rsidRPr="00777FF8">
        <w:rPr>
          <w:szCs w:val="24"/>
          <w:lang w:val="en-US"/>
        </w:rPr>
        <w:t>III</w:t>
      </w:r>
      <w:r w:rsidRPr="00777FF8">
        <w:rPr>
          <w:szCs w:val="24"/>
        </w:rPr>
        <w:t>) – по показаниям;</w:t>
      </w:r>
    </w:p>
    <w:p w14:paraId="71D1AE3A" w14:textId="77777777" w:rsidR="00312D7F" w:rsidRDefault="00312D7F" w:rsidP="0091350E">
      <w:pPr>
        <w:pStyle w:val="aff"/>
        <w:numPr>
          <w:ilvl w:val="2"/>
          <w:numId w:val="55"/>
        </w:numPr>
        <w:rPr>
          <w:szCs w:val="24"/>
        </w:rPr>
      </w:pPr>
      <w:r w:rsidRPr="00777FF8">
        <w:rPr>
          <w:szCs w:val="24"/>
        </w:rPr>
        <w:t>агрегация тромбоцитов, индуцированная АДФ, адреналином, ристомицином, коллагеном, арахидоновой кислотой – по показаниям;</w:t>
      </w:r>
    </w:p>
    <w:p w14:paraId="1415E51A" w14:textId="77777777" w:rsidR="00312D7F" w:rsidRDefault="00312D7F" w:rsidP="0091350E">
      <w:pPr>
        <w:pStyle w:val="aff"/>
        <w:numPr>
          <w:ilvl w:val="2"/>
          <w:numId w:val="55"/>
        </w:numPr>
        <w:rPr>
          <w:szCs w:val="24"/>
        </w:rPr>
      </w:pPr>
      <w:r w:rsidRPr="00777FF8">
        <w:rPr>
          <w:szCs w:val="24"/>
        </w:rPr>
        <w:t xml:space="preserve">активность факторов свертывания крови </w:t>
      </w:r>
      <w:r w:rsidRPr="00777FF8">
        <w:rPr>
          <w:szCs w:val="24"/>
          <w:lang w:val="en-US"/>
        </w:rPr>
        <w:t>II</w:t>
      </w:r>
      <w:r w:rsidRPr="00777FF8">
        <w:rPr>
          <w:szCs w:val="24"/>
        </w:rPr>
        <w:t xml:space="preserve">, </w:t>
      </w:r>
      <w:r w:rsidRPr="00777FF8">
        <w:rPr>
          <w:szCs w:val="24"/>
          <w:lang w:val="en-US"/>
        </w:rPr>
        <w:t>V</w:t>
      </w:r>
      <w:r w:rsidRPr="00777FF8">
        <w:rPr>
          <w:szCs w:val="24"/>
        </w:rPr>
        <w:t xml:space="preserve">, </w:t>
      </w:r>
      <w:r w:rsidRPr="00777FF8">
        <w:rPr>
          <w:szCs w:val="24"/>
          <w:lang w:val="en-US"/>
        </w:rPr>
        <w:t>VII</w:t>
      </w:r>
      <w:r w:rsidRPr="00777FF8">
        <w:rPr>
          <w:szCs w:val="24"/>
        </w:rPr>
        <w:t xml:space="preserve">, </w:t>
      </w:r>
      <w:r w:rsidRPr="00777FF8">
        <w:rPr>
          <w:szCs w:val="24"/>
          <w:lang w:val="en-US"/>
        </w:rPr>
        <w:t>VIII</w:t>
      </w:r>
      <w:r w:rsidRPr="00777FF8">
        <w:rPr>
          <w:szCs w:val="24"/>
        </w:rPr>
        <w:t xml:space="preserve">, </w:t>
      </w:r>
      <w:r w:rsidRPr="00777FF8">
        <w:rPr>
          <w:szCs w:val="24"/>
          <w:lang w:val="en-US"/>
        </w:rPr>
        <w:t>IX</w:t>
      </w:r>
      <w:r w:rsidRPr="00777FF8">
        <w:rPr>
          <w:szCs w:val="24"/>
        </w:rPr>
        <w:t xml:space="preserve">, </w:t>
      </w:r>
      <w:r w:rsidRPr="00777FF8">
        <w:rPr>
          <w:szCs w:val="24"/>
          <w:lang w:val="en-US"/>
        </w:rPr>
        <w:t>X</w:t>
      </w:r>
      <w:r w:rsidRPr="00777FF8">
        <w:rPr>
          <w:szCs w:val="24"/>
        </w:rPr>
        <w:t xml:space="preserve">, </w:t>
      </w:r>
      <w:r w:rsidRPr="00777FF8">
        <w:rPr>
          <w:szCs w:val="24"/>
          <w:lang w:val="en-US"/>
        </w:rPr>
        <w:t>XI</w:t>
      </w:r>
      <w:r w:rsidRPr="00777FF8">
        <w:rPr>
          <w:szCs w:val="24"/>
        </w:rPr>
        <w:t xml:space="preserve">, </w:t>
      </w:r>
      <w:r w:rsidRPr="00777FF8">
        <w:rPr>
          <w:szCs w:val="24"/>
          <w:lang w:val="en-US"/>
        </w:rPr>
        <w:t>XII</w:t>
      </w:r>
      <w:r w:rsidRPr="00777FF8">
        <w:rPr>
          <w:szCs w:val="24"/>
        </w:rPr>
        <w:t xml:space="preserve">, </w:t>
      </w:r>
      <w:r w:rsidRPr="00777FF8">
        <w:rPr>
          <w:szCs w:val="24"/>
          <w:lang w:val="en-US"/>
        </w:rPr>
        <w:t>XIII</w:t>
      </w:r>
      <w:r w:rsidRPr="00777FF8">
        <w:rPr>
          <w:szCs w:val="24"/>
        </w:rPr>
        <w:t xml:space="preserve"> – по показаниям;</w:t>
      </w:r>
    </w:p>
    <w:p w14:paraId="2702DE01" w14:textId="77777777" w:rsidR="00312D7F" w:rsidRPr="00777FF8" w:rsidRDefault="00312D7F" w:rsidP="0091350E">
      <w:pPr>
        <w:pStyle w:val="aff"/>
        <w:numPr>
          <w:ilvl w:val="2"/>
          <w:numId w:val="55"/>
        </w:numPr>
        <w:rPr>
          <w:szCs w:val="24"/>
        </w:rPr>
      </w:pPr>
      <w:r w:rsidRPr="00777FF8">
        <w:rPr>
          <w:szCs w:val="24"/>
        </w:rPr>
        <w:t>XIIa-зависимый фибринолиз.</w:t>
      </w:r>
    </w:p>
    <w:p w14:paraId="340B91BF" w14:textId="77777777" w:rsidR="00312D7F" w:rsidRPr="00777FF8" w:rsidRDefault="00312D7F" w:rsidP="00312D7F">
      <w:pPr>
        <w:widowControl w:val="0"/>
        <w:autoSpaceDE w:val="0"/>
        <w:autoSpaceDN w:val="0"/>
        <w:adjustRightInd w:val="0"/>
        <w:ind w:left="1418"/>
        <w:rPr>
          <w:szCs w:val="24"/>
        </w:rPr>
      </w:pPr>
      <w:r w:rsidRPr="00777FF8">
        <w:rPr>
          <w:szCs w:val="24"/>
        </w:rPr>
        <w:t>Для исследования показателей гемостаза забор крови производят строго натощак, с помощью вакуумных пробирок. Забор крови из катетеров запрещен. Кровь набирают в пробирки, содержащие 3,2% цитрат натрия в соотношении 1:9. Исследование должно проводиться не позднее 2-х часов после забора крови.  Достоверность результатов агрегабельности тромбоцитов можно оценить только при содержании в крови тромбоцитов ≥ 100х10</w:t>
      </w:r>
      <w:r w:rsidRPr="00777FF8">
        <w:rPr>
          <w:szCs w:val="24"/>
          <w:vertAlign w:val="superscript"/>
        </w:rPr>
        <w:t>9</w:t>
      </w:r>
      <w:r w:rsidRPr="00777FF8">
        <w:rPr>
          <w:szCs w:val="24"/>
        </w:rPr>
        <w:t>/л.</w:t>
      </w:r>
    </w:p>
    <w:p w14:paraId="3AE32DDE" w14:textId="77777777" w:rsidR="00312D7F" w:rsidRPr="00777FF8" w:rsidRDefault="00312D7F" w:rsidP="00312D7F">
      <w:pPr>
        <w:autoSpaceDE w:val="0"/>
        <w:autoSpaceDN w:val="0"/>
        <w:adjustRightInd w:val="0"/>
        <w:ind w:left="1418"/>
        <w:rPr>
          <w:szCs w:val="24"/>
        </w:rPr>
      </w:pPr>
      <w:r w:rsidRPr="00777FF8">
        <w:rPr>
          <w:szCs w:val="24"/>
        </w:rPr>
        <w:t>У пациентов с лимфомами  уменьшение  протромбина по Квику  (повышение МНО) может быть обусловлено различными видами приобретенного дефицита факторов протромбинового комплекса, в первую очередь вследствие тяжелой патологии печени, механической желтухи, вторичного антифосфолипидного синдрома, токсического действия антикоагулянтов непрямого действия, эндогенного дефицита витамина </w:t>
      </w:r>
      <w:r w:rsidRPr="00777FF8">
        <w:rPr>
          <w:szCs w:val="24"/>
          <w:lang w:val="en-US"/>
        </w:rPr>
        <w:t>K</w:t>
      </w:r>
      <w:r w:rsidRPr="00777FF8">
        <w:rPr>
          <w:szCs w:val="24"/>
        </w:rPr>
        <w:t>, тяжелых инфекций, онкологических заболеваний системы крови, системного амилоидоза и нефротического синдрома. Кроме того, подобные изменения характерны для наследственного дефицита К-зависимых факторов свертывания крови.</w:t>
      </w:r>
    </w:p>
    <w:p w14:paraId="3863838D" w14:textId="77777777" w:rsidR="00312D7F" w:rsidRPr="00777FF8" w:rsidRDefault="00312D7F" w:rsidP="00312D7F">
      <w:pPr>
        <w:autoSpaceDE w:val="0"/>
        <w:autoSpaceDN w:val="0"/>
        <w:adjustRightInd w:val="0"/>
        <w:ind w:left="1418"/>
        <w:rPr>
          <w:b/>
          <w:szCs w:val="24"/>
        </w:rPr>
      </w:pPr>
      <w:r w:rsidRPr="00777FF8">
        <w:rPr>
          <w:szCs w:val="24"/>
        </w:rPr>
        <w:lastRenderedPageBreak/>
        <w:t>Пациентам с выявленным снижением активности FVIII или FIX рекомендуется выполнить определение специфического ингибитора к сниженному фактору.</w:t>
      </w:r>
      <w:r w:rsidRPr="00777FF8">
        <w:rPr>
          <w:b/>
          <w:szCs w:val="24"/>
        </w:rPr>
        <w:t xml:space="preserve"> </w:t>
      </w:r>
    </w:p>
    <w:p w14:paraId="5CBA9342" w14:textId="77777777" w:rsidR="00312D7F" w:rsidRPr="00777FF8" w:rsidRDefault="00312D7F" w:rsidP="0091350E">
      <w:pPr>
        <w:pStyle w:val="aff"/>
        <w:numPr>
          <w:ilvl w:val="1"/>
          <w:numId w:val="40"/>
        </w:numPr>
        <w:rPr>
          <w:szCs w:val="24"/>
        </w:rPr>
      </w:pPr>
      <w:r w:rsidRPr="00777FF8">
        <w:rPr>
          <w:szCs w:val="24"/>
        </w:rPr>
        <w:t xml:space="preserve">Биохимический анализ крови: общий белок, альбумины, общий и прямой/непрямой билирубин, АСТ, АЛТ, ЛДГ, мочевая кислота, мочевина, креатинин, щелочная фосфатаза, гамма-ГТП – при диагностике, далее по показаниям. </w:t>
      </w:r>
    </w:p>
    <w:p w14:paraId="7CB03F69" w14:textId="77777777" w:rsidR="00312D7F" w:rsidRPr="00777FF8" w:rsidRDefault="00312D7F" w:rsidP="00312D7F">
      <w:pPr>
        <w:pStyle w:val="aff"/>
        <w:ind w:left="1418"/>
        <w:rPr>
          <w:rStyle w:val="affc"/>
          <w:i w:val="0"/>
          <w:szCs w:val="24"/>
        </w:rPr>
      </w:pPr>
      <w:r w:rsidRPr="00777FF8">
        <w:rPr>
          <w:rStyle w:val="affb"/>
          <w:b w:val="0"/>
          <w:szCs w:val="24"/>
          <w:shd w:val="clear" w:color="auto" w:fill="FFFFFF"/>
        </w:rPr>
        <w:t>В</w:t>
      </w:r>
      <w:r w:rsidRPr="00777FF8">
        <w:rPr>
          <w:rStyle w:val="affc"/>
          <w:i w:val="0"/>
          <w:szCs w:val="24"/>
        </w:rPr>
        <w:t xml:space="preserve">ыполнение биохимического анализа крови необходимо для уточнения функциональной способности печени, почек, что важно для установления диагноза и выбора адекватной терапии. </w:t>
      </w:r>
    </w:p>
    <w:p w14:paraId="107DA9B1" w14:textId="77777777" w:rsidR="00312D7F" w:rsidRPr="00777FF8" w:rsidRDefault="00312D7F" w:rsidP="0091350E">
      <w:pPr>
        <w:pStyle w:val="aff"/>
        <w:numPr>
          <w:ilvl w:val="1"/>
          <w:numId w:val="40"/>
        </w:numPr>
        <w:rPr>
          <w:szCs w:val="24"/>
        </w:rPr>
      </w:pPr>
      <w:r w:rsidRPr="00777FF8">
        <w:rPr>
          <w:szCs w:val="24"/>
        </w:rPr>
        <w:t xml:space="preserve">Определение концентрации гомоцистеина – по показаниям. </w:t>
      </w:r>
    </w:p>
    <w:p w14:paraId="3FE3993B" w14:textId="77777777" w:rsidR="00312D7F" w:rsidRPr="00777FF8" w:rsidRDefault="00312D7F" w:rsidP="0091350E">
      <w:pPr>
        <w:pStyle w:val="aff"/>
        <w:numPr>
          <w:ilvl w:val="1"/>
          <w:numId w:val="40"/>
        </w:numPr>
        <w:rPr>
          <w:szCs w:val="24"/>
        </w:rPr>
      </w:pPr>
      <w:r w:rsidRPr="00777FF8">
        <w:rPr>
          <w:szCs w:val="24"/>
        </w:rPr>
        <w:t>Для верификации диагноза антифосфолипидного синдрома (АФС) необходимо определение волчаночного антикогулянта, антител к кардиолипину IgG, IgM; антител к β2-гликопротеину-1 IgG, IgM с повторным их исследованием через 12 недель – по показаниям.</w:t>
      </w:r>
    </w:p>
    <w:p w14:paraId="197A538A" w14:textId="77777777" w:rsidR="00312D7F" w:rsidRPr="000E3106" w:rsidRDefault="00312D7F" w:rsidP="0091350E">
      <w:pPr>
        <w:pStyle w:val="Numlist"/>
        <w:numPr>
          <w:ilvl w:val="1"/>
          <w:numId w:val="40"/>
        </w:numPr>
        <w:spacing w:line="360" w:lineRule="auto"/>
        <w:jc w:val="both"/>
      </w:pPr>
      <w:r>
        <w:t>Тромбоэластография, пространственная тромбодинамика и определение тромбинового</w:t>
      </w:r>
      <w:r w:rsidRPr="00CB6966">
        <w:t xml:space="preserve"> потенциал</w:t>
      </w:r>
      <w:r>
        <w:t>а – по показаниям</w:t>
      </w:r>
      <w:r w:rsidRPr="00CB6966">
        <w:t>.</w:t>
      </w:r>
      <w:r>
        <w:t xml:space="preserve"> </w:t>
      </w:r>
    </w:p>
    <w:p w14:paraId="04E38637" w14:textId="77777777" w:rsidR="00312D7F" w:rsidRPr="00777FF8" w:rsidRDefault="00312D7F" w:rsidP="0091350E">
      <w:pPr>
        <w:pStyle w:val="Numlist"/>
        <w:numPr>
          <w:ilvl w:val="1"/>
          <w:numId w:val="40"/>
        </w:numPr>
        <w:spacing w:line="360" w:lineRule="auto"/>
        <w:jc w:val="both"/>
        <w:rPr>
          <w:rStyle w:val="affc"/>
          <w:i w:val="0"/>
        </w:rPr>
      </w:pPr>
      <w:r w:rsidRPr="000E3106">
        <w:t xml:space="preserve">Молекулярно-генетическая диагностика мутаций генов </w:t>
      </w:r>
      <w:r w:rsidRPr="00777FF8">
        <w:rPr>
          <w:lang w:val="en-US"/>
        </w:rPr>
        <w:t>FI</w:t>
      </w:r>
      <w:r w:rsidRPr="00777FF8">
        <w:t xml:space="preserve">, </w:t>
      </w:r>
      <w:r w:rsidRPr="00777FF8">
        <w:rPr>
          <w:lang w:val="en-US"/>
        </w:rPr>
        <w:t>F</w:t>
      </w:r>
      <w:r w:rsidRPr="00777FF8">
        <w:t xml:space="preserve">II, </w:t>
      </w:r>
      <w:r w:rsidRPr="00777FF8">
        <w:rPr>
          <w:lang w:val="en-US"/>
        </w:rPr>
        <w:t>FV</w:t>
      </w:r>
      <w:r w:rsidRPr="00777FF8">
        <w:t xml:space="preserve">, </w:t>
      </w:r>
      <w:r w:rsidRPr="00777FF8">
        <w:rPr>
          <w:lang w:val="en-US"/>
        </w:rPr>
        <w:t>FVII</w:t>
      </w:r>
      <w:r w:rsidRPr="00777FF8">
        <w:t>,</w:t>
      </w:r>
      <w:r w:rsidRPr="000E3106">
        <w:rPr>
          <w:i/>
        </w:rPr>
        <w:t xml:space="preserve"> </w:t>
      </w:r>
      <w:r w:rsidRPr="00777FF8">
        <w:t xml:space="preserve">FVIII, FIX, </w:t>
      </w:r>
      <w:r w:rsidRPr="00777FF8">
        <w:rPr>
          <w:lang w:val="en-US"/>
        </w:rPr>
        <w:t>FX</w:t>
      </w:r>
      <w:r w:rsidRPr="00777FF8">
        <w:t xml:space="preserve">, </w:t>
      </w:r>
      <w:r w:rsidRPr="00777FF8">
        <w:rPr>
          <w:lang w:val="en-US"/>
        </w:rPr>
        <w:t>FXI</w:t>
      </w:r>
      <w:r w:rsidRPr="00777FF8">
        <w:t xml:space="preserve">, </w:t>
      </w:r>
      <w:r w:rsidRPr="00777FF8">
        <w:rPr>
          <w:lang w:val="en-US"/>
        </w:rPr>
        <w:t>FXII</w:t>
      </w:r>
      <w:r w:rsidRPr="00777FF8">
        <w:t xml:space="preserve">, </w:t>
      </w:r>
      <w:r w:rsidRPr="00777FF8">
        <w:rPr>
          <w:lang w:val="en-US"/>
        </w:rPr>
        <w:t>FXIII</w:t>
      </w:r>
      <w:r w:rsidRPr="00777FF8">
        <w:t xml:space="preserve"> - рекомендуется при выявлении у пациента изолированного снижения одного из перечисленных факторов свертывания крови </w:t>
      </w:r>
      <w:r w:rsidRPr="00777FF8">
        <w:rPr>
          <w:rStyle w:val="affc"/>
          <w:i w:val="0"/>
        </w:rPr>
        <w:t>для исключения наследственных форм заболеваний.</w:t>
      </w:r>
    </w:p>
    <w:p w14:paraId="27A09E7C" w14:textId="77777777" w:rsidR="00312D7F" w:rsidRPr="00777FF8" w:rsidRDefault="00312D7F" w:rsidP="0091350E">
      <w:pPr>
        <w:pStyle w:val="Numlist"/>
        <w:numPr>
          <w:ilvl w:val="1"/>
          <w:numId w:val="40"/>
        </w:numPr>
        <w:spacing w:line="360" w:lineRule="auto"/>
        <w:jc w:val="both"/>
        <w:rPr>
          <w:rStyle w:val="affc"/>
          <w:i w:val="0"/>
        </w:rPr>
      </w:pPr>
      <w:r w:rsidRPr="00777FF8">
        <w:rPr>
          <w:rStyle w:val="affc"/>
          <w:i w:val="0"/>
        </w:rPr>
        <w:t>Определение функциональной активности тромбоцитов – по показаниям.</w:t>
      </w:r>
    </w:p>
    <w:p w14:paraId="57ECBEDB" w14:textId="2140C511" w:rsidR="00312D7F" w:rsidRDefault="00312D7F" w:rsidP="00312D7F">
      <w:pPr>
        <w:pStyle w:val="Numlist"/>
        <w:spacing w:line="360" w:lineRule="auto"/>
        <w:ind w:firstLine="709"/>
        <w:jc w:val="both"/>
      </w:pPr>
      <w:r w:rsidRPr="00C731E3">
        <w:t xml:space="preserve">Лабораторную оценку состояния системы свертывания крови </w:t>
      </w:r>
      <w:r>
        <w:t xml:space="preserve">в объеме, определяемым лечащим врачом, </w:t>
      </w:r>
      <w:r w:rsidRPr="00C731E3">
        <w:t xml:space="preserve">осуществляют </w:t>
      </w:r>
      <w:r>
        <w:t>при первичном</w:t>
      </w:r>
      <w:r w:rsidRPr="00C731E3">
        <w:t xml:space="preserve"> обследовании больного, до начала </w:t>
      </w:r>
      <w:r>
        <w:t xml:space="preserve">проведения специфической терапии, в том числе </w:t>
      </w:r>
      <w:r w:rsidRPr="00C731E3">
        <w:t xml:space="preserve">перед каждым курсом </w:t>
      </w:r>
      <w:r>
        <w:t>ХТ (по показаниям)</w:t>
      </w:r>
      <w:r w:rsidRPr="00C731E3">
        <w:t xml:space="preserve">, </w:t>
      </w:r>
      <w:r>
        <w:t xml:space="preserve">а также </w:t>
      </w:r>
      <w:r w:rsidRPr="00C731E3">
        <w:t>в случае разв</w:t>
      </w:r>
      <w:r>
        <w:t xml:space="preserve">ития геморрагических осложнений на любом этапе наблюдения и лечения гематологического пациента </w:t>
      </w:r>
      <w:r>
        <w:fldChar w:fldCharType="begin" w:fldLock="1"/>
      </w:r>
      <w:r w:rsidR="00180F03">
        <w:instrText>ADDIN CSL_CITATION {"citationItems":[{"id":"ITEM-1","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-1","issued":{"date-parts":[["2010"]]},"number-of-pages":"192","title":"Практическая коагулология","type":"book"},"uris":["http://www.mendeley.com/documents/?uuid=36d7b04e-d654-47d2-a073-3cc2bb6e80ce"]},{"id":"ITEM-2","itemData":{"DOI":"10.1111/ijlh.12822","ISSN":"1751553X","PMID":"29741250","abstract":"Introduction: Laboratory investigations for bleeding disorders are warranted when an individual has a personal and/or family history of bleeding, and/or laboratory findings that suggest the possibility of an inherited or acquired bleeding disorder. Methods: This review summarizes author's experience with ordering and reporting on diagnostic investigations for common and rare bleeding disorders, with consideration of recent articles on diagnosing bleeding disorders. An updated strategy is presented for investigating common and rare, congenital and acquired bleeding disorders. Results: An investigation of a suspected bleeding disorder requires a practical strategy that considers the clinical problem to be investigated, the pretest probability of true-positive and false-positive findings, the investigations can be performed locally or in a reference laboratory and limit the number of blood samples required to establish a diagnosis. It is often advantageous to simultaneously test for von Willebrand disease and platelet function disorders, and for coagulation defects, including fibrinogen disorders. An investigation for rarer bleeding disorders, including those affecting factor XIII, α2 antiplasmin, and plasminogen activator inhibitor-1, is appropriate when faced with a severe congenital or acquired bleeding problem that cannot be explained by the initial diagnostic investigations. Conclusion: An organized strategy for investigating bleeding disorders that consider important issues, confirms abnormal findings, encourages proper interpretation of the results, and provides a helpful framework for assessing both common and rare causes of bleeding.","author":[{"dropping-particle":"","family":"Hayward","given":"C. P.M.","non-dropping-particle":"","parse-names":false,"suffix":""}],"container-title":"International Journal of Laboratory Hematology","id":"ITEM-2","issued":{"date-parts":[["2018","5","1"]]},"page":"6-14","publisher":"Blackwell Publishing Ltd","title":"How I investigate for bleeding disorders","type":"article","volume":"40"},"uris":["http://www.mendeley.com/documents/?uuid=8c375aab-6218-4ed1-9ecf-6629bbffa285"]}],"mendeley":{"formattedCitation":"[137,141]","plainTextFormattedCitation":"[137,141]","previouslyFormattedCitation":"[137,141]"},"properties":{"noteIndex":0},"schema":"https://github.com/citation-style-language/schema/raw/master/csl-citation.json"}</w:instrText>
      </w:r>
      <w:r>
        <w:fldChar w:fldCharType="separate"/>
      </w:r>
      <w:r w:rsidRPr="00312D7F">
        <w:rPr>
          <w:noProof/>
        </w:rPr>
        <w:t>[137,141]</w:t>
      </w:r>
      <w:r>
        <w:fldChar w:fldCharType="end"/>
      </w:r>
      <w:r>
        <w:t>.</w:t>
      </w:r>
    </w:p>
    <w:p w14:paraId="3062C029" w14:textId="77777777" w:rsidR="00312D7F" w:rsidRPr="00CB6966" w:rsidRDefault="00312D7F" w:rsidP="00312D7F">
      <w:pPr>
        <w:pStyle w:val="Numlist"/>
        <w:spacing w:line="360" w:lineRule="auto"/>
        <w:ind w:firstLine="709"/>
        <w:jc w:val="both"/>
      </w:pPr>
    </w:p>
    <w:p w14:paraId="5772AE40" w14:textId="77777777" w:rsidR="00312D7F" w:rsidRPr="00777FF8" w:rsidRDefault="00312D7F" w:rsidP="00312D7F">
      <w:pPr>
        <w:pStyle w:val="afd"/>
        <w:spacing w:beforeAutospacing="0" w:afterAutospacing="0" w:line="360" w:lineRule="auto"/>
        <w:rPr>
          <w:i/>
          <w:iCs/>
          <w:u w:val="single"/>
        </w:rPr>
      </w:pPr>
      <w:r w:rsidRPr="00777FF8">
        <w:rPr>
          <w:bCs/>
          <w:i/>
          <w:iCs/>
          <w:u w:val="single"/>
        </w:rPr>
        <w:t xml:space="preserve">Инструментальная диагностика. </w:t>
      </w:r>
    </w:p>
    <w:p w14:paraId="6593A06B" w14:textId="77777777" w:rsidR="00312D7F" w:rsidRPr="000E3106" w:rsidRDefault="00312D7F" w:rsidP="00273B8C">
      <w:pPr>
        <w:pStyle w:val="aff5"/>
        <w:spacing w:line="360" w:lineRule="auto"/>
        <w:ind w:firstLine="709"/>
        <w:contextualSpacing/>
        <w:rPr>
          <w:sz w:val="24"/>
          <w:szCs w:val="24"/>
        </w:rPr>
      </w:pPr>
      <w:r>
        <w:rPr>
          <w:rStyle w:val="affb"/>
          <w:rFonts w:eastAsia="Times New Roman"/>
          <w:b w:val="0"/>
          <w:sz w:val="24"/>
          <w:szCs w:val="24"/>
        </w:rPr>
        <w:t>Выполнение и</w:t>
      </w:r>
      <w:r w:rsidRPr="00952A93">
        <w:rPr>
          <w:rStyle w:val="affb"/>
          <w:rFonts w:eastAsia="Times New Roman"/>
          <w:b w:val="0"/>
          <w:sz w:val="24"/>
          <w:szCs w:val="24"/>
        </w:rPr>
        <w:t>нструментальн</w:t>
      </w:r>
      <w:r>
        <w:rPr>
          <w:rStyle w:val="affb"/>
          <w:rFonts w:eastAsia="Times New Roman"/>
          <w:b w:val="0"/>
          <w:sz w:val="24"/>
          <w:szCs w:val="24"/>
        </w:rPr>
        <w:t>ой</w:t>
      </w:r>
      <w:r w:rsidRPr="00952A93">
        <w:rPr>
          <w:rStyle w:val="affb"/>
          <w:rFonts w:eastAsia="Times New Roman"/>
          <w:b w:val="0"/>
          <w:sz w:val="24"/>
          <w:szCs w:val="24"/>
        </w:rPr>
        <w:t xml:space="preserve"> диагностик</w:t>
      </w:r>
      <w:r>
        <w:rPr>
          <w:rStyle w:val="affb"/>
          <w:rFonts w:eastAsia="Times New Roman"/>
          <w:b w:val="0"/>
          <w:sz w:val="24"/>
          <w:szCs w:val="24"/>
        </w:rPr>
        <w:t>и</w:t>
      </w:r>
      <w:r w:rsidRPr="000E3106">
        <w:rPr>
          <w:sz w:val="24"/>
          <w:szCs w:val="24"/>
        </w:rPr>
        <w:t xml:space="preserve"> </w:t>
      </w:r>
      <w:r>
        <w:rPr>
          <w:sz w:val="24"/>
          <w:szCs w:val="24"/>
        </w:rPr>
        <w:t>р</w:t>
      </w:r>
      <w:r w:rsidRPr="000E3106">
        <w:rPr>
          <w:sz w:val="24"/>
          <w:szCs w:val="24"/>
        </w:rPr>
        <w:t xml:space="preserve">екомендуется </w:t>
      </w:r>
      <w:r>
        <w:rPr>
          <w:sz w:val="24"/>
          <w:szCs w:val="24"/>
        </w:rPr>
        <w:t xml:space="preserve">по возможности и по показаниям  </w:t>
      </w:r>
      <w:r w:rsidRPr="000E3106">
        <w:rPr>
          <w:sz w:val="24"/>
          <w:szCs w:val="24"/>
        </w:rPr>
        <w:t xml:space="preserve">всем пациентам с геморрагическими проявлениями на любом этапе обследования и лечения, наблюдения пациента и позволяет визуализировать кровотечения/кровоизлияния различных локализаций, а также </w:t>
      </w:r>
      <w:r>
        <w:rPr>
          <w:sz w:val="24"/>
          <w:szCs w:val="24"/>
        </w:rPr>
        <w:t>позволяет мониторировать проводимую терапию</w:t>
      </w:r>
      <w:r w:rsidRPr="000E3106">
        <w:rPr>
          <w:sz w:val="24"/>
          <w:szCs w:val="24"/>
        </w:rPr>
        <w:t xml:space="preserve"> геморрагического синдрома.</w:t>
      </w:r>
    </w:p>
    <w:p w14:paraId="6B7E1A89" w14:textId="0F151E4E" w:rsidR="00312D7F" w:rsidRDefault="00312D7F" w:rsidP="00273B8C">
      <w:pPr>
        <w:pStyle w:val="aff5"/>
        <w:spacing w:line="360" w:lineRule="auto"/>
        <w:ind w:firstLine="709"/>
        <w:contextualSpacing/>
        <w:rPr>
          <w:sz w:val="24"/>
          <w:szCs w:val="24"/>
        </w:rPr>
      </w:pPr>
      <w:r w:rsidRPr="000E3106">
        <w:rPr>
          <w:sz w:val="24"/>
          <w:szCs w:val="24"/>
        </w:rPr>
        <w:t>По показаниям проводится: эзофагогастродуоденоскопия</w:t>
      </w:r>
      <w:r>
        <w:rPr>
          <w:sz w:val="24"/>
          <w:szCs w:val="24"/>
        </w:rPr>
        <w:t xml:space="preserve"> </w:t>
      </w:r>
      <w:r w:rsidRPr="006E084C">
        <w:rPr>
          <w:iCs/>
          <w:sz w:val="24"/>
          <w:szCs w:val="24"/>
        </w:rPr>
        <w:t>(ЭГДС)</w:t>
      </w:r>
      <w:r w:rsidRPr="006E084C">
        <w:rPr>
          <w:sz w:val="24"/>
          <w:szCs w:val="24"/>
        </w:rPr>
        <w:t>;</w:t>
      </w:r>
      <w:r w:rsidRPr="008922C4">
        <w:rPr>
          <w:sz w:val="24"/>
          <w:szCs w:val="24"/>
        </w:rPr>
        <w:t xml:space="preserve"> </w:t>
      </w:r>
      <w:r w:rsidRPr="000E3106">
        <w:rPr>
          <w:sz w:val="24"/>
          <w:szCs w:val="24"/>
        </w:rPr>
        <w:t xml:space="preserve"> </w:t>
      </w:r>
      <w:r>
        <w:rPr>
          <w:sz w:val="24"/>
          <w:szCs w:val="24"/>
        </w:rPr>
        <w:t>колоноскопия; бронхоскопия; видеокапсульная эндоскопия;</w:t>
      </w:r>
      <w:r w:rsidRPr="000E3106">
        <w:rPr>
          <w:sz w:val="24"/>
          <w:szCs w:val="24"/>
        </w:rPr>
        <w:t xml:space="preserve"> </w:t>
      </w:r>
      <w:r>
        <w:rPr>
          <w:sz w:val="24"/>
          <w:szCs w:val="24"/>
        </w:rPr>
        <w:t>ультразвуковое исследование (</w:t>
      </w:r>
      <w:r w:rsidRPr="000E3106">
        <w:rPr>
          <w:sz w:val="24"/>
          <w:szCs w:val="24"/>
        </w:rPr>
        <w:t>УЗИ</w:t>
      </w:r>
      <w:r>
        <w:rPr>
          <w:sz w:val="24"/>
          <w:szCs w:val="24"/>
        </w:rPr>
        <w:t>)</w:t>
      </w:r>
      <w:r w:rsidRPr="000E3106">
        <w:rPr>
          <w:sz w:val="24"/>
          <w:szCs w:val="24"/>
        </w:rPr>
        <w:t xml:space="preserve"> </w:t>
      </w:r>
      <w:r>
        <w:rPr>
          <w:sz w:val="24"/>
          <w:szCs w:val="24"/>
        </w:rPr>
        <w:t xml:space="preserve">органов брюшной полости, мочевыводящих путей, </w:t>
      </w:r>
      <w:r w:rsidRPr="000E3106">
        <w:rPr>
          <w:sz w:val="24"/>
          <w:szCs w:val="24"/>
        </w:rPr>
        <w:t xml:space="preserve">забрюшинного пространства, </w:t>
      </w:r>
      <w:r>
        <w:rPr>
          <w:sz w:val="24"/>
          <w:szCs w:val="24"/>
        </w:rPr>
        <w:t xml:space="preserve">органов </w:t>
      </w:r>
      <w:r w:rsidRPr="000E3106">
        <w:rPr>
          <w:sz w:val="24"/>
          <w:szCs w:val="24"/>
        </w:rPr>
        <w:t xml:space="preserve">малого таза, суставов </w:t>
      </w:r>
      <w:r>
        <w:rPr>
          <w:sz w:val="24"/>
          <w:szCs w:val="24"/>
        </w:rPr>
        <w:t>(</w:t>
      </w:r>
      <w:r w:rsidRPr="000E3106">
        <w:rPr>
          <w:sz w:val="24"/>
          <w:szCs w:val="24"/>
        </w:rPr>
        <w:t>при наличии гемартрозов</w:t>
      </w:r>
      <w:r>
        <w:rPr>
          <w:sz w:val="24"/>
          <w:szCs w:val="24"/>
        </w:rPr>
        <w:t>);</w:t>
      </w:r>
      <w:r w:rsidRPr="000E3106">
        <w:rPr>
          <w:sz w:val="24"/>
          <w:szCs w:val="24"/>
        </w:rPr>
        <w:t xml:space="preserve"> </w:t>
      </w:r>
      <w:r>
        <w:rPr>
          <w:sz w:val="24"/>
          <w:szCs w:val="24"/>
        </w:rPr>
        <w:t xml:space="preserve">рентгенологическое исследование органов грудной клетки, суставов; компьютерная томография (КТ) </w:t>
      </w:r>
      <w:r w:rsidRPr="000E3106">
        <w:rPr>
          <w:sz w:val="24"/>
          <w:szCs w:val="24"/>
        </w:rPr>
        <w:t>органов грудной клетки, головного мозга</w:t>
      </w:r>
      <w:r>
        <w:rPr>
          <w:sz w:val="24"/>
          <w:szCs w:val="24"/>
        </w:rPr>
        <w:t xml:space="preserve">, брюшной полости; магнитно-резонансная томография (МРТ) органов грудной клетки, головного мозга, органов брюшной полости и забрюшинного пространства, суставов, мягких тканей </w:t>
      </w:r>
      <w:r>
        <w:rPr>
          <w:sz w:val="24"/>
          <w:szCs w:val="24"/>
        </w:rPr>
        <w:fldChar w:fldCharType="begin" w:fldLock="1"/>
      </w:r>
      <w:r w:rsidR="00180F03">
        <w:rPr>
          <w:sz w:val="24"/>
          <w:szCs w:val="24"/>
        </w:rPr>
        <w:instrText>ADDIN CSL_CITATION {"citationItems":[{"id":"ITEM-1","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-1","issued":{"date-parts":[["2010"]]},"number-of-pages":"192","title":"Практическая коагулология","type":"book"},"uris":["http://www.mendeley.com/documents/?uuid=36d7b04e-d654-47d2-a073-3cc2bb6e80ce"]},{"id":"ITEM-2","itemData":{"DOI":"10.1111/ijlh.12822","ISSN":"1751553X","PMID":"29741250","abstract":"Introduction: Laboratory investigations for bleeding disorders are warranted when an individual has a personal and/or family history of bleeding, and/or laboratory findings that suggest the possibility of an inherited or acquired bleeding disorder. Methods: This review summarizes author's experience with ordering and reporting on diagnostic investigations for common and rare bleeding disorders, with consideration of recent articles on diagnosing bleeding disorders. An updated strategy is presented for investigating common and rare, congenital and acquired bleeding disorders. Results: An investigation of a suspected bleeding disorder requires a practical strategy that considers the clinical problem to be investigated, the pretest probability of true-positive and false-positive findings, the investigations can be performed locally or in a reference laboratory and limit the number of blood samples required to establish a diagnosis. It is often advantageous to simultaneously test for von Willebrand disease and platelet function disorders, and for coagulation defects, including fibrinogen disorders. An investigation for rarer bleeding disorders, including those affecting factor XIII, α2 antiplasmin, and plasminogen activator inhibitor-1, is appropriate when faced with a severe congenital or acquired bleeding problem that cannot be explained by the initial diagnostic investigations. Conclusion: An organized strategy for investigating bleeding disorders that consider important issues, confirms abnormal findings, encourages proper interpretation of the results, and provides a helpful framework for assessing both common and rare causes of bleeding.","author":[{"dropping-particle":"","family":"Hayward","given":"C. P.M.","non-dropping-particle":"","parse-names":false,"suffix":""}],"container-title":"International Journal of Laboratory Hematology","id":"ITEM-2","issued":{"date-parts":[["2018","5","1"]]},"page":"6-14","publisher":"Blackwell Publishing Ltd","title":"How I investigate for bleeding disorders","type":"article","volume":"40"},"uris":["http://www.mendeley.com/documents/?uuid=8c375aab-6218-4ed1-9ecf-6629bbffa285"]}],"mendeley":{"formattedCitation":"[137,141]","plainTextFormattedCitation":"[137,141]","previouslyFormattedCitation":"[137,141]"},"properties":{"noteIndex":0},"schema":"https://github.com/citation-style-language/schema/raw/master/csl-citation.json"}</w:instrText>
      </w:r>
      <w:r>
        <w:rPr>
          <w:sz w:val="24"/>
          <w:szCs w:val="24"/>
        </w:rPr>
        <w:fldChar w:fldCharType="separate"/>
      </w:r>
      <w:r w:rsidRPr="00312D7F">
        <w:rPr>
          <w:noProof/>
          <w:sz w:val="24"/>
          <w:szCs w:val="24"/>
        </w:rPr>
        <w:t>[137,141]</w:t>
      </w:r>
      <w:r>
        <w:rPr>
          <w:sz w:val="24"/>
          <w:szCs w:val="24"/>
        </w:rPr>
        <w:fldChar w:fldCharType="end"/>
      </w:r>
      <w:r>
        <w:rPr>
          <w:sz w:val="24"/>
          <w:szCs w:val="24"/>
        </w:rPr>
        <w:t>.</w:t>
      </w:r>
    </w:p>
    <w:p w14:paraId="5FCCE8A9" w14:textId="77777777" w:rsidR="00312D7F" w:rsidRPr="000E3106" w:rsidRDefault="00312D7F" w:rsidP="00273B8C">
      <w:pPr>
        <w:pStyle w:val="aff5"/>
        <w:spacing w:line="360" w:lineRule="auto"/>
        <w:ind w:firstLine="709"/>
        <w:contextualSpacing/>
        <w:rPr>
          <w:sz w:val="24"/>
          <w:szCs w:val="24"/>
        </w:rPr>
      </w:pPr>
    </w:p>
    <w:p w14:paraId="53069501" w14:textId="77777777" w:rsidR="00312D7F" w:rsidRPr="00777FF8" w:rsidRDefault="00312D7F" w:rsidP="00312D7F">
      <w:pPr>
        <w:pStyle w:val="afd"/>
        <w:spacing w:beforeAutospacing="0" w:afterAutospacing="0" w:line="360" w:lineRule="auto"/>
        <w:rPr>
          <w:i/>
          <w:iCs/>
          <w:u w:val="single"/>
        </w:rPr>
      </w:pPr>
      <w:r w:rsidRPr="00777FF8">
        <w:rPr>
          <w:i/>
          <w:iCs/>
          <w:u w:val="single"/>
        </w:rPr>
        <w:t>Медикаментозная терапия.</w:t>
      </w:r>
    </w:p>
    <w:p w14:paraId="3E8F19A3" w14:textId="77777777" w:rsidR="00312D7F" w:rsidRPr="005600F6" w:rsidRDefault="00312D7F" w:rsidP="00312D7F">
      <w:pPr>
        <w:rPr>
          <w:rFonts w:eastAsia="Times New Roman"/>
          <w:szCs w:val="24"/>
          <w:u w:val="single"/>
          <w:lang w:eastAsia="ru-RU"/>
        </w:rPr>
      </w:pPr>
      <w:r w:rsidRPr="005600F6">
        <w:rPr>
          <w:rFonts w:eastAsia="Times New Roman"/>
          <w:szCs w:val="24"/>
          <w:u w:val="single"/>
          <w:lang w:eastAsia="ru-RU"/>
        </w:rPr>
        <w:t>Геморрагические осложнения при проведении антикоагулянтной терапии</w:t>
      </w:r>
    </w:p>
    <w:p w14:paraId="12D746A1" w14:textId="48BDA819" w:rsidR="00312D7F" w:rsidRPr="00C731E3" w:rsidRDefault="00312D7F" w:rsidP="00273B8C">
      <w:pPr>
        <w:ind w:firstLine="709"/>
        <w:rPr>
          <w:rFonts w:eastAsia="Times New Roman"/>
          <w:szCs w:val="24"/>
          <w:lang w:eastAsia="ru-RU"/>
        </w:rPr>
      </w:pPr>
      <w:r w:rsidRPr="00C731E3">
        <w:rPr>
          <w:rFonts w:eastAsia="Times New Roman"/>
          <w:szCs w:val="24"/>
          <w:lang w:eastAsia="ru-RU"/>
        </w:rPr>
        <w:t xml:space="preserve">Тяжелые </w:t>
      </w:r>
      <w:r w:rsidRPr="005600F6">
        <w:rPr>
          <w:rFonts w:eastAsia="Times New Roman"/>
          <w:szCs w:val="24"/>
          <w:lang w:eastAsia="ru-RU"/>
        </w:rPr>
        <w:t xml:space="preserve">геморрагические осложнения при проведении антикоагулянтной терапии </w:t>
      </w:r>
      <w:r w:rsidRPr="00C731E3">
        <w:rPr>
          <w:rFonts w:eastAsia="Times New Roman"/>
          <w:szCs w:val="24"/>
          <w:lang w:eastAsia="ru-RU"/>
        </w:rPr>
        <w:t>диктуют необходимость применения антидотов</w:t>
      </w:r>
      <w:r>
        <w:rPr>
          <w:rFonts w:eastAsia="Times New Roman"/>
          <w:szCs w:val="24"/>
          <w:lang w:eastAsia="ru-RU"/>
        </w:rPr>
        <w:t xml:space="preserve"> </w:t>
      </w:r>
      <w:r>
        <w:rPr>
          <w:rFonts w:eastAsia="Times New Roman"/>
          <w:szCs w:val="24"/>
          <w:lang w:eastAsia="ru-RU"/>
        </w:rPr>
        <w:fldChar w:fldCharType="begin" w:fldLock="1"/>
      </w:r>
      <w:r w:rsidR="00180F03">
        <w:rPr>
          <w:rFonts w:eastAsia="Times New Roman"/>
          <w:szCs w:val="24"/>
          <w:lang w:eastAsia="ru-RU"/>
        </w:rPr>
        <w:instrText>ADDIN CSL_CITATION {"citationItems":[{"id":"ITEM-1","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-1","issued":{"date-parts":[["2010"]]},"number-of-pages":"192","title":"Практическая коагулология","type":"book"},"uris":["http://www.mendeley.com/documents/?uuid=36d7b04e-d654-47d2-a073-3cc2bb6e80ce"]}],"mendeley":{"formattedCitation":"[137]","plainTextFormattedCitation":"[137]","previouslyFormattedCitation":"[137]"},"properties":{"noteIndex":0},"schema":"https://github.com/citation-style-language/schema/raw/master/csl-citation.json"}</w:instrText>
      </w:r>
      <w:r>
        <w:rPr>
          <w:rFonts w:eastAsia="Times New Roman"/>
          <w:szCs w:val="24"/>
          <w:lang w:eastAsia="ru-RU"/>
        </w:rPr>
        <w:fldChar w:fldCharType="separate"/>
      </w:r>
      <w:r w:rsidRPr="00312D7F">
        <w:rPr>
          <w:rFonts w:eastAsia="Times New Roman"/>
          <w:noProof/>
          <w:szCs w:val="24"/>
          <w:lang w:eastAsia="ru-RU"/>
        </w:rPr>
        <w:t>[137]</w:t>
      </w:r>
      <w:r>
        <w:rPr>
          <w:rFonts w:eastAsia="Times New Roman"/>
          <w:szCs w:val="24"/>
          <w:lang w:eastAsia="ru-RU"/>
        </w:rPr>
        <w:fldChar w:fldCharType="end"/>
      </w:r>
      <w:r w:rsidRPr="00C731E3">
        <w:rPr>
          <w:rFonts w:eastAsia="Times New Roman"/>
          <w:szCs w:val="24"/>
          <w:lang w:eastAsia="ru-RU"/>
        </w:rPr>
        <w:t>. При передозировке гепаринов в качестве антидота используют протамина сульфат: 1 мг его нейтрализует 80</w:t>
      </w:r>
      <w:r w:rsidRPr="00C731E3">
        <w:rPr>
          <w:i/>
          <w:szCs w:val="24"/>
        </w:rPr>
        <w:t>—</w:t>
      </w:r>
      <w:r>
        <w:rPr>
          <w:rFonts w:eastAsia="Times New Roman"/>
          <w:szCs w:val="24"/>
          <w:lang w:eastAsia="ru-RU"/>
        </w:rPr>
        <w:t>120 Е</w:t>
      </w:r>
      <w:r w:rsidRPr="00C731E3">
        <w:rPr>
          <w:rFonts w:eastAsia="Times New Roman"/>
          <w:szCs w:val="24"/>
          <w:lang w:eastAsia="ru-RU"/>
        </w:rPr>
        <w:t>д гепарина в крови. Действие препарата после в/в введения наступает мгновенно и продолжается в течение 2 ч. После в/в введения образуется комплекс протамин</w:t>
      </w:r>
      <w:r w:rsidRPr="00C731E3">
        <w:rPr>
          <w:i/>
          <w:szCs w:val="24"/>
        </w:rPr>
        <w:t>—</w:t>
      </w:r>
      <w:r w:rsidRPr="00C731E3">
        <w:rPr>
          <w:rFonts w:eastAsia="Times New Roman"/>
          <w:szCs w:val="24"/>
          <w:lang w:eastAsia="ru-RU"/>
        </w:rPr>
        <w:t>гепарин, который может разрушаться с высвобождением гепарина. При передозировке может снижаться свертываемость крови, поскольку сам протамина сульфат проявляет антикоагулянтную активность. Если НФГ вводился в/в капельно, необходимо прекратить его инфузию и ввести 25</w:t>
      </w:r>
      <w:r w:rsidRPr="00C731E3">
        <w:rPr>
          <w:i/>
          <w:szCs w:val="24"/>
        </w:rPr>
        <w:t>—</w:t>
      </w:r>
      <w:r w:rsidRPr="00C731E3">
        <w:rPr>
          <w:rFonts w:eastAsia="Times New Roman"/>
          <w:szCs w:val="24"/>
          <w:lang w:eastAsia="ru-RU"/>
        </w:rPr>
        <w:t>30 мг протамина сульфата.</w:t>
      </w:r>
    </w:p>
    <w:p w14:paraId="67BD3BBE" w14:textId="77777777" w:rsidR="00312D7F" w:rsidRDefault="00312D7F" w:rsidP="00273B8C">
      <w:pPr>
        <w:ind w:firstLine="709"/>
        <w:rPr>
          <w:rFonts w:eastAsia="Times New Roman"/>
          <w:szCs w:val="24"/>
          <w:lang w:eastAsia="ru-RU"/>
        </w:rPr>
      </w:pPr>
      <w:r w:rsidRPr="00C731E3">
        <w:rPr>
          <w:rFonts w:eastAsia="Times New Roman"/>
          <w:szCs w:val="24"/>
          <w:lang w:eastAsia="ru-RU"/>
        </w:rPr>
        <w:t>При передозировке варфарина и значительном увеличении МНО (больше 3,5</w:t>
      </w:r>
      <w:r w:rsidRPr="00C731E3">
        <w:rPr>
          <w:i/>
          <w:szCs w:val="24"/>
        </w:rPr>
        <w:t>—</w:t>
      </w:r>
      <w:r w:rsidRPr="00C731E3">
        <w:rPr>
          <w:rFonts w:eastAsia="Times New Roman"/>
          <w:szCs w:val="24"/>
          <w:lang w:eastAsia="ru-RU"/>
        </w:rPr>
        <w:t>4) без геморрагических проявлений корректируют дозу варфарина. Назначают препараты витамина К</w:t>
      </w:r>
      <w:r w:rsidRPr="00C731E3">
        <w:rPr>
          <w:rFonts w:eastAsia="Times New Roman"/>
          <w:szCs w:val="24"/>
          <w:vertAlign w:val="subscript"/>
          <w:lang w:eastAsia="ru-RU"/>
        </w:rPr>
        <w:t>1</w:t>
      </w:r>
      <w:r w:rsidRPr="00C731E3">
        <w:rPr>
          <w:rFonts w:eastAsia="Times New Roman"/>
          <w:szCs w:val="24"/>
          <w:lang w:eastAsia="ru-RU"/>
        </w:rPr>
        <w:t>.</w:t>
      </w:r>
      <w:r>
        <w:rPr>
          <w:rFonts w:eastAsia="Times New Roman"/>
          <w:szCs w:val="24"/>
          <w:lang w:eastAsia="ru-RU"/>
        </w:rPr>
        <w:t xml:space="preserve"> </w:t>
      </w:r>
      <w:r w:rsidRPr="00C731E3">
        <w:rPr>
          <w:rFonts w:eastAsia="Times New Roman"/>
          <w:szCs w:val="24"/>
          <w:lang w:eastAsia="ru-RU"/>
        </w:rPr>
        <w:t>Для купирования геморрагического синдрома при передозировке варфарина используют концентрат</w:t>
      </w:r>
      <w:r>
        <w:rPr>
          <w:rFonts w:eastAsia="Times New Roman"/>
          <w:szCs w:val="24"/>
          <w:lang w:eastAsia="ru-RU"/>
        </w:rPr>
        <w:t>ы</w:t>
      </w:r>
      <w:r w:rsidRPr="00C731E3">
        <w:rPr>
          <w:rFonts w:eastAsia="Times New Roman"/>
          <w:szCs w:val="24"/>
          <w:lang w:eastAsia="ru-RU"/>
        </w:rPr>
        <w:t xml:space="preserve"> факторов </w:t>
      </w:r>
      <w:r>
        <w:rPr>
          <w:rFonts w:eastAsia="Times New Roman"/>
          <w:szCs w:val="24"/>
          <w:lang w:eastAsia="ru-RU"/>
        </w:rPr>
        <w:t xml:space="preserve">протромбинового комплекса (концентрат </w:t>
      </w:r>
      <w:r>
        <w:rPr>
          <w:rFonts w:eastAsia="Times New Roman"/>
          <w:szCs w:val="24"/>
          <w:lang w:val="en-US" w:eastAsia="ru-RU"/>
        </w:rPr>
        <w:t>II</w:t>
      </w:r>
      <w:r w:rsidRPr="00084FAC">
        <w:rPr>
          <w:rFonts w:eastAsia="Times New Roman"/>
          <w:szCs w:val="24"/>
          <w:lang w:eastAsia="ru-RU"/>
        </w:rPr>
        <w:t>+</w:t>
      </w:r>
      <w:r>
        <w:rPr>
          <w:rFonts w:eastAsia="Times New Roman"/>
          <w:szCs w:val="24"/>
          <w:lang w:val="en-US" w:eastAsia="ru-RU"/>
        </w:rPr>
        <w:t>IX</w:t>
      </w:r>
      <w:r w:rsidRPr="00084FAC">
        <w:rPr>
          <w:rFonts w:eastAsia="Times New Roman"/>
          <w:szCs w:val="24"/>
          <w:lang w:eastAsia="ru-RU"/>
        </w:rPr>
        <w:t>+</w:t>
      </w:r>
      <w:r>
        <w:rPr>
          <w:rFonts w:eastAsia="Times New Roman"/>
          <w:szCs w:val="24"/>
          <w:lang w:val="en-US" w:eastAsia="ru-RU"/>
        </w:rPr>
        <w:t>X</w:t>
      </w:r>
      <w:r>
        <w:rPr>
          <w:rFonts w:eastAsia="Times New Roman"/>
          <w:szCs w:val="24"/>
          <w:lang w:eastAsia="ru-RU"/>
        </w:rPr>
        <w:t xml:space="preserve"> или концентрат </w:t>
      </w:r>
      <w:r>
        <w:rPr>
          <w:rFonts w:eastAsia="Times New Roman"/>
          <w:szCs w:val="24"/>
          <w:lang w:val="en-US" w:eastAsia="ru-RU"/>
        </w:rPr>
        <w:t>II</w:t>
      </w:r>
      <w:r w:rsidRPr="00084FAC">
        <w:rPr>
          <w:rFonts w:eastAsia="Times New Roman"/>
          <w:szCs w:val="24"/>
          <w:lang w:eastAsia="ru-RU"/>
        </w:rPr>
        <w:t>+</w:t>
      </w:r>
      <w:r>
        <w:rPr>
          <w:rFonts w:eastAsia="Times New Roman"/>
          <w:szCs w:val="24"/>
          <w:lang w:val="en-US" w:eastAsia="ru-RU"/>
        </w:rPr>
        <w:t>VIIa</w:t>
      </w:r>
      <w:r w:rsidRPr="00084FAC">
        <w:rPr>
          <w:rFonts w:eastAsia="Times New Roman"/>
          <w:szCs w:val="24"/>
          <w:lang w:eastAsia="ru-RU"/>
        </w:rPr>
        <w:t>+</w:t>
      </w:r>
      <w:r>
        <w:rPr>
          <w:rFonts w:eastAsia="Times New Roman"/>
          <w:szCs w:val="24"/>
          <w:lang w:val="en-US" w:eastAsia="ru-RU"/>
        </w:rPr>
        <w:t>IX</w:t>
      </w:r>
      <w:r w:rsidRPr="00084FAC">
        <w:rPr>
          <w:rFonts w:eastAsia="Times New Roman"/>
          <w:szCs w:val="24"/>
          <w:lang w:eastAsia="ru-RU"/>
        </w:rPr>
        <w:t>+</w:t>
      </w:r>
      <w:r>
        <w:rPr>
          <w:rFonts w:eastAsia="Times New Roman"/>
          <w:szCs w:val="24"/>
          <w:lang w:val="en-US" w:eastAsia="ru-RU"/>
        </w:rPr>
        <w:t>X</w:t>
      </w:r>
      <w:r w:rsidRPr="00084FAC">
        <w:rPr>
          <w:rFonts w:eastAsia="Times New Roman"/>
          <w:szCs w:val="24"/>
          <w:lang w:eastAsia="ru-RU"/>
        </w:rPr>
        <w:t>)</w:t>
      </w:r>
      <w:r>
        <w:rPr>
          <w:rFonts w:eastAsia="Times New Roman"/>
          <w:szCs w:val="24"/>
          <w:lang w:eastAsia="ru-RU"/>
        </w:rPr>
        <w:t>, которые</w:t>
      </w:r>
      <w:r w:rsidRPr="00C731E3">
        <w:rPr>
          <w:rFonts w:eastAsia="Times New Roman"/>
          <w:szCs w:val="24"/>
          <w:lang w:eastAsia="ru-RU"/>
        </w:rPr>
        <w:t xml:space="preserve"> вводят в/в в дозе </w:t>
      </w:r>
      <w:r>
        <w:rPr>
          <w:rFonts w:eastAsia="Times New Roman"/>
          <w:szCs w:val="24"/>
          <w:lang w:eastAsia="ru-RU"/>
        </w:rPr>
        <w:t>20-50 МЕ/кг массы тела пациента</w:t>
      </w:r>
      <w:r w:rsidRPr="00C731E3">
        <w:rPr>
          <w:rFonts w:eastAsia="Times New Roman"/>
          <w:szCs w:val="24"/>
          <w:lang w:eastAsia="ru-RU"/>
        </w:rPr>
        <w:t xml:space="preserve">. Альтернативой введения </w:t>
      </w:r>
      <w:r>
        <w:rPr>
          <w:rFonts w:eastAsia="Times New Roman"/>
          <w:szCs w:val="24"/>
          <w:lang w:eastAsia="ru-RU"/>
        </w:rPr>
        <w:t>концентратов факторов протромбинового комплекса</w:t>
      </w:r>
      <w:r w:rsidRPr="00C731E3">
        <w:rPr>
          <w:rFonts w:eastAsia="Times New Roman"/>
          <w:szCs w:val="24"/>
          <w:lang w:eastAsia="ru-RU"/>
        </w:rPr>
        <w:t xml:space="preserve"> является </w:t>
      </w:r>
      <w:r>
        <w:rPr>
          <w:rFonts w:eastAsia="Times New Roman"/>
          <w:szCs w:val="24"/>
          <w:lang w:eastAsia="ru-RU"/>
        </w:rPr>
        <w:t>свежезамороженная плазма (</w:t>
      </w:r>
      <w:r w:rsidRPr="00C731E3">
        <w:rPr>
          <w:rFonts w:eastAsia="Times New Roman"/>
          <w:szCs w:val="24"/>
          <w:lang w:eastAsia="ru-RU"/>
        </w:rPr>
        <w:t>СЗП</w:t>
      </w:r>
      <w:r>
        <w:rPr>
          <w:rFonts w:eastAsia="Times New Roman"/>
          <w:szCs w:val="24"/>
          <w:lang w:eastAsia="ru-RU"/>
        </w:rPr>
        <w:t>)</w:t>
      </w:r>
      <w:r w:rsidRPr="00C731E3">
        <w:rPr>
          <w:rFonts w:eastAsia="Times New Roman"/>
          <w:szCs w:val="24"/>
          <w:lang w:eastAsia="ru-RU"/>
        </w:rPr>
        <w:t xml:space="preserve"> в дозе 20</w:t>
      </w:r>
      <w:r w:rsidRPr="00C731E3">
        <w:rPr>
          <w:i/>
          <w:szCs w:val="24"/>
        </w:rPr>
        <w:t>—</w:t>
      </w:r>
      <w:r w:rsidRPr="00C731E3">
        <w:rPr>
          <w:rFonts w:eastAsia="Times New Roman"/>
          <w:szCs w:val="24"/>
          <w:lang w:eastAsia="ru-RU"/>
        </w:rPr>
        <w:t>25 мл</w:t>
      </w:r>
      <w:r>
        <w:rPr>
          <w:rFonts w:eastAsia="Times New Roman"/>
          <w:szCs w:val="24"/>
          <w:lang w:eastAsia="ru-RU"/>
        </w:rPr>
        <w:t>/</w:t>
      </w:r>
      <w:r w:rsidRPr="00C731E3">
        <w:rPr>
          <w:rFonts w:eastAsia="Times New Roman"/>
          <w:szCs w:val="24"/>
          <w:lang w:eastAsia="ru-RU"/>
        </w:rPr>
        <w:t>кг массы тела. При тяжелых кровотечениях СЗП можно вводить в дозе 30</w:t>
      </w:r>
      <w:r w:rsidRPr="00C731E3">
        <w:rPr>
          <w:i/>
          <w:szCs w:val="24"/>
        </w:rPr>
        <w:t>—</w:t>
      </w:r>
      <w:r w:rsidRPr="00C731E3">
        <w:rPr>
          <w:rFonts w:eastAsia="Times New Roman"/>
          <w:szCs w:val="24"/>
          <w:lang w:eastAsia="ru-RU"/>
        </w:rPr>
        <w:t xml:space="preserve">45 мл на кг массы тела. </w:t>
      </w:r>
      <w:r>
        <w:rPr>
          <w:rFonts w:eastAsia="Times New Roman"/>
          <w:szCs w:val="24"/>
          <w:lang w:eastAsia="ru-RU"/>
        </w:rPr>
        <w:t>Для купирования геморрагического синдрома в некоторых случаях и</w:t>
      </w:r>
      <w:r w:rsidRPr="00C731E3">
        <w:rPr>
          <w:rFonts w:eastAsia="Times New Roman"/>
          <w:szCs w:val="24"/>
          <w:lang w:eastAsia="ru-RU"/>
        </w:rPr>
        <w:t>спользуют также и эптаког альфа (активированный).</w:t>
      </w:r>
    </w:p>
    <w:p w14:paraId="61A9DD22" w14:textId="77777777" w:rsidR="00312D7F" w:rsidRDefault="00312D7F" w:rsidP="00273B8C">
      <w:pPr>
        <w:ind w:firstLine="709"/>
        <w:rPr>
          <w:rFonts w:eastAsia="Times New Roman"/>
          <w:szCs w:val="24"/>
          <w:lang w:eastAsia="ru-RU"/>
        </w:rPr>
      </w:pPr>
      <w:r>
        <w:rPr>
          <w:rFonts w:eastAsia="Times New Roman"/>
          <w:szCs w:val="24"/>
          <w:lang w:eastAsia="ru-RU"/>
        </w:rPr>
        <w:t xml:space="preserve">При передозировке прямых ингибиторов фактора свертывания крови </w:t>
      </w:r>
      <w:r>
        <w:rPr>
          <w:rFonts w:eastAsia="Times New Roman"/>
          <w:szCs w:val="24"/>
          <w:lang w:val="en-US" w:eastAsia="ru-RU"/>
        </w:rPr>
        <w:t>Xa</w:t>
      </w:r>
      <w:r>
        <w:rPr>
          <w:rFonts w:eastAsia="Times New Roman"/>
          <w:szCs w:val="24"/>
          <w:lang w:eastAsia="ru-RU"/>
        </w:rPr>
        <w:t xml:space="preserve"> (ривароксабан, апиксабан) используется андексанет альфа: 400 мг болюсно с продолжением в/в инфузии со скоростью 4 мг/мин в течение 2-х часов.</w:t>
      </w:r>
    </w:p>
    <w:p w14:paraId="4C955DE2" w14:textId="77777777" w:rsidR="00312D7F" w:rsidRDefault="00312D7F" w:rsidP="00273B8C">
      <w:pPr>
        <w:ind w:firstLine="709"/>
        <w:rPr>
          <w:rFonts w:eastAsia="Times New Roman"/>
          <w:szCs w:val="24"/>
          <w:lang w:eastAsia="ru-RU"/>
        </w:rPr>
      </w:pPr>
      <w:r>
        <w:rPr>
          <w:rFonts w:eastAsia="Times New Roman"/>
          <w:szCs w:val="24"/>
          <w:lang w:eastAsia="ru-RU"/>
        </w:rPr>
        <w:t xml:space="preserve">Антидот дабигатрана этексилата – </w:t>
      </w:r>
      <w:r w:rsidRPr="009F787D">
        <w:rPr>
          <w:rFonts w:eastAsia="Times New Roman"/>
          <w:szCs w:val="24"/>
          <w:lang w:eastAsia="ru-RU"/>
        </w:rPr>
        <w:t>идаруцизумаб</w:t>
      </w:r>
      <w:r>
        <w:rPr>
          <w:rFonts w:eastAsia="Times New Roman"/>
          <w:szCs w:val="24"/>
          <w:lang w:eastAsia="ru-RU"/>
        </w:rPr>
        <w:t>: вводится по 2,5 мг в/в дважды с интервалом в 15 мин.</w:t>
      </w:r>
    </w:p>
    <w:p w14:paraId="193F7C99" w14:textId="77777777" w:rsidR="00312D7F" w:rsidRPr="00C731E3" w:rsidRDefault="00312D7F" w:rsidP="00273B8C">
      <w:pPr>
        <w:ind w:firstLine="709"/>
        <w:rPr>
          <w:rFonts w:eastAsia="Times New Roman"/>
          <w:szCs w:val="24"/>
          <w:lang w:eastAsia="ru-RU"/>
        </w:rPr>
      </w:pPr>
      <w:r>
        <w:rPr>
          <w:rFonts w:eastAsia="Times New Roman"/>
          <w:szCs w:val="24"/>
          <w:lang w:eastAsia="ru-RU"/>
        </w:rPr>
        <w:t xml:space="preserve">Разработан универсальный антидот для всех ПОАК и гепаринов – </w:t>
      </w:r>
      <w:r w:rsidRPr="009F787D">
        <w:rPr>
          <w:rFonts w:eastAsia="Times New Roman"/>
          <w:szCs w:val="24"/>
          <w:lang w:eastAsia="ru-RU"/>
        </w:rPr>
        <w:t>цирапарантаг</w:t>
      </w:r>
      <w:r>
        <w:rPr>
          <w:rFonts w:eastAsia="Times New Roman"/>
          <w:szCs w:val="24"/>
          <w:lang w:eastAsia="ru-RU"/>
        </w:rPr>
        <w:t xml:space="preserve"> – вводится однократно 100,0 мг в/в.</w:t>
      </w:r>
    </w:p>
    <w:p w14:paraId="339BB6B9" w14:textId="77777777" w:rsidR="00312D7F" w:rsidRDefault="00312D7F" w:rsidP="00273B8C">
      <w:pPr>
        <w:ind w:firstLine="709"/>
        <w:rPr>
          <w:rFonts w:eastAsia="Times New Roman"/>
          <w:szCs w:val="24"/>
          <w:lang w:eastAsia="ru-RU"/>
        </w:rPr>
      </w:pPr>
      <w:r w:rsidRPr="00C731E3">
        <w:rPr>
          <w:rFonts w:eastAsia="Times New Roman"/>
          <w:szCs w:val="24"/>
          <w:lang w:eastAsia="ru-RU"/>
        </w:rPr>
        <w:t xml:space="preserve">Решение о возможности применения или возобновления медикаментозной профилактики тромботических нарушений при цитостатической терапии должно приниматься на основании оценки соотношения ожидаемой пользы и возможного риска </w:t>
      </w:r>
      <w:r>
        <w:rPr>
          <w:rFonts w:eastAsia="Times New Roman"/>
          <w:szCs w:val="24"/>
          <w:lang w:eastAsia="ru-RU"/>
        </w:rPr>
        <w:t>у каждого конкретного больного.</w:t>
      </w:r>
    </w:p>
    <w:p w14:paraId="77BDB96F" w14:textId="77777777" w:rsidR="00312D7F" w:rsidRPr="005600F6" w:rsidRDefault="00312D7F" w:rsidP="00273B8C">
      <w:pPr>
        <w:ind w:firstLine="709"/>
        <w:rPr>
          <w:rFonts w:eastAsia="Times New Roman"/>
          <w:szCs w:val="24"/>
          <w:u w:val="single"/>
          <w:lang w:eastAsia="ru-RU"/>
        </w:rPr>
      </w:pPr>
      <w:r w:rsidRPr="005600F6">
        <w:rPr>
          <w:rFonts w:eastAsia="Times New Roman"/>
          <w:szCs w:val="24"/>
          <w:u w:val="single"/>
          <w:lang w:eastAsia="ru-RU"/>
        </w:rPr>
        <w:t>Геморрагический синдром у пациентов с гематологическими заболеваниями в экстренных ситуациях</w:t>
      </w:r>
    </w:p>
    <w:p w14:paraId="447FDC8C" w14:textId="40AD72DF" w:rsidR="00312D7F" w:rsidRDefault="00312D7F" w:rsidP="00273B8C">
      <w:pPr>
        <w:ind w:firstLine="709"/>
        <w:rPr>
          <w:rFonts w:eastAsia="Times New Roman"/>
          <w:szCs w:val="24"/>
          <w:lang w:eastAsia="ru-RU"/>
        </w:rPr>
      </w:pPr>
      <w:r>
        <w:rPr>
          <w:rFonts w:eastAsia="Times New Roman"/>
          <w:szCs w:val="24"/>
          <w:lang w:eastAsia="ru-RU"/>
        </w:rPr>
        <w:t xml:space="preserve">В случае развития геморрагического синдрома у пациентов с гематологическими заболеваниями в экстренных ситуациях используются по показаниям </w:t>
      </w:r>
      <w:r>
        <w:rPr>
          <w:rFonts w:eastAsia="Times New Roman"/>
          <w:szCs w:val="24"/>
          <w:lang w:eastAsia="ru-RU"/>
        </w:rPr>
        <w:fldChar w:fldCharType="begin" w:fldLock="1"/>
      </w:r>
      <w:r w:rsidR="00180F03">
        <w:rPr>
          <w:rFonts w:eastAsia="Times New Roman"/>
          <w:szCs w:val="24"/>
          <w:lang w:eastAsia="ru-RU"/>
        </w:rPr>
        <w:instrText>ADDIN CSL_CITATION {"citationItems":[{"id":"ITEM-1","itemData":{"DOI":"10.1182/asheducation-2007.1.165","ISSN":"15204391","PMID":"18024625","abstract":"The rate of venous thromboembolism (VTE) in patients with acute leukemia or lymphomas is comparable with that of other \"high-risk\" cancer types. Chemotherapy and anti-angiogenic drugs increase the thrombotic risk in patients with lymphomas, acute leukemias and multiple myeloma (MM). Patients with hematologic malignancies often present with a hypercoagulable state or chronic disseminated intravascular coagulation (DIC) in the absence of active thrombosis and/or bleeding. Malignant cell procoagulant properties, cytotoxic therapies, and concomitant infections are major determinants for clotting activation in hematologic malignancies. In acute leukemia, clinical manifestations range from localized venous or arterial thrombosis to a diffuse, life-threatening thrombohemorrhagic syndrome (THS). All-trans retinoic acid (ATRA) has greatly improved the management of acute promyelocytic leukemia (APL), but has not significantly changed the rate of early hemorrhagic deaths and may actually promote thrombosis. Randomized, controlled trials (RCTs) of different prophylactic regimens to prevent VTE or THS in hematologic malignancies are urgently needed, particularly in patients with lymphoma or MM during chemotherapy and in patients with APL. Anticoagulant therapy is a particular challenge in patients with hematologic malignancies, since these patients are at very high risk for hemorrhage. No guidelines are available for the prophylaxis or treatment of VTE; extrapolations can be made from existing guidelines for management of patients with other malignancies; prolonged periods of treatment-induced thrombocytopenia in patients with hematologic malignancies, however, require a more judicious application of standard anticoagulant approaches. Use of the newer anticoagulants will require careful assessment of hemorrhagic risk in this group of high-risk patients but may be justified under special circumstances.","author":[{"dropping-particle":"","family":"Falanga","given":"Anna","non-dropping-particle":"","parse-names":false,"suffix":""},{"dropping-particle":"","family":"Rickles","given":"Frederick R.","non-dropping-particle":"","parse-names":false,"suffix":""}],"container-title":"Hematology / the Education Program of the American Society of Hematology. American Society of Hematology. Education Program","id":"ITEM-1","issued":{"date-parts":[["2007"]]},"page":"165-171","publisher":"Hematology Am Soc Hematol Educ Program","title":"Management of Thrombohemorrhagic Syndromes (THS) in hematologic malignancies.","type":"article-journal"},"uris":["http://www.mendeley.com/documents/?uuid=ee7b053b-4509-46bc-9d7c-5e9f427dbfe5"]},{"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[137,142]","plainTextFormattedCitation":"[137,142]","previouslyFormattedCitation":"[137,142]"},"properties":{"noteIndex":0},"schema":"https://github.com/citation-style-language/schema/raw/master/csl-citation.json"}</w:instrText>
      </w:r>
      <w:r>
        <w:rPr>
          <w:rFonts w:eastAsia="Times New Roman"/>
          <w:szCs w:val="24"/>
          <w:lang w:eastAsia="ru-RU"/>
        </w:rPr>
        <w:fldChar w:fldCharType="separate"/>
      </w:r>
      <w:r w:rsidRPr="00312D7F">
        <w:rPr>
          <w:rFonts w:eastAsia="Times New Roman"/>
          <w:noProof/>
          <w:szCs w:val="24"/>
          <w:lang w:eastAsia="ru-RU"/>
        </w:rPr>
        <w:t>[137,142]</w:t>
      </w:r>
      <w:r>
        <w:rPr>
          <w:rFonts w:eastAsia="Times New Roman"/>
          <w:szCs w:val="24"/>
          <w:lang w:eastAsia="ru-RU"/>
        </w:rPr>
        <w:fldChar w:fldCharType="end"/>
      </w:r>
      <w:r>
        <w:rPr>
          <w:rFonts w:eastAsia="Times New Roman"/>
          <w:szCs w:val="24"/>
          <w:lang w:eastAsia="ru-RU"/>
        </w:rPr>
        <w:t>:</w:t>
      </w:r>
    </w:p>
    <w:p w14:paraId="783CBF32" w14:textId="77777777" w:rsidR="00312D7F" w:rsidRDefault="00312D7F" w:rsidP="0091350E">
      <w:pPr>
        <w:pStyle w:val="aff"/>
        <w:numPr>
          <w:ilvl w:val="1"/>
          <w:numId w:val="54"/>
        </w:numPr>
        <w:ind w:left="1437"/>
        <w:rPr>
          <w:rFonts w:eastAsia="Times New Roman"/>
          <w:szCs w:val="24"/>
          <w:lang w:eastAsia="ru-RU"/>
        </w:rPr>
      </w:pPr>
      <w:r w:rsidRPr="00CD2AC0">
        <w:rPr>
          <w:rFonts w:eastAsia="Times New Roman"/>
          <w:szCs w:val="24"/>
          <w:lang w:eastAsia="ru-RU"/>
        </w:rPr>
        <w:t xml:space="preserve">Препараты шунтирующего действия: </w:t>
      </w:r>
    </w:p>
    <w:p w14:paraId="4D7FE749" w14:textId="77777777" w:rsidR="00312D7F" w:rsidRDefault="00312D7F" w:rsidP="0091350E">
      <w:pPr>
        <w:pStyle w:val="aff"/>
        <w:numPr>
          <w:ilvl w:val="2"/>
          <w:numId w:val="54"/>
        </w:numPr>
        <w:rPr>
          <w:rFonts w:eastAsia="Times New Roman"/>
          <w:szCs w:val="24"/>
          <w:lang w:eastAsia="ru-RU"/>
        </w:rPr>
      </w:pPr>
      <w:r w:rsidRPr="00CD2AC0">
        <w:rPr>
          <w:rFonts w:eastAsia="Times New Roman"/>
          <w:szCs w:val="24"/>
          <w:lang w:eastAsia="ru-RU"/>
        </w:rPr>
        <w:t>эптаког альфа (активированный) в дозе 90-120 мкг/кг массы тела пациента с интервалом в 2-3 часа;</w:t>
      </w:r>
    </w:p>
    <w:p w14:paraId="3ED8BAC1" w14:textId="77777777" w:rsidR="00312D7F" w:rsidRPr="00522573" w:rsidRDefault="00312D7F" w:rsidP="0091350E">
      <w:pPr>
        <w:pStyle w:val="aff"/>
        <w:numPr>
          <w:ilvl w:val="2"/>
          <w:numId w:val="54"/>
        </w:numPr>
        <w:rPr>
          <w:rFonts w:eastAsia="Times New Roman"/>
          <w:szCs w:val="24"/>
          <w:lang w:eastAsia="ru-RU"/>
        </w:rPr>
      </w:pPr>
      <w:r w:rsidRPr="00522573">
        <w:rPr>
          <w:rFonts w:eastAsia="Times New Roman"/>
          <w:szCs w:val="24"/>
          <w:lang w:eastAsia="ru-RU"/>
        </w:rPr>
        <w:t xml:space="preserve">антиингибиторный коагулянтный комплекс (АИКК) в дозе 30-100 Ед/кг массы тела пациента с интервалом в 12-24 часа – до купирования кровотечения. </w:t>
      </w:r>
    </w:p>
    <w:p w14:paraId="1B8152C9" w14:textId="77777777" w:rsidR="00312D7F" w:rsidRPr="00CD2AC0" w:rsidRDefault="00312D7F" w:rsidP="00312D7F">
      <w:pPr>
        <w:pStyle w:val="aff"/>
        <w:ind w:left="1396"/>
        <w:rPr>
          <w:rFonts w:eastAsia="Times New Roman"/>
          <w:szCs w:val="24"/>
          <w:lang w:eastAsia="ru-RU"/>
        </w:rPr>
      </w:pPr>
      <w:r w:rsidRPr="00CD2AC0">
        <w:rPr>
          <w:rFonts w:eastAsia="Times New Roman"/>
          <w:szCs w:val="24"/>
          <w:lang w:eastAsia="ru-RU"/>
        </w:rPr>
        <w:t>При использовании препаратов шунтирующего действия возможны тромботические осложнения.</w:t>
      </w:r>
    </w:p>
    <w:p w14:paraId="4B51A63C" w14:textId="77777777" w:rsidR="00312D7F" w:rsidRDefault="00312D7F" w:rsidP="0091350E">
      <w:pPr>
        <w:pStyle w:val="aff"/>
        <w:numPr>
          <w:ilvl w:val="1"/>
          <w:numId w:val="54"/>
        </w:numPr>
        <w:ind w:left="1437"/>
        <w:rPr>
          <w:rFonts w:eastAsia="Times New Roman"/>
          <w:szCs w:val="24"/>
          <w:lang w:eastAsia="ru-RU"/>
        </w:rPr>
      </w:pPr>
      <w:r w:rsidRPr="00CD2AC0">
        <w:rPr>
          <w:rFonts w:eastAsia="Times New Roman"/>
          <w:szCs w:val="24"/>
          <w:lang w:eastAsia="ru-RU"/>
        </w:rPr>
        <w:t>Трансфузии компонентов крови (дозы и режимы введения зависят от ситуации):</w:t>
      </w:r>
    </w:p>
    <w:p w14:paraId="16633500" w14:textId="77777777" w:rsidR="00312D7F" w:rsidRPr="00522573" w:rsidRDefault="00312D7F" w:rsidP="0091350E">
      <w:pPr>
        <w:pStyle w:val="aff"/>
        <w:numPr>
          <w:ilvl w:val="2"/>
          <w:numId w:val="54"/>
        </w:numPr>
        <w:rPr>
          <w:rFonts w:eastAsia="Times New Roman"/>
          <w:szCs w:val="24"/>
          <w:lang w:eastAsia="ru-RU"/>
        </w:rPr>
      </w:pPr>
      <w:r w:rsidRPr="00522573">
        <w:rPr>
          <w:rFonts w:eastAsia="Times New Roman"/>
          <w:szCs w:val="24"/>
          <w:lang w:eastAsia="ru-RU"/>
        </w:rPr>
        <w:t>СЗП;</w:t>
      </w:r>
    </w:p>
    <w:p w14:paraId="76F4F55F" w14:textId="77777777" w:rsidR="00312D7F" w:rsidRPr="00522573" w:rsidRDefault="00312D7F" w:rsidP="0091350E">
      <w:pPr>
        <w:pStyle w:val="aff"/>
        <w:numPr>
          <w:ilvl w:val="2"/>
          <w:numId w:val="54"/>
        </w:numPr>
        <w:rPr>
          <w:rFonts w:eastAsia="Times New Roman"/>
          <w:szCs w:val="24"/>
          <w:lang w:eastAsia="ru-RU"/>
        </w:rPr>
      </w:pPr>
      <w:r w:rsidRPr="00522573">
        <w:rPr>
          <w:rFonts w:eastAsia="Times New Roman"/>
          <w:szCs w:val="24"/>
          <w:lang w:eastAsia="ru-RU"/>
        </w:rPr>
        <w:t>криопреципитат;</w:t>
      </w:r>
    </w:p>
    <w:p w14:paraId="2E763C71" w14:textId="77777777" w:rsidR="00312D7F" w:rsidRDefault="00312D7F" w:rsidP="0091350E">
      <w:pPr>
        <w:pStyle w:val="aff"/>
        <w:numPr>
          <w:ilvl w:val="2"/>
          <w:numId w:val="54"/>
        </w:numPr>
        <w:rPr>
          <w:rFonts w:eastAsia="Times New Roman"/>
          <w:szCs w:val="24"/>
          <w:lang w:eastAsia="ru-RU"/>
        </w:rPr>
      </w:pPr>
      <w:r w:rsidRPr="00522573">
        <w:rPr>
          <w:rFonts w:eastAsia="Times New Roman"/>
          <w:szCs w:val="24"/>
          <w:lang w:eastAsia="ru-RU"/>
        </w:rPr>
        <w:t>концентрат нативной плазмы;</w:t>
      </w:r>
    </w:p>
    <w:p w14:paraId="08F98981" w14:textId="77777777" w:rsidR="00312D7F" w:rsidRPr="00522573" w:rsidRDefault="00312D7F" w:rsidP="0091350E">
      <w:pPr>
        <w:pStyle w:val="aff"/>
        <w:numPr>
          <w:ilvl w:val="2"/>
          <w:numId w:val="54"/>
        </w:numPr>
        <w:rPr>
          <w:rFonts w:eastAsia="Times New Roman"/>
          <w:szCs w:val="24"/>
          <w:lang w:eastAsia="ru-RU"/>
        </w:rPr>
      </w:pPr>
      <w:r w:rsidRPr="00522573">
        <w:rPr>
          <w:rFonts w:eastAsia="Times New Roman"/>
          <w:szCs w:val="24"/>
          <w:lang w:eastAsia="ru-RU"/>
        </w:rPr>
        <w:t>тромбоконцентрат.</w:t>
      </w:r>
    </w:p>
    <w:p w14:paraId="681CD428" w14:textId="77777777" w:rsidR="00312D7F" w:rsidRDefault="00312D7F" w:rsidP="0091350E">
      <w:pPr>
        <w:pStyle w:val="aff"/>
        <w:numPr>
          <w:ilvl w:val="1"/>
          <w:numId w:val="54"/>
        </w:numPr>
        <w:ind w:left="1437"/>
        <w:rPr>
          <w:rFonts w:eastAsia="Times New Roman"/>
          <w:szCs w:val="24"/>
          <w:lang w:eastAsia="ru-RU"/>
        </w:rPr>
      </w:pPr>
      <w:r w:rsidRPr="00CD2AC0">
        <w:rPr>
          <w:rFonts w:eastAsia="Times New Roman"/>
          <w:szCs w:val="24"/>
          <w:lang w:eastAsia="ru-RU"/>
        </w:rPr>
        <w:t>При дефиците факторов свертывания крови проводятся инфузии препаратов:</w:t>
      </w:r>
    </w:p>
    <w:p w14:paraId="3503E882" w14:textId="77777777" w:rsidR="00312D7F" w:rsidRDefault="00312D7F" w:rsidP="0091350E">
      <w:pPr>
        <w:pStyle w:val="aff"/>
        <w:numPr>
          <w:ilvl w:val="2"/>
          <w:numId w:val="54"/>
        </w:numPr>
        <w:rPr>
          <w:rFonts w:eastAsia="Times New Roman"/>
          <w:szCs w:val="24"/>
          <w:lang w:eastAsia="ru-RU"/>
        </w:rPr>
      </w:pPr>
      <w:r w:rsidRPr="00522573">
        <w:rPr>
          <w:rFonts w:eastAsia="Times New Roman"/>
          <w:szCs w:val="24"/>
          <w:lang w:eastAsia="ru-RU"/>
        </w:rPr>
        <w:t xml:space="preserve">концентрат фактора свертывания крови </w:t>
      </w:r>
      <w:r w:rsidRPr="00522573">
        <w:rPr>
          <w:rFonts w:eastAsia="Times New Roman"/>
          <w:szCs w:val="24"/>
          <w:lang w:val="en-US" w:eastAsia="ru-RU"/>
        </w:rPr>
        <w:t>VII</w:t>
      </w:r>
      <w:r w:rsidRPr="00522573">
        <w:rPr>
          <w:rFonts w:eastAsia="Times New Roman"/>
          <w:szCs w:val="24"/>
          <w:lang w:eastAsia="ru-RU"/>
        </w:rPr>
        <w:t xml:space="preserve"> (при наследственной гипопроконвертинемии, некоторых видах наследственных тромбоцитопатий);</w:t>
      </w:r>
    </w:p>
    <w:p w14:paraId="71FBA53B" w14:textId="77777777" w:rsidR="00312D7F" w:rsidRDefault="00312D7F" w:rsidP="0091350E">
      <w:pPr>
        <w:pStyle w:val="aff"/>
        <w:numPr>
          <w:ilvl w:val="2"/>
          <w:numId w:val="54"/>
        </w:numPr>
        <w:rPr>
          <w:rFonts w:eastAsia="Times New Roman"/>
          <w:szCs w:val="24"/>
          <w:lang w:eastAsia="ru-RU"/>
        </w:rPr>
      </w:pPr>
      <w:r w:rsidRPr="00522573">
        <w:rPr>
          <w:rFonts w:eastAsia="Times New Roman"/>
          <w:szCs w:val="24"/>
          <w:lang w:eastAsia="ru-RU"/>
        </w:rPr>
        <w:t xml:space="preserve">концентраты фактора свертывания крови </w:t>
      </w:r>
      <w:r w:rsidRPr="00522573">
        <w:rPr>
          <w:rFonts w:eastAsia="Times New Roman"/>
          <w:szCs w:val="24"/>
          <w:lang w:val="en-US" w:eastAsia="ru-RU"/>
        </w:rPr>
        <w:t>VIII</w:t>
      </w:r>
      <w:r w:rsidRPr="00522573">
        <w:rPr>
          <w:rFonts w:eastAsia="Times New Roman"/>
          <w:szCs w:val="24"/>
          <w:lang w:eastAsia="ru-RU"/>
        </w:rPr>
        <w:t xml:space="preserve"> (</w:t>
      </w:r>
      <w:r w:rsidRPr="00522573">
        <w:rPr>
          <w:rFonts w:eastAsia="Times New Roman"/>
          <w:szCs w:val="24"/>
          <w:lang w:val="en-US" w:eastAsia="ru-RU"/>
        </w:rPr>
        <w:t>FVIII</w:t>
      </w:r>
      <w:r w:rsidRPr="00522573">
        <w:rPr>
          <w:rFonts w:eastAsia="Times New Roman"/>
          <w:szCs w:val="24"/>
          <w:lang w:eastAsia="ru-RU"/>
        </w:rPr>
        <w:t>), октоког альфа, мороктоког альфа, симоктоког альфа, туроктоког, эптаког альфа (активированный), АИКК (при гемофилии А);</w:t>
      </w:r>
    </w:p>
    <w:p w14:paraId="5DFEB8C0" w14:textId="77777777" w:rsidR="00312D7F" w:rsidRDefault="00312D7F" w:rsidP="0091350E">
      <w:pPr>
        <w:pStyle w:val="aff"/>
        <w:numPr>
          <w:ilvl w:val="2"/>
          <w:numId w:val="54"/>
        </w:numPr>
        <w:rPr>
          <w:rFonts w:eastAsia="Times New Roman"/>
          <w:szCs w:val="24"/>
          <w:lang w:eastAsia="ru-RU"/>
        </w:rPr>
      </w:pPr>
      <w:r w:rsidRPr="00522573">
        <w:rPr>
          <w:rFonts w:eastAsia="Times New Roman"/>
          <w:szCs w:val="24"/>
          <w:lang w:eastAsia="ru-RU"/>
        </w:rPr>
        <w:t xml:space="preserve">концентрат фактора свертывания крови </w:t>
      </w:r>
      <w:r w:rsidRPr="00522573">
        <w:rPr>
          <w:rFonts w:eastAsia="Times New Roman"/>
          <w:szCs w:val="24"/>
          <w:lang w:val="en-US" w:eastAsia="ru-RU"/>
        </w:rPr>
        <w:t>IX</w:t>
      </w:r>
      <w:r w:rsidRPr="00522573">
        <w:rPr>
          <w:rFonts w:eastAsia="Times New Roman"/>
          <w:szCs w:val="24"/>
          <w:lang w:eastAsia="ru-RU"/>
        </w:rPr>
        <w:t>, нонаког альфа, эптаког альфа (активированный), АИКК (при гемофилии В);</w:t>
      </w:r>
    </w:p>
    <w:p w14:paraId="10028262" w14:textId="77777777" w:rsidR="00312D7F" w:rsidRPr="00522573" w:rsidRDefault="00312D7F" w:rsidP="0091350E">
      <w:pPr>
        <w:pStyle w:val="aff"/>
        <w:numPr>
          <w:ilvl w:val="2"/>
          <w:numId w:val="54"/>
        </w:numPr>
        <w:rPr>
          <w:rFonts w:eastAsia="Times New Roman"/>
          <w:szCs w:val="24"/>
          <w:lang w:eastAsia="ru-RU"/>
        </w:rPr>
      </w:pPr>
      <w:r w:rsidRPr="00522573">
        <w:rPr>
          <w:rFonts w:eastAsia="Times New Roman"/>
          <w:szCs w:val="24"/>
          <w:lang w:eastAsia="ru-RU"/>
        </w:rPr>
        <w:t>эмицизумаб (для профилактики возникновения кровотечений у пациентов с тяжелой формой гемофилии А).</w:t>
      </w:r>
    </w:p>
    <w:p w14:paraId="4B509AE7" w14:textId="77777777" w:rsidR="00312D7F" w:rsidRPr="00CD2AC0" w:rsidRDefault="00312D7F" w:rsidP="0091350E">
      <w:pPr>
        <w:pStyle w:val="aff"/>
        <w:numPr>
          <w:ilvl w:val="1"/>
          <w:numId w:val="54"/>
        </w:numPr>
        <w:ind w:left="1437"/>
        <w:rPr>
          <w:rFonts w:eastAsia="Times New Roman"/>
          <w:szCs w:val="24"/>
          <w:lang w:eastAsia="ru-RU"/>
        </w:rPr>
      </w:pPr>
      <w:r w:rsidRPr="00CD2AC0">
        <w:rPr>
          <w:rFonts w:eastAsia="Times New Roman"/>
          <w:szCs w:val="24"/>
          <w:lang w:eastAsia="ru-RU"/>
        </w:rPr>
        <w:t>Десмопрессин (при болезни Виллебранда).</w:t>
      </w:r>
    </w:p>
    <w:p w14:paraId="6E537DAF" w14:textId="77777777" w:rsidR="00312D7F" w:rsidRPr="00CD2AC0" w:rsidRDefault="00312D7F" w:rsidP="00312D7F">
      <w:pPr>
        <w:pStyle w:val="aff"/>
        <w:ind w:left="1396"/>
        <w:rPr>
          <w:rFonts w:eastAsia="Times New Roman"/>
          <w:szCs w:val="24"/>
          <w:lang w:eastAsia="ru-RU"/>
        </w:rPr>
      </w:pPr>
      <w:r w:rsidRPr="00CD2AC0">
        <w:rPr>
          <w:rFonts w:eastAsia="Times New Roman"/>
          <w:szCs w:val="24"/>
          <w:lang w:eastAsia="ru-RU"/>
        </w:rPr>
        <w:t>Дозы и режимы введения концентратов факторов свертывания крови, эмицизумаба и десмопрессина – в соответствии с национальными рекомендациями по лечению гемофилии и болезни Виллебранда.</w:t>
      </w:r>
    </w:p>
    <w:p w14:paraId="1409A6C0" w14:textId="77777777" w:rsidR="00312D7F" w:rsidRDefault="00312D7F" w:rsidP="0091350E">
      <w:pPr>
        <w:pStyle w:val="aff"/>
        <w:numPr>
          <w:ilvl w:val="1"/>
          <w:numId w:val="54"/>
        </w:numPr>
        <w:ind w:left="1437"/>
        <w:rPr>
          <w:rFonts w:eastAsia="Times New Roman"/>
          <w:szCs w:val="24"/>
          <w:lang w:eastAsia="ru-RU"/>
        </w:rPr>
      </w:pPr>
      <w:r w:rsidRPr="00CD2AC0">
        <w:rPr>
          <w:rFonts w:eastAsia="Times New Roman"/>
          <w:szCs w:val="24"/>
          <w:lang w:eastAsia="ru-RU"/>
        </w:rPr>
        <w:t xml:space="preserve">Антифибринолитические препараты: транексамовая кислота по 750 мг х 2-3 раза в сут </w:t>
      </w:r>
      <w:r w:rsidRPr="00CD2AC0">
        <w:rPr>
          <w:rFonts w:eastAsia="Times New Roman"/>
          <w:szCs w:val="24"/>
          <w:lang w:val="en-US" w:eastAsia="ru-RU"/>
        </w:rPr>
        <w:t>per</w:t>
      </w:r>
      <w:r w:rsidRPr="00CD2AC0">
        <w:rPr>
          <w:rFonts w:eastAsia="Times New Roman"/>
          <w:szCs w:val="24"/>
          <w:lang w:eastAsia="ru-RU"/>
        </w:rPr>
        <w:t xml:space="preserve"> </w:t>
      </w:r>
      <w:r w:rsidRPr="00CD2AC0">
        <w:rPr>
          <w:rFonts w:eastAsia="Times New Roman"/>
          <w:szCs w:val="24"/>
          <w:lang w:val="en-US" w:eastAsia="ru-RU"/>
        </w:rPr>
        <w:t>os</w:t>
      </w:r>
      <w:r w:rsidRPr="00CD2AC0">
        <w:rPr>
          <w:rFonts w:eastAsia="Times New Roman"/>
          <w:szCs w:val="24"/>
          <w:lang w:eastAsia="ru-RU"/>
        </w:rPr>
        <w:t xml:space="preserve"> или 10-15 мг/кг массы тела пациента в/в каждые 8 часов до купирования кровотечения.</w:t>
      </w:r>
    </w:p>
    <w:p w14:paraId="514ED71C" w14:textId="77777777" w:rsidR="00312D7F" w:rsidRDefault="00312D7F" w:rsidP="00312D7F">
      <w:pPr>
        <w:pStyle w:val="afd"/>
        <w:spacing w:beforeAutospacing="0" w:afterAutospacing="0" w:line="360" w:lineRule="auto"/>
        <w:rPr>
          <w:i/>
          <w:iCs/>
          <w:u w:val="single"/>
        </w:rPr>
      </w:pPr>
    </w:p>
    <w:p w14:paraId="589F3253" w14:textId="77777777" w:rsidR="00312D7F" w:rsidRPr="00347B9A" w:rsidRDefault="00312D7F" w:rsidP="00312D7F">
      <w:pPr>
        <w:pStyle w:val="afd"/>
        <w:spacing w:beforeAutospacing="0" w:afterAutospacing="0" w:line="360" w:lineRule="auto"/>
        <w:rPr>
          <w:i/>
          <w:iCs/>
          <w:u w:val="single"/>
        </w:rPr>
      </w:pPr>
      <w:r w:rsidRPr="00347B9A">
        <w:rPr>
          <w:i/>
          <w:iCs/>
          <w:u w:val="single"/>
        </w:rPr>
        <w:t>Особенности диагностики и лечения геморрагического синдрома при отдельных гематологических заболеваниях.</w:t>
      </w:r>
    </w:p>
    <w:p w14:paraId="6E5A7C3B" w14:textId="77777777" w:rsidR="00312D7F" w:rsidRPr="00347B9A" w:rsidRDefault="00312D7F" w:rsidP="009751AE">
      <w:pPr>
        <w:ind w:firstLine="709"/>
        <w:rPr>
          <w:rFonts w:eastAsia="Times New Roman"/>
          <w:szCs w:val="24"/>
          <w:u w:val="single"/>
          <w:lang w:eastAsia="ru-RU"/>
        </w:rPr>
      </w:pPr>
      <w:r w:rsidRPr="00347B9A">
        <w:rPr>
          <w:rFonts w:eastAsia="Times New Roman"/>
          <w:szCs w:val="24"/>
          <w:u w:val="single"/>
          <w:lang w:eastAsia="ru-RU"/>
        </w:rPr>
        <w:t>Особенности лечения геморрагического синдрома при острых лейкозах, миелодиспластическом синдроме (МДС)</w:t>
      </w:r>
    </w:p>
    <w:p w14:paraId="205CDAB9" w14:textId="77777777" w:rsidR="00312D7F" w:rsidRPr="00347B9A" w:rsidRDefault="00312D7F" w:rsidP="009751AE">
      <w:pPr>
        <w:ind w:firstLine="709"/>
        <w:rPr>
          <w:rFonts w:eastAsia="Times New Roman"/>
          <w:szCs w:val="24"/>
          <w:lang w:eastAsia="ru-RU"/>
        </w:rPr>
      </w:pPr>
      <w:r w:rsidRPr="00347B9A">
        <w:rPr>
          <w:rFonts w:eastAsia="Times New Roman"/>
          <w:szCs w:val="24"/>
          <w:lang w:eastAsia="ru-RU"/>
        </w:rPr>
        <w:t>Тромбоцитопения при острых лейкозах, МДС является одним из симптомов костно-мозговой недостаточности, и в 10-30% случаев выявляется в дебюте заболевания. Проявлением дисплазии в мегакариоцитарном ростке является обнаружение в анализе крови макроформ тромбоцитов, поэтому геморрагический синдром может развиваться при умеренной тромбоцитопении в связи с наличием функциональной неполноценности тромбоцитов. При развитии аллосенсибилизации целесообразно проведение 4-10 сеансов лечебного плазмафереза для повышения эффективности трансфузий концентратов тромбоцитов. Особенности лечения геморрагического синдрома при остром промиелоцитарном лейкозе приведены в соотвествующей клинической рекомендации.</w:t>
      </w:r>
    </w:p>
    <w:p w14:paraId="253FA547" w14:textId="77777777" w:rsidR="00312D7F" w:rsidRPr="00347B9A" w:rsidRDefault="00312D7F" w:rsidP="009751AE">
      <w:pPr>
        <w:ind w:firstLine="709"/>
        <w:rPr>
          <w:rFonts w:eastAsia="Times New Roman"/>
          <w:szCs w:val="24"/>
          <w:lang w:eastAsia="ru-RU"/>
        </w:rPr>
      </w:pPr>
      <w:r w:rsidRPr="00347B9A">
        <w:rPr>
          <w:rFonts w:eastAsia="Times New Roman"/>
          <w:szCs w:val="24"/>
          <w:u w:val="single"/>
          <w:lang w:eastAsia="ru-RU"/>
        </w:rPr>
        <w:t>Особенности диагностики и лечения геморрагического синдрома при  меноррагиях, внутричерепных кровоизлияниях и кровоизлияниях в ЦНС</w:t>
      </w:r>
      <w:r w:rsidRPr="00347B9A">
        <w:rPr>
          <w:rFonts w:eastAsia="Times New Roman"/>
          <w:szCs w:val="24"/>
          <w:lang w:eastAsia="ru-RU"/>
        </w:rPr>
        <w:t xml:space="preserve"> приведены в соответствующих приложениях по сопроводительной терапии в гематологии.</w:t>
      </w:r>
    </w:p>
    <w:p w14:paraId="15B465DE" w14:textId="77777777" w:rsidR="00312D7F" w:rsidRPr="00347B9A" w:rsidRDefault="00312D7F" w:rsidP="00312D7F">
      <w:pPr>
        <w:rPr>
          <w:rFonts w:eastAsia="Times New Roman"/>
          <w:szCs w:val="24"/>
          <w:u w:val="single"/>
          <w:lang w:eastAsia="ru-RU"/>
        </w:rPr>
      </w:pPr>
    </w:p>
    <w:p w14:paraId="165D2C27" w14:textId="6169FBD6" w:rsidR="00180F03" w:rsidRPr="00180F03" w:rsidRDefault="009751AE" w:rsidP="00180F03">
      <w:pPr>
        <w:pStyle w:val="2"/>
      </w:pPr>
      <w:bookmarkStart w:id="40" w:name="_Toc65104105"/>
      <w:r>
        <w:t>7.</w:t>
      </w:r>
      <w:r w:rsidRPr="00180F03">
        <w:t xml:space="preserve">7 </w:t>
      </w:r>
      <w:r w:rsidR="00180F03" w:rsidRPr="00BA72AB">
        <w:t>Внутричерепные кровоизлияния у гематологических пациентов – тактика нейрохирургического лечения</w:t>
      </w:r>
      <w:bookmarkEnd w:id="40"/>
    </w:p>
    <w:p w14:paraId="5EF68D4D" w14:textId="76383967" w:rsidR="00180F03" w:rsidRPr="00BA72AB" w:rsidRDefault="00180F03" w:rsidP="00180F03">
      <w:pPr>
        <w:tabs>
          <w:tab w:val="left" w:pos="709"/>
        </w:tabs>
        <w:ind w:firstLine="709"/>
        <w:rPr>
          <w:szCs w:val="24"/>
        </w:rPr>
      </w:pPr>
      <w:r w:rsidRPr="00BA72AB">
        <w:rPr>
          <w:szCs w:val="24"/>
        </w:rPr>
        <w:t>Внутричерепные кровоизлияния (ВЧК) – это нередкое (ожидаемое) осложнение основного заболевания и/или специфического (в том числе, химиотерапевтического) лечения у гематологических пациентов, в том числе, со всеми видами лейкозов и лимфом, часто сопряженное с патологией плазменного и/или тромбоцитарного гемостаза</w:t>
      </w:r>
      <w:r>
        <w:rPr>
          <w:szCs w:val="24"/>
        </w:rPr>
        <w:t xml:space="preserve"> </w:t>
      </w:r>
      <w:r>
        <w:rPr>
          <w:bCs/>
          <w:i/>
          <w:iCs/>
          <w:szCs w:val="24"/>
          <w:u w:val="single"/>
        </w:rPr>
        <w:fldChar w:fldCharType="begin" w:fldLock="1"/>
      </w:r>
      <w:r w:rsidR="002F1F20">
        <w:rPr>
          <w:bCs/>
          <w:i/>
          <w:iCs/>
          <w:szCs w:val="24"/>
          <w:u w:val="single"/>
        </w:rPr>
        <w:instrText>ADDIN CSL_CITATION {"citationItems":[{"id":"ITEM-1","itemData":{"author":[{"dropping-particle":"","family":"Мамонов","given":"В.Е.","non-dropping-particle":"","parse-names":false,"suffix":""}],"container-title":"Гематология и трансфузиология","id":"ITEM-1","issue":"S1","issued":{"date-parts":[["2020"]]},"page":"174-175","title":"Неотложная нейрохирургия внутричерепных кровоизлияний у пациентов гематологического стационара","type":"article-journal","volume":"65"},"uris":["http://www.mendeley.com/documents/?uuid=e8b83040-80c7-4e36-8d57-5e123af5e4a6"]}],"mendeley":{"formattedCitation":"[143]","plainTextFormattedCitation":"[143]","previouslyFormattedCitation":"[143]"},"properties":{"noteIndex":0},"schema":"https://github.com/citation-style-language/schema/raw/master/csl-citation.json"}</w:instrText>
      </w:r>
      <w:r>
        <w:rPr>
          <w:bCs/>
          <w:i/>
          <w:iCs/>
          <w:szCs w:val="24"/>
          <w:u w:val="single"/>
        </w:rPr>
        <w:fldChar w:fldCharType="separate"/>
      </w:r>
      <w:r w:rsidRPr="00180F03">
        <w:rPr>
          <w:bCs/>
          <w:iCs/>
          <w:noProof/>
          <w:szCs w:val="24"/>
        </w:rPr>
        <w:t>[143]</w:t>
      </w:r>
      <w:r>
        <w:rPr>
          <w:bCs/>
          <w:i/>
          <w:iCs/>
          <w:szCs w:val="24"/>
          <w:u w:val="single"/>
        </w:rPr>
        <w:fldChar w:fldCharType="end"/>
      </w:r>
      <w:r w:rsidRPr="00BA72AB">
        <w:rPr>
          <w:szCs w:val="24"/>
        </w:rPr>
        <w:t>. Без оказания неотложной нейрохирургической помощи массивные ВЧК у гематологических больных закономерно приводят к фатальному исходу. Из всех ВЧК, требующих оперативного лечения, наиболее часто у гематологических пациентов встречаются следующие (в порядке убывания): внутримозговая гематома с признаками внутричерепной гипертензии и дислокационного синдрома (в т.ч. с прорывом в желудочки) по данным компьютерной томографии (КТ) головного мозга; острые и подострые субдуральные (СДГ) и острые эпидуральные гематомы (ЭДГ); декомпенсация хронической субдуральной гематомы (ХСДГ).</w:t>
      </w:r>
    </w:p>
    <w:p w14:paraId="3397A68E" w14:textId="77777777" w:rsidR="00180F03" w:rsidRPr="00BA72AB" w:rsidRDefault="00180F03" w:rsidP="00180F03">
      <w:pPr>
        <w:tabs>
          <w:tab w:val="left" w:pos="709"/>
        </w:tabs>
        <w:ind w:firstLine="709"/>
        <w:rPr>
          <w:szCs w:val="24"/>
        </w:rPr>
      </w:pPr>
      <w:r w:rsidRPr="00BA72AB">
        <w:rPr>
          <w:szCs w:val="24"/>
        </w:rPr>
        <w:t xml:space="preserve"> Основные причины ВЧК у гематологических пациентов – черепно-мозговая травма, нарушение венозного оттока (тромбоз синусов головного мозга), гипертонический криз, артериовенозная мальформация. При  этом у пациентов могут не выявляться нарушения гемостаза, или иметься различные его нарушения –  тромбоцитопения менее 50х10</w:t>
      </w:r>
      <w:r w:rsidRPr="00BA72AB">
        <w:rPr>
          <w:szCs w:val="24"/>
          <w:vertAlign w:val="superscript"/>
        </w:rPr>
        <w:t>9</w:t>
      </w:r>
      <w:r w:rsidRPr="00BA72AB">
        <w:rPr>
          <w:szCs w:val="24"/>
        </w:rPr>
        <w:t xml:space="preserve">/л и/или нарушение плазменного гемостаза (гипокоагуляция). </w:t>
      </w:r>
    </w:p>
    <w:p w14:paraId="5BDD586C" w14:textId="77777777" w:rsidR="00180F03" w:rsidRPr="00BA72AB" w:rsidRDefault="00180F03" w:rsidP="00180F03">
      <w:pPr>
        <w:pStyle w:val="aff"/>
        <w:tabs>
          <w:tab w:val="left" w:pos="709"/>
        </w:tabs>
        <w:ind w:left="0" w:firstLine="709"/>
        <w:rPr>
          <w:szCs w:val="24"/>
        </w:rPr>
      </w:pPr>
      <w:r w:rsidRPr="00BA72AB">
        <w:rPr>
          <w:szCs w:val="24"/>
        </w:rPr>
        <w:t>Нейрохирургическое вмешательство позволяет сохранить жизнь у 60% гематологических пациентов с массивными ВЧК и продолжить лечение основного онкогематологического заболевания, при этом регресса неврологической симптоматики удаётся добиться у более чем 40% оперированных больных.</w:t>
      </w:r>
    </w:p>
    <w:p w14:paraId="559601F9" w14:textId="77777777" w:rsidR="00180F03" w:rsidRDefault="00180F03" w:rsidP="00180F03">
      <w:pPr>
        <w:pStyle w:val="aff"/>
        <w:rPr>
          <w:bCs/>
          <w:i/>
          <w:iCs/>
          <w:szCs w:val="24"/>
          <w:u w:val="single"/>
        </w:rPr>
      </w:pPr>
    </w:p>
    <w:p w14:paraId="76D68605" w14:textId="77777777" w:rsidR="00180F03" w:rsidRPr="003D7F7D" w:rsidRDefault="00180F03" w:rsidP="00180F03">
      <w:pPr>
        <w:pStyle w:val="aff"/>
        <w:rPr>
          <w:bCs/>
          <w:i/>
          <w:iCs/>
          <w:szCs w:val="24"/>
          <w:u w:val="single"/>
        </w:rPr>
      </w:pPr>
      <w:r w:rsidRPr="003D7F7D">
        <w:rPr>
          <w:bCs/>
          <w:i/>
          <w:iCs/>
          <w:szCs w:val="24"/>
          <w:u w:val="single"/>
        </w:rPr>
        <w:t>Клиническая картина</w:t>
      </w:r>
    </w:p>
    <w:p w14:paraId="1EE0627B" w14:textId="77777777" w:rsidR="00180F03" w:rsidRPr="00BA72AB" w:rsidRDefault="00180F03" w:rsidP="00180F03">
      <w:pPr>
        <w:ind w:firstLine="708"/>
        <w:rPr>
          <w:szCs w:val="24"/>
        </w:rPr>
      </w:pPr>
      <w:r w:rsidRPr="00BA72AB">
        <w:rPr>
          <w:szCs w:val="24"/>
        </w:rPr>
        <w:t>Клиническая картина ВЧК зависит от локализации кровоизлияния.</w:t>
      </w:r>
    </w:p>
    <w:p w14:paraId="212EDB7B" w14:textId="15284BA5" w:rsidR="00180F03" w:rsidRPr="00BA72AB" w:rsidRDefault="00180F03" w:rsidP="00180F03">
      <w:pPr>
        <w:ind w:firstLine="708"/>
        <w:rPr>
          <w:szCs w:val="24"/>
        </w:rPr>
      </w:pPr>
      <w:r w:rsidRPr="00BA72AB">
        <w:rPr>
          <w:b/>
          <w:i/>
          <w:szCs w:val="24"/>
        </w:rPr>
        <w:t>Эпидуральные и острые субдуральные гематомы</w:t>
      </w:r>
      <w:r w:rsidRPr="00BA72AB">
        <w:rPr>
          <w:szCs w:val="24"/>
        </w:rPr>
        <w:t xml:space="preserve"> в большинстве случаев связаны с травмой. Спонтанные субдуральные гематомы выявляются у пациентов с грубой патологией плазменного и/или тромбоцитарного гемостаза. В клинической картине ЭДГ и СДГ присутствуют общемозговые симптомы – головная боль, тошнота, рвота, вялость, сонливость, апатия или тревожность, угнетение сознания. Быстро развивается гипертензионно-дислокационный стволовой синдром, который проявляется тяжёлым или крайне тяжелым состоянием, угнетением сознания до комы, выраженными стволовыми расстройствами, гемодинамическими нарушениями – артериальная гипертензия/гипотензия, брадикардия. Выделяют острые СДГ – до 2-х суток с момента травмы, подострые СДГ – до 14 суток, хронические СДГ – более 14 суток. ХСДГ</w:t>
      </w:r>
      <w:r w:rsidRPr="00BA72AB">
        <w:rPr>
          <w:color w:val="FF0000"/>
          <w:szCs w:val="24"/>
        </w:rPr>
        <w:t xml:space="preserve"> </w:t>
      </w:r>
      <w:r w:rsidRPr="00BA72AB">
        <w:rPr>
          <w:szCs w:val="24"/>
        </w:rPr>
        <w:t>характеризуются наличием капсулы, изолирующей СДГ от окружающего ликворного пространства.</w:t>
      </w:r>
    </w:p>
    <w:p w14:paraId="1DA6CC83" w14:textId="77777777" w:rsidR="00180F03" w:rsidRPr="00BA72AB" w:rsidRDefault="00180F03" w:rsidP="00180F03">
      <w:pPr>
        <w:ind w:firstLine="708"/>
        <w:rPr>
          <w:szCs w:val="24"/>
        </w:rPr>
      </w:pPr>
      <w:r w:rsidRPr="00BA72AB">
        <w:rPr>
          <w:b/>
          <w:i/>
          <w:szCs w:val="24"/>
        </w:rPr>
        <w:t xml:space="preserve">Хроническая субдуральная гематома (ХСДГ) </w:t>
      </w:r>
      <w:r w:rsidRPr="00BA72AB">
        <w:rPr>
          <w:szCs w:val="24"/>
        </w:rPr>
        <w:t>часто выявляется как находка при выполнении магнитно-резонансной томографии (МРТ) или КТ головного мозга у гематологических пациентов. Клинически ХСДГ может протекать бессимптомно, либо вызывать клинику гипертензионно-дисциркуляторного синдрома (угнетение сознания до умеренного или глубокого оглушения, головная боль, тошнота, рвота, психомоторное возбуждение, судорожный синдром, афатические нарушения, пирамидная недостаточность).</w:t>
      </w:r>
    </w:p>
    <w:p w14:paraId="2300745D" w14:textId="77777777" w:rsidR="00180F03" w:rsidRPr="00BA72AB" w:rsidRDefault="00180F03" w:rsidP="00180F03">
      <w:pPr>
        <w:ind w:firstLine="708"/>
        <w:rPr>
          <w:szCs w:val="24"/>
        </w:rPr>
      </w:pPr>
      <w:r w:rsidRPr="00BA72AB">
        <w:rPr>
          <w:b/>
          <w:i/>
          <w:szCs w:val="24"/>
        </w:rPr>
        <w:t xml:space="preserve">Субарахноидальные кровоизлияния (САК) </w:t>
      </w:r>
      <w:r w:rsidRPr="00BA72AB">
        <w:rPr>
          <w:szCs w:val="24"/>
        </w:rPr>
        <w:t xml:space="preserve">у гематологических пациентов встречаются часто как спутник кровоизлияний других локализаций либо спонтанное геморрагическое осложнение, не связанное с грубой цереброваскулярной патологией.  Как правило, клиническая картина соответствует </w:t>
      </w:r>
      <w:r w:rsidRPr="00BA72AB">
        <w:rPr>
          <w:szCs w:val="24"/>
          <w:lang w:val="en-US"/>
        </w:rPr>
        <w:t>I</w:t>
      </w:r>
      <w:r w:rsidRPr="00BA72AB">
        <w:rPr>
          <w:szCs w:val="24"/>
        </w:rPr>
        <w:t>-</w:t>
      </w:r>
      <w:r w:rsidRPr="00BA72AB">
        <w:rPr>
          <w:szCs w:val="24"/>
          <w:lang w:val="en-US"/>
        </w:rPr>
        <w:t>II</w:t>
      </w:r>
      <w:r w:rsidRPr="00BA72AB">
        <w:rPr>
          <w:szCs w:val="24"/>
        </w:rPr>
        <w:t xml:space="preserve"> стадии по классификации </w:t>
      </w:r>
      <w:r w:rsidRPr="00BA72AB">
        <w:rPr>
          <w:szCs w:val="24"/>
          <w:lang w:val="en-US"/>
        </w:rPr>
        <w:t>Hunt</w:t>
      </w:r>
      <w:r w:rsidRPr="00BA72AB">
        <w:rPr>
          <w:szCs w:val="24"/>
        </w:rPr>
        <w:t>&amp;</w:t>
      </w:r>
      <w:r w:rsidRPr="00BA72AB">
        <w:rPr>
          <w:szCs w:val="24"/>
          <w:lang w:val="en-US"/>
        </w:rPr>
        <w:t>Hess</w:t>
      </w:r>
      <w:r w:rsidRPr="00BA72AB">
        <w:rPr>
          <w:szCs w:val="24"/>
        </w:rPr>
        <w:t>, проявляется головной болью и менингеальной симптоматикой. Причиной развития САК у гематологических больных как правило служит патология плазменного и/или тромбоцитарного гемостаза. Гораздо реже наблюдаются классические САК, связанные с разрывом артериальной аневризмы или артериовенозной мальформации. В этих случаях клиническая картина определяется генерализованным вазоспазмом, может сопровождаться развитием гипертензионно-дислокационного синдрома вследствие образования внутричерепных гематом.</w:t>
      </w:r>
    </w:p>
    <w:p w14:paraId="637CE528" w14:textId="77777777" w:rsidR="00180F03" w:rsidRPr="00BA72AB" w:rsidRDefault="00180F03" w:rsidP="00180F03">
      <w:pPr>
        <w:ind w:firstLine="708"/>
        <w:rPr>
          <w:szCs w:val="24"/>
        </w:rPr>
      </w:pPr>
      <w:r w:rsidRPr="00BA72AB">
        <w:rPr>
          <w:b/>
          <w:i/>
          <w:szCs w:val="24"/>
        </w:rPr>
        <w:t xml:space="preserve">Внутримозговые, внутрижелудочковые и сочетанные гематомы, </w:t>
      </w:r>
      <w:r w:rsidRPr="00BA72AB">
        <w:rPr>
          <w:szCs w:val="24"/>
        </w:rPr>
        <w:t>наряду с патологией плазменного и/или тромбоцитарного гемостаза, в своем развитии связаны с артериальной гипертензией либо тромбозом венозных синусов. При остром нарушении мозгового кровообращения (ОНМК) по геморрагическому типу клиническая неврологическая симптоматика, помимо гипертензионно-дислокационного синдрома, зависит от того, в бассейне какой мозговой артерии произошло кровоизлияние. Гемипарез является характерным проявлением данного типа ВЧК. Наиболее часто ОНМК развивается в бассейне средней мозговой артерии и сопровождается прорывом крови в желудочки мозга. Состояние пациентов оценивается как крайне тяжелой, прогноз неблагоприятный.</w:t>
      </w:r>
    </w:p>
    <w:p w14:paraId="49701369" w14:textId="77777777" w:rsidR="00180F03" w:rsidRPr="00BA72AB" w:rsidRDefault="00180F03" w:rsidP="00180F03">
      <w:pPr>
        <w:ind w:firstLine="708"/>
        <w:rPr>
          <w:szCs w:val="24"/>
        </w:rPr>
      </w:pPr>
      <w:r w:rsidRPr="00BA72AB">
        <w:rPr>
          <w:szCs w:val="24"/>
        </w:rPr>
        <w:t>Напротив, спонтанные внутримозговые гематомы нетипичных для ОНМК локализаций часто связаны с тромбозом синусов головного мозга. Клиническая картина в этих случаях более благоприятная, гипертензионно-дислокационный синдром прогрессирует медленно, отмечается появление парезов с контрлатеральной стороны, развитие афатических и ментальных расстройств.</w:t>
      </w:r>
    </w:p>
    <w:p w14:paraId="6BA581DA" w14:textId="77777777" w:rsidR="00180F03" w:rsidRPr="00BA72AB" w:rsidRDefault="00180F03" w:rsidP="00180F03">
      <w:pPr>
        <w:ind w:firstLine="708"/>
        <w:rPr>
          <w:szCs w:val="24"/>
        </w:rPr>
      </w:pPr>
      <w:r w:rsidRPr="00BA72AB">
        <w:rPr>
          <w:b/>
          <w:i/>
          <w:szCs w:val="24"/>
        </w:rPr>
        <w:t xml:space="preserve">Субтенториальные кровоизлияния </w:t>
      </w:r>
      <w:r w:rsidRPr="00BA72AB">
        <w:rPr>
          <w:szCs w:val="24"/>
        </w:rPr>
        <w:t>локализуются в структурах головного мозга под наметом мозжечка. Клиническая картина определяется степенью воздействия на стволовые структуры мозга и локализацией кровоизлияния. Пациентов может беспокоить головная боль, тошнота, рвота, нарушение походки, головокружение. При развитии поражения стволовых структур возникает угнетение сознания, гемодинамические и дыхательные расстройства.</w:t>
      </w:r>
    </w:p>
    <w:p w14:paraId="477378D0" w14:textId="77777777" w:rsidR="00180F03" w:rsidRDefault="00180F03" w:rsidP="00180F03">
      <w:pPr>
        <w:ind w:firstLine="709"/>
        <w:rPr>
          <w:bCs/>
          <w:i/>
          <w:iCs/>
          <w:szCs w:val="24"/>
          <w:u w:val="single"/>
        </w:rPr>
      </w:pPr>
    </w:p>
    <w:p w14:paraId="33EE9DB4" w14:textId="77777777" w:rsidR="00180F03" w:rsidRPr="00212356" w:rsidRDefault="00180F03" w:rsidP="00180F03">
      <w:pPr>
        <w:ind w:firstLine="709"/>
        <w:rPr>
          <w:bCs/>
          <w:i/>
          <w:iCs/>
          <w:szCs w:val="24"/>
          <w:u w:val="single"/>
        </w:rPr>
      </w:pPr>
      <w:r w:rsidRPr="00212356">
        <w:rPr>
          <w:bCs/>
          <w:i/>
          <w:iCs/>
          <w:szCs w:val="24"/>
          <w:u w:val="single"/>
        </w:rPr>
        <w:t>Инструментальная диагностика.</w:t>
      </w:r>
    </w:p>
    <w:p w14:paraId="6424C992" w14:textId="73A0E725" w:rsidR="00180F03" w:rsidRPr="00BA72AB" w:rsidRDefault="00180F03" w:rsidP="00180F03">
      <w:pPr>
        <w:ind w:firstLine="709"/>
        <w:rPr>
          <w:szCs w:val="24"/>
        </w:rPr>
      </w:pPr>
      <w:r w:rsidRPr="00BA72AB">
        <w:rPr>
          <w:szCs w:val="24"/>
        </w:rPr>
        <w:t>КТ головного мозга</w:t>
      </w:r>
      <w:r w:rsidR="00492996" w:rsidRPr="00492996">
        <w:rPr>
          <w:szCs w:val="24"/>
        </w:rPr>
        <w:t xml:space="preserve"> </w:t>
      </w:r>
      <w:r w:rsidRPr="00BA72AB">
        <w:rPr>
          <w:szCs w:val="24"/>
        </w:rPr>
        <w:t>рекомендуется практически всем пациентам с гематологическим заболеванием при поступлении в стационар.  Это необходимо для определения исходного статуса и динамики изменений как при наличии у пациентов неврологической симптоматики, так и без нее. При необходимости выполняется МРТ головного мозга.</w:t>
      </w:r>
    </w:p>
    <w:p w14:paraId="7255D54E" w14:textId="77777777" w:rsidR="00180F03" w:rsidRPr="00BA72AB" w:rsidRDefault="00180F03" w:rsidP="00180F03">
      <w:pPr>
        <w:ind w:firstLine="709"/>
        <w:rPr>
          <w:szCs w:val="24"/>
        </w:rPr>
      </w:pPr>
      <w:r w:rsidRPr="00BA72AB">
        <w:rPr>
          <w:szCs w:val="24"/>
        </w:rPr>
        <w:t>Любое нарушение неврологического статуса, включая субъективное беспокойство пациента требует выполнения КТ/МРТ головного мозга для исключения ВЧК, учитывая возможность быстрого развития и прогрессирования ВЧК у гематологических пациентов.</w:t>
      </w:r>
    </w:p>
    <w:p w14:paraId="61E5076C" w14:textId="77777777" w:rsidR="00180F03" w:rsidRPr="00BA72AB" w:rsidRDefault="00180F03" w:rsidP="00180F03">
      <w:pPr>
        <w:ind w:firstLine="709"/>
        <w:rPr>
          <w:szCs w:val="24"/>
        </w:rPr>
      </w:pPr>
      <w:r w:rsidRPr="00BA72AB">
        <w:rPr>
          <w:szCs w:val="24"/>
        </w:rPr>
        <w:t>КТ или МРТ головного мозга с внутривенным контрастированием выполняется в качестве дополнительного обследования и дифференциальной диагностики ВЧК с другой неврологической патологией.</w:t>
      </w:r>
    </w:p>
    <w:p w14:paraId="2A5A9E44" w14:textId="77777777" w:rsidR="00180F03" w:rsidRDefault="00180F03" w:rsidP="00180F03">
      <w:pPr>
        <w:ind w:firstLine="709"/>
        <w:rPr>
          <w:szCs w:val="24"/>
        </w:rPr>
      </w:pPr>
      <w:r w:rsidRPr="00BA72AB">
        <w:rPr>
          <w:szCs w:val="24"/>
        </w:rPr>
        <w:t>Ангиография выполняется при подозрении на тромбоз венозных синусов, артериальную аневризму или артериовенозную мальформацию при выявлении признаков САК.</w:t>
      </w:r>
    </w:p>
    <w:p w14:paraId="71765CFC" w14:textId="77777777" w:rsidR="00180F03" w:rsidRPr="00BA72AB" w:rsidRDefault="00180F03" w:rsidP="00180F03">
      <w:pPr>
        <w:ind w:firstLine="709"/>
        <w:rPr>
          <w:szCs w:val="24"/>
        </w:rPr>
      </w:pPr>
    </w:p>
    <w:p w14:paraId="64DA17EC" w14:textId="77777777" w:rsidR="00180F03" w:rsidRPr="00212356" w:rsidRDefault="00180F03" w:rsidP="00180F03">
      <w:pPr>
        <w:ind w:firstLine="709"/>
        <w:rPr>
          <w:bCs/>
          <w:i/>
          <w:iCs/>
          <w:szCs w:val="24"/>
          <w:u w:val="single"/>
        </w:rPr>
      </w:pPr>
      <w:r w:rsidRPr="00212356">
        <w:rPr>
          <w:bCs/>
          <w:i/>
          <w:iCs/>
          <w:szCs w:val="24"/>
          <w:u w:val="single"/>
        </w:rPr>
        <w:t>Лабораторная диагностика.</w:t>
      </w:r>
    </w:p>
    <w:p w14:paraId="1DD493A0" w14:textId="77777777" w:rsidR="00180F03" w:rsidRPr="00BA72AB" w:rsidRDefault="00180F03" w:rsidP="00180F03">
      <w:pPr>
        <w:ind w:firstLine="709"/>
        <w:rPr>
          <w:szCs w:val="24"/>
        </w:rPr>
      </w:pPr>
      <w:r w:rsidRPr="00BA72AB">
        <w:rPr>
          <w:szCs w:val="24"/>
        </w:rPr>
        <w:t xml:space="preserve">Лабораторная диагностика заключается в выявлении патологии плазменного и тромбоцитарного гемостаза, а также мониторинге терапии выявленных нарушений. </w:t>
      </w:r>
    </w:p>
    <w:p w14:paraId="7F302143" w14:textId="77777777" w:rsidR="00180F03" w:rsidRPr="00BA72AB" w:rsidRDefault="00180F03" w:rsidP="00180F03">
      <w:pPr>
        <w:ind w:firstLine="709"/>
        <w:rPr>
          <w:szCs w:val="24"/>
        </w:rPr>
      </w:pPr>
      <w:r w:rsidRPr="00BA72AB">
        <w:rPr>
          <w:szCs w:val="24"/>
        </w:rPr>
        <w:t xml:space="preserve">Рекомендуемые исследования для выявления патологии гемостаза: </w:t>
      </w:r>
    </w:p>
    <w:p w14:paraId="7478F3C2" w14:textId="77777777" w:rsidR="00180F03" w:rsidRPr="00BA72AB" w:rsidRDefault="00180F03" w:rsidP="0091350E">
      <w:pPr>
        <w:pStyle w:val="aff"/>
        <w:numPr>
          <w:ilvl w:val="0"/>
          <w:numId w:val="58"/>
        </w:numPr>
        <w:contextualSpacing/>
        <w:rPr>
          <w:szCs w:val="24"/>
        </w:rPr>
      </w:pPr>
      <w:r w:rsidRPr="00BA72AB">
        <w:rPr>
          <w:szCs w:val="24"/>
        </w:rPr>
        <w:t xml:space="preserve">общий (клинический) анализ крови развернутый, с подсчетом количества тромбоцитов в крови по мазку (по Фонио), </w:t>
      </w:r>
    </w:p>
    <w:p w14:paraId="5F2C5362" w14:textId="77777777" w:rsidR="00180F03" w:rsidRPr="00BA72AB" w:rsidRDefault="00180F03" w:rsidP="0091350E">
      <w:pPr>
        <w:pStyle w:val="aff"/>
        <w:numPr>
          <w:ilvl w:val="0"/>
          <w:numId w:val="58"/>
        </w:numPr>
        <w:contextualSpacing/>
        <w:rPr>
          <w:szCs w:val="24"/>
        </w:rPr>
      </w:pPr>
      <w:r w:rsidRPr="00BA72AB">
        <w:rPr>
          <w:szCs w:val="24"/>
        </w:rPr>
        <w:t xml:space="preserve">агрегация тромбоцитов с АДФ и ристомицином, </w:t>
      </w:r>
    </w:p>
    <w:p w14:paraId="4287C4D2" w14:textId="77777777" w:rsidR="00180F03" w:rsidRPr="00BA72AB" w:rsidRDefault="00180F03" w:rsidP="0091350E">
      <w:pPr>
        <w:pStyle w:val="aff"/>
        <w:numPr>
          <w:ilvl w:val="0"/>
          <w:numId w:val="58"/>
        </w:numPr>
        <w:contextualSpacing/>
        <w:rPr>
          <w:szCs w:val="24"/>
        </w:rPr>
      </w:pPr>
      <w:r w:rsidRPr="00BA72AB">
        <w:rPr>
          <w:szCs w:val="24"/>
        </w:rPr>
        <w:t xml:space="preserve">коагулограмма – активированное частичное тромбопластиновое время (АЧТВ), протромбин, фибриноген, Д-димер, антитромбин </w:t>
      </w:r>
      <w:r w:rsidRPr="00BA72AB">
        <w:rPr>
          <w:szCs w:val="24"/>
          <w:lang w:val="en-US"/>
        </w:rPr>
        <w:t>III</w:t>
      </w:r>
      <w:r w:rsidRPr="00BA72AB">
        <w:rPr>
          <w:szCs w:val="24"/>
        </w:rPr>
        <w:t xml:space="preserve"> и др.</w:t>
      </w:r>
    </w:p>
    <w:p w14:paraId="6D968D8B" w14:textId="77777777" w:rsidR="00180F03" w:rsidRPr="00BA72AB" w:rsidRDefault="00180F03" w:rsidP="0091350E">
      <w:pPr>
        <w:pStyle w:val="aff"/>
        <w:numPr>
          <w:ilvl w:val="0"/>
          <w:numId w:val="58"/>
        </w:numPr>
        <w:contextualSpacing/>
        <w:rPr>
          <w:szCs w:val="24"/>
        </w:rPr>
      </w:pPr>
      <w:r w:rsidRPr="00BA72AB">
        <w:rPr>
          <w:szCs w:val="24"/>
        </w:rPr>
        <w:t>тромбоэластография (при необходимости).</w:t>
      </w:r>
    </w:p>
    <w:p w14:paraId="43C104DB" w14:textId="77777777" w:rsidR="00180F03" w:rsidRPr="00BA72AB" w:rsidRDefault="00180F03" w:rsidP="0091350E">
      <w:pPr>
        <w:pStyle w:val="aff"/>
        <w:numPr>
          <w:ilvl w:val="0"/>
          <w:numId w:val="58"/>
        </w:numPr>
        <w:contextualSpacing/>
        <w:rPr>
          <w:szCs w:val="24"/>
        </w:rPr>
      </w:pPr>
      <w:r w:rsidRPr="00BA72AB">
        <w:rPr>
          <w:szCs w:val="24"/>
        </w:rPr>
        <w:t xml:space="preserve">маркеры тромбофилии (при тромбозе мозговых синусов): АЧТВ, протромбин, фибриноген, тромбиновое время, XII-а зависимый фибринолиз, протеины С и S, гомоцистеин, агрегация тромбоцитов, Д-димер, волчаночный антикоагулянт, антитела к бета2 гликопротеину 1, антитела к кардиолипину, мутации генов: V фактора Лейден, метилентетрагидрофолат-редуктазы, протромбина.  </w:t>
      </w:r>
    </w:p>
    <w:p w14:paraId="5EE42D08" w14:textId="77777777" w:rsidR="00180F03" w:rsidRDefault="00180F03" w:rsidP="00180F03">
      <w:pPr>
        <w:ind w:firstLine="709"/>
        <w:rPr>
          <w:bCs/>
          <w:i/>
          <w:iCs/>
          <w:szCs w:val="24"/>
          <w:u w:val="single"/>
        </w:rPr>
      </w:pPr>
    </w:p>
    <w:p w14:paraId="72A08630" w14:textId="2691F75B" w:rsidR="00180F03" w:rsidRPr="00212356" w:rsidRDefault="00180F03" w:rsidP="00180F03">
      <w:pPr>
        <w:ind w:firstLine="709"/>
        <w:rPr>
          <w:bCs/>
          <w:i/>
          <w:iCs/>
          <w:szCs w:val="24"/>
          <w:u w:val="single"/>
        </w:rPr>
      </w:pPr>
      <w:r w:rsidRPr="00212356">
        <w:rPr>
          <w:bCs/>
          <w:i/>
          <w:iCs/>
          <w:szCs w:val="24"/>
          <w:u w:val="single"/>
        </w:rPr>
        <w:t>Лечение</w:t>
      </w:r>
      <w:r>
        <w:rPr>
          <w:bCs/>
          <w:i/>
          <w:iCs/>
          <w:szCs w:val="24"/>
          <w:u w:val="single"/>
        </w:rPr>
        <w:t xml:space="preserve"> </w:t>
      </w:r>
      <w:r>
        <w:rPr>
          <w:bCs/>
          <w:i/>
          <w:iCs/>
          <w:szCs w:val="24"/>
          <w:u w:val="single"/>
        </w:rPr>
        <w:fldChar w:fldCharType="begin" w:fldLock="1"/>
      </w:r>
      <w:r w:rsidR="002F1F20">
        <w:rPr>
          <w:bCs/>
          <w:i/>
          <w:iCs/>
          <w:szCs w:val="24"/>
          <w:u w:val="single"/>
        </w:rPr>
        <w:instrText>ADDIN CSL_CITATION {"citationItems":[{"id":"ITEM-1","itemData":{"author":[{"dropping-particle":"","family":"Мамонов","given":"В.Е.","non-dropping-particle":"","parse-names":false,"suffix":""}],"container-title":"Гематология и трансфузиология","id":"ITEM-1","issue":"S1","issued":{"date-parts":[["2020"]]},"page":"174-175","title":"Неотложная нейрохирургия внутричерепных кровоизлияний у пациентов гематологического стационара","type":"article-journal","volume":"65"},"uris":["http://www.mendeley.com/documents/?uuid=e8b83040-80c7-4e36-8d57-5e123af5e4a6"]}],"mendeley":{"formattedCitation":"[143]","plainTextFormattedCitation":"[143]","previouslyFormattedCitation":"[143]"},"properties":{"noteIndex":0},"schema":"https://github.com/citation-style-language/schema/raw/master/csl-citation.json"}</w:instrText>
      </w:r>
      <w:r>
        <w:rPr>
          <w:bCs/>
          <w:i/>
          <w:iCs/>
          <w:szCs w:val="24"/>
          <w:u w:val="single"/>
        </w:rPr>
        <w:fldChar w:fldCharType="separate"/>
      </w:r>
      <w:r w:rsidRPr="00180F03">
        <w:rPr>
          <w:bCs/>
          <w:iCs/>
          <w:noProof/>
          <w:szCs w:val="24"/>
        </w:rPr>
        <w:t>[143]</w:t>
      </w:r>
      <w:r>
        <w:rPr>
          <w:bCs/>
          <w:i/>
          <w:iCs/>
          <w:szCs w:val="24"/>
          <w:u w:val="single"/>
        </w:rPr>
        <w:fldChar w:fldCharType="end"/>
      </w:r>
    </w:p>
    <w:p w14:paraId="1348CA10" w14:textId="77777777" w:rsidR="00180F03" w:rsidRPr="00BA72AB" w:rsidRDefault="00180F03" w:rsidP="00180F03">
      <w:pPr>
        <w:pStyle w:val="aff"/>
        <w:ind w:left="0" w:firstLine="720"/>
        <w:rPr>
          <w:szCs w:val="24"/>
        </w:rPr>
      </w:pPr>
      <w:r w:rsidRPr="00BA72AB">
        <w:rPr>
          <w:szCs w:val="24"/>
        </w:rPr>
        <w:t xml:space="preserve">Цель лечения ВЧК заключается в достижении эффективного гемостаза для остановки кровотечения и борьба с гипертензионно-дислокационным синдромом. В случаях небольших по объёму ВЧК, не угрожающих жизни пациента, при достижении эффективного гемостаза санагенез гематомы происходит в течение 2-3 недель. Нейрохирургическое вмешательство в данной ситуации не требуется. </w:t>
      </w:r>
    </w:p>
    <w:p w14:paraId="6A7C8D92" w14:textId="77777777" w:rsidR="00180F03" w:rsidRPr="00BA72AB" w:rsidRDefault="00180F03" w:rsidP="00180F03">
      <w:pPr>
        <w:pStyle w:val="aff"/>
        <w:ind w:left="0" w:firstLine="720"/>
        <w:rPr>
          <w:szCs w:val="24"/>
        </w:rPr>
      </w:pPr>
      <w:r w:rsidRPr="00BA72AB">
        <w:rPr>
          <w:szCs w:val="24"/>
        </w:rPr>
        <w:t xml:space="preserve">При выявлении ВЧК пациент переводится в реанимационное отделение, где проводится экстренная диагностика состояния гемостаза, и проводится коррекция тромбоцитопении и гипокоагуляции. Пациентам с дефицитом факторов свертывания препараты факторов </w:t>
      </w:r>
      <w:r w:rsidRPr="00BA72AB">
        <w:rPr>
          <w:szCs w:val="24"/>
          <w:lang w:val="en-US"/>
        </w:rPr>
        <w:t>VIII</w:t>
      </w:r>
      <w:r w:rsidRPr="00BA72AB">
        <w:rPr>
          <w:szCs w:val="24"/>
        </w:rPr>
        <w:t xml:space="preserve">, </w:t>
      </w:r>
      <w:r w:rsidRPr="00BA72AB">
        <w:rPr>
          <w:szCs w:val="24"/>
          <w:lang w:val="en-US"/>
        </w:rPr>
        <w:t>IX</w:t>
      </w:r>
      <w:r w:rsidRPr="00BA72AB">
        <w:rPr>
          <w:szCs w:val="24"/>
        </w:rPr>
        <w:t xml:space="preserve">, рекомбинантного активированного фактора </w:t>
      </w:r>
      <w:r w:rsidRPr="00BA72AB">
        <w:rPr>
          <w:szCs w:val="24"/>
          <w:lang w:val="en-US"/>
        </w:rPr>
        <w:t>VII</w:t>
      </w:r>
      <w:r w:rsidRPr="00BA72AB">
        <w:rPr>
          <w:szCs w:val="24"/>
        </w:rPr>
        <w:t xml:space="preserve"> или препарат активированного протромбинового комплекса (при наличии ингибитора) вводятся в рекомендуемых дозах при подозрении на ВЧК ещё до направления на КТ головного мозга.</w:t>
      </w:r>
    </w:p>
    <w:p w14:paraId="474FF800" w14:textId="77777777" w:rsidR="00180F03" w:rsidRPr="00BA72AB" w:rsidRDefault="00180F03" w:rsidP="00180F03">
      <w:pPr>
        <w:pStyle w:val="aff"/>
        <w:ind w:left="0" w:firstLine="720"/>
        <w:rPr>
          <w:szCs w:val="24"/>
        </w:rPr>
      </w:pPr>
      <w:r w:rsidRPr="00BA72AB">
        <w:rPr>
          <w:szCs w:val="24"/>
        </w:rPr>
        <w:t>После достижения эффективного гемостаза мультидисциплинарной командой (гематолог, нейрохирург, реаниматолог) решается вопрос о возможности и целесообразности выполнения нейрохирургического вмешательства. Цель нейрохирургической операции – борьба с гипертензионно-дислокационным синдромом. Операция выполняется по жизненным показаниям. При оказании ургентной нейрохирургической помощи гематологическим пациентам принципиальным является фактор времени. Оптимальным является выполнение трепанации черепа не позднее 4-х часов с момента диагностики ВЧК. Нужно учитывать, что у гематологических пациентов редко удаётся добиться идеального гемостаза и редко удаётся выявить непосредственный источник кровотечения. Необходимо, как правило, использовать дополнительные местные гемостатические материалы – Тахокомб, Серджисел. Операция заканчивается дренированием полости гематомы тонким дренажем с пассивной аспирацией.</w:t>
      </w:r>
    </w:p>
    <w:p w14:paraId="61E9E94C" w14:textId="77777777" w:rsidR="00180F03" w:rsidRPr="00BA72AB" w:rsidRDefault="00180F03" w:rsidP="00180F03">
      <w:pPr>
        <w:pStyle w:val="aff"/>
        <w:ind w:left="0" w:firstLine="720"/>
        <w:rPr>
          <w:szCs w:val="24"/>
        </w:rPr>
      </w:pPr>
      <w:r w:rsidRPr="00BA72AB">
        <w:rPr>
          <w:szCs w:val="24"/>
        </w:rPr>
        <w:t>При острых субдуральных и эпидуральных гематомах, при развитии у пациента гипертензионно-дислокационного синдрома и смещения срединных структур головного мозга более 9 мм выполняется костно-пластическая краниотомия, удаление и дренирование гематомы головного мозга. При выявлении на операции признаков отёка / набухания вещества головного мозга объём вмешательства расширяется до декомпрессивной трепанации с пластикой твердой мозговой оболочки.</w:t>
      </w:r>
    </w:p>
    <w:p w14:paraId="65A7E585" w14:textId="77777777" w:rsidR="00180F03" w:rsidRPr="00BA72AB" w:rsidRDefault="00180F03" w:rsidP="00180F03">
      <w:pPr>
        <w:pStyle w:val="aff"/>
        <w:ind w:left="0" w:firstLine="720"/>
        <w:rPr>
          <w:szCs w:val="24"/>
        </w:rPr>
      </w:pPr>
      <w:r w:rsidRPr="00BA72AB">
        <w:rPr>
          <w:szCs w:val="24"/>
        </w:rPr>
        <w:t xml:space="preserve">Субарахноидальные кровоизлияния (САК) у гематологических пациентов, как правило, требуют консервативного лечения, либо эндоваскулярной диагностики и эндоваскулярного нейрохирургического лечения. Показания к эндоваскулярному вмешательству также определяются коллегиально специалистами: нейрохирург, ангиохирург, реаниматолог, гематолог. </w:t>
      </w:r>
    </w:p>
    <w:p w14:paraId="751D0225" w14:textId="77777777" w:rsidR="00180F03" w:rsidRPr="00BA72AB" w:rsidRDefault="00180F03" w:rsidP="00180F03">
      <w:pPr>
        <w:pStyle w:val="aff"/>
        <w:ind w:left="0" w:firstLine="720"/>
        <w:rPr>
          <w:szCs w:val="24"/>
        </w:rPr>
      </w:pPr>
      <w:r w:rsidRPr="00BA72AB">
        <w:rPr>
          <w:szCs w:val="24"/>
        </w:rPr>
        <w:t>Внутримозговые гематомы и внутрижелудочковые кровоизлияния у гематологических пациентов требуют нейрохирургического вмешательства только по жизненным показаниям, так как любая дополнительная травма вещества головного мозга при удалении внутримозговых гематом усугубляет неврологических дефицит, и кроме того, у гематологических пациентов имеется высокий риск рецидива гематомы. При нетипичных локализациях спонтанных внутримозговых гематом требуется исключить тромбоз венозных синусов. При подтверждении тромбоза целесообразно выполнить эндоваскулярное вмешательство с целью восстановления кровотока (локальный эндоваскулярный трансвенозный тромболизис, эндоваскулярная тромбэктомия аспирационная). В случае принятия решения об открытом оперативном вмешательстве выполняется декомпрессивная краниотомия, удаление и дренирование внутримозговой гематомы. При кровоизлиянии в желудочки головного мозга у гематологических пациентов выполнение только вентрикулостомии неэффективно.</w:t>
      </w:r>
    </w:p>
    <w:p w14:paraId="74E835AE" w14:textId="77777777" w:rsidR="00180F03" w:rsidRPr="00BA72AB" w:rsidRDefault="00180F03" w:rsidP="00180F03">
      <w:pPr>
        <w:pStyle w:val="aff"/>
        <w:ind w:left="0" w:firstLine="720"/>
        <w:rPr>
          <w:szCs w:val="24"/>
        </w:rPr>
      </w:pPr>
      <w:r w:rsidRPr="00BA72AB">
        <w:rPr>
          <w:szCs w:val="24"/>
        </w:rPr>
        <w:t>Хронические субдуральные гематомы (ХСДГ) требуют нейрохирургического лечения в плановом порядке при наличии клинических проявлений. Свою эффективность у гематологических пациентов показал подход, заключающийся в выполнении закрытого дренирования ХСДГ.</w:t>
      </w:r>
    </w:p>
    <w:p w14:paraId="0B605850" w14:textId="77777777" w:rsidR="00180F03" w:rsidRDefault="00180F03" w:rsidP="00180F03">
      <w:pPr>
        <w:pStyle w:val="aff"/>
        <w:ind w:left="0" w:firstLine="720"/>
        <w:rPr>
          <w:szCs w:val="24"/>
        </w:rPr>
      </w:pPr>
      <w:r w:rsidRPr="00BA72AB">
        <w:rPr>
          <w:szCs w:val="24"/>
        </w:rPr>
        <w:t xml:space="preserve">По клиническим показаниям производится гемотрансфузионная терапия: трансфузии тромбоконцентрата, свежезамороженной плазмы, криопреципитата, эритроцитсодержащих компонентов крови. При тромбозах венозных синусов подбор антикоагулянтной терапии производится индивидуально с учетом лабораторных данных и факторов риска кровотечения. Исход нейрохирургических вмешательств при ВЧК зависит </w:t>
      </w:r>
    </w:p>
    <w:p w14:paraId="0A28B189" w14:textId="77777777" w:rsidR="00180F03" w:rsidRPr="0005409C" w:rsidRDefault="00180F03" w:rsidP="00180F03">
      <w:pPr>
        <w:rPr>
          <w:szCs w:val="24"/>
        </w:rPr>
      </w:pPr>
      <w:r w:rsidRPr="0005409C">
        <w:rPr>
          <w:szCs w:val="24"/>
        </w:rPr>
        <w:t>от комплекса факторов (таб.1)</w:t>
      </w:r>
    </w:p>
    <w:p w14:paraId="562F7849" w14:textId="77777777" w:rsidR="00180F03" w:rsidRDefault="00180F03" w:rsidP="00180F03">
      <w:pPr>
        <w:rPr>
          <w:szCs w:val="24"/>
        </w:rPr>
      </w:pPr>
    </w:p>
    <w:p w14:paraId="7626661A" w14:textId="77777777" w:rsidR="00180F03" w:rsidRPr="00BA72AB" w:rsidRDefault="00180F03" w:rsidP="00180F03">
      <w:pPr>
        <w:rPr>
          <w:szCs w:val="24"/>
        </w:rPr>
      </w:pPr>
      <w:r w:rsidRPr="0005409C">
        <w:rPr>
          <w:szCs w:val="24"/>
        </w:rPr>
        <w:t>Таблица 1. Прогностические факторы исхода нейрохирургических вмешательств при ВЧК</w:t>
      </w:r>
      <w:r w:rsidRPr="00BA72AB">
        <w:rPr>
          <w:szCs w:val="24"/>
        </w:rPr>
        <w:t xml:space="preserve"> у гематологических пациентов.</w:t>
      </w:r>
    </w:p>
    <w:tbl>
      <w:tblPr>
        <w:tblStyle w:val="affa"/>
        <w:tblW w:w="0" w:type="auto"/>
        <w:tblLook w:val="04A0" w:firstRow="1" w:lastRow="0" w:firstColumn="1" w:lastColumn="0" w:noHBand="0" w:noVBand="1"/>
      </w:tblPr>
      <w:tblGrid>
        <w:gridCol w:w="4672"/>
        <w:gridCol w:w="4673"/>
      </w:tblGrid>
      <w:tr w:rsidR="00180F03" w:rsidRPr="00BA72AB" w14:paraId="2880B189" w14:textId="77777777" w:rsidTr="005A428D">
        <w:tc>
          <w:tcPr>
            <w:tcW w:w="4672" w:type="dxa"/>
          </w:tcPr>
          <w:p w14:paraId="3A27EEA1" w14:textId="77777777" w:rsidR="00180F03" w:rsidRPr="00BA72AB" w:rsidRDefault="00180F03" w:rsidP="005A428D">
            <w:pPr>
              <w:jc w:val="center"/>
              <w:rPr>
                <w:szCs w:val="24"/>
              </w:rPr>
            </w:pPr>
            <w:r w:rsidRPr="00BA72AB">
              <w:rPr>
                <w:szCs w:val="24"/>
              </w:rPr>
              <w:t>Благоприятные факторы</w:t>
            </w:r>
          </w:p>
        </w:tc>
        <w:tc>
          <w:tcPr>
            <w:tcW w:w="4673" w:type="dxa"/>
          </w:tcPr>
          <w:p w14:paraId="28FA61A5" w14:textId="77777777" w:rsidR="00180F03" w:rsidRPr="00BA72AB" w:rsidRDefault="00180F03" w:rsidP="005A428D">
            <w:pPr>
              <w:jc w:val="center"/>
              <w:rPr>
                <w:szCs w:val="24"/>
              </w:rPr>
            </w:pPr>
            <w:r w:rsidRPr="00BA72AB">
              <w:rPr>
                <w:szCs w:val="24"/>
              </w:rPr>
              <w:t>Неблагоприятные факторы</w:t>
            </w:r>
          </w:p>
        </w:tc>
      </w:tr>
      <w:tr w:rsidR="00180F03" w:rsidRPr="00BA72AB" w14:paraId="3B17E5DD" w14:textId="77777777" w:rsidTr="005A428D">
        <w:tc>
          <w:tcPr>
            <w:tcW w:w="4672" w:type="dxa"/>
          </w:tcPr>
          <w:p w14:paraId="6C27B041" w14:textId="77777777" w:rsidR="00180F03" w:rsidRPr="00BA72AB" w:rsidRDefault="00180F03" w:rsidP="0091350E">
            <w:pPr>
              <w:numPr>
                <w:ilvl w:val="0"/>
                <w:numId w:val="56"/>
              </w:numPr>
              <w:rPr>
                <w:szCs w:val="24"/>
              </w:rPr>
            </w:pPr>
            <w:r w:rsidRPr="00BA72AB">
              <w:rPr>
                <w:szCs w:val="24"/>
              </w:rPr>
              <w:t>оболочечные гематомы</w:t>
            </w:r>
          </w:p>
          <w:p w14:paraId="49A1A580" w14:textId="77777777" w:rsidR="00180F03" w:rsidRPr="00BA72AB" w:rsidRDefault="00180F03" w:rsidP="0091350E">
            <w:pPr>
              <w:numPr>
                <w:ilvl w:val="0"/>
                <w:numId w:val="56"/>
              </w:numPr>
              <w:rPr>
                <w:szCs w:val="24"/>
              </w:rPr>
            </w:pPr>
            <w:r w:rsidRPr="00BA72AB">
              <w:rPr>
                <w:szCs w:val="24"/>
              </w:rPr>
              <w:t>диагностика в течение первых 4 часов</w:t>
            </w:r>
          </w:p>
          <w:p w14:paraId="5956EAF4" w14:textId="77777777" w:rsidR="00180F03" w:rsidRPr="00BA72AB" w:rsidRDefault="00180F03" w:rsidP="0091350E">
            <w:pPr>
              <w:numPr>
                <w:ilvl w:val="0"/>
                <w:numId w:val="56"/>
              </w:numPr>
              <w:rPr>
                <w:szCs w:val="24"/>
              </w:rPr>
            </w:pPr>
            <w:r w:rsidRPr="00BA72AB">
              <w:rPr>
                <w:szCs w:val="24"/>
              </w:rPr>
              <w:t>контролируемые нарушения гемостаза</w:t>
            </w:r>
          </w:p>
          <w:p w14:paraId="7680691B" w14:textId="77777777" w:rsidR="00180F03" w:rsidRPr="00BA72AB" w:rsidRDefault="00180F03" w:rsidP="0091350E">
            <w:pPr>
              <w:numPr>
                <w:ilvl w:val="0"/>
                <w:numId w:val="56"/>
              </w:numPr>
              <w:rPr>
                <w:szCs w:val="24"/>
              </w:rPr>
            </w:pPr>
            <w:r w:rsidRPr="00BA72AB">
              <w:rPr>
                <w:szCs w:val="24"/>
              </w:rPr>
              <w:t>супратенториальная локализация</w:t>
            </w:r>
          </w:p>
          <w:p w14:paraId="374D222D" w14:textId="77777777" w:rsidR="00180F03" w:rsidRPr="00BA72AB" w:rsidRDefault="00180F03" w:rsidP="0091350E">
            <w:pPr>
              <w:numPr>
                <w:ilvl w:val="0"/>
                <w:numId w:val="56"/>
              </w:numPr>
              <w:rPr>
                <w:szCs w:val="24"/>
              </w:rPr>
            </w:pPr>
            <w:r w:rsidRPr="00BA72AB">
              <w:rPr>
                <w:szCs w:val="24"/>
              </w:rPr>
              <w:t>уровень сознания – более 8 баллов ШКГ</w:t>
            </w:r>
          </w:p>
        </w:tc>
        <w:tc>
          <w:tcPr>
            <w:tcW w:w="4673" w:type="dxa"/>
          </w:tcPr>
          <w:p w14:paraId="2524EB72" w14:textId="77777777" w:rsidR="00180F03" w:rsidRPr="00BA72AB" w:rsidRDefault="00180F03" w:rsidP="0091350E">
            <w:pPr>
              <w:numPr>
                <w:ilvl w:val="0"/>
                <w:numId w:val="57"/>
              </w:numPr>
              <w:rPr>
                <w:szCs w:val="24"/>
              </w:rPr>
            </w:pPr>
            <w:r w:rsidRPr="00BA72AB">
              <w:rPr>
                <w:szCs w:val="24"/>
              </w:rPr>
              <w:t>внутримозговые, внутрижелудочковые и сочетанные гематомы</w:t>
            </w:r>
          </w:p>
          <w:p w14:paraId="146938C0" w14:textId="77777777" w:rsidR="00180F03" w:rsidRPr="00BA72AB" w:rsidRDefault="00180F03" w:rsidP="0091350E">
            <w:pPr>
              <w:numPr>
                <w:ilvl w:val="0"/>
                <w:numId w:val="57"/>
              </w:numPr>
              <w:rPr>
                <w:szCs w:val="24"/>
              </w:rPr>
            </w:pPr>
            <w:r w:rsidRPr="00BA72AB">
              <w:rPr>
                <w:szCs w:val="24"/>
              </w:rPr>
              <w:t>поздняя диагностика</w:t>
            </w:r>
          </w:p>
          <w:p w14:paraId="23B2EA67" w14:textId="77777777" w:rsidR="00180F03" w:rsidRPr="00BA72AB" w:rsidRDefault="00180F03" w:rsidP="0091350E">
            <w:pPr>
              <w:numPr>
                <w:ilvl w:val="0"/>
                <w:numId w:val="57"/>
              </w:numPr>
              <w:rPr>
                <w:szCs w:val="24"/>
              </w:rPr>
            </w:pPr>
            <w:r w:rsidRPr="00BA72AB">
              <w:rPr>
                <w:szCs w:val="24"/>
              </w:rPr>
              <w:t>неконтролируемые нарушения гемостаза</w:t>
            </w:r>
          </w:p>
          <w:p w14:paraId="21D7444A" w14:textId="77777777" w:rsidR="00180F03" w:rsidRPr="00BA72AB" w:rsidRDefault="00180F03" w:rsidP="0091350E">
            <w:pPr>
              <w:numPr>
                <w:ilvl w:val="0"/>
                <w:numId w:val="57"/>
              </w:numPr>
              <w:rPr>
                <w:szCs w:val="24"/>
              </w:rPr>
            </w:pPr>
            <w:r w:rsidRPr="00BA72AB">
              <w:rPr>
                <w:szCs w:val="24"/>
              </w:rPr>
              <w:t>субтенториальная локализация</w:t>
            </w:r>
          </w:p>
          <w:p w14:paraId="5A63A0AD" w14:textId="77777777" w:rsidR="00180F03" w:rsidRPr="00BA72AB" w:rsidRDefault="00180F03" w:rsidP="0091350E">
            <w:pPr>
              <w:numPr>
                <w:ilvl w:val="0"/>
                <w:numId w:val="57"/>
              </w:numPr>
              <w:rPr>
                <w:szCs w:val="24"/>
              </w:rPr>
            </w:pPr>
            <w:r w:rsidRPr="00BA72AB">
              <w:rPr>
                <w:szCs w:val="24"/>
              </w:rPr>
              <w:t>глубокое угнетение сознания менее 8 баллов ШКГ</w:t>
            </w:r>
          </w:p>
        </w:tc>
      </w:tr>
    </w:tbl>
    <w:p w14:paraId="1EDA2109" w14:textId="77777777" w:rsidR="00180F03" w:rsidRPr="00BA72AB" w:rsidRDefault="00180F03" w:rsidP="00180F03">
      <w:pPr>
        <w:pStyle w:val="aff"/>
        <w:rPr>
          <w:b/>
          <w:szCs w:val="24"/>
        </w:rPr>
      </w:pPr>
    </w:p>
    <w:p w14:paraId="5A9779AE" w14:textId="736DA557" w:rsidR="0048207C" w:rsidRPr="0048207C" w:rsidRDefault="00492996" w:rsidP="0048207C">
      <w:pPr>
        <w:pStyle w:val="2"/>
      </w:pPr>
      <w:bookmarkStart w:id="41" w:name="_Toc65104106"/>
      <w:r>
        <w:t>7.</w:t>
      </w:r>
      <w:r w:rsidRPr="0048207C">
        <w:t>8</w:t>
      </w:r>
      <w:r w:rsidR="007F2D6A" w:rsidRPr="0048207C">
        <w:t xml:space="preserve"> </w:t>
      </w:r>
      <w:r w:rsidR="0048207C" w:rsidRPr="00611EC1">
        <w:t>Лечение меноррагий у пациенток с гематологическими заболеваниями</w:t>
      </w:r>
      <w:bookmarkEnd w:id="41"/>
    </w:p>
    <w:p w14:paraId="7E9ABC40" w14:textId="77777777" w:rsidR="0048207C" w:rsidRPr="00611EC1" w:rsidRDefault="0048207C" w:rsidP="0048207C">
      <w:pPr>
        <w:ind w:firstLine="709"/>
        <w:rPr>
          <w:color w:val="000000"/>
          <w:szCs w:val="24"/>
        </w:rPr>
      </w:pPr>
      <w:r w:rsidRPr="00611EC1">
        <w:rPr>
          <w:color w:val="000000"/>
          <w:szCs w:val="24"/>
        </w:rPr>
        <w:t xml:space="preserve">Аномальные маточные кровотечения (АМК) — распространенная патология </w:t>
      </w:r>
      <w:r w:rsidRPr="00611EC1">
        <w:rPr>
          <w:szCs w:val="24"/>
        </w:rPr>
        <w:t>у женщин с гематологическими заболеваниями</w:t>
      </w:r>
      <w:r w:rsidRPr="00611EC1">
        <w:rPr>
          <w:color w:val="000000"/>
          <w:szCs w:val="24"/>
        </w:rPr>
        <w:t xml:space="preserve">, которая включает нарушения менструального цикла, связанные с частотой, регулярностью, продолжительностью и объемом теряемой крови у пациенток. Частота встречаемости АМК </w:t>
      </w:r>
      <w:r w:rsidRPr="00611EC1">
        <w:rPr>
          <w:szCs w:val="24"/>
        </w:rPr>
        <w:t>в общей популяции</w:t>
      </w:r>
      <w:r w:rsidRPr="00611EC1">
        <w:rPr>
          <w:color w:val="FF0000"/>
          <w:szCs w:val="24"/>
        </w:rPr>
        <w:t xml:space="preserve"> </w:t>
      </w:r>
      <w:r w:rsidRPr="00611EC1">
        <w:rPr>
          <w:szCs w:val="24"/>
        </w:rPr>
        <w:t>женщин</w:t>
      </w:r>
      <w:r w:rsidRPr="00611EC1">
        <w:rPr>
          <w:color w:val="FF0000"/>
          <w:szCs w:val="24"/>
        </w:rPr>
        <w:t xml:space="preserve"> </w:t>
      </w:r>
      <w:r w:rsidRPr="00611EC1">
        <w:rPr>
          <w:color w:val="000000"/>
          <w:szCs w:val="24"/>
        </w:rPr>
        <w:t>варьирует от 14 до 30%, частота у пациенток с гематологическими заболеваниями неизвестна.</w:t>
      </w:r>
    </w:p>
    <w:p w14:paraId="1134D538" w14:textId="3FAC844C" w:rsidR="0048207C" w:rsidRPr="00611EC1" w:rsidRDefault="0048207C" w:rsidP="0048207C">
      <w:pPr>
        <w:ind w:firstLine="709"/>
        <w:rPr>
          <w:color w:val="000000"/>
          <w:szCs w:val="24"/>
        </w:rPr>
      </w:pPr>
      <w:r w:rsidRPr="00611EC1">
        <w:rPr>
          <w:szCs w:val="24"/>
        </w:rPr>
        <w:t>Основные причины АМК у пациенток с гематологическими заболеваниями</w:t>
      </w:r>
      <w:r>
        <w:rPr>
          <w:szCs w:val="24"/>
        </w:rPr>
        <w:t xml:space="preserve"> </w:t>
      </w:r>
      <w:r>
        <w:rPr>
          <w:szCs w:val="24"/>
        </w:rPr>
        <w:fldChar w:fldCharType="begin" w:fldLock="1"/>
      </w:r>
      <w:r w:rsidR="008074B4">
        <w:rPr>
          <w:szCs w:val="24"/>
        </w:rPr>
        <w:instrText>ADDIN CSL_CITATION {"citationItems":[{"id":"ITEM-1","itemData":{"author":[{"dropping-particle":"","family":"Чернуха","given":"Г.Е.","non-dropping-particle":"","parse-names":false,"suffix":""}],"container-title":"Гинекология: национальное руководство. Краткое издание. Под ред. Г.М. Савельевой. Г.Т. Сухих, В.Н. Серова, В.Е. Радзинского, И.Б. Манухина.","id":"ITEM-1","issued":{"date-parts":[["2020"]]},"page":"170-175","publisher":"М.: ГЭОТАР-Медиа","title":"Аномальные маточные кровотечения репродуктивного периода","type":"chapter"},"uris":["http://www.mendeley.com/documents/?uuid=2ef54431-bdc8-4c42-878d-b428dfa8ea1f"]}],"mendeley":{"formattedCitation":"[144]","plainTextFormattedCitation":"[144]","previouslyFormattedCitation":"[144]"},"properties":{"noteIndex":0},"schema":"https://github.com/citation-style-language/schema/raw/master/csl-citation.json"}</w:instrText>
      </w:r>
      <w:r>
        <w:rPr>
          <w:szCs w:val="24"/>
        </w:rPr>
        <w:fldChar w:fldCharType="separate"/>
      </w:r>
      <w:r w:rsidR="002F1F20" w:rsidRPr="002F1F20">
        <w:rPr>
          <w:noProof/>
          <w:szCs w:val="24"/>
        </w:rPr>
        <w:t>[144]</w:t>
      </w:r>
      <w:r>
        <w:rPr>
          <w:szCs w:val="24"/>
        </w:rPr>
        <w:fldChar w:fldCharType="end"/>
      </w:r>
      <w:r w:rsidRPr="00611EC1">
        <w:rPr>
          <w:szCs w:val="24"/>
        </w:rPr>
        <w:t>:</w:t>
      </w:r>
    </w:p>
    <w:p w14:paraId="32E491D9" w14:textId="77777777" w:rsidR="0048207C" w:rsidRPr="00611EC1" w:rsidRDefault="0048207C" w:rsidP="0091350E">
      <w:pPr>
        <w:pStyle w:val="aff"/>
        <w:numPr>
          <w:ilvl w:val="0"/>
          <w:numId w:val="67"/>
        </w:numPr>
        <w:contextualSpacing/>
        <w:rPr>
          <w:szCs w:val="24"/>
        </w:rPr>
      </w:pPr>
      <w:r w:rsidRPr="00611EC1">
        <w:rPr>
          <w:szCs w:val="24"/>
        </w:rPr>
        <w:t>Экстрагенитальная патология: врожденные или приобретенные нарушения гемостаза, тромбоцитопении.</w:t>
      </w:r>
    </w:p>
    <w:p w14:paraId="05BBF6C5" w14:textId="77777777" w:rsidR="0048207C" w:rsidRPr="00611EC1" w:rsidRDefault="0048207C" w:rsidP="0091350E">
      <w:pPr>
        <w:pStyle w:val="aff"/>
        <w:numPr>
          <w:ilvl w:val="0"/>
          <w:numId w:val="67"/>
        </w:numPr>
        <w:contextualSpacing/>
        <w:rPr>
          <w:szCs w:val="24"/>
          <w:shd w:val="clear" w:color="auto" w:fill="FFFFFF"/>
        </w:rPr>
      </w:pPr>
      <w:r w:rsidRPr="00611EC1">
        <w:rPr>
          <w:szCs w:val="24"/>
        </w:rPr>
        <w:t>АМК в период диагностики и лечения основного гематологического заболевания (в том числе, при лейкозах и лимфомах, обусловленные тромбоцитопенией и коакулологическими нарушениями), а так же  после самопроизвольных родов или оперативного родоразрешения на фоне гематологического заболевания (в том числе, при лейкозах и лимфомах).</w:t>
      </w:r>
      <w:r w:rsidRPr="00611EC1">
        <w:rPr>
          <w:szCs w:val="24"/>
          <w:shd w:val="clear" w:color="auto" w:fill="FFFFFF"/>
        </w:rPr>
        <w:t xml:space="preserve"> </w:t>
      </w:r>
    </w:p>
    <w:p w14:paraId="16F69B3E" w14:textId="77777777" w:rsidR="0048207C" w:rsidRPr="00611EC1" w:rsidRDefault="0048207C" w:rsidP="0091350E">
      <w:pPr>
        <w:pStyle w:val="aff"/>
        <w:numPr>
          <w:ilvl w:val="0"/>
          <w:numId w:val="67"/>
        </w:numPr>
        <w:contextualSpacing/>
        <w:rPr>
          <w:color w:val="000000"/>
          <w:szCs w:val="24"/>
          <w:shd w:val="clear" w:color="auto" w:fill="FFFFFF"/>
        </w:rPr>
      </w:pPr>
      <w:r w:rsidRPr="00611EC1">
        <w:rPr>
          <w:color w:val="000000"/>
          <w:szCs w:val="24"/>
          <w:shd w:val="clear" w:color="auto" w:fill="FFFFFF"/>
        </w:rPr>
        <w:t>Органическая гинекологическая патология: полип, лейомиома, гиперплазия эндометрия, злокачественные образования, патология яичников, шейки матки (на фоне основного гематологического заболевания).</w:t>
      </w:r>
    </w:p>
    <w:p w14:paraId="0DAE4B6E" w14:textId="77777777" w:rsidR="0048207C" w:rsidRDefault="0048207C" w:rsidP="0048207C">
      <w:pPr>
        <w:rPr>
          <w:b/>
          <w:szCs w:val="24"/>
        </w:rPr>
      </w:pPr>
    </w:p>
    <w:p w14:paraId="72906D63" w14:textId="77777777" w:rsidR="0048207C" w:rsidRPr="00611EC1" w:rsidRDefault="0048207C" w:rsidP="0048207C">
      <w:pPr>
        <w:rPr>
          <w:color w:val="000000"/>
          <w:szCs w:val="24"/>
          <w:shd w:val="clear" w:color="auto" w:fill="FFFFFF"/>
        </w:rPr>
      </w:pPr>
      <w:r w:rsidRPr="00611EC1">
        <w:rPr>
          <w:b/>
          <w:szCs w:val="24"/>
        </w:rPr>
        <w:t xml:space="preserve">Диагностика </w:t>
      </w:r>
      <w:r w:rsidRPr="00611EC1">
        <w:rPr>
          <w:b/>
          <w:color w:val="000000"/>
          <w:szCs w:val="24"/>
          <w:shd w:val="clear" w:color="auto" w:fill="FFFFFF"/>
        </w:rPr>
        <w:t>маточных кровотечений</w:t>
      </w:r>
      <w:r w:rsidRPr="00611EC1">
        <w:rPr>
          <w:b/>
          <w:szCs w:val="24"/>
        </w:rPr>
        <w:t>.</w:t>
      </w:r>
    </w:p>
    <w:p w14:paraId="29C1522C" w14:textId="33BFA211" w:rsidR="0048207C" w:rsidRPr="00611EC1" w:rsidRDefault="0048207C" w:rsidP="0048207C">
      <w:pPr>
        <w:ind w:firstLine="709"/>
        <w:rPr>
          <w:color w:val="000000"/>
          <w:szCs w:val="24"/>
          <w:shd w:val="clear" w:color="auto" w:fill="FFFFFF"/>
        </w:rPr>
      </w:pPr>
      <w:r w:rsidRPr="00611EC1">
        <w:rPr>
          <w:color w:val="1E1E1E"/>
          <w:spacing w:val="2"/>
          <w:szCs w:val="24"/>
        </w:rPr>
        <w:t xml:space="preserve">АМК проявляются обильными, длительными (более 7 дней), иногда болезненными </w:t>
      </w:r>
      <w:r w:rsidRPr="00611EC1">
        <w:rPr>
          <w:spacing w:val="2"/>
          <w:szCs w:val="24"/>
        </w:rPr>
        <w:t>кровянистыми</w:t>
      </w:r>
      <w:r w:rsidRPr="00611EC1">
        <w:rPr>
          <w:color w:val="FF0000"/>
          <w:spacing w:val="2"/>
          <w:szCs w:val="24"/>
        </w:rPr>
        <w:t xml:space="preserve"> </w:t>
      </w:r>
      <w:r w:rsidRPr="00611EC1">
        <w:rPr>
          <w:color w:val="1E1E1E"/>
          <w:spacing w:val="2"/>
          <w:szCs w:val="24"/>
        </w:rPr>
        <w:t>выделениями из половых путей</w:t>
      </w:r>
      <w:r w:rsidRPr="00320220">
        <w:rPr>
          <w:color w:val="1E1E1E"/>
          <w:spacing w:val="2"/>
          <w:szCs w:val="24"/>
        </w:rPr>
        <w:t xml:space="preserve"> </w:t>
      </w:r>
      <w:r>
        <w:rPr>
          <w:color w:val="1E1E1E"/>
          <w:spacing w:val="2"/>
          <w:szCs w:val="24"/>
        </w:rPr>
        <w:fldChar w:fldCharType="begin" w:fldLock="1"/>
      </w:r>
      <w:r w:rsidR="008074B4">
        <w:rPr>
          <w:color w:val="1E1E1E"/>
          <w:spacing w:val="2"/>
          <w:szCs w:val="24"/>
        </w:rPr>
        <w:instrText>ADDIN CSL_CITATION {"citationItems":[{"id":"ITEM-1","itemData":{"author":[{"dropping-particle":"","family":"Доброхотова","given":"Ю.Э.","non-dropping-particle":"","parse-names":false,"suffix":""},{"dropping-particle":"","family":"Сапрыкина","given":"Л.В.","non-dropping-particle":"","parse-names":false,"suffix":""},{"dropping-particle":"","family":"Филатова","given":"Л.А.","non-dropping-particle":"","parse-names":false,"suffix":""},{"dropping-particle":"","family":"Нариманова","given":"М.Р.","non-dropping-particle":"","parse-names":false,"suffix":""}],"container-title":"РМЖ. Мать и дитя","id":"ITEM-1","issue":"1","issued":{"date-parts":[["2020"]]},"page":"55-60","title":"Аномальные маточные кровотечения: алгоритмы ведения, методы терапии","type":"article-journal","volume":"3"},"uris":["http://www.mendeley.com/documents/?uuid=a12a992c-5fc5-4324-a2fd-7b01c09f94e9"]},{"id":"ITEM-2","itemData":{"author":[{"dropping-particle":"","family":"Чернуха","given":"Г.Е.","non-dropping-particle":"","parse-names":false,"suffix":""}],"container-title":"Гинекология: национальное руководство. Краткое издание. Под ред. Г.М. Савельевой. Г.Т. Сухих, В.Н. Серова, В.Е. Радзинского, И.Б. Манухина.","id":"ITEM-2","issued":{"date-parts":[["2020"]]},"page":"170-175","publisher":"М.: ГЭОТАР-Медиа","title":"Аномальные маточные кровотечения репродуктивного периода","type":"chapter"},"uris":["http://www.mendeley.com/documents/?uuid=2ef54431-bdc8-4c42-878d-b428dfa8ea1f"]}],"mendeley":{"formattedCitation":"[144,145]","plainTextFormattedCitation":"[144,145]","previouslyFormattedCitation":"[144,145]"},"properties":{"noteIndex":0},"schema":"https://github.com/citation-style-language/schema/raw/master/csl-citation.json"}</w:instrText>
      </w:r>
      <w:r>
        <w:rPr>
          <w:color w:val="1E1E1E"/>
          <w:spacing w:val="2"/>
          <w:szCs w:val="24"/>
        </w:rPr>
        <w:fldChar w:fldCharType="separate"/>
      </w:r>
      <w:r w:rsidR="002F1F20" w:rsidRPr="002F1F20">
        <w:rPr>
          <w:noProof/>
          <w:color w:val="1E1E1E"/>
          <w:spacing w:val="2"/>
          <w:szCs w:val="24"/>
        </w:rPr>
        <w:t>[144,145]</w:t>
      </w:r>
      <w:r>
        <w:rPr>
          <w:color w:val="1E1E1E"/>
          <w:spacing w:val="2"/>
          <w:szCs w:val="24"/>
        </w:rPr>
        <w:fldChar w:fldCharType="end"/>
      </w:r>
      <w:r w:rsidRPr="00611EC1">
        <w:rPr>
          <w:color w:val="1E1E1E"/>
          <w:spacing w:val="2"/>
          <w:szCs w:val="24"/>
        </w:rPr>
        <w:t>.</w:t>
      </w:r>
      <w:r w:rsidRPr="00611EC1">
        <w:rPr>
          <w:szCs w:val="24"/>
        </w:rPr>
        <w:t xml:space="preserve"> </w:t>
      </w:r>
    </w:p>
    <w:p w14:paraId="787A2857" w14:textId="77777777" w:rsidR="0048207C" w:rsidRDefault="0048207C" w:rsidP="0048207C">
      <w:pPr>
        <w:shd w:val="clear" w:color="auto" w:fill="FFFFFF"/>
        <w:rPr>
          <w:rFonts w:eastAsia="Times New Roman"/>
          <w:b/>
          <w:bCs/>
          <w:color w:val="333333"/>
          <w:szCs w:val="24"/>
          <w:lang w:eastAsia="ru-RU"/>
        </w:rPr>
      </w:pPr>
    </w:p>
    <w:p w14:paraId="016A80F4" w14:textId="77777777" w:rsidR="0048207C" w:rsidRPr="00611EC1" w:rsidRDefault="0048207C" w:rsidP="0048207C">
      <w:pPr>
        <w:shd w:val="clear" w:color="auto" w:fill="FFFFFF"/>
        <w:rPr>
          <w:rFonts w:eastAsia="Times New Roman"/>
          <w:i/>
          <w:color w:val="333333"/>
          <w:szCs w:val="24"/>
          <w:u w:val="single"/>
          <w:lang w:eastAsia="ru-RU"/>
        </w:rPr>
      </w:pPr>
      <w:r w:rsidRPr="00611EC1">
        <w:rPr>
          <w:rFonts w:eastAsia="Times New Roman"/>
          <w:bCs/>
          <w:i/>
          <w:color w:val="333333"/>
          <w:szCs w:val="24"/>
          <w:u w:val="single"/>
          <w:lang w:eastAsia="ru-RU"/>
        </w:rPr>
        <w:t xml:space="preserve">Обязательные методы </w:t>
      </w:r>
      <w:r w:rsidRPr="00611EC1">
        <w:rPr>
          <w:rFonts w:eastAsia="Times New Roman"/>
          <w:bCs/>
          <w:i/>
          <w:szCs w:val="24"/>
          <w:u w:val="single"/>
          <w:lang w:eastAsia="ru-RU"/>
        </w:rPr>
        <w:t>первичного</w:t>
      </w:r>
      <w:r w:rsidRPr="00611EC1">
        <w:rPr>
          <w:rFonts w:eastAsia="Times New Roman"/>
          <w:bCs/>
          <w:i/>
          <w:color w:val="FF0000"/>
          <w:szCs w:val="24"/>
          <w:u w:val="single"/>
          <w:lang w:eastAsia="ru-RU"/>
        </w:rPr>
        <w:t xml:space="preserve"> </w:t>
      </w:r>
      <w:r w:rsidRPr="00611EC1">
        <w:rPr>
          <w:rFonts w:eastAsia="Times New Roman"/>
          <w:bCs/>
          <w:i/>
          <w:color w:val="333333"/>
          <w:szCs w:val="24"/>
          <w:u w:val="single"/>
          <w:lang w:eastAsia="ru-RU"/>
        </w:rPr>
        <w:t>обследования при АМК:</w:t>
      </w:r>
    </w:p>
    <w:p w14:paraId="6DE1C11E" w14:textId="77777777" w:rsidR="0048207C" w:rsidRPr="00611EC1" w:rsidRDefault="0048207C" w:rsidP="0091350E">
      <w:pPr>
        <w:pStyle w:val="aff"/>
        <w:numPr>
          <w:ilvl w:val="0"/>
          <w:numId w:val="60"/>
        </w:numPr>
        <w:ind w:firstLine="709"/>
        <w:contextualSpacing/>
        <w:rPr>
          <w:spacing w:val="2"/>
          <w:szCs w:val="24"/>
        </w:rPr>
      </w:pPr>
      <w:r w:rsidRPr="00611EC1">
        <w:rPr>
          <w:color w:val="1E1E1E"/>
          <w:spacing w:val="2"/>
          <w:szCs w:val="24"/>
        </w:rPr>
        <w:t xml:space="preserve">Клинико-анамнестическое обследование (жалобы, анамнез, </w:t>
      </w:r>
      <w:r w:rsidRPr="00611EC1">
        <w:rPr>
          <w:szCs w:val="24"/>
        </w:rPr>
        <w:t>прием (осмотр, консультация) врача-акушера-гинеколога первичный, повторный).</w:t>
      </w:r>
      <w:r w:rsidRPr="00611EC1">
        <w:rPr>
          <w:spacing w:val="2"/>
          <w:szCs w:val="24"/>
        </w:rPr>
        <w:t xml:space="preserve"> </w:t>
      </w:r>
    </w:p>
    <w:p w14:paraId="08BA89C0" w14:textId="77777777" w:rsidR="0048207C" w:rsidRPr="00611EC1" w:rsidRDefault="0048207C" w:rsidP="0091350E">
      <w:pPr>
        <w:pStyle w:val="aff"/>
        <w:numPr>
          <w:ilvl w:val="0"/>
          <w:numId w:val="60"/>
        </w:numPr>
        <w:ind w:firstLine="709"/>
        <w:contextualSpacing/>
        <w:rPr>
          <w:color w:val="000000"/>
          <w:szCs w:val="24"/>
          <w:shd w:val="clear" w:color="auto" w:fill="FFFFFF"/>
        </w:rPr>
      </w:pPr>
      <w:r w:rsidRPr="00611EC1">
        <w:rPr>
          <w:color w:val="1E1E1E"/>
          <w:spacing w:val="2"/>
          <w:szCs w:val="24"/>
        </w:rPr>
        <w:t xml:space="preserve">Лабораторная диагностика: </w:t>
      </w:r>
    </w:p>
    <w:p w14:paraId="77432E57" w14:textId="77777777" w:rsidR="0048207C" w:rsidRPr="00611EC1" w:rsidRDefault="0048207C" w:rsidP="0091350E">
      <w:pPr>
        <w:pStyle w:val="aff"/>
        <w:numPr>
          <w:ilvl w:val="0"/>
          <w:numId w:val="63"/>
        </w:numPr>
        <w:ind w:firstLine="709"/>
        <w:contextualSpacing/>
        <w:rPr>
          <w:color w:val="000000"/>
          <w:szCs w:val="24"/>
          <w:shd w:val="clear" w:color="auto" w:fill="FFFFFF"/>
        </w:rPr>
      </w:pPr>
      <w:r w:rsidRPr="00611EC1">
        <w:rPr>
          <w:color w:val="1E1E1E"/>
          <w:spacing w:val="2"/>
          <w:szCs w:val="24"/>
        </w:rPr>
        <w:t>клинический анализ крови (гемоглобин, тромбоциты</w:t>
      </w:r>
      <w:r w:rsidRPr="00611EC1">
        <w:rPr>
          <w:color w:val="FF0000"/>
          <w:spacing w:val="2"/>
          <w:szCs w:val="24"/>
        </w:rPr>
        <w:t xml:space="preserve">, </w:t>
      </w:r>
      <w:r w:rsidRPr="00611EC1">
        <w:rPr>
          <w:spacing w:val="2"/>
          <w:szCs w:val="24"/>
        </w:rPr>
        <w:t xml:space="preserve">в том числе и с подсчетом в мазке крови по Фонио,  </w:t>
      </w:r>
      <w:r w:rsidRPr="00611EC1">
        <w:rPr>
          <w:color w:val="1E1E1E"/>
          <w:spacing w:val="2"/>
          <w:szCs w:val="24"/>
        </w:rPr>
        <w:t xml:space="preserve">лейкоциты с  лейкоцитарной формулой, СОЭ) </w:t>
      </w:r>
    </w:p>
    <w:p w14:paraId="6755A428" w14:textId="77777777" w:rsidR="0048207C" w:rsidRPr="00611EC1" w:rsidRDefault="0048207C" w:rsidP="0091350E">
      <w:pPr>
        <w:pStyle w:val="aff"/>
        <w:numPr>
          <w:ilvl w:val="0"/>
          <w:numId w:val="63"/>
        </w:numPr>
        <w:ind w:firstLine="709"/>
        <w:contextualSpacing/>
        <w:rPr>
          <w:szCs w:val="24"/>
          <w:shd w:val="clear" w:color="auto" w:fill="FFFFFF"/>
        </w:rPr>
      </w:pPr>
      <w:r w:rsidRPr="00611EC1">
        <w:rPr>
          <w:spacing w:val="2"/>
          <w:szCs w:val="24"/>
        </w:rPr>
        <w:t>биохимический анализ крови (общий белок, мочевая кислота, билирубин общий, мочевина, креатинин, калий, натрий, кальций, АСТ, АЛТ, ЛДГ, железо сыворотки, глюкоза крови)</w:t>
      </w:r>
    </w:p>
    <w:p w14:paraId="5B8789BE" w14:textId="77777777" w:rsidR="0048207C" w:rsidRPr="00611EC1" w:rsidRDefault="0048207C" w:rsidP="0091350E">
      <w:pPr>
        <w:pStyle w:val="aff"/>
        <w:numPr>
          <w:ilvl w:val="0"/>
          <w:numId w:val="63"/>
        </w:numPr>
        <w:ind w:firstLine="709"/>
        <w:contextualSpacing/>
        <w:rPr>
          <w:szCs w:val="24"/>
          <w:shd w:val="clear" w:color="auto" w:fill="FFFFFF"/>
        </w:rPr>
      </w:pPr>
      <w:r w:rsidRPr="00611EC1">
        <w:rPr>
          <w:spacing w:val="2"/>
          <w:szCs w:val="24"/>
        </w:rPr>
        <w:t>развернутая коагулограмма (АЧТВ, протромбиновый индекс, концентрация фибриногена, X</w:t>
      </w:r>
      <w:r w:rsidRPr="00611EC1">
        <w:rPr>
          <w:spacing w:val="2"/>
          <w:szCs w:val="24"/>
          <w:lang w:val="en-US"/>
        </w:rPr>
        <w:t>IIa</w:t>
      </w:r>
      <w:r w:rsidRPr="00611EC1">
        <w:rPr>
          <w:spacing w:val="2"/>
          <w:szCs w:val="24"/>
        </w:rPr>
        <w:t xml:space="preserve"> зависимый фибринолиз, Фактор </w:t>
      </w:r>
      <w:r w:rsidRPr="00611EC1">
        <w:rPr>
          <w:spacing w:val="2"/>
          <w:szCs w:val="24"/>
          <w:lang w:val="en-US"/>
        </w:rPr>
        <w:t>VIII</w:t>
      </w:r>
      <w:r w:rsidRPr="00611EC1">
        <w:rPr>
          <w:spacing w:val="2"/>
          <w:szCs w:val="24"/>
        </w:rPr>
        <w:t>, Фактор Виллебранда, агрегация тромбоцитов с ристомицином).</w:t>
      </w:r>
    </w:p>
    <w:p w14:paraId="79BC177C" w14:textId="77777777" w:rsidR="0048207C" w:rsidRPr="00611EC1" w:rsidRDefault="0048207C" w:rsidP="0091350E">
      <w:pPr>
        <w:pStyle w:val="aff"/>
        <w:numPr>
          <w:ilvl w:val="0"/>
          <w:numId w:val="63"/>
        </w:numPr>
        <w:ind w:firstLine="709"/>
        <w:contextualSpacing/>
        <w:rPr>
          <w:color w:val="000000"/>
          <w:szCs w:val="24"/>
          <w:shd w:val="clear" w:color="auto" w:fill="FFFFFF"/>
        </w:rPr>
      </w:pPr>
      <w:r w:rsidRPr="00611EC1">
        <w:rPr>
          <w:color w:val="1E1E1E"/>
          <w:spacing w:val="2"/>
          <w:szCs w:val="24"/>
        </w:rPr>
        <w:t>тромбоэластограмма (при наличии возможности);</w:t>
      </w:r>
    </w:p>
    <w:p w14:paraId="3FDDEB9B" w14:textId="77777777" w:rsidR="0048207C" w:rsidRPr="00611EC1" w:rsidRDefault="0048207C" w:rsidP="0091350E">
      <w:pPr>
        <w:pStyle w:val="aff"/>
        <w:numPr>
          <w:ilvl w:val="0"/>
          <w:numId w:val="60"/>
        </w:numPr>
        <w:ind w:firstLine="709"/>
        <w:contextualSpacing/>
        <w:rPr>
          <w:szCs w:val="24"/>
        </w:rPr>
      </w:pPr>
      <w:r w:rsidRPr="00611EC1">
        <w:rPr>
          <w:color w:val="1E1E1E"/>
          <w:spacing w:val="2"/>
          <w:szCs w:val="24"/>
        </w:rPr>
        <w:t>Инструменальная диагностика:</w:t>
      </w:r>
    </w:p>
    <w:p w14:paraId="3FA46104" w14:textId="77777777" w:rsidR="0048207C" w:rsidRPr="00611EC1" w:rsidRDefault="0048207C" w:rsidP="0091350E">
      <w:pPr>
        <w:pStyle w:val="aff"/>
        <w:numPr>
          <w:ilvl w:val="0"/>
          <w:numId w:val="64"/>
        </w:numPr>
        <w:ind w:firstLine="709"/>
        <w:contextualSpacing/>
        <w:rPr>
          <w:szCs w:val="24"/>
        </w:rPr>
      </w:pPr>
      <w:r w:rsidRPr="00611EC1">
        <w:rPr>
          <w:color w:val="1E1E1E"/>
          <w:spacing w:val="2"/>
          <w:szCs w:val="24"/>
        </w:rPr>
        <w:t xml:space="preserve">Трансвагинальное </w:t>
      </w:r>
      <w:r w:rsidRPr="00611EC1">
        <w:rPr>
          <w:szCs w:val="24"/>
          <w:shd w:val="clear" w:color="auto" w:fill="FFFFFF"/>
        </w:rPr>
        <w:t>ультразвуковое исследование (ТВ</w:t>
      </w:r>
      <w:r w:rsidRPr="00611EC1">
        <w:rPr>
          <w:spacing w:val="2"/>
          <w:szCs w:val="24"/>
        </w:rPr>
        <w:t>УЗИ</w:t>
      </w:r>
      <w:r w:rsidRPr="00611EC1">
        <w:rPr>
          <w:color w:val="1E1E1E"/>
          <w:spacing w:val="2"/>
          <w:szCs w:val="24"/>
        </w:rPr>
        <w:t xml:space="preserve">) </w:t>
      </w:r>
    </w:p>
    <w:p w14:paraId="202AA9C7" w14:textId="77777777" w:rsidR="0048207C" w:rsidRDefault="0048207C" w:rsidP="0048207C">
      <w:pPr>
        <w:ind w:firstLine="709"/>
        <w:rPr>
          <w:b/>
          <w:color w:val="1E1E1E"/>
          <w:spacing w:val="2"/>
          <w:szCs w:val="24"/>
        </w:rPr>
      </w:pPr>
    </w:p>
    <w:p w14:paraId="1FBFEA2C" w14:textId="3BFD21BA" w:rsidR="0048207C" w:rsidRPr="00611EC1" w:rsidRDefault="0048207C" w:rsidP="0048207C">
      <w:pPr>
        <w:ind w:firstLine="709"/>
        <w:rPr>
          <w:color w:val="FF0000"/>
          <w:spacing w:val="2"/>
          <w:szCs w:val="24"/>
        </w:rPr>
      </w:pPr>
      <w:r w:rsidRPr="00611EC1">
        <w:rPr>
          <w:i/>
          <w:color w:val="1E1E1E"/>
          <w:spacing w:val="2"/>
          <w:szCs w:val="24"/>
          <w:u w:val="single"/>
        </w:rPr>
        <w:t>Дополнительные методы обследования</w:t>
      </w:r>
      <w:r w:rsidRPr="00611EC1">
        <w:rPr>
          <w:b/>
          <w:color w:val="1E1E1E"/>
          <w:spacing w:val="2"/>
          <w:szCs w:val="24"/>
        </w:rPr>
        <w:t xml:space="preserve"> </w:t>
      </w:r>
      <w:r w:rsidRPr="00611EC1">
        <w:rPr>
          <w:color w:val="1E1E1E"/>
          <w:spacing w:val="2"/>
          <w:szCs w:val="24"/>
        </w:rPr>
        <w:t>проводятся при необходимости (по клиническим показаниям)</w:t>
      </w:r>
      <w:r>
        <w:rPr>
          <w:color w:val="1E1E1E"/>
          <w:spacing w:val="2"/>
          <w:szCs w:val="24"/>
        </w:rPr>
        <w:t xml:space="preserve"> </w:t>
      </w:r>
      <w:r>
        <w:rPr>
          <w:color w:val="1E1E1E"/>
          <w:spacing w:val="2"/>
          <w:szCs w:val="24"/>
        </w:rPr>
        <w:fldChar w:fldCharType="begin" w:fldLock="1"/>
      </w:r>
      <w:r w:rsidR="008074B4">
        <w:rPr>
          <w:color w:val="1E1E1E"/>
          <w:spacing w:val="2"/>
          <w:szCs w:val="24"/>
        </w:rPr>
        <w:instrText>ADDIN CSL_CITATION {"citationItems":[{"id":"ITEM-1","itemData":{"author":[{"dropping-particle":"","family":"Доброхотова","given":"Ю.Э.","non-dropping-particle":"","parse-names":false,"suffix":""},{"dropping-particle":"","family":"Сапрыкина","given":"Л.В.","non-dropping-particle":"","parse-names":false,"suffix":""},{"dropping-particle":"","family":"Филатова","given":"Л.А.","non-dropping-particle":"","parse-names":false,"suffix":""},{"dropping-particle":"","family":"Нариманова","given":"М.Р.","non-dropping-particle":"","parse-names":false,"suffix":""}],"container-title":"РМЖ. Мать и дитя","id":"ITEM-1","issue":"1","issued":{"date-parts":[["2020"]]},"page":"55-60","title":"Аномальные маточные кровотечения: алгоритмы ведения, методы терапии","type":"article-journal","volume":"3"},"uris":["http://www.mendeley.com/documents/?uuid=a12a992c-5fc5-4324-a2fd-7b01c09f94e9"]},{"id":"ITEM-2","itemData":{"author":[{"dropping-particle":"","family":"Чернуха","given":"Г.Е.","non-dropping-particle":"","parse-names":false,"suffix":""}],"container-title":"Гинекология: национальное руководство. Краткое издание. Под ред. Г.М. Савельевой. Г.Т. Сухих, В.Н. Серова, В.Е. Радзинского, И.Б. Манухина.","id":"ITEM-2","issued":{"date-parts":[["2020"]]},"page":"170-175","publisher":"М.: ГЭОТАР-Медиа","title":"Аномальные маточные кровотечения репродуктивного периода","type":"chapter"},"uris":["http://www.mendeley.com/documents/?uuid=2ef54431-bdc8-4c42-878d-b428dfa8ea1f"]}],"mendeley":{"formattedCitation":"[144,145]","plainTextFormattedCitation":"[144,145]","previouslyFormattedCitation":"[144,145]"},"properties":{"noteIndex":0},"schema":"https://github.com/citation-style-language/schema/raw/master/csl-citation.json"}</w:instrText>
      </w:r>
      <w:r>
        <w:rPr>
          <w:color w:val="1E1E1E"/>
          <w:spacing w:val="2"/>
          <w:szCs w:val="24"/>
        </w:rPr>
        <w:fldChar w:fldCharType="separate"/>
      </w:r>
      <w:r w:rsidR="002F1F20" w:rsidRPr="002F1F20">
        <w:rPr>
          <w:noProof/>
          <w:color w:val="1E1E1E"/>
          <w:spacing w:val="2"/>
          <w:szCs w:val="24"/>
        </w:rPr>
        <w:t>[144,145]</w:t>
      </w:r>
      <w:r>
        <w:rPr>
          <w:color w:val="1E1E1E"/>
          <w:spacing w:val="2"/>
          <w:szCs w:val="24"/>
        </w:rPr>
        <w:fldChar w:fldCharType="end"/>
      </w:r>
      <w:r w:rsidRPr="00611EC1">
        <w:rPr>
          <w:color w:val="1E1E1E"/>
          <w:spacing w:val="2"/>
          <w:szCs w:val="24"/>
        </w:rPr>
        <w:t xml:space="preserve">: </w:t>
      </w:r>
    </w:p>
    <w:p w14:paraId="20875A46" w14:textId="77777777" w:rsidR="0048207C" w:rsidRPr="00611EC1" w:rsidRDefault="0048207C" w:rsidP="0091350E">
      <w:pPr>
        <w:pStyle w:val="aff"/>
        <w:numPr>
          <w:ilvl w:val="0"/>
          <w:numId w:val="66"/>
        </w:numPr>
        <w:ind w:firstLine="709"/>
        <w:contextualSpacing/>
        <w:rPr>
          <w:color w:val="1E1E1E"/>
          <w:spacing w:val="2"/>
          <w:szCs w:val="24"/>
        </w:rPr>
      </w:pPr>
      <w:r w:rsidRPr="00611EC1">
        <w:rPr>
          <w:color w:val="1E1E1E"/>
          <w:spacing w:val="2"/>
          <w:szCs w:val="24"/>
        </w:rPr>
        <w:t>МРТ органов малого таза.</w:t>
      </w:r>
    </w:p>
    <w:p w14:paraId="039F036E" w14:textId="77777777" w:rsidR="0048207C" w:rsidRPr="00611EC1" w:rsidRDefault="0048207C" w:rsidP="0091350E">
      <w:pPr>
        <w:pStyle w:val="aff"/>
        <w:numPr>
          <w:ilvl w:val="0"/>
          <w:numId w:val="66"/>
        </w:numPr>
        <w:ind w:firstLine="709"/>
        <w:contextualSpacing/>
        <w:rPr>
          <w:color w:val="1E1E1E"/>
          <w:spacing w:val="2"/>
          <w:szCs w:val="24"/>
        </w:rPr>
      </w:pPr>
      <w:r w:rsidRPr="00611EC1">
        <w:rPr>
          <w:color w:val="1E1E1E"/>
          <w:spacing w:val="2"/>
          <w:szCs w:val="24"/>
        </w:rPr>
        <w:t xml:space="preserve">Определение онкомаркеров в сыворотке крови (при подозрении на </w:t>
      </w:r>
      <w:r w:rsidRPr="00611EC1">
        <w:rPr>
          <w:color w:val="000000"/>
          <w:szCs w:val="24"/>
          <w:shd w:val="clear" w:color="auto" w:fill="FFFFFF"/>
        </w:rPr>
        <w:t>злокачественные образования матки, яичников):</w:t>
      </w:r>
    </w:p>
    <w:p w14:paraId="065337D4" w14:textId="77777777" w:rsidR="0048207C" w:rsidRPr="00611EC1" w:rsidRDefault="0048207C" w:rsidP="0091350E">
      <w:pPr>
        <w:pStyle w:val="aff"/>
        <w:numPr>
          <w:ilvl w:val="0"/>
          <w:numId w:val="64"/>
        </w:numPr>
        <w:ind w:firstLine="709"/>
        <w:contextualSpacing/>
        <w:rPr>
          <w:spacing w:val="2"/>
          <w:szCs w:val="24"/>
        </w:rPr>
      </w:pPr>
      <w:r w:rsidRPr="00611EC1">
        <w:rPr>
          <w:spacing w:val="2"/>
          <w:szCs w:val="24"/>
        </w:rPr>
        <w:t>РЭА раково-эмбриональный антиген-рак матки, рак яичников.</w:t>
      </w:r>
    </w:p>
    <w:p w14:paraId="41918194" w14:textId="77777777" w:rsidR="0048207C" w:rsidRPr="00611EC1" w:rsidRDefault="0048207C" w:rsidP="0091350E">
      <w:pPr>
        <w:pStyle w:val="aff"/>
        <w:numPr>
          <w:ilvl w:val="0"/>
          <w:numId w:val="64"/>
        </w:numPr>
        <w:ind w:firstLine="709"/>
        <w:contextualSpacing/>
        <w:rPr>
          <w:spacing w:val="2"/>
          <w:szCs w:val="24"/>
        </w:rPr>
      </w:pPr>
      <w:r w:rsidRPr="00611EC1">
        <w:rPr>
          <w:spacing w:val="2"/>
          <w:szCs w:val="24"/>
        </w:rPr>
        <w:t>СА-125-рак яичников, рак матки,молочной железы.</w:t>
      </w:r>
    </w:p>
    <w:p w14:paraId="0624E223" w14:textId="77777777" w:rsidR="0048207C" w:rsidRPr="00611EC1" w:rsidRDefault="0048207C" w:rsidP="0091350E">
      <w:pPr>
        <w:pStyle w:val="aff"/>
        <w:numPr>
          <w:ilvl w:val="0"/>
          <w:numId w:val="64"/>
        </w:numPr>
        <w:ind w:firstLine="709"/>
        <w:contextualSpacing/>
        <w:rPr>
          <w:spacing w:val="2"/>
          <w:szCs w:val="24"/>
        </w:rPr>
      </w:pPr>
      <w:r w:rsidRPr="00611EC1">
        <w:rPr>
          <w:spacing w:val="2"/>
          <w:szCs w:val="24"/>
        </w:rPr>
        <w:t>СА15-3- рак молочной железы.</w:t>
      </w:r>
    </w:p>
    <w:p w14:paraId="5004043F" w14:textId="77777777" w:rsidR="0048207C" w:rsidRPr="00611EC1" w:rsidRDefault="0048207C" w:rsidP="0091350E">
      <w:pPr>
        <w:pStyle w:val="aff"/>
        <w:numPr>
          <w:ilvl w:val="0"/>
          <w:numId w:val="64"/>
        </w:numPr>
        <w:ind w:firstLine="709"/>
        <w:contextualSpacing/>
        <w:rPr>
          <w:spacing w:val="2"/>
          <w:szCs w:val="24"/>
        </w:rPr>
      </w:pPr>
      <w:r w:rsidRPr="00611EC1">
        <w:rPr>
          <w:spacing w:val="2"/>
          <w:szCs w:val="24"/>
        </w:rPr>
        <w:t>ХГЧ-хорионкарцинома яичника.</w:t>
      </w:r>
    </w:p>
    <w:p w14:paraId="4523D32E" w14:textId="77777777" w:rsidR="0048207C" w:rsidRPr="00611EC1" w:rsidRDefault="0048207C" w:rsidP="0091350E">
      <w:pPr>
        <w:pStyle w:val="aff"/>
        <w:numPr>
          <w:ilvl w:val="0"/>
          <w:numId w:val="64"/>
        </w:numPr>
        <w:ind w:firstLine="709"/>
        <w:contextualSpacing/>
        <w:rPr>
          <w:spacing w:val="2"/>
          <w:szCs w:val="24"/>
        </w:rPr>
      </w:pPr>
      <w:r w:rsidRPr="00611EC1">
        <w:rPr>
          <w:spacing w:val="2"/>
          <w:szCs w:val="24"/>
        </w:rPr>
        <w:t>СА72-4-рак яичников.</w:t>
      </w:r>
    </w:p>
    <w:p w14:paraId="0A6973F1" w14:textId="77777777" w:rsidR="0048207C" w:rsidRPr="00611EC1" w:rsidRDefault="0048207C" w:rsidP="0091350E">
      <w:pPr>
        <w:pStyle w:val="aff"/>
        <w:numPr>
          <w:ilvl w:val="0"/>
          <w:numId w:val="64"/>
        </w:numPr>
        <w:ind w:firstLine="709"/>
        <w:contextualSpacing/>
        <w:rPr>
          <w:spacing w:val="2"/>
          <w:szCs w:val="24"/>
        </w:rPr>
      </w:pPr>
      <w:r w:rsidRPr="00611EC1">
        <w:rPr>
          <w:spacing w:val="2"/>
          <w:szCs w:val="24"/>
        </w:rPr>
        <w:t>НЕ4-рак яичников.</w:t>
      </w:r>
    </w:p>
    <w:p w14:paraId="0A918B11" w14:textId="77777777" w:rsidR="0048207C" w:rsidRPr="00611EC1" w:rsidRDefault="0048207C" w:rsidP="0091350E">
      <w:pPr>
        <w:pStyle w:val="aff"/>
        <w:numPr>
          <w:ilvl w:val="0"/>
          <w:numId w:val="66"/>
        </w:numPr>
        <w:ind w:firstLine="709"/>
        <w:contextualSpacing/>
        <w:rPr>
          <w:szCs w:val="24"/>
        </w:rPr>
      </w:pPr>
      <w:r w:rsidRPr="00611EC1">
        <w:rPr>
          <w:color w:val="1E1E1E"/>
          <w:spacing w:val="2"/>
          <w:szCs w:val="24"/>
        </w:rPr>
        <w:t xml:space="preserve">Гистероскопия и раздельное диагностическое выскабливание эндометрия и эндоцервикса (при внутриматочной патологии) с последующим </w:t>
      </w:r>
      <w:r w:rsidRPr="00611EC1">
        <w:rPr>
          <w:spacing w:val="2"/>
          <w:szCs w:val="24"/>
        </w:rPr>
        <w:t>гистологическим, и при необходимости микробиологическим исследованием биоптатов, отделяемого.</w:t>
      </w:r>
    </w:p>
    <w:p w14:paraId="0C90CC97" w14:textId="77777777" w:rsidR="0048207C" w:rsidRPr="00611EC1" w:rsidRDefault="0048207C" w:rsidP="0048207C">
      <w:pPr>
        <w:ind w:firstLine="709"/>
        <w:rPr>
          <w:spacing w:val="2"/>
          <w:szCs w:val="24"/>
        </w:rPr>
      </w:pPr>
      <w:r w:rsidRPr="00611EC1">
        <w:rPr>
          <w:color w:val="1E1E1E"/>
          <w:spacing w:val="2"/>
          <w:szCs w:val="24"/>
        </w:rPr>
        <w:t xml:space="preserve">Повторные лабораторные и инструментальные исследования проводятся по </w:t>
      </w:r>
      <w:r w:rsidRPr="00611EC1">
        <w:rPr>
          <w:spacing w:val="2"/>
          <w:szCs w:val="24"/>
        </w:rPr>
        <w:t>клиническим показаниям на любом этапе диагностики, лечения и наблюдения пациентки с гематологическим заболеванием.</w:t>
      </w:r>
    </w:p>
    <w:p w14:paraId="2A058649" w14:textId="77777777" w:rsidR="0048207C" w:rsidRDefault="0048207C" w:rsidP="0048207C">
      <w:pPr>
        <w:rPr>
          <w:b/>
          <w:szCs w:val="24"/>
        </w:rPr>
      </w:pPr>
    </w:p>
    <w:p w14:paraId="30FD78A9" w14:textId="77777777" w:rsidR="0048207C" w:rsidRPr="00611EC1" w:rsidRDefault="0048207C" w:rsidP="0048207C">
      <w:pPr>
        <w:rPr>
          <w:b/>
          <w:szCs w:val="24"/>
        </w:rPr>
      </w:pPr>
      <w:r w:rsidRPr="00611EC1">
        <w:rPr>
          <w:b/>
          <w:szCs w:val="24"/>
        </w:rPr>
        <w:t xml:space="preserve">Лечебная тактика при маточных кровотечениях: </w:t>
      </w:r>
    </w:p>
    <w:p w14:paraId="070AB295" w14:textId="77777777" w:rsidR="0048207C" w:rsidRPr="00611EC1" w:rsidRDefault="0048207C" w:rsidP="0048207C">
      <w:pPr>
        <w:ind w:left="142" w:firstLine="709"/>
        <w:rPr>
          <w:szCs w:val="24"/>
          <w:shd w:val="clear" w:color="auto" w:fill="FFFFFF"/>
        </w:rPr>
      </w:pPr>
      <w:r w:rsidRPr="00611EC1">
        <w:rPr>
          <w:szCs w:val="24"/>
          <w:shd w:val="clear" w:color="auto" w:fill="FFFFFF"/>
        </w:rPr>
        <w:t xml:space="preserve">Диагностика, тактика ведения и выбор метода терапии </w:t>
      </w:r>
      <w:r w:rsidRPr="00611EC1">
        <w:rPr>
          <w:rFonts w:eastAsia="Times New Roman"/>
          <w:szCs w:val="24"/>
          <w:lang w:eastAsia="ru-RU"/>
        </w:rPr>
        <w:t>АМК у пациенток с гематологической патологией</w:t>
      </w:r>
      <w:r w:rsidRPr="00611EC1">
        <w:rPr>
          <w:szCs w:val="24"/>
          <w:shd w:val="clear" w:color="auto" w:fill="FFFFFF"/>
        </w:rPr>
        <w:t xml:space="preserve"> осуществляется совместно с врачом-гематологом. Лечение АМК проводится дифференцированно, в соответствии с выявленной патологией. </w:t>
      </w:r>
    </w:p>
    <w:p w14:paraId="4071A0AC" w14:textId="77777777" w:rsidR="0048207C" w:rsidRDefault="0048207C" w:rsidP="0048207C">
      <w:pPr>
        <w:shd w:val="clear" w:color="auto" w:fill="FFFFFF"/>
        <w:rPr>
          <w:rFonts w:eastAsia="Times New Roman"/>
          <w:bCs/>
          <w:i/>
          <w:color w:val="333333"/>
          <w:szCs w:val="24"/>
          <w:u w:val="single"/>
          <w:lang w:eastAsia="ru-RU"/>
        </w:rPr>
      </w:pPr>
    </w:p>
    <w:p w14:paraId="622DB635" w14:textId="31D1C100" w:rsidR="0048207C" w:rsidRPr="00611EC1" w:rsidRDefault="0048207C" w:rsidP="0048207C">
      <w:pPr>
        <w:shd w:val="clear" w:color="auto" w:fill="FFFFFF"/>
        <w:rPr>
          <w:rFonts w:eastAsia="Times New Roman"/>
          <w:bCs/>
          <w:i/>
          <w:color w:val="333333"/>
          <w:szCs w:val="24"/>
          <w:u w:val="single"/>
          <w:lang w:eastAsia="ru-RU"/>
        </w:rPr>
      </w:pPr>
      <w:r w:rsidRPr="00611EC1">
        <w:rPr>
          <w:rFonts w:eastAsia="Times New Roman"/>
          <w:bCs/>
          <w:i/>
          <w:color w:val="333333"/>
          <w:szCs w:val="24"/>
          <w:u w:val="single"/>
          <w:lang w:eastAsia="ru-RU"/>
        </w:rPr>
        <w:t>Основные цели терапии АМК</w:t>
      </w:r>
      <w:r>
        <w:rPr>
          <w:rFonts w:eastAsia="Times New Roman"/>
          <w:bCs/>
          <w:i/>
          <w:color w:val="333333"/>
          <w:szCs w:val="24"/>
          <w:u w:val="single"/>
          <w:lang w:eastAsia="ru-RU"/>
        </w:rPr>
        <w:t xml:space="preserve"> </w:t>
      </w:r>
      <w:r>
        <w:rPr>
          <w:color w:val="1E1E1E"/>
          <w:spacing w:val="2"/>
          <w:szCs w:val="24"/>
        </w:rPr>
        <w:fldChar w:fldCharType="begin" w:fldLock="1"/>
      </w:r>
      <w:r w:rsidR="008074B4">
        <w:rPr>
          <w:color w:val="1E1E1E"/>
          <w:spacing w:val="2"/>
          <w:szCs w:val="24"/>
        </w:rPr>
        <w:instrText>ADDIN CSL_CITATION {"citationItems":[{"id":"ITEM-1","itemData":{"author":[{"dropping-particle":"","family":"Доброхотова","given":"Ю.Э.","non-dropping-particle":"","parse-names":false,"suffix":""},{"dropping-particle":"","family":"Сапрыкина","given":"Л.В.","non-dropping-particle":"","parse-names":false,"suffix":""},{"dropping-particle":"","family":"Филатова","given":"Л.А.","non-dropping-particle":"","parse-names":false,"suffix":""},{"dropping-particle":"","family":"Нариманова","given":"М.Р.","non-dropping-particle":"","parse-names":false,"suffix":""}],"container-title":"РМЖ. Мать и дитя","id":"ITEM-1","issue":"1","issued":{"date-parts":[["2020"]]},"page":"55-60","title":"Аномальные маточные кровотечения: алгоритмы ведения, методы терапии","type":"article-journal","volume":"3"},"uris":["http://www.mendeley.com/documents/?uuid=a12a992c-5fc5-4324-a2fd-7b01c09f94e9"]},{"id":"ITEM-2","itemData":{"author":[{"dropping-particle":"","family":"Чернуха","given":"Г.Е.","non-dropping-particle":"","parse-names":false,"suffix":""}],"container-title":"Гинекология: национальное руководство. Краткое издание. Под ред. Г.М. Савельевой. Г.Т. Сухих, В.Н. Серова, В.Е. Радзинского, И.Б. Манухина.","id":"ITEM-2","issued":{"date-parts":[["2020"]]},"page":"170-175","publisher":"М.: ГЭОТАР-Медиа","title":"Аномальные маточные кровотечения репродуктивного периода","type":"chapter"},"uris":["http://www.mendeley.com/documents/?uuid=2ef54431-bdc8-4c42-878d-b428dfa8ea1f"]}],"mendeley":{"formattedCitation":"[144,145]","plainTextFormattedCitation":"[144,145]","previouslyFormattedCitation":"[144,145]"},"properties":{"noteIndex":0},"schema":"https://github.com/citation-style-language/schema/raw/master/csl-citation.json"}</w:instrText>
      </w:r>
      <w:r>
        <w:rPr>
          <w:color w:val="1E1E1E"/>
          <w:spacing w:val="2"/>
          <w:szCs w:val="24"/>
        </w:rPr>
        <w:fldChar w:fldCharType="separate"/>
      </w:r>
      <w:r w:rsidR="002F1F20" w:rsidRPr="002F1F20">
        <w:rPr>
          <w:noProof/>
          <w:color w:val="1E1E1E"/>
          <w:spacing w:val="2"/>
          <w:szCs w:val="24"/>
        </w:rPr>
        <w:t>[144,145]</w:t>
      </w:r>
      <w:r>
        <w:rPr>
          <w:color w:val="1E1E1E"/>
          <w:spacing w:val="2"/>
          <w:szCs w:val="24"/>
        </w:rPr>
        <w:fldChar w:fldCharType="end"/>
      </w:r>
      <w:r w:rsidRPr="00611EC1">
        <w:rPr>
          <w:rFonts w:eastAsia="Times New Roman"/>
          <w:bCs/>
          <w:i/>
          <w:color w:val="333333"/>
          <w:szCs w:val="24"/>
          <w:u w:val="single"/>
          <w:lang w:eastAsia="ru-RU"/>
        </w:rPr>
        <w:t xml:space="preserve">: </w:t>
      </w:r>
    </w:p>
    <w:p w14:paraId="0EB3F349" w14:textId="77777777" w:rsidR="0048207C" w:rsidRPr="00611EC1" w:rsidRDefault="0048207C" w:rsidP="0091350E">
      <w:pPr>
        <w:pStyle w:val="aff"/>
        <w:numPr>
          <w:ilvl w:val="0"/>
          <w:numId w:val="59"/>
        </w:numPr>
        <w:ind w:left="142" w:firstLine="709"/>
        <w:contextualSpacing/>
        <w:rPr>
          <w:szCs w:val="24"/>
          <w:shd w:val="clear" w:color="auto" w:fill="FFFFFF"/>
        </w:rPr>
      </w:pPr>
      <w:r w:rsidRPr="00611EC1">
        <w:rPr>
          <w:szCs w:val="24"/>
          <w:shd w:val="clear" w:color="auto" w:fill="FFFFFF"/>
        </w:rPr>
        <w:t xml:space="preserve">Остановка кровотечения; </w:t>
      </w:r>
    </w:p>
    <w:p w14:paraId="2888FDCE" w14:textId="77777777" w:rsidR="0048207C" w:rsidRPr="00611EC1" w:rsidRDefault="0048207C" w:rsidP="0091350E">
      <w:pPr>
        <w:pStyle w:val="aff"/>
        <w:numPr>
          <w:ilvl w:val="0"/>
          <w:numId w:val="59"/>
        </w:numPr>
        <w:ind w:left="142" w:firstLine="709"/>
        <w:contextualSpacing/>
        <w:rPr>
          <w:szCs w:val="24"/>
          <w:shd w:val="clear" w:color="auto" w:fill="FFFFFF"/>
        </w:rPr>
      </w:pPr>
      <w:r w:rsidRPr="00611EC1">
        <w:rPr>
          <w:szCs w:val="24"/>
          <w:shd w:val="clear" w:color="auto" w:fill="FFFFFF"/>
        </w:rPr>
        <w:t xml:space="preserve">Профилактика рецидивов АМК. </w:t>
      </w:r>
    </w:p>
    <w:p w14:paraId="2A7D89D9" w14:textId="77777777" w:rsidR="0048207C" w:rsidRPr="00611EC1" w:rsidRDefault="0048207C" w:rsidP="0048207C">
      <w:pPr>
        <w:ind w:left="142" w:firstLine="709"/>
        <w:rPr>
          <w:szCs w:val="24"/>
          <w:shd w:val="clear" w:color="auto" w:fill="FFFFFF"/>
        </w:rPr>
      </w:pPr>
      <w:r w:rsidRPr="00611EC1">
        <w:rPr>
          <w:szCs w:val="24"/>
          <w:shd w:val="clear" w:color="auto" w:fill="FFFFFF"/>
        </w:rPr>
        <w:t xml:space="preserve">Осуществление гемостаза возможно как посредством консервативных мероприятий, так и, в ряде случаев, оперативным путем. </w:t>
      </w:r>
    </w:p>
    <w:p w14:paraId="2D1E24A6" w14:textId="77777777" w:rsidR="0048207C" w:rsidRDefault="0048207C" w:rsidP="0048207C">
      <w:pPr>
        <w:shd w:val="clear" w:color="auto" w:fill="FFFFFF"/>
        <w:rPr>
          <w:rFonts w:eastAsia="Times New Roman"/>
          <w:bCs/>
          <w:i/>
          <w:color w:val="333333"/>
          <w:szCs w:val="24"/>
          <w:u w:val="single"/>
          <w:lang w:eastAsia="ru-RU"/>
        </w:rPr>
      </w:pPr>
    </w:p>
    <w:p w14:paraId="7870AD79" w14:textId="4B012AF6" w:rsidR="0048207C" w:rsidRPr="00611EC1" w:rsidRDefault="0048207C" w:rsidP="0048207C">
      <w:pPr>
        <w:shd w:val="clear" w:color="auto" w:fill="FFFFFF"/>
        <w:rPr>
          <w:rFonts w:eastAsia="Times New Roman"/>
          <w:bCs/>
          <w:i/>
          <w:color w:val="333333"/>
          <w:szCs w:val="24"/>
          <w:u w:val="single"/>
          <w:lang w:eastAsia="ru-RU"/>
        </w:rPr>
      </w:pPr>
      <w:r w:rsidRPr="00611EC1">
        <w:rPr>
          <w:rFonts w:eastAsia="Times New Roman"/>
          <w:bCs/>
          <w:i/>
          <w:color w:val="333333"/>
          <w:szCs w:val="24"/>
          <w:u w:val="single"/>
          <w:lang w:eastAsia="ru-RU"/>
        </w:rPr>
        <w:t>Консервативные методы гемостаза</w:t>
      </w:r>
      <w:r>
        <w:rPr>
          <w:rFonts w:eastAsia="Times New Roman"/>
          <w:bCs/>
          <w:i/>
          <w:color w:val="333333"/>
          <w:szCs w:val="24"/>
          <w:u w:val="single"/>
          <w:lang w:eastAsia="ru-RU"/>
        </w:rPr>
        <w:t xml:space="preserve"> </w:t>
      </w:r>
      <w:r>
        <w:rPr>
          <w:color w:val="1E1E1E"/>
          <w:spacing w:val="2"/>
          <w:szCs w:val="24"/>
        </w:rPr>
        <w:fldChar w:fldCharType="begin" w:fldLock="1"/>
      </w:r>
      <w:r w:rsidR="008074B4">
        <w:rPr>
          <w:color w:val="1E1E1E"/>
          <w:spacing w:val="2"/>
          <w:szCs w:val="24"/>
        </w:rPr>
        <w:instrText>ADDIN CSL_CITATION {"citationItems":[{"id":"ITEM-1","itemData":{"author":[{"dropping-particle":"","family":"Доброхотова","given":"Ю.Э.","non-dropping-particle":"","parse-names":false,"suffix":""},{"dropping-particle":"","family":"Сапрыкина","given":"Л.В.","non-dropping-particle":"","parse-names":false,"suffix":""},{"dropping-particle":"","family":"Филатова","given":"Л.А.","non-dropping-particle":"","parse-names":false,"suffix":""},{"dropping-particle":"","family":"Нариманова","given":"М.Р.","non-dropping-particle":"","parse-names":false,"suffix":""}],"container-title":"РМЖ. Мать и дитя","id":"ITEM-1","issue":"1","issued":{"date-parts":[["2020"]]},"page":"55-60","title":"Аномальные маточные кровотечения: алгоритмы ведения, методы терапии","type":"article-journal","volume":"3"},"uris":["http://www.mendeley.com/documents/?uuid=a12a992c-5fc5-4324-a2fd-7b01c09f94e9"]},{"id":"ITEM-2","itemData":{"author":[{"dropping-particle":"","family":"Чернуха","given":"Г.Е.","non-dropping-particle":"","parse-names":false,"suffix":""}],"container-title":"Гинекология: национальное руководство. Краткое издание. Под ред. Г.М. Савельевой. Г.Т. Сухих, В.Н. Серова, В.Е. Радзинского, И.Б. Манухина.","id":"ITEM-2","issued":{"date-parts":[["2020"]]},"page":"170-175","publisher":"М.: ГЭОТАР-Медиа","title":"Аномальные маточные кровотечения репродуктивного периода","type":"chapter"},"uris":["http://www.mendeley.com/documents/?uuid=2ef54431-bdc8-4c42-878d-b428dfa8ea1f"]}],"mendeley":{"formattedCitation":"[144,145]","plainTextFormattedCitation":"[144,145]","previouslyFormattedCitation":"[144,145]"},"properties":{"noteIndex":0},"schema":"https://github.com/citation-style-language/schema/raw/master/csl-citation.json"}</w:instrText>
      </w:r>
      <w:r>
        <w:rPr>
          <w:color w:val="1E1E1E"/>
          <w:spacing w:val="2"/>
          <w:szCs w:val="24"/>
        </w:rPr>
        <w:fldChar w:fldCharType="separate"/>
      </w:r>
      <w:r w:rsidR="002F1F20" w:rsidRPr="002F1F20">
        <w:rPr>
          <w:noProof/>
          <w:color w:val="1E1E1E"/>
          <w:spacing w:val="2"/>
          <w:szCs w:val="24"/>
        </w:rPr>
        <w:t>[144,145]</w:t>
      </w:r>
      <w:r>
        <w:rPr>
          <w:color w:val="1E1E1E"/>
          <w:spacing w:val="2"/>
          <w:szCs w:val="24"/>
        </w:rPr>
        <w:fldChar w:fldCharType="end"/>
      </w:r>
      <w:r w:rsidRPr="00611EC1">
        <w:rPr>
          <w:rFonts w:eastAsia="Times New Roman"/>
          <w:bCs/>
          <w:i/>
          <w:color w:val="333333"/>
          <w:szCs w:val="24"/>
          <w:u w:val="single"/>
          <w:lang w:eastAsia="ru-RU"/>
        </w:rPr>
        <w:t>.</w:t>
      </w:r>
    </w:p>
    <w:p w14:paraId="15BBEB81" w14:textId="77777777" w:rsidR="0048207C" w:rsidRPr="00611EC1" w:rsidRDefault="0048207C" w:rsidP="0091350E">
      <w:pPr>
        <w:pStyle w:val="aff"/>
        <w:numPr>
          <w:ilvl w:val="0"/>
          <w:numId w:val="62"/>
        </w:numPr>
        <w:ind w:firstLine="709"/>
        <w:contextualSpacing/>
        <w:rPr>
          <w:szCs w:val="24"/>
          <w:shd w:val="clear" w:color="auto" w:fill="FFFFFF"/>
        </w:rPr>
      </w:pPr>
      <w:r w:rsidRPr="00611EC1">
        <w:rPr>
          <w:szCs w:val="24"/>
          <w:shd w:val="clear" w:color="auto" w:fill="FFFFFF"/>
        </w:rPr>
        <w:t>Заместительная гемотрансфузионная терапия компонентами крови:</w:t>
      </w:r>
    </w:p>
    <w:p w14:paraId="654660BE" w14:textId="77777777" w:rsidR="0048207C" w:rsidRPr="00611EC1" w:rsidRDefault="0048207C" w:rsidP="0048207C">
      <w:pPr>
        <w:pStyle w:val="aff"/>
        <w:ind w:left="502" w:firstLine="709"/>
        <w:rPr>
          <w:strike/>
          <w:szCs w:val="24"/>
          <w:shd w:val="clear" w:color="auto" w:fill="FFFFFF"/>
        </w:rPr>
      </w:pPr>
      <w:r w:rsidRPr="00611EC1">
        <w:rPr>
          <w:szCs w:val="24"/>
          <w:shd w:val="clear" w:color="auto" w:fill="FFFFFF"/>
        </w:rPr>
        <w:t xml:space="preserve">- концентрат тромбоцитов; </w:t>
      </w:r>
    </w:p>
    <w:p w14:paraId="57FA51A8" w14:textId="77777777" w:rsidR="0048207C" w:rsidRPr="00611EC1" w:rsidRDefault="0048207C" w:rsidP="0048207C">
      <w:pPr>
        <w:pStyle w:val="aff"/>
        <w:ind w:left="502" w:firstLine="709"/>
        <w:rPr>
          <w:szCs w:val="24"/>
          <w:shd w:val="clear" w:color="auto" w:fill="FFFFFF"/>
        </w:rPr>
      </w:pPr>
      <w:r w:rsidRPr="00611EC1">
        <w:rPr>
          <w:szCs w:val="24"/>
          <w:shd w:val="clear" w:color="auto" w:fill="FFFFFF"/>
        </w:rPr>
        <w:t>- свежезамороженная плазма;</w:t>
      </w:r>
    </w:p>
    <w:p w14:paraId="391B84CE" w14:textId="77777777" w:rsidR="0048207C" w:rsidRPr="00611EC1" w:rsidRDefault="0048207C" w:rsidP="0048207C">
      <w:pPr>
        <w:pStyle w:val="aff"/>
        <w:ind w:left="502" w:firstLine="709"/>
        <w:rPr>
          <w:szCs w:val="24"/>
          <w:shd w:val="clear" w:color="auto" w:fill="FFFFFF"/>
        </w:rPr>
      </w:pPr>
      <w:r w:rsidRPr="00611EC1">
        <w:rPr>
          <w:szCs w:val="24"/>
          <w:shd w:val="clear" w:color="auto" w:fill="FFFFFF"/>
        </w:rPr>
        <w:t>- криопреципитат;</w:t>
      </w:r>
    </w:p>
    <w:p w14:paraId="6FC2A674" w14:textId="77777777" w:rsidR="0048207C" w:rsidRPr="00611EC1" w:rsidRDefault="0048207C" w:rsidP="0048207C">
      <w:pPr>
        <w:pStyle w:val="aff"/>
        <w:ind w:left="502" w:firstLine="709"/>
        <w:rPr>
          <w:szCs w:val="24"/>
          <w:shd w:val="clear" w:color="auto" w:fill="FFFFFF"/>
        </w:rPr>
      </w:pPr>
      <w:r w:rsidRPr="00611EC1">
        <w:rPr>
          <w:szCs w:val="24"/>
          <w:shd w:val="clear" w:color="auto" w:fill="FFFFFF"/>
        </w:rPr>
        <w:t>- эритроцитсодержащие компоненты крови</w:t>
      </w:r>
    </w:p>
    <w:p w14:paraId="1978A542" w14:textId="77777777" w:rsidR="0048207C" w:rsidRPr="00611EC1" w:rsidRDefault="0048207C" w:rsidP="0091350E">
      <w:pPr>
        <w:pStyle w:val="aff"/>
        <w:numPr>
          <w:ilvl w:val="0"/>
          <w:numId w:val="62"/>
        </w:numPr>
        <w:ind w:firstLine="709"/>
        <w:contextualSpacing/>
        <w:rPr>
          <w:szCs w:val="24"/>
          <w:shd w:val="clear" w:color="auto" w:fill="FFFFFF"/>
        </w:rPr>
      </w:pPr>
      <w:r w:rsidRPr="00611EC1">
        <w:rPr>
          <w:szCs w:val="24"/>
          <w:shd w:val="clear" w:color="auto" w:fill="FFFFFF"/>
        </w:rPr>
        <w:t xml:space="preserve">Ингибиторы фибринолиза: </w:t>
      </w:r>
    </w:p>
    <w:p w14:paraId="446884DB" w14:textId="54B51EA3" w:rsidR="0048207C" w:rsidRPr="00611EC1" w:rsidRDefault="0048207C" w:rsidP="0048207C">
      <w:pPr>
        <w:pStyle w:val="aff"/>
        <w:ind w:left="502" w:firstLine="709"/>
        <w:rPr>
          <w:szCs w:val="24"/>
          <w:shd w:val="clear" w:color="auto" w:fill="FFFFFF"/>
        </w:rPr>
      </w:pPr>
      <w:r w:rsidRPr="00611EC1">
        <w:rPr>
          <w:szCs w:val="24"/>
          <w:shd w:val="clear" w:color="auto" w:fill="FFFFFF"/>
        </w:rPr>
        <w:t>транексамовая кислота- 250 - 500 мг внутрь х 3-4 р/день; или внутривенно 1000 мг х 3–4 раза в сутки, курс лечения 5-7 дней; апротинин и др.</w:t>
      </w:r>
    </w:p>
    <w:p w14:paraId="78BDA204" w14:textId="77777777" w:rsidR="0048207C" w:rsidRPr="00611EC1" w:rsidRDefault="0048207C" w:rsidP="0091350E">
      <w:pPr>
        <w:pStyle w:val="aff"/>
        <w:numPr>
          <w:ilvl w:val="0"/>
          <w:numId w:val="62"/>
        </w:numPr>
        <w:ind w:firstLine="709"/>
        <w:contextualSpacing/>
        <w:rPr>
          <w:szCs w:val="24"/>
          <w:shd w:val="clear" w:color="auto" w:fill="FFFFFF"/>
        </w:rPr>
      </w:pPr>
      <w:r w:rsidRPr="00611EC1">
        <w:rPr>
          <w:szCs w:val="24"/>
          <w:shd w:val="clear" w:color="auto" w:fill="FFFFFF"/>
        </w:rPr>
        <w:t>Гормональный гемостаз</w:t>
      </w:r>
      <w:r w:rsidRPr="00611EC1">
        <w:rPr>
          <w:color w:val="333333"/>
          <w:szCs w:val="24"/>
          <w:shd w:val="clear" w:color="auto" w:fill="FFFFFF"/>
        </w:rPr>
        <w:t>:</w:t>
      </w:r>
    </w:p>
    <w:p w14:paraId="1DFD7934" w14:textId="2F6F1CEB" w:rsidR="0048207C" w:rsidRPr="00611EC1" w:rsidRDefault="0048207C" w:rsidP="0048207C">
      <w:pPr>
        <w:ind w:firstLine="709"/>
        <w:rPr>
          <w:color w:val="333333"/>
          <w:szCs w:val="24"/>
          <w:shd w:val="clear" w:color="auto" w:fill="FFFFFF"/>
        </w:rPr>
      </w:pPr>
      <w:r w:rsidRPr="00611EC1">
        <w:rPr>
          <w:szCs w:val="24"/>
          <w:shd w:val="clear" w:color="auto" w:fill="FFFFFF"/>
        </w:rPr>
        <w:t xml:space="preserve">        гормональный гемостаз может проводит</w:t>
      </w:r>
      <w:r w:rsidR="002F1F20">
        <w:rPr>
          <w:szCs w:val="24"/>
          <w:shd w:val="clear" w:color="auto" w:fill="FFFFFF"/>
        </w:rPr>
        <w:t>ь</w:t>
      </w:r>
      <w:r w:rsidRPr="00611EC1">
        <w:rPr>
          <w:szCs w:val="24"/>
          <w:shd w:val="clear" w:color="auto" w:fill="FFFFFF"/>
        </w:rPr>
        <w:t xml:space="preserve">ся </w:t>
      </w:r>
      <w:r w:rsidRPr="00611EC1">
        <w:rPr>
          <w:color w:val="333333"/>
          <w:szCs w:val="24"/>
          <w:shd w:val="clear" w:color="auto" w:fill="FFFFFF"/>
        </w:rPr>
        <w:t>комбинированными оральными контрацептивами (КОК) или п</w:t>
      </w:r>
      <w:r w:rsidRPr="00611EC1">
        <w:rPr>
          <w:color w:val="1E1E1E"/>
          <w:spacing w:val="2"/>
          <w:szCs w:val="24"/>
        </w:rPr>
        <w:t xml:space="preserve">репаратами группы прогестагенов.  </w:t>
      </w:r>
    </w:p>
    <w:p w14:paraId="201F7C36" w14:textId="77777777" w:rsidR="0048207C" w:rsidRPr="00611EC1" w:rsidRDefault="0048207C" w:rsidP="0048207C">
      <w:pPr>
        <w:ind w:left="142" w:firstLine="709"/>
        <w:rPr>
          <w:color w:val="000000"/>
          <w:szCs w:val="24"/>
          <w:shd w:val="clear" w:color="auto" w:fill="FFFFFF"/>
        </w:rPr>
      </w:pPr>
      <w:r w:rsidRPr="00611EC1">
        <w:rPr>
          <w:color w:val="000000"/>
          <w:szCs w:val="24"/>
          <w:shd w:val="clear" w:color="auto" w:fill="FFFFFF"/>
        </w:rPr>
        <w:t>Гормональный гемостаз КОК целесообразно проводить:</w:t>
      </w:r>
    </w:p>
    <w:p w14:paraId="72ECDF8F" w14:textId="77777777" w:rsidR="0048207C" w:rsidRPr="00611EC1" w:rsidRDefault="0048207C" w:rsidP="0048207C">
      <w:pPr>
        <w:ind w:left="142" w:firstLine="709"/>
        <w:rPr>
          <w:color w:val="000000"/>
          <w:szCs w:val="24"/>
          <w:shd w:val="clear" w:color="auto" w:fill="FFFFFF"/>
        </w:rPr>
      </w:pPr>
      <w:r w:rsidRPr="00611EC1">
        <w:rPr>
          <w:color w:val="000000"/>
          <w:szCs w:val="24"/>
          <w:shd w:val="clear" w:color="auto" w:fill="FFFFFF"/>
        </w:rPr>
        <w:t>- женщинам раннего и активного репродуктивного возраста, которые не относятся к группе риска относительно развития пролиферативных процессов эндометрия;</w:t>
      </w:r>
    </w:p>
    <w:p w14:paraId="044956C8" w14:textId="77777777" w:rsidR="0048207C" w:rsidRPr="00611EC1" w:rsidRDefault="0048207C" w:rsidP="0048207C">
      <w:pPr>
        <w:ind w:left="142" w:firstLine="709"/>
        <w:rPr>
          <w:color w:val="000000"/>
          <w:szCs w:val="24"/>
          <w:shd w:val="clear" w:color="auto" w:fill="FFFFFF"/>
        </w:rPr>
      </w:pPr>
      <w:r w:rsidRPr="00611EC1">
        <w:rPr>
          <w:color w:val="000000"/>
          <w:szCs w:val="24"/>
          <w:shd w:val="clear" w:color="auto" w:fill="FFFFFF"/>
        </w:rPr>
        <w:t xml:space="preserve">- пациенткам, у которых диагностическое выскабливание проводилось не более 3 мес. назад и при этом не было выявлено патологических изменений эндометрия. </w:t>
      </w:r>
    </w:p>
    <w:p w14:paraId="0C92E471" w14:textId="77777777" w:rsidR="0048207C" w:rsidRPr="00611EC1" w:rsidRDefault="0048207C" w:rsidP="0048207C">
      <w:pPr>
        <w:ind w:firstLine="709"/>
        <w:rPr>
          <w:szCs w:val="24"/>
          <w:shd w:val="clear" w:color="auto" w:fill="FFFFFF"/>
        </w:rPr>
      </w:pPr>
      <w:r w:rsidRPr="00611EC1">
        <w:rPr>
          <w:szCs w:val="24"/>
          <w:shd w:val="clear" w:color="auto" w:fill="FFFFFF"/>
        </w:rPr>
        <w:t>Различают монофазные, двухфазные и трехфазные КОК:</w:t>
      </w:r>
    </w:p>
    <w:p w14:paraId="7A5275D9" w14:textId="7554C33B" w:rsidR="0048207C" w:rsidRPr="00611EC1" w:rsidRDefault="0048207C" w:rsidP="0091350E">
      <w:pPr>
        <w:pStyle w:val="aff"/>
        <w:numPr>
          <w:ilvl w:val="0"/>
          <w:numId w:val="65"/>
        </w:numPr>
        <w:ind w:firstLine="709"/>
        <w:contextualSpacing/>
        <w:rPr>
          <w:szCs w:val="24"/>
        </w:rPr>
      </w:pPr>
      <w:r w:rsidRPr="00611EC1">
        <w:rPr>
          <w:szCs w:val="24"/>
        </w:rPr>
        <w:t>Монофазные пероральные контрацептивы содержат в каждой таблетке одну и ту же доза обоих компонентов. Отличаются соотношением эстрогенной и гестагенной составляющих, а также видом гестагена. В качестве эстрогена, как правило, используют</w:t>
      </w:r>
      <w:r w:rsidR="002F1F20">
        <w:rPr>
          <w:szCs w:val="24"/>
        </w:rPr>
        <w:t xml:space="preserve"> </w:t>
      </w:r>
      <w:r w:rsidRPr="002F1F20">
        <w:rPr>
          <w:bCs/>
        </w:rPr>
        <w:t>этинилэстрадиол</w:t>
      </w:r>
      <w:r w:rsidR="002F1F20">
        <w:rPr>
          <w:szCs w:val="24"/>
        </w:rPr>
        <w:t xml:space="preserve"> </w:t>
      </w:r>
      <w:r w:rsidRPr="00611EC1">
        <w:rPr>
          <w:szCs w:val="24"/>
        </w:rPr>
        <w:t>(по строению наиболее близкий к эндогенному эстрадиолу). Содержание этинилэстрадиола в монофазных комбинированных контрацептивах колеблется от 0,02 до 0,05 мг, содержание гестагена, как правило – от 0,075 до 0,25 мг.</w:t>
      </w:r>
    </w:p>
    <w:p w14:paraId="48800BE1" w14:textId="77777777" w:rsidR="0048207C" w:rsidRPr="00611EC1" w:rsidRDefault="0048207C" w:rsidP="0091350E">
      <w:pPr>
        <w:pStyle w:val="aff"/>
        <w:numPr>
          <w:ilvl w:val="0"/>
          <w:numId w:val="65"/>
        </w:numPr>
        <w:ind w:firstLine="709"/>
        <w:contextualSpacing/>
        <w:rPr>
          <w:szCs w:val="24"/>
        </w:rPr>
      </w:pPr>
      <w:r w:rsidRPr="00611EC1">
        <w:rPr>
          <w:szCs w:val="24"/>
        </w:rPr>
        <w:t xml:space="preserve">Двухфазные пероральные контрацептивы </w:t>
      </w:r>
      <w:r w:rsidRPr="00611EC1">
        <w:rPr>
          <w:szCs w:val="24"/>
          <w:shd w:val="clear" w:color="auto" w:fill="FFFFFF"/>
        </w:rPr>
        <w:t>состоят из таблеток двух типов, предназначенных для приема соответственно в первую и вторую фазы менструального цикла. При этом содержание эстрогена во всех таблетках одинаково, а гестагена больше в таблетках, принимаемых во второй фазе.</w:t>
      </w:r>
    </w:p>
    <w:p w14:paraId="73548EED" w14:textId="77777777" w:rsidR="0048207C" w:rsidRPr="00611EC1" w:rsidRDefault="0048207C" w:rsidP="0091350E">
      <w:pPr>
        <w:pStyle w:val="aff"/>
        <w:numPr>
          <w:ilvl w:val="0"/>
          <w:numId w:val="65"/>
        </w:numPr>
        <w:ind w:firstLine="709"/>
        <w:contextualSpacing/>
        <w:rPr>
          <w:szCs w:val="24"/>
        </w:rPr>
      </w:pPr>
      <w:r w:rsidRPr="00611EC1">
        <w:rPr>
          <w:szCs w:val="24"/>
          <w:shd w:val="clear" w:color="auto" w:fill="FFFFFF"/>
        </w:rPr>
        <w:t xml:space="preserve">Трехфазные </w:t>
      </w:r>
      <w:r w:rsidRPr="00611EC1">
        <w:rPr>
          <w:szCs w:val="24"/>
        </w:rPr>
        <w:t xml:space="preserve">пероральные контрацептивы </w:t>
      </w:r>
      <w:r w:rsidRPr="00611EC1">
        <w:rPr>
          <w:szCs w:val="24"/>
          <w:shd w:val="clear" w:color="auto" w:fill="FFFFFF"/>
        </w:rPr>
        <w:t>включают таблетки трех видов, каждый из которых содержит разные количества и эстрогена, и гестагена.</w:t>
      </w:r>
    </w:p>
    <w:p w14:paraId="0DFC1249" w14:textId="77777777" w:rsidR="0048207C" w:rsidRPr="00611EC1" w:rsidRDefault="0048207C" w:rsidP="0048207C">
      <w:pPr>
        <w:ind w:left="142" w:firstLine="709"/>
        <w:rPr>
          <w:szCs w:val="24"/>
          <w:shd w:val="clear" w:color="auto" w:fill="FFFFFF"/>
        </w:rPr>
      </w:pPr>
      <w:r w:rsidRPr="00611EC1">
        <w:rPr>
          <w:szCs w:val="24"/>
        </w:rPr>
        <w:t xml:space="preserve">Гемостатическая терапия </w:t>
      </w:r>
      <w:r w:rsidRPr="00611EC1">
        <w:rPr>
          <w:szCs w:val="24"/>
          <w:shd w:val="clear" w:color="auto" w:fill="FFFFFF"/>
        </w:rPr>
        <w:t xml:space="preserve">КОК проводится монофазными препаратами, содержащими этинилэстрадиола и гестагены группы норстероидов по схеме:  </w:t>
      </w:r>
      <w:r w:rsidRPr="00611EC1">
        <w:rPr>
          <w:color w:val="000000"/>
          <w:szCs w:val="24"/>
          <w:shd w:val="clear" w:color="auto" w:fill="FFFFFF"/>
        </w:rPr>
        <w:t xml:space="preserve">по 1 таб/час до 5 таб. в день в первые сутки </w:t>
      </w:r>
      <w:r w:rsidRPr="00611EC1">
        <w:rPr>
          <w:szCs w:val="24"/>
          <w:shd w:val="clear" w:color="auto" w:fill="FFFFFF"/>
        </w:rPr>
        <w:t>до достижения гемостаза, с постепенным ежедневным снижением дозы по 1 таб. в ден</w:t>
      </w:r>
      <w:r w:rsidRPr="00611EC1">
        <w:rPr>
          <w:color w:val="000000"/>
          <w:szCs w:val="24"/>
          <w:shd w:val="clear" w:color="auto" w:fill="FFFFFF"/>
        </w:rPr>
        <w:t xml:space="preserve">ь, общей продолжительностью терапии 21 день </w:t>
      </w:r>
      <w:r w:rsidRPr="00611EC1">
        <w:rPr>
          <w:spacing w:val="2"/>
          <w:szCs w:val="24"/>
        </w:rPr>
        <w:t>с первого дня гемостатической терапии</w:t>
      </w:r>
      <w:r w:rsidRPr="00611EC1">
        <w:rPr>
          <w:color w:val="000000"/>
          <w:szCs w:val="24"/>
          <w:shd w:val="clear" w:color="auto" w:fill="FFFFFF"/>
        </w:rPr>
        <w:t xml:space="preserve">, далее </w:t>
      </w:r>
      <w:r w:rsidRPr="00611EC1">
        <w:rPr>
          <w:spacing w:val="2"/>
          <w:szCs w:val="24"/>
        </w:rPr>
        <w:t xml:space="preserve">7-дн. перерыв, и прием в режиме контрацепции, или продолжение приема в непрерывном режиме (в зависимости от клинической ситуации). </w:t>
      </w:r>
    </w:p>
    <w:p w14:paraId="1A563B7C" w14:textId="77777777" w:rsidR="0048207C" w:rsidRPr="00611EC1" w:rsidRDefault="0048207C" w:rsidP="0048207C">
      <w:pPr>
        <w:ind w:left="142" w:firstLine="709"/>
        <w:rPr>
          <w:szCs w:val="24"/>
          <w:shd w:val="clear" w:color="auto" w:fill="FFFFFF"/>
        </w:rPr>
      </w:pPr>
      <w:r w:rsidRPr="00611EC1">
        <w:rPr>
          <w:szCs w:val="24"/>
        </w:rPr>
        <w:t>В эту группу всходят препараты:</w:t>
      </w:r>
    </w:p>
    <w:p w14:paraId="7934CA07" w14:textId="77777777" w:rsidR="0048207C" w:rsidRPr="00611EC1" w:rsidRDefault="0048207C" w:rsidP="0048207C">
      <w:pPr>
        <w:ind w:left="142" w:firstLine="709"/>
        <w:rPr>
          <w:i/>
          <w:szCs w:val="24"/>
        </w:rPr>
      </w:pPr>
      <w:r w:rsidRPr="00611EC1">
        <w:rPr>
          <w:szCs w:val="24"/>
        </w:rPr>
        <w:t>1) этинилэстрадиол-0,03мг- левоноргестрел-0,15</w:t>
      </w:r>
    </w:p>
    <w:p w14:paraId="79376168" w14:textId="77777777" w:rsidR="0048207C" w:rsidRPr="00611EC1" w:rsidRDefault="0048207C" w:rsidP="0048207C">
      <w:pPr>
        <w:ind w:left="142" w:firstLine="709"/>
        <w:rPr>
          <w:szCs w:val="24"/>
        </w:rPr>
      </w:pPr>
      <w:r w:rsidRPr="00611EC1">
        <w:rPr>
          <w:szCs w:val="24"/>
        </w:rPr>
        <w:t xml:space="preserve">2) этинилэстрадиол-20мкг-дезогестрел-150мкг </w:t>
      </w:r>
    </w:p>
    <w:p w14:paraId="5CA0BE27" w14:textId="77777777" w:rsidR="0048207C" w:rsidRPr="00611EC1" w:rsidRDefault="0048207C" w:rsidP="0048207C">
      <w:pPr>
        <w:ind w:left="142" w:firstLine="709"/>
        <w:rPr>
          <w:szCs w:val="24"/>
        </w:rPr>
      </w:pPr>
      <w:r w:rsidRPr="00611EC1">
        <w:rPr>
          <w:szCs w:val="24"/>
        </w:rPr>
        <w:t xml:space="preserve">3) этинилэстрадиол-30мкг-дезогестрел-150мкг </w:t>
      </w:r>
    </w:p>
    <w:p w14:paraId="1DABC340" w14:textId="77777777" w:rsidR="0048207C" w:rsidRPr="00611EC1" w:rsidRDefault="0048207C" w:rsidP="0048207C">
      <w:pPr>
        <w:ind w:left="142" w:firstLine="709"/>
        <w:rPr>
          <w:szCs w:val="24"/>
        </w:rPr>
      </w:pPr>
      <w:r w:rsidRPr="00611EC1">
        <w:rPr>
          <w:szCs w:val="24"/>
        </w:rPr>
        <w:t xml:space="preserve">4) этинилэстрадиол-0,03мг-диеногест-2мг </w:t>
      </w:r>
    </w:p>
    <w:p w14:paraId="616E22FF" w14:textId="77777777" w:rsidR="0048207C" w:rsidRPr="00611EC1" w:rsidRDefault="0048207C" w:rsidP="0048207C">
      <w:pPr>
        <w:ind w:left="142" w:firstLine="709"/>
        <w:rPr>
          <w:szCs w:val="24"/>
        </w:rPr>
      </w:pPr>
      <w:r w:rsidRPr="00611EC1">
        <w:rPr>
          <w:szCs w:val="24"/>
        </w:rPr>
        <w:t xml:space="preserve">5) этинилэстрадиол-20мкг –гестоден-75мкг </w:t>
      </w:r>
    </w:p>
    <w:p w14:paraId="59418C0B" w14:textId="77777777" w:rsidR="0048207C" w:rsidRPr="00611EC1" w:rsidRDefault="0048207C" w:rsidP="0048207C">
      <w:pPr>
        <w:ind w:left="142" w:firstLine="709"/>
        <w:rPr>
          <w:szCs w:val="24"/>
        </w:rPr>
      </w:pPr>
      <w:r w:rsidRPr="00611EC1">
        <w:rPr>
          <w:szCs w:val="24"/>
        </w:rPr>
        <w:t>6) этинилэстрадиол-20мкг-</w:t>
      </w:r>
      <w:r w:rsidRPr="00611EC1">
        <w:rPr>
          <w:szCs w:val="24"/>
          <w:shd w:val="clear" w:color="auto" w:fill="FFFFFF"/>
        </w:rPr>
        <w:t xml:space="preserve"> дроспиренон- 3 мг</w:t>
      </w:r>
      <w:r w:rsidRPr="00611EC1">
        <w:rPr>
          <w:szCs w:val="24"/>
        </w:rPr>
        <w:t xml:space="preserve"> </w:t>
      </w:r>
    </w:p>
    <w:p w14:paraId="42A6620E" w14:textId="77777777" w:rsidR="0048207C" w:rsidRPr="00611EC1" w:rsidRDefault="0048207C" w:rsidP="0048207C">
      <w:pPr>
        <w:ind w:left="142" w:firstLine="709"/>
        <w:rPr>
          <w:szCs w:val="24"/>
        </w:rPr>
      </w:pPr>
      <w:r w:rsidRPr="00611EC1">
        <w:rPr>
          <w:szCs w:val="24"/>
        </w:rPr>
        <w:t xml:space="preserve">7) этинилэстрадиол-30мкг- дроспиренон- 3 мг </w:t>
      </w:r>
    </w:p>
    <w:p w14:paraId="040C87AF" w14:textId="77777777" w:rsidR="0048207C" w:rsidRPr="00611EC1" w:rsidRDefault="0048207C" w:rsidP="0048207C">
      <w:pPr>
        <w:ind w:left="142" w:firstLine="709"/>
        <w:rPr>
          <w:szCs w:val="24"/>
        </w:rPr>
      </w:pPr>
      <w:r w:rsidRPr="00611EC1">
        <w:rPr>
          <w:szCs w:val="24"/>
        </w:rPr>
        <w:t xml:space="preserve">8) этинилэстрадиол-30мкг- диеногест-2мг  </w:t>
      </w:r>
    </w:p>
    <w:p w14:paraId="6FBDFAD2" w14:textId="77777777" w:rsidR="0048207C" w:rsidRPr="00611EC1" w:rsidRDefault="0048207C" w:rsidP="0048207C">
      <w:pPr>
        <w:ind w:left="142" w:firstLine="709"/>
        <w:rPr>
          <w:szCs w:val="24"/>
        </w:rPr>
      </w:pPr>
      <w:r w:rsidRPr="00611EC1">
        <w:rPr>
          <w:szCs w:val="24"/>
        </w:rPr>
        <w:t xml:space="preserve">9) этинилэстрадиол-35мкг-ципротерон ацетат-2мг </w:t>
      </w:r>
    </w:p>
    <w:p w14:paraId="664C379C" w14:textId="77777777" w:rsidR="0048207C" w:rsidRPr="00611EC1" w:rsidRDefault="0048207C" w:rsidP="0048207C">
      <w:pPr>
        <w:ind w:left="142" w:firstLine="709"/>
        <w:rPr>
          <w:szCs w:val="24"/>
        </w:rPr>
      </w:pPr>
      <w:r w:rsidRPr="00611EC1">
        <w:rPr>
          <w:szCs w:val="24"/>
        </w:rPr>
        <w:t xml:space="preserve">10) этинилэстрадиол-35мкг-ципротерон ацетат-2мг </w:t>
      </w:r>
    </w:p>
    <w:p w14:paraId="14FE361D" w14:textId="77777777" w:rsidR="0048207C" w:rsidRPr="00611EC1" w:rsidRDefault="0048207C" w:rsidP="0048207C">
      <w:pPr>
        <w:ind w:left="142" w:firstLine="709"/>
        <w:rPr>
          <w:szCs w:val="24"/>
        </w:rPr>
      </w:pPr>
      <w:r w:rsidRPr="00611EC1">
        <w:rPr>
          <w:szCs w:val="24"/>
        </w:rPr>
        <w:t xml:space="preserve">11) этинилэстрадиол-35мкг-ципротерон ацетат-2мг </w:t>
      </w:r>
    </w:p>
    <w:p w14:paraId="776EB339" w14:textId="77777777" w:rsidR="0048207C" w:rsidRPr="00611EC1" w:rsidRDefault="0048207C" w:rsidP="0048207C">
      <w:pPr>
        <w:ind w:left="142" w:firstLine="709"/>
        <w:rPr>
          <w:spacing w:val="2"/>
          <w:szCs w:val="24"/>
        </w:rPr>
      </w:pPr>
      <w:r w:rsidRPr="00611EC1">
        <w:rPr>
          <w:color w:val="1E1E1E"/>
          <w:spacing w:val="2"/>
          <w:szCs w:val="24"/>
        </w:rPr>
        <w:t xml:space="preserve">Гемостатическая терапия препаратами группы прогестагенов:  Дидрогестерон 10 мг,  Норэтистерон 5мг проводится по схеме: по 1 </w:t>
      </w:r>
      <w:r w:rsidRPr="00611EC1">
        <w:rPr>
          <w:color w:val="000000"/>
          <w:szCs w:val="24"/>
          <w:shd w:val="clear" w:color="auto" w:fill="FFFFFF"/>
        </w:rPr>
        <w:t xml:space="preserve">таб/час до 5 таб. в день в первые сутки </w:t>
      </w:r>
      <w:r w:rsidRPr="00611EC1">
        <w:rPr>
          <w:szCs w:val="24"/>
          <w:shd w:val="clear" w:color="auto" w:fill="FFFFFF"/>
        </w:rPr>
        <w:t>до достижения гемостаза</w:t>
      </w:r>
      <w:r w:rsidRPr="00611EC1">
        <w:rPr>
          <w:color w:val="1E1E1E"/>
          <w:spacing w:val="2"/>
          <w:szCs w:val="24"/>
        </w:rPr>
        <w:t xml:space="preserve">, затем снижение дозы по 1/2 – 1 табл. в день до приема </w:t>
      </w:r>
      <w:r w:rsidRPr="00611EC1">
        <w:rPr>
          <w:spacing w:val="2"/>
          <w:szCs w:val="24"/>
        </w:rPr>
        <w:t>1таблетки х 1</w:t>
      </w:r>
      <w:r w:rsidRPr="00611EC1">
        <w:rPr>
          <w:color w:val="FF0000"/>
          <w:spacing w:val="2"/>
          <w:szCs w:val="24"/>
        </w:rPr>
        <w:t xml:space="preserve">  </w:t>
      </w:r>
      <w:r w:rsidRPr="00611EC1">
        <w:rPr>
          <w:color w:val="1E1E1E"/>
          <w:spacing w:val="2"/>
          <w:szCs w:val="24"/>
        </w:rPr>
        <w:t xml:space="preserve">раз в день, с последующей отменой или продолжением приема в непрерывном режиме, </w:t>
      </w:r>
      <w:r w:rsidRPr="00611EC1">
        <w:rPr>
          <w:spacing w:val="2"/>
          <w:szCs w:val="24"/>
        </w:rPr>
        <w:t>в зависимости от клинической ситуации.</w:t>
      </w:r>
    </w:p>
    <w:p w14:paraId="6CDE96DA" w14:textId="77777777" w:rsidR="0048207C" w:rsidRPr="00611EC1" w:rsidRDefault="0048207C" w:rsidP="0048207C">
      <w:pPr>
        <w:ind w:left="142" w:firstLine="709"/>
        <w:rPr>
          <w:color w:val="000000"/>
          <w:szCs w:val="24"/>
          <w:shd w:val="clear" w:color="auto" w:fill="FFFFFF"/>
        </w:rPr>
      </w:pPr>
      <w:r w:rsidRPr="00611EC1">
        <w:rPr>
          <w:color w:val="1E1E1E"/>
          <w:spacing w:val="2"/>
          <w:szCs w:val="24"/>
        </w:rPr>
        <w:t xml:space="preserve">При тяжелых меноррагиях целесообразно «выключение» менструации </w:t>
      </w:r>
      <w:r w:rsidRPr="00611EC1">
        <w:rPr>
          <w:szCs w:val="24"/>
          <w:shd w:val="clear" w:color="auto" w:fill="FFFFFF"/>
        </w:rPr>
        <w:t>агонистами</w:t>
      </w:r>
      <w:r w:rsidRPr="00611EC1">
        <w:rPr>
          <w:color w:val="FF0000"/>
          <w:szCs w:val="24"/>
          <w:shd w:val="clear" w:color="auto" w:fill="FFFFFF"/>
        </w:rPr>
        <w:t xml:space="preserve"> </w:t>
      </w:r>
      <w:r w:rsidRPr="00611EC1">
        <w:rPr>
          <w:szCs w:val="24"/>
          <w:shd w:val="clear" w:color="auto" w:fill="FFFFFF"/>
        </w:rPr>
        <w:t xml:space="preserve">гонадотропин-рилизинг-гормона (ГнРГ) – гозерелин </w:t>
      </w:r>
      <w:r w:rsidRPr="00611EC1">
        <w:rPr>
          <w:color w:val="000000"/>
          <w:szCs w:val="24"/>
          <w:shd w:val="clear" w:color="auto" w:fill="FFFFFF"/>
        </w:rPr>
        <w:t>3,6 мг п/к 1 раз в 28 дней, курс терапии до 6 месяцев.</w:t>
      </w:r>
    </w:p>
    <w:p w14:paraId="324E20DB" w14:textId="461AAC9D" w:rsidR="0048207C" w:rsidRPr="00611EC1" w:rsidRDefault="0048207C" w:rsidP="0048207C">
      <w:pPr>
        <w:ind w:left="142" w:firstLine="709"/>
        <w:rPr>
          <w:color w:val="000000"/>
          <w:szCs w:val="24"/>
          <w:shd w:val="clear" w:color="auto" w:fill="FFFFFF"/>
        </w:rPr>
      </w:pPr>
      <w:r w:rsidRPr="00611EC1">
        <w:rPr>
          <w:color w:val="000000"/>
          <w:szCs w:val="24"/>
          <w:shd w:val="clear" w:color="auto" w:fill="FFFFFF"/>
        </w:rPr>
        <w:t xml:space="preserve">При длительном течении АМК также проводится утеротоническая терапия препаратом окситоцин в/в капельно по 10 МЕ на 100 мл 0,9% физиологического раствора до прекращения кровотечения, данная терапия применяется при исключении органической патологии матки. </w:t>
      </w:r>
    </w:p>
    <w:p w14:paraId="7A4F4E8B" w14:textId="77777777" w:rsidR="0048207C" w:rsidRPr="00611EC1" w:rsidRDefault="0048207C" w:rsidP="0048207C">
      <w:pPr>
        <w:ind w:left="142" w:firstLine="709"/>
        <w:rPr>
          <w:color w:val="000000"/>
          <w:szCs w:val="24"/>
        </w:rPr>
      </w:pPr>
      <w:r w:rsidRPr="00611EC1">
        <w:rPr>
          <w:szCs w:val="24"/>
          <w:shd w:val="clear" w:color="auto" w:fill="FFFFFF"/>
        </w:rPr>
        <w:t>При терапии АМК у гематологической пациентки с показаниями к лечению в раннем или позднем послеродовом периоде проводится терапия, направленная на подавление лактации – каберголин 0,5</w:t>
      </w:r>
      <w:r>
        <w:rPr>
          <w:szCs w:val="24"/>
          <w:shd w:val="clear" w:color="auto" w:fill="FFFFFF"/>
        </w:rPr>
        <w:t xml:space="preserve"> </w:t>
      </w:r>
      <w:r w:rsidRPr="00611EC1">
        <w:rPr>
          <w:szCs w:val="24"/>
          <w:shd w:val="clear" w:color="auto" w:fill="FFFFFF"/>
        </w:rPr>
        <w:t xml:space="preserve">мг </w:t>
      </w:r>
      <w:r w:rsidRPr="00611EC1">
        <w:rPr>
          <w:color w:val="000000"/>
          <w:szCs w:val="24"/>
        </w:rPr>
        <w:t>1 мг (2 таб.) однократно в первый день после родов, или  для подавления установившейся лактации по 0,25 мг (1/2 таб.) 2 р/сут через каждые 12 ч в течение 2 дней (общая доза 1 мг). </w:t>
      </w:r>
    </w:p>
    <w:p w14:paraId="4F85144B" w14:textId="085CEE56" w:rsidR="0048207C" w:rsidRPr="00611EC1" w:rsidRDefault="0048207C" w:rsidP="0048207C">
      <w:pPr>
        <w:ind w:left="142" w:firstLine="709"/>
        <w:rPr>
          <w:szCs w:val="24"/>
          <w:shd w:val="clear" w:color="auto" w:fill="FFFFFF"/>
        </w:rPr>
      </w:pPr>
      <w:r w:rsidRPr="00611EC1">
        <w:rPr>
          <w:szCs w:val="24"/>
          <w:shd w:val="clear" w:color="auto" w:fill="FFFFFF"/>
        </w:rPr>
        <w:t>При достижении гемостаза (купировании АМК) в последующем проводится противорецидивная терапия пероральными контрацептивами в контрацептивном режиме или в непрерывном режиме (постоянно).</w:t>
      </w:r>
    </w:p>
    <w:p w14:paraId="3F686D5E" w14:textId="77777777" w:rsidR="0048207C" w:rsidRPr="00611EC1" w:rsidRDefault="0048207C" w:rsidP="0048207C">
      <w:pPr>
        <w:ind w:left="142" w:firstLine="709"/>
        <w:rPr>
          <w:szCs w:val="24"/>
          <w:shd w:val="clear" w:color="auto" w:fill="FFFFFF"/>
        </w:rPr>
      </w:pPr>
      <w:r w:rsidRPr="00611EC1">
        <w:rPr>
          <w:szCs w:val="24"/>
          <w:shd w:val="clear" w:color="auto" w:fill="FFFFFF"/>
        </w:rPr>
        <w:t>При подозрении / подтверждении воспалительного процесса (эндомиометрит) и/или с профилактической целью целесообразно назначение антибактериальной терапии, после получения результатов посева флоры из влагалища и чувствительности к антибиотикам.</w:t>
      </w:r>
    </w:p>
    <w:p w14:paraId="24388D1C" w14:textId="77777777" w:rsidR="0048207C" w:rsidRDefault="0048207C" w:rsidP="0048207C">
      <w:pPr>
        <w:shd w:val="clear" w:color="auto" w:fill="FFFFFF"/>
        <w:rPr>
          <w:rFonts w:eastAsia="Times New Roman"/>
          <w:bCs/>
          <w:i/>
          <w:color w:val="333333"/>
          <w:szCs w:val="24"/>
          <w:u w:val="single"/>
          <w:lang w:eastAsia="ru-RU"/>
        </w:rPr>
      </w:pPr>
    </w:p>
    <w:p w14:paraId="288A3C79" w14:textId="66C9D880" w:rsidR="0048207C" w:rsidRPr="00611EC1" w:rsidRDefault="0048207C" w:rsidP="0048207C">
      <w:pPr>
        <w:shd w:val="clear" w:color="auto" w:fill="FFFFFF"/>
        <w:rPr>
          <w:rFonts w:eastAsia="Times New Roman"/>
          <w:bCs/>
          <w:i/>
          <w:color w:val="333333"/>
          <w:szCs w:val="24"/>
          <w:u w:val="single"/>
          <w:lang w:eastAsia="ru-RU"/>
        </w:rPr>
      </w:pPr>
      <w:r w:rsidRPr="00611EC1">
        <w:rPr>
          <w:rFonts w:eastAsia="Times New Roman"/>
          <w:bCs/>
          <w:i/>
          <w:color w:val="333333"/>
          <w:szCs w:val="24"/>
          <w:u w:val="single"/>
          <w:lang w:eastAsia="ru-RU"/>
        </w:rPr>
        <w:t>Хирургические методы гемостаза</w:t>
      </w:r>
      <w:r>
        <w:rPr>
          <w:rFonts w:eastAsia="Times New Roman"/>
          <w:bCs/>
          <w:i/>
          <w:color w:val="333333"/>
          <w:szCs w:val="24"/>
          <w:u w:val="single"/>
          <w:lang w:eastAsia="ru-RU"/>
        </w:rPr>
        <w:t xml:space="preserve"> </w:t>
      </w:r>
      <w:r>
        <w:rPr>
          <w:color w:val="1E1E1E"/>
          <w:spacing w:val="2"/>
          <w:szCs w:val="24"/>
        </w:rPr>
        <w:fldChar w:fldCharType="begin" w:fldLock="1"/>
      </w:r>
      <w:r w:rsidR="008074B4">
        <w:rPr>
          <w:color w:val="1E1E1E"/>
          <w:spacing w:val="2"/>
          <w:szCs w:val="24"/>
        </w:rPr>
        <w:instrText>ADDIN CSL_CITATION {"citationItems":[{"id":"ITEM-1","itemData":{"author":[{"dropping-particle":"","family":"Доброхотова","given":"Ю.Э.","non-dropping-particle":"","parse-names":false,"suffix":""},{"dropping-particle":"","family":"Сапрыкина","given":"Л.В.","non-dropping-particle":"","parse-names":false,"suffix":""},{"dropping-particle":"","family":"Филатова","given":"Л.А.","non-dropping-particle":"","parse-names":false,"suffix":""},{"dropping-particle":"","family":"Нариманова","given":"М.Р.","non-dropping-particle":"","parse-names":false,"suffix":""}],"container-title":"РМЖ. Мать и дитя","id":"ITEM-1","issue":"1","issued":{"date-parts":[["2020"]]},"page":"55-60","title":"Аномальные маточные кровотечения: алгоритмы ведения, методы терапии","type":"article-journal","volume":"3"},"uris":["http://www.mendeley.com/documents/?uuid=a12a992c-5fc5-4324-a2fd-7b01c09f94e9"]},{"id":"ITEM-2","itemData":{"author":[{"dropping-particle":"","family":"Чернуха","given":"Г.Е.","non-dropping-particle":"","parse-names":false,"suffix":""}],"container-title":"Гинекология: национальное руководство. Краткое издание. Под ред. Г.М. Савельевой. Г.Т. Сухих, В.Н. Серова, В.Е. Радзинского, И.Б. Манухина.","id":"ITEM-2","issued":{"date-parts":[["2020"]]},"page":"170-175","publisher":"М.: ГЭОТАР-Медиа","title":"Аномальные маточные кровотечения репродуктивного периода","type":"chapter"},"uris":["http://www.mendeley.com/documents/?uuid=2ef54431-bdc8-4c42-878d-b428dfa8ea1f"]}],"mendeley":{"formattedCitation":"[144,145]","plainTextFormattedCitation":"[144,145]","previouslyFormattedCitation":"[144,145]"},"properties":{"noteIndex":0},"schema":"https://github.com/citation-style-language/schema/raw/master/csl-citation.json"}</w:instrText>
      </w:r>
      <w:r>
        <w:rPr>
          <w:color w:val="1E1E1E"/>
          <w:spacing w:val="2"/>
          <w:szCs w:val="24"/>
        </w:rPr>
        <w:fldChar w:fldCharType="separate"/>
      </w:r>
      <w:r w:rsidR="002F1F20" w:rsidRPr="002F1F20">
        <w:rPr>
          <w:noProof/>
          <w:color w:val="1E1E1E"/>
          <w:spacing w:val="2"/>
          <w:szCs w:val="24"/>
        </w:rPr>
        <w:t>[144,145]</w:t>
      </w:r>
      <w:r>
        <w:rPr>
          <w:color w:val="1E1E1E"/>
          <w:spacing w:val="2"/>
          <w:szCs w:val="24"/>
        </w:rPr>
        <w:fldChar w:fldCharType="end"/>
      </w:r>
      <w:r w:rsidRPr="00611EC1">
        <w:rPr>
          <w:rFonts w:eastAsia="Times New Roman"/>
          <w:bCs/>
          <w:i/>
          <w:color w:val="333333"/>
          <w:szCs w:val="24"/>
          <w:u w:val="single"/>
          <w:lang w:eastAsia="ru-RU"/>
        </w:rPr>
        <w:t>.</w:t>
      </w:r>
    </w:p>
    <w:p w14:paraId="5A3EA481" w14:textId="77777777" w:rsidR="0048207C" w:rsidRPr="00611EC1" w:rsidRDefault="0048207C" w:rsidP="0048207C">
      <w:pPr>
        <w:ind w:left="142" w:firstLine="709"/>
        <w:rPr>
          <w:b/>
          <w:color w:val="000000"/>
          <w:szCs w:val="24"/>
          <w:shd w:val="clear" w:color="auto" w:fill="FFFFFF"/>
        </w:rPr>
      </w:pPr>
      <w:r w:rsidRPr="00611EC1">
        <w:rPr>
          <w:szCs w:val="24"/>
          <w:shd w:val="clear" w:color="auto" w:fill="FFFFFF"/>
        </w:rPr>
        <w:t>При неэффективности или неприменимости в определенной клинической ситуации консервативных методов гемостаза могут применяться хирургические методы остановки АМК.</w:t>
      </w:r>
    </w:p>
    <w:p w14:paraId="3039CBB2" w14:textId="77777777" w:rsidR="0048207C" w:rsidRPr="00611EC1" w:rsidRDefault="0048207C" w:rsidP="0091350E">
      <w:pPr>
        <w:pStyle w:val="aff"/>
        <w:numPr>
          <w:ilvl w:val="0"/>
          <w:numId w:val="61"/>
        </w:numPr>
        <w:ind w:firstLine="709"/>
        <w:contextualSpacing/>
        <w:rPr>
          <w:szCs w:val="24"/>
          <w:shd w:val="clear" w:color="auto" w:fill="FFFFFF"/>
        </w:rPr>
      </w:pPr>
      <w:r w:rsidRPr="00611EC1">
        <w:rPr>
          <w:szCs w:val="24"/>
          <w:shd w:val="clear" w:color="auto" w:fill="FFFFFF"/>
        </w:rPr>
        <w:t>Гистероскопия и раздельное диагностическое выскабливание стенок полости матки, резектоскопия при наличии внутриматочной патологии. Данная операция преследует как диагностическую (для исключения органической патологии полости матки), так и лечебную цель остановки АМК.</w:t>
      </w:r>
    </w:p>
    <w:p w14:paraId="3448358B" w14:textId="77777777" w:rsidR="0048207C" w:rsidRPr="00611EC1" w:rsidRDefault="0048207C" w:rsidP="0091350E">
      <w:pPr>
        <w:pStyle w:val="aff"/>
        <w:numPr>
          <w:ilvl w:val="0"/>
          <w:numId w:val="61"/>
        </w:numPr>
        <w:ind w:firstLine="709"/>
        <w:contextualSpacing/>
        <w:rPr>
          <w:szCs w:val="24"/>
          <w:shd w:val="clear" w:color="auto" w:fill="FFFFFF"/>
        </w:rPr>
      </w:pPr>
      <w:r w:rsidRPr="00611EC1">
        <w:rPr>
          <w:szCs w:val="24"/>
          <w:shd w:val="clear" w:color="auto" w:fill="FFFFFF"/>
        </w:rPr>
        <w:t>Гистерэктомия.</w:t>
      </w:r>
    </w:p>
    <w:p w14:paraId="513AF315" w14:textId="77777777" w:rsidR="0048207C" w:rsidRPr="00611EC1" w:rsidRDefault="0048207C" w:rsidP="0091350E">
      <w:pPr>
        <w:pStyle w:val="aff"/>
        <w:numPr>
          <w:ilvl w:val="0"/>
          <w:numId w:val="61"/>
        </w:numPr>
        <w:ind w:firstLine="709"/>
        <w:contextualSpacing/>
        <w:rPr>
          <w:szCs w:val="24"/>
          <w:shd w:val="clear" w:color="auto" w:fill="FFFFFF"/>
        </w:rPr>
      </w:pPr>
      <w:r w:rsidRPr="00611EC1">
        <w:rPr>
          <w:szCs w:val="24"/>
          <w:shd w:val="clear" w:color="auto" w:fill="FFFFFF"/>
        </w:rPr>
        <w:t>Эмболизация или склерозирование маточных сосудов — при их аномалиях.</w:t>
      </w:r>
    </w:p>
    <w:p w14:paraId="5D8C4172" w14:textId="77777777" w:rsidR="0048207C" w:rsidRPr="00611EC1" w:rsidRDefault="0048207C" w:rsidP="0091350E">
      <w:pPr>
        <w:pStyle w:val="aff"/>
        <w:numPr>
          <w:ilvl w:val="0"/>
          <w:numId w:val="61"/>
        </w:numPr>
        <w:ind w:firstLine="709"/>
        <w:contextualSpacing/>
        <w:rPr>
          <w:szCs w:val="24"/>
          <w:shd w:val="clear" w:color="auto" w:fill="FFFFFF"/>
        </w:rPr>
      </w:pPr>
      <w:r w:rsidRPr="00611EC1">
        <w:rPr>
          <w:szCs w:val="24"/>
          <w:shd w:val="clear" w:color="auto" w:fill="FFFFFF"/>
        </w:rPr>
        <w:t>Аблация эндометрия.</w:t>
      </w:r>
    </w:p>
    <w:p w14:paraId="68B7A3EE" w14:textId="77777777" w:rsidR="0048207C" w:rsidRPr="00611EC1" w:rsidRDefault="0048207C" w:rsidP="0048207C">
      <w:pPr>
        <w:pStyle w:val="aff"/>
        <w:ind w:firstLine="709"/>
        <w:rPr>
          <w:b/>
          <w:szCs w:val="24"/>
          <w:shd w:val="clear" w:color="auto" w:fill="FFFFFF"/>
        </w:rPr>
      </w:pPr>
    </w:p>
    <w:p w14:paraId="6818C26B" w14:textId="77777777" w:rsidR="0048207C" w:rsidRPr="00611EC1" w:rsidRDefault="0048207C" w:rsidP="0048207C">
      <w:pPr>
        <w:rPr>
          <w:b/>
          <w:szCs w:val="24"/>
        </w:rPr>
      </w:pPr>
      <w:r w:rsidRPr="00611EC1">
        <w:rPr>
          <w:b/>
          <w:szCs w:val="24"/>
        </w:rPr>
        <w:t>Методы профилактики АМК</w:t>
      </w:r>
      <w:r>
        <w:rPr>
          <w:b/>
          <w:szCs w:val="24"/>
        </w:rPr>
        <w:t>.</w:t>
      </w:r>
    </w:p>
    <w:p w14:paraId="18E75E5C" w14:textId="6FC4121B" w:rsidR="0048207C" w:rsidRPr="00611EC1" w:rsidRDefault="0048207C" w:rsidP="0048207C">
      <w:pPr>
        <w:shd w:val="clear" w:color="auto" w:fill="FFFFFF"/>
        <w:ind w:left="142" w:firstLine="709"/>
        <w:rPr>
          <w:szCs w:val="24"/>
          <w:shd w:val="clear" w:color="auto" w:fill="FFFFFF"/>
        </w:rPr>
      </w:pPr>
      <w:r w:rsidRPr="00611EC1">
        <w:rPr>
          <w:rFonts w:eastAsia="Times New Roman"/>
          <w:szCs w:val="24"/>
          <w:lang w:eastAsia="ru-RU"/>
        </w:rPr>
        <w:t>В репродуктивном периоде для профилактики АМК у пациенток с гематологической патологией в период проведения химиотерапии или другого лечения с риском развития АМК проводится циклическая или непрерывная терапия КОК, или гестагенами во 2-й фазе менструального цикла до 6 месяцев,</w:t>
      </w:r>
      <w:r w:rsidRPr="00611EC1">
        <w:rPr>
          <w:szCs w:val="24"/>
          <w:shd w:val="clear" w:color="auto" w:fill="FFFFFF"/>
        </w:rPr>
        <w:t xml:space="preserve"> или агонистами ГнРГ (гозерелин 3,6 мг п/к 1 раз в 28 дней, курс терапии до 6 месяцев)</w:t>
      </w:r>
      <w:r>
        <w:rPr>
          <w:szCs w:val="24"/>
          <w:shd w:val="clear" w:color="auto" w:fill="FFFFFF"/>
        </w:rPr>
        <w:t xml:space="preserve"> </w:t>
      </w:r>
      <w:r>
        <w:rPr>
          <w:color w:val="1E1E1E"/>
          <w:spacing w:val="2"/>
          <w:szCs w:val="24"/>
        </w:rPr>
        <w:fldChar w:fldCharType="begin" w:fldLock="1"/>
      </w:r>
      <w:r w:rsidR="008074B4">
        <w:rPr>
          <w:color w:val="1E1E1E"/>
          <w:spacing w:val="2"/>
          <w:szCs w:val="24"/>
        </w:rPr>
        <w:instrText>ADDIN CSL_CITATION {"citationItems":[{"id":"ITEM-1","itemData":{"author":[{"dropping-particle":"","family":"Доброхотова","given":"Ю.Э.","non-dropping-particle":"","parse-names":false,"suffix":""},{"dropping-particle":"","family":"Сапрыкина","given":"Л.В.","non-dropping-particle":"","parse-names":false,"suffix":""},{"dropping-particle":"","family":"Филатова","given":"Л.А.","non-dropping-particle":"","parse-names":false,"suffix":""},{"dropping-particle":"","family":"Нариманова","given":"М.Р.","non-dropping-particle":"","parse-names":false,"suffix":""}],"container-title":"РМЖ. Мать и дитя","id":"ITEM-1","issue":"1","issued":{"date-parts":[["2020"]]},"page":"55-60","title":"Аномальные маточные кровотечения: алгоритмы ведения, методы терапии","type":"article-journal","volume":"3"},"uris":["http://www.mendeley.com/documents/?uuid=a12a992c-5fc5-4324-a2fd-7b01c09f94e9"]},{"id":"ITEM-2","itemData":{"author":[{"dropping-particle":"","family":"Чернуха","given":"Г.Е.","non-dropping-particle":"","parse-names":false,"suffix":""}],"container-title":"Гинекология: национальное руководство. Краткое издание. Под ред. Г.М. Савельевой. Г.Т. Сухих, В.Н. Серова, В.Е. Радзинского, И.Б. Манухина.","id":"ITEM-2","issued":{"date-parts":[["2020"]]},"page":"170-175","publisher":"М.: ГЭОТАР-Медиа","title":"Аномальные маточные кровотечения репродуктивного периода","type":"chapter"},"uris":["http://www.mendeley.com/documents/?uuid=2ef54431-bdc8-4c42-878d-b428dfa8ea1f"]}],"mendeley":{"formattedCitation":"[144,145]","plainTextFormattedCitation":"[144,145]","previouslyFormattedCitation":"[144,145]"},"properties":{"noteIndex":0},"schema":"https://github.com/citation-style-language/schema/raw/master/csl-citation.json"}</w:instrText>
      </w:r>
      <w:r>
        <w:rPr>
          <w:color w:val="1E1E1E"/>
          <w:spacing w:val="2"/>
          <w:szCs w:val="24"/>
        </w:rPr>
        <w:fldChar w:fldCharType="separate"/>
      </w:r>
      <w:r w:rsidR="002F1F20" w:rsidRPr="002F1F20">
        <w:rPr>
          <w:noProof/>
          <w:color w:val="1E1E1E"/>
          <w:spacing w:val="2"/>
          <w:szCs w:val="24"/>
        </w:rPr>
        <w:t>[144,145]</w:t>
      </w:r>
      <w:r>
        <w:rPr>
          <w:color w:val="1E1E1E"/>
          <w:spacing w:val="2"/>
          <w:szCs w:val="24"/>
        </w:rPr>
        <w:fldChar w:fldCharType="end"/>
      </w:r>
      <w:r w:rsidRPr="00611EC1">
        <w:rPr>
          <w:szCs w:val="24"/>
          <w:shd w:val="clear" w:color="auto" w:fill="FFFFFF"/>
        </w:rPr>
        <w:t>.</w:t>
      </w:r>
    </w:p>
    <w:p w14:paraId="7F1BC0F1" w14:textId="77777777" w:rsidR="0048207C" w:rsidRPr="00611EC1" w:rsidRDefault="0048207C" w:rsidP="0048207C">
      <w:pPr>
        <w:shd w:val="clear" w:color="auto" w:fill="FFFFFF"/>
        <w:ind w:left="142" w:firstLine="709"/>
        <w:rPr>
          <w:szCs w:val="24"/>
          <w:shd w:val="clear" w:color="auto" w:fill="FFFFFF"/>
        </w:rPr>
      </w:pPr>
      <w:r w:rsidRPr="00611EC1">
        <w:rPr>
          <w:rFonts w:eastAsia="Times New Roman"/>
          <w:szCs w:val="24"/>
          <w:lang w:eastAsia="ru-RU"/>
        </w:rPr>
        <w:t xml:space="preserve">У пациенток с гематологической патологией в пре- и постменопаузальном периоде при необходимости выключения функции яичников для профилактики АМК (медикаментозная менопауза) применяются гестагены в непрерывном режиме – до 6 месяцев и </w:t>
      </w:r>
      <w:r w:rsidRPr="00611EC1">
        <w:rPr>
          <w:szCs w:val="24"/>
          <w:shd w:val="clear" w:color="auto" w:fill="FFFFFF"/>
        </w:rPr>
        <w:t xml:space="preserve"> агонисты ГнРГ (гозерелин 3,6 мг п/к 1 раз в 28 дней, курс терапии до 6</w:t>
      </w:r>
      <w:r>
        <w:rPr>
          <w:szCs w:val="24"/>
          <w:shd w:val="clear" w:color="auto" w:fill="FFFFFF"/>
        </w:rPr>
        <w:t xml:space="preserve"> </w:t>
      </w:r>
      <w:r w:rsidRPr="00611EC1">
        <w:rPr>
          <w:szCs w:val="24"/>
          <w:shd w:val="clear" w:color="auto" w:fill="FFFFFF"/>
        </w:rPr>
        <w:t>мес.).</w:t>
      </w:r>
    </w:p>
    <w:p w14:paraId="66C5CF5D" w14:textId="77777777" w:rsidR="0048207C" w:rsidRPr="00611EC1" w:rsidRDefault="0048207C" w:rsidP="0048207C">
      <w:pPr>
        <w:shd w:val="clear" w:color="auto" w:fill="FFFFFF"/>
        <w:ind w:firstLine="709"/>
        <w:rPr>
          <w:color w:val="000000"/>
          <w:szCs w:val="24"/>
          <w:shd w:val="clear" w:color="auto" w:fill="FFFFFF"/>
        </w:rPr>
      </w:pPr>
    </w:p>
    <w:p w14:paraId="6221B66A" w14:textId="19294925" w:rsidR="008074B4" w:rsidRDefault="007B0F3D" w:rsidP="008074B4">
      <w:pPr>
        <w:pStyle w:val="2"/>
      </w:pPr>
      <w:bookmarkStart w:id="42" w:name="_Toc65104107"/>
      <w:r>
        <w:t>7.9</w:t>
      </w:r>
      <w:bookmarkStart w:id="43" w:name="_Toc57985408"/>
      <w:bookmarkStart w:id="44" w:name="_Toc64295959"/>
      <w:r w:rsidR="008074B4">
        <w:t xml:space="preserve"> </w:t>
      </w:r>
      <w:r w:rsidR="008074B4" w:rsidRPr="00761653">
        <w:t xml:space="preserve">Диагностика и лечение </w:t>
      </w:r>
      <w:r w:rsidR="008074B4">
        <w:t xml:space="preserve">бактериальных </w:t>
      </w:r>
      <w:r w:rsidR="008074B4" w:rsidRPr="00761653">
        <w:t>инфекционных осложнений</w:t>
      </w:r>
      <w:bookmarkEnd w:id="42"/>
      <w:bookmarkEnd w:id="43"/>
      <w:bookmarkEnd w:id="44"/>
    </w:p>
    <w:p w14:paraId="425FF04D" w14:textId="0880939D" w:rsidR="008074B4" w:rsidRDefault="008074B4" w:rsidP="006D62FE">
      <w:pPr>
        <w:ind w:firstLine="709"/>
        <w:contextualSpacing/>
      </w:pPr>
      <w:r w:rsidRPr="00761653">
        <w:t xml:space="preserve">Инфекции являются ведущими осложнениями при лечении заболеваний системы крови. Наиболее высокая частота определяется у </w:t>
      </w:r>
      <w:r>
        <w:t>пациентов с</w:t>
      </w:r>
      <w:r w:rsidRPr="00761653">
        <w:t xml:space="preserve"> острыми лейкозами и у реципиентов аллогенного трансплантата стволовых гемопоэтических клеток (ТГСК), варьирует от 30 до 90%. </w:t>
      </w:r>
      <w:r>
        <w:t>Так, у</w:t>
      </w:r>
      <w:r w:rsidRPr="00761653">
        <w:t xml:space="preserve"> </w:t>
      </w:r>
      <w:r>
        <w:t>пациентов с</w:t>
      </w:r>
      <w:r w:rsidRPr="00761653">
        <w:t xml:space="preserve"> острыми миелоидными лейкозами инфекционные осложнения составляют 80-90% на этап</w:t>
      </w:r>
      <w:r>
        <w:t>ах</w:t>
      </w:r>
      <w:r w:rsidRPr="00761653">
        <w:t xml:space="preserve"> индукции</w:t>
      </w:r>
      <w:r>
        <w:t xml:space="preserve"> и</w:t>
      </w:r>
      <w:r w:rsidRPr="00761653">
        <w:t xml:space="preserve"> консолидации</w:t>
      </w:r>
      <w:r>
        <w:t xml:space="preserve"> ремиссии</w:t>
      </w:r>
      <w:r w:rsidRPr="00761653">
        <w:t xml:space="preserve">; у </w:t>
      </w:r>
      <w:r>
        <w:t>пациентов</w:t>
      </w:r>
      <w:r w:rsidRPr="00761653">
        <w:t xml:space="preserve">острыми лимфоидными лейкозами </w:t>
      </w:r>
      <w:r>
        <w:t xml:space="preserve">инфекции развиваются </w:t>
      </w:r>
      <w:r w:rsidRPr="00761653">
        <w:t xml:space="preserve">преимущественно </w:t>
      </w:r>
      <w:r>
        <w:t>на этапе</w:t>
      </w:r>
      <w:r w:rsidRPr="00761653">
        <w:t xml:space="preserve"> индукции </w:t>
      </w:r>
      <w:r>
        <w:t xml:space="preserve">ремиссии </w:t>
      </w:r>
      <w:r w:rsidRPr="00761653">
        <w:t xml:space="preserve">(55%), реже – в </w:t>
      </w:r>
      <w:r>
        <w:t xml:space="preserve">период </w:t>
      </w:r>
      <w:r w:rsidRPr="00761653">
        <w:t xml:space="preserve">консолидации </w:t>
      </w:r>
      <w:r>
        <w:t xml:space="preserve">ремиссии </w:t>
      </w:r>
      <w:r w:rsidRPr="00761653">
        <w:t xml:space="preserve">(10%), у реципиентов аллогенных ТГСК </w:t>
      </w:r>
      <w:r>
        <w:t xml:space="preserve">– </w:t>
      </w:r>
      <w:r w:rsidRPr="00761653">
        <w:t>в период гранулоцитопении на этапе приживления гемопоэтических клеток (40-70%) и при развитии реакции “трансплантат против хозяина” (10-70%)</w:t>
      </w:r>
      <w:r>
        <w:t xml:space="preserve"> </w:t>
      </w:r>
      <w:r>
        <w:fldChar w:fldCharType="begin" w:fldLock="1"/>
      </w:r>
      <w:r w:rsidR="00AB4A77">
        <w:instrText>ADDIN CSL_CITATION {"citationItems":[{"id":"ITEM-1","itemData":{"author":[{"dropping-particle":"","family":"Охмат","given":"В.А.","non-dropping-particle":"","parse-names":false,"suffix":""},{"dropping-particle":"","family":"Клясова","given":"Г.А.","non-dropping-particle":"","parse-names":false,"suffix":""},{"dropping-particle":"","family":"Паровичникова","given":"Е.Н.","non-dropping-particle":"","parse-names":false,"suffix":""},{"dropping-particle":"","family":"Троицкая","given":"В.В.","non-dropping-particle":"","parse-names":false,"suffix":""},{"dropping-particle":"","family":"Грибанова","given":"Е.О.","non-dropping-particle":"","parse-names":false,"suffix":""},{"dropping-particle":"","family":"Мальчикова","given":"А.О.","non-dropping-particle":"","parse-names":false,"suffix":""}],"container-title":"Гематология и трансфузиология","id":"ITEM-1","issue":"1","issued":{"date-parts":[["2017"]]},"page":"9-15","title":"Спектр и этиология инфекционных осложнений у больных острыми миелоидными лейкозами на этапах индукции и консолидации ремиссии","type":"article-journal","volume":"62"},"uris":["http://www.mendeley.com/documents/?uuid=670c7c5c-e2e4-48d9-8249-1d0418a53840"]},{"id":"ITEM-2","itemData":{"author":[{"dropping-particle":"","family":"Охмат","given":"В.А.","non-dropping-particle":"","parse-names":false,"suffix":""},{"dropping-particle":"","family":"Клясова","given":"Г.А.","non-dropping-particle":"","parse-names":false,"suffix":""},{"dropping-particle":"","family":"Паровичникова","given":"Е.Н.","non-dropping-particle":"","parse-names":false,"suffix":""},{"dropping-particle":"","family":"Троицкая","given":"В.В.","non-dropping-particle":"","parse-names":false,"suffix":""},{"dropping-particle":"","family":"Грибанова","given":"Е.О.","non-dropping-particle":"","parse-names":false,"suffix":""},{"dropping-particle":"","family":"Мальчикова","given":"А.О.","non-dropping-particle":"","parse-names":false,"suffix":""},{"dropping-particle":"","family":"Коробова","given":"А.Г.","non-dropping-particle":"","parse-names":false,"suffix":""},{"dropping-particle":"","family":"Фролова","given":"И.Н.","non-dropping-particle":"","parse-names":false,"suffix":""},{"dropping-particle":"","family":"Савченко","given":"В.Г.","non-dropping-particle":"","parse-names":false,"suffix":""}],"container-title":"Онкогематология","id":"ITEM-2","issue":"3","issued":{"date-parts":[["2017"]]},"page":"31-40","title":"Инфекционные осложнения у взрослых больных острыми лимфобластными лейкозами на разных этапах химиотерапии по протоколу ОЛЛ-2009.","type":"article-journal","volume":"12"},"uris":["http://www.mendeley.com/documents/?uuid=810418fa-d337-48c2-843d-da3d3f2ec2c8"]}],"mendeley":{"formattedCitation":"[146,147]","plainTextFormattedCitation":"[146,147]","previouslyFormattedCitation":"[146,147]"},"properties":{"noteIndex":0},"schema":"https://github.com/citation-style-language/schema/raw/master/csl-citation.json"}</w:instrText>
      </w:r>
      <w:r>
        <w:fldChar w:fldCharType="separate"/>
      </w:r>
      <w:r w:rsidRPr="008074B4">
        <w:rPr>
          <w:noProof/>
        </w:rPr>
        <w:t>[146,147]</w:t>
      </w:r>
      <w:r>
        <w:fldChar w:fldCharType="end"/>
      </w:r>
      <w:r w:rsidRPr="00761653">
        <w:t xml:space="preserve">. У других категорий </w:t>
      </w:r>
      <w:r>
        <w:t>пациентов</w:t>
      </w:r>
      <w:r w:rsidRPr="00761653">
        <w:t xml:space="preserve"> </w:t>
      </w:r>
      <w:r>
        <w:t xml:space="preserve">с лейкозами и лимфомами </w:t>
      </w:r>
      <w:r w:rsidRPr="00761653">
        <w:t xml:space="preserve">частота инфекционных осложнений варьирует от 10 до 30%, </w:t>
      </w:r>
      <w:r>
        <w:t xml:space="preserve">она </w:t>
      </w:r>
      <w:r w:rsidRPr="00761653">
        <w:t xml:space="preserve">выше в </w:t>
      </w:r>
      <w:r>
        <w:t xml:space="preserve">период </w:t>
      </w:r>
      <w:r w:rsidRPr="00761653">
        <w:t>индукции</w:t>
      </w:r>
      <w:r>
        <w:t xml:space="preserve"> ремиссии</w:t>
      </w:r>
      <w:r w:rsidRPr="00761653">
        <w:t>, при резистентном варианте опухоли, при высокодозной химиотерапии</w:t>
      </w:r>
      <w:r>
        <w:t xml:space="preserve">, </w:t>
      </w:r>
      <w:r w:rsidRPr="0076198F">
        <w:t>при сопуствующей гипогаммаглобулинемии, в период вынужденной гиподинамии и постоянного постельного режима</w:t>
      </w:r>
      <w:r w:rsidRPr="00761653">
        <w:t xml:space="preserve">.  </w:t>
      </w:r>
    </w:p>
    <w:p w14:paraId="7592941C" w14:textId="77777777" w:rsidR="008074B4" w:rsidRPr="00761653" w:rsidRDefault="008074B4" w:rsidP="006D62FE">
      <w:pPr>
        <w:ind w:firstLine="709"/>
      </w:pPr>
      <w:r w:rsidRPr="00761653">
        <w:t xml:space="preserve">Инфекционные осложнения у </w:t>
      </w:r>
      <w:r>
        <w:t>пациентов</w:t>
      </w:r>
      <w:r w:rsidRPr="00761653">
        <w:t xml:space="preserve"> с </w:t>
      </w:r>
      <w:r>
        <w:t>лимфомами</w:t>
      </w:r>
      <w:r w:rsidRPr="00761653">
        <w:t xml:space="preserve"> характеризуются разнообразием как по этиологии, так и по локализации инфекционного процесса. </w:t>
      </w:r>
      <w:r>
        <w:t xml:space="preserve">Ниже </w:t>
      </w:r>
      <w:r w:rsidRPr="00761653">
        <w:t xml:space="preserve">представлен комплекс лабораторных исследований для диагностики инфекционных осложнений, а также подходы к их терапии, которые отличаются </w:t>
      </w:r>
      <w:r>
        <w:t>в зависимости от наличия/отсутствия</w:t>
      </w:r>
      <w:r w:rsidRPr="00761653">
        <w:t xml:space="preserve"> нейтропении.</w:t>
      </w:r>
    </w:p>
    <w:p w14:paraId="1348E3B8" w14:textId="77777777" w:rsidR="008074B4" w:rsidRDefault="008074B4" w:rsidP="006D62FE">
      <w:pPr>
        <w:widowControl w:val="0"/>
        <w:autoSpaceDE w:val="0"/>
        <w:autoSpaceDN w:val="0"/>
        <w:adjustRightInd w:val="0"/>
        <w:ind w:right="49" w:firstLine="709"/>
        <w:contextualSpacing/>
      </w:pPr>
      <w:r w:rsidRPr="00761653">
        <w:t xml:space="preserve">Основным фактором, определяющим развитие инфекционных осложнений у </w:t>
      </w:r>
      <w:r>
        <w:t xml:space="preserve">гематологических пациентов, </w:t>
      </w:r>
      <w:r w:rsidRPr="00761653">
        <w:t>является нейтропения (нейтрофил</w:t>
      </w:r>
      <w:r>
        <w:t>ы</w:t>
      </w:r>
      <w:r w:rsidRPr="00761653">
        <w:t xml:space="preserve"> &lt;</w:t>
      </w:r>
      <w:r>
        <w:t xml:space="preserve"> </w:t>
      </w:r>
      <w:r w:rsidRPr="00761653">
        <w:t>0,5</w:t>
      </w:r>
      <w:r>
        <w:t> </w:t>
      </w:r>
      <w:r w:rsidRPr="00761653">
        <w:t>х</w:t>
      </w:r>
      <w:r>
        <w:t> </w:t>
      </w:r>
      <w:r w:rsidRPr="00761653">
        <w:t>10</w:t>
      </w:r>
      <w:r w:rsidRPr="00761653">
        <w:rPr>
          <w:vertAlign w:val="superscript"/>
        </w:rPr>
        <w:t>9</w:t>
      </w:r>
      <w:r w:rsidRPr="00761653">
        <w:t>/л) или лейкопения (лейкоцит</w:t>
      </w:r>
      <w:r>
        <w:t>ы</w:t>
      </w:r>
      <w:r w:rsidRPr="00761653">
        <w:t xml:space="preserve"> ≤ 1</w:t>
      </w:r>
      <w:r>
        <w:t> </w:t>
      </w:r>
      <w:r w:rsidRPr="00761653">
        <w:t>000</w:t>
      </w:r>
      <w:r>
        <w:t> </w:t>
      </w:r>
      <w:r w:rsidRPr="00761653">
        <w:t>х</w:t>
      </w:r>
      <w:r>
        <w:t> </w:t>
      </w:r>
      <w:r w:rsidRPr="00761653">
        <w:t>10</w:t>
      </w:r>
      <w:r w:rsidRPr="00761653">
        <w:rPr>
          <w:vertAlign w:val="superscript"/>
        </w:rPr>
        <w:t>9</w:t>
      </w:r>
      <w:r w:rsidRPr="00761653">
        <w:t>/л)</w:t>
      </w:r>
      <w:r>
        <w:t xml:space="preserve">, а также </w:t>
      </w:r>
      <w:r w:rsidRPr="00761653">
        <w:t>длительность</w:t>
      </w:r>
      <w:r>
        <w:t xml:space="preserve"> нейтропении –</w:t>
      </w:r>
      <w:r w:rsidRPr="00761653">
        <w:t xml:space="preserve"> </w:t>
      </w:r>
      <w:r>
        <w:t>ч</w:t>
      </w:r>
      <w:r w:rsidRPr="00761653">
        <w:t xml:space="preserve">астота инфекций существенно возрастает при длительности нейтропении </w:t>
      </w:r>
      <w:r>
        <w:t>более</w:t>
      </w:r>
      <w:r w:rsidRPr="00761653">
        <w:t xml:space="preserve"> 10 дней. Риск развития инфекций возрастает при нарушении фагоцитарной функции</w:t>
      </w:r>
      <w:r>
        <w:t xml:space="preserve"> нейтрофилов</w:t>
      </w:r>
      <w:r w:rsidRPr="00761653">
        <w:t>, при дефектах клеточного и гуморального иммунитета, повреждении слизистых оболочек желудочно-кишечного тракта</w:t>
      </w:r>
      <w:r>
        <w:t xml:space="preserve"> (</w:t>
      </w:r>
      <w:r w:rsidRPr="00761653">
        <w:t>особенно мукозитах III-IV степени</w:t>
      </w:r>
      <w:r>
        <w:t>)</w:t>
      </w:r>
      <w:r w:rsidRPr="00761653">
        <w:t>, наличии центрального венозного катетера (ЦВК). Источником развити</w:t>
      </w:r>
      <w:r>
        <w:t>я</w:t>
      </w:r>
      <w:r w:rsidRPr="00761653">
        <w:t xml:space="preserve"> инфекции, как правило, является желудочно-кишечный тракт, когда активно происходит транслокация микрооргани</w:t>
      </w:r>
      <w:r>
        <w:t>з</w:t>
      </w:r>
      <w:r w:rsidRPr="00761653">
        <w:t xml:space="preserve">мов со слизистой оболочки, поврежденной в результате химиотерапии. Другие </w:t>
      </w:r>
      <w:r>
        <w:t xml:space="preserve">основные </w:t>
      </w:r>
      <w:r w:rsidRPr="00761653">
        <w:t xml:space="preserve">входные ворота инфекции при нейтропении – ЦВК. </w:t>
      </w:r>
    </w:p>
    <w:p w14:paraId="6E54D2E5" w14:textId="77777777" w:rsidR="008074B4" w:rsidRDefault="008074B4" w:rsidP="008074B4">
      <w:pPr>
        <w:widowControl w:val="0"/>
        <w:autoSpaceDE w:val="0"/>
        <w:autoSpaceDN w:val="0"/>
        <w:adjustRightInd w:val="0"/>
        <w:ind w:right="49"/>
        <w:contextualSpacing/>
        <w:rPr>
          <w:b/>
        </w:rPr>
      </w:pPr>
    </w:p>
    <w:p w14:paraId="472B9F37" w14:textId="77777777" w:rsidR="008074B4" w:rsidRPr="005A451C" w:rsidRDefault="008074B4" w:rsidP="008074B4">
      <w:pPr>
        <w:widowControl w:val="0"/>
        <w:autoSpaceDE w:val="0"/>
        <w:autoSpaceDN w:val="0"/>
        <w:adjustRightInd w:val="0"/>
        <w:ind w:right="49"/>
        <w:contextualSpacing/>
        <w:rPr>
          <w:bCs/>
          <w:i/>
          <w:iCs/>
          <w:u w:val="single"/>
        </w:rPr>
      </w:pPr>
      <w:r w:rsidRPr="005A451C">
        <w:rPr>
          <w:bCs/>
          <w:i/>
          <w:iCs/>
          <w:u w:val="single"/>
        </w:rPr>
        <w:t>Этиология инфекционных осложнений</w:t>
      </w:r>
    </w:p>
    <w:p w14:paraId="6F87DCEA" w14:textId="75454EA4" w:rsidR="008074B4" w:rsidRPr="00761653" w:rsidRDefault="008074B4" w:rsidP="006D62FE">
      <w:pPr>
        <w:widowControl w:val="0"/>
        <w:autoSpaceDE w:val="0"/>
        <w:autoSpaceDN w:val="0"/>
        <w:adjustRightInd w:val="0"/>
        <w:ind w:right="49" w:firstLine="709"/>
        <w:contextualSpacing/>
      </w:pPr>
      <w:r w:rsidRPr="00761653">
        <w:t xml:space="preserve">Этиологическая структура возбудителей у </w:t>
      </w:r>
      <w:r>
        <w:t>гематологических пациентов, в том числе, пациентов с лимфомами, разнообразна</w:t>
      </w:r>
      <w:r w:rsidRPr="00761653">
        <w:t xml:space="preserve"> и включает бактерии, грибы (дрожжевые и плесневые), герпесвирусы. В первые 7-10 дней инфекционный процесс, как правило, бывает обусловлен бактериями, а по мере удлинения нейтропении возрастает риск возникновения инвазивного аспергиллеза</w:t>
      </w:r>
      <w:r>
        <w:t xml:space="preserve"> </w:t>
      </w:r>
      <w:r>
        <w:fldChar w:fldCharType="begin" w:fldLock="1"/>
      </w:r>
      <w:r w:rsidR="00AB4A77">
        <w:instrText>ADDIN CSL_CITATION {"citationItems":[{"id":"ITEM-1","itemData":{"author":[{"dropping-particle":"","family":"Охмат","given":"В.А.","non-dropping-particle":"","parse-names":false,"suffix":""},{"dropping-particle":"","family":"Клясова","given":"Г.А.","non-dropping-particle":"","parse-names":false,"suffix":""},{"dropping-particle":"","family":"Паровичникова","given":"Е.Н.","non-dropping-particle":"","parse-names":false,"suffix":""},{"dropping-particle":"","family":"Троицкая","given":"В.В.","non-dropping-particle":"","parse-names":false,"suffix":""},{"dropping-particle":"","family":"Грибанова","given":"Е.О.","non-dropping-particle":"","parse-names":false,"suffix":""},{"dropping-particle":"","family":"Мальчикова","given":"А.О.","non-dropping-particle":"","parse-names":false,"suffix":""}],"container-title":"Гематология и трансфузиология","id":"ITEM-1","issue":"1","issued":{"date-parts":[["2017"]]},"page":"9-15","title":"Спектр и этиология инфекционных осложнений у больных острыми миелоидными лейкозами на этапах индукции и консолидации ремиссии","type":"article-journal","volume":"62"},"uris":["http://www.mendeley.com/documents/?uuid=670c7c5c-e2e4-48d9-8249-1d0418a53840"]}],"mendeley":{"formattedCitation":"[146]","plainTextFormattedCitation":"[146]","previouslyFormattedCitation":"[146]"},"properties":{"noteIndex":0},"schema":"https://github.com/citation-style-language/schema/raw/master/csl-citation.json"}</w:instrText>
      </w:r>
      <w:r>
        <w:fldChar w:fldCharType="separate"/>
      </w:r>
      <w:r w:rsidRPr="008074B4">
        <w:rPr>
          <w:noProof/>
        </w:rPr>
        <w:t>[146]</w:t>
      </w:r>
      <w:r>
        <w:fldChar w:fldCharType="end"/>
      </w:r>
      <w:r w:rsidRPr="00761653">
        <w:t>. В этиологии инфекций кровотока на долю грамотрицательных бактерий приходится 49,7%, грамположительных бактерий - 42,7%, дрожжеподобных грибов – 7,4%</w:t>
      </w:r>
      <w:r>
        <w:t xml:space="preserve"> </w:t>
      </w:r>
      <w:r>
        <w:fldChar w:fldCharType="begin" w:fldLock="1"/>
      </w:r>
      <w:r w:rsidR="00AB4A77">
        <w:instrText>ADDIN CSL_CITATION {"citationItems":[{"id":"ITEM-1","itemData":{"author":[{"dropping-particle":"","family":"Клясова","given":"Г.А.","non-dropping-particle":"","parse-names":false,"suffix":""},{"dropping-particle":"","family":"Сперанская","given":"Л.Л.","non-dropping-particle":"","parse-names":false,"suffix":""},{"dropping-particle":"","family":"Миронова","given":"А.В.","non-dropping-particle":"","parse-names":false,"suffix":""},{"dropping-particle":"","family":"Масчан","given":"М.А.","non-dropping-particle":"","parse-names":false,"suffix":""},{"dropping-particle":"","family":"Байдильдина","given":"Д.Д.","non-dropping-particle":"","parse-names":false,"suffix":""},{"dropping-particle":"","family":"Верещагина","given":"С.А.","non-dropping-particle":"","parse-names":false,"suffix":""}],"container-title":"Гематология и трансфузиология","id":"ITEM-1","issue":"1","issued":{"date-parts":[["2007"]]},"page":"11-18","title":"Возбудители сепсиса у иммунокомпрометированных больных: структура и проблемы антибиотикорезистентности (результаты многоцентрового исследования)","type":"article-journal","volume":"52"},"uris":["http://www.mendeley.com/documents/?uuid=a67a3b5b-694b-4305-ae30-c4295284ead1"]}],"mendeley":{"formattedCitation":"[148]","plainTextFormattedCitation":"[148]","previouslyFormattedCitation":"[148]"},"properties":{"noteIndex":0},"schema":"https://github.com/citation-style-language/schema/raw/master/csl-citation.json"}</w:instrText>
      </w:r>
      <w:r>
        <w:fldChar w:fldCharType="separate"/>
      </w:r>
      <w:r w:rsidRPr="008074B4">
        <w:rPr>
          <w:noProof/>
        </w:rPr>
        <w:t>[148]</w:t>
      </w:r>
      <w:r>
        <w:fldChar w:fldCharType="end"/>
      </w:r>
      <w:r w:rsidRPr="00761653">
        <w:t xml:space="preserve">. Основными возбудителями сепсиса являются </w:t>
      </w:r>
      <w:r w:rsidRPr="00761653">
        <w:rPr>
          <w:i/>
          <w:iCs/>
        </w:rPr>
        <w:t>Escherichia coli</w:t>
      </w:r>
      <w:r w:rsidRPr="00761653">
        <w:t xml:space="preserve"> (17,8%), коагулазонегативные стафилококки (17,4%), </w:t>
      </w:r>
      <w:r w:rsidRPr="00761653">
        <w:rPr>
          <w:i/>
          <w:iCs/>
        </w:rPr>
        <w:t>Enterococcus</w:t>
      </w:r>
      <w:r w:rsidRPr="00761653">
        <w:t xml:space="preserve"> spp. (10,3%), </w:t>
      </w:r>
      <w:r w:rsidRPr="00761653">
        <w:rPr>
          <w:i/>
          <w:iCs/>
        </w:rPr>
        <w:t>Pseudomonas aeruginosa</w:t>
      </w:r>
      <w:r w:rsidRPr="00761653">
        <w:t xml:space="preserve"> (7,6%), </w:t>
      </w:r>
      <w:r w:rsidRPr="00761653">
        <w:rPr>
          <w:i/>
          <w:iCs/>
        </w:rPr>
        <w:t>Klebsiella pneumoniae</w:t>
      </w:r>
      <w:r w:rsidRPr="00761653">
        <w:t xml:space="preserve"> (8,2%). В последние годы увеличилась детекция </w:t>
      </w:r>
      <w:r w:rsidRPr="00761653">
        <w:rPr>
          <w:i/>
          <w:iCs/>
        </w:rPr>
        <w:t>Acinetobacte</w:t>
      </w:r>
      <w:r w:rsidRPr="00761653">
        <w:rPr>
          <w:i/>
        </w:rPr>
        <w:t>r</w:t>
      </w:r>
      <w:r w:rsidRPr="00761653">
        <w:t xml:space="preserve"> spp. и </w:t>
      </w:r>
      <w:r w:rsidRPr="00761653">
        <w:rPr>
          <w:i/>
          <w:iCs/>
        </w:rPr>
        <w:t>Stenotrophomonas maltophilia</w:t>
      </w:r>
      <w:r w:rsidRPr="00761653">
        <w:t xml:space="preserve">, и они входят в число пяти ведущих грамотрицательных бактерий при инфекциях кровотока после </w:t>
      </w:r>
      <w:r w:rsidRPr="00761653">
        <w:rPr>
          <w:i/>
          <w:iCs/>
        </w:rPr>
        <w:t>E.coli</w:t>
      </w:r>
      <w:r w:rsidRPr="00761653">
        <w:t xml:space="preserve">, </w:t>
      </w:r>
      <w:r w:rsidRPr="00761653">
        <w:rPr>
          <w:i/>
          <w:iCs/>
        </w:rPr>
        <w:t>K. pneumoniae, P.aeruginosa</w:t>
      </w:r>
      <w:r w:rsidRPr="00761653">
        <w:t>.</w:t>
      </w:r>
    </w:p>
    <w:p w14:paraId="4A32F857" w14:textId="582934B5" w:rsidR="008074B4" w:rsidRPr="00761653" w:rsidRDefault="008074B4" w:rsidP="006D62FE">
      <w:pPr>
        <w:widowControl w:val="0"/>
        <w:autoSpaceDE w:val="0"/>
        <w:autoSpaceDN w:val="0"/>
        <w:adjustRightInd w:val="0"/>
        <w:ind w:right="49" w:firstLine="709"/>
        <w:contextualSpacing/>
      </w:pPr>
      <w:r w:rsidRPr="00761653">
        <w:t>Основными механизмами устойчивости у энтеробактерий являются продукция бета-лактамаз расширенного спектра (БЛРС</w:t>
      </w:r>
      <w:r>
        <w:t>) –</w:t>
      </w:r>
      <w:r w:rsidRPr="00761653">
        <w:t xml:space="preserve"> </w:t>
      </w:r>
      <w:r>
        <w:t xml:space="preserve">в </w:t>
      </w:r>
      <w:r w:rsidRPr="00761653">
        <w:t xml:space="preserve">40-50% </w:t>
      </w:r>
      <w:r>
        <w:t xml:space="preserve">случаев, </w:t>
      </w:r>
      <w:r w:rsidRPr="00761653">
        <w:t xml:space="preserve">и детекция карбапенемаз, преимущественно у </w:t>
      </w:r>
      <w:r w:rsidRPr="00761653">
        <w:rPr>
          <w:i/>
        </w:rPr>
        <w:t xml:space="preserve">K. pneumoniae </w:t>
      </w:r>
      <w:r w:rsidRPr="00761653">
        <w:t xml:space="preserve">(10-30%). Устойчивость </w:t>
      </w:r>
      <w:r w:rsidRPr="00761653">
        <w:rPr>
          <w:i/>
        </w:rPr>
        <w:t>P. aerugino</w:t>
      </w:r>
      <w:r w:rsidRPr="00761653">
        <w:t xml:space="preserve">sa составляет к карбапенемам и колистину 40-50% и 29%, соответственно, шатммов </w:t>
      </w:r>
      <w:r w:rsidRPr="00761653">
        <w:rPr>
          <w:i/>
        </w:rPr>
        <w:t>Acinetobacter baumannii</w:t>
      </w:r>
      <w:r w:rsidRPr="00761653">
        <w:t xml:space="preserve"> к карбапенемам - 65-70%</w:t>
      </w:r>
      <w:r>
        <w:t xml:space="preserve"> </w:t>
      </w:r>
      <w:r>
        <w:fldChar w:fldCharType="begin" w:fldLock="1"/>
      </w:r>
      <w:r w:rsidR="00AB4A77">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mendeley":{"formattedCitation":"[149]","plainTextFormattedCitation":"[149]","previouslyFormattedCitation":"[149]"},"properties":{"noteIndex":0},"schema":"https://github.com/citation-style-language/schema/raw/master/csl-citation.json"}</w:instrText>
      </w:r>
      <w:r>
        <w:fldChar w:fldCharType="separate"/>
      </w:r>
      <w:r w:rsidRPr="008074B4">
        <w:rPr>
          <w:noProof/>
        </w:rPr>
        <w:t>[149]</w:t>
      </w:r>
      <w:r>
        <w:fldChar w:fldCharType="end"/>
      </w:r>
      <w:r w:rsidRPr="00761653">
        <w:t xml:space="preserve">. Среди грамположительных бактерий отмечена устойчивость </w:t>
      </w:r>
      <w:r w:rsidRPr="00761653">
        <w:rPr>
          <w:i/>
          <w:iCs/>
        </w:rPr>
        <w:t xml:space="preserve">Enterococcus faecium </w:t>
      </w:r>
      <w:r w:rsidRPr="00761653">
        <w:t xml:space="preserve">к ванкомицину (15%). Для грибов рода </w:t>
      </w:r>
      <w:r w:rsidRPr="00761653">
        <w:rPr>
          <w:i/>
        </w:rPr>
        <w:t>Candida</w:t>
      </w:r>
      <w:r w:rsidRPr="00761653">
        <w:t xml:space="preserve"> характерно снижение доли </w:t>
      </w:r>
      <w:r w:rsidRPr="00761653">
        <w:rPr>
          <w:i/>
        </w:rPr>
        <w:t>С. albicans</w:t>
      </w:r>
      <w:r w:rsidRPr="00761653">
        <w:t xml:space="preserve"> до 30% и широкое видовое разнообразие </w:t>
      </w:r>
      <w:r w:rsidRPr="00761653">
        <w:rPr>
          <w:i/>
          <w:iCs/>
        </w:rPr>
        <w:t>Candida</w:t>
      </w:r>
      <w:r w:rsidRPr="00761653">
        <w:t xml:space="preserve"> non-</w:t>
      </w:r>
      <w:r w:rsidRPr="00761653">
        <w:rPr>
          <w:i/>
          <w:iCs/>
        </w:rPr>
        <w:t>albicans</w:t>
      </w:r>
      <w:r>
        <w:rPr>
          <w:i/>
          <w:iCs/>
        </w:rPr>
        <w:t xml:space="preserve"> </w:t>
      </w:r>
      <w:r>
        <w:rPr>
          <w:i/>
          <w:iCs/>
        </w:rPr>
        <w:fldChar w:fldCharType="begin" w:fldLock="1"/>
      </w:r>
      <w:r w:rsidR="00AB4A77">
        <w:rPr>
          <w:i/>
          <w:iCs/>
        </w:rPr>
        <w:instrText>ADDIN CSL_CITATION {"citationItems":[{"id":"ITEM-1","itemData":{"author":[{"dropping-particle":"","family":"Клясова","given":"Г.А.","non-dropping-particle":"","parse-names":false,"suffix":""},{"dropping-particle":"","family":"Сперанская","given":"Л.Л.","non-dropping-particle":"","parse-names":false,"suffix":""},{"dropping-particle":"","family":"Миронова","given":"А.В.","non-dropping-particle":"","parse-names":false,"suffix":""},{"dropping-particle":"","family":"Масчан","given":"М.А.","non-dropping-particle":"","parse-names":false,"suffix":""},{"dropping-particle":"","family":"Байдильдина","given":"Д.Д.","non-dropping-particle":"","parse-names":false,"suffix":""},{"dropping-particle":"","family":"Верещагина","given":"С.А.","non-dropping-particle":"","parse-names":false,"suffix":""}],"container-title":"Гематология и трансфузиология","id":"ITEM-1","issue":"1","issued":{"date-parts":[["2007"]]},"page":"11-18","title":"Возбудители сепсиса у иммунокомпрометированных больных: структура и проблемы антибиотикорезистентности (результаты многоцентрового исследования)","type":"article-journal","volume":"52"},"uris":["http://www.mendeley.com/documents/?uuid=a67a3b5b-694b-4305-ae30-c4295284ead1"]}],"mendeley":{"formattedCitation":"[148]","plainTextFormattedCitation":"[148]","previouslyFormattedCitation":"[148]"},"properties":{"noteIndex":0},"schema":"https://github.com/citation-style-language/schema/raw/master/csl-citation.json"}</w:instrText>
      </w:r>
      <w:r>
        <w:rPr>
          <w:i/>
          <w:iCs/>
        </w:rPr>
        <w:fldChar w:fldCharType="separate"/>
      </w:r>
      <w:r w:rsidRPr="008074B4">
        <w:rPr>
          <w:iCs/>
          <w:noProof/>
        </w:rPr>
        <w:t>[148]</w:t>
      </w:r>
      <w:r>
        <w:rPr>
          <w:i/>
          <w:iCs/>
        </w:rPr>
        <w:fldChar w:fldCharType="end"/>
      </w:r>
      <w:r w:rsidRPr="00761653">
        <w:t>.</w:t>
      </w:r>
    </w:p>
    <w:p w14:paraId="206DFAD9" w14:textId="77777777" w:rsidR="008074B4" w:rsidRDefault="008074B4" w:rsidP="008074B4">
      <w:pPr>
        <w:widowControl w:val="0"/>
        <w:autoSpaceDE w:val="0"/>
        <w:autoSpaceDN w:val="0"/>
        <w:adjustRightInd w:val="0"/>
        <w:ind w:right="49"/>
        <w:contextualSpacing/>
        <w:rPr>
          <w:b/>
        </w:rPr>
      </w:pPr>
    </w:p>
    <w:p w14:paraId="363D171F" w14:textId="77777777" w:rsidR="008074B4" w:rsidRPr="00CD4DE7" w:rsidRDefault="008074B4" w:rsidP="008074B4">
      <w:pPr>
        <w:widowControl w:val="0"/>
        <w:autoSpaceDE w:val="0"/>
        <w:autoSpaceDN w:val="0"/>
        <w:adjustRightInd w:val="0"/>
        <w:ind w:right="49"/>
        <w:contextualSpacing/>
        <w:rPr>
          <w:bCs/>
          <w:i/>
          <w:iCs/>
          <w:u w:val="single"/>
        </w:rPr>
      </w:pPr>
      <w:r w:rsidRPr="00CD4DE7">
        <w:rPr>
          <w:bCs/>
          <w:i/>
          <w:iCs/>
          <w:u w:val="single"/>
        </w:rPr>
        <w:t>Клинические проявления инфекций</w:t>
      </w:r>
    </w:p>
    <w:p w14:paraId="60ACD441" w14:textId="77777777" w:rsidR="008074B4" w:rsidRDefault="008074B4" w:rsidP="003C6226">
      <w:pPr>
        <w:widowControl w:val="0"/>
        <w:autoSpaceDE w:val="0"/>
        <w:autoSpaceDN w:val="0"/>
        <w:adjustRightInd w:val="0"/>
        <w:ind w:right="49" w:firstLine="709"/>
        <w:contextualSpacing/>
      </w:pPr>
      <w:r w:rsidRPr="00761653">
        <w:t xml:space="preserve">Для инфекций периода нейтропении/лейкопении характерными признаками являются </w:t>
      </w:r>
    </w:p>
    <w:p w14:paraId="6157B334" w14:textId="77777777" w:rsidR="008074B4" w:rsidRDefault="008074B4" w:rsidP="0091350E">
      <w:pPr>
        <w:pStyle w:val="aff"/>
        <w:widowControl w:val="0"/>
        <w:numPr>
          <w:ilvl w:val="0"/>
          <w:numId w:val="72"/>
        </w:numPr>
        <w:autoSpaceDE w:val="0"/>
        <w:autoSpaceDN w:val="0"/>
        <w:adjustRightInd w:val="0"/>
        <w:ind w:right="49"/>
        <w:contextualSpacing/>
      </w:pPr>
      <w:r w:rsidRPr="00940E71">
        <w:t xml:space="preserve">скудность </w:t>
      </w:r>
      <w:r>
        <w:t xml:space="preserve">клинических проявлений; </w:t>
      </w:r>
    </w:p>
    <w:p w14:paraId="7C82B9D0" w14:textId="77777777" w:rsidR="008074B4" w:rsidRDefault="008074B4" w:rsidP="0091350E">
      <w:pPr>
        <w:pStyle w:val="aff"/>
        <w:widowControl w:val="0"/>
        <w:numPr>
          <w:ilvl w:val="0"/>
          <w:numId w:val="72"/>
        </w:numPr>
        <w:autoSpaceDE w:val="0"/>
        <w:autoSpaceDN w:val="0"/>
        <w:adjustRightInd w:val="0"/>
        <w:ind w:right="49"/>
        <w:contextualSpacing/>
      </w:pPr>
      <w:r w:rsidRPr="00940E71">
        <w:t>вероятность наличия одновременно разных возбудителей и разной локал</w:t>
      </w:r>
      <w:r>
        <w:t xml:space="preserve">изации инфекционного процесса; </w:t>
      </w:r>
    </w:p>
    <w:p w14:paraId="3E1F5E4B" w14:textId="77777777" w:rsidR="008074B4" w:rsidRPr="00940E71" w:rsidRDefault="008074B4" w:rsidP="0091350E">
      <w:pPr>
        <w:pStyle w:val="aff"/>
        <w:widowControl w:val="0"/>
        <w:numPr>
          <w:ilvl w:val="0"/>
          <w:numId w:val="72"/>
        </w:numPr>
        <w:autoSpaceDE w:val="0"/>
        <w:autoSpaceDN w:val="0"/>
        <w:adjustRightInd w:val="0"/>
        <w:ind w:right="49"/>
        <w:contextualSpacing/>
      </w:pPr>
      <w:r w:rsidRPr="00940E71">
        <w:t xml:space="preserve">возможность появления других возбудителей и другого по локализации инфекционного процесса по мере удлинения </w:t>
      </w:r>
      <w:r>
        <w:t xml:space="preserve">периода </w:t>
      </w:r>
      <w:r w:rsidRPr="00940E71">
        <w:t xml:space="preserve">нейтропении. </w:t>
      </w:r>
    </w:p>
    <w:p w14:paraId="5471354B" w14:textId="77777777" w:rsidR="008074B4" w:rsidRPr="00761653" w:rsidRDefault="008074B4" w:rsidP="00CD4F41">
      <w:pPr>
        <w:widowControl w:val="0"/>
        <w:autoSpaceDE w:val="0"/>
        <w:autoSpaceDN w:val="0"/>
        <w:adjustRightInd w:val="0"/>
        <w:ind w:right="49" w:firstLine="709"/>
        <w:contextualSpacing/>
      </w:pPr>
      <w:r w:rsidRPr="00761653">
        <w:t>Под лихорадкой подразумевают однократно зарегистрированное повышение температуры тела ≥38,0°С, не связанное с другими причинами</w:t>
      </w:r>
      <w:r>
        <w:t xml:space="preserve"> (</w:t>
      </w:r>
      <w:r w:rsidRPr="00761653">
        <w:t>реакции на трансфузии компонентов крови</w:t>
      </w:r>
      <w:r>
        <w:t xml:space="preserve">, на </w:t>
      </w:r>
      <w:r w:rsidRPr="00761653">
        <w:t>вводимы</w:t>
      </w:r>
      <w:r>
        <w:t>е</w:t>
      </w:r>
      <w:r w:rsidRPr="00761653">
        <w:t xml:space="preserve"> медикамент</w:t>
      </w:r>
      <w:r>
        <w:t>ы</w:t>
      </w:r>
      <w:r w:rsidRPr="00761653">
        <w:t>, опухолевая лихоракдка</w:t>
      </w:r>
      <w:r>
        <w:t>)</w:t>
      </w:r>
      <w:r w:rsidRPr="00761653">
        <w:t>.</w:t>
      </w:r>
    </w:p>
    <w:p w14:paraId="1616541E" w14:textId="77777777" w:rsidR="008074B4" w:rsidRPr="00761653" w:rsidRDefault="008074B4" w:rsidP="00CD4F41">
      <w:pPr>
        <w:widowControl w:val="0"/>
        <w:autoSpaceDE w:val="0"/>
        <w:autoSpaceDN w:val="0"/>
        <w:adjustRightInd w:val="0"/>
        <w:ind w:right="49" w:firstLine="709"/>
        <w:contextualSpacing/>
      </w:pPr>
      <w:r w:rsidRPr="00761653">
        <w:t xml:space="preserve">Существует обобщающий термин “фебрильная нейтропения”, включающий все случаи фебрильной температуры у </w:t>
      </w:r>
      <w:r>
        <w:t>пациентов</w:t>
      </w:r>
      <w:r w:rsidRPr="00761653">
        <w:t xml:space="preserve"> с нейтропенией/лейкопенией. К клинически доказанным относят случаи инфекции, которые удается верифицировать с помощью физикальных или инструментальных методов диагностики при отсутствии микробиологического подтверждения. Наиболее частыми проявлениями клинически дока</w:t>
      </w:r>
      <w:r>
        <w:t>занных инфекций</w:t>
      </w:r>
      <w:r w:rsidRPr="00761653">
        <w:t xml:space="preserve"> являются пневмония, инфекция мягких тканей, инфекция промежности</w:t>
      </w:r>
      <w:r>
        <w:t xml:space="preserve"> (в т. ч. парапроктит)</w:t>
      </w:r>
      <w:r w:rsidRPr="00761653">
        <w:t xml:space="preserve">. Микробиологическим подтверждением инфекции в период гранулоцитопении в большинстве случаев является выделение микроорганизмов из гемокультуры. </w:t>
      </w:r>
    </w:p>
    <w:p w14:paraId="71A5BC84" w14:textId="77777777" w:rsidR="008074B4" w:rsidRDefault="008074B4" w:rsidP="008074B4">
      <w:pPr>
        <w:widowControl w:val="0"/>
        <w:autoSpaceDE w:val="0"/>
        <w:autoSpaceDN w:val="0"/>
        <w:adjustRightInd w:val="0"/>
        <w:ind w:right="49"/>
        <w:contextualSpacing/>
        <w:rPr>
          <w:b/>
        </w:rPr>
      </w:pPr>
    </w:p>
    <w:p w14:paraId="7E3E07F0" w14:textId="77777777" w:rsidR="008074B4" w:rsidRPr="00CD4DE7" w:rsidRDefault="008074B4" w:rsidP="008074B4">
      <w:pPr>
        <w:widowControl w:val="0"/>
        <w:autoSpaceDE w:val="0"/>
        <w:autoSpaceDN w:val="0"/>
        <w:adjustRightInd w:val="0"/>
        <w:ind w:right="49"/>
        <w:contextualSpacing/>
        <w:rPr>
          <w:bCs/>
          <w:i/>
          <w:iCs/>
          <w:u w:val="single"/>
        </w:rPr>
      </w:pPr>
      <w:r w:rsidRPr="00CD4DE7">
        <w:rPr>
          <w:bCs/>
          <w:i/>
          <w:iCs/>
          <w:u w:val="single"/>
        </w:rPr>
        <w:t>Диагностика инфекционных осложнений.</w:t>
      </w:r>
    </w:p>
    <w:p w14:paraId="2CC38949" w14:textId="77777777" w:rsidR="008074B4" w:rsidRPr="0076198F" w:rsidRDefault="008074B4" w:rsidP="00CD4F41">
      <w:pPr>
        <w:ind w:firstLine="709"/>
      </w:pPr>
      <w:r w:rsidRPr="0076198F">
        <w:t xml:space="preserve">Во всех случаях </w:t>
      </w:r>
      <w:r>
        <w:t xml:space="preserve">вероятного или установленного </w:t>
      </w:r>
      <w:r w:rsidRPr="0076198F">
        <w:t>инфекционного процесса следует активно проводить диагностику, направленную на выявление, как очагов инфекции, так и этиологических агентов.</w:t>
      </w:r>
    </w:p>
    <w:p w14:paraId="64767C2D" w14:textId="77777777" w:rsidR="008074B4" w:rsidRPr="0076198F" w:rsidRDefault="008074B4" w:rsidP="00CD4F41">
      <w:pPr>
        <w:ind w:firstLine="709"/>
      </w:pPr>
      <w:r w:rsidRPr="0076198F">
        <w:t xml:space="preserve">При подозрении на инфекцию образцы клинического материала от </w:t>
      </w:r>
      <w:r>
        <w:t>пациента</w:t>
      </w:r>
      <w:r w:rsidRPr="0076198F">
        <w:t xml:space="preserve"> должны быть взяты незамедлительно. </w:t>
      </w:r>
      <w:r>
        <w:t>Необходимо</w:t>
      </w:r>
      <w:r w:rsidRPr="0076198F">
        <w:t xml:space="preserve"> пристально</w:t>
      </w:r>
      <w:r>
        <w:t>е</w:t>
      </w:r>
      <w:r w:rsidRPr="0076198F">
        <w:t xml:space="preserve"> внимания и проведени</w:t>
      </w:r>
      <w:r>
        <w:t>е</w:t>
      </w:r>
      <w:r w:rsidRPr="0076198F">
        <w:t xml:space="preserve"> тщательных микробиологических исследований у </w:t>
      </w:r>
      <w:r>
        <w:t>пациентов</w:t>
      </w:r>
      <w:r w:rsidRPr="0076198F">
        <w:t>, принимающих глюкокортико</w:t>
      </w:r>
      <w:r>
        <w:t>стероиды, и у лиц пожилого возраста, так как у</w:t>
      </w:r>
      <w:r w:rsidRPr="0076198F">
        <w:t xml:space="preserve"> этой группы пациентов у 70% тяжелобольных в возрасте </w:t>
      </w:r>
      <w:r>
        <w:t>старше</w:t>
      </w:r>
      <w:r w:rsidRPr="0076198F">
        <w:t xml:space="preserve"> 66 лет септицемия может протекать </w:t>
      </w:r>
      <w:r>
        <w:t xml:space="preserve">с нормотермией или умеренным </w:t>
      </w:r>
      <w:r w:rsidRPr="0076198F">
        <w:t>субфебрил</w:t>
      </w:r>
      <w:r>
        <w:t>итетом</w:t>
      </w:r>
      <w:r w:rsidRPr="0076198F">
        <w:t xml:space="preserve">. </w:t>
      </w:r>
    </w:p>
    <w:p w14:paraId="3086AF34" w14:textId="77777777" w:rsidR="008074B4" w:rsidRPr="0076198F" w:rsidRDefault="008074B4" w:rsidP="00CD4F41">
      <w:pPr>
        <w:ind w:firstLine="709"/>
      </w:pPr>
      <w:r w:rsidRPr="0076198F">
        <w:t xml:space="preserve">При нейтропении ежедневно проводят тщательный осмотр пациента, который наряду с обычными терапевтическими стандартами обследования </w:t>
      </w:r>
      <w:r>
        <w:t>включает следующие подходы:</w:t>
      </w:r>
      <w:r w:rsidRPr="0076198F">
        <w:t xml:space="preserve"> </w:t>
      </w:r>
    </w:p>
    <w:p w14:paraId="39FC2419" w14:textId="77777777" w:rsidR="008074B4" w:rsidRPr="0076198F" w:rsidRDefault="008074B4" w:rsidP="0091350E">
      <w:pPr>
        <w:pStyle w:val="aff"/>
        <w:numPr>
          <w:ilvl w:val="0"/>
          <w:numId w:val="83"/>
        </w:numPr>
        <w:tabs>
          <w:tab w:val="left" w:pos="0"/>
          <w:tab w:val="left" w:pos="567"/>
        </w:tabs>
        <w:ind w:left="993" w:hanging="426"/>
      </w:pPr>
      <w:r w:rsidRPr="0076198F">
        <w:t>активный опрос больного относительно возможных симптомов инфекции, включая наличие болей по ходу пищевода, в промежности</w:t>
      </w:r>
      <w:r>
        <w:t>;</w:t>
      </w:r>
    </w:p>
    <w:p w14:paraId="1901B47E" w14:textId="77777777" w:rsidR="008074B4" w:rsidRPr="0076198F" w:rsidRDefault="008074B4" w:rsidP="0091350E">
      <w:pPr>
        <w:pStyle w:val="aff"/>
        <w:numPr>
          <w:ilvl w:val="0"/>
          <w:numId w:val="83"/>
        </w:numPr>
        <w:tabs>
          <w:tab w:val="left" w:pos="0"/>
          <w:tab w:val="left" w:pos="567"/>
        </w:tabs>
        <w:ind w:left="993" w:hanging="426"/>
      </w:pPr>
      <w:r w:rsidRPr="0076198F">
        <w:t>ежедневный осмотр слизистой оболочки полости рта при нейтропении, особенно периодонта. Обращают внимание на рыхлость, отек слизистой оболочки (мукозит), наличие налетов, язв</w:t>
      </w:r>
      <w:r>
        <w:t>;</w:t>
      </w:r>
    </w:p>
    <w:p w14:paraId="7175FE57" w14:textId="77777777" w:rsidR="008074B4" w:rsidRPr="0076198F" w:rsidRDefault="008074B4" w:rsidP="0091350E">
      <w:pPr>
        <w:pStyle w:val="aff"/>
        <w:numPr>
          <w:ilvl w:val="0"/>
          <w:numId w:val="83"/>
        </w:numPr>
        <w:tabs>
          <w:tab w:val="left" w:pos="0"/>
          <w:tab w:val="left" w:pos="567"/>
        </w:tabs>
        <w:ind w:left="993" w:hanging="426"/>
      </w:pPr>
      <w:r w:rsidRPr="0076198F">
        <w:t>осмотр кожи в отношении возможного появления септикопиемических очагов при лихорадке, даже в отсутствие жалоб</w:t>
      </w:r>
      <w:r>
        <w:t xml:space="preserve"> (п</w:t>
      </w:r>
      <w:r w:rsidRPr="0076198F">
        <w:t>ри лечении глюкокортико</w:t>
      </w:r>
      <w:r>
        <w:t>стеро</w:t>
      </w:r>
      <w:r w:rsidRPr="0076198F">
        <w:t>идами септикопиемические очаги могут быть при нормальной температуре</w:t>
      </w:r>
      <w:r>
        <w:t xml:space="preserve"> тела);</w:t>
      </w:r>
    </w:p>
    <w:p w14:paraId="56AB5520" w14:textId="77777777" w:rsidR="008074B4" w:rsidRPr="0076198F" w:rsidRDefault="008074B4" w:rsidP="0091350E">
      <w:pPr>
        <w:pStyle w:val="aff"/>
        <w:numPr>
          <w:ilvl w:val="0"/>
          <w:numId w:val="83"/>
        </w:numPr>
        <w:tabs>
          <w:tab w:val="left" w:pos="0"/>
          <w:tab w:val="left" w:pos="567"/>
        </w:tabs>
        <w:ind w:left="993" w:hanging="426"/>
      </w:pPr>
      <w:r w:rsidRPr="0076198F">
        <w:t>осмотр места установки венозного катетера</w:t>
      </w:r>
      <w:r>
        <w:t>;</w:t>
      </w:r>
      <w:r w:rsidRPr="0076198F">
        <w:t xml:space="preserve"> </w:t>
      </w:r>
    </w:p>
    <w:p w14:paraId="05EDA0D8" w14:textId="77777777" w:rsidR="008074B4" w:rsidRPr="0076198F" w:rsidRDefault="008074B4" w:rsidP="0091350E">
      <w:pPr>
        <w:pStyle w:val="aff"/>
        <w:numPr>
          <w:ilvl w:val="0"/>
          <w:numId w:val="83"/>
        </w:numPr>
        <w:tabs>
          <w:tab w:val="left" w:pos="0"/>
          <w:tab w:val="left" w:pos="567"/>
        </w:tabs>
        <w:ind w:left="993" w:hanging="426"/>
      </w:pPr>
      <w:r w:rsidRPr="0076198F">
        <w:t>внимательная аускультация грудной клетки</w:t>
      </w:r>
      <w:r>
        <w:t xml:space="preserve"> (ж</w:t>
      </w:r>
      <w:r w:rsidRPr="0076198F">
        <w:t>есткое дыхание в отсутствие хрипов, минимальное количество влажных хрипов на ограниченном участке могут быть начальным проявлением пневмонии</w:t>
      </w:r>
      <w:r>
        <w:t>);</w:t>
      </w:r>
      <w:r w:rsidRPr="0076198F">
        <w:t xml:space="preserve"> </w:t>
      </w:r>
    </w:p>
    <w:p w14:paraId="08402762" w14:textId="77777777" w:rsidR="008074B4" w:rsidRPr="0076198F" w:rsidRDefault="008074B4" w:rsidP="0091350E">
      <w:pPr>
        <w:pStyle w:val="aff"/>
        <w:numPr>
          <w:ilvl w:val="0"/>
          <w:numId w:val="83"/>
        </w:numPr>
        <w:tabs>
          <w:tab w:val="left" w:pos="0"/>
          <w:tab w:val="left" w:pos="567"/>
        </w:tabs>
        <w:ind w:left="993" w:hanging="426"/>
      </w:pPr>
      <w:r w:rsidRPr="0076198F">
        <w:t>тщательная пальпация живота</w:t>
      </w:r>
      <w:r>
        <w:t xml:space="preserve"> (п</w:t>
      </w:r>
      <w:r w:rsidRPr="0076198F">
        <w:t>ервые симптомы псевдомембранозного колита —</w:t>
      </w:r>
      <w:r>
        <w:t xml:space="preserve"> </w:t>
      </w:r>
      <w:r w:rsidRPr="0076198F">
        <w:t>появление боли или «урчание» при пальпации в правой подвздошной области (область слепой кишки).</w:t>
      </w:r>
    </w:p>
    <w:p w14:paraId="203394D3" w14:textId="77777777" w:rsidR="008074B4" w:rsidRDefault="008074B4" w:rsidP="00CD4F41">
      <w:pPr>
        <w:widowControl w:val="0"/>
        <w:autoSpaceDE w:val="0"/>
        <w:autoSpaceDN w:val="0"/>
        <w:adjustRightInd w:val="0"/>
        <w:ind w:right="49" w:firstLine="709"/>
        <w:contextualSpacing/>
      </w:pPr>
      <w:r w:rsidRPr="00761653">
        <w:t xml:space="preserve">Для </w:t>
      </w:r>
      <w:r w:rsidRPr="00284D51">
        <w:rPr>
          <w:i/>
          <w:iCs/>
        </w:rPr>
        <w:t>микробиологического исследования крови</w:t>
      </w:r>
      <w:r w:rsidRPr="00761653">
        <w:t xml:space="preserve"> используют автоматический анализатор для гемокультур. Проводят исследование у </w:t>
      </w:r>
      <w:r>
        <w:t>пациентов</w:t>
      </w:r>
      <w:r w:rsidRPr="00761653">
        <w:t xml:space="preserve"> с температурой ≥38°С или наличии септикопиемических очагов на коже. Кровь берут одновременно из вены и из ЦВК или из двух разных вен в 2-4 флакона (аэробы/анаэробы), предназначенных для инкубирования в автоматическом анализаторе для гемокультур. На основании разницы во времени регистрации положительной гемокультуры, взятой одновременно из ЦВК и из вены может быть заподозрено инфицирование ЦВК. В этом случае положительная гемокультура, взятая из ЦВК, опережает на 2 часа и более положительную гемокультуру из вены. Кровь для микробиологического исследования проводят с максимальным соблюдением правил асептики, в каждый флакон вводят 10 мл крови </w:t>
      </w:r>
      <w:r>
        <w:t>пациента</w:t>
      </w:r>
      <w:r w:rsidRPr="00761653">
        <w:t xml:space="preserve">. Введение меньшего объема крови снижает вероятность получения положительной гемокультуры. При инфекции кровотока выделение коагулазонегативных стафилококков и </w:t>
      </w:r>
      <w:r w:rsidRPr="00761653">
        <w:rPr>
          <w:i/>
          <w:iCs/>
        </w:rPr>
        <w:t xml:space="preserve">Corynebacterium </w:t>
      </w:r>
      <w:r w:rsidRPr="00761653">
        <w:t xml:space="preserve">spp. должно быть подтверждено двумя положительными гемокультурами, поскольку эти микроорганизмы принадлежат к облигатной микрофлоре, и детекция их только в одном из двух флаконов расценивается как контаминация исследуемых образцов крови (облигатная микрофлора). </w:t>
      </w:r>
    </w:p>
    <w:p w14:paraId="75E11B4C" w14:textId="77777777" w:rsidR="008074B4" w:rsidRPr="00761653" w:rsidRDefault="008074B4" w:rsidP="00CD4F41">
      <w:pPr>
        <w:widowControl w:val="0"/>
        <w:autoSpaceDE w:val="0"/>
        <w:autoSpaceDN w:val="0"/>
        <w:adjustRightInd w:val="0"/>
        <w:ind w:right="49" w:firstLine="709"/>
        <w:contextualSpacing/>
      </w:pPr>
      <w:r w:rsidRPr="00284D51">
        <w:rPr>
          <w:i/>
          <w:iCs/>
        </w:rPr>
        <w:t>Центральный венозный катетер (ЦВК) удаляют и направляют на микробиологическое исследование при подозрении на катетер-ассоциированную инфекцию</w:t>
      </w:r>
      <w:r w:rsidRPr="00761653">
        <w:t xml:space="preserve"> (разница во времени детекции положительной гемокультуры, взятой одновременно из вены и из ЦВК), при выделении из гемокультуры дрожжевых или плесневых грибов, при переводе </w:t>
      </w:r>
      <w:r>
        <w:t>пациента</w:t>
      </w:r>
      <w:r w:rsidRPr="00761653">
        <w:t xml:space="preserve"> из другого стационара с ЦВК (высокая вероятность инфицирования ЦВК). Для бактериологического исследования в лабораторию направляют асептически удаленный дистальный отрезок катетера длиной 5-6 см в стерильной емкости. Исследование ЦВК проводят полуколичественным (метод Маки) или количественным методом. Диагностически значимым подтверждением инфицирования ЦВК является выделение микроорганизмов в количестве ≥15 колониеобразующих единиц (КОЕ) при полуколичественном исследовании, или ≥10</w:t>
      </w:r>
      <w:r w:rsidRPr="00761653">
        <w:rPr>
          <w:vertAlign w:val="superscript"/>
        </w:rPr>
        <w:t>3</w:t>
      </w:r>
      <w:r w:rsidRPr="00761653">
        <w:t xml:space="preserve"> КОЕ/мл - при количественном исследовании. </w:t>
      </w:r>
    </w:p>
    <w:p w14:paraId="57E118BC" w14:textId="77777777" w:rsidR="008074B4" w:rsidRPr="00761653" w:rsidRDefault="008074B4" w:rsidP="00CD4F41">
      <w:pPr>
        <w:widowControl w:val="0"/>
        <w:autoSpaceDE w:val="0"/>
        <w:autoSpaceDN w:val="0"/>
        <w:adjustRightInd w:val="0"/>
        <w:ind w:right="49" w:firstLine="709"/>
        <w:contextualSpacing/>
      </w:pPr>
      <w:r w:rsidRPr="00761653">
        <w:t>При наличии признаков воспаления и отделяемого в месте установки ЦВК проводят микробиологическое исследование мазков из этой области. Исследуют мазки на наличие нетуберкулезных микобактерий, если изменения на коже в области ЦВК приобретают хронический характер. Не проводят рутинное исследование всех удаленных катетеров.</w:t>
      </w:r>
    </w:p>
    <w:p w14:paraId="717ED450" w14:textId="77777777" w:rsidR="008074B4" w:rsidRPr="00761653" w:rsidRDefault="008074B4" w:rsidP="00CD4F41">
      <w:pPr>
        <w:widowControl w:val="0"/>
        <w:tabs>
          <w:tab w:val="left" w:pos="0"/>
        </w:tabs>
        <w:autoSpaceDE w:val="0"/>
        <w:autoSpaceDN w:val="0"/>
        <w:adjustRightInd w:val="0"/>
        <w:ind w:right="49" w:firstLine="709"/>
        <w:contextualSpacing/>
      </w:pPr>
      <w:r w:rsidRPr="00761653">
        <w:t>Показаниями для</w:t>
      </w:r>
      <w:r>
        <w:t xml:space="preserve"> </w:t>
      </w:r>
      <w:r w:rsidRPr="00284D51">
        <w:rPr>
          <w:i/>
          <w:iCs/>
        </w:rPr>
        <w:t>микробиологического исследования мочи</w:t>
      </w:r>
      <w:r w:rsidRPr="00761653">
        <w:t xml:space="preserve"> являются клинические симптомы инфекции мочевыводящих путей, лейкоцитурия, температура более 5 дней в период нейтропении. Для </w:t>
      </w:r>
      <w:r>
        <w:t xml:space="preserve">микробиологического </w:t>
      </w:r>
      <w:r w:rsidRPr="00761653">
        <w:t>исследования направляют утреннюю среднюю порцию мочи</w:t>
      </w:r>
      <w:r>
        <w:t xml:space="preserve">, </w:t>
      </w:r>
      <w:r w:rsidRPr="00D40538">
        <w:t>проводят исследования на наличие различных бактериальных патогенов</w:t>
      </w:r>
      <w:r>
        <w:t>, начиная с наиболее частых в гематологической практике (см. ниже)</w:t>
      </w:r>
      <w:r w:rsidRPr="00D40538">
        <w:t xml:space="preserve">. Бактериурия </w:t>
      </w:r>
      <w:r w:rsidRPr="00761653">
        <w:t xml:space="preserve">является диагностически значимой, если выделен </w:t>
      </w:r>
      <w:r w:rsidRPr="00761653">
        <w:rPr>
          <w:bCs/>
        </w:rPr>
        <w:t>один микроорганизм</w:t>
      </w:r>
      <w:r w:rsidRPr="00761653">
        <w:t xml:space="preserve"> в количестве ≥10</w:t>
      </w:r>
      <w:r w:rsidRPr="00761653">
        <w:rPr>
          <w:vertAlign w:val="superscript"/>
        </w:rPr>
        <w:t>3</w:t>
      </w:r>
      <w:r w:rsidRPr="00761653">
        <w:t> КОЕ/мл. Микробиологическое исследование мочи повторяют на следующий день, если выделены два микрорганизма в количестве ≥10</w:t>
      </w:r>
      <w:r w:rsidRPr="00761653">
        <w:rPr>
          <w:vertAlign w:val="superscript"/>
        </w:rPr>
        <w:t>3</w:t>
      </w:r>
      <w:r w:rsidRPr="00761653">
        <w:t xml:space="preserve"> КОЕ/мл. Повторное выделение тех же микроорганизмов, как в первом исследовании, подтверждает наличие инфекции мочевыводящих путей. В гематологии наиболее частыми возбудителями инфекции мочевыводящих путей в стационаре являются энтеробактерии, среди них </w:t>
      </w:r>
      <w:r w:rsidRPr="00761653">
        <w:rPr>
          <w:i/>
          <w:iCs/>
        </w:rPr>
        <w:t>E. coli,</w:t>
      </w:r>
      <w:r w:rsidRPr="00761653">
        <w:t xml:space="preserve"> далее следуют </w:t>
      </w:r>
      <w:r w:rsidRPr="00761653">
        <w:rPr>
          <w:i/>
          <w:iCs/>
        </w:rPr>
        <w:t>Enterococcus</w:t>
      </w:r>
      <w:r w:rsidRPr="00761653">
        <w:t xml:space="preserve"> spp., </w:t>
      </w:r>
      <w:r w:rsidRPr="00761653">
        <w:rPr>
          <w:i/>
          <w:iCs/>
        </w:rPr>
        <w:t>P. aeruginosa.</w:t>
      </w:r>
      <w:r w:rsidRPr="00761653">
        <w:t xml:space="preserve"> Неоднократное выделение из мочи </w:t>
      </w:r>
      <w:r w:rsidRPr="00761653">
        <w:rPr>
          <w:i/>
          <w:iCs/>
        </w:rPr>
        <w:t>Сandida</w:t>
      </w:r>
      <w:r w:rsidRPr="00761653">
        <w:t xml:space="preserve"> spp. у </w:t>
      </w:r>
      <w:r>
        <w:t>пациентов</w:t>
      </w:r>
      <w:r w:rsidRPr="00761653">
        <w:t xml:space="preserve"> с фебрильной нейтропенией может свидетельствовать о высокой вероятности наличия диссеминированного инвазивного кандидоза. Определяют чувствительность к антибиотикам всех микроорганизмов, выделенных в диагностически значимых количествах.</w:t>
      </w:r>
    </w:p>
    <w:p w14:paraId="29A3F01C" w14:textId="77777777" w:rsidR="008074B4" w:rsidRPr="00761653" w:rsidRDefault="008074B4" w:rsidP="00CD4F41">
      <w:pPr>
        <w:widowControl w:val="0"/>
        <w:tabs>
          <w:tab w:val="left" w:pos="0"/>
        </w:tabs>
        <w:autoSpaceDE w:val="0"/>
        <w:autoSpaceDN w:val="0"/>
        <w:adjustRightInd w:val="0"/>
        <w:ind w:right="49" w:firstLine="709"/>
        <w:contextualSpacing/>
      </w:pPr>
      <w:r w:rsidRPr="00761653">
        <w:t>Показания к</w:t>
      </w:r>
      <w:r>
        <w:t xml:space="preserve"> </w:t>
      </w:r>
      <w:r w:rsidRPr="00284D51">
        <w:rPr>
          <w:i/>
          <w:iCs/>
        </w:rPr>
        <w:t>микроскопическому, микробиологическому и молекулярно-биологическому исследованию спинномозговой жидкости</w:t>
      </w:r>
      <w:r>
        <w:t xml:space="preserve"> </w:t>
      </w:r>
      <w:r w:rsidRPr="00761653">
        <w:t>– наличие симптомов менингита, «мозговая» симптоматика на фоне фебрильной нейтропении, обнаружение очага (очагов) в головном мозге при компьютерной томографии</w:t>
      </w:r>
      <w:r>
        <w:t>/спиральной компьютерной томографии</w:t>
      </w:r>
      <w:r w:rsidRPr="00761653">
        <w:t xml:space="preserve"> (КТ</w:t>
      </w:r>
      <w:r>
        <w:t>/СКТ)</w:t>
      </w:r>
      <w:r w:rsidRPr="00761653">
        <w:t xml:space="preserve"> или магнитно-резонансной томографии (МРТ). Исследование спинномозговой жидкости (СМЖ) включает микроскопию, посев на бактерии и грибы, определение антигена </w:t>
      </w:r>
      <w:r w:rsidRPr="00761653">
        <w:rPr>
          <w:i/>
          <w:iCs/>
        </w:rPr>
        <w:t xml:space="preserve">Cryptococcus </w:t>
      </w:r>
      <w:r w:rsidRPr="00761653">
        <w:t xml:space="preserve">spp. (глюкороксиломаннан), определение антигена </w:t>
      </w:r>
      <w:r w:rsidRPr="00761653">
        <w:rPr>
          <w:i/>
          <w:iCs/>
        </w:rPr>
        <w:t>Aspergillus</w:t>
      </w:r>
      <w:r w:rsidRPr="00761653">
        <w:t xml:space="preserve"> spp. (галактоманнан) у </w:t>
      </w:r>
      <w:r>
        <w:t>пациентов</w:t>
      </w:r>
      <w:r w:rsidRPr="00761653">
        <w:t xml:space="preserve"> с инвазивным аспергиллезом легких или околоносовых пазух, определение дезоксирибонуклеиновой кислоты (ДНК) герпесвирусов методом полимеразной цепной реакции (ПЦР), при наличии нейтрофильного цитоза – определение антигенов бактерий (</w:t>
      </w:r>
      <w:r w:rsidRPr="00761653">
        <w:rPr>
          <w:i/>
          <w:iCs/>
        </w:rPr>
        <w:t>Streptococcus pneumoniae, Haemophilus</w:t>
      </w:r>
      <w:r w:rsidRPr="00761653">
        <w:t xml:space="preserve"> </w:t>
      </w:r>
      <w:r w:rsidRPr="00761653">
        <w:rPr>
          <w:i/>
          <w:iCs/>
        </w:rPr>
        <w:t>influenzae, Neisseria meningitidis,</w:t>
      </w:r>
      <w:r w:rsidRPr="00761653">
        <w:t xml:space="preserve"> стрептококки группы В), при наличии очагов в головном мозге – определение ДНК </w:t>
      </w:r>
      <w:r w:rsidRPr="00761653">
        <w:rPr>
          <w:i/>
          <w:iCs/>
        </w:rPr>
        <w:t>Toxoplasma gondii</w:t>
      </w:r>
      <w:r w:rsidRPr="00761653">
        <w:t xml:space="preserve"> методом ПЦР (группу риска представляют реципиенты аллогенной ТГСК).</w:t>
      </w:r>
    </w:p>
    <w:p w14:paraId="113F1D25" w14:textId="77777777" w:rsidR="008074B4" w:rsidRPr="00C73751" w:rsidRDefault="008074B4" w:rsidP="00CD4F41">
      <w:pPr>
        <w:widowControl w:val="0"/>
        <w:tabs>
          <w:tab w:val="left" w:pos="0"/>
        </w:tabs>
        <w:autoSpaceDE w:val="0"/>
        <w:autoSpaceDN w:val="0"/>
        <w:adjustRightInd w:val="0"/>
        <w:ind w:right="49" w:firstLine="709"/>
        <w:contextualSpacing/>
      </w:pPr>
      <w:r w:rsidRPr="00284D51">
        <w:rPr>
          <w:i/>
          <w:iCs/>
        </w:rPr>
        <w:t>Микробиологическое исследование кала</w:t>
      </w:r>
      <w:r>
        <w:t xml:space="preserve"> проводят </w:t>
      </w:r>
      <w:r w:rsidRPr="00761653">
        <w:t xml:space="preserve">у </w:t>
      </w:r>
      <w:r>
        <w:t>пациентов с диареей для о</w:t>
      </w:r>
      <w:r w:rsidRPr="00C73751">
        <w:t>пределени</w:t>
      </w:r>
      <w:r>
        <w:t>я</w:t>
      </w:r>
      <w:r w:rsidRPr="00C73751">
        <w:t xml:space="preserve"> токсинов </w:t>
      </w:r>
      <w:r w:rsidRPr="00C73751">
        <w:rPr>
          <w:i/>
        </w:rPr>
        <w:t>Clostridioides difficile</w:t>
      </w:r>
      <w:r w:rsidRPr="00C73751">
        <w:t xml:space="preserve"> в кале</w:t>
      </w:r>
      <w:r>
        <w:t xml:space="preserve">. </w:t>
      </w:r>
      <w:r w:rsidRPr="00C73751">
        <w:t xml:space="preserve">Если результат этого теста оказывается отрицательным, проводят количественное исследование на условно-патогенные микроорганизмы, а также на </w:t>
      </w:r>
      <w:r w:rsidRPr="00C73751">
        <w:rPr>
          <w:i/>
        </w:rPr>
        <w:t>С</w:t>
      </w:r>
      <w:r w:rsidRPr="00DB1FCB">
        <w:rPr>
          <w:i/>
        </w:rPr>
        <w:t>ryptosporidium</w:t>
      </w:r>
      <w:r w:rsidRPr="00C73751">
        <w:rPr>
          <w:i/>
        </w:rPr>
        <w:t xml:space="preserve"> </w:t>
      </w:r>
      <w:r w:rsidRPr="00DB1FCB">
        <w:rPr>
          <w:i/>
        </w:rPr>
        <w:t>parvum</w:t>
      </w:r>
      <w:r w:rsidRPr="00C73751">
        <w:rPr>
          <w:i/>
        </w:rPr>
        <w:t xml:space="preserve">, </w:t>
      </w:r>
      <w:r w:rsidRPr="00DB1FCB">
        <w:rPr>
          <w:i/>
        </w:rPr>
        <w:t>Salmonella</w:t>
      </w:r>
      <w:r w:rsidRPr="00C73751">
        <w:rPr>
          <w:i/>
        </w:rPr>
        <w:t xml:space="preserve"> </w:t>
      </w:r>
      <w:r w:rsidRPr="00DB1FCB">
        <w:rPr>
          <w:i/>
        </w:rPr>
        <w:t>spp</w:t>
      </w:r>
      <w:r w:rsidRPr="00C73751">
        <w:rPr>
          <w:i/>
        </w:rPr>
        <w:t xml:space="preserve">., </w:t>
      </w:r>
      <w:r w:rsidRPr="00DB1FCB">
        <w:rPr>
          <w:i/>
        </w:rPr>
        <w:t>Shigella</w:t>
      </w:r>
      <w:r w:rsidRPr="00C73751">
        <w:rPr>
          <w:i/>
        </w:rPr>
        <w:t xml:space="preserve"> </w:t>
      </w:r>
      <w:r w:rsidRPr="00DB1FCB">
        <w:rPr>
          <w:i/>
        </w:rPr>
        <w:t>spp</w:t>
      </w:r>
      <w:r w:rsidRPr="00C73751">
        <w:rPr>
          <w:i/>
        </w:rPr>
        <w:t xml:space="preserve">., </w:t>
      </w:r>
      <w:r w:rsidRPr="00DB1FCB">
        <w:rPr>
          <w:i/>
        </w:rPr>
        <w:t>Listeria</w:t>
      </w:r>
      <w:r w:rsidRPr="00C73751">
        <w:rPr>
          <w:i/>
        </w:rPr>
        <w:t xml:space="preserve"> </w:t>
      </w:r>
      <w:r w:rsidRPr="00DB1FCB">
        <w:rPr>
          <w:i/>
        </w:rPr>
        <w:t>spp</w:t>
      </w:r>
      <w:r w:rsidRPr="00C73751">
        <w:rPr>
          <w:i/>
        </w:rPr>
        <w:t xml:space="preserve">., </w:t>
      </w:r>
      <w:r w:rsidRPr="00DB1FCB">
        <w:rPr>
          <w:i/>
        </w:rPr>
        <w:t>Yersenia</w:t>
      </w:r>
      <w:r w:rsidRPr="00C73751">
        <w:rPr>
          <w:i/>
        </w:rPr>
        <w:t xml:space="preserve"> </w:t>
      </w:r>
      <w:r w:rsidRPr="00DB1FCB">
        <w:rPr>
          <w:i/>
        </w:rPr>
        <w:t>spp</w:t>
      </w:r>
      <w:r w:rsidRPr="00C73751">
        <w:rPr>
          <w:i/>
        </w:rPr>
        <w:t>.</w:t>
      </w:r>
      <w:r w:rsidRPr="00C73751">
        <w:t xml:space="preserve">, вирусы (ротавирусы, аденовирусы). Энтероколиты могут быть обусловлены </w:t>
      </w:r>
      <w:r w:rsidRPr="00DB1FCB">
        <w:rPr>
          <w:i/>
        </w:rPr>
        <w:t>Candida</w:t>
      </w:r>
      <w:r w:rsidRPr="00C73751">
        <w:rPr>
          <w:i/>
        </w:rPr>
        <w:t xml:space="preserve"> </w:t>
      </w:r>
      <w:r w:rsidRPr="00DB1FCB">
        <w:rPr>
          <w:i/>
        </w:rPr>
        <w:t>spp</w:t>
      </w:r>
      <w:r w:rsidRPr="00C73751">
        <w:t xml:space="preserve">. При количественном исследовании кала следует обращать внимание на выделение штаммов </w:t>
      </w:r>
      <w:r w:rsidRPr="00DB1FCB">
        <w:rPr>
          <w:i/>
        </w:rPr>
        <w:t>Pseudomonas</w:t>
      </w:r>
      <w:r w:rsidRPr="00C73751">
        <w:rPr>
          <w:i/>
        </w:rPr>
        <w:t xml:space="preserve"> </w:t>
      </w:r>
      <w:r w:rsidRPr="00DB1FCB">
        <w:rPr>
          <w:i/>
        </w:rPr>
        <w:t>aeruginosa</w:t>
      </w:r>
      <w:r w:rsidRPr="00C73751">
        <w:t>, энтеробактерий (</w:t>
      </w:r>
      <w:r w:rsidRPr="00DB1FCB">
        <w:rPr>
          <w:i/>
        </w:rPr>
        <w:t>Escherichia</w:t>
      </w:r>
      <w:r w:rsidRPr="00C73751">
        <w:rPr>
          <w:i/>
        </w:rPr>
        <w:t xml:space="preserve"> </w:t>
      </w:r>
      <w:r w:rsidRPr="00DB1FCB">
        <w:rPr>
          <w:i/>
        </w:rPr>
        <w:t>coli</w:t>
      </w:r>
      <w:r w:rsidRPr="00C73751">
        <w:rPr>
          <w:i/>
        </w:rPr>
        <w:t xml:space="preserve">, </w:t>
      </w:r>
      <w:r w:rsidRPr="00DB1FCB">
        <w:rPr>
          <w:i/>
        </w:rPr>
        <w:t>Klebsiella</w:t>
      </w:r>
      <w:r w:rsidRPr="00C73751">
        <w:rPr>
          <w:i/>
        </w:rPr>
        <w:t xml:space="preserve"> </w:t>
      </w:r>
      <w:r w:rsidRPr="00DB1FCB">
        <w:rPr>
          <w:i/>
        </w:rPr>
        <w:t>spp</w:t>
      </w:r>
      <w:r w:rsidRPr="00C73751">
        <w:rPr>
          <w:i/>
        </w:rPr>
        <w:t>.),</w:t>
      </w:r>
      <w:r w:rsidRPr="00C73751">
        <w:t xml:space="preserve"> продуцирующих БЛРС или карбапенемазы. У больных с персистирующей фебрильной нейтропенией и отсутствием положительной гемокультуры эти микроорганизмы могут быть причиной инфекции. </w:t>
      </w:r>
    </w:p>
    <w:p w14:paraId="3D4DC60B" w14:textId="77777777" w:rsidR="008074B4" w:rsidRPr="00761653" w:rsidRDefault="008074B4" w:rsidP="00CD4F41">
      <w:pPr>
        <w:widowControl w:val="0"/>
        <w:tabs>
          <w:tab w:val="left" w:pos="0"/>
        </w:tabs>
        <w:autoSpaceDE w:val="0"/>
        <w:autoSpaceDN w:val="0"/>
        <w:adjustRightInd w:val="0"/>
        <w:ind w:right="49" w:firstLine="709"/>
        <w:contextualSpacing/>
      </w:pPr>
      <w:r w:rsidRPr="00284D51">
        <w:rPr>
          <w:i/>
          <w:iCs/>
        </w:rPr>
        <w:t>Микробиологическое исследование мазка со слизистой оболочки носоглотки</w:t>
      </w:r>
      <w:r>
        <w:t xml:space="preserve"> проводят при наличии</w:t>
      </w:r>
      <w:r w:rsidRPr="00761653">
        <w:t xml:space="preserve"> признаков </w:t>
      </w:r>
      <w:r>
        <w:t>стоматита (</w:t>
      </w:r>
      <w:r w:rsidRPr="00761653">
        <w:t>мукозита</w:t>
      </w:r>
      <w:r>
        <w:t>)</w:t>
      </w:r>
      <w:r w:rsidRPr="00761653">
        <w:t xml:space="preserve">. Проводят культуральное исследование на грамотрицательные бактерии и дрожжевые грибы. При выделении грамотрицательных бактерий осуществляют идентификацию до вида, определение чувствительности к антибиотикам, детекцию продукции β-лактамаз расишернного спектра (БЛРС) у энтеробактерий, постановку теста modified carbapenem inactivation method (mCIM) или carbapenem inactivation method (CIM) для определения продукции карбапенемаз среди карбапенемоустойчивых энтеробактерий и </w:t>
      </w:r>
      <w:r w:rsidRPr="00761653">
        <w:rPr>
          <w:i/>
          <w:iCs/>
        </w:rPr>
        <w:t>P. aeruginosa</w:t>
      </w:r>
      <w:r w:rsidRPr="00761653">
        <w:rPr>
          <w:iCs/>
        </w:rPr>
        <w:t xml:space="preserve">, определение групп карбапенемаз методом ПЦР при положительном тесте mCIM (или CIM). </w:t>
      </w:r>
      <w:r w:rsidRPr="00761653">
        <w:t xml:space="preserve">При выделении дрожжевых грибов со слизистой оболочки ротоглотки проводят только идентификацию до вида. </w:t>
      </w:r>
    </w:p>
    <w:p w14:paraId="6BB37746" w14:textId="77777777" w:rsidR="008074B4" w:rsidRPr="00761653" w:rsidRDefault="008074B4" w:rsidP="00CD4F41">
      <w:pPr>
        <w:widowControl w:val="0"/>
        <w:autoSpaceDE w:val="0"/>
        <w:autoSpaceDN w:val="0"/>
        <w:adjustRightInd w:val="0"/>
        <w:ind w:right="49" w:firstLine="709"/>
        <w:contextualSpacing/>
      </w:pPr>
      <w:r w:rsidRPr="00284D51">
        <w:rPr>
          <w:i/>
          <w:iCs/>
        </w:rPr>
        <w:t>Микробиологическое исследование соскоба или биоптата со слизистой оболочки пищевода</w:t>
      </w:r>
      <w:r w:rsidRPr="00284D51">
        <w:rPr>
          <w:b/>
          <w:bCs/>
        </w:rPr>
        <w:t xml:space="preserve"> </w:t>
      </w:r>
      <w:r w:rsidRPr="00284D51">
        <w:t>проводят при клиническоой картине эзофагита, боли по ходу пищевода. Во</w:t>
      </w:r>
      <w:r w:rsidRPr="00761653">
        <w:t xml:space="preserve"> время эзофагоскопии проводят соскоб со слизистой оболочки пищевода (браш-метод при нейтропении) или биопсию (вне нейтропении и тромбоцитопении). Проводят культуральное исследование на бактерии и дрожжевые грибы, определение ДНК герпесвирусов </w:t>
      </w:r>
      <w:r>
        <w:t>(</w:t>
      </w:r>
      <w:r w:rsidRPr="00C73751">
        <w:t xml:space="preserve">ДНК вируса простого герпеса, </w:t>
      </w:r>
      <w:r>
        <w:t>цитомегаловируса)</w:t>
      </w:r>
      <w:r w:rsidRPr="00761653">
        <w:t xml:space="preserve"> методом ПЦР, идентификацию и определение чувствительности всех выделенных микроорганизмов</w:t>
      </w:r>
      <w:r>
        <w:t>, гистологическое исследование (с иммуногистохимическим исследованием при необходимости)</w:t>
      </w:r>
      <w:r w:rsidRPr="00761653">
        <w:t>.</w:t>
      </w:r>
    </w:p>
    <w:p w14:paraId="5EF3AC1E" w14:textId="77777777" w:rsidR="008074B4" w:rsidRPr="00761653" w:rsidRDefault="008074B4" w:rsidP="00CD4F41">
      <w:pPr>
        <w:widowControl w:val="0"/>
        <w:autoSpaceDE w:val="0"/>
        <w:autoSpaceDN w:val="0"/>
        <w:adjustRightInd w:val="0"/>
        <w:ind w:right="49" w:firstLine="709"/>
        <w:contextualSpacing/>
      </w:pPr>
      <w:r w:rsidRPr="00284D51">
        <w:rPr>
          <w:i/>
          <w:iCs/>
        </w:rPr>
        <w:t>Микробиологическое исследование ректальных мазков</w:t>
      </w:r>
      <w:r w:rsidRPr="00284D51">
        <w:rPr>
          <w:b/>
          <w:bCs/>
        </w:rPr>
        <w:t xml:space="preserve"> </w:t>
      </w:r>
      <w:r w:rsidRPr="00284D51">
        <w:t>проводят с целью детекции</w:t>
      </w:r>
      <w:r w:rsidRPr="00761653">
        <w:t xml:space="preserve"> колонизации слизистой оболочки кишечника полирезистентными грамотрицательными бактериями и грибами рода </w:t>
      </w:r>
      <w:r w:rsidRPr="00761653">
        <w:rPr>
          <w:i/>
        </w:rPr>
        <w:t>Candida</w:t>
      </w:r>
      <w:r w:rsidRPr="00761653">
        <w:t>.</w:t>
      </w:r>
    </w:p>
    <w:p w14:paraId="451EE61F" w14:textId="77777777" w:rsidR="008074B4" w:rsidRDefault="008074B4" w:rsidP="00CD4F41">
      <w:pPr>
        <w:widowControl w:val="0"/>
        <w:tabs>
          <w:tab w:val="left" w:pos="0"/>
        </w:tabs>
        <w:autoSpaceDE w:val="0"/>
        <w:autoSpaceDN w:val="0"/>
        <w:adjustRightInd w:val="0"/>
        <w:ind w:right="49" w:firstLine="709"/>
        <w:contextualSpacing/>
      </w:pPr>
      <w:r w:rsidRPr="00761653">
        <w:t xml:space="preserve">Исследование </w:t>
      </w:r>
      <w:r>
        <w:t>показано:</w:t>
      </w:r>
      <w:r w:rsidRPr="00761653">
        <w:t xml:space="preserve"> </w:t>
      </w:r>
    </w:p>
    <w:p w14:paraId="4D6F0A54" w14:textId="77777777" w:rsidR="008074B4" w:rsidRPr="00C73751" w:rsidRDefault="008074B4" w:rsidP="0091350E">
      <w:pPr>
        <w:pStyle w:val="aff"/>
        <w:widowControl w:val="0"/>
        <w:numPr>
          <w:ilvl w:val="0"/>
          <w:numId w:val="73"/>
        </w:numPr>
        <w:tabs>
          <w:tab w:val="left" w:pos="0"/>
        </w:tabs>
        <w:autoSpaceDE w:val="0"/>
        <w:autoSpaceDN w:val="0"/>
        <w:adjustRightInd w:val="0"/>
        <w:ind w:right="49"/>
        <w:contextualSpacing/>
      </w:pPr>
      <w:r w:rsidRPr="00CB604C">
        <w:t>при инфекции промежности</w:t>
      </w:r>
      <w:r>
        <w:t>, в</w:t>
      </w:r>
      <w:r w:rsidRPr="00C73751">
        <w:t>оспалени</w:t>
      </w:r>
      <w:r>
        <w:t>и</w:t>
      </w:r>
      <w:r w:rsidRPr="00C73751">
        <w:t xml:space="preserve"> или повреждени</w:t>
      </w:r>
      <w:r>
        <w:t>и</w:t>
      </w:r>
      <w:r w:rsidRPr="00C73751">
        <w:t xml:space="preserve"> слизистой прямой кишки (трещина, парапроктит и др.);</w:t>
      </w:r>
    </w:p>
    <w:p w14:paraId="37EC14E7" w14:textId="77777777" w:rsidR="008074B4" w:rsidRDefault="008074B4" w:rsidP="0091350E">
      <w:pPr>
        <w:pStyle w:val="aff"/>
        <w:widowControl w:val="0"/>
        <w:numPr>
          <w:ilvl w:val="0"/>
          <w:numId w:val="73"/>
        </w:numPr>
        <w:tabs>
          <w:tab w:val="left" w:pos="0"/>
        </w:tabs>
        <w:autoSpaceDE w:val="0"/>
        <w:autoSpaceDN w:val="0"/>
        <w:adjustRightInd w:val="0"/>
        <w:ind w:right="49"/>
        <w:contextualSpacing/>
      </w:pPr>
      <w:r w:rsidRPr="00CB604C">
        <w:t xml:space="preserve">у </w:t>
      </w:r>
      <w:r>
        <w:t>пациентов</w:t>
      </w:r>
      <w:r w:rsidRPr="00CB604C">
        <w:t xml:space="preserve"> с персистирующей фебрильной нейтропенией длительностью от 4-5 дней и отсутствием диагностически значимых результатов исследований; </w:t>
      </w:r>
    </w:p>
    <w:p w14:paraId="76EABA55" w14:textId="77777777" w:rsidR="008074B4" w:rsidRDefault="008074B4" w:rsidP="0091350E">
      <w:pPr>
        <w:pStyle w:val="aff"/>
        <w:widowControl w:val="0"/>
        <w:numPr>
          <w:ilvl w:val="0"/>
          <w:numId w:val="73"/>
        </w:numPr>
        <w:tabs>
          <w:tab w:val="left" w:pos="0"/>
        </w:tabs>
        <w:autoSpaceDE w:val="0"/>
        <w:autoSpaceDN w:val="0"/>
        <w:adjustRightInd w:val="0"/>
        <w:ind w:right="49"/>
        <w:contextualSpacing/>
      </w:pPr>
      <w:r w:rsidRPr="00CB604C">
        <w:t xml:space="preserve">в качестве скрининга в группе высокого риска развития инфекций у </w:t>
      </w:r>
      <w:r>
        <w:t>пациентов</w:t>
      </w:r>
      <w:r w:rsidRPr="00CB604C">
        <w:t xml:space="preserve"> острыми лейкозами и у реципиентов аллогенного костного мозга при поступлении в стационар, затем каждые 7 дней до восстановления гранулоцитов в крови или лейкоцитов &gt;1,0</w:t>
      </w:r>
      <w:r>
        <w:t> </w:t>
      </w:r>
      <w:r w:rsidRPr="00CB604C">
        <w:t>×</w:t>
      </w:r>
      <w:r>
        <w:t> </w:t>
      </w:r>
      <w:r w:rsidRPr="00CB604C">
        <w:t>10</w:t>
      </w:r>
      <w:r w:rsidRPr="00CB604C">
        <w:rPr>
          <w:vertAlign w:val="superscript"/>
        </w:rPr>
        <w:t>9</w:t>
      </w:r>
      <w:r w:rsidRPr="00CB604C">
        <w:t xml:space="preserve">/л; </w:t>
      </w:r>
    </w:p>
    <w:p w14:paraId="25FB359C" w14:textId="77777777" w:rsidR="008074B4" w:rsidRPr="00CB604C" w:rsidRDefault="008074B4" w:rsidP="008074B4">
      <w:pPr>
        <w:widowControl w:val="0"/>
        <w:tabs>
          <w:tab w:val="left" w:pos="0"/>
        </w:tabs>
        <w:autoSpaceDE w:val="0"/>
        <w:autoSpaceDN w:val="0"/>
        <w:adjustRightInd w:val="0"/>
        <w:ind w:right="49"/>
      </w:pPr>
      <w:r>
        <w:tab/>
      </w:r>
      <w:r w:rsidRPr="00CB604C">
        <w:t xml:space="preserve">С учетом выделенных микроорганизмов может быть проведена коррекция антимикробной терапии при отсутствии диагностически значимых результатов исследований из клинически значимых образцов у </w:t>
      </w:r>
      <w:r>
        <w:t>пациентов</w:t>
      </w:r>
      <w:r w:rsidRPr="00CB604C">
        <w:t xml:space="preserve"> с персистирующей фебрильной нейтропенией. Обращают внимание на выделение полирезистентных грамотрицательных бактерий – </w:t>
      </w:r>
      <w:r w:rsidRPr="00CB604C">
        <w:rPr>
          <w:i/>
          <w:iCs/>
        </w:rPr>
        <w:t>P. aeruginosa,</w:t>
      </w:r>
      <w:r w:rsidRPr="00CB604C">
        <w:rPr>
          <w:i/>
        </w:rPr>
        <w:t xml:space="preserve"> A. baumannii, S. maltophilia</w:t>
      </w:r>
      <w:r w:rsidRPr="00CB604C">
        <w:t xml:space="preserve">, энтеробактерий с продукцией БЛРС или карбапенемаз, </w:t>
      </w:r>
    </w:p>
    <w:p w14:paraId="31445659" w14:textId="77777777" w:rsidR="008074B4" w:rsidRDefault="008074B4" w:rsidP="008074B4">
      <w:pPr>
        <w:widowControl w:val="0"/>
        <w:tabs>
          <w:tab w:val="left" w:pos="0"/>
        </w:tabs>
        <w:autoSpaceDE w:val="0"/>
        <w:autoSpaceDN w:val="0"/>
        <w:adjustRightInd w:val="0"/>
        <w:ind w:right="49"/>
        <w:contextualSpacing/>
      </w:pPr>
      <w:r w:rsidRPr="00284D51">
        <w:rPr>
          <w:i/>
          <w:iCs/>
        </w:rPr>
        <w:t>Микробиологическое исследование мазка со слизистой оболочки носовых ходов</w:t>
      </w:r>
      <w:r w:rsidRPr="00225D7F">
        <w:rPr>
          <w:i/>
          <w:iCs/>
          <w:u w:val="single"/>
        </w:rPr>
        <w:t xml:space="preserve"> </w:t>
      </w:r>
      <w:r>
        <w:t>проводят по следующим показаниям:</w:t>
      </w:r>
    </w:p>
    <w:p w14:paraId="25B16269" w14:textId="77777777" w:rsidR="008074B4" w:rsidRDefault="008074B4" w:rsidP="0091350E">
      <w:pPr>
        <w:pStyle w:val="aff"/>
        <w:widowControl w:val="0"/>
        <w:numPr>
          <w:ilvl w:val="0"/>
          <w:numId w:val="74"/>
        </w:numPr>
        <w:tabs>
          <w:tab w:val="left" w:pos="0"/>
        </w:tabs>
        <w:autoSpaceDE w:val="0"/>
        <w:autoSpaceDN w:val="0"/>
        <w:adjustRightInd w:val="0"/>
        <w:ind w:right="49"/>
        <w:contextualSpacing/>
      </w:pPr>
      <w:r w:rsidRPr="00CB604C">
        <w:t>наличие некроза слизистой оболочки носового хода</w:t>
      </w:r>
      <w:r>
        <w:t xml:space="preserve"> (</w:t>
      </w:r>
      <w:r w:rsidRPr="00CB604C">
        <w:t>посев только на плесневые (мицелиальные) грибы</w:t>
      </w:r>
      <w:r>
        <w:t>)</w:t>
      </w:r>
      <w:r w:rsidRPr="00CB604C">
        <w:t xml:space="preserve">; </w:t>
      </w:r>
    </w:p>
    <w:p w14:paraId="211913F6" w14:textId="77777777" w:rsidR="008074B4" w:rsidRPr="00CB604C" w:rsidRDefault="008074B4" w:rsidP="0091350E">
      <w:pPr>
        <w:pStyle w:val="aff"/>
        <w:widowControl w:val="0"/>
        <w:numPr>
          <w:ilvl w:val="0"/>
          <w:numId w:val="74"/>
        </w:numPr>
        <w:tabs>
          <w:tab w:val="left" w:pos="0"/>
        </w:tabs>
        <w:autoSpaceDE w:val="0"/>
        <w:autoSpaceDN w:val="0"/>
        <w:adjustRightInd w:val="0"/>
        <w:ind w:right="49"/>
        <w:contextualSpacing/>
      </w:pPr>
      <w:r w:rsidRPr="00CB604C">
        <w:t xml:space="preserve">исследование колонизации </w:t>
      </w:r>
      <w:r w:rsidRPr="00CB604C">
        <w:rPr>
          <w:i/>
        </w:rPr>
        <w:t>Staphylococcus aureus</w:t>
      </w:r>
      <w:r w:rsidRPr="00CB604C">
        <w:t xml:space="preserve"> у больных с пиодермией.  </w:t>
      </w:r>
    </w:p>
    <w:p w14:paraId="5A1F9896" w14:textId="77777777" w:rsidR="008074B4" w:rsidRPr="00761653" w:rsidRDefault="008074B4" w:rsidP="00CD4F41">
      <w:pPr>
        <w:widowControl w:val="0"/>
        <w:autoSpaceDE w:val="0"/>
        <w:autoSpaceDN w:val="0"/>
        <w:adjustRightInd w:val="0"/>
        <w:ind w:right="-93" w:firstLine="709"/>
        <w:contextualSpacing/>
        <w:rPr>
          <w:b/>
          <w:bCs/>
        </w:rPr>
      </w:pPr>
      <w:r w:rsidRPr="00284D51">
        <w:rPr>
          <w:i/>
          <w:iCs/>
        </w:rPr>
        <w:t>Микробиологическое исследование биоптатов / соскобов / отделяемого пораженных участков кожи</w:t>
      </w:r>
      <w:r w:rsidRPr="00284D51">
        <w:rPr>
          <w:b/>
          <w:bCs/>
        </w:rPr>
        <w:t xml:space="preserve"> </w:t>
      </w:r>
      <w:r w:rsidRPr="00284D51">
        <w:t>проводят при наличии септикопиемических очагов кожи (инфильтраты в</w:t>
      </w:r>
      <w:r w:rsidRPr="00761653">
        <w:t xml:space="preserve"> дерме любых размеров, возникшие при </w:t>
      </w:r>
      <w:r>
        <w:t>гипертермии</w:t>
      </w:r>
      <w:r w:rsidRPr="00761653">
        <w:t>) или других образований на коже.</w:t>
      </w:r>
      <w:r w:rsidRPr="00761653">
        <w:rPr>
          <w:b/>
          <w:bCs/>
        </w:rPr>
        <w:t xml:space="preserve"> </w:t>
      </w:r>
      <w:r w:rsidRPr="00761653">
        <w:t xml:space="preserve">Проводят гистологическое и микробиологическое </w:t>
      </w:r>
      <w:r>
        <w:t xml:space="preserve">(культуральное) </w:t>
      </w:r>
      <w:r w:rsidRPr="00761653">
        <w:t xml:space="preserve">исследование на наличие </w:t>
      </w:r>
      <w:r>
        <w:t xml:space="preserve">бактерий, </w:t>
      </w:r>
      <w:r w:rsidRPr="00761653">
        <w:t>грибов</w:t>
      </w:r>
      <w:r>
        <w:t>, туберкуляза</w:t>
      </w:r>
      <w:r w:rsidRPr="00761653">
        <w:t xml:space="preserve">; </w:t>
      </w:r>
      <w:r>
        <w:t xml:space="preserve">микроскопическое исследование </w:t>
      </w:r>
      <w:r w:rsidRPr="00761653">
        <w:t>с окраской по Граму, Цилю-Нильсену, калькофлюором белым.</w:t>
      </w:r>
    </w:p>
    <w:p w14:paraId="092D92A1" w14:textId="77777777" w:rsidR="008074B4" w:rsidRPr="009F2603" w:rsidRDefault="008074B4" w:rsidP="00CD4F41">
      <w:pPr>
        <w:widowControl w:val="0"/>
        <w:autoSpaceDE w:val="0"/>
        <w:autoSpaceDN w:val="0"/>
        <w:adjustRightInd w:val="0"/>
        <w:ind w:firstLine="709"/>
        <w:contextualSpacing/>
        <w:rPr>
          <w:b/>
          <w:bCs/>
        </w:rPr>
      </w:pPr>
      <w:r w:rsidRPr="00284D51">
        <w:rPr>
          <w:i/>
          <w:iCs/>
        </w:rPr>
        <w:t>Исследование жидкости бронхоальвеолярного лаважа</w:t>
      </w:r>
      <w:r w:rsidRPr="00284D51">
        <w:t xml:space="preserve"> (БАЛ) проводят при наличии</w:t>
      </w:r>
      <w:r w:rsidRPr="00761653">
        <w:t xml:space="preserve"> изменений в легких. Исследование </w:t>
      </w:r>
      <w:r>
        <w:t xml:space="preserve">лаважной </w:t>
      </w:r>
      <w:r w:rsidRPr="00761653">
        <w:t xml:space="preserve">жидкости включает цитологию мазков, микроскопию мазков световую (окраска по Граму, Цилю-Нильсену) и флуоресцентную (окраска калькофлуором белым для детекции мицелия грибов), микробиологическое </w:t>
      </w:r>
      <w:r>
        <w:t xml:space="preserve">(культуральное) </w:t>
      </w:r>
      <w:r w:rsidRPr="00761653">
        <w:t xml:space="preserve">исследование на бактерии, включая </w:t>
      </w:r>
      <w:r w:rsidRPr="00761653">
        <w:rPr>
          <w:i/>
          <w:iCs/>
        </w:rPr>
        <w:t>Legionella</w:t>
      </w:r>
      <w:r w:rsidRPr="00761653">
        <w:t xml:space="preserve"> spp., и грибы, флюоресцентную микроскопию </w:t>
      </w:r>
      <w:r w:rsidRPr="00761653">
        <w:rPr>
          <w:i/>
          <w:iCs/>
        </w:rPr>
        <w:t xml:space="preserve">Pneumocystis jirovecii, </w:t>
      </w:r>
      <w:r>
        <w:rPr>
          <w:iCs/>
        </w:rPr>
        <w:t xml:space="preserve">молекулярно-биологическое исследование для </w:t>
      </w:r>
      <w:r w:rsidRPr="00761653">
        <w:t>определени</w:t>
      </w:r>
      <w:r>
        <w:t>я</w:t>
      </w:r>
      <w:r w:rsidRPr="00761653">
        <w:t xml:space="preserve"> ДНК </w:t>
      </w:r>
      <w:r w:rsidRPr="00761653">
        <w:rPr>
          <w:i/>
          <w:iCs/>
        </w:rPr>
        <w:t xml:space="preserve">P. jirovecii </w:t>
      </w:r>
      <w:r w:rsidRPr="00761653">
        <w:t>методом ПЦР, определени</w:t>
      </w:r>
      <w:r>
        <w:t>я</w:t>
      </w:r>
      <w:r w:rsidRPr="00761653">
        <w:t xml:space="preserve"> антигена </w:t>
      </w:r>
      <w:r w:rsidRPr="00761653">
        <w:rPr>
          <w:i/>
          <w:iCs/>
        </w:rPr>
        <w:t>Aspergillus</w:t>
      </w:r>
      <w:r w:rsidRPr="00761653">
        <w:t xml:space="preserve"> (галактоманнан) в жидкости БАЛ, </w:t>
      </w:r>
      <w:r>
        <w:t xml:space="preserve">молекулярно-биологичесие </w:t>
      </w:r>
      <w:r w:rsidRPr="00761653">
        <w:t>исследовани</w:t>
      </w:r>
      <w:r>
        <w:t>я</w:t>
      </w:r>
      <w:r w:rsidRPr="00761653">
        <w:t xml:space="preserve"> на микобактерии методом ПЦР, </w:t>
      </w:r>
      <w:r>
        <w:t xml:space="preserve">для </w:t>
      </w:r>
      <w:r w:rsidRPr="00761653">
        <w:t>определени</w:t>
      </w:r>
      <w:r>
        <w:t>я</w:t>
      </w:r>
      <w:r w:rsidRPr="00761653">
        <w:t xml:space="preserve"> ДНК </w:t>
      </w:r>
      <w:r w:rsidRPr="00761653">
        <w:rPr>
          <w:i/>
          <w:iCs/>
        </w:rPr>
        <w:t xml:space="preserve">Mycoplasma pneumoniae </w:t>
      </w:r>
      <w:r w:rsidRPr="00761653">
        <w:rPr>
          <w:iCs/>
        </w:rPr>
        <w:t>и</w:t>
      </w:r>
      <w:r w:rsidRPr="00761653">
        <w:rPr>
          <w:i/>
          <w:iCs/>
        </w:rPr>
        <w:t xml:space="preserve"> Chlamydophila pneumoniae</w:t>
      </w:r>
      <w:r w:rsidRPr="00761653">
        <w:t xml:space="preserve"> методом ПЦР, определени</w:t>
      </w:r>
      <w:r>
        <w:t>я</w:t>
      </w:r>
      <w:r w:rsidRPr="00761653">
        <w:t xml:space="preserve"> ДНК герпес вирусов и респираторных вирусов (Influenza, Parainfluenza, RSV, Coronavirus, Human metapneumovirus, H1N1) методом ПЦР.</w:t>
      </w:r>
    </w:p>
    <w:p w14:paraId="345EDFB0" w14:textId="77777777" w:rsidR="008074B4" w:rsidRPr="00284D51" w:rsidRDefault="008074B4" w:rsidP="00CD4F41">
      <w:pPr>
        <w:widowControl w:val="0"/>
        <w:tabs>
          <w:tab w:val="left" w:pos="1134"/>
        </w:tabs>
        <w:autoSpaceDE w:val="0"/>
        <w:autoSpaceDN w:val="0"/>
        <w:adjustRightInd w:val="0"/>
        <w:ind w:firstLine="709"/>
        <w:contextualSpacing/>
        <w:rPr>
          <w:b/>
        </w:rPr>
      </w:pPr>
      <w:r w:rsidRPr="00284D51">
        <w:rPr>
          <w:i/>
          <w:iCs/>
        </w:rPr>
        <w:t>Определение антигена Legionella pneumophila в моче</w:t>
      </w:r>
      <w:r w:rsidRPr="00284D51">
        <w:rPr>
          <w:b/>
        </w:rPr>
        <w:t xml:space="preserve"> </w:t>
      </w:r>
      <w:r w:rsidRPr="00284D51">
        <w:t>проводится при наличии</w:t>
      </w:r>
      <w:r w:rsidRPr="00761653">
        <w:t xml:space="preserve"> </w:t>
      </w:r>
      <w:r w:rsidRPr="00284D51">
        <w:t>пневмонии с очагами консолидации.</w:t>
      </w:r>
    </w:p>
    <w:p w14:paraId="36B83B6E" w14:textId="77777777" w:rsidR="008074B4" w:rsidRPr="00284D51" w:rsidRDefault="008074B4" w:rsidP="00CD4F41">
      <w:pPr>
        <w:widowControl w:val="0"/>
        <w:autoSpaceDE w:val="0"/>
        <w:autoSpaceDN w:val="0"/>
        <w:adjustRightInd w:val="0"/>
        <w:ind w:firstLine="709"/>
        <w:contextualSpacing/>
        <w:rPr>
          <w:bCs/>
        </w:rPr>
      </w:pPr>
      <w:r w:rsidRPr="00284D51">
        <w:rPr>
          <w:i/>
          <w:iCs/>
        </w:rPr>
        <w:t>Исследование антигена Aspergillus (галактоманнан) в сыворотке крови, в жидкости БАЛ, в СМЖ</w:t>
      </w:r>
      <w:r w:rsidRPr="00284D51">
        <w:rPr>
          <w:bCs/>
          <w:iCs/>
        </w:rPr>
        <w:t xml:space="preserve"> показано в следующих клинических ситуациях:</w:t>
      </w:r>
      <w:r w:rsidRPr="00284D51">
        <w:rPr>
          <w:bCs/>
        </w:rPr>
        <w:t xml:space="preserve"> </w:t>
      </w:r>
    </w:p>
    <w:p w14:paraId="54CCB24B" w14:textId="77777777" w:rsidR="008074B4" w:rsidRPr="00833774" w:rsidRDefault="008074B4" w:rsidP="0091350E">
      <w:pPr>
        <w:pStyle w:val="aff"/>
        <w:widowControl w:val="0"/>
        <w:numPr>
          <w:ilvl w:val="0"/>
          <w:numId w:val="75"/>
        </w:numPr>
        <w:tabs>
          <w:tab w:val="left" w:pos="0"/>
        </w:tabs>
        <w:autoSpaceDE w:val="0"/>
        <w:autoSpaceDN w:val="0"/>
        <w:adjustRightInd w:val="0"/>
        <w:contextualSpacing/>
      </w:pPr>
      <w:r w:rsidRPr="00833774">
        <w:rPr>
          <w:bCs/>
        </w:rPr>
        <w:t xml:space="preserve">мониторинг в период нейтропении у </w:t>
      </w:r>
      <w:r>
        <w:rPr>
          <w:bCs/>
        </w:rPr>
        <w:t>пациентов</w:t>
      </w:r>
      <w:r w:rsidRPr="00833774">
        <w:rPr>
          <w:bCs/>
        </w:rPr>
        <w:t xml:space="preserve"> острыми миело</w:t>
      </w:r>
      <w:r>
        <w:rPr>
          <w:bCs/>
        </w:rPr>
        <w:t>идными лейкозами и у реципиентов</w:t>
      </w:r>
      <w:r w:rsidRPr="00833774">
        <w:rPr>
          <w:bCs/>
        </w:rPr>
        <w:t xml:space="preserve"> аллогеннных гемопоэтических клеток, если не проводится профилактики противогрибковыми препаратами, активными</w:t>
      </w:r>
      <w:r>
        <w:rPr>
          <w:bCs/>
        </w:rPr>
        <w:t xml:space="preserve"> в отношении плесневых грибов; </w:t>
      </w:r>
    </w:p>
    <w:p w14:paraId="4BE0BE16" w14:textId="77777777" w:rsidR="008074B4" w:rsidRDefault="008074B4" w:rsidP="0091350E">
      <w:pPr>
        <w:pStyle w:val="aff"/>
        <w:widowControl w:val="0"/>
        <w:numPr>
          <w:ilvl w:val="0"/>
          <w:numId w:val="75"/>
        </w:numPr>
        <w:tabs>
          <w:tab w:val="left" w:pos="0"/>
        </w:tabs>
        <w:autoSpaceDE w:val="0"/>
        <w:autoSpaceDN w:val="0"/>
        <w:adjustRightInd w:val="0"/>
        <w:contextualSpacing/>
      </w:pPr>
      <w:r w:rsidRPr="00680401">
        <w:t>у пациентов с факторами риска (длительность нейтропении от 10 дней и более, применени</w:t>
      </w:r>
      <w:r>
        <w:t>е глюкокортикоидов, флударабина</w:t>
      </w:r>
      <w:r w:rsidRPr="00680401">
        <w:t>) и р</w:t>
      </w:r>
      <w:r>
        <w:t>ади</w:t>
      </w:r>
      <w:r w:rsidRPr="00680401">
        <w:t xml:space="preserve">ологическими признаками, характерными для инвазивного аспергиллеза, в период нейтропении. </w:t>
      </w:r>
    </w:p>
    <w:p w14:paraId="07E93FD7" w14:textId="77777777" w:rsidR="008074B4" w:rsidRDefault="008074B4" w:rsidP="0091350E">
      <w:pPr>
        <w:pStyle w:val="aff"/>
        <w:widowControl w:val="0"/>
        <w:numPr>
          <w:ilvl w:val="0"/>
          <w:numId w:val="75"/>
        </w:numPr>
        <w:tabs>
          <w:tab w:val="left" w:pos="0"/>
        </w:tabs>
        <w:autoSpaceDE w:val="0"/>
        <w:autoSpaceDN w:val="0"/>
        <w:adjustRightInd w:val="0"/>
        <w:contextualSpacing/>
      </w:pPr>
      <w:r>
        <w:t xml:space="preserve">при клинико-радиологических признаках, подозрительных в отношении инвазивного аспергилеза, независимо от </w:t>
      </w:r>
      <w:r w:rsidRPr="00680401">
        <w:t>нейтропении.</w:t>
      </w:r>
    </w:p>
    <w:p w14:paraId="1A42D986" w14:textId="037C8BAF" w:rsidR="008074B4" w:rsidRPr="00761653" w:rsidRDefault="008074B4" w:rsidP="008074B4">
      <w:pPr>
        <w:widowControl w:val="0"/>
        <w:tabs>
          <w:tab w:val="left" w:pos="0"/>
        </w:tabs>
        <w:autoSpaceDE w:val="0"/>
        <w:autoSpaceDN w:val="0"/>
        <w:adjustRightInd w:val="0"/>
      </w:pPr>
      <w:r>
        <w:rPr>
          <w:bCs/>
        </w:rPr>
        <w:tab/>
      </w:r>
      <w:r w:rsidRPr="00680401">
        <w:rPr>
          <w:bCs/>
        </w:rPr>
        <w:t>И</w:t>
      </w:r>
      <w:r w:rsidRPr="00680401">
        <w:t xml:space="preserve">сследование проводят не менее двух раз в течение 5 дней. Антиген </w:t>
      </w:r>
      <w:r w:rsidRPr="00680401">
        <w:rPr>
          <w:i/>
          <w:iCs/>
        </w:rPr>
        <w:t>Aspergillus</w:t>
      </w:r>
      <w:r w:rsidRPr="00680401">
        <w:t xml:space="preserve"> исследуют до назначения противогрибковых препаратов, активных в отношении мицелиальных грибов. Тест включен в критерии диагностики инвазивного аспергиллеза.</w:t>
      </w:r>
      <w:r>
        <w:t xml:space="preserve"> </w:t>
      </w:r>
      <w:r w:rsidRPr="00761653">
        <w:t xml:space="preserve">Положительные значения индекса оптической плотности определения антигена </w:t>
      </w:r>
      <w:r w:rsidRPr="00761653">
        <w:rPr>
          <w:i/>
          <w:iCs/>
        </w:rPr>
        <w:t>Aspergillus</w:t>
      </w:r>
      <w:r w:rsidRPr="00761653">
        <w:t xml:space="preserve"> в сыворотке крови</w:t>
      </w:r>
      <w:r>
        <w:t xml:space="preserve">: </w:t>
      </w:r>
      <w:r w:rsidRPr="00761653">
        <w:t xml:space="preserve"> ≥0,5, в жидкости БАЛ</w:t>
      </w:r>
      <w:r>
        <w:t>:</w:t>
      </w:r>
      <w:r w:rsidRPr="00761653">
        <w:t xml:space="preserve"> ≥1,0, в СМЖ</w:t>
      </w:r>
      <w:r>
        <w:t>:</w:t>
      </w:r>
      <w:r w:rsidRPr="00761653">
        <w:t xml:space="preserve"> ≥1,0</w:t>
      </w:r>
      <w:r>
        <w:t xml:space="preserve"> </w:t>
      </w:r>
      <w:r>
        <w:fldChar w:fldCharType="begin" w:fldLock="1"/>
      </w:r>
      <w:r w:rsidR="00AB4A77">
        <w:instrText>ADDIN CSL_CITATION {"citationItems":[{"id":"ITEM-1","itemData":{"DOI":"10.1038/bmt.2010.175","ISSN":"14765365","abstract":"In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Transplantation","id":"ITEM-1","issue":"5","issued":{"date-parts":[["2011"]]},"page":"709-718","publisher":"Nature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mendeley":{"formattedCitation":"[150]","plainTextFormattedCitation":"[150]","previouslyFormattedCitation":"[150]"},"properties":{"noteIndex":0},"schema":"https://github.com/citation-style-language/schema/raw/master/csl-citation.json"}</w:instrText>
      </w:r>
      <w:r>
        <w:fldChar w:fldCharType="separate"/>
      </w:r>
      <w:r w:rsidRPr="008074B4">
        <w:rPr>
          <w:noProof/>
        </w:rPr>
        <w:t>[150]</w:t>
      </w:r>
      <w:r>
        <w:fldChar w:fldCharType="end"/>
      </w:r>
      <w:r w:rsidRPr="00761653">
        <w:t xml:space="preserve">. </w:t>
      </w:r>
    </w:p>
    <w:p w14:paraId="119FA8EC" w14:textId="77777777" w:rsidR="008074B4" w:rsidRPr="00284D51" w:rsidRDefault="008074B4" w:rsidP="008074B4">
      <w:pPr>
        <w:widowControl w:val="0"/>
        <w:tabs>
          <w:tab w:val="left" w:pos="0"/>
        </w:tabs>
        <w:autoSpaceDE w:val="0"/>
        <w:autoSpaceDN w:val="0"/>
        <w:adjustRightInd w:val="0"/>
        <w:contextualSpacing/>
      </w:pPr>
      <w:r w:rsidRPr="00284D51">
        <w:rPr>
          <w:i/>
          <w:iCs/>
        </w:rPr>
        <w:t>Исследование антигена Candida (маннан) и антител Candida (антиманнан) в сыворотке крови</w:t>
      </w:r>
      <w:r w:rsidRPr="00284D51">
        <w:t xml:space="preserve"> проводят по следующим показаниям:</w:t>
      </w:r>
    </w:p>
    <w:p w14:paraId="352024E6" w14:textId="77777777" w:rsidR="008074B4" w:rsidRDefault="008074B4" w:rsidP="0091350E">
      <w:pPr>
        <w:pStyle w:val="aff"/>
        <w:widowControl w:val="0"/>
        <w:numPr>
          <w:ilvl w:val="0"/>
          <w:numId w:val="76"/>
        </w:numPr>
        <w:tabs>
          <w:tab w:val="left" w:pos="0"/>
        </w:tabs>
        <w:autoSpaceDE w:val="0"/>
        <w:autoSpaceDN w:val="0"/>
        <w:adjustRightInd w:val="0"/>
        <w:contextualSpacing/>
      </w:pPr>
      <w:r w:rsidRPr="00315F82">
        <w:t xml:space="preserve">множественные очаги в печени и/или селезенке (подозрение на гепатолиенальный кандидоз); </w:t>
      </w:r>
    </w:p>
    <w:p w14:paraId="2D346A1E" w14:textId="77777777" w:rsidR="008074B4" w:rsidRDefault="008074B4" w:rsidP="0091350E">
      <w:pPr>
        <w:pStyle w:val="aff"/>
        <w:widowControl w:val="0"/>
        <w:numPr>
          <w:ilvl w:val="0"/>
          <w:numId w:val="76"/>
        </w:numPr>
        <w:tabs>
          <w:tab w:val="left" w:pos="0"/>
        </w:tabs>
        <w:autoSpaceDE w:val="0"/>
        <w:autoSpaceDN w:val="0"/>
        <w:adjustRightInd w:val="0"/>
        <w:contextualSpacing/>
      </w:pPr>
      <w:r w:rsidRPr="00315F82">
        <w:t xml:space="preserve">предполагаемый инвазивный кандидоз у больных с длительной (более 7-10 дней) персистирующей температурой. </w:t>
      </w:r>
    </w:p>
    <w:p w14:paraId="4ED7BD37" w14:textId="28183874" w:rsidR="008074B4" w:rsidRPr="00315F82" w:rsidRDefault="008074B4" w:rsidP="00CD4F41">
      <w:pPr>
        <w:widowControl w:val="0"/>
        <w:autoSpaceDE w:val="0"/>
        <w:autoSpaceDN w:val="0"/>
        <w:adjustRightInd w:val="0"/>
        <w:ind w:firstLine="709"/>
      </w:pPr>
      <w:r w:rsidRPr="00315F82">
        <w:t xml:space="preserve">Образец для исследования </w:t>
      </w:r>
      <w:r>
        <w:t>–</w:t>
      </w:r>
      <w:r w:rsidRPr="00315F82">
        <w:t xml:space="preserve"> кровь. Результат исследования считается положи</w:t>
      </w:r>
      <w:r>
        <w:t xml:space="preserve">тельным при следующих значениях: </w:t>
      </w:r>
      <w:r w:rsidRPr="00315F82">
        <w:t xml:space="preserve">антиген </w:t>
      </w:r>
      <w:r w:rsidRPr="00315F82">
        <w:rPr>
          <w:i/>
          <w:iCs/>
        </w:rPr>
        <w:t>Candida</w:t>
      </w:r>
      <w:r w:rsidRPr="00315F82">
        <w:t xml:space="preserve"> (маннан) ≥125 пг/мл; антитела </w:t>
      </w:r>
      <w:r w:rsidRPr="00315F82">
        <w:rPr>
          <w:i/>
          <w:iCs/>
        </w:rPr>
        <w:t>Candida</w:t>
      </w:r>
      <w:r w:rsidRPr="00315F82">
        <w:t xml:space="preserve"> (антиманнан) ≥10 МЕ/мл. Тест не включен в критерии диагностики инвазивного кандидоза. Тест имеет высокое отрицательное прогностическое значение. При положительных значениях нельзя исключить наличие инвазивного кандидоза. Чувствительность и специфичность составляют около 50—60%. У </w:t>
      </w:r>
      <w:r>
        <w:t xml:space="preserve">пациентов </w:t>
      </w:r>
      <w:r w:rsidRPr="00315F82">
        <w:t xml:space="preserve">с колонизацией слизистых оболочек </w:t>
      </w:r>
      <w:r w:rsidRPr="00315F82">
        <w:rPr>
          <w:i/>
        </w:rPr>
        <w:t>Candida</w:t>
      </w:r>
      <w:r w:rsidRPr="00315F82">
        <w:t xml:space="preserve"> spp могут быть положительные значения антиманнана.</w:t>
      </w:r>
    </w:p>
    <w:p w14:paraId="4582C949" w14:textId="77777777" w:rsidR="008074B4" w:rsidRPr="00284D51" w:rsidRDefault="008074B4" w:rsidP="00CD4F41">
      <w:pPr>
        <w:widowControl w:val="0"/>
        <w:autoSpaceDE w:val="0"/>
        <w:autoSpaceDN w:val="0"/>
        <w:adjustRightInd w:val="0"/>
        <w:ind w:firstLine="709"/>
        <w:contextualSpacing/>
      </w:pPr>
      <w:r w:rsidRPr="00284D51">
        <w:rPr>
          <w:i/>
          <w:iCs/>
        </w:rPr>
        <w:t>Определение антигена Cryptocococcus (глюкуроноксиломаннан)</w:t>
      </w:r>
      <w:r w:rsidRPr="00284D51">
        <w:t xml:space="preserve"> выполняется при</w:t>
      </w:r>
      <w:r>
        <w:t xml:space="preserve"> </w:t>
      </w:r>
      <w:r w:rsidRPr="00761653">
        <w:t>подозрени</w:t>
      </w:r>
      <w:r>
        <w:t>и</w:t>
      </w:r>
      <w:r w:rsidRPr="00761653">
        <w:t xml:space="preserve"> на инфекцию, вызванную криптококком, у </w:t>
      </w:r>
      <w:r>
        <w:t>пациентов с факторами риска (Т-клеточный</w:t>
      </w:r>
      <w:r w:rsidRPr="00761653">
        <w:t xml:space="preserve"> иммунодефицит) возникновения этой инфекции. Группу риска </w:t>
      </w:r>
      <w:r>
        <w:t xml:space="preserve">в том числе </w:t>
      </w:r>
      <w:r w:rsidRPr="00761653">
        <w:t xml:space="preserve">составляют </w:t>
      </w:r>
      <w:r>
        <w:t>пациенты, получающие</w:t>
      </w:r>
      <w:r w:rsidRPr="00761653">
        <w:t xml:space="preserve"> лечение глюкокортикоидами, флударабином, </w:t>
      </w:r>
      <w:r>
        <w:t>и др</w:t>
      </w:r>
      <w:r w:rsidRPr="00761653">
        <w:t xml:space="preserve">. Определяют антиген в СМЖ, в крови, жидкости БАЛ, моче. Тест включен в критерии диагностики инвазивного криптоккоза. Исследование проводят с помощью латекс-теста </w:t>
      </w:r>
      <w:r w:rsidRPr="00284D51">
        <w:t>(качественный анализ).</w:t>
      </w:r>
    </w:p>
    <w:p w14:paraId="4570DB59" w14:textId="77777777" w:rsidR="008074B4" w:rsidRPr="00284D51" w:rsidRDefault="008074B4" w:rsidP="00CD4F41">
      <w:pPr>
        <w:widowControl w:val="0"/>
        <w:autoSpaceDE w:val="0"/>
        <w:autoSpaceDN w:val="0"/>
        <w:adjustRightInd w:val="0"/>
        <w:ind w:firstLine="709"/>
        <w:contextualSpacing/>
      </w:pPr>
      <w:r w:rsidRPr="00284D51">
        <w:rPr>
          <w:i/>
          <w:iCs/>
        </w:rPr>
        <w:t>Исследование антитела Мycoplasma pneumoniae (IgM, IgG), Chlamydophila pneumoniae (IgM, IgG) в крови выполняется</w:t>
      </w:r>
      <w:r w:rsidRPr="00284D51">
        <w:t xml:space="preserve"> при пневмонии, возникшей амбулаторно.</w:t>
      </w:r>
    </w:p>
    <w:p w14:paraId="159BB968" w14:textId="77777777" w:rsidR="008074B4" w:rsidRPr="00284D51" w:rsidRDefault="008074B4" w:rsidP="00CD4F41">
      <w:pPr>
        <w:widowControl w:val="0"/>
        <w:tabs>
          <w:tab w:val="left" w:pos="0"/>
        </w:tabs>
        <w:autoSpaceDE w:val="0"/>
        <w:autoSpaceDN w:val="0"/>
        <w:adjustRightInd w:val="0"/>
        <w:ind w:firstLine="709"/>
        <w:contextualSpacing/>
      </w:pPr>
      <w:r w:rsidRPr="00284D51">
        <w:t xml:space="preserve">Показаниями к проведению </w:t>
      </w:r>
      <w:r w:rsidRPr="00284D51">
        <w:rPr>
          <w:i/>
          <w:iCs/>
        </w:rPr>
        <w:t>КТ/СКТ органов грудной полости являются:</w:t>
      </w:r>
    </w:p>
    <w:p w14:paraId="1224769E" w14:textId="77777777" w:rsidR="008074B4" w:rsidRDefault="008074B4" w:rsidP="0091350E">
      <w:pPr>
        <w:pStyle w:val="aff"/>
        <w:widowControl w:val="0"/>
        <w:numPr>
          <w:ilvl w:val="0"/>
          <w:numId w:val="77"/>
        </w:numPr>
        <w:tabs>
          <w:tab w:val="left" w:pos="0"/>
        </w:tabs>
        <w:autoSpaceDE w:val="0"/>
        <w:autoSpaceDN w:val="0"/>
        <w:adjustRightInd w:val="0"/>
        <w:contextualSpacing/>
      </w:pPr>
      <w:r w:rsidRPr="00016F8E">
        <w:t xml:space="preserve">пневмония (аускультативные признаки); </w:t>
      </w:r>
    </w:p>
    <w:p w14:paraId="1BE748D8" w14:textId="77777777" w:rsidR="008074B4" w:rsidRDefault="008074B4" w:rsidP="0091350E">
      <w:pPr>
        <w:pStyle w:val="aff"/>
        <w:widowControl w:val="0"/>
        <w:numPr>
          <w:ilvl w:val="0"/>
          <w:numId w:val="77"/>
        </w:numPr>
        <w:tabs>
          <w:tab w:val="left" w:pos="0"/>
        </w:tabs>
        <w:autoSpaceDE w:val="0"/>
        <w:autoSpaceDN w:val="0"/>
        <w:adjustRightInd w:val="0"/>
        <w:contextualSpacing/>
      </w:pPr>
      <w:r w:rsidRPr="00016F8E">
        <w:t xml:space="preserve">персистирующая фебрильная нейтропения от 3 дней и более, независимо от физикальной картины в легких; </w:t>
      </w:r>
    </w:p>
    <w:p w14:paraId="12E237D9" w14:textId="77777777" w:rsidR="008074B4" w:rsidRDefault="008074B4" w:rsidP="0091350E">
      <w:pPr>
        <w:pStyle w:val="aff"/>
        <w:widowControl w:val="0"/>
        <w:numPr>
          <w:ilvl w:val="0"/>
          <w:numId w:val="77"/>
        </w:numPr>
        <w:tabs>
          <w:tab w:val="left" w:pos="0"/>
        </w:tabs>
        <w:autoSpaceDE w:val="0"/>
        <w:autoSpaceDN w:val="0"/>
        <w:adjustRightInd w:val="0"/>
        <w:contextualSpacing/>
      </w:pPr>
      <w:r w:rsidRPr="00016F8E">
        <w:t xml:space="preserve">контроль выявленных изменений в легких через 7-14 дней в зависимости от состояния больного и диагностированной инфекции. </w:t>
      </w:r>
    </w:p>
    <w:p w14:paraId="0B854E36" w14:textId="443A703D" w:rsidR="008074B4" w:rsidRPr="00761653" w:rsidRDefault="008074B4" w:rsidP="00CD4F41">
      <w:pPr>
        <w:widowControl w:val="0"/>
        <w:tabs>
          <w:tab w:val="left" w:pos="0"/>
        </w:tabs>
        <w:autoSpaceDE w:val="0"/>
        <w:autoSpaceDN w:val="0"/>
        <w:adjustRightInd w:val="0"/>
        <w:ind w:firstLine="709"/>
      </w:pPr>
      <w:r w:rsidRPr="00016F8E">
        <w:t>КТ/СКТ во всех случаях без проводят без предварительной рентгенографии грудной клетки.</w:t>
      </w:r>
      <w:r>
        <w:t xml:space="preserve"> </w:t>
      </w:r>
      <w:r w:rsidRPr="00761653">
        <w:t xml:space="preserve">Рентгенография органов грудной клетки относится к малоинформативным методам исследования у </w:t>
      </w:r>
      <w:r>
        <w:t xml:space="preserve">гематологических пациентов, предпочтительно </w:t>
      </w:r>
      <w:r w:rsidRPr="00761653">
        <w:t>для диагностики инфекционных осложнений</w:t>
      </w:r>
      <w:r>
        <w:t xml:space="preserve"> применять КТ/СКТ</w:t>
      </w:r>
      <w:r w:rsidRPr="00761653">
        <w:t>.</w:t>
      </w:r>
    </w:p>
    <w:p w14:paraId="141620F2" w14:textId="77777777" w:rsidR="008074B4" w:rsidRPr="008572A7" w:rsidRDefault="008074B4" w:rsidP="00CD4F41">
      <w:pPr>
        <w:widowControl w:val="0"/>
        <w:autoSpaceDE w:val="0"/>
        <w:autoSpaceDN w:val="0"/>
        <w:adjustRightInd w:val="0"/>
        <w:ind w:firstLine="709"/>
        <w:contextualSpacing/>
        <w:rPr>
          <w:b/>
          <w:bCs/>
          <w:u w:val="single"/>
        </w:rPr>
      </w:pPr>
      <w:r w:rsidRPr="00284D51">
        <w:rPr>
          <w:i/>
          <w:iCs/>
        </w:rPr>
        <w:t>Ультразвуковое исследование (УЗИ), КТ/СКТ, МРТ органов брюшной полости</w:t>
      </w:r>
      <w:r w:rsidRPr="00284D51">
        <w:rPr>
          <w:b/>
          <w:bCs/>
        </w:rPr>
        <w:t xml:space="preserve"> </w:t>
      </w:r>
      <w:r w:rsidRPr="00284D51">
        <w:t>для</w:t>
      </w:r>
      <w:r>
        <w:t xml:space="preserve"> уточнения инфекционного процесса проводят по клиническим показаниям, в том числе:</w:t>
      </w:r>
    </w:p>
    <w:p w14:paraId="2FFAA7A7" w14:textId="77777777" w:rsidR="008074B4" w:rsidRDefault="008074B4" w:rsidP="0091350E">
      <w:pPr>
        <w:pStyle w:val="aff"/>
        <w:widowControl w:val="0"/>
        <w:numPr>
          <w:ilvl w:val="0"/>
          <w:numId w:val="78"/>
        </w:numPr>
        <w:tabs>
          <w:tab w:val="left" w:pos="0"/>
        </w:tabs>
        <w:autoSpaceDE w:val="0"/>
        <w:autoSpaceDN w:val="0"/>
        <w:adjustRightInd w:val="0"/>
        <w:contextualSpacing/>
      </w:pPr>
      <w:r w:rsidRPr="00016F8E">
        <w:t>сохраняющаяся лихорадка (колебания температуры в течение суток от 37 до 39°С), особенно у больных вне лейкопении (</w:t>
      </w:r>
      <w:r>
        <w:t xml:space="preserve">для </w:t>
      </w:r>
      <w:r w:rsidRPr="00016F8E">
        <w:t>диагности</w:t>
      </w:r>
      <w:r>
        <w:t>ки</w:t>
      </w:r>
      <w:r w:rsidRPr="00016F8E">
        <w:t xml:space="preserve"> гепатолиенального кандидоза); </w:t>
      </w:r>
    </w:p>
    <w:p w14:paraId="3DFE6CF0" w14:textId="77777777" w:rsidR="008074B4" w:rsidRDefault="008074B4" w:rsidP="0091350E">
      <w:pPr>
        <w:pStyle w:val="aff"/>
        <w:widowControl w:val="0"/>
        <w:numPr>
          <w:ilvl w:val="0"/>
          <w:numId w:val="78"/>
        </w:numPr>
        <w:tabs>
          <w:tab w:val="left" w:pos="0"/>
        </w:tabs>
        <w:autoSpaceDE w:val="0"/>
        <w:autoSpaceDN w:val="0"/>
        <w:adjustRightInd w:val="0"/>
        <w:contextualSpacing/>
      </w:pPr>
      <w:r>
        <w:t>при диагностированнмм аспергиллезе</w:t>
      </w:r>
      <w:r w:rsidRPr="00016F8E">
        <w:t xml:space="preserve"> легких или мукормикоз</w:t>
      </w:r>
      <w:r>
        <w:t>е</w:t>
      </w:r>
      <w:r w:rsidRPr="00016F8E">
        <w:t xml:space="preserve"> (</w:t>
      </w:r>
      <w:r>
        <w:t xml:space="preserve">для </w:t>
      </w:r>
      <w:r w:rsidRPr="00016F8E">
        <w:t>исключ</w:t>
      </w:r>
      <w:r>
        <w:t>ения</w:t>
      </w:r>
      <w:r w:rsidRPr="00016F8E">
        <w:t xml:space="preserve"> диссеминаци</w:t>
      </w:r>
      <w:r>
        <w:t>и</w:t>
      </w:r>
      <w:r w:rsidRPr="00016F8E">
        <w:t xml:space="preserve">); </w:t>
      </w:r>
    </w:p>
    <w:p w14:paraId="64A600A9" w14:textId="77777777" w:rsidR="008074B4" w:rsidRDefault="008074B4" w:rsidP="0091350E">
      <w:pPr>
        <w:pStyle w:val="aff"/>
        <w:widowControl w:val="0"/>
        <w:numPr>
          <w:ilvl w:val="0"/>
          <w:numId w:val="78"/>
        </w:numPr>
        <w:tabs>
          <w:tab w:val="left" w:pos="0"/>
        </w:tabs>
        <w:autoSpaceDE w:val="0"/>
        <w:autoSpaceDN w:val="0"/>
        <w:adjustRightInd w:val="0"/>
        <w:contextualSpacing/>
      </w:pPr>
      <w:r>
        <w:t xml:space="preserve">для </w:t>
      </w:r>
      <w:r w:rsidRPr="00016F8E">
        <w:t>контрол</w:t>
      </w:r>
      <w:r>
        <w:t>я</w:t>
      </w:r>
      <w:r w:rsidRPr="00016F8E">
        <w:t xml:space="preserve"> выявленных</w:t>
      </w:r>
      <w:r>
        <w:t xml:space="preserve"> ранее</w:t>
      </w:r>
      <w:r w:rsidRPr="00016F8E">
        <w:t xml:space="preserve"> изменений. </w:t>
      </w:r>
    </w:p>
    <w:p w14:paraId="4F744C8E" w14:textId="10F0B38C" w:rsidR="008074B4" w:rsidRPr="00016F8E" w:rsidRDefault="008074B4" w:rsidP="00CD4F41">
      <w:pPr>
        <w:widowControl w:val="0"/>
        <w:tabs>
          <w:tab w:val="left" w:pos="0"/>
        </w:tabs>
        <w:autoSpaceDE w:val="0"/>
        <w:autoSpaceDN w:val="0"/>
        <w:adjustRightInd w:val="0"/>
        <w:ind w:firstLine="709"/>
      </w:pPr>
      <w:r w:rsidRPr="00016F8E">
        <w:t>При диагностике гепатолиенального кандидоза контрольное исследование проводят не ранее чем через 1 мес терапии системными противогрибковыми препаратами</w:t>
      </w:r>
      <w:r>
        <w:t>,</w:t>
      </w:r>
      <w:r w:rsidRPr="00016F8E">
        <w:t xml:space="preserve"> вне лейкопении.</w:t>
      </w:r>
    </w:p>
    <w:p w14:paraId="3BA9B269" w14:textId="77777777" w:rsidR="008074B4" w:rsidRPr="008572A7" w:rsidRDefault="008074B4" w:rsidP="00CD4F41">
      <w:pPr>
        <w:widowControl w:val="0"/>
        <w:tabs>
          <w:tab w:val="left" w:pos="0"/>
        </w:tabs>
        <w:autoSpaceDE w:val="0"/>
        <w:autoSpaceDN w:val="0"/>
        <w:adjustRightInd w:val="0"/>
        <w:ind w:firstLine="709"/>
        <w:contextualSpacing/>
        <w:rPr>
          <w:b/>
          <w:u w:val="single"/>
        </w:rPr>
      </w:pPr>
      <w:r w:rsidRPr="00284D51">
        <w:rPr>
          <w:i/>
          <w:iCs/>
        </w:rPr>
        <w:t>КТ или МРТ головного мозга</w:t>
      </w:r>
      <w:r w:rsidRPr="00284D51">
        <w:rPr>
          <w:bCs/>
        </w:rPr>
        <w:t xml:space="preserve"> </w:t>
      </w:r>
      <w:r w:rsidRPr="00284D51">
        <w:t>проводят для исключения инфекционного поражения</w:t>
      </w:r>
      <w:r>
        <w:t xml:space="preserve"> головного мозга:</w:t>
      </w:r>
    </w:p>
    <w:p w14:paraId="782E4347" w14:textId="77777777" w:rsidR="008074B4" w:rsidRDefault="008074B4" w:rsidP="0091350E">
      <w:pPr>
        <w:pStyle w:val="aff"/>
        <w:widowControl w:val="0"/>
        <w:numPr>
          <w:ilvl w:val="0"/>
          <w:numId w:val="79"/>
        </w:numPr>
        <w:tabs>
          <w:tab w:val="left" w:pos="0"/>
        </w:tabs>
        <w:autoSpaceDE w:val="0"/>
        <w:autoSpaceDN w:val="0"/>
        <w:adjustRightInd w:val="0"/>
        <w:contextualSpacing/>
      </w:pPr>
      <w:r>
        <w:t>при наличии</w:t>
      </w:r>
      <w:r w:rsidRPr="00016F8E">
        <w:t xml:space="preserve"> симптомов </w:t>
      </w:r>
      <w:r>
        <w:t>поражения</w:t>
      </w:r>
      <w:r w:rsidRPr="00016F8E">
        <w:t xml:space="preserve"> центральной нервной системы (ЦНС)</w:t>
      </w:r>
      <w:r>
        <w:t>;</w:t>
      </w:r>
    </w:p>
    <w:p w14:paraId="21D7F288" w14:textId="77777777" w:rsidR="008074B4" w:rsidRPr="00016F8E" w:rsidRDefault="008074B4" w:rsidP="0091350E">
      <w:pPr>
        <w:pStyle w:val="aff"/>
        <w:widowControl w:val="0"/>
        <w:numPr>
          <w:ilvl w:val="0"/>
          <w:numId w:val="79"/>
        </w:numPr>
        <w:tabs>
          <w:tab w:val="left" w:pos="0"/>
        </w:tabs>
        <w:autoSpaceDE w:val="0"/>
        <w:autoSpaceDN w:val="0"/>
        <w:adjustRightInd w:val="0"/>
        <w:contextualSpacing/>
      </w:pPr>
      <w:r w:rsidRPr="00016F8E">
        <w:t>при диагностике инвазивного аспергиллеза легких/околоносовых пазух или мукормикоза (</w:t>
      </w:r>
      <w:r>
        <w:t xml:space="preserve">для </w:t>
      </w:r>
      <w:r w:rsidRPr="00016F8E">
        <w:t>исключ</w:t>
      </w:r>
      <w:r>
        <w:t>ения</w:t>
      </w:r>
      <w:r w:rsidRPr="00016F8E">
        <w:t xml:space="preserve"> диссеминаци</w:t>
      </w:r>
      <w:r>
        <w:t>и</w:t>
      </w:r>
      <w:r w:rsidRPr="00016F8E">
        <w:t>).</w:t>
      </w:r>
    </w:p>
    <w:p w14:paraId="74800912" w14:textId="77777777" w:rsidR="008074B4" w:rsidRPr="00284D51" w:rsidRDefault="008074B4" w:rsidP="00CD4F41">
      <w:pPr>
        <w:widowControl w:val="0"/>
        <w:autoSpaceDE w:val="0"/>
        <w:autoSpaceDN w:val="0"/>
        <w:adjustRightInd w:val="0"/>
        <w:ind w:firstLine="709"/>
        <w:contextualSpacing/>
        <w:rPr>
          <w:i/>
          <w:iCs/>
        </w:rPr>
      </w:pPr>
      <w:r w:rsidRPr="00284D51">
        <w:rPr>
          <w:i/>
          <w:iCs/>
        </w:rPr>
        <w:t>Эхокардиография (ЭхоКГ), включая чрезпищеводную ЭхоКГ</w:t>
      </w:r>
    </w:p>
    <w:p w14:paraId="6EE8E42F" w14:textId="77777777" w:rsidR="008074B4" w:rsidRDefault="008074B4" w:rsidP="00CD4F41">
      <w:pPr>
        <w:widowControl w:val="0"/>
        <w:autoSpaceDE w:val="0"/>
        <w:autoSpaceDN w:val="0"/>
        <w:adjustRightInd w:val="0"/>
        <w:ind w:firstLine="709"/>
        <w:contextualSpacing/>
      </w:pPr>
      <w:r>
        <w:t>Проводится для исключения бактериального эндокардита, особенно в случае:</w:t>
      </w:r>
    </w:p>
    <w:p w14:paraId="7786C799" w14:textId="77777777" w:rsidR="008074B4" w:rsidRDefault="008074B4" w:rsidP="0091350E">
      <w:pPr>
        <w:pStyle w:val="aff"/>
        <w:widowControl w:val="0"/>
        <w:numPr>
          <w:ilvl w:val="0"/>
          <w:numId w:val="80"/>
        </w:numPr>
        <w:tabs>
          <w:tab w:val="left" w:pos="0"/>
        </w:tabs>
        <w:autoSpaceDE w:val="0"/>
        <w:autoSpaceDN w:val="0"/>
        <w:adjustRightInd w:val="0"/>
        <w:contextualSpacing/>
      </w:pPr>
      <w:r w:rsidRPr="00016F8E">
        <w:t>микробиологически подтвержденн</w:t>
      </w:r>
      <w:r>
        <w:t>ой</w:t>
      </w:r>
      <w:r w:rsidRPr="00016F8E">
        <w:t xml:space="preserve"> инфекци</w:t>
      </w:r>
      <w:r>
        <w:t>и</w:t>
      </w:r>
      <w:r w:rsidRPr="00016F8E">
        <w:t xml:space="preserve">, вызванная </w:t>
      </w:r>
      <w:r w:rsidRPr="00016F8E">
        <w:rPr>
          <w:i/>
        </w:rPr>
        <w:t>S. aureus</w:t>
      </w:r>
      <w:r w:rsidRPr="00016F8E">
        <w:t xml:space="preserve">; </w:t>
      </w:r>
    </w:p>
    <w:p w14:paraId="08A42169" w14:textId="77777777" w:rsidR="008074B4" w:rsidRDefault="008074B4" w:rsidP="0091350E">
      <w:pPr>
        <w:pStyle w:val="aff"/>
        <w:widowControl w:val="0"/>
        <w:numPr>
          <w:ilvl w:val="0"/>
          <w:numId w:val="80"/>
        </w:numPr>
        <w:tabs>
          <w:tab w:val="left" w:pos="0"/>
        </w:tabs>
        <w:autoSpaceDE w:val="0"/>
        <w:autoSpaceDN w:val="0"/>
        <w:adjustRightInd w:val="0"/>
        <w:contextualSpacing/>
      </w:pPr>
      <w:r>
        <w:t>длительной</w:t>
      </w:r>
      <w:r w:rsidRPr="00016F8E">
        <w:t xml:space="preserve"> (</w:t>
      </w:r>
      <w:r>
        <w:t>более</w:t>
      </w:r>
      <w:r w:rsidRPr="00016F8E">
        <w:t xml:space="preserve"> 10-14 дней) персистирующ</w:t>
      </w:r>
      <w:r>
        <w:t>ей</w:t>
      </w:r>
      <w:r w:rsidRPr="00016F8E">
        <w:t xml:space="preserve"> </w:t>
      </w:r>
      <w:r>
        <w:t>гипертермии</w:t>
      </w:r>
      <w:r w:rsidRPr="00016F8E">
        <w:t xml:space="preserve">, особенно у больных вне лейкопении. </w:t>
      </w:r>
    </w:p>
    <w:p w14:paraId="1BA2711E" w14:textId="77777777" w:rsidR="008074B4" w:rsidRPr="00016F8E" w:rsidRDefault="008074B4" w:rsidP="00CD4F41">
      <w:pPr>
        <w:widowControl w:val="0"/>
        <w:autoSpaceDE w:val="0"/>
        <w:autoSpaceDN w:val="0"/>
        <w:adjustRightInd w:val="0"/>
        <w:ind w:firstLine="709"/>
      </w:pPr>
      <w:r w:rsidRPr="00016F8E">
        <w:t xml:space="preserve">Чрезпищеводную ЭхоКГ назначают при сохраняющейся </w:t>
      </w:r>
      <w:r>
        <w:t>гипертермии</w:t>
      </w:r>
      <w:r w:rsidRPr="00016F8E">
        <w:t xml:space="preserve"> и отрицательн</w:t>
      </w:r>
      <w:r>
        <w:t>ых результатах</w:t>
      </w:r>
      <w:r w:rsidRPr="00016F8E">
        <w:t xml:space="preserve"> ЭхоКГ. </w:t>
      </w:r>
    </w:p>
    <w:p w14:paraId="41DA59AD" w14:textId="77777777" w:rsidR="008074B4" w:rsidRPr="00761653" w:rsidRDefault="008074B4" w:rsidP="00CD4F41">
      <w:pPr>
        <w:widowControl w:val="0"/>
        <w:autoSpaceDE w:val="0"/>
        <w:autoSpaceDN w:val="0"/>
        <w:adjustRightInd w:val="0"/>
        <w:ind w:firstLine="709"/>
        <w:contextualSpacing/>
      </w:pPr>
      <w:r w:rsidRPr="00761653">
        <w:t>В табл. 1 суммированы диагностические исследования у больных с гематологическими заболеваниями и инфекциями.</w:t>
      </w:r>
    </w:p>
    <w:p w14:paraId="70AF0A27" w14:textId="77777777" w:rsidR="008074B4" w:rsidRDefault="008074B4" w:rsidP="008074B4">
      <w:pPr>
        <w:widowControl w:val="0"/>
        <w:autoSpaceDE w:val="0"/>
        <w:autoSpaceDN w:val="0"/>
        <w:adjustRightInd w:val="0"/>
        <w:contextualSpacing/>
      </w:pPr>
    </w:p>
    <w:p w14:paraId="06255EE0" w14:textId="77777777" w:rsidR="008074B4" w:rsidRPr="00761653" w:rsidRDefault="008074B4" w:rsidP="008074B4">
      <w:pPr>
        <w:widowControl w:val="0"/>
        <w:autoSpaceDE w:val="0"/>
        <w:autoSpaceDN w:val="0"/>
        <w:adjustRightInd w:val="0"/>
        <w:contextualSpacing/>
      </w:pPr>
      <w:r w:rsidRPr="00761653">
        <w:t>Таблица 1. Показания к проведению диагностических исследований у больных с гематологическими заболеваниями и инфекциями.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6096"/>
      </w:tblGrid>
      <w:tr w:rsidR="008074B4" w:rsidRPr="00761653" w14:paraId="5268DD0A" w14:textId="77777777" w:rsidTr="005A428D">
        <w:trPr>
          <w:trHeight w:val="93"/>
        </w:trPr>
        <w:tc>
          <w:tcPr>
            <w:tcW w:w="3510" w:type="dxa"/>
            <w:tcMar>
              <w:top w:w="100" w:type="nil"/>
              <w:right w:w="100" w:type="nil"/>
            </w:tcMar>
            <w:vAlign w:val="center"/>
          </w:tcPr>
          <w:p w14:paraId="62B56FA5" w14:textId="77777777" w:rsidR="008074B4" w:rsidRPr="00761653" w:rsidRDefault="008074B4" w:rsidP="005A428D">
            <w:pPr>
              <w:widowControl w:val="0"/>
              <w:autoSpaceDE w:val="0"/>
              <w:autoSpaceDN w:val="0"/>
              <w:adjustRightInd w:val="0"/>
              <w:spacing w:line="240" w:lineRule="auto"/>
              <w:ind w:left="57" w:right="57"/>
              <w:jc w:val="center"/>
              <w:rPr>
                <w:b/>
                <w:bCs/>
              </w:rPr>
            </w:pPr>
            <w:r w:rsidRPr="00761653">
              <w:rPr>
                <w:b/>
                <w:bCs/>
              </w:rPr>
              <w:t>Показания</w:t>
            </w:r>
          </w:p>
        </w:tc>
        <w:tc>
          <w:tcPr>
            <w:tcW w:w="6096" w:type="dxa"/>
            <w:tcMar>
              <w:top w:w="100" w:type="nil"/>
              <w:right w:w="100" w:type="nil"/>
            </w:tcMar>
            <w:vAlign w:val="center"/>
          </w:tcPr>
          <w:p w14:paraId="6588F697" w14:textId="77777777" w:rsidR="008074B4" w:rsidRPr="00761653" w:rsidRDefault="008074B4" w:rsidP="005A428D">
            <w:pPr>
              <w:widowControl w:val="0"/>
              <w:autoSpaceDE w:val="0"/>
              <w:autoSpaceDN w:val="0"/>
              <w:adjustRightInd w:val="0"/>
              <w:spacing w:line="240" w:lineRule="auto"/>
              <w:ind w:left="57" w:right="57"/>
              <w:jc w:val="center"/>
              <w:rPr>
                <w:b/>
                <w:bCs/>
              </w:rPr>
            </w:pPr>
            <w:r w:rsidRPr="00761653">
              <w:rPr>
                <w:b/>
                <w:bCs/>
              </w:rPr>
              <w:t>Исследование</w:t>
            </w:r>
          </w:p>
        </w:tc>
      </w:tr>
      <w:tr w:rsidR="008074B4" w:rsidRPr="00265B67" w14:paraId="09B6725F" w14:textId="77777777" w:rsidTr="005A428D">
        <w:trPr>
          <w:trHeight w:val="702"/>
        </w:trPr>
        <w:tc>
          <w:tcPr>
            <w:tcW w:w="3510" w:type="dxa"/>
            <w:tcMar>
              <w:top w:w="100" w:type="nil"/>
              <w:right w:w="100" w:type="nil"/>
            </w:tcMar>
            <w:vAlign w:val="center"/>
          </w:tcPr>
          <w:p w14:paraId="1BF4AED6" w14:textId="77777777" w:rsidR="008074B4" w:rsidRPr="00761653" w:rsidRDefault="008074B4" w:rsidP="005A428D">
            <w:pPr>
              <w:widowControl w:val="0"/>
              <w:autoSpaceDE w:val="0"/>
              <w:autoSpaceDN w:val="0"/>
              <w:adjustRightInd w:val="0"/>
              <w:spacing w:line="240" w:lineRule="auto"/>
              <w:ind w:left="57" w:right="57"/>
            </w:pPr>
            <w:r w:rsidRPr="00761653">
              <w:t xml:space="preserve">Температура ≥38°С, </w:t>
            </w:r>
          </w:p>
          <w:p w14:paraId="14E4184B" w14:textId="77777777" w:rsidR="008074B4" w:rsidRPr="00761653" w:rsidRDefault="008074B4" w:rsidP="005A428D">
            <w:pPr>
              <w:widowControl w:val="0"/>
              <w:autoSpaceDE w:val="0"/>
              <w:autoSpaceDN w:val="0"/>
              <w:adjustRightInd w:val="0"/>
              <w:spacing w:line="240" w:lineRule="auto"/>
              <w:ind w:left="57" w:right="57"/>
            </w:pPr>
            <w:r w:rsidRPr="00761653">
              <w:t>впервые возникшая</w:t>
            </w:r>
          </w:p>
        </w:tc>
        <w:tc>
          <w:tcPr>
            <w:tcW w:w="6096" w:type="dxa"/>
            <w:tcMar>
              <w:top w:w="100" w:type="nil"/>
              <w:right w:w="100" w:type="nil"/>
            </w:tcMar>
            <w:vAlign w:val="center"/>
          </w:tcPr>
          <w:p w14:paraId="0D84B2D7" w14:textId="77777777" w:rsidR="008074B4" w:rsidRPr="00761653" w:rsidRDefault="008074B4" w:rsidP="005A428D">
            <w:pPr>
              <w:widowControl w:val="0"/>
              <w:autoSpaceDE w:val="0"/>
              <w:autoSpaceDN w:val="0"/>
              <w:adjustRightInd w:val="0"/>
              <w:spacing w:line="240" w:lineRule="auto"/>
              <w:ind w:left="57" w:right="57"/>
            </w:pPr>
            <w:r w:rsidRPr="00761653">
              <w:t xml:space="preserve">Взятие крови в 2 флакона для гемокультуры </w:t>
            </w:r>
          </w:p>
          <w:p w14:paraId="36CDA16C" w14:textId="77777777" w:rsidR="008074B4" w:rsidRPr="00761653" w:rsidRDefault="008074B4" w:rsidP="005A428D">
            <w:pPr>
              <w:widowControl w:val="0"/>
              <w:autoSpaceDE w:val="0"/>
              <w:autoSpaceDN w:val="0"/>
              <w:adjustRightInd w:val="0"/>
              <w:spacing w:line="240" w:lineRule="auto"/>
              <w:ind w:left="57" w:right="57"/>
            </w:pPr>
            <w:r w:rsidRPr="00761653">
              <w:t>(вена-катетер или вена-вена)</w:t>
            </w:r>
          </w:p>
        </w:tc>
      </w:tr>
      <w:tr w:rsidR="008074B4" w:rsidRPr="00265B67" w14:paraId="70AE6356" w14:textId="77777777" w:rsidTr="005A428D">
        <w:trPr>
          <w:trHeight w:val="841"/>
        </w:trPr>
        <w:tc>
          <w:tcPr>
            <w:tcW w:w="3510" w:type="dxa"/>
            <w:tcMar>
              <w:top w:w="100" w:type="nil"/>
              <w:right w:w="100" w:type="nil"/>
            </w:tcMar>
            <w:vAlign w:val="center"/>
          </w:tcPr>
          <w:p w14:paraId="374E5A96" w14:textId="77777777" w:rsidR="008074B4" w:rsidRPr="00761653" w:rsidRDefault="008074B4" w:rsidP="005A428D">
            <w:pPr>
              <w:widowControl w:val="0"/>
              <w:autoSpaceDE w:val="0"/>
              <w:autoSpaceDN w:val="0"/>
              <w:adjustRightInd w:val="0"/>
              <w:spacing w:line="240" w:lineRule="auto"/>
              <w:ind w:left="57" w:right="57"/>
            </w:pPr>
            <w:r w:rsidRPr="00761653">
              <w:t>Температура ≥38°С в течение</w:t>
            </w:r>
          </w:p>
          <w:p w14:paraId="53F60F8C" w14:textId="77777777" w:rsidR="008074B4" w:rsidRPr="00761653" w:rsidRDefault="008074B4" w:rsidP="005A428D">
            <w:pPr>
              <w:widowControl w:val="0"/>
              <w:autoSpaceDE w:val="0"/>
              <w:autoSpaceDN w:val="0"/>
              <w:adjustRightInd w:val="0"/>
              <w:spacing w:line="240" w:lineRule="auto"/>
              <w:ind w:left="57" w:right="57"/>
            </w:pPr>
            <w:r w:rsidRPr="00761653">
              <w:t xml:space="preserve"> ≥ 5 дней и лейкопения </w:t>
            </w:r>
          </w:p>
        </w:tc>
        <w:tc>
          <w:tcPr>
            <w:tcW w:w="6096" w:type="dxa"/>
            <w:tcMar>
              <w:top w:w="100" w:type="nil"/>
              <w:right w:w="100" w:type="nil"/>
            </w:tcMar>
            <w:vAlign w:val="center"/>
          </w:tcPr>
          <w:p w14:paraId="21BF4CA5" w14:textId="77777777" w:rsidR="008074B4" w:rsidRPr="00761653" w:rsidRDefault="008074B4" w:rsidP="005A428D">
            <w:pPr>
              <w:spacing w:line="240" w:lineRule="auto"/>
              <w:ind w:left="57" w:right="57"/>
              <w:contextualSpacing/>
              <w:rPr>
                <w:rFonts w:eastAsia="MS Mincho"/>
              </w:rPr>
            </w:pPr>
            <w:r w:rsidRPr="00761653">
              <w:t>Повторное взятие крови для гемокультуры 1 раз в неделю</w:t>
            </w:r>
          </w:p>
          <w:p w14:paraId="42EC272A" w14:textId="77777777" w:rsidR="008074B4" w:rsidRPr="00761653" w:rsidRDefault="008074B4" w:rsidP="005A428D">
            <w:pPr>
              <w:spacing w:line="240" w:lineRule="auto"/>
              <w:ind w:left="57" w:right="57"/>
              <w:contextualSpacing/>
            </w:pPr>
            <w:r w:rsidRPr="00761653">
              <w:t>Микробиологическое исследование мочи</w:t>
            </w:r>
          </w:p>
          <w:p w14:paraId="78A74C33" w14:textId="77777777" w:rsidR="008074B4" w:rsidRPr="00761653" w:rsidRDefault="008074B4" w:rsidP="005A428D">
            <w:pPr>
              <w:spacing w:line="240" w:lineRule="auto"/>
              <w:ind w:left="57" w:right="57"/>
              <w:contextualSpacing/>
            </w:pPr>
            <w:r w:rsidRPr="00761653">
              <w:t>Ректальный мазок</w:t>
            </w:r>
          </w:p>
          <w:p w14:paraId="4523277B" w14:textId="77777777" w:rsidR="008074B4" w:rsidRPr="00761653" w:rsidRDefault="008074B4" w:rsidP="005A428D">
            <w:pPr>
              <w:spacing w:line="240" w:lineRule="auto"/>
              <w:ind w:left="57" w:right="57"/>
              <w:contextualSpacing/>
            </w:pPr>
            <w:r w:rsidRPr="00761653">
              <w:t>КТВР легких</w:t>
            </w:r>
          </w:p>
        </w:tc>
      </w:tr>
      <w:tr w:rsidR="008074B4" w:rsidRPr="00975FC1" w14:paraId="355DE691" w14:textId="77777777" w:rsidTr="005A428D">
        <w:trPr>
          <w:trHeight w:val="1491"/>
        </w:trPr>
        <w:tc>
          <w:tcPr>
            <w:tcW w:w="3510" w:type="dxa"/>
            <w:tcMar>
              <w:top w:w="100" w:type="nil"/>
              <w:right w:w="100" w:type="nil"/>
            </w:tcMar>
            <w:vAlign w:val="center"/>
          </w:tcPr>
          <w:p w14:paraId="6D25C949" w14:textId="77777777" w:rsidR="008074B4" w:rsidRPr="00761653" w:rsidRDefault="008074B4" w:rsidP="005A428D">
            <w:pPr>
              <w:widowControl w:val="0"/>
              <w:autoSpaceDE w:val="0"/>
              <w:autoSpaceDN w:val="0"/>
              <w:adjustRightInd w:val="0"/>
              <w:spacing w:line="240" w:lineRule="auto"/>
              <w:ind w:left="57" w:right="57"/>
            </w:pPr>
            <w:r w:rsidRPr="00761653">
              <w:t>Температура ≥38°С, длительная, сохраняется после «выхода» из нейтропении</w:t>
            </w:r>
          </w:p>
        </w:tc>
        <w:tc>
          <w:tcPr>
            <w:tcW w:w="6096" w:type="dxa"/>
            <w:tcMar>
              <w:top w:w="100" w:type="nil"/>
              <w:right w:w="100" w:type="nil"/>
            </w:tcMar>
            <w:vAlign w:val="center"/>
          </w:tcPr>
          <w:p w14:paraId="5DA7D6DA" w14:textId="77777777" w:rsidR="008074B4" w:rsidRPr="00761653" w:rsidRDefault="008074B4" w:rsidP="005A428D">
            <w:pPr>
              <w:spacing w:line="240" w:lineRule="auto"/>
              <w:ind w:left="57" w:right="57"/>
              <w:contextualSpacing/>
              <w:rPr>
                <w:rFonts w:eastAsia="MS Mincho"/>
              </w:rPr>
            </w:pPr>
            <w:r w:rsidRPr="00761653">
              <w:t>УЗИ брюшной полости</w:t>
            </w:r>
          </w:p>
          <w:p w14:paraId="0AEA413D" w14:textId="77777777" w:rsidR="008074B4" w:rsidRPr="00761653" w:rsidRDefault="008074B4" w:rsidP="005A428D">
            <w:pPr>
              <w:spacing w:line="240" w:lineRule="auto"/>
              <w:ind w:left="57" w:right="57"/>
              <w:contextualSpacing/>
            </w:pPr>
            <w:r w:rsidRPr="00761653">
              <w:t xml:space="preserve">Определение антигена </w:t>
            </w:r>
            <w:r w:rsidRPr="00761653">
              <w:rPr>
                <w:i/>
              </w:rPr>
              <w:t>Candida</w:t>
            </w:r>
            <w:r w:rsidRPr="00761653">
              <w:t xml:space="preserve"> (маннан) и антител </w:t>
            </w:r>
            <w:r w:rsidRPr="00761653">
              <w:rPr>
                <w:i/>
              </w:rPr>
              <w:t>Candida</w:t>
            </w:r>
            <w:r w:rsidRPr="00761653">
              <w:t xml:space="preserve"> (антиманнан) в крови</w:t>
            </w:r>
          </w:p>
          <w:p w14:paraId="57D5850B" w14:textId="77777777" w:rsidR="008074B4" w:rsidRPr="00761653" w:rsidRDefault="008074B4" w:rsidP="005A428D">
            <w:pPr>
              <w:spacing w:line="240" w:lineRule="auto"/>
              <w:ind w:left="57" w:right="57"/>
              <w:contextualSpacing/>
            </w:pPr>
            <w:r w:rsidRPr="00761653">
              <w:t>КТВР или МРТ органов брюшной полости при неинформативном УЗИ</w:t>
            </w:r>
          </w:p>
        </w:tc>
      </w:tr>
      <w:tr w:rsidR="008074B4" w:rsidRPr="00975FC1" w14:paraId="08E8C04B" w14:textId="77777777" w:rsidTr="005A428D">
        <w:trPr>
          <w:trHeight w:val="1731"/>
        </w:trPr>
        <w:tc>
          <w:tcPr>
            <w:tcW w:w="3510" w:type="dxa"/>
            <w:tcMar>
              <w:top w:w="100" w:type="nil"/>
              <w:right w:w="100" w:type="nil"/>
            </w:tcMar>
            <w:vAlign w:val="center"/>
          </w:tcPr>
          <w:p w14:paraId="6E630DE8" w14:textId="77777777" w:rsidR="008074B4" w:rsidRPr="00761653" w:rsidRDefault="008074B4" w:rsidP="005A428D">
            <w:pPr>
              <w:widowControl w:val="0"/>
              <w:autoSpaceDE w:val="0"/>
              <w:autoSpaceDN w:val="0"/>
              <w:adjustRightInd w:val="0"/>
              <w:spacing w:line="240" w:lineRule="auto"/>
              <w:ind w:left="57" w:right="57"/>
            </w:pPr>
            <w:r w:rsidRPr="00761653">
              <w:t>Катетер-ассоциированная инфекция</w:t>
            </w:r>
          </w:p>
        </w:tc>
        <w:tc>
          <w:tcPr>
            <w:tcW w:w="6096" w:type="dxa"/>
            <w:tcMar>
              <w:top w:w="100" w:type="nil"/>
              <w:right w:w="100" w:type="nil"/>
            </w:tcMar>
            <w:vAlign w:val="center"/>
          </w:tcPr>
          <w:p w14:paraId="69197730" w14:textId="77777777" w:rsidR="008074B4" w:rsidRPr="00761653" w:rsidRDefault="008074B4" w:rsidP="005A428D">
            <w:pPr>
              <w:widowControl w:val="0"/>
              <w:autoSpaceDE w:val="0"/>
              <w:autoSpaceDN w:val="0"/>
              <w:adjustRightInd w:val="0"/>
              <w:spacing w:line="240" w:lineRule="auto"/>
              <w:ind w:left="57" w:right="57"/>
              <w:contextualSpacing/>
              <w:rPr>
                <w:rFonts w:eastAsia="MS Mincho"/>
              </w:rPr>
            </w:pPr>
            <w:r w:rsidRPr="00761653">
              <w:t>Взятие одновременно крови из вены и из ЦВК для микробиологического исследования</w:t>
            </w:r>
          </w:p>
          <w:p w14:paraId="10FE5AA9" w14:textId="77777777" w:rsidR="008074B4" w:rsidRPr="00761653" w:rsidRDefault="008074B4" w:rsidP="005A428D">
            <w:pPr>
              <w:widowControl w:val="0"/>
              <w:autoSpaceDE w:val="0"/>
              <w:autoSpaceDN w:val="0"/>
              <w:adjustRightInd w:val="0"/>
              <w:spacing w:line="240" w:lineRule="auto"/>
              <w:ind w:left="57" w:right="57"/>
              <w:contextualSpacing/>
            </w:pPr>
            <w:r w:rsidRPr="00761653">
              <w:t>Положительная гемокультура из ЦВК получена раньше на 2 часа и более чем из вены – удаление ЦВК ввиду высокой вероятности его инфицирования</w:t>
            </w:r>
          </w:p>
        </w:tc>
      </w:tr>
      <w:tr w:rsidR="008074B4" w:rsidRPr="00265B67" w14:paraId="6D771407" w14:textId="77777777" w:rsidTr="005A428D">
        <w:trPr>
          <w:trHeight w:val="698"/>
        </w:trPr>
        <w:tc>
          <w:tcPr>
            <w:tcW w:w="3510" w:type="dxa"/>
            <w:tcMar>
              <w:top w:w="100" w:type="nil"/>
              <w:right w:w="100" w:type="nil"/>
            </w:tcMar>
            <w:vAlign w:val="center"/>
          </w:tcPr>
          <w:p w14:paraId="6425A7E1" w14:textId="77777777" w:rsidR="008074B4" w:rsidRPr="00761653" w:rsidRDefault="008074B4" w:rsidP="005A428D">
            <w:pPr>
              <w:widowControl w:val="0"/>
              <w:autoSpaceDE w:val="0"/>
              <w:autoSpaceDN w:val="0"/>
              <w:adjustRightInd w:val="0"/>
              <w:spacing w:line="240" w:lineRule="auto"/>
              <w:ind w:left="57" w:right="57"/>
            </w:pPr>
            <w:r w:rsidRPr="00761653">
              <w:t xml:space="preserve">Ожидаемая нейтропения (лейкопения) &gt;10 дней </w:t>
            </w:r>
          </w:p>
        </w:tc>
        <w:tc>
          <w:tcPr>
            <w:tcW w:w="6096" w:type="dxa"/>
            <w:tcMar>
              <w:top w:w="100" w:type="nil"/>
              <w:right w:w="100" w:type="nil"/>
            </w:tcMar>
            <w:vAlign w:val="center"/>
          </w:tcPr>
          <w:p w14:paraId="13A64A24" w14:textId="77777777" w:rsidR="008074B4" w:rsidRPr="00761653" w:rsidRDefault="008074B4" w:rsidP="005A428D">
            <w:pPr>
              <w:widowControl w:val="0"/>
              <w:autoSpaceDE w:val="0"/>
              <w:autoSpaceDN w:val="0"/>
              <w:adjustRightInd w:val="0"/>
              <w:spacing w:line="240" w:lineRule="auto"/>
              <w:ind w:left="57" w:right="57"/>
            </w:pPr>
            <w:r w:rsidRPr="00761653">
              <w:t xml:space="preserve">Исследование крови на антиген </w:t>
            </w:r>
            <w:r w:rsidRPr="00761653">
              <w:rPr>
                <w:i/>
                <w:iCs/>
              </w:rPr>
              <w:t>Aspergillus</w:t>
            </w:r>
            <w:r w:rsidRPr="00761653">
              <w:t xml:space="preserve"> 2 раза в неделю</w:t>
            </w:r>
          </w:p>
        </w:tc>
      </w:tr>
      <w:tr w:rsidR="008074B4" w:rsidRPr="00761653" w14:paraId="79A9550D" w14:textId="77777777" w:rsidTr="005A428D">
        <w:trPr>
          <w:trHeight w:val="556"/>
        </w:trPr>
        <w:tc>
          <w:tcPr>
            <w:tcW w:w="3510" w:type="dxa"/>
            <w:tcMar>
              <w:top w:w="100" w:type="nil"/>
              <w:right w:w="100" w:type="nil"/>
            </w:tcMar>
            <w:vAlign w:val="center"/>
          </w:tcPr>
          <w:p w14:paraId="0C483F4A" w14:textId="77777777" w:rsidR="008074B4" w:rsidRPr="00761653" w:rsidRDefault="008074B4" w:rsidP="005A428D">
            <w:pPr>
              <w:widowControl w:val="0"/>
              <w:autoSpaceDE w:val="0"/>
              <w:autoSpaceDN w:val="0"/>
              <w:adjustRightInd w:val="0"/>
              <w:spacing w:line="240" w:lineRule="auto"/>
              <w:ind w:left="57" w:right="57"/>
            </w:pPr>
            <w:r w:rsidRPr="00761653">
              <w:t>Стоматит</w:t>
            </w:r>
          </w:p>
        </w:tc>
        <w:tc>
          <w:tcPr>
            <w:tcW w:w="6096" w:type="dxa"/>
            <w:tcMar>
              <w:top w:w="100" w:type="nil"/>
              <w:right w:w="100" w:type="nil"/>
            </w:tcMar>
            <w:vAlign w:val="center"/>
          </w:tcPr>
          <w:p w14:paraId="4AB0BF57" w14:textId="77777777" w:rsidR="008074B4" w:rsidRPr="00761653" w:rsidRDefault="008074B4" w:rsidP="005A428D">
            <w:pPr>
              <w:widowControl w:val="0"/>
              <w:autoSpaceDE w:val="0"/>
              <w:autoSpaceDN w:val="0"/>
              <w:adjustRightInd w:val="0"/>
              <w:spacing w:line="240" w:lineRule="auto"/>
              <w:ind w:left="57" w:right="57"/>
            </w:pPr>
            <w:r w:rsidRPr="00761653">
              <w:t>Мазок со слизистой ротоглотки</w:t>
            </w:r>
          </w:p>
        </w:tc>
      </w:tr>
      <w:tr w:rsidR="008074B4" w:rsidRPr="00265B67" w14:paraId="40EC067C" w14:textId="77777777" w:rsidTr="005A428D">
        <w:trPr>
          <w:trHeight w:val="976"/>
        </w:trPr>
        <w:tc>
          <w:tcPr>
            <w:tcW w:w="3510" w:type="dxa"/>
            <w:tcMar>
              <w:top w:w="100" w:type="nil"/>
              <w:right w:w="100" w:type="nil"/>
            </w:tcMar>
            <w:vAlign w:val="center"/>
          </w:tcPr>
          <w:p w14:paraId="7030DBDD" w14:textId="77777777" w:rsidR="008074B4" w:rsidRPr="00761653" w:rsidRDefault="008074B4" w:rsidP="005A428D">
            <w:pPr>
              <w:widowControl w:val="0"/>
              <w:autoSpaceDE w:val="0"/>
              <w:autoSpaceDN w:val="0"/>
              <w:adjustRightInd w:val="0"/>
              <w:spacing w:line="240" w:lineRule="auto"/>
              <w:ind w:left="57" w:right="57"/>
            </w:pPr>
            <w:r w:rsidRPr="00761653">
              <w:t>Эзофагит</w:t>
            </w:r>
          </w:p>
        </w:tc>
        <w:tc>
          <w:tcPr>
            <w:tcW w:w="6096" w:type="dxa"/>
            <w:tcMar>
              <w:top w:w="100" w:type="nil"/>
              <w:right w:w="100" w:type="nil"/>
            </w:tcMar>
            <w:vAlign w:val="center"/>
          </w:tcPr>
          <w:p w14:paraId="1D6FAF23" w14:textId="77777777" w:rsidR="008074B4" w:rsidRPr="00761653" w:rsidRDefault="008074B4" w:rsidP="005A428D">
            <w:pPr>
              <w:widowControl w:val="0"/>
              <w:autoSpaceDE w:val="0"/>
              <w:autoSpaceDN w:val="0"/>
              <w:adjustRightInd w:val="0"/>
              <w:spacing w:line="240" w:lineRule="auto"/>
              <w:ind w:left="57" w:right="57"/>
            </w:pPr>
            <w:r w:rsidRPr="00761653">
              <w:t>Эзофагоскопия (тромбоцитов не менее 50x10</w:t>
            </w:r>
            <w:r w:rsidRPr="00761653">
              <w:rPr>
                <w:vertAlign w:val="superscript"/>
              </w:rPr>
              <w:t>9</w:t>
            </w:r>
            <w:r w:rsidRPr="00761653">
              <w:t>/л)</w:t>
            </w:r>
          </w:p>
          <w:p w14:paraId="609EA34F" w14:textId="77777777" w:rsidR="008074B4" w:rsidRPr="00761653" w:rsidRDefault="008074B4" w:rsidP="005A428D">
            <w:pPr>
              <w:widowControl w:val="0"/>
              <w:autoSpaceDE w:val="0"/>
              <w:autoSpaceDN w:val="0"/>
              <w:adjustRightInd w:val="0"/>
              <w:spacing w:line="240" w:lineRule="auto"/>
              <w:ind w:left="57" w:right="57"/>
            </w:pPr>
            <w:r w:rsidRPr="00761653">
              <w:t>Исследование - соскоб (браш-метод) со слизистой оболочки или биопсия</w:t>
            </w:r>
          </w:p>
        </w:tc>
      </w:tr>
      <w:tr w:rsidR="008074B4" w:rsidRPr="00265B67" w14:paraId="0887F50B" w14:textId="77777777" w:rsidTr="005A428D">
        <w:trPr>
          <w:trHeight w:val="704"/>
        </w:trPr>
        <w:tc>
          <w:tcPr>
            <w:tcW w:w="3510" w:type="dxa"/>
            <w:tcMar>
              <w:top w:w="100" w:type="nil"/>
              <w:right w:w="100" w:type="nil"/>
            </w:tcMar>
            <w:vAlign w:val="center"/>
          </w:tcPr>
          <w:p w14:paraId="39C19565" w14:textId="77777777" w:rsidR="008074B4" w:rsidRPr="00761653" w:rsidRDefault="008074B4" w:rsidP="005A428D">
            <w:pPr>
              <w:widowControl w:val="0"/>
              <w:autoSpaceDE w:val="0"/>
              <w:autoSpaceDN w:val="0"/>
              <w:adjustRightInd w:val="0"/>
              <w:spacing w:line="240" w:lineRule="auto"/>
              <w:ind w:left="57" w:right="57"/>
            </w:pPr>
            <w:r w:rsidRPr="00761653">
              <w:t>Некроз слизистой оболочки носового хода</w:t>
            </w:r>
          </w:p>
        </w:tc>
        <w:tc>
          <w:tcPr>
            <w:tcW w:w="6096" w:type="dxa"/>
            <w:tcMar>
              <w:top w:w="100" w:type="nil"/>
              <w:right w:w="100" w:type="nil"/>
            </w:tcMar>
            <w:vAlign w:val="center"/>
          </w:tcPr>
          <w:p w14:paraId="528D0F12" w14:textId="77777777" w:rsidR="008074B4" w:rsidRPr="00761653" w:rsidRDefault="008074B4" w:rsidP="005A428D">
            <w:pPr>
              <w:widowControl w:val="0"/>
              <w:autoSpaceDE w:val="0"/>
              <w:autoSpaceDN w:val="0"/>
              <w:adjustRightInd w:val="0"/>
              <w:spacing w:line="240" w:lineRule="auto"/>
              <w:ind w:left="57" w:right="57"/>
            </w:pPr>
            <w:r w:rsidRPr="00761653">
              <w:t>Мазок со слизистой оболочки носа</w:t>
            </w:r>
          </w:p>
        </w:tc>
      </w:tr>
      <w:tr w:rsidR="008074B4" w:rsidRPr="00265B67" w14:paraId="0228C484" w14:textId="77777777" w:rsidTr="005A428D">
        <w:trPr>
          <w:trHeight w:val="701"/>
        </w:trPr>
        <w:tc>
          <w:tcPr>
            <w:tcW w:w="3510" w:type="dxa"/>
            <w:tcMar>
              <w:top w:w="100" w:type="nil"/>
              <w:right w:w="100" w:type="nil"/>
            </w:tcMar>
            <w:vAlign w:val="center"/>
          </w:tcPr>
          <w:p w14:paraId="62D04FC1" w14:textId="77777777" w:rsidR="008074B4" w:rsidRPr="00761653" w:rsidRDefault="008074B4" w:rsidP="005A428D">
            <w:pPr>
              <w:widowControl w:val="0"/>
              <w:autoSpaceDE w:val="0"/>
              <w:autoSpaceDN w:val="0"/>
              <w:adjustRightInd w:val="0"/>
              <w:spacing w:line="240" w:lineRule="auto"/>
              <w:ind w:left="57" w:right="57"/>
            </w:pPr>
            <w:r w:rsidRPr="00761653">
              <w:t>Гайморит</w:t>
            </w:r>
          </w:p>
        </w:tc>
        <w:tc>
          <w:tcPr>
            <w:tcW w:w="6096" w:type="dxa"/>
            <w:tcMar>
              <w:top w:w="100" w:type="nil"/>
              <w:right w:w="100" w:type="nil"/>
            </w:tcMar>
            <w:vAlign w:val="center"/>
          </w:tcPr>
          <w:p w14:paraId="6C90981F" w14:textId="77777777" w:rsidR="008074B4" w:rsidRPr="00761653" w:rsidRDefault="008074B4" w:rsidP="005A428D">
            <w:pPr>
              <w:widowControl w:val="0"/>
              <w:autoSpaceDE w:val="0"/>
              <w:autoSpaceDN w:val="0"/>
              <w:adjustRightInd w:val="0"/>
              <w:spacing w:line="240" w:lineRule="auto"/>
              <w:ind w:left="57" w:right="57"/>
            </w:pPr>
            <w:r w:rsidRPr="00761653">
              <w:t>Исследование содержимого околоносовой пазухи, полученной при пункции</w:t>
            </w:r>
          </w:p>
        </w:tc>
      </w:tr>
      <w:tr w:rsidR="008074B4" w:rsidRPr="00761653" w14:paraId="5201D08C" w14:textId="77777777" w:rsidTr="005A428D">
        <w:trPr>
          <w:trHeight w:val="825"/>
        </w:trPr>
        <w:tc>
          <w:tcPr>
            <w:tcW w:w="3510" w:type="dxa"/>
            <w:tcMar>
              <w:top w:w="100" w:type="nil"/>
              <w:right w:w="100" w:type="nil"/>
            </w:tcMar>
            <w:vAlign w:val="center"/>
          </w:tcPr>
          <w:p w14:paraId="7107BB1D" w14:textId="77777777" w:rsidR="008074B4" w:rsidRPr="00761653" w:rsidRDefault="008074B4" w:rsidP="005A428D">
            <w:pPr>
              <w:widowControl w:val="0"/>
              <w:autoSpaceDE w:val="0"/>
              <w:autoSpaceDN w:val="0"/>
              <w:adjustRightInd w:val="0"/>
              <w:spacing w:line="240" w:lineRule="auto"/>
              <w:ind w:left="57" w:right="57"/>
            </w:pPr>
            <w:r w:rsidRPr="00761653">
              <w:t>Симптомы инфекции мочевыводящих путей</w:t>
            </w:r>
          </w:p>
          <w:p w14:paraId="50A24C76" w14:textId="77777777" w:rsidR="008074B4" w:rsidRPr="00761653" w:rsidRDefault="008074B4" w:rsidP="005A428D">
            <w:pPr>
              <w:widowControl w:val="0"/>
              <w:autoSpaceDE w:val="0"/>
              <w:autoSpaceDN w:val="0"/>
              <w:adjustRightInd w:val="0"/>
              <w:spacing w:line="240" w:lineRule="auto"/>
              <w:ind w:left="57" w:right="57"/>
            </w:pPr>
            <w:r w:rsidRPr="00761653">
              <w:t>Лейкоцитурия</w:t>
            </w:r>
          </w:p>
        </w:tc>
        <w:tc>
          <w:tcPr>
            <w:tcW w:w="6096" w:type="dxa"/>
            <w:tcMar>
              <w:top w:w="100" w:type="nil"/>
              <w:right w:w="100" w:type="nil"/>
            </w:tcMar>
            <w:vAlign w:val="center"/>
          </w:tcPr>
          <w:p w14:paraId="7D5C1E42" w14:textId="77777777" w:rsidR="008074B4" w:rsidRPr="00761653" w:rsidRDefault="008074B4" w:rsidP="005A428D">
            <w:pPr>
              <w:widowControl w:val="0"/>
              <w:autoSpaceDE w:val="0"/>
              <w:autoSpaceDN w:val="0"/>
              <w:adjustRightInd w:val="0"/>
              <w:spacing w:line="240" w:lineRule="auto"/>
              <w:ind w:left="57" w:right="57"/>
            </w:pPr>
            <w:r w:rsidRPr="00761653">
              <w:t>Микробиологическое исследование мочи</w:t>
            </w:r>
          </w:p>
        </w:tc>
      </w:tr>
      <w:tr w:rsidR="008074B4" w:rsidRPr="00265B67" w14:paraId="320EF3DE" w14:textId="77777777" w:rsidTr="005A428D">
        <w:trPr>
          <w:trHeight w:val="1016"/>
        </w:trPr>
        <w:tc>
          <w:tcPr>
            <w:tcW w:w="3510" w:type="dxa"/>
            <w:tcMar>
              <w:top w:w="100" w:type="nil"/>
              <w:right w:w="100" w:type="nil"/>
            </w:tcMar>
            <w:vAlign w:val="center"/>
          </w:tcPr>
          <w:p w14:paraId="2AAA6D64" w14:textId="77777777" w:rsidR="008074B4" w:rsidRPr="00761653" w:rsidRDefault="008074B4" w:rsidP="005A428D">
            <w:pPr>
              <w:widowControl w:val="0"/>
              <w:autoSpaceDE w:val="0"/>
              <w:autoSpaceDN w:val="0"/>
              <w:adjustRightInd w:val="0"/>
              <w:spacing w:line="240" w:lineRule="auto"/>
              <w:ind w:left="57" w:right="57"/>
            </w:pPr>
            <w:r w:rsidRPr="00761653">
              <w:t>Пневмония</w:t>
            </w:r>
          </w:p>
        </w:tc>
        <w:tc>
          <w:tcPr>
            <w:tcW w:w="6096" w:type="dxa"/>
            <w:tcMar>
              <w:top w:w="100" w:type="nil"/>
              <w:right w:w="100" w:type="nil"/>
            </w:tcMar>
          </w:tcPr>
          <w:p w14:paraId="673369B2" w14:textId="77777777" w:rsidR="008074B4" w:rsidRPr="00761653" w:rsidRDefault="008074B4" w:rsidP="005A428D">
            <w:pPr>
              <w:widowControl w:val="0"/>
              <w:autoSpaceDE w:val="0"/>
              <w:autoSpaceDN w:val="0"/>
              <w:adjustRightInd w:val="0"/>
              <w:spacing w:line="240" w:lineRule="auto"/>
              <w:ind w:left="57" w:right="57"/>
              <w:contextualSpacing/>
            </w:pPr>
            <w:r w:rsidRPr="00761653">
              <w:t>КТВР легких</w:t>
            </w:r>
          </w:p>
          <w:p w14:paraId="3A6ABFBC" w14:textId="77777777" w:rsidR="008074B4" w:rsidRPr="00761653" w:rsidRDefault="008074B4" w:rsidP="005A428D">
            <w:pPr>
              <w:widowControl w:val="0"/>
              <w:autoSpaceDE w:val="0"/>
              <w:autoSpaceDN w:val="0"/>
              <w:adjustRightInd w:val="0"/>
              <w:spacing w:line="240" w:lineRule="auto"/>
              <w:ind w:left="57" w:right="57"/>
              <w:contextualSpacing/>
            </w:pPr>
            <w:r w:rsidRPr="00761653">
              <w:t>Бронхоальвеолярный лаваж после КТВР легких</w:t>
            </w:r>
          </w:p>
          <w:p w14:paraId="2C4A629E" w14:textId="77777777" w:rsidR="008074B4" w:rsidRPr="00761653" w:rsidRDefault="008074B4" w:rsidP="005A428D">
            <w:pPr>
              <w:widowControl w:val="0"/>
              <w:autoSpaceDE w:val="0"/>
              <w:autoSpaceDN w:val="0"/>
              <w:adjustRightInd w:val="0"/>
              <w:spacing w:line="240" w:lineRule="auto"/>
              <w:ind w:left="57" w:right="57"/>
              <w:contextualSpacing/>
              <w:rPr>
                <w:rFonts w:eastAsia="MS Mincho"/>
              </w:rPr>
            </w:pPr>
            <w:r w:rsidRPr="00761653">
              <w:t xml:space="preserve">Полное исследование жидкости БАЛ (микроскопия, микробиологическое исследование на бактерии и грибы, определение галактоманнана, флюоресцентная микроскопия на </w:t>
            </w:r>
            <w:r w:rsidRPr="00761653">
              <w:rPr>
                <w:i/>
                <w:iCs/>
              </w:rPr>
              <w:t xml:space="preserve">P. jirovecii, </w:t>
            </w:r>
            <w:r w:rsidRPr="00761653">
              <w:t xml:space="preserve">определение ДНК вирусов, </w:t>
            </w:r>
            <w:r w:rsidRPr="00761653">
              <w:rPr>
                <w:i/>
                <w:iCs/>
              </w:rPr>
              <w:t>P</w:t>
            </w:r>
            <w:r w:rsidRPr="00761653">
              <w:rPr>
                <w:i/>
                <w:iCs/>
                <w:strike/>
              </w:rPr>
              <w:t>.</w:t>
            </w:r>
            <w:r w:rsidRPr="00761653">
              <w:rPr>
                <w:i/>
                <w:iCs/>
              </w:rPr>
              <w:t xml:space="preserve"> jirovecii</w:t>
            </w:r>
            <w:r w:rsidRPr="00761653">
              <w:t>,</w:t>
            </w:r>
            <w:r w:rsidRPr="00761653">
              <w:rPr>
                <w:i/>
                <w:iCs/>
              </w:rPr>
              <w:t xml:space="preserve"> M. pneumoniae, C. pneumoniae</w:t>
            </w:r>
            <w:r w:rsidRPr="00761653">
              <w:t>)</w:t>
            </w:r>
          </w:p>
          <w:p w14:paraId="3CB620A3" w14:textId="77777777" w:rsidR="008074B4" w:rsidRPr="00761653" w:rsidRDefault="008074B4" w:rsidP="005A428D">
            <w:pPr>
              <w:widowControl w:val="0"/>
              <w:autoSpaceDE w:val="0"/>
              <w:autoSpaceDN w:val="0"/>
              <w:adjustRightInd w:val="0"/>
              <w:spacing w:line="240" w:lineRule="auto"/>
              <w:ind w:left="57" w:right="57"/>
              <w:contextualSpacing/>
            </w:pPr>
            <w:r w:rsidRPr="00761653">
              <w:t xml:space="preserve">Исследование крови на антиген </w:t>
            </w:r>
            <w:r w:rsidRPr="00761653">
              <w:rPr>
                <w:i/>
                <w:iCs/>
              </w:rPr>
              <w:t>Aspergillus</w:t>
            </w:r>
          </w:p>
        </w:tc>
      </w:tr>
      <w:tr w:rsidR="008074B4" w:rsidRPr="00265B67" w14:paraId="52964F75" w14:textId="77777777" w:rsidTr="005A428D">
        <w:trPr>
          <w:trHeight w:val="360"/>
        </w:trPr>
        <w:tc>
          <w:tcPr>
            <w:tcW w:w="3510" w:type="dxa"/>
            <w:tcMar>
              <w:top w:w="100" w:type="nil"/>
              <w:right w:w="100" w:type="nil"/>
            </w:tcMar>
          </w:tcPr>
          <w:p w14:paraId="02AE5FA6" w14:textId="77777777" w:rsidR="008074B4" w:rsidRPr="00761653" w:rsidRDefault="008074B4" w:rsidP="005A428D">
            <w:pPr>
              <w:widowControl w:val="0"/>
              <w:autoSpaceDE w:val="0"/>
              <w:autoSpaceDN w:val="0"/>
              <w:adjustRightInd w:val="0"/>
              <w:spacing w:line="240" w:lineRule="auto"/>
              <w:ind w:left="57" w:right="57"/>
            </w:pPr>
            <w:r w:rsidRPr="00761653">
              <w:t>Cимптомы менингита</w:t>
            </w:r>
          </w:p>
          <w:p w14:paraId="7698082B" w14:textId="77777777" w:rsidR="008074B4" w:rsidRPr="00761653" w:rsidRDefault="008074B4" w:rsidP="005A428D">
            <w:pPr>
              <w:widowControl w:val="0"/>
              <w:autoSpaceDE w:val="0"/>
              <w:autoSpaceDN w:val="0"/>
              <w:adjustRightInd w:val="0"/>
              <w:spacing w:line="240" w:lineRule="auto"/>
              <w:ind w:left="57" w:right="57"/>
              <w:rPr>
                <w:rFonts w:eastAsia="MS Mincho"/>
              </w:rPr>
            </w:pPr>
            <w:r w:rsidRPr="00761653">
              <w:t>«Мозговая» симптоматика на фоне лихорадки и нейтропении</w:t>
            </w:r>
          </w:p>
          <w:p w14:paraId="417E418D" w14:textId="77777777" w:rsidR="008074B4" w:rsidRPr="00761653" w:rsidRDefault="008074B4" w:rsidP="005A428D">
            <w:pPr>
              <w:widowControl w:val="0"/>
              <w:autoSpaceDE w:val="0"/>
              <w:autoSpaceDN w:val="0"/>
              <w:adjustRightInd w:val="0"/>
              <w:spacing w:line="240" w:lineRule="auto"/>
              <w:ind w:left="57" w:right="57"/>
            </w:pPr>
            <w:r w:rsidRPr="00761653">
              <w:t>Обнаружение очага (очагов) в головном мозге</w:t>
            </w:r>
          </w:p>
        </w:tc>
        <w:tc>
          <w:tcPr>
            <w:tcW w:w="6096" w:type="dxa"/>
            <w:tcMar>
              <w:top w:w="100" w:type="nil"/>
              <w:right w:w="100" w:type="nil"/>
            </w:tcMar>
            <w:vAlign w:val="center"/>
          </w:tcPr>
          <w:p w14:paraId="23A5863B" w14:textId="77777777" w:rsidR="008074B4" w:rsidRPr="00761653" w:rsidRDefault="008074B4" w:rsidP="005A428D">
            <w:pPr>
              <w:widowControl w:val="0"/>
              <w:autoSpaceDE w:val="0"/>
              <w:autoSpaceDN w:val="0"/>
              <w:adjustRightInd w:val="0"/>
              <w:spacing w:line="240" w:lineRule="auto"/>
              <w:ind w:left="57" w:right="57"/>
              <w:contextualSpacing/>
              <w:rPr>
                <w:rFonts w:eastAsia="MS Mincho"/>
              </w:rPr>
            </w:pPr>
            <w:r w:rsidRPr="00761653">
              <w:t>Люмбальная пункция</w:t>
            </w:r>
          </w:p>
          <w:p w14:paraId="201B4E44" w14:textId="77777777" w:rsidR="008074B4" w:rsidRPr="00761653" w:rsidRDefault="008074B4" w:rsidP="005A428D">
            <w:pPr>
              <w:widowControl w:val="0"/>
              <w:autoSpaceDE w:val="0"/>
              <w:autoSpaceDN w:val="0"/>
              <w:adjustRightInd w:val="0"/>
              <w:spacing w:line="240" w:lineRule="auto"/>
              <w:ind w:left="57" w:right="57"/>
              <w:contextualSpacing/>
            </w:pPr>
            <w:r w:rsidRPr="00761653">
              <w:t xml:space="preserve">Полное исследование СМЖ (см. текст), включая исследование на антиген </w:t>
            </w:r>
            <w:r w:rsidRPr="00761653">
              <w:rPr>
                <w:i/>
                <w:iCs/>
              </w:rPr>
              <w:t>Cryptococcus</w:t>
            </w:r>
            <w:r w:rsidRPr="00761653">
              <w:t xml:space="preserve"> (глюкуроноксиломаннан)</w:t>
            </w:r>
          </w:p>
        </w:tc>
      </w:tr>
      <w:tr w:rsidR="008074B4" w:rsidRPr="00265B67" w14:paraId="15234829" w14:textId="77777777" w:rsidTr="005A428D">
        <w:trPr>
          <w:trHeight w:val="93"/>
        </w:trPr>
        <w:tc>
          <w:tcPr>
            <w:tcW w:w="3510" w:type="dxa"/>
            <w:tcMar>
              <w:top w:w="100" w:type="nil"/>
              <w:right w:w="100" w:type="nil"/>
            </w:tcMar>
            <w:vAlign w:val="center"/>
          </w:tcPr>
          <w:p w14:paraId="6B7323A7" w14:textId="77777777" w:rsidR="008074B4" w:rsidRPr="00761653" w:rsidRDefault="008074B4" w:rsidP="005A428D">
            <w:pPr>
              <w:widowControl w:val="0"/>
              <w:autoSpaceDE w:val="0"/>
              <w:autoSpaceDN w:val="0"/>
              <w:adjustRightInd w:val="0"/>
              <w:spacing w:line="240" w:lineRule="auto"/>
              <w:ind w:left="57" w:right="57"/>
            </w:pPr>
            <w:r w:rsidRPr="00761653">
              <w:t>Диарея</w:t>
            </w:r>
          </w:p>
        </w:tc>
        <w:tc>
          <w:tcPr>
            <w:tcW w:w="6096" w:type="dxa"/>
            <w:tcMar>
              <w:top w:w="100" w:type="nil"/>
              <w:right w:w="100" w:type="nil"/>
            </w:tcMar>
          </w:tcPr>
          <w:p w14:paraId="3B2BA9F1" w14:textId="77777777" w:rsidR="008074B4" w:rsidRPr="00761653" w:rsidRDefault="008074B4" w:rsidP="005A428D">
            <w:pPr>
              <w:widowControl w:val="0"/>
              <w:autoSpaceDE w:val="0"/>
              <w:autoSpaceDN w:val="0"/>
              <w:adjustRightInd w:val="0"/>
              <w:spacing w:line="240" w:lineRule="auto"/>
              <w:ind w:left="57" w:right="57"/>
            </w:pPr>
            <w:r w:rsidRPr="00761653">
              <w:t xml:space="preserve">Исследование кала на токсин </w:t>
            </w:r>
            <w:r w:rsidRPr="00761653">
              <w:rPr>
                <w:i/>
                <w:iCs/>
              </w:rPr>
              <w:t>C. difficile</w:t>
            </w:r>
          </w:p>
        </w:tc>
      </w:tr>
      <w:tr w:rsidR="008074B4" w:rsidRPr="00265B67" w14:paraId="3D3BD2B6" w14:textId="77777777" w:rsidTr="005A428D">
        <w:trPr>
          <w:trHeight w:val="187"/>
        </w:trPr>
        <w:tc>
          <w:tcPr>
            <w:tcW w:w="3510" w:type="dxa"/>
            <w:tcMar>
              <w:top w:w="100" w:type="nil"/>
              <w:right w:w="100" w:type="nil"/>
            </w:tcMar>
            <w:vAlign w:val="center"/>
          </w:tcPr>
          <w:p w14:paraId="05941CEC" w14:textId="77777777" w:rsidR="008074B4" w:rsidRPr="00761653" w:rsidRDefault="008074B4" w:rsidP="005A428D">
            <w:pPr>
              <w:widowControl w:val="0"/>
              <w:autoSpaceDE w:val="0"/>
              <w:autoSpaceDN w:val="0"/>
              <w:adjustRightInd w:val="0"/>
              <w:spacing w:line="240" w:lineRule="auto"/>
              <w:ind w:left="57" w:right="57"/>
              <w:contextualSpacing/>
              <w:rPr>
                <w:rFonts w:eastAsia="MS Mincho"/>
              </w:rPr>
            </w:pPr>
            <w:r w:rsidRPr="00761653">
              <w:t>Парапроктит</w:t>
            </w:r>
          </w:p>
          <w:p w14:paraId="1E263CEA" w14:textId="77777777" w:rsidR="008074B4" w:rsidRPr="00761653" w:rsidRDefault="008074B4" w:rsidP="005A428D">
            <w:pPr>
              <w:widowControl w:val="0"/>
              <w:autoSpaceDE w:val="0"/>
              <w:autoSpaceDN w:val="0"/>
              <w:adjustRightInd w:val="0"/>
              <w:spacing w:line="240" w:lineRule="auto"/>
              <w:ind w:left="57" w:right="57"/>
              <w:contextualSpacing/>
            </w:pPr>
            <w:r w:rsidRPr="00761653">
              <w:t>Трещина в области прямой кишки</w:t>
            </w:r>
          </w:p>
        </w:tc>
        <w:tc>
          <w:tcPr>
            <w:tcW w:w="6096" w:type="dxa"/>
            <w:tcMar>
              <w:top w:w="100" w:type="nil"/>
              <w:right w:w="100" w:type="nil"/>
            </w:tcMar>
            <w:vAlign w:val="center"/>
          </w:tcPr>
          <w:p w14:paraId="3BFB92CF" w14:textId="77777777" w:rsidR="008074B4" w:rsidRPr="00761653" w:rsidRDefault="008074B4" w:rsidP="005A428D">
            <w:pPr>
              <w:widowControl w:val="0"/>
              <w:autoSpaceDE w:val="0"/>
              <w:autoSpaceDN w:val="0"/>
              <w:adjustRightInd w:val="0"/>
              <w:spacing w:line="240" w:lineRule="auto"/>
              <w:ind w:left="57" w:right="57"/>
            </w:pPr>
            <w:r w:rsidRPr="00761653">
              <w:t>Мазок со слизистой оболочки прямой кишки</w:t>
            </w:r>
          </w:p>
        </w:tc>
      </w:tr>
      <w:tr w:rsidR="008074B4" w:rsidRPr="00265B67" w14:paraId="1805E1E7" w14:textId="77777777" w:rsidTr="005A428D">
        <w:trPr>
          <w:trHeight w:val="200"/>
        </w:trPr>
        <w:tc>
          <w:tcPr>
            <w:tcW w:w="3510" w:type="dxa"/>
            <w:tcMar>
              <w:top w:w="100" w:type="nil"/>
              <w:right w:w="100" w:type="nil"/>
            </w:tcMar>
            <w:vAlign w:val="center"/>
          </w:tcPr>
          <w:p w14:paraId="3B0F5CD8" w14:textId="77777777" w:rsidR="008074B4" w:rsidRPr="00761653" w:rsidRDefault="008074B4" w:rsidP="005A428D">
            <w:pPr>
              <w:widowControl w:val="0"/>
              <w:autoSpaceDE w:val="0"/>
              <w:autoSpaceDN w:val="0"/>
              <w:adjustRightInd w:val="0"/>
              <w:spacing w:line="240" w:lineRule="auto"/>
              <w:ind w:left="57" w:right="57"/>
              <w:contextualSpacing/>
            </w:pPr>
            <w:r w:rsidRPr="00761653">
              <w:t>Образования (инфильтраты) на коже</w:t>
            </w:r>
          </w:p>
        </w:tc>
        <w:tc>
          <w:tcPr>
            <w:tcW w:w="6096" w:type="dxa"/>
            <w:tcMar>
              <w:top w:w="100" w:type="nil"/>
              <w:right w:w="100" w:type="nil"/>
            </w:tcMar>
            <w:vAlign w:val="center"/>
          </w:tcPr>
          <w:p w14:paraId="5769A44F" w14:textId="77777777" w:rsidR="008074B4" w:rsidRPr="00761653" w:rsidRDefault="008074B4" w:rsidP="005A428D">
            <w:pPr>
              <w:widowControl w:val="0"/>
              <w:autoSpaceDE w:val="0"/>
              <w:autoSpaceDN w:val="0"/>
              <w:adjustRightInd w:val="0"/>
              <w:spacing w:line="240" w:lineRule="auto"/>
              <w:ind w:left="57" w:right="57"/>
              <w:contextualSpacing/>
            </w:pPr>
            <w:r w:rsidRPr="00761653">
              <w:t>Биопсия</w:t>
            </w:r>
          </w:p>
          <w:p w14:paraId="0AD13C60" w14:textId="77777777" w:rsidR="008074B4" w:rsidRPr="00761653" w:rsidRDefault="008074B4" w:rsidP="005A428D">
            <w:pPr>
              <w:widowControl w:val="0"/>
              <w:autoSpaceDE w:val="0"/>
              <w:autoSpaceDN w:val="0"/>
              <w:adjustRightInd w:val="0"/>
              <w:spacing w:line="240" w:lineRule="auto"/>
              <w:ind w:left="57" w:right="57"/>
              <w:contextualSpacing/>
            </w:pPr>
            <w:r w:rsidRPr="00761653">
              <w:t>Микробиологическое и гистологическое исследование биоптата</w:t>
            </w:r>
          </w:p>
        </w:tc>
      </w:tr>
    </w:tbl>
    <w:p w14:paraId="34B82925" w14:textId="77777777" w:rsidR="008074B4" w:rsidRDefault="008074B4" w:rsidP="008074B4">
      <w:pPr>
        <w:widowControl w:val="0"/>
        <w:tabs>
          <w:tab w:val="left" w:pos="1134"/>
        </w:tabs>
        <w:autoSpaceDE w:val="0"/>
        <w:autoSpaceDN w:val="0"/>
        <w:adjustRightInd w:val="0"/>
        <w:ind w:right="-130"/>
        <w:contextualSpacing/>
        <w:rPr>
          <w:b/>
          <w:bCs/>
        </w:rPr>
      </w:pPr>
    </w:p>
    <w:p w14:paraId="180F3C32" w14:textId="77777777" w:rsidR="008074B4" w:rsidRPr="00284D51" w:rsidRDefault="008074B4" w:rsidP="008074B4">
      <w:pPr>
        <w:widowControl w:val="0"/>
        <w:autoSpaceDE w:val="0"/>
        <w:autoSpaceDN w:val="0"/>
        <w:adjustRightInd w:val="0"/>
        <w:ind w:right="49"/>
        <w:contextualSpacing/>
        <w:rPr>
          <w:bCs/>
          <w:i/>
          <w:iCs/>
          <w:u w:val="single"/>
        </w:rPr>
      </w:pPr>
      <w:r w:rsidRPr="00284D51">
        <w:rPr>
          <w:bCs/>
          <w:i/>
          <w:iCs/>
          <w:u w:val="single"/>
        </w:rPr>
        <w:t>Показания к назначению антибактериальной терапии первого этапа</w:t>
      </w:r>
    </w:p>
    <w:p w14:paraId="1B851625" w14:textId="77777777" w:rsidR="008074B4" w:rsidRPr="0076198F" w:rsidRDefault="008074B4" w:rsidP="00CD4F41">
      <w:pPr>
        <w:ind w:firstLine="709"/>
      </w:pPr>
      <w:r w:rsidRPr="005971E1">
        <w:t>В первые сутки, как правило, единственным симптомом ифнекционного осложнения</w:t>
      </w:r>
      <w:r>
        <w:t xml:space="preserve"> </w:t>
      </w:r>
      <w:r w:rsidRPr="0076198F">
        <w:t>бывает лишь повышение температуры</w:t>
      </w:r>
      <w:r>
        <w:t xml:space="preserve"> тела</w:t>
      </w:r>
      <w:r w:rsidRPr="0076198F">
        <w:t xml:space="preserve">, а информацию о бактериемии или пневмонии у больных с нейтропенией удается получить не раньше, чем на второй день инфекционного эпизода. В связи с этим основным принципом терапии инфекционных осложнений у </w:t>
      </w:r>
      <w:r>
        <w:t xml:space="preserve">гематологических пациентов </w:t>
      </w:r>
      <w:r w:rsidRPr="0076198F">
        <w:t>с фебрильной нейтропенией</w:t>
      </w:r>
      <w:r>
        <w:t xml:space="preserve">, особенно из группы риска, куда относятся пациенты с лимфомами (онкогематология, иммунодефицитные состояния) </w:t>
      </w:r>
      <w:r w:rsidRPr="0076198F">
        <w:t xml:space="preserve">является эмпирический подход к назначению антибактериальных препаратов, когда их применяют при первых признаках инфекции, при лихорадке до идентификации возбудителей инфекции. В то же время эмпирический подход к назначению антибиотиков является относительным, поскольку выбор антимикробных препаратов определяется ретроспективным анализом верифицированных возбудителей и их антибиотикочувствительностью. </w:t>
      </w:r>
    </w:p>
    <w:p w14:paraId="5BAF43F6" w14:textId="77777777" w:rsidR="008074B4" w:rsidRDefault="008074B4" w:rsidP="00CD4F41">
      <w:pPr>
        <w:widowControl w:val="0"/>
        <w:tabs>
          <w:tab w:val="left" w:pos="1134"/>
        </w:tabs>
        <w:autoSpaceDE w:val="0"/>
        <w:autoSpaceDN w:val="0"/>
        <w:adjustRightInd w:val="0"/>
        <w:ind w:right="-130" w:firstLine="709"/>
        <w:contextualSpacing/>
      </w:pPr>
      <w:r>
        <w:rPr>
          <w:bCs/>
        </w:rPr>
        <w:t>Показанием к назначению антибактериальных препаратов является п</w:t>
      </w:r>
      <w:r w:rsidRPr="00761653">
        <w:t xml:space="preserve">овышение температуры ≥38,0°С, сохраняющееся в течение 2 часов и не связанное с введением пирогенных препаратов (например, компонентов крови, факторов роста и др.) </w:t>
      </w:r>
      <w:r w:rsidRPr="008B181D">
        <w:rPr>
          <w:b/>
          <w:i/>
          <w:iCs/>
        </w:rPr>
        <w:t>или</w:t>
      </w:r>
      <w:r w:rsidRPr="00761653">
        <w:rPr>
          <w:b/>
          <w:bCs/>
        </w:rPr>
        <w:t xml:space="preserve"> </w:t>
      </w:r>
      <w:r w:rsidRPr="00761653">
        <w:t xml:space="preserve">наличие очага инфекции (например, пневмония, парапроктит и др.) вне зависимости от показателей температуры. </w:t>
      </w:r>
    </w:p>
    <w:p w14:paraId="6DCF08E2" w14:textId="77777777" w:rsidR="008074B4" w:rsidRPr="00761653" w:rsidRDefault="008074B4" w:rsidP="00CD4F41">
      <w:pPr>
        <w:widowControl w:val="0"/>
        <w:autoSpaceDE w:val="0"/>
        <w:autoSpaceDN w:val="0"/>
        <w:adjustRightInd w:val="0"/>
        <w:ind w:right="-130" w:firstLine="709"/>
        <w:contextualSpacing/>
      </w:pPr>
      <w:r w:rsidRPr="00761653">
        <w:t>При фебрильной нейтропении в 1-й линии назначают внутривенно антибиотик с активностью против грамотрицательных бактерий, включая синегнойную палочку - пиперациллин/тазобактам (4,5 г х 3 раза) или цефоперазон/сульбактам</w:t>
      </w:r>
      <w:r w:rsidRPr="00761653">
        <w:rPr>
          <w:b/>
          <w:bCs/>
        </w:rPr>
        <w:t xml:space="preserve"> (</w:t>
      </w:r>
      <w:r w:rsidRPr="00761653">
        <w:t>4 г х 2 раза). В клиниках с низкой частотой детекции энтеробактерий с продукцией БЛРС допустимо назначение цефепима</w:t>
      </w:r>
      <w:r w:rsidRPr="00761653">
        <w:rPr>
          <w:b/>
          <w:bCs/>
        </w:rPr>
        <w:t xml:space="preserve"> (</w:t>
      </w:r>
      <w:r w:rsidRPr="00761653">
        <w:t>2 г х 2 раза) или цефтазидима</w:t>
      </w:r>
      <w:r w:rsidRPr="00761653">
        <w:rPr>
          <w:b/>
          <w:bCs/>
        </w:rPr>
        <w:t xml:space="preserve"> (</w:t>
      </w:r>
      <w:r w:rsidRPr="00761653">
        <w:t xml:space="preserve">2 г х 3 раза). Препарат выбора для беременных с заболеваниями системы крови – цефепим. При неэффективности и отсутствии информативных микробиологических исследований проводят замену антибиотиков 1й линии на антипсевдомонадный карбапенем (имипенем, меропенем или дорипенем). В 1й линии </w:t>
      </w:r>
      <w:r>
        <w:t xml:space="preserve">терапии </w:t>
      </w:r>
      <w:r w:rsidRPr="00761653">
        <w:t xml:space="preserve">фебрильной нейтропении не назначают цефтриаксон, цефоперазон, фторхинолоны. </w:t>
      </w:r>
    </w:p>
    <w:p w14:paraId="3A94C21C" w14:textId="77777777" w:rsidR="008074B4" w:rsidRPr="00761653" w:rsidRDefault="008074B4" w:rsidP="00CD4F41">
      <w:pPr>
        <w:widowControl w:val="0"/>
        <w:autoSpaceDE w:val="0"/>
        <w:autoSpaceDN w:val="0"/>
        <w:adjustRightInd w:val="0"/>
        <w:ind w:right="-220" w:firstLine="709"/>
        <w:contextualSpacing/>
      </w:pPr>
      <w:r w:rsidRPr="00761653">
        <w:t>Показаниями к назначению антипсевдомонадных карбапенемов (имипенема/циластатина, меропенема, дорипенема) в 1-й линии фебрильной нейтропениии являются септический шок; пневмония с дыхательной недостаточностью.</w:t>
      </w:r>
    </w:p>
    <w:p w14:paraId="77E77752" w14:textId="77777777" w:rsidR="008074B4" w:rsidRPr="00761653" w:rsidRDefault="008074B4" w:rsidP="00CD4F41">
      <w:pPr>
        <w:widowControl w:val="0"/>
        <w:autoSpaceDE w:val="0"/>
        <w:autoSpaceDN w:val="0"/>
        <w:adjustRightInd w:val="0"/>
        <w:ind w:right="-220" w:firstLine="709"/>
        <w:contextualSpacing/>
      </w:pPr>
      <w:r w:rsidRPr="00761653">
        <w:t xml:space="preserve">Модификацию противомикробной терапии проводят на основании клинических симптомов, инструментальных и микробиологических исследований. У больных с персистирующей фебрильной нейтропенией и отрицательной гемокультурой при модификации учитывают чувствительность грамотрицательных бактерий, колонизирующих слизистые оболочки желудочно-кишечного тракта. При неэффективности карбапенемов и сохранении нейтропении добавляют противогрибковые препараты – эхинокандин (каспофунгин, микафунгин или анидулафунгин), вориконазол, амфотерицин В; орофарингеальном кандидозе и эзофагите - флуконазол. </w:t>
      </w:r>
    </w:p>
    <w:p w14:paraId="05D98C1D" w14:textId="77777777" w:rsidR="008074B4" w:rsidRDefault="008074B4" w:rsidP="008074B4">
      <w:pPr>
        <w:widowControl w:val="0"/>
        <w:autoSpaceDE w:val="0"/>
        <w:autoSpaceDN w:val="0"/>
        <w:adjustRightInd w:val="0"/>
        <w:ind w:right="49"/>
        <w:contextualSpacing/>
        <w:rPr>
          <w:bCs/>
          <w:u w:val="single"/>
        </w:rPr>
      </w:pPr>
    </w:p>
    <w:p w14:paraId="05E0E9D0" w14:textId="77777777" w:rsidR="008074B4" w:rsidRPr="00284D51" w:rsidRDefault="008074B4" w:rsidP="008074B4">
      <w:pPr>
        <w:widowControl w:val="0"/>
        <w:autoSpaceDE w:val="0"/>
        <w:autoSpaceDN w:val="0"/>
        <w:adjustRightInd w:val="0"/>
        <w:ind w:right="49"/>
        <w:contextualSpacing/>
        <w:rPr>
          <w:bCs/>
          <w:i/>
          <w:iCs/>
          <w:u w:val="single"/>
        </w:rPr>
      </w:pPr>
      <w:r w:rsidRPr="00284D51">
        <w:rPr>
          <w:bCs/>
          <w:i/>
          <w:iCs/>
          <w:u w:val="single"/>
        </w:rPr>
        <w:t>Эмпирическое назначение противогрибковых препаратов</w:t>
      </w:r>
    </w:p>
    <w:p w14:paraId="207689A9" w14:textId="77777777" w:rsidR="008074B4" w:rsidRPr="00761653" w:rsidRDefault="008074B4" w:rsidP="00CD4F41">
      <w:pPr>
        <w:widowControl w:val="0"/>
        <w:autoSpaceDE w:val="0"/>
        <w:autoSpaceDN w:val="0"/>
        <w:adjustRightInd w:val="0"/>
        <w:ind w:right="-211" w:firstLine="709"/>
        <w:contextualSpacing/>
      </w:pPr>
      <w:r w:rsidRPr="00761653">
        <w:t>Эмпирическое назначение противогрибковых препаратов проводят на 4-7-й дни персистирующей фебрильной нейтропении в группе высокого риска возникновения инвазивных микозов (</w:t>
      </w:r>
      <w:r>
        <w:t>пациенты с</w:t>
      </w:r>
      <w:r w:rsidRPr="00761653">
        <w:t xml:space="preserve"> острым лейкозом, миелодиспластическим синдромом, реципиенты аллогенных ТГСК</w:t>
      </w:r>
      <w:r>
        <w:t>, агрессивными лимфомами, при длительной терапии глюкортикостероидами и др.</w:t>
      </w:r>
      <w:r w:rsidRPr="00761653">
        <w:t>), при условии отсутствия у них других клинических симптомов, а также р</w:t>
      </w:r>
      <w:r>
        <w:t>адиоло</w:t>
      </w:r>
      <w:r w:rsidRPr="00761653">
        <w:t xml:space="preserve">гических и лабораторных данных за иную инфекцию или другой инвазивный микоз. Препарат выбора – каспофунгин (в 1-й день 70 мг, далее по 50 мг внутривенно 1 раз в сутки), микафунгин (100 мг один раз в сутки внутривенно), анидулафунгин (в 1-й день 200 мг, далее по 100 мг 1 раз в сутки, внутривенно); альтернативные – вориконазол (в 1-й день по 6мг/кг внутривенно 2 раза в сутки, в последующие дни по 4 мг/кг внутривенно 2 раза в сутки, с переходом на пероральный прием по 200 мг 2 раза в сутки), амфотерицин В (0,8—1,0 мг/кг внутривенно 1 раз в сутки), липидные формы амфотерицина В (3 мг/кг внутривенно 1 раз в сутки). Как правило, тепература нормализуется в течение первых трех дней применения антимикотиков, и общая </w:t>
      </w:r>
      <w:r w:rsidRPr="00761653">
        <w:rPr>
          <w:bCs/>
        </w:rPr>
        <w:t>длительность применения противогрибковых препаратов</w:t>
      </w:r>
      <w:r w:rsidRPr="00761653">
        <w:t xml:space="preserve"> составляет 10-14 дней.</w:t>
      </w:r>
    </w:p>
    <w:p w14:paraId="7E8BDB9A" w14:textId="77777777" w:rsidR="008074B4" w:rsidRDefault="008074B4" w:rsidP="008074B4">
      <w:pPr>
        <w:widowControl w:val="0"/>
        <w:autoSpaceDE w:val="0"/>
        <w:autoSpaceDN w:val="0"/>
        <w:adjustRightInd w:val="0"/>
        <w:ind w:right="49"/>
        <w:contextualSpacing/>
        <w:rPr>
          <w:bCs/>
          <w:u w:val="single"/>
        </w:rPr>
      </w:pPr>
    </w:p>
    <w:p w14:paraId="5674A086" w14:textId="77777777" w:rsidR="008074B4" w:rsidRPr="00284D51" w:rsidRDefault="008074B4" w:rsidP="008074B4">
      <w:pPr>
        <w:widowControl w:val="0"/>
        <w:autoSpaceDE w:val="0"/>
        <w:autoSpaceDN w:val="0"/>
        <w:adjustRightInd w:val="0"/>
        <w:ind w:right="49"/>
        <w:contextualSpacing/>
        <w:rPr>
          <w:bCs/>
          <w:i/>
          <w:iCs/>
          <w:u w:val="single"/>
        </w:rPr>
      </w:pPr>
      <w:r w:rsidRPr="00284D51">
        <w:rPr>
          <w:bCs/>
          <w:i/>
          <w:iCs/>
          <w:u w:val="single"/>
        </w:rPr>
        <w:t>Превентивная терапия инвазивного микоза</w:t>
      </w:r>
    </w:p>
    <w:p w14:paraId="533F1F01" w14:textId="77777777" w:rsidR="008074B4" w:rsidRPr="00761653" w:rsidRDefault="008074B4" w:rsidP="00DA1D8F">
      <w:pPr>
        <w:widowControl w:val="0"/>
        <w:autoSpaceDE w:val="0"/>
        <w:autoSpaceDN w:val="0"/>
        <w:adjustRightInd w:val="0"/>
        <w:ind w:right="-211" w:firstLine="709"/>
        <w:contextualSpacing/>
      </w:pPr>
      <w:r w:rsidRPr="00761653">
        <w:rPr>
          <w:bCs/>
        </w:rPr>
        <w:t xml:space="preserve">Показаниями </w:t>
      </w:r>
      <w:r w:rsidRPr="00761653">
        <w:t>к превентивному назначению противогрибковых препаратов являются пневмония с р</w:t>
      </w:r>
      <w:r>
        <w:t>адио</w:t>
      </w:r>
      <w:r w:rsidRPr="00761653">
        <w:t>логическими признаками</w:t>
      </w:r>
      <w:r>
        <w:t>,</w:t>
      </w:r>
      <w:r w:rsidRPr="00761653">
        <w:t xml:space="preserve"> нехарактерными для инвазивного аспергиллеза, которая сохраняется или прогрессирует на фоне применения антибиотиков у </w:t>
      </w:r>
      <w:r>
        <w:t>пациентов</w:t>
      </w:r>
      <w:r w:rsidRPr="00761653">
        <w:t xml:space="preserve"> с факторами риска возникновения инвазивного аспергиллеза (нейтропения от 10 дней и более) или </w:t>
      </w:r>
      <w:r>
        <w:t xml:space="preserve">при </w:t>
      </w:r>
      <w:r w:rsidRPr="00761653">
        <w:t>положительн</w:t>
      </w:r>
      <w:r>
        <w:t>ом</w:t>
      </w:r>
      <w:r w:rsidRPr="00761653">
        <w:t xml:space="preserve"> результат</w:t>
      </w:r>
      <w:r>
        <w:t>е</w:t>
      </w:r>
      <w:r w:rsidRPr="00761653">
        <w:t xml:space="preserve"> определения антигена </w:t>
      </w:r>
      <w:r w:rsidRPr="00761653">
        <w:rPr>
          <w:i/>
          <w:iCs/>
        </w:rPr>
        <w:t xml:space="preserve">Aspergillus </w:t>
      </w:r>
      <w:r w:rsidRPr="00761653">
        <w:t xml:space="preserve">spp. (галактоманнан) в крови в отсутствие пневмонии. Превентивное назначение противогрибковых препаратов проводят </w:t>
      </w:r>
      <w:r>
        <w:t>пациентам</w:t>
      </w:r>
      <w:r w:rsidRPr="00761653">
        <w:t>, входящим в группу высокого риска возникновения инвазивного аспергиллеза (острый лейкоз, миелодиспластический синдром, апластическая анемия, реципиенты аллогенных СГК).</w:t>
      </w:r>
    </w:p>
    <w:p w14:paraId="3795398A" w14:textId="77777777" w:rsidR="008074B4" w:rsidRPr="00761653" w:rsidRDefault="008074B4" w:rsidP="00DA1D8F">
      <w:pPr>
        <w:widowControl w:val="0"/>
        <w:autoSpaceDE w:val="0"/>
        <w:autoSpaceDN w:val="0"/>
        <w:adjustRightInd w:val="0"/>
        <w:ind w:right="-211" w:firstLine="709"/>
        <w:contextualSpacing/>
      </w:pPr>
      <w:r w:rsidRPr="00761653">
        <w:rPr>
          <w:bCs/>
        </w:rPr>
        <w:t>Лечение включает назначение в</w:t>
      </w:r>
      <w:r w:rsidRPr="00761653">
        <w:t>ориконазола, в первый день по 6 мг/кг внутривенно 2 раза в сутки, в последующие дни по 4 мг/кг внутривенно 2 раза в сутки, с переходом на пероральный прием по 200 мг 2 раза в сутки.</w:t>
      </w:r>
    </w:p>
    <w:p w14:paraId="72CD243E" w14:textId="77777777" w:rsidR="008074B4" w:rsidRDefault="008074B4" w:rsidP="008074B4">
      <w:pPr>
        <w:widowControl w:val="0"/>
        <w:tabs>
          <w:tab w:val="left" w:pos="1134"/>
        </w:tabs>
        <w:autoSpaceDE w:val="0"/>
        <w:autoSpaceDN w:val="0"/>
        <w:adjustRightInd w:val="0"/>
        <w:ind w:right="49"/>
        <w:contextualSpacing/>
        <w:rPr>
          <w:b/>
        </w:rPr>
      </w:pPr>
    </w:p>
    <w:p w14:paraId="42F458CE" w14:textId="77777777" w:rsidR="008074B4" w:rsidRPr="00284D51" w:rsidRDefault="008074B4" w:rsidP="008074B4">
      <w:pPr>
        <w:widowControl w:val="0"/>
        <w:autoSpaceDE w:val="0"/>
        <w:autoSpaceDN w:val="0"/>
        <w:adjustRightInd w:val="0"/>
        <w:ind w:right="49"/>
        <w:contextualSpacing/>
        <w:rPr>
          <w:bCs/>
          <w:i/>
          <w:iCs/>
          <w:u w:val="single"/>
        </w:rPr>
      </w:pPr>
      <w:r w:rsidRPr="00284D51">
        <w:rPr>
          <w:bCs/>
          <w:i/>
          <w:iCs/>
          <w:u w:val="single"/>
        </w:rPr>
        <w:t>Лечение микробиологически подтвержденных инфекций</w:t>
      </w:r>
    </w:p>
    <w:p w14:paraId="32FFC176" w14:textId="77777777" w:rsidR="008074B4" w:rsidRPr="00761653" w:rsidRDefault="008074B4" w:rsidP="00FA42D4">
      <w:pPr>
        <w:widowControl w:val="0"/>
        <w:autoSpaceDE w:val="0"/>
        <w:autoSpaceDN w:val="0"/>
        <w:adjustRightInd w:val="0"/>
        <w:ind w:right="49" w:firstLine="709"/>
        <w:contextualSpacing/>
        <w:rPr>
          <w:b/>
        </w:rPr>
      </w:pPr>
      <w:r w:rsidRPr="00761653">
        <w:rPr>
          <w:b/>
        </w:rPr>
        <w:t>Грамотрицательные возбудители</w:t>
      </w:r>
    </w:p>
    <w:p w14:paraId="18AD918E" w14:textId="77777777" w:rsidR="008074B4" w:rsidRPr="00284D51" w:rsidRDefault="008074B4" w:rsidP="00FA42D4">
      <w:pPr>
        <w:widowControl w:val="0"/>
        <w:autoSpaceDE w:val="0"/>
        <w:autoSpaceDN w:val="0"/>
        <w:adjustRightInd w:val="0"/>
        <w:ind w:right="49" w:firstLine="709"/>
        <w:contextualSpacing/>
        <w:rPr>
          <w:bCs/>
          <w:i/>
          <w:iCs/>
        </w:rPr>
      </w:pPr>
      <w:r w:rsidRPr="00284D51">
        <w:rPr>
          <w:bCs/>
          <w:i/>
          <w:iCs/>
        </w:rPr>
        <w:t>Энтеробактерии с продукцией БЛРС, Enterobacter spp</w:t>
      </w:r>
    </w:p>
    <w:p w14:paraId="55B5A537" w14:textId="77777777" w:rsidR="008074B4" w:rsidRPr="00761653" w:rsidRDefault="008074B4" w:rsidP="00FA42D4">
      <w:pPr>
        <w:widowControl w:val="0"/>
        <w:autoSpaceDE w:val="0"/>
        <w:autoSpaceDN w:val="0"/>
        <w:adjustRightInd w:val="0"/>
        <w:ind w:right="49" w:firstLine="709"/>
        <w:contextualSpacing/>
      </w:pPr>
      <w:r w:rsidRPr="00761653">
        <w:t xml:space="preserve">Препарат выбора – антипсевдомонадный карбапенем (имипенем, меропенем или дорипенем). вне нейтропениии, особенно при инфекции мочевыводящих путей, может быть использован эртапенем. Назначение карбапенемов в стандартных дозах. </w:t>
      </w:r>
    </w:p>
    <w:p w14:paraId="34900466" w14:textId="77777777" w:rsidR="008074B4" w:rsidRPr="00284D51" w:rsidRDefault="008074B4" w:rsidP="00FA42D4">
      <w:pPr>
        <w:widowControl w:val="0"/>
        <w:autoSpaceDE w:val="0"/>
        <w:autoSpaceDN w:val="0"/>
        <w:adjustRightInd w:val="0"/>
        <w:ind w:right="49" w:firstLine="709"/>
        <w:contextualSpacing/>
        <w:rPr>
          <w:bCs/>
          <w:i/>
          <w:iCs/>
        </w:rPr>
      </w:pPr>
      <w:r w:rsidRPr="00284D51">
        <w:rPr>
          <w:bCs/>
          <w:i/>
          <w:iCs/>
        </w:rPr>
        <w:t xml:space="preserve">Энтеробактерии с продукцией карбапенемаз </w:t>
      </w:r>
    </w:p>
    <w:p w14:paraId="14059998" w14:textId="77777777" w:rsidR="008074B4" w:rsidRPr="00761653" w:rsidRDefault="008074B4" w:rsidP="00FA42D4">
      <w:pPr>
        <w:widowControl w:val="0"/>
        <w:autoSpaceDE w:val="0"/>
        <w:autoSpaceDN w:val="0"/>
        <w:adjustRightInd w:val="0"/>
        <w:ind w:right="49" w:firstLine="709"/>
        <w:contextualSpacing/>
      </w:pPr>
      <w:r w:rsidRPr="00761653">
        <w:t>Лечение проводят сочетанием антибиотиков согласно чувствителньости. Препарат выбора при детекции карбапенемаз групп KPC, OXA-48 - цефтазидим-авибактам (2,5 г каждые 8 часов, введение в течение 2 часов), при детекции металлоферментов (NDM) – сочетание цефтазидима-авибактама с азтреонамом (по 2 г 3 раза в сутки). Препараты, используемые в лечении инфекций, вызванных карбапенемазопродуцирующими бактериями представлены в табл</w:t>
      </w:r>
      <w:r>
        <w:t>ице 2.</w:t>
      </w:r>
      <w:r w:rsidRPr="00761653">
        <w:t xml:space="preserve"> Тигециклин имеет низкие концентрации в крови и в моче, проявляет бактериостатическое действие, не относится к препаратам выбора при инфекциях кровотока. При инфекциях кровотока назначают тигециклин только при отсутствии других опций в лечении.</w:t>
      </w:r>
    </w:p>
    <w:p w14:paraId="35E21C35" w14:textId="77777777" w:rsidR="008074B4" w:rsidRDefault="008074B4" w:rsidP="008074B4"/>
    <w:p w14:paraId="3E60FBBD" w14:textId="77777777" w:rsidR="008074B4" w:rsidRPr="00761653" w:rsidRDefault="008074B4" w:rsidP="008074B4">
      <w:r w:rsidRPr="00761653">
        <w:t>Таблица 2. Дозы антибиотиков</w:t>
      </w:r>
      <w:r>
        <w:t>,</w:t>
      </w:r>
      <w:r w:rsidRPr="00761653">
        <w:t xml:space="preserve"> рекомендуемые для лечения инфекций, вызванных энтеробактериями с продукцией карбапенемаз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6520"/>
      </w:tblGrid>
      <w:tr w:rsidR="008074B4" w:rsidRPr="00761653" w14:paraId="64603BA3" w14:textId="77777777" w:rsidTr="005A428D">
        <w:trPr>
          <w:trHeight w:val="555"/>
        </w:trPr>
        <w:tc>
          <w:tcPr>
            <w:tcW w:w="3227" w:type="dxa"/>
            <w:vAlign w:val="center"/>
          </w:tcPr>
          <w:p w14:paraId="29A65D60" w14:textId="77777777" w:rsidR="008074B4" w:rsidRPr="00761653" w:rsidRDefault="008074B4" w:rsidP="005A428D">
            <w:pPr>
              <w:ind w:left="57" w:right="57"/>
              <w:jc w:val="center"/>
              <w:rPr>
                <w:szCs w:val="24"/>
                <w:lang w:val="en-US"/>
              </w:rPr>
            </w:pPr>
            <w:r w:rsidRPr="00761653">
              <w:rPr>
                <w:szCs w:val="24"/>
              </w:rPr>
              <w:t>Препарат</w:t>
            </w:r>
          </w:p>
        </w:tc>
        <w:tc>
          <w:tcPr>
            <w:tcW w:w="6520" w:type="dxa"/>
            <w:vAlign w:val="center"/>
          </w:tcPr>
          <w:p w14:paraId="6E58EBF0" w14:textId="77777777" w:rsidR="008074B4" w:rsidRPr="00761653" w:rsidRDefault="008074B4" w:rsidP="005A428D">
            <w:pPr>
              <w:ind w:left="57" w:right="57"/>
              <w:jc w:val="center"/>
              <w:rPr>
                <w:szCs w:val="24"/>
                <w:lang w:val="en-US"/>
              </w:rPr>
            </w:pPr>
            <w:r w:rsidRPr="00761653">
              <w:rPr>
                <w:szCs w:val="24"/>
              </w:rPr>
              <w:t>Доза</w:t>
            </w:r>
          </w:p>
        </w:tc>
      </w:tr>
      <w:tr w:rsidR="008074B4" w:rsidRPr="00265B67" w14:paraId="371A06F3" w14:textId="77777777" w:rsidTr="005A428D">
        <w:trPr>
          <w:trHeight w:val="421"/>
        </w:trPr>
        <w:tc>
          <w:tcPr>
            <w:tcW w:w="3227" w:type="dxa"/>
          </w:tcPr>
          <w:p w14:paraId="5ADCDA51" w14:textId="77777777" w:rsidR="008074B4" w:rsidRPr="00761653" w:rsidRDefault="008074B4" w:rsidP="005A428D">
            <w:pPr>
              <w:ind w:left="57" w:right="57"/>
              <w:rPr>
                <w:szCs w:val="24"/>
              </w:rPr>
            </w:pPr>
            <w:r w:rsidRPr="00761653">
              <w:rPr>
                <w:szCs w:val="24"/>
              </w:rPr>
              <w:t>Цефтазидим-авибактам</w:t>
            </w:r>
          </w:p>
        </w:tc>
        <w:tc>
          <w:tcPr>
            <w:tcW w:w="6520" w:type="dxa"/>
          </w:tcPr>
          <w:p w14:paraId="65B04A29" w14:textId="77777777" w:rsidR="008074B4" w:rsidRPr="00761653" w:rsidRDefault="008074B4" w:rsidP="005A428D">
            <w:pPr>
              <w:ind w:left="57" w:right="57"/>
              <w:rPr>
                <w:szCs w:val="24"/>
              </w:rPr>
            </w:pPr>
            <w:r w:rsidRPr="00761653">
              <w:rPr>
                <w:szCs w:val="24"/>
              </w:rPr>
              <w:t>2,5 г каждые 8 часов, длительность инфузии 2 часа</w:t>
            </w:r>
          </w:p>
        </w:tc>
      </w:tr>
      <w:tr w:rsidR="008074B4" w:rsidRPr="00975FC1" w14:paraId="4FD05A3D" w14:textId="77777777" w:rsidTr="005A428D">
        <w:trPr>
          <w:trHeight w:val="825"/>
        </w:trPr>
        <w:tc>
          <w:tcPr>
            <w:tcW w:w="3227" w:type="dxa"/>
          </w:tcPr>
          <w:p w14:paraId="7C895C02" w14:textId="77777777" w:rsidR="008074B4" w:rsidRPr="00761653" w:rsidRDefault="008074B4" w:rsidP="005A428D">
            <w:pPr>
              <w:ind w:left="57" w:right="57"/>
              <w:rPr>
                <w:szCs w:val="24"/>
                <w:lang w:val="en-US"/>
              </w:rPr>
            </w:pPr>
            <w:r w:rsidRPr="00761653">
              <w:rPr>
                <w:szCs w:val="24"/>
              </w:rPr>
              <w:t>Меропенем</w:t>
            </w:r>
          </w:p>
        </w:tc>
        <w:tc>
          <w:tcPr>
            <w:tcW w:w="6520" w:type="dxa"/>
          </w:tcPr>
          <w:p w14:paraId="3C9BC0B9" w14:textId="77777777" w:rsidR="008074B4" w:rsidRPr="00761653" w:rsidRDefault="008074B4" w:rsidP="005A428D">
            <w:pPr>
              <w:ind w:left="57" w:right="57"/>
              <w:rPr>
                <w:szCs w:val="24"/>
              </w:rPr>
            </w:pPr>
            <w:r w:rsidRPr="00761653">
              <w:rPr>
                <w:szCs w:val="24"/>
              </w:rPr>
              <w:t xml:space="preserve">2 г каждые 8 часов </w:t>
            </w:r>
          </w:p>
          <w:p w14:paraId="3E3D46C2" w14:textId="77777777" w:rsidR="008074B4" w:rsidRPr="00761653" w:rsidRDefault="008074B4" w:rsidP="005A428D">
            <w:pPr>
              <w:ind w:left="57" w:right="57"/>
              <w:rPr>
                <w:szCs w:val="24"/>
              </w:rPr>
            </w:pPr>
            <w:r w:rsidRPr="00761653">
              <w:rPr>
                <w:szCs w:val="24"/>
              </w:rPr>
              <w:t>пролонгированная инфузия в течение 3х часов</w:t>
            </w:r>
          </w:p>
        </w:tc>
      </w:tr>
      <w:tr w:rsidR="008074B4" w:rsidRPr="00761653" w14:paraId="6544F6FA" w14:textId="77777777" w:rsidTr="005A428D">
        <w:trPr>
          <w:trHeight w:val="270"/>
        </w:trPr>
        <w:tc>
          <w:tcPr>
            <w:tcW w:w="3227" w:type="dxa"/>
          </w:tcPr>
          <w:p w14:paraId="0722C73B" w14:textId="77777777" w:rsidR="008074B4" w:rsidRPr="00761653" w:rsidRDefault="008074B4" w:rsidP="005A428D">
            <w:pPr>
              <w:ind w:left="57" w:right="57"/>
              <w:rPr>
                <w:szCs w:val="24"/>
                <w:lang w:val="en-US"/>
              </w:rPr>
            </w:pPr>
            <w:r w:rsidRPr="00761653">
              <w:rPr>
                <w:szCs w:val="24"/>
              </w:rPr>
              <w:t>Имипенем</w:t>
            </w:r>
          </w:p>
        </w:tc>
        <w:tc>
          <w:tcPr>
            <w:tcW w:w="6520" w:type="dxa"/>
          </w:tcPr>
          <w:p w14:paraId="5C41D994" w14:textId="77777777" w:rsidR="008074B4" w:rsidRPr="00761653" w:rsidRDefault="008074B4" w:rsidP="005A428D">
            <w:pPr>
              <w:ind w:left="57" w:right="57"/>
              <w:rPr>
                <w:szCs w:val="24"/>
              </w:rPr>
            </w:pPr>
            <w:r w:rsidRPr="00761653">
              <w:rPr>
                <w:szCs w:val="24"/>
              </w:rPr>
              <w:t>1 г каждые 8 часов</w:t>
            </w:r>
          </w:p>
        </w:tc>
      </w:tr>
      <w:tr w:rsidR="008074B4" w:rsidRPr="00975FC1" w14:paraId="3D8DEA00" w14:textId="77777777" w:rsidTr="005A428D">
        <w:tc>
          <w:tcPr>
            <w:tcW w:w="3227" w:type="dxa"/>
          </w:tcPr>
          <w:p w14:paraId="21C3CA76" w14:textId="77777777" w:rsidR="008074B4" w:rsidRPr="00761653" w:rsidRDefault="008074B4" w:rsidP="005A428D">
            <w:pPr>
              <w:ind w:left="57" w:right="57"/>
              <w:rPr>
                <w:szCs w:val="24"/>
                <w:lang w:val="en-US"/>
              </w:rPr>
            </w:pPr>
            <w:r w:rsidRPr="00761653">
              <w:rPr>
                <w:szCs w:val="24"/>
              </w:rPr>
              <w:t>Дорипенем</w:t>
            </w:r>
          </w:p>
        </w:tc>
        <w:tc>
          <w:tcPr>
            <w:tcW w:w="6520" w:type="dxa"/>
          </w:tcPr>
          <w:p w14:paraId="6F3ACB15" w14:textId="77777777" w:rsidR="008074B4" w:rsidRPr="00761653" w:rsidRDefault="008074B4" w:rsidP="005A428D">
            <w:pPr>
              <w:ind w:left="57" w:right="57"/>
              <w:rPr>
                <w:szCs w:val="24"/>
              </w:rPr>
            </w:pPr>
            <w:r w:rsidRPr="00761653">
              <w:rPr>
                <w:szCs w:val="24"/>
              </w:rPr>
              <w:t>1 г каждые 8 часов, продленная инфузия (4 часа)</w:t>
            </w:r>
          </w:p>
        </w:tc>
      </w:tr>
      <w:tr w:rsidR="008074B4" w:rsidRPr="00265B67" w14:paraId="3EB7E00E" w14:textId="77777777" w:rsidTr="005A428D">
        <w:tc>
          <w:tcPr>
            <w:tcW w:w="3227" w:type="dxa"/>
          </w:tcPr>
          <w:p w14:paraId="0856E822" w14:textId="77777777" w:rsidR="008074B4" w:rsidRPr="00761653" w:rsidRDefault="008074B4" w:rsidP="005A428D">
            <w:pPr>
              <w:ind w:left="57" w:right="57"/>
              <w:rPr>
                <w:szCs w:val="24"/>
                <w:lang w:val="en-US"/>
              </w:rPr>
            </w:pPr>
            <w:r w:rsidRPr="00761653">
              <w:rPr>
                <w:szCs w:val="24"/>
              </w:rPr>
              <w:t>Эртапенем</w:t>
            </w:r>
          </w:p>
        </w:tc>
        <w:tc>
          <w:tcPr>
            <w:tcW w:w="6520" w:type="dxa"/>
          </w:tcPr>
          <w:p w14:paraId="09140392" w14:textId="77777777" w:rsidR="008074B4" w:rsidRPr="00761653" w:rsidRDefault="008074B4" w:rsidP="005A428D">
            <w:pPr>
              <w:ind w:left="57" w:right="57"/>
              <w:rPr>
                <w:szCs w:val="24"/>
              </w:rPr>
            </w:pPr>
            <w:r w:rsidRPr="00761653">
              <w:rPr>
                <w:szCs w:val="24"/>
              </w:rPr>
              <w:t>1 г каждые 24 часа или 1г каждые 12 час</w:t>
            </w:r>
          </w:p>
          <w:p w14:paraId="5FD9B9C0" w14:textId="77777777" w:rsidR="008074B4" w:rsidRPr="00761653" w:rsidRDefault="008074B4" w:rsidP="005A428D">
            <w:pPr>
              <w:ind w:left="57" w:right="57"/>
              <w:rPr>
                <w:szCs w:val="24"/>
              </w:rPr>
            </w:pPr>
            <w:r w:rsidRPr="00761653">
              <w:rPr>
                <w:szCs w:val="24"/>
              </w:rPr>
              <w:t>Используют в режиме “два карбапенема” при отсутствии других опций</w:t>
            </w:r>
          </w:p>
        </w:tc>
      </w:tr>
      <w:tr w:rsidR="008074B4" w:rsidRPr="00975FC1" w14:paraId="4772566E" w14:textId="77777777" w:rsidTr="005A428D">
        <w:tc>
          <w:tcPr>
            <w:tcW w:w="3227" w:type="dxa"/>
          </w:tcPr>
          <w:p w14:paraId="2F1B42BE" w14:textId="77777777" w:rsidR="008074B4" w:rsidRPr="00761653" w:rsidRDefault="008074B4" w:rsidP="005A428D">
            <w:pPr>
              <w:ind w:left="57" w:right="57"/>
              <w:rPr>
                <w:szCs w:val="24"/>
              </w:rPr>
            </w:pPr>
            <w:r w:rsidRPr="00761653">
              <w:rPr>
                <w:szCs w:val="24"/>
              </w:rPr>
              <w:t>Колистин</w:t>
            </w:r>
          </w:p>
        </w:tc>
        <w:tc>
          <w:tcPr>
            <w:tcW w:w="6520" w:type="dxa"/>
          </w:tcPr>
          <w:p w14:paraId="43DC3BB4" w14:textId="77777777" w:rsidR="008074B4" w:rsidRPr="00761653" w:rsidRDefault="008074B4" w:rsidP="005A428D">
            <w:pPr>
              <w:ind w:left="57" w:right="57"/>
              <w:rPr>
                <w:szCs w:val="24"/>
              </w:rPr>
            </w:pPr>
            <w:r w:rsidRPr="00761653">
              <w:rPr>
                <w:szCs w:val="24"/>
              </w:rPr>
              <w:t>Нагрузочная доза 9 млн МЕ, в первый день, однократно, далее по 4,5 млн МЕ</w:t>
            </w:r>
            <w:r w:rsidRPr="00761653">
              <w:rPr>
                <w:color w:val="4D5156"/>
                <w:szCs w:val="24"/>
                <w:shd w:val="clear" w:color="auto" w:fill="FFFFFF"/>
              </w:rPr>
              <w:t xml:space="preserve"> </w:t>
            </w:r>
            <w:r w:rsidRPr="00761653">
              <w:rPr>
                <w:szCs w:val="24"/>
              </w:rPr>
              <w:t xml:space="preserve">каждые 12 час </w:t>
            </w:r>
          </w:p>
          <w:p w14:paraId="72EB4992" w14:textId="77777777" w:rsidR="008074B4" w:rsidRPr="00761653" w:rsidRDefault="008074B4" w:rsidP="005A428D">
            <w:pPr>
              <w:ind w:left="57" w:right="57"/>
              <w:rPr>
                <w:szCs w:val="24"/>
              </w:rPr>
            </w:pPr>
            <w:r w:rsidRPr="00761653">
              <w:rPr>
                <w:szCs w:val="24"/>
              </w:rPr>
              <w:t>Ингаляции 1-3 млн МЕ каждые 8 часов</w:t>
            </w:r>
          </w:p>
        </w:tc>
      </w:tr>
      <w:tr w:rsidR="008074B4" w:rsidRPr="00265B67" w14:paraId="107D9008" w14:textId="77777777" w:rsidTr="005A428D">
        <w:tc>
          <w:tcPr>
            <w:tcW w:w="3227" w:type="dxa"/>
          </w:tcPr>
          <w:p w14:paraId="086AA57D" w14:textId="77777777" w:rsidR="008074B4" w:rsidRPr="00761653" w:rsidRDefault="008074B4" w:rsidP="005A428D">
            <w:pPr>
              <w:ind w:left="57" w:right="57"/>
              <w:rPr>
                <w:szCs w:val="24"/>
              </w:rPr>
            </w:pPr>
            <w:r w:rsidRPr="00761653">
              <w:rPr>
                <w:szCs w:val="24"/>
              </w:rPr>
              <w:t>Полимиксин В</w:t>
            </w:r>
          </w:p>
        </w:tc>
        <w:tc>
          <w:tcPr>
            <w:tcW w:w="6520" w:type="dxa"/>
          </w:tcPr>
          <w:p w14:paraId="7E5B529F" w14:textId="77777777" w:rsidR="008074B4" w:rsidRPr="00761653" w:rsidRDefault="008074B4" w:rsidP="005A428D">
            <w:pPr>
              <w:ind w:left="57" w:right="57"/>
              <w:rPr>
                <w:szCs w:val="24"/>
              </w:rPr>
            </w:pPr>
            <w:r w:rsidRPr="00761653">
              <w:rPr>
                <w:szCs w:val="24"/>
              </w:rPr>
              <w:t xml:space="preserve">Нагрузочная доза 2-2,5 мг/кг, далее 1,25-1,5 мг/кг каждые 12 час </w:t>
            </w:r>
          </w:p>
        </w:tc>
      </w:tr>
      <w:tr w:rsidR="008074B4" w:rsidRPr="00265B67" w14:paraId="1B736D9A" w14:textId="77777777" w:rsidTr="005A428D">
        <w:tc>
          <w:tcPr>
            <w:tcW w:w="3227" w:type="dxa"/>
          </w:tcPr>
          <w:p w14:paraId="3C0B3688" w14:textId="77777777" w:rsidR="008074B4" w:rsidRPr="00761653" w:rsidRDefault="008074B4" w:rsidP="005A428D">
            <w:pPr>
              <w:ind w:left="57" w:right="57"/>
              <w:rPr>
                <w:szCs w:val="24"/>
              </w:rPr>
            </w:pPr>
            <w:r w:rsidRPr="00761653">
              <w:rPr>
                <w:szCs w:val="24"/>
              </w:rPr>
              <w:t>Тигециклин</w:t>
            </w:r>
          </w:p>
        </w:tc>
        <w:tc>
          <w:tcPr>
            <w:tcW w:w="6520" w:type="dxa"/>
          </w:tcPr>
          <w:p w14:paraId="1537DF05" w14:textId="77777777" w:rsidR="008074B4" w:rsidRPr="00761653" w:rsidRDefault="008074B4" w:rsidP="005A428D">
            <w:pPr>
              <w:ind w:left="57" w:right="57"/>
              <w:rPr>
                <w:szCs w:val="24"/>
              </w:rPr>
            </w:pPr>
            <w:r w:rsidRPr="00761653">
              <w:rPr>
                <w:szCs w:val="24"/>
              </w:rPr>
              <w:t>Первая доза 100 мг, далее каждые 12 часов по 50 мг</w:t>
            </w:r>
          </w:p>
        </w:tc>
      </w:tr>
      <w:tr w:rsidR="008074B4" w:rsidRPr="00265B67" w14:paraId="742E781F" w14:textId="77777777" w:rsidTr="005A428D">
        <w:tc>
          <w:tcPr>
            <w:tcW w:w="3227" w:type="dxa"/>
          </w:tcPr>
          <w:p w14:paraId="36407BEC" w14:textId="77777777" w:rsidR="008074B4" w:rsidRPr="00761653" w:rsidRDefault="008074B4" w:rsidP="005A428D">
            <w:pPr>
              <w:ind w:left="57" w:right="57"/>
              <w:rPr>
                <w:szCs w:val="24"/>
                <w:lang w:val="en-US"/>
              </w:rPr>
            </w:pPr>
            <w:r w:rsidRPr="00761653">
              <w:rPr>
                <w:szCs w:val="24"/>
              </w:rPr>
              <w:t>Гентамицин</w:t>
            </w:r>
            <w:r w:rsidRPr="00761653">
              <w:rPr>
                <w:szCs w:val="24"/>
                <w:lang w:val="en-US"/>
              </w:rPr>
              <w:t xml:space="preserve">, </w:t>
            </w:r>
          </w:p>
          <w:p w14:paraId="62DED171" w14:textId="77777777" w:rsidR="008074B4" w:rsidRPr="00761653" w:rsidRDefault="008074B4" w:rsidP="005A428D">
            <w:pPr>
              <w:ind w:left="57" w:right="57"/>
              <w:rPr>
                <w:szCs w:val="24"/>
                <w:lang w:val="en-US"/>
              </w:rPr>
            </w:pPr>
            <w:r w:rsidRPr="00761653">
              <w:rPr>
                <w:szCs w:val="24"/>
              </w:rPr>
              <w:t>тобрамицин</w:t>
            </w:r>
          </w:p>
        </w:tc>
        <w:tc>
          <w:tcPr>
            <w:tcW w:w="6520" w:type="dxa"/>
          </w:tcPr>
          <w:p w14:paraId="1915CB8C" w14:textId="77777777" w:rsidR="008074B4" w:rsidRPr="00761653" w:rsidRDefault="008074B4" w:rsidP="005A428D">
            <w:pPr>
              <w:ind w:left="57" w:right="57"/>
              <w:rPr>
                <w:szCs w:val="24"/>
              </w:rPr>
            </w:pPr>
            <w:r w:rsidRPr="00761653">
              <w:rPr>
                <w:szCs w:val="24"/>
              </w:rPr>
              <w:t>5-7 мг/кг/сутки, введение в течение 1 часа</w:t>
            </w:r>
          </w:p>
        </w:tc>
      </w:tr>
      <w:tr w:rsidR="008074B4" w:rsidRPr="00265B67" w14:paraId="61556B38" w14:textId="77777777" w:rsidTr="005A428D">
        <w:tc>
          <w:tcPr>
            <w:tcW w:w="3227" w:type="dxa"/>
          </w:tcPr>
          <w:p w14:paraId="35C33B4B" w14:textId="77777777" w:rsidR="008074B4" w:rsidRPr="00761653" w:rsidRDefault="008074B4" w:rsidP="005A428D">
            <w:pPr>
              <w:ind w:left="57" w:right="57"/>
              <w:rPr>
                <w:szCs w:val="24"/>
                <w:lang w:val="en-US"/>
              </w:rPr>
            </w:pPr>
            <w:r w:rsidRPr="00761653">
              <w:rPr>
                <w:szCs w:val="24"/>
              </w:rPr>
              <w:t>Амикацин</w:t>
            </w:r>
          </w:p>
        </w:tc>
        <w:tc>
          <w:tcPr>
            <w:tcW w:w="6520" w:type="dxa"/>
          </w:tcPr>
          <w:p w14:paraId="1DC673CE" w14:textId="77777777" w:rsidR="008074B4" w:rsidRPr="00761653" w:rsidRDefault="008074B4" w:rsidP="005A428D">
            <w:pPr>
              <w:ind w:left="57" w:right="57"/>
              <w:rPr>
                <w:szCs w:val="24"/>
              </w:rPr>
            </w:pPr>
            <w:r w:rsidRPr="00761653">
              <w:rPr>
                <w:szCs w:val="24"/>
              </w:rPr>
              <w:t>15-20 мг/кг/сутки, введение в течение 1 часа</w:t>
            </w:r>
          </w:p>
        </w:tc>
      </w:tr>
      <w:tr w:rsidR="008074B4" w:rsidRPr="00265B67" w14:paraId="5BCD5A9F" w14:textId="77777777" w:rsidTr="005A428D">
        <w:tc>
          <w:tcPr>
            <w:tcW w:w="3227" w:type="dxa"/>
          </w:tcPr>
          <w:p w14:paraId="24FF24D4" w14:textId="77777777" w:rsidR="008074B4" w:rsidRPr="00761653" w:rsidRDefault="008074B4" w:rsidP="005A428D">
            <w:pPr>
              <w:ind w:left="57" w:right="57"/>
              <w:rPr>
                <w:szCs w:val="24"/>
              </w:rPr>
            </w:pPr>
            <w:r w:rsidRPr="00761653">
              <w:rPr>
                <w:szCs w:val="24"/>
              </w:rPr>
              <w:t>Фосфомицин</w:t>
            </w:r>
          </w:p>
        </w:tc>
        <w:tc>
          <w:tcPr>
            <w:tcW w:w="6520" w:type="dxa"/>
          </w:tcPr>
          <w:p w14:paraId="6B34988D" w14:textId="77777777" w:rsidR="008074B4" w:rsidRPr="00761653" w:rsidRDefault="008074B4" w:rsidP="005A428D">
            <w:pPr>
              <w:ind w:left="57" w:right="57"/>
              <w:rPr>
                <w:szCs w:val="24"/>
              </w:rPr>
            </w:pPr>
            <w:r w:rsidRPr="00761653">
              <w:rPr>
                <w:szCs w:val="24"/>
              </w:rPr>
              <w:t>По 4 г каждые 6 час или по 8 г каждые 8 час (суммарно 16-24 г)</w:t>
            </w:r>
          </w:p>
        </w:tc>
      </w:tr>
      <w:tr w:rsidR="008074B4" w:rsidRPr="00761653" w14:paraId="02EF9005" w14:textId="77777777" w:rsidTr="005A428D">
        <w:tc>
          <w:tcPr>
            <w:tcW w:w="3227" w:type="dxa"/>
          </w:tcPr>
          <w:p w14:paraId="701A7A46" w14:textId="77777777" w:rsidR="008074B4" w:rsidRPr="00761653" w:rsidRDefault="008074B4" w:rsidP="005A428D">
            <w:pPr>
              <w:ind w:left="57" w:right="57"/>
              <w:rPr>
                <w:szCs w:val="24"/>
              </w:rPr>
            </w:pPr>
            <w:r w:rsidRPr="00761653">
              <w:rPr>
                <w:szCs w:val="24"/>
              </w:rPr>
              <w:t>Азтреонам</w:t>
            </w:r>
          </w:p>
        </w:tc>
        <w:tc>
          <w:tcPr>
            <w:tcW w:w="6520" w:type="dxa"/>
          </w:tcPr>
          <w:p w14:paraId="42D1BA94" w14:textId="77777777" w:rsidR="008074B4" w:rsidRPr="00761653" w:rsidRDefault="008074B4" w:rsidP="005A428D">
            <w:pPr>
              <w:ind w:left="57" w:right="57"/>
              <w:rPr>
                <w:szCs w:val="24"/>
              </w:rPr>
            </w:pPr>
            <w:r w:rsidRPr="00761653">
              <w:rPr>
                <w:szCs w:val="24"/>
              </w:rPr>
              <w:t>2 г каждые 8 часов</w:t>
            </w:r>
          </w:p>
        </w:tc>
      </w:tr>
    </w:tbl>
    <w:p w14:paraId="3B74B189" w14:textId="77777777" w:rsidR="008074B4" w:rsidRDefault="008074B4" w:rsidP="008074B4">
      <w:pPr>
        <w:widowControl w:val="0"/>
        <w:tabs>
          <w:tab w:val="left" w:pos="1134"/>
        </w:tabs>
        <w:autoSpaceDE w:val="0"/>
        <w:autoSpaceDN w:val="0"/>
        <w:adjustRightInd w:val="0"/>
        <w:ind w:right="49"/>
        <w:contextualSpacing/>
        <w:rPr>
          <w:bCs/>
          <w:i/>
          <w:u w:val="single"/>
        </w:rPr>
      </w:pPr>
    </w:p>
    <w:p w14:paraId="06CBA493" w14:textId="77777777" w:rsidR="008074B4" w:rsidRPr="00284D51" w:rsidRDefault="008074B4" w:rsidP="00FA42D4">
      <w:pPr>
        <w:widowControl w:val="0"/>
        <w:autoSpaceDE w:val="0"/>
        <w:autoSpaceDN w:val="0"/>
        <w:adjustRightInd w:val="0"/>
        <w:ind w:right="49" w:firstLine="709"/>
        <w:contextualSpacing/>
        <w:rPr>
          <w:bCs/>
        </w:rPr>
      </w:pPr>
      <w:r w:rsidRPr="00284D51">
        <w:rPr>
          <w:bCs/>
          <w:i/>
        </w:rPr>
        <w:t>Pseudomonas aeruginosa</w:t>
      </w:r>
    </w:p>
    <w:p w14:paraId="4D7550AD" w14:textId="34DCAE89" w:rsidR="008074B4" w:rsidRPr="00761653" w:rsidRDefault="008074B4" w:rsidP="00FA42D4">
      <w:pPr>
        <w:widowControl w:val="0"/>
        <w:autoSpaceDE w:val="0"/>
        <w:autoSpaceDN w:val="0"/>
        <w:adjustRightInd w:val="0"/>
        <w:ind w:right="49" w:firstLine="709"/>
        <w:contextualSpacing/>
      </w:pPr>
      <w:r w:rsidRPr="00761653">
        <w:t xml:space="preserve">Выбор антибиотиков проводится согласно чувствительности выделенных штаммов. Лечение проводят сочетанием антибиотиков. При инфекциях кровотока, вызванных </w:t>
      </w:r>
      <w:r w:rsidRPr="00761653">
        <w:rPr>
          <w:i/>
        </w:rPr>
        <w:t>P. aeruginosa,</w:t>
      </w:r>
      <w:r w:rsidRPr="00761653">
        <w:t xml:space="preserve"> часто наблюдается диссеминация в легких, и в этих случаях необходимо использовать антибиотики, для которых характерна высокая концентрация в легких. Такими параметрами обладает цефтолозан-тазобактам, который активен против карбапенем-резистентных </w:t>
      </w:r>
      <w:r w:rsidRPr="00761653">
        <w:rPr>
          <w:i/>
        </w:rPr>
        <w:t>P. aeruginosa</w:t>
      </w:r>
      <w:r w:rsidRPr="00761653">
        <w:t xml:space="preserve"> без продукции карбапенемаз</w:t>
      </w:r>
      <w:r>
        <w:t xml:space="preserve"> </w:t>
      </w:r>
      <w:r>
        <w:fldChar w:fldCharType="begin" w:fldLock="1"/>
      </w:r>
      <w:r w:rsidR="00AB4A77">
        <w:instrText>ADDIN CSL_CITATION {"citationItems":[{"id":"ITEM-1","itemData":{"DOI":"10.1016/S1473-3099(19)30403-7","ISSN":"14744457","PMID":"31563344","abstract":"Background: Nosocomial pneumonia due to antimicrobial-resistant pathogens is associated with high mortality. We assessed the efficacy and safety of the combination antibacterial drug ceftolozane–tazobactam versus meropenem for treatment of Gram-negative nosocomial pneumonia. Methods: We conducted a randomised, controlled, double-blind, non-inferiority trial at 263 hospitals in 34 countries. Eligible patients were aged 18 years or older, were undergoing mechanical ventilation, and had nosocomial pneumonia (either ventilator-associated pneumonia or ventilated hospital-acquired pneumonia). Patients were randomly assigned (1:1) with block randomisation (block size four), stratified by type of nosocomial pneumonia and age (&lt;65 years vs ≥65 years), to receive either 3 g ceftolozane–tazobactam or 1 g meropenem intravenously every 8 h for 8–14 days. The primary endpoint was 28-day all-cause mortality (at a 10% non-inferiority margin). The key secondary endpoint was clinical response at the test-of-cure visit (7–14 days after the end of therapy; 12·5% non-inferiority margin). Both endpoints were assessed in the intention-to-treat population. Investigators, study staff, patients, and patients' representatives were masked to treatment assignment. Safety was assessed in all randomly assigned patients who received study treatment. This trial was registered with ClinicalTrials.gov, NCT02070757. Findings: Between Jan 16, 2015, and April 27, 2018, 726 patients were enrolled and randomly assigned, 362 to the ceftolozane–tazobactam group and 364 to the meropenem group. Overall, 519 (71%) patients had ventilator-associated pneumonia, 239 (33%) had Acute Physiology and Chronic Health Evaluation II scores of at least 20, and 668 (92%) were in the intensive care unit. At 28 days, 87 (24·0%) patients in the ceftolozane–tazobactam group and 92 (25·3%) in the meropenem group had died (weighted treatment difference 1·1% [95% CI −5·1 to 7·4]). At the test-of-cure visit 197 (54%) patients in the ceftolozane–tazobactam group and 194 (53%) in the meropenem group were clinically cured (weighted treatment difference 1·1% [95% CI −6·2 to 8·3]). Ceftolozane–tazobactam was thus non-inferior to meropenem in terms of both 28-day all-cause mortality and clinical cure at test of cure. Treatment-related adverse events occurred in 38 (11%) of 361 patients in the ceftolozane–tazobactam group and 27 (8%) of 359 in the meropenem group. Eight (2%) patients in the ceftolozane–tazobactam group and t…","author":[{"dropping-particle":"","family":"Kollef","given":"Marin H.","non-dropping-particle":"","parse-names":false,"suffix":""},{"dropping-particle":"","family":"Nováček","given":"Martin","non-dropping-particle":"","parse-names":false,"suffix":""},{"dropping-particle":"","family":"Kivistik","given":"Ülo","non-dropping-particle":"","parse-names":false,"suffix":""},{"dropping-particle":"","family":"Réa-Neto","given":"Álvaro","non-dropping-particle":"","parse-names":false,"suffix":""},{"dropping-particle":"","family":"Shime","given":"Nobuaki","non-dropping-particle":"","parse-names":false,"suffix":""},{"dropping-particle":"","family":"Martin-Loeches","given":"Ignacio","non-dropping-particle":"","parse-names":false,"suffix":""},{"dropping-particle":"","family":"Timsit","given":"Jean François","non-dropping-particle":"","parse-names":false,"suffix":""},{"dropping-particle":"","family":"Wunderink","given":"Richard G.","non-dropping-particle":"","parse-names":false,"suffix":""},{"dropping-particle":"","family":"Bruno","given":"Christopher J.","non-dropping-particle":"","parse-names":false,"suffix":""},{"dropping-particle":"","family":"Huntington","given":"Jennifer A.","non-dropping-particle":"","parse-names":false,"suffix":""},{"dropping-particle":"","family":"Lin","given":"Gina","non-dropping-particle":"","parse-names":false,"suffix":""},{"dropping-particle":"","family":"Yu","given":"Brian","non-dropping-particle":"","parse-names":false,"suffix":""},{"dropping-particle":"","family":"Butterton","given":"Joan R.","non-dropping-particle":"","parse-names":false,"suffix":""},{"dropping-particle":"","family":"Rhee","given":"Elizabeth G.","non-dropping-particle":"","parse-names":false,"suffix":""}],"container-title":"The Lancet Infectious Diseases","id":"ITEM-1","issue":"12","issued":{"date-parts":[["2019","12","1"]]},"page":"1299-1311","publisher":"Lancet Publishing Group","title":"Ceftolozane–tazobactam versus meropenem for treatment of nosocomial pneumonia (ASPECT-NP): a randomised, controlled, double-blind, phase 3, non-inferiority trial","type":"article-journal","volume":"19"},"uris":["http://www.mendeley.com/documents/?uuid=779e70f2-916f-3769-b6db-f94034eaa2bf"]}],"mendeley":{"formattedCitation":"[151]","plainTextFormattedCitation":"[151]","previouslyFormattedCitation":"[151]"},"properties":{"noteIndex":0},"schema":"https://github.com/citation-style-language/schema/raw/master/csl-citation.json"}</w:instrText>
      </w:r>
      <w:r>
        <w:fldChar w:fldCharType="separate"/>
      </w:r>
      <w:r w:rsidRPr="008074B4">
        <w:rPr>
          <w:noProof/>
        </w:rPr>
        <w:t>[151]</w:t>
      </w:r>
      <w:r>
        <w:fldChar w:fldCharType="end"/>
      </w:r>
      <w:r w:rsidRPr="00761653">
        <w:t>. Препараты для лечения представлены в табл</w:t>
      </w:r>
      <w:r>
        <w:t>ице 3.</w:t>
      </w:r>
      <w:r w:rsidRPr="00761653">
        <w:t xml:space="preserve"> </w:t>
      </w:r>
    </w:p>
    <w:p w14:paraId="28A4DC4F" w14:textId="77777777" w:rsidR="008074B4" w:rsidRDefault="008074B4" w:rsidP="008074B4">
      <w:pPr>
        <w:ind w:hanging="142"/>
      </w:pPr>
    </w:p>
    <w:p w14:paraId="57A485E9" w14:textId="77777777" w:rsidR="008074B4" w:rsidRPr="00761653" w:rsidRDefault="008074B4" w:rsidP="008074B4">
      <w:pPr>
        <w:ind w:hanging="142"/>
      </w:pPr>
      <w:r w:rsidRPr="00761653">
        <w:t xml:space="preserve">Таблица 3. Лечение инфекций, вызванных </w:t>
      </w:r>
      <w:r w:rsidRPr="00761653">
        <w:rPr>
          <w:i/>
        </w:rPr>
        <w:t>Pseudomonas aeruginosa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237"/>
      </w:tblGrid>
      <w:tr w:rsidR="008074B4" w:rsidRPr="00761653" w14:paraId="40677D0F" w14:textId="77777777" w:rsidTr="005A428D">
        <w:tc>
          <w:tcPr>
            <w:tcW w:w="3510" w:type="dxa"/>
            <w:vAlign w:val="center"/>
          </w:tcPr>
          <w:p w14:paraId="5DB212DC" w14:textId="77777777" w:rsidR="008074B4" w:rsidRPr="00761653" w:rsidRDefault="008074B4" w:rsidP="005A428D">
            <w:pPr>
              <w:ind w:left="57" w:right="57"/>
              <w:jc w:val="center"/>
              <w:rPr>
                <w:szCs w:val="24"/>
              </w:rPr>
            </w:pPr>
            <w:r w:rsidRPr="00761653">
              <w:rPr>
                <w:szCs w:val="24"/>
              </w:rPr>
              <w:t>Препарат</w:t>
            </w:r>
          </w:p>
        </w:tc>
        <w:tc>
          <w:tcPr>
            <w:tcW w:w="6237" w:type="dxa"/>
            <w:vAlign w:val="center"/>
          </w:tcPr>
          <w:p w14:paraId="138A6C40" w14:textId="77777777" w:rsidR="008074B4" w:rsidRPr="00761653" w:rsidRDefault="008074B4" w:rsidP="005A428D">
            <w:pPr>
              <w:ind w:left="57" w:right="57"/>
              <w:jc w:val="center"/>
              <w:rPr>
                <w:szCs w:val="24"/>
              </w:rPr>
            </w:pPr>
            <w:r w:rsidRPr="00761653">
              <w:rPr>
                <w:szCs w:val="24"/>
              </w:rPr>
              <w:t>Доза</w:t>
            </w:r>
          </w:p>
        </w:tc>
      </w:tr>
      <w:tr w:rsidR="008074B4" w:rsidRPr="00265B67" w14:paraId="134DC314" w14:textId="77777777" w:rsidTr="005A428D">
        <w:tc>
          <w:tcPr>
            <w:tcW w:w="3510" w:type="dxa"/>
          </w:tcPr>
          <w:p w14:paraId="5D358FEC" w14:textId="77777777" w:rsidR="008074B4" w:rsidRPr="00761653" w:rsidRDefault="008074B4" w:rsidP="005A428D">
            <w:pPr>
              <w:ind w:left="57" w:right="57"/>
              <w:rPr>
                <w:szCs w:val="24"/>
              </w:rPr>
            </w:pPr>
            <w:r w:rsidRPr="00761653">
              <w:rPr>
                <w:szCs w:val="24"/>
              </w:rPr>
              <w:t>Цефтолозан/тазобактам</w:t>
            </w:r>
          </w:p>
        </w:tc>
        <w:tc>
          <w:tcPr>
            <w:tcW w:w="6237" w:type="dxa"/>
          </w:tcPr>
          <w:p w14:paraId="6ADF4B04" w14:textId="77777777" w:rsidR="008074B4" w:rsidRPr="00761653" w:rsidRDefault="008074B4" w:rsidP="005A428D">
            <w:pPr>
              <w:ind w:left="57" w:right="57"/>
              <w:rPr>
                <w:szCs w:val="24"/>
              </w:rPr>
            </w:pPr>
            <w:r w:rsidRPr="00761653">
              <w:rPr>
                <w:szCs w:val="24"/>
              </w:rPr>
              <w:t>1,5 или 3 г каждые 8 часов, инфузия в течение 1 часа (при пневмонии по 3 г х 3 раза)</w:t>
            </w:r>
          </w:p>
        </w:tc>
      </w:tr>
      <w:tr w:rsidR="008074B4" w:rsidRPr="00265B67" w14:paraId="32D9E660" w14:textId="77777777" w:rsidTr="005A428D">
        <w:tc>
          <w:tcPr>
            <w:tcW w:w="3510" w:type="dxa"/>
          </w:tcPr>
          <w:p w14:paraId="29419C07" w14:textId="77777777" w:rsidR="008074B4" w:rsidRPr="00761653" w:rsidRDefault="008074B4" w:rsidP="005A428D">
            <w:pPr>
              <w:ind w:left="57" w:right="57"/>
              <w:rPr>
                <w:szCs w:val="24"/>
              </w:rPr>
            </w:pPr>
            <w:r w:rsidRPr="00761653">
              <w:rPr>
                <w:szCs w:val="24"/>
              </w:rPr>
              <w:t>Цефтазидим</w:t>
            </w:r>
          </w:p>
        </w:tc>
        <w:tc>
          <w:tcPr>
            <w:tcW w:w="6237" w:type="dxa"/>
          </w:tcPr>
          <w:p w14:paraId="550B7024" w14:textId="77777777" w:rsidR="008074B4" w:rsidRPr="00761653" w:rsidRDefault="008074B4" w:rsidP="005A428D">
            <w:pPr>
              <w:ind w:left="57" w:right="57"/>
              <w:rPr>
                <w:szCs w:val="24"/>
              </w:rPr>
            </w:pPr>
            <w:r w:rsidRPr="00761653">
              <w:rPr>
                <w:szCs w:val="24"/>
              </w:rPr>
              <w:t>Нагрузочная доза 1-2 г, затем 6 г/сут, непрерывная инфузии в течение 24 ч</w:t>
            </w:r>
          </w:p>
        </w:tc>
      </w:tr>
      <w:tr w:rsidR="008074B4" w:rsidRPr="00975FC1" w14:paraId="0ECBC727" w14:textId="77777777" w:rsidTr="005A428D">
        <w:tc>
          <w:tcPr>
            <w:tcW w:w="3510" w:type="dxa"/>
          </w:tcPr>
          <w:p w14:paraId="6C67CDC9" w14:textId="77777777" w:rsidR="008074B4" w:rsidRPr="00761653" w:rsidRDefault="008074B4" w:rsidP="005A428D">
            <w:pPr>
              <w:ind w:left="57" w:right="57"/>
              <w:rPr>
                <w:szCs w:val="24"/>
              </w:rPr>
            </w:pPr>
            <w:r w:rsidRPr="00761653">
              <w:rPr>
                <w:szCs w:val="24"/>
              </w:rPr>
              <w:t>Цефепим</w:t>
            </w:r>
          </w:p>
        </w:tc>
        <w:tc>
          <w:tcPr>
            <w:tcW w:w="6237" w:type="dxa"/>
          </w:tcPr>
          <w:p w14:paraId="654E7AD9" w14:textId="77777777" w:rsidR="008074B4" w:rsidRPr="00761653" w:rsidRDefault="008074B4" w:rsidP="005A428D">
            <w:pPr>
              <w:ind w:left="57" w:right="57"/>
              <w:rPr>
                <w:szCs w:val="24"/>
              </w:rPr>
            </w:pPr>
            <w:r w:rsidRPr="00761653">
              <w:rPr>
                <w:szCs w:val="24"/>
              </w:rPr>
              <w:t>Нагрузочная доза 15 мг/кг в течение 30 мин, затем 6 г/сут посредством непрерывной инфузии в течение 24 часов</w:t>
            </w:r>
          </w:p>
        </w:tc>
      </w:tr>
      <w:tr w:rsidR="008074B4" w:rsidRPr="00975FC1" w14:paraId="4D600BCA" w14:textId="77777777" w:rsidTr="005A428D">
        <w:tc>
          <w:tcPr>
            <w:tcW w:w="3510" w:type="dxa"/>
          </w:tcPr>
          <w:p w14:paraId="3AA3E15C" w14:textId="77777777" w:rsidR="008074B4" w:rsidRPr="00761653" w:rsidRDefault="008074B4" w:rsidP="005A428D">
            <w:pPr>
              <w:ind w:left="57" w:right="57"/>
              <w:rPr>
                <w:szCs w:val="24"/>
              </w:rPr>
            </w:pPr>
            <w:r w:rsidRPr="00761653">
              <w:rPr>
                <w:szCs w:val="24"/>
              </w:rPr>
              <w:t>Пиперациллин/тазобактам</w:t>
            </w:r>
          </w:p>
        </w:tc>
        <w:tc>
          <w:tcPr>
            <w:tcW w:w="6237" w:type="dxa"/>
          </w:tcPr>
          <w:p w14:paraId="3C09571F" w14:textId="77777777" w:rsidR="008074B4" w:rsidRPr="00761653" w:rsidRDefault="008074B4" w:rsidP="005A428D">
            <w:pPr>
              <w:ind w:left="57" w:right="57"/>
              <w:rPr>
                <w:szCs w:val="24"/>
              </w:rPr>
            </w:pPr>
            <w:r w:rsidRPr="00761653">
              <w:rPr>
                <w:szCs w:val="24"/>
              </w:rPr>
              <w:t>Нагрузочная доза 2,25 г затем 16,2 г/сут посредством непрерывной инфузии в течение 24 часов</w:t>
            </w:r>
          </w:p>
        </w:tc>
      </w:tr>
      <w:tr w:rsidR="008074B4" w:rsidRPr="00975FC1" w14:paraId="32F03788" w14:textId="77777777" w:rsidTr="005A428D">
        <w:tc>
          <w:tcPr>
            <w:tcW w:w="3510" w:type="dxa"/>
          </w:tcPr>
          <w:p w14:paraId="78B121D1" w14:textId="77777777" w:rsidR="008074B4" w:rsidRPr="00761653" w:rsidRDefault="008074B4" w:rsidP="005A428D">
            <w:pPr>
              <w:ind w:left="57" w:right="57"/>
              <w:rPr>
                <w:szCs w:val="24"/>
              </w:rPr>
            </w:pPr>
            <w:r w:rsidRPr="00761653">
              <w:rPr>
                <w:szCs w:val="24"/>
              </w:rPr>
              <w:t>Цефтазидим/авибактам</w:t>
            </w:r>
          </w:p>
        </w:tc>
        <w:tc>
          <w:tcPr>
            <w:tcW w:w="6237" w:type="dxa"/>
          </w:tcPr>
          <w:p w14:paraId="3E6B3C2C" w14:textId="77777777" w:rsidR="008074B4" w:rsidRPr="00761653" w:rsidRDefault="008074B4" w:rsidP="005A428D">
            <w:pPr>
              <w:ind w:left="57" w:right="57"/>
              <w:rPr>
                <w:szCs w:val="24"/>
              </w:rPr>
            </w:pPr>
            <w:r w:rsidRPr="00761653">
              <w:rPr>
                <w:szCs w:val="24"/>
              </w:rPr>
              <w:t>2,5 г каждые 8 часов, продленная инфузия в течение 2 часов</w:t>
            </w:r>
          </w:p>
        </w:tc>
      </w:tr>
      <w:tr w:rsidR="008074B4" w:rsidRPr="00975FC1" w14:paraId="4909F7B0" w14:textId="77777777" w:rsidTr="005A428D">
        <w:tc>
          <w:tcPr>
            <w:tcW w:w="3510" w:type="dxa"/>
          </w:tcPr>
          <w:p w14:paraId="448F2430" w14:textId="77777777" w:rsidR="008074B4" w:rsidRPr="00761653" w:rsidRDefault="008074B4" w:rsidP="005A428D">
            <w:pPr>
              <w:ind w:left="57" w:right="57"/>
              <w:rPr>
                <w:szCs w:val="24"/>
              </w:rPr>
            </w:pPr>
            <w:r w:rsidRPr="00761653">
              <w:rPr>
                <w:szCs w:val="24"/>
              </w:rPr>
              <w:t>Азтреонам</w:t>
            </w:r>
          </w:p>
        </w:tc>
        <w:tc>
          <w:tcPr>
            <w:tcW w:w="6237" w:type="dxa"/>
          </w:tcPr>
          <w:p w14:paraId="426C1FBA" w14:textId="77777777" w:rsidR="008074B4" w:rsidRPr="00761653" w:rsidRDefault="008074B4" w:rsidP="005A428D">
            <w:pPr>
              <w:ind w:left="57" w:right="57"/>
              <w:rPr>
                <w:szCs w:val="24"/>
              </w:rPr>
            </w:pPr>
            <w:r w:rsidRPr="00761653">
              <w:rPr>
                <w:szCs w:val="24"/>
              </w:rPr>
              <w:t>Нагрузочная доза 1-2 г, затем 6 г/сут посредством непрерывной инфузии в течение 24 часов</w:t>
            </w:r>
          </w:p>
        </w:tc>
      </w:tr>
      <w:tr w:rsidR="008074B4" w:rsidRPr="00265B67" w14:paraId="375474E1" w14:textId="77777777" w:rsidTr="005A428D">
        <w:tc>
          <w:tcPr>
            <w:tcW w:w="3510" w:type="dxa"/>
          </w:tcPr>
          <w:p w14:paraId="1E7001F7" w14:textId="77777777" w:rsidR="008074B4" w:rsidRPr="00761653" w:rsidRDefault="008074B4" w:rsidP="005A428D">
            <w:pPr>
              <w:ind w:left="57" w:right="57"/>
              <w:rPr>
                <w:szCs w:val="24"/>
              </w:rPr>
            </w:pPr>
            <w:r w:rsidRPr="00761653">
              <w:rPr>
                <w:szCs w:val="24"/>
              </w:rPr>
              <w:t>Дорипенем</w:t>
            </w:r>
          </w:p>
        </w:tc>
        <w:tc>
          <w:tcPr>
            <w:tcW w:w="6237" w:type="dxa"/>
          </w:tcPr>
          <w:p w14:paraId="4A083134" w14:textId="77777777" w:rsidR="008074B4" w:rsidRPr="00761653" w:rsidRDefault="008074B4" w:rsidP="005A428D">
            <w:pPr>
              <w:ind w:left="57" w:right="57"/>
              <w:rPr>
                <w:szCs w:val="24"/>
              </w:rPr>
            </w:pPr>
            <w:r w:rsidRPr="00761653">
              <w:rPr>
                <w:szCs w:val="24"/>
              </w:rPr>
              <w:t>1 г каждые 8 часов, инфузия в течение 4 часов</w:t>
            </w:r>
          </w:p>
        </w:tc>
      </w:tr>
      <w:tr w:rsidR="008074B4" w:rsidRPr="00265B67" w14:paraId="6F53B4C4" w14:textId="77777777" w:rsidTr="005A428D">
        <w:tc>
          <w:tcPr>
            <w:tcW w:w="3510" w:type="dxa"/>
          </w:tcPr>
          <w:p w14:paraId="3E149F2D" w14:textId="77777777" w:rsidR="008074B4" w:rsidRPr="00761653" w:rsidRDefault="008074B4" w:rsidP="005A428D">
            <w:pPr>
              <w:ind w:left="57" w:right="57"/>
              <w:rPr>
                <w:szCs w:val="24"/>
              </w:rPr>
            </w:pPr>
            <w:r w:rsidRPr="00761653">
              <w:rPr>
                <w:szCs w:val="24"/>
              </w:rPr>
              <w:t>Меропенем</w:t>
            </w:r>
          </w:p>
        </w:tc>
        <w:tc>
          <w:tcPr>
            <w:tcW w:w="6237" w:type="dxa"/>
          </w:tcPr>
          <w:p w14:paraId="382B471B" w14:textId="77777777" w:rsidR="008074B4" w:rsidRPr="00761653" w:rsidRDefault="008074B4" w:rsidP="005A428D">
            <w:pPr>
              <w:ind w:left="57" w:right="57"/>
              <w:rPr>
                <w:szCs w:val="24"/>
              </w:rPr>
            </w:pPr>
            <w:r w:rsidRPr="00761653">
              <w:rPr>
                <w:szCs w:val="24"/>
              </w:rPr>
              <w:t>Нагрузочная доза 1-2 г, затем по 2 г каждые 8 часов, продленная инфузия в течение 3 часов</w:t>
            </w:r>
          </w:p>
        </w:tc>
      </w:tr>
      <w:tr w:rsidR="008074B4" w:rsidRPr="00975FC1" w14:paraId="7B0B79F0" w14:textId="77777777" w:rsidTr="005A428D">
        <w:tc>
          <w:tcPr>
            <w:tcW w:w="3510" w:type="dxa"/>
          </w:tcPr>
          <w:p w14:paraId="794ABADC" w14:textId="77777777" w:rsidR="008074B4" w:rsidRPr="00761653" w:rsidRDefault="008074B4" w:rsidP="005A428D">
            <w:pPr>
              <w:ind w:left="57" w:right="57"/>
              <w:rPr>
                <w:szCs w:val="24"/>
              </w:rPr>
            </w:pPr>
            <w:r w:rsidRPr="00761653">
              <w:rPr>
                <w:szCs w:val="24"/>
              </w:rPr>
              <w:t>Имипенем</w:t>
            </w:r>
          </w:p>
        </w:tc>
        <w:tc>
          <w:tcPr>
            <w:tcW w:w="6237" w:type="dxa"/>
          </w:tcPr>
          <w:p w14:paraId="42EF8D45" w14:textId="77777777" w:rsidR="008074B4" w:rsidRPr="00761653" w:rsidRDefault="008074B4" w:rsidP="005A428D">
            <w:pPr>
              <w:ind w:left="57" w:right="57"/>
              <w:rPr>
                <w:szCs w:val="24"/>
              </w:rPr>
            </w:pPr>
            <w:r w:rsidRPr="00761653">
              <w:rPr>
                <w:szCs w:val="24"/>
              </w:rPr>
              <w:t>1 г каждые 6-8 часов, в/в</w:t>
            </w:r>
          </w:p>
        </w:tc>
      </w:tr>
      <w:tr w:rsidR="008074B4" w:rsidRPr="00975FC1" w14:paraId="14269887" w14:textId="77777777" w:rsidTr="005A428D">
        <w:tc>
          <w:tcPr>
            <w:tcW w:w="3510" w:type="dxa"/>
          </w:tcPr>
          <w:p w14:paraId="0251DF48" w14:textId="77777777" w:rsidR="008074B4" w:rsidRPr="00761653" w:rsidRDefault="008074B4" w:rsidP="005A428D">
            <w:pPr>
              <w:ind w:left="57" w:right="57"/>
              <w:rPr>
                <w:szCs w:val="24"/>
              </w:rPr>
            </w:pPr>
            <w:r w:rsidRPr="00761653">
              <w:rPr>
                <w:szCs w:val="24"/>
              </w:rPr>
              <w:t>Фосфомицин</w:t>
            </w:r>
          </w:p>
        </w:tc>
        <w:tc>
          <w:tcPr>
            <w:tcW w:w="6237" w:type="dxa"/>
          </w:tcPr>
          <w:p w14:paraId="19EF80A2" w14:textId="77777777" w:rsidR="008074B4" w:rsidRPr="00761653" w:rsidRDefault="008074B4" w:rsidP="005A428D">
            <w:pPr>
              <w:ind w:left="57" w:right="57"/>
              <w:rPr>
                <w:szCs w:val="24"/>
              </w:rPr>
            </w:pPr>
            <w:r w:rsidRPr="00761653">
              <w:rPr>
                <w:szCs w:val="24"/>
              </w:rPr>
              <w:t xml:space="preserve">Нагрузочная доза 2-4 г, затем по 16-24 г посредством непрерывной инфузии в течение 24 часов </w:t>
            </w:r>
          </w:p>
        </w:tc>
      </w:tr>
      <w:tr w:rsidR="008074B4" w:rsidRPr="00975FC1" w14:paraId="7D4E7D63" w14:textId="77777777" w:rsidTr="005A428D">
        <w:tc>
          <w:tcPr>
            <w:tcW w:w="3510" w:type="dxa"/>
          </w:tcPr>
          <w:p w14:paraId="27B63D13" w14:textId="77777777" w:rsidR="008074B4" w:rsidRPr="00761653" w:rsidRDefault="008074B4" w:rsidP="005A428D">
            <w:pPr>
              <w:ind w:left="57" w:right="57"/>
              <w:rPr>
                <w:szCs w:val="24"/>
              </w:rPr>
            </w:pPr>
            <w:r w:rsidRPr="00761653">
              <w:rPr>
                <w:szCs w:val="24"/>
              </w:rPr>
              <w:t>Колистин</w:t>
            </w:r>
          </w:p>
        </w:tc>
        <w:tc>
          <w:tcPr>
            <w:tcW w:w="6237" w:type="dxa"/>
          </w:tcPr>
          <w:p w14:paraId="1551C710" w14:textId="77777777" w:rsidR="008074B4" w:rsidRPr="00761653" w:rsidRDefault="008074B4" w:rsidP="005A428D">
            <w:pPr>
              <w:ind w:left="57" w:right="57"/>
              <w:rPr>
                <w:szCs w:val="24"/>
              </w:rPr>
            </w:pPr>
            <w:r w:rsidRPr="00761653">
              <w:rPr>
                <w:szCs w:val="24"/>
              </w:rPr>
              <w:t>Нагрузочная доза 6-9 млн МЕ, затем по 4,5 млн МЕ каждые 12 часов</w:t>
            </w:r>
          </w:p>
        </w:tc>
      </w:tr>
      <w:tr w:rsidR="008074B4" w:rsidRPr="00265B67" w14:paraId="30AE339E" w14:textId="77777777" w:rsidTr="005A428D">
        <w:tc>
          <w:tcPr>
            <w:tcW w:w="3510" w:type="dxa"/>
          </w:tcPr>
          <w:p w14:paraId="472D313B" w14:textId="77777777" w:rsidR="008074B4" w:rsidRPr="00761653" w:rsidRDefault="008074B4" w:rsidP="005A428D">
            <w:pPr>
              <w:ind w:left="57" w:right="57"/>
              <w:rPr>
                <w:szCs w:val="24"/>
              </w:rPr>
            </w:pPr>
            <w:r w:rsidRPr="00761653">
              <w:rPr>
                <w:szCs w:val="24"/>
              </w:rPr>
              <w:t>Полимиксин В</w:t>
            </w:r>
          </w:p>
        </w:tc>
        <w:tc>
          <w:tcPr>
            <w:tcW w:w="6237" w:type="dxa"/>
          </w:tcPr>
          <w:p w14:paraId="2BC67E6D" w14:textId="77777777" w:rsidR="008074B4" w:rsidRPr="00761653" w:rsidRDefault="008074B4" w:rsidP="005A428D">
            <w:pPr>
              <w:ind w:left="57" w:right="57"/>
              <w:rPr>
                <w:szCs w:val="24"/>
              </w:rPr>
            </w:pPr>
            <w:r w:rsidRPr="00761653">
              <w:rPr>
                <w:szCs w:val="24"/>
              </w:rPr>
              <w:t xml:space="preserve">Нагрузочная доза 2-2,5 мг/кг, инфузия в течение 2 часов, далее по </w:t>
            </w:r>
          </w:p>
          <w:p w14:paraId="78ECD4D7" w14:textId="77777777" w:rsidR="008074B4" w:rsidRPr="00761653" w:rsidRDefault="008074B4" w:rsidP="005A428D">
            <w:pPr>
              <w:ind w:left="57" w:right="57"/>
              <w:rPr>
                <w:szCs w:val="24"/>
              </w:rPr>
            </w:pPr>
            <w:r w:rsidRPr="00761653">
              <w:rPr>
                <w:szCs w:val="24"/>
              </w:rPr>
              <w:t>1,25-1,5 мг/кг каждые 12 часов, инфузия в течение 1 часа</w:t>
            </w:r>
          </w:p>
        </w:tc>
      </w:tr>
      <w:tr w:rsidR="008074B4" w:rsidRPr="00265B67" w14:paraId="41813383" w14:textId="77777777" w:rsidTr="005A428D">
        <w:tc>
          <w:tcPr>
            <w:tcW w:w="3510" w:type="dxa"/>
          </w:tcPr>
          <w:p w14:paraId="25FF0373" w14:textId="77777777" w:rsidR="008074B4" w:rsidRPr="00761653" w:rsidRDefault="008074B4" w:rsidP="005A428D">
            <w:pPr>
              <w:ind w:left="57" w:right="57"/>
              <w:rPr>
                <w:szCs w:val="24"/>
              </w:rPr>
            </w:pPr>
            <w:r w:rsidRPr="00761653">
              <w:rPr>
                <w:szCs w:val="24"/>
              </w:rPr>
              <w:t>Ципрофлоксацин</w:t>
            </w:r>
          </w:p>
        </w:tc>
        <w:tc>
          <w:tcPr>
            <w:tcW w:w="6237" w:type="dxa"/>
          </w:tcPr>
          <w:p w14:paraId="43341E74" w14:textId="77777777" w:rsidR="008074B4" w:rsidRPr="00761653" w:rsidRDefault="008074B4" w:rsidP="005A428D">
            <w:pPr>
              <w:ind w:left="57" w:right="57"/>
              <w:rPr>
                <w:szCs w:val="24"/>
              </w:rPr>
            </w:pPr>
            <w:r w:rsidRPr="00761653">
              <w:rPr>
                <w:szCs w:val="24"/>
              </w:rPr>
              <w:t>400 мг каждые 8 часов, инфузия в течение 30-60 минут</w:t>
            </w:r>
          </w:p>
        </w:tc>
      </w:tr>
      <w:tr w:rsidR="008074B4" w:rsidRPr="00265B67" w14:paraId="49E14CF3" w14:textId="77777777" w:rsidTr="005A428D">
        <w:tc>
          <w:tcPr>
            <w:tcW w:w="3510" w:type="dxa"/>
          </w:tcPr>
          <w:p w14:paraId="14A20D99" w14:textId="77777777" w:rsidR="008074B4" w:rsidRPr="00761653" w:rsidRDefault="008074B4" w:rsidP="005A428D">
            <w:pPr>
              <w:ind w:left="57" w:right="57"/>
              <w:rPr>
                <w:szCs w:val="24"/>
              </w:rPr>
            </w:pPr>
            <w:r w:rsidRPr="00761653">
              <w:rPr>
                <w:szCs w:val="24"/>
              </w:rPr>
              <w:t>Левофлоксацин</w:t>
            </w:r>
          </w:p>
        </w:tc>
        <w:tc>
          <w:tcPr>
            <w:tcW w:w="6237" w:type="dxa"/>
          </w:tcPr>
          <w:p w14:paraId="27F0545D" w14:textId="77777777" w:rsidR="008074B4" w:rsidRPr="00761653" w:rsidRDefault="008074B4" w:rsidP="005A428D">
            <w:pPr>
              <w:ind w:left="57" w:right="57"/>
              <w:rPr>
                <w:szCs w:val="24"/>
              </w:rPr>
            </w:pPr>
            <w:r w:rsidRPr="00761653">
              <w:rPr>
                <w:szCs w:val="24"/>
              </w:rPr>
              <w:t>500 мг каждые 12 часов, инфузия в течение 50-60 минут</w:t>
            </w:r>
          </w:p>
        </w:tc>
      </w:tr>
      <w:tr w:rsidR="008074B4" w:rsidRPr="00265B67" w14:paraId="2969EDE7" w14:textId="77777777" w:rsidTr="005A428D">
        <w:tc>
          <w:tcPr>
            <w:tcW w:w="3510" w:type="dxa"/>
          </w:tcPr>
          <w:p w14:paraId="6351E5F5" w14:textId="77777777" w:rsidR="008074B4" w:rsidRPr="00761653" w:rsidRDefault="008074B4" w:rsidP="005A428D">
            <w:pPr>
              <w:ind w:left="57" w:right="57"/>
              <w:rPr>
                <w:szCs w:val="24"/>
              </w:rPr>
            </w:pPr>
            <w:r w:rsidRPr="00761653">
              <w:rPr>
                <w:szCs w:val="24"/>
              </w:rPr>
              <w:t>Тобрамицин</w:t>
            </w:r>
          </w:p>
        </w:tc>
        <w:tc>
          <w:tcPr>
            <w:tcW w:w="6237" w:type="dxa"/>
          </w:tcPr>
          <w:p w14:paraId="57EFE67B" w14:textId="77777777" w:rsidR="008074B4" w:rsidRPr="00761653" w:rsidRDefault="008074B4" w:rsidP="005A428D">
            <w:pPr>
              <w:ind w:left="57" w:right="57"/>
              <w:rPr>
                <w:szCs w:val="24"/>
              </w:rPr>
            </w:pPr>
            <w:r w:rsidRPr="00761653">
              <w:rPr>
                <w:szCs w:val="24"/>
              </w:rPr>
              <w:t>8 мг/кг 1 раз/сут, инфузия в течение 60 мин</w:t>
            </w:r>
          </w:p>
        </w:tc>
      </w:tr>
      <w:tr w:rsidR="008074B4" w:rsidRPr="00265B67" w14:paraId="724ADB7A" w14:textId="77777777" w:rsidTr="005A428D">
        <w:tc>
          <w:tcPr>
            <w:tcW w:w="3510" w:type="dxa"/>
          </w:tcPr>
          <w:p w14:paraId="5FD87C00" w14:textId="77777777" w:rsidR="008074B4" w:rsidRPr="00761653" w:rsidRDefault="008074B4" w:rsidP="005A428D">
            <w:pPr>
              <w:ind w:left="57" w:right="57"/>
              <w:rPr>
                <w:szCs w:val="24"/>
              </w:rPr>
            </w:pPr>
            <w:r w:rsidRPr="00761653">
              <w:rPr>
                <w:szCs w:val="24"/>
              </w:rPr>
              <w:t>Амикацин</w:t>
            </w:r>
          </w:p>
        </w:tc>
        <w:tc>
          <w:tcPr>
            <w:tcW w:w="6237" w:type="dxa"/>
          </w:tcPr>
          <w:p w14:paraId="0F19F7FA" w14:textId="77777777" w:rsidR="008074B4" w:rsidRPr="00761653" w:rsidRDefault="008074B4" w:rsidP="005A428D">
            <w:pPr>
              <w:ind w:left="57" w:right="57"/>
              <w:rPr>
                <w:szCs w:val="24"/>
              </w:rPr>
            </w:pPr>
            <w:r w:rsidRPr="00761653">
              <w:rPr>
                <w:szCs w:val="24"/>
              </w:rPr>
              <w:t xml:space="preserve">25 мг/кг 1 раз/сут, инфузия в течение 60 минут </w:t>
            </w:r>
          </w:p>
        </w:tc>
      </w:tr>
    </w:tbl>
    <w:p w14:paraId="3CD2D739" w14:textId="77777777" w:rsidR="008074B4" w:rsidRDefault="008074B4" w:rsidP="008074B4">
      <w:pPr>
        <w:widowControl w:val="0"/>
        <w:tabs>
          <w:tab w:val="left" w:pos="1134"/>
        </w:tabs>
        <w:autoSpaceDE w:val="0"/>
        <w:autoSpaceDN w:val="0"/>
        <w:adjustRightInd w:val="0"/>
        <w:ind w:right="49"/>
        <w:contextualSpacing/>
        <w:rPr>
          <w:bCs/>
          <w:i/>
          <w:u w:val="single"/>
        </w:rPr>
      </w:pPr>
    </w:p>
    <w:p w14:paraId="7F9781F1" w14:textId="77777777" w:rsidR="008074B4" w:rsidRPr="00284D51" w:rsidRDefault="008074B4" w:rsidP="00FA42D4">
      <w:pPr>
        <w:widowControl w:val="0"/>
        <w:autoSpaceDE w:val="0"/>
        <w:autoSpaceDN w:val="0"/>
        <w:adjustRightInd w:val="0"/>
        <w:ind w:right="49" w:firstLine="709"/>
        <w:contextualSpacing/>
        <w:rPr>
          <w:bCs/>
          <w:i/>
        </w:rPr>
      </w:pPr>
      <w:r w:rsidRPr="00284D51">
        <w:rPr>
          <w:bCs/>
          <w:i/>
        </w:rPr>
        <w:t>Acinetobacter baumannii</w:t>
      </w:r>
    </w:p>
    <w:p w14:paraId="7260EB64" w14:textId="77777777" w:rsidR="008074B4" w:rsidRPr="00761653" w:rsidRDefault="008074B4" w:rsidP="00FA42D4">
      <w:pPr>
        <w:widowControl w:val="0"/>
        <w:autoSpaceDE w:val="0"/>
        <w:autoSpaceDN w:val="0"/>
        <w:adjustRightInd w:val="0"/>
        <w:ind w:right="49" w:firstLine="709"/>
        <w:contextualSpacing/>
      </w:pPr>
      <w:r w:rsidRPr="00761653">
        <w:t xml:space="preserve">Характерным является ограничение потенциально активных </w:t>
      </w:r>
      <w:r w:rsidRPr="00761653">
        <w:rPr>
          <w:i/>
        </w:rPr>
        <w:t xml:space="preserve">in vitro </w:t>
      </w:r>
      <w:r w:rsidRPr="00761653">
        <w:t xml:space="preserve">препаратов, наличие высокой резистентности. Для лечения используют цефоперазон/сульбактам, карбапенем антипсевдомонадный, полимиксин или колистин, тигециклин (дозирование как при инфекции, вызванной </w:t>
      </w:r>
      <w:r w:rsidRPr="00761653">
        <w:rPr>
          <w:i/>
        </w:rPr>
        <w:t>P. aeruginosa</w:t>
      </w:r>
      <w:r w:rsidRPr="00761653">
        <w:t>).</w:t>
      </w:r>
    </w:p>
    <w:p w14:paraId="0B334A73" w14:textId="77777777" w:rsidR="008074B4" w:rsidRPr="00284D51" w:rsidRDefault="008074B4" w:rsidP="00FA42D4">
      <w:pPr>
        <w:widowControl w:val="0"/>
        <w:autoSpaceDE w:val="0"/>
        <w:autoSpaceDN w:val="0"/>
        <w:adjustRightInd w:val="0"/>
        <w:ind w:right="49" w:firstLine="709"/>
        <w:contextualSpacing/>
        <w:rPr>
          <w:bCs/>
        </w:rPr>
      </w:pPr>
      <w:r w:rsidRPr="00284D51">
        <w:rPr>
          <w:bCs/>
          <w:i/>
        </w:rPr>
        <w:t>Stenotrophomonas maltophilia</w:t>
      </w:r>
    </w:p>
    <w:p w14:paraId="49BBDFA4" w14:textId="77777777" w:rsidR="008074B4" w:rsidRPr="00761653" w:rsidRDefault="008074B4" w:rsidP="00FA42D4">
      <w:pPr>
        <w:widowControl w:val="0"/>
        <w:autoSpaceDE w:val="0"/>
        <w:autoSpaceDN w:val="0"/>
        <w:adjustRightInd w:val="0"/>
        <w:ind w:right="49" w:firstLine="709"/>
        <w:contextualSpacing/>
      </w:pPr>
      <w:r w:rsidRPr="00761653">
        <w:t>Препарат выбора – триметоприм/сульфаметоксазол, расчет дозы проводят по триметоприму 15 мг/кг/сутки.</w:t>
      </w:r>
    </w:p>
    <w:p w14:paraId="477F6374" w14:textId="77777777" w:rsidR="008074B4" w:rsidRDefault="008074B4" w:rsidP="008074B4">
      <w:pPr>
        <w:widowControl w:val="0"/>
        <w:tabs>
          <w:tab w:val="left" w:pos="317"/>
          <w:tab w:val="left" w:pos="8715"/>
        </w:tabs>
        <w:autoSpaceDE w:val="0"/>
        <w:autoSpaceDN w:val="0"/>
        <w:adjustRightInd w:val="0"/>
        <w:ind w:right="49"/>
        <w:contextualSpacing/>
        <w:rPr>
          <w:b/>
        </w:rPr>
      </w:pPr>
    </w:p>
    <w:p w14:paraId="7D1740EA" w14:textId="77777777" w:rsidR="008074B4" w:rsidRPr="00761653" w:rsidRDefault="008074B4" w:rsidP="00FA42D4">
      <w:pPr>
        <w:widowControl w:val="0"/>
        <w:tabs>
          <w:tab w:val="left" w:pos="8715"/>
        </w:tabs>
        <w:autoSpaceDE w:val="0"/>
        <w:autoSpaceDN w:val="0"/>
        <w:adjustRightInd w:val="0"/>
        <w:ind w:right="49"/>
        <w:contextualSpacing/>
        <w:rPr>
          <w:b/>
          <w:iCs/>
        </w:rPr>
      </w:pPr>
      <w:r w:rsidRPr="00761653">
        <w:rPr>
          <w:b/>
        </w:rPr>
        <w:t>Грамположительные возбудители</w:t>
      </w:r>
    </w:p>
    <w:p w14:paraId="002240CE" w14:textId="77777777" w:rsidR="008074B4" w:rsidRPr="00284D51" w:rsidRDefault="008074B4" w:rsidP="00FA42D4">
      <w:pPr>
        <w:widowControl w:val="0"/>
        <w:tabs>
          <w:tab w:val="left" w:pos="8715"/>
        </w:tabs>
        <w:autoSpaceDE w:val="0"/>
        <w:autoSpaceDN w:val="0"/>
        <w:adjustRightInd w:val="0"/>
        <w:ind w:right="49" w:firstLine="709"/>
        <w:contextualSpacing/>
        <w:rPr>
          <w:i/>
          <w:iCs/>
        </w:rPr>
      </w:pPr>
      <w:r w:rsidRPr="00284D51">
        <w:rPr>
          <w:i/>
          <w:iCs/>
        </w:rPr>
        <w:t>Коагулазонегативные стафилококки</w:t>
      </w:r>
    </w:p>
    <w:p w14:paraId="3D1CD29D" w14:textId="77777777" w:rsidR="008074B4" w:rsidRPr="00761653" w:rsidRDefault="008074B4" w:rsidP="00FA42D4">
      <w:pPr>
        <w:widowControl w:val="0"/>
        <w:tabs>
          <w:tab w:val="left" w:pos="8715"/>
        </w:tabs>
        <w:autoSpaceDE w:val="0"/>
        <w:autoSpaceDN w:val="0"/>
        <w:adjustRightInd w:val="0"/>
        <w:ind w:right="49" w:firstLine="709"/>
        <w:contextualSpacing/>
        <w:rPr>
          <w:bCs/>
        </w:rPr>
      </w:pPr>
      <w:r w:rsidRPr="00761653">
        <w:rPr>
          <w:bCs/>
        </w:rPr>
        <w:t>Явялются причиной бактериемий (2</w:t>
      </w:r>
      <w:r>
        <w:rPr>
          <w:bCs/>
        </w:rPr>
        <w:t>-</w:t>
      </w:r>
      <w:r w:rsidRPr="00761653">
        <w:rPr>
          <w:bCs/>
        </w:rPr>
        <w:t xml:space="preserve">е место) и катетер-ассоциированных инфекций. Подтверждают инфекцию двумя положительными гемокультурами. Около 80% штаммов устойчивые к оксациллину. Препарат выбора для лечения – ванкомицин. </w:t>
      </w:r>
    </w:p>
    <w:p w14:paraId="15C89839" w14:textId="77777777" w:rsidR="008074B4" w:rsidRPr="00284D51" w:rsidRDefault="008074B4" w:rsidP="00FA42D4">
      <w:pPr>
        <w:widowControl w:val="0"/>
        <w:tabs>
          <w:tab w:val="left" w:pos="8715"/>
        </w:tabs>
        <w:autoSpaceDE w:val="0"/>
        <w:autoSpaceDN w:val="0"/>
        <w:adjustRightInd w:val="0"/>
        <w:ind w:right="49" w:firstLine="709"/>
        <w:contextualSpacing/>
      </w:pPr>
      <w:r w:rsidRPr="00284D51">
        <w:rPr>
          <w:i/>
        </w:rPr>
        <w:t>Enterococcus</w:t>
      </w:r>
      <w:r w:rsidRPr="00284D51">
        <w:t xml:space="preserve"> spp. </w:t>
      </w:r>
    </w:p>
    <w:p w14:paraId="4B8473A3" w14:textId="77777777" w:rsidR="008074B4" w:rsidRPr="00761653" w:rsidRDefault="008074B4" w:rsidP="00FA42D4">
      <w:pPr>
        <w:widowControl w:val="0"/>
        <w:tabs>
          <w:tab w:val="left" w:pos="8715"/>
        </w:tabs>
        <w:autoSpaceDE w:val="0"/>
        <w:autoSpaceDN w:val="0"/>
        <w:adjustRightInd w:val="0"/>
        <w:ind w:right="49" w:firstLine="709"/>
        <w:contextualSpacing/>
        <w:rPr>
          <w:bCs/>
        </w:rPr>
      </w:pPr>
      <w:r>
        <w:rPr>
          <w:bCs/>
        </w:rPr>
        <w:t xml:space="preserve">У гематологических пациентов в основном вызывают </w:t>
      </w:r>
      <w:r w:rsidRPr="00761653">
        <w:rPr>
          <w:bCs/>
        </w:rPr>
        <w:t xml:space="preserve">инфекции кровотока, далее следуют инфекции мочевыводящих путей, редко – эндокардиты. Штаммы </w:t>
      </w:r>
      <w:r w:rsidRPr="00761653">
        <w:rPr>
          <w:bCs/>
          <w:i/>
        </w:rPr>
        <w:t>E. faecium</w:t>
      </w:r>
      <w:r w:rsidRPr="00761653">
        <w:rPr>
          <w:bCs/>
        </w:rPr>
        <w:t xml:space="preserve"> (70%) преобладают над E</w:t>
      </w:r>
      <w:r w:rsidRPr="00761653">
        <w:rPr>
          <w:bCs/>
          <w:i/>
        </w:rPr>
        <w:t>. faecalis</w:t>
      </w:r>
      <w:r w:rsidRPr="00761653">
        <w:rPr>
          <w:bCs/>
        </w:rPr>
        <w:t xml:space="preserve"> (30%). Препарат выбора в лечении инфекций, вызванных E. faecalis - ампициллин (97% чувствительные). Антибиотикорезистентность более высокая среди </w:t>
      </w:r>
      <w:r w:rsidRPr="00761653">
        <w:rPr>
          <w:bCs/>
          <w:i/>
        </w:rPr>
        <w:t xml:space="preserve">E. faecium </w:t>
      </w:r>
      <w:r w:rsidRPr="00761653">
        <w:rPr>
          <w:bCs/>
        </w:rPr>
        <w:t xml:space="preserve">- около 15% устойчивые к ванкомицину. При выделении ванкомицин-резистентных </w:t>
      </w:r>
      <w:r w:rsidRPr="00761653">
        <w:rPr>
          <w:bCs/>
          <w:i/>
        </w:rPr>
        <w:t>E. faecium</w:t>
      </w:r>
      <w:r w:rsidRPr="00761653">
        <w:rPr>
          <w:bCs/>
        </w:rPr>
        <w:t xml:space="preserve"> из гемокультуры препаратами выбора являются даптомицин (доза 10-12 мг/кг/сутки), линезолид.</w:t>
      </w:r>
    </w:p>
    <w:p w14:paraId="3354FF25" w14:textId="77777777" w:rsidR="008074B4" w:rsidRPr="00284D51" w:rsidRDefault="008074B4" w:rsidP="00FA42D4">
      <w:pPr>
        <w:widowControl w:val="0"/>
        <w:tabs>
          <w:tab w:val="left" w:pos="8715"/>
        </w:tabs>
        <w:autoSpaceDE w:val="0"/>
        <w:autoSpaceDN w:val="0"/>
        <w:adjustRightInd w:val="0"/>
        <w:ind w:right="49" w:firstLine="709"/>
        <w:contextualSpacing/>
        <w:rPr>
          <w:i/>
        </w:rPr>
      </w:pPr>
      <w:r w:rsidRPr="00284D51">
        <w:rPr>
          <w:i/>
        </w:rPr>
        <w:t>Staphylococcus aureus</w:t>
      </w:r>
    </w:p>
    <w:p w14:paraId="5ECCFA7E" w14:textId="77777777" w:rsidR="008074B4" w:rsidRPr="00761653" w:rsidRDefault="008074B4" w:rsidP="00FA42D4">
      <w:pPr>
        <w:widowControl w:val="0"/>
        <w:tabs>
          <w:tab w:val="left" w:pos="8715"/>
        </w:tabs>
        <w:autoSpaceDE w:val="0"/>
        <w:autoSpaceDN w:val="0"/>
        <w:adjustRightInd w:val="0"/>
        <w:ind w:right="49" w:firstLine="709"/>
        <w:contextualSpacing/>
        <w:rPr>
          <w:bCs/>
        </w:rPr>
      </w:pPr>
      <w:r>
        <w:rPr>
          <w:bCs/>
        </w:rPr>
        <w:t xml:space="preserve">У гематологических пациентов могут быть причиной </w:t>
      </w:r>
      <w:r w:rsidRPr="00761653">
        <w:rPr>
          <w:bCs/>
        </w:rPr>
        <w:t>инфекции кровотока, пневмонии, инфекции к</w:t>
      </w:r>
      <w:r>
        <w:rPr>
          <w:bCs/>
        </w:rPr>
        <w:t>ожи и мягких тканей, эндокардита</w:t>
      </w:r>
      <w:r w:rsidRPr="00761653">
        <w:rPr>
          <w:bCs/>
        </w:rPr>
        <w:t>. Около 20%-30% штаммов являются устойчивыми к оксациллину. Антибиотики, используемые для лечения указаны в таблице 4. При тяжелом течении инфекции в отдельных случаях сочетают даптомицин с линезолидом. Длительность лечения не менее 2-х недель.</w:t>
      </w:r>
    </w:p>
    <w:p w14:paraId="78B29B9F" w14:textId="77777777" w:rsidR="008074B4" w:rsidRPr="00761653" w:rsidRDefault="008074B4" w:rsidP="00FA42D4">
      <w:pPr>
        <w:widowControl w:val="0"/>
        <w:tabs>
          <w:tab w:val="left" w:pos="8715"/>
        </w:tabs>
        <w:autoSpaceDE w:val="0"/>
        <w:autoSpaceDN w:val="0"/>
        <w:adjustRightInd w:val="0"/>
        <w:ind w:right="49" w:firstLine="709"/>
        <w:contextualSpacing/>
        <w:rPr>
          <w:bCs/>
        </w:rPr>
      </w:pPr>
      <w:r w:rsidRPr="00761653">
        <w:rPr>
          <w:bCs/>
        </w:rPr>
        <w:t xml:space="preserve">Другие грамположительные бактерии редко вызывают инфекции, лечение их </w:t>
      </w:r>
      <w:r>
        <w:rPr>
          <w:bCs/>
        </w:rPr>
        <w:t xml:space="preserve">такое же, </w:t>
      </w:r>
      <w:r w:rsidRPr="00761653">
        <w:rPr>
          <w:bCs/>
        </w:rPr>
        <w:t xml:space="preserve">как у других категорий </w:t>
      </w:r>
      <w:r>
        <w:rPr>
          <w:bCs/>
        </w:rPr>
        <w:t>пациентов.</w:t>
      </w:r>
    </w:p>
    <w:p w14:paraId="77091985" w14:textId="77777777" w:rsidR="008074B4" w:rsidRDefault="008074B4" w:rsidP="008074B4">
      <w:pPr>
        <w:ind w:hanging="142"/>
      </w:pPr>
    </w:p>
    <w:p w14:paraId="3324FFC6" w14:textId="77777777" w:rsidR="008074B4" w:rsidRPr="00761653" w:rsidRDefault="008074B4" w:rsidP="008074B4">
      <w:pPr>
        <w:ind w:hanging="142"/>
        <w:rPr>
          <w:i/>
        </w:rPr>
      </w:pPr>
      <w:r w:rsidRPr="00761653">
        <w:t xml:space="preserve">Таблица 4. Лечение инфекций, вызванных </w:t>
      </w:r>
      <w:r w:rsidRPr="00761653">
        <w:rPr>
          <w:i/>
        </w:rPr>
        <w:t xml:space="preserve">Staphylococcus aureus </w:t>
      </w:r>
      <w:r w:rsidRPr="00761653">
        <w:t>и</w:t>
      </w:r>
      <w:r w:rsidRPr="00761653">
        <w:rPr>
          <w:i/>
        </w:rPr>
        <w:t xml:space="preserve"> Enterococcus faecium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835"/>
        <w:gridCol w:w="4395"/>
      </w:tblGrid>
      <w:tr w:rsidR="008074B4" w:rsidRPr="00761653" w14:paraId="28F8F109" w14:textId="77777777" w:rsidTr="005A428D">
        <w:tc>
          <w:tcPr>
            <w:tcW w:w="2376" w:type="dxa"/>
            <w:vAlign w:val="center"/>
          </w:tcPr>
          <w:p w14:paraId="2D751D88" w14:textId="77777777" w:rsidR="008074B4" w:rsidRPr="00761653" w:rsidRDefault="008074B4" w:rsidP="005A428D">
            <w:pPr>
              <w:spacing w:line="240" w:lineRule="auto"/>
              <w:ind w:left="57" w:right="57"/>
              <w:jc w:val="center"/>
              <w:rPr>
                <w:szCs w:val="24"/>
              </w:rPr>
            </w:pPr>
            <w:r w:rsidRPr="00761653">
              <w:rPr>
                <w:szCs w:val="24"/>
              </w:rPr>
              <w:t>Микроорганизм</w:t>
            </w:r>
          </w:p>
        </w:tc>
        <w:tc>
          <w:tcPr>
            <w:tcW w:w="2835" w:type="dxa"/>
            <w:vAlign w:val="center"/>
          </w:tcPr>
          <w:p w14:paraId="00FAB2A4" w14:textId="77777777" w:rsidR="008074B4" w:rsidRPr="00761653" w:rsidRDefault="008074B4" w:rsidP="005A428D">
            <w:pPr>
              <w:spacing w:line="240" w:lineRule="auto"/>
              <w:ind w:left="57" w:right="57"/>
              <w:jc w:val="center"/>
              <w:rPr>
                <w:szCs w:val="24"/>
              </w:rPr>
            </w:pPr>
            <w:r w:rsidRPr="00761653">
              <w:rPr>
                <w:szCs w:val="24"/>
              </w:rPr>
              <w:t>Препарат</w:t>
            </w:r>
          </w:p>
        </w:tc>
        <w:tc>
          <w:tcPr>
            <w:tcW w:w="4395" w:type="dxa"/>
            <w:vAlign w:val="center"/>
          </w:tcPr>
          <w:p w14:paraId="2CA3F4F4" w14:textId="77777777" w:rsidR="008074B4" w:rsidRPr="00761653" w:rsidRDefault="008074B4" w:rsidP="005A428D">
            <w:pPr>
              <w:spacing w:line="240" w:lineRule="auto"/>
              <w:ind w:left="57" w:right="57"/>
              <w:jc w:val="center"/>
              <w:rPr>
                <w:szCs w:val="24"/>
              </w:rPr>
            </w:pPr>
            <w:r w:rsidRPr="00761653">
              <w:rPr>
                <w:szCs w:val="24"/>
              </w:rPr>
              <w:t>Доза</w:t>
            </w:r>
          </w:p>
        </w:tc>
      </w:tr>
      <w:tr w:rsidR="008074B4" w:rsidRPr="00975FC1" w14:paraId="6AB58528" w14:textId="77777777" w:rsidTr="005A428D">
        <w:tc>
          <w:tcPr>
            <w:tcW w:w="2376" w:type="dxa"/>
            <w:vMerge w:val="restart"/>
          </w:tcPr>
          <w:p w14:paraId="7143B4AE" w14:textId="77777777" w:rsidR="008074B4" w:rsidRPr="00761653" w:rsidRDefault="008074B4" w:rsidP="005A428D">
            <w:pPr>
              <w:spacing w:line="240" w:lineRule="auto"/>
              <w:ind w:left="57" w:right="57"/>
              <w:rPr>
                <w:szCs w:val="24"/>
                <w:highlight w:val="green"/>
              </w:rPr>
            </w:pPr>
            <w:r w:rsidRPr="00761653">
              <w:rPr>
                <w:i/>
                <w:szCs w:val="24"/>
              </w:rPr>
              <w:t>S. aureus</w:t>
            </w:r>
            <w:r w:rsidRPr="00761653">
              <w:rPr>
                <w:szCs w:val="24"/>
              </w:rPr>
              <w:t>, чувствительные к оксациллину</w:t>
            </w:r>
          </w:p>
        </w:tc>
        <w:tc>
          <w:tcPr>
            <w:tcW w:w="2835" w:type="dxa"/>
          </w:tcPr>
          <w:p w14:paraId="4D776791" w14:textId="77777777" w:rsidR="008074B4" w:rsidRPr="00761653" w:rsidRDefault="008074B4" w:rsidP="005A428D">
            <w:pPr>
              <w:spacing w:line="240" w:lineRule="auto"/>
              <w:ind w:left="57" w:right="57"/>
              <w:rPr>
                <w:szCs w:val="24"/>
              </w:rPr>
            </w:pPr>
            <w:r w:rsidRPr="00761653">
              <w:rPr>
                <w:szCs w:val="24"/>
              </w:rPr>
              <w:t>Оксациллин</w:t>
            </w:r>
          </w:p>
        </w:tc>
        <w:tc>
          <w:tcPr>
            <w:tcW w:w="4395" w:type="dxa"/>
          </w:tcPr>
          <w:p w14:paraId="78CCFA91" w14:textId="77777777" w:rsidR="008074B4" w:rsidRPr="00761653" w:rsidRDefault="008074B4" w:rsidP="005A428D">
            <w:pPr>
              <w:spacing w:line="240" w:lineRule="auto"/>
              <w:ind w:left="57" w:right="57"/>
              <w:rPr>
                <w:szCs w:val="24"/>
              </w:rPr>
            </w:pPr>
            <w:r w:rsidRPr="00761653">
              <w:rPr>
                <w:szCs w:val="24"/>
              </w:rPr>
              <w:t>1-2 г каждые 4 часа, в/в</w:t>
            </w:r>
          </w:p>
        </w:tc>
      </w:tr>
      <w:tr w:rsidR="008074B4" w:rsidRPr="00975FC1" w14:paraId="44243262" w14:textId="77777777" w:rsidTr="005A428D">
        <w:tc>
          <w:tcPr>
            <w:tcW w:w="2376" w:type="dxa"/>
            <w:vMerge/>
          </w:tcPr>
          <w:p w14:paraId="50C252BB" w14:textId="77777777" w:rsidR="008074B4" w:rsidRPr="00761653" w:rsidRDefault="008074B4" w:rsidP="005A428D">
            <w:pPr>
              <w:spacing w:line="240" w:lineRule="auto"/>
              <w:ind w:left="57" w:right="57"/>
              <w:rPr>
                <w:szCs w:val="24"/>
              </w:rPr>
            </w:pPr>
          </w:p>
        </w:tc>
        <w:tc>
          <w:tcPr>
            <w:tcW w:w="2835" w:type="dxa"/>
          </w:tcPr>
          <w:p w14:paraId="49ECABCC" w14:textId="77777777" w:rsidR="008074B4" w:rsidRPr="00761653" w:rsidRDefault="008074B4" w:rsidP="005A428D">
            <w:pPr>
              <w:spacing w:line="240" w:lineRule="auto"/>
              <w:ind w:left="57" w:right="57"/>
              <w:rPr>
                <w:szCs w:val="24"/>
              </w:rPr>
            </w:pPr>
            <w:r w:rsidRPr="00761653">
              <w:rPr>
                <w:szCs w:val="24"/>
              </w:rPr>
              <w:t>Цефазолин</w:t>
            </w:r>
          </w:p>
        </w:tc>
        <w:tc>
          <w:tcPr>
            <w:tcW w:w="4395" w:type="dxa"/>
          </w:tcPr>
          <w:p w14:paraId="17877F1D" w14:textId="77777777" w:rsidR="008074B4" w:rsidRPr="00761653" w:rsidRDefault="008074B4" w:rsidP="005A428D">
            <w:pPr>
              <w:spacing w:line="240" w:lineRule="auto"/>
              <w:ind w:left="57" w:right="57"/>
              <w:rPr>
                <w:szCs w:val="24"/>
              </w:rPr>
            </w:pPr>
            <w:r w:rsidRPr="00761653">
              <w:rPr>
                <w:szCs w:val="24"/>
              </w:rPr>
              <w:t>1-2 г каждые 8 часов (максимальная доза 12 г/сут), в/в</w:t>
            </w:r>
          </w:p>
        </w:tc>
      </w:tr>
      <w:tr w:rsidR="008074B4" w:rsidRPr="00265B67" w14:paraId="24EEC0C1" w14:textId="77777777" w:rsidTr="005A428D">
        <w:tc>
          <w:tcPr>
            <w:tcW w:w="2376" w:type="dxa"/>
            <w:vMerge/>
          </w:tcPr>
          <w:p w14:paraId="3BADB1F1" w14:textId="77777777" w:rsidR="008074B4" w:rsidRPr="00761653" w:rsidRDefault="008074B4" w:rsidP="005A428D">
            <w:pPr>
              <w:spacing w:line="240" w:lineRule="auto"/>
              <w:ind w:left="57" w:right="57"/>
              <w:rPr>
                <w:szCs w:val="24"/>
              </w:rPr>
            </w:pPr>
          </w:p>
        </w:tc>
        <w:tc>
          <w:tcPr>
            <w:tcW w:w="2835" w:type="dxa"/>
          </w:tcPr>
          <w:p w14:paraId="11904A50" w14:textId="77777777" w:rsidR="008074B4" w:rsidRPr="00761653" w:rsidRDefault="008074B4" w:rsidP="005A428D">
            <w:pPr>
              <w:spacing w:line="240" w:lineRule="auto"/>
              <w:ind w:left="57" w:right="57"/>
              <w:rPr>
                <w:szCs w:val="24"/>
              </w:rPr>
            </w:pPr>
            <w:r w:rsidRPr="00761653">
              <w:rPr>
                <w:szCs w:val="24"/>
              </w:rPr>
              <w:t>Цефтаролин</w:t>
            </w:r>
          </w:p>
        </w:tc>
        <w:tc>
          <w:tcPr>
            <w:tcW w:w="4395" w:type="dxa"/>
          </w:tcPr>
          <w:p w14:paraId="677F97C8" w14:textId="77777777" w:rsidR="008074B4" w:rsidRPr="00761653" w:rsidRDefault="008074B4" w:rsidP="005A428D">
            <w:pPr>
              <w:spacing w:line="240" w:lineRule="auto"/>
              <w:ind w:left="57" w:right="57"/>
              <w:rPr>
                <w:szCs w:val="24"/>
              </w:rPr>
            </w:pPr>
            <w:r w:rsidRPr="00761653">
              <w:rPr>
                <w:szCs w:val="24"/>
              </w:rPr>
              <w:t>600 мг каждые 12 часов, инфузия в течение 5-60 минут</w:t>
            </w:r>
          </w:p>
        </w:tc>
      </w:tr>
      <w:tr w:rsidR="008074B4" w:rsidRPr="00265B67" w14:paraId="4DDC01F4" w14:textId="77777777" w:rsidTr="005A428D">
        <w:tc>
          <w:tcPr>
            <w:tcW w:w="2376" w:type="dxa"/>
            <w:vMerge/>
          </w:tcPr>
          <w:p w14:paraId="76657192" w14:textId="77777777" w:rsidR="008074B4" w:rsidRPr="00761653" w:rsidRDefault="008074B4" w:rsidP="005A428D">
            <w:pPr>
              <w:spacing w:line="240" w:lineRule="auto"/>
              <w:ind w:left="57" w:right="57"/>
              <w:rPr>
                <w:szCs w:val="24"/>
                <w:highlight w:val="yellow"/>
              </w:rPr>
            </w:pPr>
          </w:p>
        </w:tc>
        <w:tc>
          <w:tcPr>
            <w:tcW w:w="2835" w:type="dxa"/>
          </w:tcPr>
          <w:p w14:paraId="2CC2D67E" w14:textId="77777777" w:rsidR="008074B4" w:rsidRPr="00761653" w:rsidRDefault="008074B4" w:rsidP="005A428D">
            <w:pPr>
              <w:spacing w:line="240" w:lineRule="auto"/>
              <w:ind w:left="57" w:right="57"/>
              <w:rPr>
                <w:szCs w:val="24"/>
              </w:rPr>
            </w:pPr>
            <w:r w:rsidRPr="00761653">
              <w:rPr>
                <w:szCs w:val="24"/>
              </w:rPr>
              <w:t>Ванкомицин</w:t>
            </w:r>
          </w:p>
        </w:tc>
        <w:tc>
          <w:tcPr>
            <w:tcW w:w="4395" w:type="dxa"/>
          </w:tcPr>
          <w:p w14:paraId="49AB5B57" w14:textId="77777777" w:rsidR="008074B4" w:rsidRPr="00761653" w:rsidRDefault="008074B4" w:rsidP="005A428D">
            <w:pPr>
              <w:spacing w:line="240" w:lineRule="auto"/>
              <w:ind w:left="57" w:right="57"/>
              <w:rPr>
                <w:szCs w:val="24"/>
              </w:rPr>
            </w:pPr>
            <w:r w:rsidRPr="00761653">
              <w:rPr>
                <w:szCs w:val="24"/>
              </w:rPr>
              <w:t xml:space="preserve">Нагрузочная доза 25-30 мг/кг, затем 15-20 мг/кг каждые 8-12 часов (разовая доза не должна превышать 2 г), инфузия в течение 1,5-2 часов </w:t>
            </w:r>
          </w:p>
        </w:tc>
      </w:tr>
      <w:tr w:rsidR="008074B4" w:rsidRPr="00265B67" w14:paraId="42BF4127" w14:textId="77777777" w:rsidTr="005A428D">
        <w:tc>
          <w:tcPr>
            <w:tcW w:w="2376" w:type="dxa"/>
            <w:vMerge w:val="restart"/>
          </w:tcPr>
          <w:p w14:paraId="0C43D652" w14:textId="77777777" w:rsidR="008074B4" w:rsidRPr="00761653" w:rsidRDefault="008074B4" w:rsidP="005A428D">
            <w:pPr>
              <w:spacing w:line="240" w:lineRule="auto"/>
              <w:ind w:left="57" w:right="57"/>
              <w:rPr>
                <w:szCs w:val="24"/>
              </w:rPr>
            </w:pPr>
            <w:r w:rsidRPr="00761653">
              <w:rPr>
                <w:i/>
                <w:szCs w:val="24"/>
              </w:rPr>
              <w:t>S. aureus,</w:t>
            </w:r>
            <w:r w:rsidRPr="00761653">
              <w:rPr>
                <w:szCs w:val="24"/>
              </w:rPr>
              <w:t xml:space="preserve"> устойчивые к оксациллину</w:t>
            </w:r>
          </w:p>
        </w:tc>
        <w:tc>
          <w:tcPr>
            <w:tcW w:w="2835" w:type="dxa"/>
          </w:tcPr>
          <w:p w14:paraId="2181B1C0" w14:textId="77777777" w:rsidR="008074B4" w:rsidRPr="00761653" w:rsidRDefault="008074B4" w:rsidP="005A428D">
            <w:pPr>
              <w:spacing w:line="240" w:lineRule="auto"/>
              <w:ind w:left="57" w:right="57"/>
              <w:rPr>
                <w:szCs w:val="24"/>
              </w:rPr>
            </w:pPr>
            <w:r w:rsidRPr="00761653">
              <w:rPr>
                <w:szCs w:val="24"/>
              </w:rPr>
              <w:t>Ванкомицин</w:t>
            </w:r>
          </w:p>
        </w:tc>
        <w:tc>
          <w:tcPr>
            <w:tcW w:w="4395" w:type="dxa"/>
          </w:tcPr>
          <w:p w14:paraId="078CE1CE" w14:textId="77777777" w:rsidR="008074B4" w:rsidRPr="00761653" w:rsidRDefault="008074B4" w:rsidP="005A428D">
            <w:pPr>
              <w:spacing w:line="240" w:lineRule="auto"/>
              <w:ind w:left="57" w:right="57"/>
              <w:rPr>
                <w:szCs w:val="24"/>
              </w:rPr>
            </w:pPr>
            <w:r w:rsidRPr="00761653">
              <w:rPr>
                <w:szCs w:val="24"/>
              </w:rPr>
              <w:t xml:space="preserve">Нагрузочная доза 25-30 мг/кг, затем 15-20 мг/кг каждые 8-12 часов (разовая доза не должна превышать 2 г), инфузия в течение 1,5-2 часов (не рекомендован к назначению при инфекциях, вызванных </w:t>
            </w:r>
            <w:r w:rsidRPr="00761653">
              <w:rPr>
                <w:i/>
                <w:szCs w:val="24"/>
              </w:rPr>
              <w:t>S. aureus</w:t>
            </w:r>
            <w:r w:rsidRPr="00761653">
              <w:rPr>
                <w:szCs w:val="24"/>
              </w:rPr>
              <w:t xml:space="preserve"> с МПК ванкомицина &gt; 1 мкг/мл ввиду низкой клинической эффективности)</w:t>
            </w:r>
          </w:p>
        </w:tc>
      </w:tr>
      <w:tr w:rsidR="008074B4" w:rsidRPr="00975FC1" w14:paraId="44AE3E45" w14:textId="77777777" w:rsidTr="005A428D">
        <w:tc>
          <w:tcPr>
            <w:tcW w:w="2376" w:type="dxa"/>
            <w:vMerge/>
          </w:tcPr>
          <w:p w14:paraId="3E333A2D" w14:textId="77777777" w:rsidR="008074B4" w:rsidRPr="00761653" w:rsidRDefault="008074B4" w:rsidP="005A428D">
            <w:pPr>
              <w:spacing w:line="240" w:lineRule="auto"/>
              <w:ind w:left="57" w:right="57"/>
              <w:rPr>
                <w:szCs w:val="24"/>
              </w:rPr>
            </w:pPr>
          </w:p>
        </w:tc>
        <w:tc>
          <w:tcPr>
            <w:tcW w:w="2835" w:type="dxa"/>
          </w:tcPr>
          <w:p w14:paraId="4E4BB55A" w14:textId="77777777" w:rsidR="008074B4" w:rsidRPr="00761653" w:rsidRDefault="008074B4" w:rsidP="005A428D">
            <w:pPr>
              <w:spacing w:line="240" w:lineRule="auto"/>
              <w:ind w:left="57" w:right="57"/>
              <w:rPr>
                <w:szCs w:val="24"/>
              </w:rPr>
            </w:pPr>
            <w:r w:rsidRPr="00761653">
              <w:rPr>
                <w:szCs w:val="24"/>
              </w:rPr>
              <w:t>Линезолид</w:t>
            </w:r>
          </w:p>
        </w:tc>
        <w:tc>
          <w:tcPr>
            <w:tcW w:w="4395" w:type="dxa"/>
          </w:tcPr>
          <w:p w14:paraId="497911D7" w14:textId="77777777" w:rsidR="008074B4" w:rsidRPr="00761653" w:rsidRDefault="008074B4" w:rsidP="005A428D">
            <w:pPr>
              <w:spacing w:line="240" w:lineRule="auto"/>
              <w:ind w:left="57" w:right="57"/>
              <w:rPr>
                <w:szCs w:val="24"/>
              </w:rPr>
            </w:pPr>
            <w:r w:rsidRPr="00761653">
              <w:rPr>
                <w:szCs w:val="24"/>
              </w:rPr>
              <w:t>600 мг каждые 12 часов, в/в или внутрь</w:t>
            </w:r>
          </w:p>
        </w:tc>
      </w:tr>
      <w:tr w:rsidR="008074B4" w:rsidRPr="00975FC1" w14:paraId="19817DF3" w14:textId="77777777" w:rsidTr="005A428D">
        <w:tc>
          <w:tcPr>
            <w:tcW w:w="2376" w:type="dxa"/>
            <w:vMerge/>
          </w:tcPr>
          <w:p w14:paraId="6B97BCBF" w14:textId="77777777" w:rsidR="008074B4" w:rsidRPr="00761653" w:rsidRDefault="008074B4" w:rsidP="005A428D">
            <w:pPr>
              <w:spacing w:line="240" w:lineRule="auto"/>
              <w:ind w:left="57" w:right="57"/>
              <w:rPr>
                <w:szCs w:val="24"/>
              </w:rPr>
            </w:pPr>
          </w:p>
        </w:tc>
        <w:tc>
          <w:tcPr>
            <w:tcW w:w="2835" w:type="dxa"/>
          </w:tcPr>
          <w:p w14:paraId="3730E9DE" w14:textId="77777777" w:rsidR="008074B4" w:rsidRPr="00761653" w:rsidRDefault="008074B4" w:rsidP="005A428D">
            <w:pPr>
              <w:spacing w:line="240" w:lineRule="auto"/>
              <w:ind w:left="57" w:right="57"/>
              <w:rPr>
                <w:szCs w:val="24"/>
              </w:rPr>
            </w:pPr>
            <w:r w:rsidRPr="00761653">
              <w:rPr>
                <w:szCs w:val="24"/>
              </w:rPr>
              <w:t>Тедизолид</w:t>
            </w:r>
          </w:p>
        </w:tc>
        <w:tc>
          <w:tcPr>
            <w:tcW w:w="4395" w:type="dxa"/>
          </w:tcPr>
          <w:p w14:paraId="6A88B480" w14:textId="77777777" w:rsidR="008074B4" w:rsidRPr="00761653" w:rsidRDefault="008074B4" w:rsidP="005A428D">
            <w:pPr>
              <w:spacing w:line="240" w:lineRule="auto"/>
              <w:ind w:left="57" w:right="57"/>
              <w:rPr>
                <w:szCs w:val="24"/>
              </w:rPr>
            </w:pPr>
            <w:r w:rsidRPr="00761653">
              <w:rPr>
                <w:szCs w:val="24"/>
              </w:rPr>
              <w:t>200 мг каждые 24 часа, внутрь или в/в инфузия в течение 1 часа (не применяют для лечения инфекций кровотока и пневмонии)</w:t>
            </w:r>
          </w:p>
        </w:tc>
      </w:tr>
      <w:tr w:rsidR="008074B4" w:rsidRPr="00265B67" w14:paraId="799A7670" w14:textId="77777777" w:rsidTr="005A428D">
        <w:tc>
          <w:tcPr>
            <w:tcW w:w="2376" w:type="dxa"/>
            <w:vMerge/>
          </w:tcPr>
          <w:p w14:paraId="17C998E3" w14:textId="77777777" w:rsidR="008074B4" w:rsidRPr="00761653" w:rsidRDefault="008074B4" w:rsidP="005A428D">
            <w:pPr>
              <w:spacing w:line="240" w:lineRule="auto"/>
              <w:ind w:left="57" w:right="57"/>
              <w:rPr>
                <w:szCs w:val="24"/>
              </w:rPr>
            </w:pPr>
          </w:p>
        </w:tc>
        <w:tc>
          <w:tcPr>
            <w:tcW w:w="2835" w:type="dxa"/>
          </w:tcPr>
          <w:p w14:paraId="2BFB0C7D" w14:textId="77777777" w:rsidR="008074B4" w:rsidRPr="00761653" w:rsidRDefault="008074B4" w:rsidP="005A428D">
            <w:pPr>
              <w:spacing w:line="240" w:lineRule="auto"/>
              <w:ind w:left="57" w:right="57"/>
              <w:rPr>
                <w:szCs w:val="24"/>
              </w:rPr>
            </w:pPr>
            <w:r w:rsidRPr="00761653">
              <w:rPr>
                <w:szCs w:val="24"/>
              </w:rPr>
              <w:t>Даптомицин</w:t>
            </w:r>
          </w:p>
        </w:tc>
        <w:tc>
          <w:tcPr>
            <w:tcW w:w="4395" w:type="dxa"/>
          </w:tcPr>
          <w:p w14:paraId="591AF0F3" w14:textId="77777777" w:rsidR="008074B4" w:rsidRPr="00761653" w:rsidRDefault="008074B4" w:rsidP="005A428D">
            <w:pPr>
              <w:spacing w:line="240" w:lineRule="auto"/>
              <w:ind w:left="57" w:right="57"/>
              <w:rPr>
                <w:szCs w:val="24"/>
              </w:rPr>
            </w:pPr>
            <w:r w:rsidRPr="00761653">
              <w:rPr>
                <w:szCs w:val="24"/>
              </w:rPr>
              <w:t>10-12 мг/кг каждые 24 часа, инфузия в течение 30 минут (препарат не применяют для лечения пневмонии)</w:t>
            </w:r>
          </w:p>
        </w:tc>
      </w:tr>
      <w:tr w:rsidR="008074B4" w:rsidRPr="00265B67" w14:paraId="2AA5AB85" w14:textId="77777777" w:rsidTr="005A428D">
        <w:tc>
          <w:tcPr>
            <w:tcW w:w="2376" w:type="dxa"/>
            <w:vMerge/>
          </w:tcPr>
          <w:p w14:paraId="35BE9090" w14:textId="77777777" w:rsidR="008074B4" w:rsidRPr="00761653" w:rsidRDefault="008074B4" w:rsidP="005A428D">
            <w:pPr>
              <w:spacing w:line="240" w:lineRule="auto"/>
              <w:ind w:left="57" w:right="57"/>
              <w:rPr>
                <w:szCs w:val="24"/>
              </w:rPr>
            </w:pPr>
          </w:p>
        </w:tc>
        <w:tc>
          <w:tcPr>
            <w:tcW w:w="2835" w:type="dxa"/>
          </w:tcPr>
          <w:p w14:paraId="6ABCB11D" w14:textId="77777777" w:rsidR="008074B4" w:rsidRPr="00761653" w:rsidRDefault="008074B4" w:rsidP="005A428D">
            <w:pPr>
              <w:spacing w:line="240" w:lineRule="auto"/>
              <w:ind w:left="57" w:right="57"/>
              <w:rPr>
                <w:szCs w:val="24"/>
              </w:rPr>
            </w:pPr>
            <w:r w:rsidRPr="00761653">
              <w:rPr>
                <w:szCs w:val="24"/>
              </w:rPr>
              <w:t>Телаванцин</w:t>
            </w:r>
          </w:p>
        </w:tc>
        <w:tc>
          <w:tcPr>
            <w:tcW w:w="4395" w:type="dxa"/>
          </w:tcPr>
          <w:p w14:paraId="63E38657" w14:textId="77777777" w:rsidR="008074B4" w:rsidRPr="00761653" w:rsidRDefault="008074B4" w:rsidP="005A428D">
            <w:pPr>
              <w:spacing w:line="240" w:lineRule="auto"/>
              <w:ind w:left="57" w:right="57"/>
              <w:rPr>
                <w:szCs w:val="24"/>
              </w:rPr>
            </w:pPr>
            <w:r w:rsidRPr="00761653">
              <w:rPr>
                <w:szCs w:val="24"/>
              </w:rPr>
              <w:t>10 мг/кг каждые 24 часа, инфузия в течение 1 часа</w:t>
            </w:r>
          </w:p>
        </w:tc>
      </w:tr>
      <w:tr w:rsidR="008074B4" w:rsidRPr="00265B67" w14:paraId="28E9AF2E" w14:textId="77777777" w:rsidTr="005A428D">
        <w:tc>
          <w:tcPr>
            <w:tcW w:w="2376" w:type="dxa"/>
            <w:vMerge/>
          </w:tcPr>
          <w:p w14:paraId="30B1E715" w14:textId="77777777" w:rsidR="008074B4" w:rsidRPr="00761653" w:rsidRDefault="008074B4" w:rsidP="005A428D">
            <w:pPr>
              <w:spacing w:line="240" w:lineRule="auto"/>
              <w:ind w:left="57" w:right="57"/>
              <w:rPr>
                <w:szCs w:val="24"/>
              </w:rPr>
            </w:pPr>
          </w:p>
        </w:tc>
        <w:tc>
          <w:tcPr>
            <w:tcW w:w="2835" w:type="dxa"/>
          </w:tcPr>
          <w:p w14:paraId="33FADB55" w14:textId="77777777" w:rsidR="008074B4" w:rsidRPr="00761653" w:rsidRDefault="008074B4" w:rsidP="005A428D">
            <w:pPr>
              <w:spacing w:line="240" w:lineRule="auto"/>
              <w:ind w:left="57" w:right="57"/>
              <w:rPr>
                <w:szCs w:val="24"/>
              </w:rPr>
            </w:pPr>
            <w:r w:rsidRPr="00761653">
              <w:rPr>
                <w:szCs w:val="24"/>
              </w:rPr>
              <w:t>Далбаванцин</w:t>
            </w:r>
          </w:p>
        </w:tc>
        <w:tc>
          <w:tcPr>
            <w:tcW w:w="4395" w:type="dxa"/>
          </w:tcPr>
          <w:p w14:paraId="39BD2964" w14:textId="77777777" w:rsidR="008074B4" w:rsidRPr="00761653" w:rsidRDefault="008074B4" w:rsidP="005A428D">
            <w:pPr>
              <w:spacing w:line="240" w:lineRule="auto"/>
              <w:ind w:left="57" w:right="57"/>
              <w:rPr>
                <w:szCs w:val="24"/>
              </w:rPr>
            </w:pPr>
            <w:r w:rsidRPr="00761653">
              <w:rPr>
                <w:szCs w:val="24"/>
              </w:rPr>
              <w:t>1000 мг, инфузия в течение 30 мин, затем через неделю 500мг , инфузия в течение 30 мин</w:t>
            </w:r>
          </w:p>
        </w:tc>
      </w:tr>
      <w:tr w:rsidR="008074B4" w:rsidRPr="00975FC1" w14:paraId="6FCDCEC3" w14:textId="77777777" w:rsidTr="005A428D">
        <w:tc>
          <w:tcPr>
            <w:tcW w:w="2376" w:type="dxa"/>
            <w:vMerge/>
          </w:tcPr>
          <w:p w14:paraId="27F246FD" w14:textId="77777777" w:rsidR="008074B4" w:rsidRPr="00761653" w:rsidRDefault="008074B4" w:rsidP="005A428D">
            <w:pPr>
              <w:spacing w:line="240" w:lineRule="auto"/>
              <w:ind w:left="57" w:right="57"/>
              <w:rPr>
                <w:szCs w:val="24"/>
              </w:rPr>
            </w:pPr>
          </w:p>
        </w:tc>
        <w:tc>
          <w:tcPr>
            <w:tcW w:w="2835" w:type="dxa"/>
          </w:tcPr>
          <w:p w14:paraId="149A1222" w14:textId="77777777" w:rsidR="008074B4" w:rsidRPr="00761653" w:rsidRDefault="008074B4" w:rsidP="005A428D">
            <w:pPr>
              <w:spacing w:line="240" w:lineRule="auto"/>
              <w:ind w:left="57" w:right="57"/>
              <w:rPr>
                <w:szCs w:val="24"/>
              </w:rPr>
            </w:pPr>
            <w:r w:rsidRPr="00761653">
              <w:rPr>
                <w:szCs w:val="24"/>
              </w:rPr>
              <w:t>Тигециклин</w:t>
            </w:r>
          </w:p>
        </w:tc>
        <w:tc>
          <w:tcPr>
            <w:tcW w:w="4395" w:type="dxa"/>
          </w:tcPr>
          <w:p w14:paraId="75B65AFF" w14:textId="77777777" w:rsidR="008074B4" w:rsidRPr="00761653" w:rsidRDefault="008074B4" w:rsidP="005A428D">
            <w:pPr>
              <w:spacing w:line="240" w:lineRule="auto"/>
              <w:ind w:left="57" w:right="57"/>
              <w:rPr>
                <w:szCs w:val="24"/>
              </w:rPr>
            </w:pPr>
            <w:r w:rsidRPr="00761653">
              <w:rPr>
                <w:szCs w:val="24"/>
              </w:rPr>
              <w:t>Нагрузочная доза 100 мг, затем по 50 мг каждые 12 часов (не показан для лечения инфекций кровотока), в/в (применяют при интрабдоминальной инфекции, при инфекции кожи и мягких тканей)</w:t>
            </w:r>
          </w:p>
        </w:tc>
      </w:tr>
      <w:tr w:rsidR="008074B4" w:rsidRPr="00265B67" w14:paraId="5D6BDCE8" w14:textId="77777777" w:rsidTr="005A428D">
        <w:tc>
          <w:tcPr>
            <w:tcW w:w="2376" w:type="dxa"/>
            <w:vMerge/>
          </w:tcPr>
          <w:p w14:paraId="4581FEDC" w14:textId="77777777" w:rsidR="008074B4" w:rsidRPr="00761653" w:rsidRDefault="008074B4" w:rsidP="005A428D">
            <w:pPr>
              <w:spacing w:line="240" w:lineRule="auto"/>
              <w:ind w:left="57" w:right="57"/>
              <w:rPr>
                <w:szCs w:val="24"/>
              </w:rPr>
            </w:pPr>
          </w:p>
        </w:tc>
        <w:tc>
          <w:tcPr>
            <w:tcW w:w="2835" w:type="dxa"/>
          </w:tcPr>
          <w:p w14:paraId="271B06AE" w14:textId="77777777" w:rsidR="008074B4" w:rsidRPr="00761653" w:rsidRDefault="008074B4" w:rsidP="005A428D">
            <w:pPr>
              <w:spacing w:line="240" w:lineRule="auto"/>
              <w:ind w:left="57" w:right="57"/>
              <w:rPr>
                <w:szCs w:val="24"/>
              </w:rPr>
            </w:pPr>
            <w:r w:rsidRPr="00761653">
              <w:rPr>
                <w:szCs w:val="24"/>
              </w:rPr>
              <w:t>Цефтаролин</w:t>
            </w:r>
          </w:p>
        </w:tc>
        <w:tc>
          <w:tcPr>
            <w:tcW w:w="4395" w:type="dxa"/>
          </w:tcPr>
          <w:p w14:paraId="52DC02FF" w14:textId="77777777" w:rsidR="008074B4" w:rsidRPr="00761653" w:rsidRDefault="008074B4" w:rsidP="005A428D">
            <w:pPr>
              <w:spacing w:line="240" w:lineRule="auto"/>
              <w:ind w:left="57" w:right="57"/>
              <w:rPr>
                <w:szCs w:val="24"/>
              </w:rPr>
            </w:pPr>
            <w:r w:rsidRPr="00761653">
              <w:rPr>
                <w:szCs w:val="24"/>
              </w:rPr>
              <w:t>600 мг каждые 12 часов, инфузия в течение 5-60 минут</w:t>
            </w:r>
          </w:p>
        </w:tc>
      </w:tr>
      <w:tr w:rsidR="008074B4" w:rsidRPr="00265B67" w14:paraId="1E9AA713" w14:textId="77777777" w:rsidTr="005A428D">
        <w:tc>
          <w:tcPr>
            <w:tcW w:w="2376" w:type="dxa"/>
          </w:tcPr>
          <w:p w14:paraId="0E069C2E" w14:textId="77777777" w:rsidR="008074B4" w:rsidRPr="00761653" w:rsidRDefault="008074B4" w:rsidP="005A428D">
            <w:pPr>
              <w:spacing w:line="240" w:lineRule="auto"/>
              <w:ind w:left="57" w:right="57"/>
              <w:rPr>
                <w:szCs w:val="24"/>
              </w:rPr>
            </w:pPr>
            <w:r w:rsidRPr="00761653">
              <w:rPr>
                <w:i/>
                <w:szCs w:val="24"/>
              </w:rPr>
              <w:t xml:space="preserve">E. faecium, </w:t>
            </w:r>
            <w:r w:rsidRPr="00761653">
              <w:rPr>
                <w:szCs w:val="24"/>
              </w:rPr>
              <w:t>чувствительные к ванкомицину</w:t>
            </w:r>
          </w:p>
        </w:tc>
        <w:tc>
          <w:tcPr>
            <w:tcW w:w="2835" w:type="dxa"/>
          </w:tcPr>
          <w:p w14:paraId="2EA259C4" w14:textId="77777777" w:rsidR="008074B4" w:rsidRPr="00761653" w:rsidRDefault="008074B4" w:rsidP="005A428D">
            <w:pPr>
              <w:spacing w:line="240" w:lineRule="auto"/>
              <w:ind w:left="57" w:right="57"/>
              <w:rPr>
                <w:szCs w:val="24"/>
              </w:rPr>
            </w:pPr>
            <w:r w:rsidRPr="00761653">
              <w:rPr>
                <w:szCs w:val="24"/>
              </w:rPr>
              <w:t>Ванкомицин</w:t>
            </w:r>
          </w:p>
        </w:tc>
        <w:tc>
          <w:tcPr>
            <w:tcW w:w="4395" w:type="dxa"/>
          </w:tcPr>
          <w:p w14:paraId="255A91DE" w14:textId="77777777" w:rsidR="008074B4" w:rsidRPr="00761653" w:rsidRDefault="008074B4" w:rsidP="005A428D">
            <w:pPr>
              <w:spacing w:line="240" w:lineRule="auto"/>
              <w:ind w:left="57" w:right="57"/>
              <w:rPr>
                <w:szCs w:val="24"/>
              </w:rPr>
            </w:pPr>
            <w:r w:rsidRPr="00761653">
              <w:rPr>
                <w:szCs w:val="24"/>
              </w:rPr>
              <w:t>Нагрузочная доза 25-30 мг/кг, затем 15-20 мг/кг каждые 8-12 часов, (разовая доза не должна превышать 2 г), инфузия в течение 1,5-2 часов</w:t>
            </w:r>
          </w:p>
        </w:tc>
      </w:tr>
      <w:tr w:rsidR="008074B4" w:rsidRPr="00265B67" w14:paraId="355ADD6B" w14:textId="77777777" w:rsidTr="005A428D">
        <w:tc>
          <w:tcPr>
            <w:tcW w:w="2376" w:type="dxa"/>
            <w:vMerge w:val="restart"/>
          </w:tcPr>
          <w:p w14:paraId="2E084AF0" w14:textId="77777777" w:rsidR="008074B4" w:rsidRPr="00761653" w:rsidRDefault="008074B4" w:rsidP="005A428D">
            <w:pPr>
              <w:spacing w:line="240" w:lineRule="auto"/>
              <w:ind w:left="57" w:right="57"/>
              <w:rPr>
                <w:szCs w:val="24"/>
              </w:rPr>
            </w:pPr>
            <w:r w:rsidRPr="00761653">
              <w:rPr>
                <w:i/>
                <w:szCs w:val="24"/>
              </w:rPr>
              <w:t>E.faecium,</w:t>
            </w:r>
            <w:r w:rsidRPr="00761653">
              <w:rPr>
                <w:szCs w:val="24"/>
              </w:rPr>
              <w:t xml:space="preserve"> устойчивые к ванкомицину</w:t>
            </w:r>
          </w:p>
        </w:tc>
        <w:tc>
          <w:tcPr>
            <w:tcW w:w="2835" w:type="dxa"/>
          </w:tcPr>
          <w:p w14:paraId="0F2F9429" w14:textId="77777777" w:rsidR="008074B4" w:rsidRPr="00761653" w:rsidRDefault="008074B4" w:rsidP="005A428D">
            <w:pPr>
              <w:spacing w:line="240" w:lineRule="auto"/>
              <w:ind w:left="57" w:right="57"/>
              <w:rPr>
                <w:szCs w:val="24"/>
              </w:rPr>
            </w:pPr>
            <w:r w:rsidRPr="00761653">
              <w:rPr>
                <w:szCs w:val="24"/>
              </w:rPr>
              <w:t>Даптомицин</w:t>
            </w:r>
          </w:p>
        </w:tc>
        <w:tc>
          <w:tcPr>
            <w:tcW w:w="4395" w:type="dxa"/>
          </w:tcPr>
          <w:p w14:paraId="2F539A80" w14:textId="77777777" w:rsidR="008074B4" w:rsidRPr="00761653" w:rsidRDefault="008074B4" w:rsidP="005A428D">
            <w:pPr>
              <w:spacing w:line="240" w:lineRule="auto"/>
              <w:ind w:left="57" w:right="57"/>
              <w:rPr>
                <w:szCs w:val="24"/>
              </w:rPr>
            </w:pPr>
            <w:r w:rsidRPr="00761653">
              <w:rPr>
                <w:szCs w:val="24"/>
              </w:rPr>
              <w:t>10-12 мг/кг каждые 24 часа, инфузия в течение 30 мин</w:t>
            </w:r>
          </w:p>
        </w:tc>
      </w:tr>
      <w:tr w:rsidR="008074B4" w:rsidRPr="00975FC1" w14:paraId="6A31D429" w14:textId="77777777" w:rsidTr="005A428D">
        <w:tc>
          <w:tcPr>
            <w:tcW w:w="2376" w:type="dxa"/>
            <w:vMerge/>
          </w:tcPr>
          <w:p w14:paraId="79ED1F32" w14:textId="77777777" w:rsidR="008074B4" w:rsidRPr="00761653" w:rsidRDefault="008074B4" w:rsidP="005A428D">
            <w:pPr>
              <w:spacing w:line="240" w:lineRule="auto"/>
              <w:ind w:left="57" w:right="57"/>
              <w:rPr>
                <w:szCs w:val="24"/>
              </w:rPr>
            </w:pPr>
          </w:p>
        </w:tc>
        <w:tc>
          <w:tcPr>
            <w:tcW w:w="2835" w:type="dxa"/>
          </w:tcPr>
          <w:p w14:paraId="18D2AC64" w14:textId="77777777" w:rsidR="008074B4" w:rsidRPr="00761653" w:rsidRDefault="008074B4" w:rsidP="005A428D">
            <w:pPr>
              <w:spacing w:line="240" w:lineRule="auto"/>
              <w:ind w:left="57" w:right="57"/>
              <w:rPr>
                <w:szCs w:val="24"/>
              </w:rPr>
            </w:pPr>
            <w:r w:rsidRPr="00761653">
              <w:rPr>
                <w:szCs w:val="24"/>
              </w:rPr>
              <w:t>Линезолид</w:t>
            </w:r>
          </w:p>
        </w:tc>
        <w:tc>
          <w:tcPr>
            <w:tcW w:w="4395" w:type="dxa"/>
          </w:tcPr>
          <w:p w14:paraId="652C291B" w14:textId="77777777" w:rsidR="008074B4" w:rsidRPr="00761653" w:rsidRDefault="008074B4" w:rsidP="005A428D">
            <w:pPr>
              <w:spacing w:line="240" w:lineRule="auto"/>
              <w:ind w:left="57" w:right="57"/>
              <w:rPr>
                <w:szCs w:val="24"/>
              </w:rPr>
            </w:pPr>
            <w:r w:rsidRPr="00761653">
              <w:rPr>
                <w:szCs w:val="24"/>
              </w:rPr>
              <w:t>600 мг каждые 12 часов, в/в или внутрь (следует применять при инфекциях, вызванных штаммами с МПК даптомицина &gt; 4 мкг/мл)</w:t>
            </w:r>
          </w:p>
        </w:tc>
      </w:tr>
      <w:tr w:rsidR="008074B4" w:rsidRPr="00975FC1" w14:paraId="5D0E6215" w14:textId="77777777" w:rsidTr="005A428D">
        <w:tc>
          <w:tcPr>
            <w:tcW w:w="2376" w:type="dxa"/>
            <w:vMerge/>
          </w:tcPr>
          <w:p w14:paraId="14A5238E" w14:textId="77777777" w:rsidR="008074B4" w:rsidRPr="00761653" w:rsidRDefault="008074B4" w:rsidP="005A428D">
            <w:pPr>
              <w:spacing w:line="240" w:lineRule="auto"/>
              <w:ind w:left="57" w:right="57"/>
              <w:rPr>
                <w:szCs w:val="24"/>
              </w:rPr>
            </w:pPr>
          </w:p>
        </w:tc>
        <w:tc>
          <w:tcPr>
            <w:tcW w:w="2835" w:type="dxa"/>
          </w:tcPr>
          <w:p w14:paraId="1E51BF54" w14:textId="77777777" w:rsidR="008074B4" w:rsidRPr="00761653" w:rsidRDefault="008074B4" w:rsidP="005A428D">
            <w:pPr>
              <w:spacing w:line="240" w:lineRule="auto"/>
              <w:ind w:left="57" w:right="57"/>
              <w:rPr>
                <w:szCs w:val="24"/>
              </w:rPr>
            </w:pPr>
            <w:r w:rsidRPr="00761653">
              <w:rPr>
                <w:szCs w:val="24"/>
              </w:rPr>
              <w:t>Тедизолид</w:t>
            </w:r>
          </w:p>
        </w:tc>
        <w:tc>
          <w:tcPr>
            <w:tcW w:w="4395" w:type="dxa"/>
          </w:tcPr>
          <w:p w14:paraId="4125AA98" w14:textId="77777777" w:rsidR="008074B4" w:rsidRPr="00761653" w:rsidRDefault="008074B4" w:rsidP="005A428D">
            <w:pPr>
              <w:spacing w:line="240" w:lineRule="auto"/>
              <w:ind w:left="57" w:right="57"/>
              <w:rPr>
                <w:szCs w:val="24"/>
              </w:rPr>
            </w:pPr>
            <w:r w:rsidRPr="00761653">
              <w:rPr>
                <w:szCs w:val="24"/>
              </w:rPr>
              <w:t>200 мг каждые 24 часа, внутрь или в/в инфузия в течение 1 часа (не применяют в лечении инфекций кровотока и пневмонии)</w:t>
            </w:r>
          </w:p>
        </w:tc>
      </w:tr>
      <w:tr w:rsidR="008074B4" w:rsidRPr="00265B67" w14:paraId="5E234725" w14:textId="77777777" w:rsidTr="005A428D">
        <w:tc>
          <w:tcPr>
            <w:tcW w:w="2376" w:type="dxa"/>
            <w:vMerge/>
          </w:tcPr>
          <w:p w14:paraId="0BD5A9CE" w14:textId="77777777" w:rsidR="008074B4" w:rsidRPr="00761653" w:rsidRDefault="008074B4" w:rsidP="005A428D">
            <w:pPr>
              <w:spacing w:line="240" w:lineRule="auto"/>
              <w:ind w:left="57" w:right="57"/>
              <w:rPr>
                <w:szCs w:val="24"/>
              </w:rPr>
            </w:pPr>
          </w:p>
        </w:tc>
        <w:tc>
          <w:tcPr>
            <w:tcW w:w="2835" w:type="dxa"/>
          </w:tcPr>
          <w:p w14:paraId="1EE00613" w14:textId="77777777" w:rsidR="008074B4" w:rsidRPr="00761653" w:rsidRDefault="008074B4" w:rsidP="005A428D">
            <w:pPr>
              <w:spacing w:line="240" w:lineRule="auto"/>
              <w:ind w:left="57" w:right="57"/>
              <w:rPr>
                <w:szCs w:val="24"/>
              </w:rPr>
            </w:pPr>
            <w:r w:rsidRPr="00761653">
              <w:rPr>
                <w:szCs w:val="24"/>
              </w:rPr>
              <w:t>Тигециклин</w:t>
            </w:r>
          </w:p>
        </w:tc>
        <w:tc>
          <w:tcPr>
            <w:tcW w:w="4395" w:type="dxa"/>
          </w:tcPr>
          <w:p w14:paraId="1355D043" w14:textId="77777777" w:rsidR="008074B4" w:rsidRPr="00761653" w:rsidRDefault="008074B4" w:rsidP="005A428D">
            <w:pPr>
              <w:spacing w:line="240" w:lineRule="auto"/>
              <w:ind w:left="57" w:right="57"/>
              <w:rPr>
                <w:szCs w:val="24"/>
              </w:rPr>
            </w:pPr>
            <w:r w:rsidRPr="00761653">
              <w:rPr>
                <w:szCs w:val="24"/>
              </w:rPr>
              <w:t>Нагрузочная доза 100 мг, затем по 50 мг каждые 12 часов (не показан для лечения инфекций кровотока, инфекций мочевыводящих путей)</w:t>
            </w:r>
          </w:p>
        </w:tc>
      </w:tr>
    </w:tbl>
    <w:p w14:paraId="0A6D481C" w14:textId="77777777" w:rsidR="008074B4" w:rsidRDefault="008074B4" w:rsidP="008074B4">
      <w:pPr>
        <w:widowControl w:val="0"/>
        <w:autoSpaceDE w:val="0"/>
        <w:autoSpaceDN w:val="0"/>
        <w:adjustRightInd w:val="0"/>
        <w:ind w:right="49"/>
        <w:contextualSpacing/>
        <w:rPr>
          <w:b/>
          <w:bCs/>
          <w:iCs/>
        </w:rPr>
      </w:pPr>
    </w:p>
    <w:p w14:paraId="1D7422B4" w14:textId="77777777" w:rsidR="008074B4" w:rsidRPr="00761653" w:rsidRDefault="008074B4" w:rsidP="008074B4">
      <w:pPr>
        <w:widowControl w:val="0"/>
        <w:autoSpaceDE w:val="0"/>
        <w:autoSpaceDN w:val="0"/>
        <w:adjustRightInd w:val="0"/>
        <w:ind w:left="709" w:right="49"/>
        <w:contextualSpacing/>
        <w:rPr>
          <w:bCs/>
          <w:iCs/>
        </w:rPr>
      </w:pPr>
      <w:r w:rsidRPr="00761653">
        <w:rPr>
          <w:b/>
          <w:bCs/>
          <w:iCs/>
        </w:rPr>
        <w:t>Отдельные инфекции, требующие особого лечения, у иммунокомпрометированных больных</w:t>
      </w:r>
      <w:r w:rsidRPr="00761653">
        <w:rPr>
          <w:bCs/>
          <w:iCs/>
        </w:rPr>
        <w:t xml:space="preserve">. </w:t>
      </w:r>
    </w:p>
    <w:p w14:paraId="0B6426A4" w14:textId="77777777" w:rsidR="008074B4" w:rsidRPr="00284D51" w:rsidRDefault="008074B4" w:rsidP="00A10F8C">
      <w:pPr>
        <w:widowControl w:val="0"/>
        <w:autoSpaceDE w:val="0"/>
        <w:autoSpaceDN w:val="0"/>
        <w:adjustRightInd w:val="0"/>
        <w:ind w:right="49" w:firstLine="709"/>
        <w:contextualSpacing/>
        <w:rPr>
          <w:i/>
          <w:iCs/>
        </w:rPr>
      </w:pPr>
      <w:r w:rsidRPr="00284D51">
        <w:rPr>
          <w:i/>
          <w:iCs/>
        </w:rPr>
        <w:t xml:space="preserve">Listeria monocytogenes </w:t>
      </w:r>
    </w:p>
    <w:p w14:paraId="1C2B0D7D" w14:textId="1439279D" w:rsidR="008074B4" w:rsidRPr="00761653" w:rsidRDefault="008074B4" w:rsidP="00A10F8C">
      <w:pPr>
        <w:widowControl w:val="0"/>
        <w:autoSpaceDE w:val="0"/>
        <w:autoSpaceDN w:val="0"/>
        <w:adjustRightInd w:val="0"/>
        <w:ind w:right="49" w:firstLine="709"/>
        <w:contextualSpacing/>
      </w:pPr>
      <w:r w:rsidRPr="00D27DBA">
        <w:rPr>
          <w:bCs/>
          <w:i/>
          <w:iCs/>
        </w:rPr>
        <w:t>Listeria monocytogenes (</w:t>
      </w:r>
      <w:r w:rsidRPr="00D27DBA">
        <w:rPr>
          <w:i/>
        </w:rPr>
        <w:t xml:space="preserve">L. monocytogenes) </w:t>
      </w:r>
      <w:r>
        <w:rPr>
          <w:bCs/>
          <w:iCs/>
        </w:rPr>
        <w:t>в</w:t>
      </w:r>
      <w:r w:rsidRPr="00761653">
        <w:rPr>
          <w:iCs/>
        </w:rPr>
        <w:t xml:space="preserve">ызывают </w:t>
      </w:r>
      <w:r w:rsidRPr="00761653">
        <w:t>инфекции кровотока и менингоэнцефалит. Инфекция возникает преимущественно у больных с нарушениями Т-клеточного звена иммунитета</w:t>
      </w:r>
      <w:r w:rsidRPr="00F674EC">
        <w:t xml:space="preserve"> </w:t>
      </w:r>
      <w:r>
        <w:fldChar w:fldCharType="begin" w:fldLock="1"/>
      </w:r>
      <w:r w:rsidR="00AB4A77">
        <w:instrText>ADDIN CSL_CITATION {"citationItems":[{"id":"ITEM-1","itemData":{"DOI":"10.3324/haematol.2013.091330","ISSN":"15928721","PMID":"24323984","abstract":"The detection of multi-resistant bacterial pathogens, particularly those to carbapenemases, in leukemic and stem cell transplant patients forces the use of old or non-conventional agents as the only remaining treatment options. These include colistin/polymyxin B, tigecycline, fosfomycin and various anti-gram-positive agents. Data on the use of these agents in leukemic patients are scanty, with only linezolid subjected to formal trials. The Expert Group of the 4th European Conference on Infections in Leukemia has developed guidelines for their use in these patient populations. Targeted therapy should be based on (i) in vitro susceptibility data, (ii) knowledge of the best treatment option against the particular species or phenotype of bacteria, (iii) pharmacokinetic/pharmacodynamic data, and (iv) careful assessment of the risk-benefit balance. For infections due to resistant Gram-negative bacteria, these agents should be preferably used in combination with other agents that remain active in vitro, because of suboptimal efficacy (e.g., tigecy-cline) and the risk of emergent resistance (e.g., fosfomycin). The paucity of new antibacterial drugs in the near future should lead us to limit the use of these drugs to situations where no alternative exists. © 2013 Ferrata Storti Foundation.","author":[{"dropping-particle":"","family":"Averbuch","given":"Diana","non-dropping-particle":"","parse-names":false,"suffix":""},{"dropping-particle":"","family":"Cordonnier","given":"Catherine","non-dropping-particle":"","parse-names":false,"suffix":""},{"dropping-particle":"","family":"Livermore","given":"David M.","non-dropping-particle":"","parse-names":false,"suffix":""},{"dropping-particle":"","family":"Mikulska","given":"Małgorzata","non-dropping-particle":"","parse-names":false,"suffix":""},{"dropping-particle":"","family":"Orasch","given":"Christina","non-dropping-particle":"","parse-names":false,"suffix":""},{"dropping-particle":"","family":"Viscoli","given":"Claudio","non-dropping-particle":"","parse-names":false,"suffix":""},{"dropping-particle":"","family":"Gyssens","given":"Inge C.","non-dropping-particle":"","parse-names":false,"suffix":""},{"dropping-particle":"V.","family":"Kern","given":"Winfried","non-dropping-particle":"","parse-names":false,"suffix":""},{"dropping-particle":"","family":"Klyasova","given":"Galina","non-dropping-particle":"","parse-names":false,"suffix":""},{"dropping-particle":"","family":"Marchetti","given":"Oscar","non-dropping-particle":"","parse-names":false,"suffix":""},{"dropping-particle":"","family":"Engelhard","given":"Dan","non-dropping-particle":"","parse-names":false,"suffix":""},{"dropping-particle":"","family":"Akova","given":"Murat","non-dropping-particle":"","parse-names":false,"suffix":""}],"container-title":"Haematologica","id":"ITEM-1","issue":"12","issued":{"date-parts":[["2013","12","1"]]},"page":"1836-1847","publisher":"Ferrata Storti Foundation","title":"Targeted therapy against multi-resistant bacteria in leukemic and hematopoietic stem cell transplant recipients: Guidelines of the 4th European conference on Infections in Leukemia (ECIL-4, 2011)","type":"article-journal","volume":"98"},"uris":["http://www.mendeley.com/documents/?uuid=49d65b4a-286f-48de-9fa8-11535bbffaa2"]}],"mendeley":{"formattedCitation":"[108]","plainTextFormattedCitation":"[108]","previouslyFormattedCitation":"[108]"},"properties":{"noteIndex":0},"schema":"https://github.com/citation-style-language/schema/raw/master/csl-citation.json"}</w:instrText>
      </w:r>
      <w:r>
        <w:fldChar w:fldCharType="separate"/>
      </w:r>
      <w:r w:rsidRPr="008074B4">
        <w:rPr>
          <w:noProof/>
        </w:rPr>
        <w:t>[108]</w:t>
      </w:r>
      <w:r>
        <w:fldChar w:fldCharType="end"/>
      </w:r>
      <w:r w:rsidRPr="00761653">
        <w:t xml:space="preserve">. Характерным является стремительное развитие инфекции – в течение 2-3 часов изменяется клиническая картина: возникает нарушение сознания вплоть до комы, определяются ригидность затылочных мышц и положительный симптом Кернига. Препарат выбора для лечения </w:t>
      </w:r>
      <w:r w:rsidRPr="00761653">
        <w:rPr>
          <w:bCs/>
        </w:rPr>
        <w:t xml:space="preserve">инфекции, вызванной </w:t>
      </w:r>
      <w:r w:rsidRPr="00761653">
        <w:rPr>
          <w:bCs/>
          <w:i/>
          <w:iCs/>
        </w:rPr>
        <w:t>L. monocytogenes</w:t>
      </w:r>
      <w:r w:rsidRPr="00761653">
        <w:rPr>
          <w:b/>
          <w:bCs/>
        </w:rPr>
        <w:t xml:space="preserve">, </w:t>
      </w:r>
      <w:r w:rsidRPr="00761653">
        <w:t xml:space="preserve">ампициллин по 2 г внутривенно 6 раз в сутки, при менингоэнцефалите – в сочетание с гентамицином 5мг/кг/сутки, внутривенно. </w:t>
      </w:r>
      <w:r w:rsidRPr="00761653">
        <w:rPr>
          <w:bCs/>
        </w:rPr>
        <w:t xml:space="preserve">Больным с нейтропенией и инфекцией ЦНС дополнительно назначают меропенем по 2 г х 3 раза. Меропенем отменяют при восстановлении гранулоцитов и продолжают лечение сочетанием ампициллина с гентамицином. </w:t>
      </w:r>
      <w:r w:rsidRPr="00761653">
        <w:rPr>
          <w:iCs/>
        </w:rPr>
        <w:t xml:space="preserve">Альтернативный препарат - </w:t>
      </w:r>
      <w:r w:rsidRPr="00761653">
        <w:t>триметоприм/сульфаметоксазол (расчет дозы по триметоприму 15 мг/кг в сутки, дозу разделяют на 3 приема). Такая доза используется у больных с вовлечением и без вовлечения ЦНС в инфекционный процесс.</w:t>
      </w:r>
      <w:r w:rsidRPr="00761653">
        <w:rPr>
          <w:bCs/>
        </w:rPr>
        <w:t xml:space="preserve"> Длительность лечения инфекции без вовлечения ЦНС составляет 14 дней, менингита - </w:t>
      </w:r>
      <w:r w:rsidRPr="00761653">
        <w:t>21 день, энцефалита или абсцессов в головном мозге - от 6 недель и более, эндокардита - 4-6 недель.</w:t>
      </w:r>
      <w:r w:rsidRPr="00761653">
        <w:rPr>
          <w:bCs/>
        </w:rPr>
        <w:t xml:space="preserve"> </w:t>
      </w:r>
      <w:r w:rsidRPr="00761653">
        <w:t>При инфекции ЦНС отмену антибиотиков выполняют только при полной регрессии изменений в головном мозге.</w:t>
      </w:r>
    </w:p>
    <w:p w14:paraId="3AB138D2" w14:textId="77777777" w:rsidR="008074B4" w:rsidRPr="00284D51" w:rsidRDefault="008074B4" w:rsidP="00A10F8C">
      <w:pPr>
        <w:widowControl w:val="0"/>
        <w:autoSpaceDE w:val="0"/>
        <w:autoSpaceDN w:val="0"/>
        <w:adjustRightInd w:val="0"/>
        <w:ind w:right="49" w:firstLine="709"/>
        <w:contextualSpacing/>
        <w:rPr>
          <w:bCs/>
          <w:i/>
        </w:rPr>
      </w:pPr>
      <w:r w:rsidRPr="00284D51">
        <w:rPr>
          <w:bCs/>
          <w:i/>
        </w:rPr>
        <w:t xml:space="preserve">Legionella pneumophila </w:t>
      </w:r>
    </w:p>
    <w:p w14:paraId="3BDDA3E9" w14:textId="77777777" w:rsidR="008074B4" w:rsidRPr="00761653" w:rsidRDefault="008074B4" w:rsidP="00A10F8C">
      <w:pPr>
        <w:ind w:firstLine="709"/>
      </w:pPr>
      <w:r w:rsidRPr="00761653">
        <w:rPr>
          <w:i/>
        </w:rPr>
        <w:t>Legionella</w:t>
      </w:r>
      <w:r w:rsidRPr="000D7B76">
        <w:rPr>
          <w:i/>
        </w:rPr>
        <w:t xml:space="preserve"> </w:t>
      </w:r>
      <w:r w:rsidRPr="00761653">
        <w:rPr>
          <w:i/>
        </w:rPr>
        <w:t>pneumophila</w:t>
      </w:r>
      <w:r w:rsidRPr="000D7B76">
        <w:rPr>
          <w:i/>
        </w:rPr>
        <w:t xml:space="preserve"> (</w:t>
      </w:r>
      <w:r w:rsidRPr="00761653">
        <w:rPr>
          <w:i/>
        </w:rPr>
        <w:t>L</w:t>
      </w:r>
      <w:r w:rsidRPr="000D7B76">
        <w:rPr>
          <w:i/>
        </w:rPr>
        <w:t xml:space="preserve">. </w:t>
      </w:r>
      <w:r w:rsidRPr="00761653">
        <w:rPr>
          <w:i/>
        </w:rPr>
        <w:t>pneumophila</w:t>
      </w:r>
      <w:r w:rsidRPr="000D7B76">
        <w:rPr>
          <w:i/>
        </w:rPr>
        <w:t>)</w:t>
      </w:r>
      <w:r w:rsidRPr="000D7B76">
        <w:t xml:space="preserve"> </w:t>
      </w:r>
      <w:r>
        <w:rPr>
          <w:i/>
        </w:rPr>
        <w:t>я</w:t>
      </w:r>
      <w:r w:rsidRPr="00761653">
        <w:t>вля</w:t>
      </w:r>
      <w:r>
        <w:t>ю</w:t>
      </w:r>
      <w:r w:rsidRPr="00761653">
        <w:t>тся</w:t>
      </w:r>
      <w:r w:rsidRPr="000D7B76">
        <w:t xml:space="preserve"> </w:t>
      </w:r>
      <w:r w:rsidRPr="00761653">
        <w:t>грамотрицательным</w:t>
      </w:r>
      <w:r w:rsidRPr="000D7B76">
        <w:t xml:space="preserve"> </w:t>
      </w:r>
      <w:r w:rsidRPr="00761653">
        <w:t>бактериями</w:t>
      </w:r>
      <w:r w:rsidRPr="000D7B76">
        <w:t xml:space="preserve">, </w:t>
      </w:r>
      <w:r>
        <w:t>в</w:t>
      </w:r>
      <w:r w:rsidRPr="00761653">
        <w:t>ызывают</w:t>
      </w:r>
      <w:r w:rsidRPr="000D7B76">
        <w:t xml:space="preserve"> </w:t>
      </w:r>
      <w:r w:rsidRPr="00761653">
        <w:t>пневмонии</w:t>
      </w:r>
      <w:r w:rsidRPr="000D7B76">
        <w:t xml:space="preserve">. </w:t>
      </w:r>
      <w:r w:rsidRPr="00761653">
        <w:t>Препараты выбора для лечения</w:t>
      </w:r>
      <w:r>
        <w:t xml:space="preserve"> </w:t>
      </w:r>
      <w:r w:rsidRPr="00761653">
        <w:rPr>
          <w:i/>
        </w:rPr>
        <w:t>L</w:t>
      </w:r>
      <w:r w:rsidRPr="00D27DBA">
        <w:rPr>
          <w:i/>
        </w:rPr>
        <w:t xml:space="preserve">. </w:t>
      </w:r>
      <w:r w:rsidRPr="00761653">
        <w:rPr>
          <w:i/>
        </w:rPr>
        <w:t>pneumophila</w:t>
      </w:r>
      <w:r w:rsidRPr="00D27DBA">
        <w:t xml:space="preserve"> – </w:t>
      </w:r>
      <w:r w:rsidRPr="00761653">
        <w:t xml:space="preserve"> - моксифлоксацин (400 мг 1 раз в сутки) или левофлоксацин (500 мг - 750 мг 1 раз в сутки) или азитромицин (500 мг 1 раз в сутки), альтернативный препарат - ципрофлоксацин (400 мг внутривенно 3 раза в сутки или 750 мг внутрь 2 раза в сутки), при тяжелом течении - сочетание фторхинолона с тигециклином (1-е введение 100 мг, далее по 50 мг каждые 12 часов). Длительность лечения составляет от 8 до 21 дня, при тяжелом течении и у реципиентов аллогенных ТГСК – более продолжительный период.</w:t>
      </w:r>
    </w:p>
    <w:p w14:paraId="40E5F065" w14:textId="77777777" w:rsidR="008074B4" w:rsidRPr="00284D51" w:rsidRDefault="008074B4" w:rsidP="00A10F8C">
      <w:pPr>
        <w:widowControl w:val="0"/>
        <w:autoSpaceDE w:val="0"/>
        <w:autoSpaceDN w:val="0"/>
        <w:adjustRightInd w:val="0"/>
        <w:ind w:right="49" w:firstLine="709"/>
        <w:contextualSpacing/>
        <w:rPr>
          <w:i/>
          <w:iCs/>
        </w:rPr>
      </w:pPr>
      <w:r w:rsidRPr="00284D51">
        <w:rPr>
          <w:i/>
          <w:iCs/>
        </w:rPr>
        <w:t xml:space="preserve">Clostridioides difficile </w:t>
      </w:r>
    </w:p>
    <w:p w14:paraId="504428DC" w14:textId="43F7B37D" w:rsidR="008074B4" w:rsidRPr="00761653" w:rsidRDefault="008074B4" w:rsidP="00A10F8C">
      <w:pPr>
        <w:widowControl w:val="0"/>
        <w:autoSpaceDE w:val="0"/>
        <w:autoSpaceDN w:val="0"/>
        <w:adjustRightInd w:val="0"/>
        <w:ind w:right="49" w:firstLine="709"/>
        <w:contextualSpacing/>
        <w:rPr>
          <w:strike/>
        </w:rPr>
      </w:pPr>
      <w:r w:rsidRPr="00761653">
        <w:t xml:space="preserve">Факторами патогенности </w:t>
      </w:r>
      <w:r w:rsidRPr="00D27DBA">
        <w:rPr>
          <w:bCs/>
          <w:i/>
          <w:iCs/>
        </w:rPr>
        <w:t>Clostridioides difficile</w:t>
      </w:r>
      <w:r>
        <w:rPr>
          <w:bCs/>
          <w:i/>
          <w:iCs/>
        </w:rPr>
        <w:t xml:space="preserve"> (</w:t>
      </w:r>
      <w:r w:rsidRPr="00761653">
        <w:rPr>
          <w:i/>
          <w:iCs/>
        </w:rPr>
        <w:t xml:space="preserve">C. </w:t>
      </w:r>
      <w:r>
        <w:rPr>
          <w:i/>
          <w:iCs/>
        </w:rPr>
        <w:t>d</w:t>
      </w:r>
      <w:r w:rsidRPr="00761653">
        <w:rPr>
          <w:i/>
          <w:iCs/>
        </w:rPr>
        <w:t>ifficile</w:t>
      </w:r>
      <w:r>
        <w:rPr>
          <w:i/>
          <w:iCs/>
        </w:rPr>
        <w:t>)</w:t>
      </w:r>
      <w:r w:rsidRPr="00761653">
        <w:t xml:space="preserve"> являются токсины A и В</w:t>
      </w:r>
      <w:r w:rsidRPr="00F674EC">
        <w:t xml:space="preserve"> </w:t>
      </w:r>
      <w:r>
        <w:fldChar w:fldCharType="begin" w:fldLock="1"/>
      </w:r>
      <w:r w:rsidR="00AB4A77">
        <w:instrText>ADDIN CSL_CITATION {"citationItems":[{"id":"ITEM-1","itemData":{"DOI":"10.1111/1469-0691.12418","ISSN":"14690691","PMID":"24118601","abstract":"In 2009 the first European Society of Clinical Microbiology and Infection (ESCMID) treatment guidance document for Clostridium difficile infection (CDI) was published. The guideline has been applied widely in clinical practice. In this document an update and review on the comparative effectiveness of the currently available treatment modalities of CDI is given, thereby providing evidence-based recommendations on this issue. A computerized literature search was carried out to investigate randomized and non-randomized trials investigating the effect of an intervention on the clinical outcome of CDI. The Grades of Recommendation Assessment, Development and Evaluation (GRADE) system was used to grade the strength of our recommendations and the quality of the evidence. The ESCMID and an international team of experts from 11 European countries supported the process. To improve clinical guidance in the treatment of CDI, recommendations are specified for various patient groups, e.g. initial non-severe disease, severe CDI, first recurrence or risk for recurrent disease, multiple recurrences and treatment of CDI when oral administration is not possible. Treatment options that are reviewed include: antibiotics, toxin-binding resins and polymers, immunotherapy, probiotics, and faecal or bacterial intestinal transplantation. Except for very mild CDI that is clearly induced by antibiotic usage antibiotic treatment is advised. The main antibiotics that are recommended are metronidazole, vancomycin and fidaxomicin. Faecal transplantation is strongly recommended for multiple recurrent CDI. In case of perforation of the colon and/or systemic inflammation and deteriorating clinical condition despite antibiotic therapy, total abdominal colectomy or diverting loop ileostomy combined with colonic lavage is recommended. © 2013 The Authors Clinical Microbiology and Infection © 2013 European Society of Clinical Microbiology and Infectious Diseases.","author":[{"dropping-particle":"","family":"Debast","given":"S. B.","non-dropping-particle":"","parse-names":false,"suffix":""},{"dropping-particle":"","family":"Bauer","given":"M. P.","non-dropping-particle":"","parse-names":false,"suffix":""},{"dropping-particle":"","family":"Kuijper","given":"E. J.","non-dropping-particle":"","parse-names":false,"suffix":""},{"dropping-particle":"","family":"Allerberger","given":"F.","non-dropping-particle":"","parse-names":false,"suffix":""},{"dropping-particle":"","family":"Bouza","given":"E.","non-dropping-particle":"","parse-names":false,"suffix":""},{"dropping-particle":"","family":"Coia","given":"J. E.","non-dropping-particle":"","parse-names":false,"suffix":""},{"dropping-particle":"","family":"Cornely","given":"O. A.","non-dropping-particle":"","parse-names":false,"suffix":""},{"dropping-particle":"","family":"Fitzpatrick","given":"F.","non-dropping-particle":"","parse-names":false,"suffix":""},{"dropping-particle":"","family":"Guery","given":"B.","non-dropping-particle":"","parse-names":false,"suffix":""},{"dropping-particle":"","family":"Wilcox","given":"M.","non-dropping-particle":"","parse-names":false,"suffix":""},{"dropping-particle":"","family":"Nathwani","given":"D.","non-dropping-particle":"","parse-names":false,"suffix":""},{"dropping-particle":"","family":"Norén","given":"T.","non-dropping-particle":"","parse-names":false,"suffix":""},{"dropping-particle":"","family":"Olesen","given":"B.","non-dropping-particle":"","parse-names":false,"suffix":""},{"dropping-particle":"","family":"Rakoczi","given":"E.","non-dropping-particle":"","parse-names":false,"suffix":""},{"dropping-particle":"","family":"Welte","given":"T.","non-dropping-particle":"","parse-names":false,"suffix":""},{"dropping-particle":"","family":"Widmer","given":"A. F.","non-dropping-particle":"","parse-names":false,"suffix":""}],"container-title":"Clinical Microbiology and Infection","id":"ITEM-1","issue":"S2","issued":{"date-parts":[["2014"]]},"page":"1-26","publisher":"Blackwell Publishing Ltd","title":"European society of clinical microbiology and infectious diseases: Update of the treatment guidance document for Clostridium difficile infection","type":"article-journal","volume":"20"},"uris":["http://www.mendeley.com/documents/?uuid=e95ffe26-9199-3b8c-aa7a-4bac71d0214d"]}],"mendeley":{"formattedCitation":"[152]","plainTextFormattedCitation":"[152]","previouslyFormattedCitation":"[152]"},"properties":{"noteIndex":0},"schema":"https://github.com/citation-style-language/schema/raw/master/csl-citation.json"}</w:instrText>
      </w:r>
      <w:r>
        <w:fldChar w:fldCharType="separate"/>
      </w:r>
      <w:r w:rsidRPr="008074B4">
        <w:rPr>
          <w:noProof/>
        </w:rPr>
        <w:t>[152]</w:t>
      </w:r>
      <w:r>
        <w:fldChar w:fldCharType="end"/>
      </w:r>
      <w:r w:rsidRPr="00761653">
        <w:t>. Токсин А —</w:t>
      </w:r>
      <w:r>
        <w:t xml:space="preserve"> </w:t>
      </w:r>
      <w:r w:rsidRPr="00761653">
        <w:t xml:space="preserve">энтеротоксин, нарушает барьерную функцию слизистой оболочки кишечника. Токсин В — цитотоксин, оказывает цитопатический эффект, сильнее токсина А в 1000 раз, наличие его является обязательным для развития инфекции. Около 10% штаммов </w:t>
      </w:r>
      <w:r w:rsidRPr="00761653">
        <w:rPr>
          <w:i/>
          <w:iCs/>
        </w:rPr>
        <w:t>C. difficile</w:t>
      </w:r>
      <w:r w:rsidRPr="00761653">
        <w:t xml:space="preserve"> продуцируют бинарный токсин. Штаммы </w:t>
      </w:r>
      <w:r w:rsidRPr="00761653">
        <w:rPr>
          <w:i/>
          <w:iCs/>
        </w:rPr>
        <w:t>C. difficile</w:t>
      </w:r>
      <w:r w:rsidRPr="00761653">
        <w:t xml:space="preserve">, не продуцирующие токсины, не являются патогенными. Клиническими проявления инфекции, вызванной </w:t>
      </w:r>
      <w:r w:rsidRPr="00761653">
        <w:rPr>
          <w:i/>
          <w:iCs/>
        </w:rPr>
        <w:t>C. difficile</w:t>
      </w:r>
      <w:r w:rsidRPr="00761653">
        <w:rPr>
          <w:iCs/>
        </w:rPr>
        <w:t>,</w:t>
      </w:r>
      <w:r w:rsidRPr="00761653">
        <w:t xml:space="preserve"> являются диарея, ассоциированная с </w:t>
      </w:r>
      <w:r w:rsidRPr="00761653">
        <w:rPr>
          <w:i/>
          <w:iCs/>
        </w:rPr>
        <w:t>C. difficile</w:t>
      </w:r>
      <w:r w:rsidRPr="00761653">
        <w:t xml:space="preserve"> (наличие диареи + положительный токсин </w:t>
      </w:r>
      <w:r w:rsidRPr="00761653">
        <w:rPr>
          <w:i/>
          <w:iCs/>
        </w:rPr>
        <w:t>C.difficile</w:t>
      </w:r>
      <w:r w:rsidRPr="00761653">
        <w:t xml:space="preserve"> в кале), псевдомембранозный колит (эндоскопическая диагностика). Лечение диареи, обусловленной </w:t>
      </w:r>
      <w:r w:rsidRPr="00761653">
        <w:rPr>
          <w:i/>
          <w:iCs/>
        </w:rPr>
        <w:t>C. difficile</w:t>
      </w:r>
      <w:r w:rsidRPr="00761653">
        <w:t xml:space="preserve"> включает, помимо назначения антибиотиков, отмену, по-возможности, или/и сокращение числа используемых антибиотиков широкого спектра действия, ингибиторов протонной помпы</w:t>
      </w:r>
      <w:r w:rsidRPr="00F674EC">
        <w:t xml:space="preserve"> </w:t>
      </w:r>
      <w:r>
        <w:fldChar w:fldCharType="begin" w:fldLock="1"/>
      </w:r>
      <w:r w:rsidR="00AB4A77">
        <w:instrText>ADDIN CSL_CITATION {"citationItems":[{"id":"ITEM-1","itemData":{"DOI":"10.1016/S1473-3099(19)30403-7","ISSN":"14744457","PMID":"31563344","abstract":"Background: Nosocomial pneumonia due to antimicrobial-resistant pathogens is associated with high mortality. We assessed the efficacy and safety of the combination antibacterial drug ceftolozane–tazobactam versus meropenem for treatment of Gram-negative nosocomial pneumonia. Methods: We conducted a randomised, controlled, double-blind, non-inferiority trial at 263 hospitals in 34 countries. Eligible patients were aged 18 years or older, were undergoing mechanical ventilation, and had nosocomial pneumonia (either ventilator-associated pneumonia or ventilated hospital-acquired pneumonia). Patients were randomly assigned (1:1) with block randomisation (block size four), stratified by type of nosocomial pneumonia and age (&lt;65 years vs ≥65 years), to receive either 3 g ceftolozane–tazobactam or 1 g meropenem intravenously every 8 h for 8–14 days. The primary endpoint was 28-day all-cause mortality (at a 10% non-inferiority margin). The key secondary endpoint was clinical response at the test-of-cure visit (7–14 days after the end of therapy; 12·5% non-inferiority margin). Both endpoints were assessed in the intention-to-treat population. Investigators, study staff, patients, and patients' representatives were masked to treatment assignment. Safety was assessed in all randomly assigned patients who received study treatment. This trial was registered with ClinicalTrials.gov, NCT02070757. Findings: Between Jan 16, 2015, and April 27, 2018, 726 patients were enrolled and randomly assigned, 362 to the ceftolozane–tazobactam group and 364 to the meropenem group. Overall, 519 (71%) patients had ventilator-associated pneumonia, 239 (33%) had Acute Physiology and Chronic Health Evaluation II scores of at least 20, and 668 (92%) were in the intensive care unit. At 28 days, 87 (24·0%) patients in the ceftolozane–tazobactam group and 92 (25·3%) in the meropenem group had died (weighted treatment difference 1·1% [95% CI −5·1 to 7·4]). At the test-of-cure visit 197 (54%) patients in the ceftolozane–tazobactam group and 194 (53%) in the meropenem group were clinically cured (weighted treatment difference 1·1% [95% CI −6·2 to 8·3]). Ceftolozane–tazobactam was thus non-inferior to meropenem in terms of both 28-day all-cause mortality and clinical cure at test of cure. Treatment-related adverse events occurred in 38 (11%) of 361 patients in the ceftolozane–tazobactam group and 27 (8%) of 359 in the meropenem group. Eight (2%) patients in the ceftolozane–tazobactam group and t…","author":[{"dropping-particle":"","family":"Kollef","given":"Marin H.","non-dropping-particle":"","parse-names":false,"suffix":""},{"dropping-particle":"","family":"Nováček","given":"Martin","non-dropping-particle":"","parse-names":false,"suffix":""},{"dropping-particle":"","family":"Kivistik","given":"Ülo","non-dropping-particle":"","parse-names":false,"suffix":""},{"dropping-particle":"","family":"Réa-Neto","given":"Álvaro","non-dropping-particle":"","parse-names":false,"suffix":""},{"dropping-particle":"","family":"Shime","given":"Nobuaki","non-dropping-particle":"","parse-names":false,"suffix":""},{"dropping-particle":"","family":"Martin-Loeches","given":"Ignacio","non-dropping-particle":"","parse-names":false,"suffix":""},{"dropping-particle":"","family":"Timsit","given":"Jean François","non-dropping-particle":"","parse-names":false,"suffix":""},{"dropping-particle":"","family":"Wunderink","given":"Richard G.","non-dropping-particle":"","parse-names":false,"suffix":""},{"dropping-particle":"","family":"Bruno","given":"Christopher J.","non-dropping-particle":"","parse-names":false,"suffix":""},{"dropping-particle":"","family":"Huntington","given":"Jennifer A.","non-dropping-particle":"","parse-names":false,"suffix":""},{"dropping-particle":"","family":"Lin","given":"Gina","non-dropping-particle":"","parse-names":false,"suffix":""},{"dropping-particle":"","family":"Yu","given":"Brian","non-dropping-particle":"","parse-names":false,"suffix":""},{"dropping-particle":"","family":"Butterton","given":"Joan R.","non-dropping-particle":"","parse-names":false,"suffix":""},{"dropping-particle":"","family":"Rhee","given":"Elizabeth G.","non-dropping-particle":"","parse-names":false,"suffix":""}],"container-title":"The Lancet Infectious Diseases","id":"ITEM-1","issue":"12","issued":{"date-parts":[["2019","12","1"]]},"page":"1299-1311","publisher":"Lancet Publishing Group","title":"Ceftolozane–tazobactam versus meropenem for treatment of nosocomial pneumonia (ASPECT-NP): a randomised, controlled, double-blind, phase 3, non-inferiority trial","type":"article-journal","volume":"19"},"uris":["http://www.mendeley.com/documents/?uuid=779e70f2-916f-3769-b6db-f94034eaa2bf"]}],"mendeley":{"formattedCitation":"[151]","plainTextFormattedCitation":"[151]","previouslyFormattedCitation":"[151]"},"properties":{"noteIndex":0},"schema":"https://github.com/citation-style-language/schema/raw/master/csl-citation.json"}</w:instrText>
      </w:r>
      <w:r>
        <w:fldChar w:fldCharType="separate"/>
      </w:r>
      <w:r w:rsidRPr="008074B4">
        <w:rPr>
          <w:noProof/>
        </w:rPr>
        <w:t>[151]</w:t>
      </w:r>
      <w:r>
        <w:fldChar w:fldCharType="end"/>
      </w:r>
      <w:r w:rsidRPr="00761653">
        <w:t xml:space="preserve">. </w:t>
      </w:r>
      <w:r w:rsidRPr="00761653">
        <w:rPr>
          <w:bCs/>
        </w:rPr>
        <w:t>При нетяжелом течении инфекции</w:t>
      </w:r>
      <w:r w:rsidRPr="00761653">
        <w:t xml:space="preserve"> (диарея, температура, боль в животе) - метронидазол по 500 мг 3 раза в сутки перорально или внутривенно, </w:t>
      </w:r>
      <w:r w:rsidRPr="00761653">
        <w:rPr>
          <w:bCs/>
        </w:rPr>
        <w:t>при тяжелом течении</w:t>
      </w:r>
      <w:r w:rsidRPr="00761653">
        <w:t xml:space="preserve"> (повышение уровня креатинина на 50% и более от исходного значения, снижение уровня альбумина) </w:t>
      </w:r>
      <w:r>
        <w:t>–</w:t>
      </w:r>
      <w:r w:rsidRPr="00761653">
        <w:t xml:space="preserve"> в</w:t>
      </w:r>
      <w:r>
        <w:t>а</w:t>
      </w:r>
      <w:r w:rsidRPr="00761653">
        <w:t xml:space="preserve">нкомицин по 125 мг 4 раза в день перорально или введение в зонд, оро – или назогастральный, при рефрактерном течении - используют сочетание метронидазола с ванкомицином (метронидазол по 500 мг 3 раза в сутки внутривенно, ванкомицин по 500 мг 4 раза в день через оро- или назогастральный зонд). </w:t>
      </w:r>
      <w:r w:rsidRPr="00761653">
        <w:rPr>
          <w:bCs/>
        </w:rPr>
        <w:t>Длительность лечения</w:t>
      </w:r>
      <w:r w:rsidRPr="00761653">
        <w:t xml:space="preserve"> составляет 10-14 дней.</w:t>
      </w:r>
    </w:p>
    <w:p w14:paraId="61E0556A" w14:textId="77777777" w:rsidR="008074B4" w:rsidRDefault="008074B4" w:rsidP="008074B4">
      <w:pPr>
        <w:widowControl w:val="0"/>
        <w:tabs>
          <w:tab w:val="left" w:pos="317"/>
          <w:tab w:val="left" w:pos="8715"/>
        </w:tabs>
        <w:autoSpaceDE w:val="0"/>
        <w:autoSpaceDN w:val="0"/>
        <w:adjustRightInd w:val="0"/>
        <w:ind w:right="49"/>
        <w:contextualSpacing/>
        <w:rPr>
          <w:b/>
          <w:iCs/>
        </w:rPr>
      </w:pPr>
    </w:p>
    <w:p w14:paraId="7639A702" w14:textId="77777777" w:rsidR="008074B4" w:rsidRPr="00284D51" w:rsidRDefault="008074B4" w:rsidP="008074B4">
      <w:pPr>
        <w:widowControl w:val="0"/>
        <w:autoSpaceDE w:val="0"/>
        <w:autoSpaceDN w:val="0"/>
        <w:adjustRightInd w:val="0"/>
        <w:ind w:right="49"/>
        <w:contextualSpacing/>
        <w:rPr>
          <w:bCs/>
          <w:i/>
          <w:iCs/>
          <w:u w:val="single"/>
        </w:rPr>
      </w:pPr>
      <w:r w:rsidRPr="00284D51">
        <w:rPr>
          <w:bCs/>
          <w:i/>
          <w:iCs/>
          <w:u w:val="single"/>
        </w:rPr>
        <w:t>Назначение антибиотиков в зависимости от локализации инфекции</w:t>
      </w:r>
    </w:p>
    <w:p w14:paraId="1CC90053" w14:textId="77777777" w:rsidR="008074B4" w:rsidRPr="00284D51" w:rsidRDefault="008074B4" w:rsidP="00A10F8C">
      <w:pPr>
        <w:widowControl w:val="0"/>
        <w:autoSpaceDE w:val="0"/>
        <w:autoSpaceDN w:val="0"/>
        <w:adjustRightInd w:val="0"/>
        <w:ind w:right="49" w:firstLine="709"/>
        <w:contextualSpacing/>
        <w:rPr>
          <w:bCs/>
          <w:i/>
          <w:iCs/>
        </w:rPr>
      </w:pPr>
      <w:r w:rsidRPr="00284D51">
        <w:rPr>
          <w:bCs/>
          <w:i/>
          <w:iCs/>
        </w:rPr>
        <w:t>Мукозит. Гингивит</w:t>
      </w:r>
    </w:p>
    <w:p w14:paraId="661E28B9" w14:textId="77777777" w:rsidR="008074B4" w:rsidRPr="00761653" w:rsidRDefault="008074B4" w:rsidP="00A10F8C">
      <w:pPr>
        <w:widowControl w:val="0"/>
        <w:autoSpaceDE w:val="0"/>
        <w:autoSpaceDN w:val="0"/>
        <w:adjustRightInd w:val="0"/>
        <w:ind w:right="49" w:firstLine="709"/>
        <w:contextualSpacing/>
      </w:pPr>
      <w:r w:rsidRPr="00761653">
        <w:t xml:space="preserve">Чаще обусловлен грибами рода </w:t>
      </w:r>
      <w:r w:rsidRPr="00761653">
        <w:rPr>
          <w:i/>
        </w:rPr>
        <w:t>Candida</w:t>
      </w:r>
      <w:r w:rsidRPr="00761653">
        <w:t xml:space="preserve"> и герпес-вирусами, реже грамотрицательными бактериями (</w:t>
      </w:r>
      <w:r w:rsidRPr="00761653">
        <w:rPr>
          <w:i/>
        </w:rPr>
        <w:t>P. aeruginosa</w:t>
      </w:r>
      <w:r w:rsidRPr="00761653">
        <w:t xml:space="preserve">, </w:t>
      </w:r>
      <w:r w:rsidRPr="00761653">
        <w:rPr>
          <w:i/>
        </w:rPr>
        <w:t>S. malthopilia</w:t>
      </w:r>
      <w:r w:rsidRPr="00761653">
        <w:t>, бактериями порядка Enterobacterales). Лечение согласно выделенным микроорганизмам. При мукозите III-IV степени - ванкомицин, или даптомицин, или линезолид ввиду высокой вероятности развития сепсиса, обусловленного стрептококками</w:t>
      </w:r>
      <w:r w:rsidRPr="00761653">
        <w:rPr>
          <w:b/>
          <w:bCs/>
        </w:rPr>
        <w:t xml:space="preserve"> </w:t>
      </w:r>
      <w:r w:rsidRPr="00761653">
        <w:t xml:space="preserve">группы </w:t>
      </w:r>
      <w:r w:rsidRPr="00761653">
        <w:rPr>
          <w:i/>
          <w:iCs/>
        </w:rPr>
        <w:t>viridans</w:t>
      </w:r>
      <w:r w:rsidRPr="00761653">
        <w:t xml:space="preserve">. </w:t>
      </w:r>
    </w:p>
    <w:p w14:paraId="2E0D205E" w14:textId="77777777" w:rsidR="008074B4" w:rsidRPr="00284D51" w:rsidRDefault="008074B4" w:rsidP="00A10F8C">
      <w:pPr>
        <w:widowControl w:val="0"/>
        <w:autoSpaceDE w:val="0"/>
        <w:autoSpaceDN w:val="0"/>
        <w:adjustRightInd w:val="0"/>
        <w:ind w:right="49" w:firstLine="709"/>
        <w:contextualSpacing/>
        <w:rPr>
          <w:bCs/>
          <w:i/>
          <w:iCs/>
        </w:rPr>
      </w:pPr>
      <w:r w:rsidRPr="00284D51">
        <w:rPr>
          <w:bCs/>
          <w:i/>
          <w:iCs/>
        </w:rPr>
        <w:t>Пневмония</w:t>
      </w:r>
    </w:p>
    <w:p w14:paraId="489F83D9" w14:textId="77777777" w:rsidR="008074B4" w:rsidRPr="00761653" w:rsidRDefault="008074B4" w:rsidP="00A10F8C">
      <w:pPr>
        <w:widowControl w:val="0"/>
        <w:autoSpaceDE w:val="0"/>
        <w:autoSpaceDN w:val="0"/>
        <w:adjustRightInd w:val="0"/>
        <w:ind w:right="49" w:firstLine="709"/>
        <w:contextualSpacing/>
      </w:pPr>
      <w:r w:rsidRPr="00761653">
        <w:t xml:space="preserve">При стабильной ситуации выполняют БАЛ и дальнейшую модификацию антимикробной терапии осуществляют по результатам микробиологического исследования. При нестабильном соматическом состоянии или невозможности выполнения БАЛ назначают карбапенем (меропенем или имипенем/циластатин или дорипенем) и отменяют антибиотики первого этапа у больных с фебрильной нейтропенией. Вориконазол добавляют к лечению при пневмонии, резистентной к лечению антибиотиками, больным с нейтропенией от 10 дней и более или при лечении глюкокортикоидами, при условии, что не выявлены другие потенциальные возбудители пневмонии. Вориконазол назначают внутривенно, в 1-й день по 6 мг/кг 2 раза в сутки, в последующие дни по 4 мг/кг 2 раза в сутки, с переходом в дальнейшем на пероральную форму по 200 мг 2 раза в сутки, прием таблеток натощак или через 1 час после еды. </w:t>
      </w:r>
    </w:p>
    <w:p w14:paraId="2A920389" w14:textId="77777777" w:rsidR="008074B4" w:rsidRPr="00284D51" w:rsidRDefault="008074B4" w:rsidP="00A10F8C">
      <w:pPr>
        <w:widowControl w:val="0"/>
        <w:autoSpaceDE w:val="0"/>
        <w:autoSpaceDN w:val="0"/>
        <w:adjustRightInd w:val="0"/>
        <w:ind w:right="49" w:firstLine="709"/>
        <w:contextualSpacing/>
        <w:rPr>
          <w:bCs/>
          <w:i/>
        </w:rPr>
      </w:pPr>
      <w:r w:rsidRPr="00284D51">
        <w:rPr>
          <w:bCs/>
          <w:i/>
        </w:rPr>
        <w:t>Инфекция перианальной области (парапроктит, обострение геморроя и другие)</w:t>
      </w:r>
    </w:p>
    <w:p w14:paraId="3E9E613B" w14:textId="77777777" w:rsidR="008074B4" w:rsidRPr="00761653" w:rsidRDefault="008074B4" w:rsidP="00A10F8C">
      <w:pPr>
        <w:widowControl w:val="0"/>
        <w:autoSpaceDE w:val="0"/>
        <w:autoSpaceDN w:val="0"/>
        <w:adjustRightInd w:val="0"/>
        <w:ind w:right="49" w:firstLine="709"/>
        <w:contextualSpacing/>
      </w:pPr>
      <w:r>
        <w:t xml:space="preserve">Диагностику и тактику лечения перианальной области – см. ниже в настоящей главе. </w:t>
      </w:r>
      <w:r w:rsidRPr="00761653">
        <w:t xml:space="preserve">Схемы антимикробной терапии включаяют препараты с активностью против грамотрицательных и анаэробных бактерий (цефоперазон/сульбактам + амикацин, или цефепим + амикацин + метронидазол или антипсевдомонадный карбапенем). При неэффективности добавляют антибиотики, активные против грамположительных бактерий (ванкомицин или телаванцин или линезолид или тедизолид или даптомицин), при выделении </w:t>
      </w:r>
      <w:r w:rsidRPr="00761653">
        <w:rPr>
          <w:i/>
        </w:rPr>
        <w:t>Candida</w:t>
      </w:r>
      <w:r w:rsidRPr="00761653">
        <w:t xml:space="preserve"> spp. из ректального мазка – флуконазол (400 мг в/в 1 раз в сутки). </w:t>
      </w:r>
    </w:p>
    <w:p w14:paraId="5D04F2B1" w14:textId="77777777" w:rsidR="008074B4" w:rsidRDefault="008074B4" w:rsidP="008074B4">
      <w:pPr>
        <w:widowControl w:val="0"/>
        <w:autoSpaceDE w:val="0"/>
        <w:autoSpaceDN w:val="0"/>
        <w:adjustRightInd w:val="0"/>
        <w:ind w:right="49"/>
        <w:contextualSpacing/>
        <w:rPr>
          <w:b/>
          <w:bCs/>
        </w:rPr>
      </w:pPr>
    </w:p>
    <w:p w14:paraId="21DF5D79" w14:textId="77777777" w:rsidR="008074B4" w:rsidRPr="00284D51" w:rsidRDefault="008074B4" w:rsidP="008074B4">
      <w:pPr>
        <w:widowControl w:val="0"/>
        <w:autoSpaceDE w:val="0"/>
        <w:autoSpaceDN w:val="0"/>
        <w:adjustRightInd w:val="0"/>
        <w:ind w:right="49"/>
        <w:contextualSpacing/>
        <w:rPr>
          <w:bCs/>
          <w:i/>
          <w:iCs/>
          <w:u w:val="single"/>
        </w:rPr>
      </w:pPr>
      <w:r w:rsidRPr="00284D51">
        <w:rPr>
          <w:bCs/>
          <w:i/>
          <w:iCs/>
          <w:u w:val="single"/>
        </w:rPr>
        <w:t>Критерии прекращения противомикробной терапии</w:t>
      </w:r>
    </w:p>
    <w:p w14:paraId="1111B763" w14:textId="77777777" w:rsidR="008074B4" w:rsidRPr="00761653" w:rsidRDefault="008074B4" w:rsidP="00A10F8C">
      <w:pPr>
        <w:widowControl w:val="0"/>
        <w:autoSpaceDE w:val="0"/>
        <w:autoSpaceDN w:val="0"/>
        <w:adjustRightInd w:val="0"/>
        <w:ind w:right="49" w:firstLine="709"/>
        <w:contextualSpacing/>
      </w:pPr>
      <w:r w:rsidRPr="00284D51">
        <w:rPr>
          <w:i/>
          <w:iCs/>
        </w:rPr>
        <w:t>При лихорадке неясной этиологии</w:t>
      </w:r>
      <w:r w:rsidRPr="00284D51">
        <w:rPr>
          <w:b/>
          <w:bCs/>
        </w:rPr>
        <w:t xml:space="preserve"> </w:t>
      </w:r>
      <w:r w:rsidRPr="00284D51">
        <w:t>в период нейтропении/лейкопении антибиотики</w:t>
      </w:r>
      <w:r w:rsidRPr="00761653">
        <w:t xml:space="preserve"> отменяют через 72 часа, если у </w:t>
      </w:r>
      <w:r>
        <w:t>пациента</w:t>
      </w:r>
      <w:r w:rsidRPr="00761653">
        <w:t xml:space="preserve"> не было эпизода нестабильной гемодинамики в данный эпизод инфекции и нормальная температура отмечается в течение 48 ч. </w:t>
      </w:r>
    </w:p>
    <w:p w14:paraId="6FB50EEE" w14:textId="77777777" w:rsidR="008074B4" w:rsidRPr="00761653" w:rsidRDefault="008074B4" w:rsidP="00A10F8C">
      <w:pPr>
        <w:widowControl w:val="0"/>
        <w:autoSpaceDE w:val="0"/>
        <w:autoSpaceDN w:val="0"/>
        <w:adjustRightInd w:val="0"/>
        <w:ind w:right="49" w:firstLine="709"/>
        <w:contextualSpacing/>
      </w:pPr>
      <w:r w:rsidRPr="00284D51">
        <w:rPr>
          <w:i/>
          <w:iCs/>
        </w:rPr>
        <w:t>При клинически и микробиологически доказанной инфекции</w:t>
      </w:r>
      <w:r w:rsidRPr="00284D51">
        <w:t xml:space="preserve"> длительность</w:t>
      </w:r>
      <w:r w:rsidRPr="00761653">
        <w:t xml:space="preserve"> применения антибиотиков составляет не менее 7 дней, при соблюдении условий, что нормальная температура наблюдается не менее 4-х дней, очаги инфекции полностью регрессировали, достигнута (или предполагается) микробиологическая эрадикация возбудителя подтвержденной инфекции. После отмены антибиотиков продолжиют наблюдение </w:t>
      </w:r>
      <w:r>
        <w:t>пациента</w:t>
      </w:r>
      <w:r w:rsidRPr="00761653">
        <w:t xml:space="preserve"> с нейтропенией/лейкопенией в течение последующих 24-48 ч, и в случае появления температуры вновь назначают антибиотики. </w:t>
      </w:r>
    </w:p>
    <w:p w14:paraId="100AA29F" w14:textId="77777777" w:rsidR="008074B4" w:rsidRDefault="008074B4" w:rsidP="008074B4">
      <w:pPr>
        <w:widowControl w:val="0"/>
        <w:autoSpaceDE w:val="0"/>
        <w:autoSpaceDN w:val="0"/>
        <w:adjustRightInd w:val="0"/>
        <w:ind w:right="49"/>
        <w:contextualSpacing/>
        <w:rPr>
          <w:b/>
          <w:bCs/>
        </w:rPr>
      </w:pPr>
    </w:p>
    <w:p w14:paraId="030D5F71" w14:textId="77777777" w:rsidR="008074B4" w:rsidRPr="00284D51" w:rsidRDefault="008074B4" w:rsidP="008074B4">
      <w:pPr>
        <w:widowControl w:val="0"/>
        <w:autoSpaceDE w:val="0"/>
        <w:autoSpaceDN w:val="0"/>
        <w:adjustRightInd w:val="0"/>
        <w:ind w:right="49"/>
        <w:contextualSpacing/>
        <w:rPr>
          <w:bCs/>
          <w:i/>
          <w:iCs/>
          <w:u w:val="single"/>
        </w:rPr>
      </w:pPr>
      <w:r w:rsidRPr="00284D51">
        <w:rPr>
          <w:bCs/>
          <w:i/>
          <w:iCs/>
          <w:u w:val="single"/>
        </w:rPr>
        <w:t>Лечение пациентов в амбулаторных условиях</w:t>
      </w:r>
    </w:p>
    <w:p w14:paraId="331335F0" w14:textId="77777777" w:rsidR="008074B4" w:rsidRDefault="008074B4" w:rsidP="00A10F8C">
      <w:pPr>
        <w:widowControl w:val="0"/>
        <w:autoSpaceDE w:val="0"/>
        <w:autoSpaceDN w:val="0"/>
        <w:adjustRightInd w:val="0"/>
        <w:ind w:right="49" w:firstLine="709"/>
        <w:contextualSpacing/>
      </w:pPr>
      <w:r w:rsidRPr="00761653">
        <w:t xml:space="preserve">Амбулаторное лечение инфекционных осложнений в период нейтропении/лейкопении </w:t>
      </w:r>
      <w:r w:rsidRPr="00D40538">
        <w:t xml:space="preserve">проводят в большинстве случаев при условии, что ожидаемая длительность ее не будет превышать 5-10 дней и единственный симптом инфекции – температура менее 39,0°С; при этом нет значимых изменений в легких по данным радиологических исследований; отсутствует артериальная гипотензия и дыхательная недостаточность; нет клиники декомпенсации </w:t>
      </w:r>
      <w:r w:rsidRPr="00761653">
        <w:t xml:space="preserve">хронических заболеваний легких и сахарного диабета; нет нарушения сознания; отсутствует кровотечение; на предыдущих курсах химиотерапии не было инвазивного аспергиллеза. При ухудшении состояния больной должен быть </w:t>
      </w:r>
      <w:r w:rsidRPr="00D40538">
        <w:t xml:space="preserve">экстренно </w:t>
      </w:r>
      <w:r w:rsidRPr="00761653">
        <w:t xml:space="preserve">госпитализирован в стационар в любое время суток. </w:t>
      </w:r>
    </w:p>
    <w:p w14:paraId="03090166" w14:textId="77777777" w:rsidR="008074B4" w:rsidRDefault="008074B4" w:rsidP="00A10F8C">
      <w:pPr>
        <w:widowControl w:val="0"/>
        <w:autoSpaceDE w:val="0"/>
        <w:autoSpaceDN w:val="0"/>
        <w:adjustRightInd w:val="0"/>
        <w:ind w:right="49" w:firstLine="709"/>
        <w:contextualSpacing/>
      </w:pPr>
      <w:r w:rsidRPr="00761653">
        <w:t xml:space="preserve">Амбулаторно назначают сочетание амоксициллина/клавуланата (625 мг внутрь 3 раза в сутки) с ципрофлоксацином (0,5 г внутрь 2 раза в сутки) </w:t>
      </w:r>
      <w:r w:rsidRPr="00761653">
        <w:rPr>
          <w:i/>
          <w:iCs/>
        </w:rPr>
        <w:t xml:space="preserve">или </w:t>
      </w:r>
      <w:r w:rsidRPr="00761653">
        <w:t xml:space="preserve">левофлоксацин (по 0,5 г внутрь 1 раз в сутки) </w:t>
      </w:r>
      <w:r w:rsidRPr="00761653">
        <w:rPr>
          <w:i/>
          <w:iCs/>
        </w:rPr>
        <w:t>или</w:t>
      </w:r>
      <w:r w:rsidRPr="00761653">
        <w:t xml:space="preserve"> моксифлоксацин (0,4 г внутрь1 раз в сутки).</w:t>
      </w:r>
    </w:p>
    <w:p w14:paraId="0B875BEF" w14:textId="77777777" w:rsidR="008074B4" w:rsidRDefault="008074B4" w:rsidP="008074B4">
      <w:pPr>
        <w:widowControl w:val="0"/>
        <w:autoSpaceDE w:val="0"/>
        <w:autoSpaceDN w:val="0"/>
        <w:adjustRightInd w:val="0"/>
        <w:ind w:right="49"/>
        <w:contextualSpacing/>
        <w:jc w:val="left"/>
        <w:rPr>
          <w:b/>
        </w:rPr>
      </w:pPr>
    </w:p>
    <w:p w14:paraId="62DE83F1" w14:textId="77777777" w:rsidR="008074B4" w:rsidRPr="00284D51" w:rsidRDefault="008074B4" w:rsidP="008074B4">
      <w:pPr>
        <w:widowControl w:val="0"/>
        <w:autoSpaceDE w:val="0"/>
        <w:autoSpaceDN w:val="0"/>
        <w:adjustRightInd w:val="0"/>
        <w:ind w:right="49"/>
        <w:contextualSpacing/>
        <w:rPr>
          <w:bCs/>
          <w:i/>
          <w:iCs/>
          <w:u w:val="single"/>
        </w:rPr>
      </w:pPr>
      <w:r w:rsidRPr="00284D51">
        <w:rPr>
          <w:bCs/>
          <w:i/>
          <w:iCs/>
          <w:u w:val="single"/>
        </w:rPr>
        <w:t xml:space="preserve">Перианальная инфекция </w:t>
      </w:r>
    </w:p>
    <w:p w14:paraId="0D789427" w14:textId="77777777" w:rsidR="008074B4" w:rsidRPr="009A4DCC" w:rsidRDefault="008074B4" w:rsidP="003E550A">
      <w:pPr>
        <w:widowControl w:val="0"/>
        <w:autoSpaceDE w:val="0"/>
        <w:autoSpaceDN w:val="0"/>
        <w:adjustRightInd w:val="0"/>
        <w:ind w:right="49" w:firstLine="709"/>
        <w:contextualSpacing/>
      </w:pPr>
      <w:r>
        <w:t>Перианальная инфекция чаще встречается при нейтропении, которая</w:t>
      </w:r>
      <w:r w:rsidRPr="009A4DCC">
        <w:t xml:space="preserve"> существенным образом меняет клинику и течение инфекционных процессов, формирование воспалительных изменений в тканях может быть отсроченным и иметь атипичные формы; так, формирование абсцессов в условиях нейтропении происходит редко, изменения в тканях могут представлять собой воспалител</w:t>
      </w:r>
      <w:r>
        <w:t>ьные инфильтраты и некрозы</w:t>
      </w:r>
      <w:r w:rsidRPr="009A4DCC">
        <w:t>. Кроме того, нейтропения определяет возможность для появления дополнительных механизмов инфицирования – распространения микроорганизмов в ткани и кровоток со слизистой кишечника, через повреждения кожи анального канала и перианальной области. Поэтому в условиях нейтропении частыми источниками инфицирования параректальной клетчатки становятся анальные трещины, язвы, эрозивные проктиты, дерматиты и другие процессы, нарушающие барьерну</w:t>
      </w:r>
      <w:r>
        <w:t>ю функцию кожи и слизистой</w:t>
      </w:r>
      <w:r w:rsidRPr="009A4DCC">
        <w:t>.</w:t>
      </w:r>
      <w:r>
        <w:t xml:space="preserve"> </w:t>
      </w:r>
      <w:r w:rsidRPr="009A4DCC">
        <w:t xml:space="preserve">Опасность перианальной инфекции на фоне нейтропении обусловлена высокой </w:t>
      </w:r>
      <w:r>
        <w:t>(до 30%) вероятностью сепсиса</w:t>
      </w:r>
      <w:r w:rsidRPr="009A4DCC">
        <w:t xml:space="preserve">. </w:t>
      </w:r>
    </w:p>
    <w:p w14:paraId="65D85E07" w14:textId="77777777" w:rsidR="008074B4" w:rsidRPr="00284D51" w:rsidRDefault="008074B4" w:rsidP="008074B4">
      <w:pPr>
        <w:ind w:firstLine="708"/>
        <w:rPr>
          <w:bCs/>
          <w:i/>
          <w:iCs/>
        </w:rPr>
      </w:pPr>
      <w:r w:rsidRPr="00284D51">
        <w:rPr>
          <w:bCs/>
          <w:i/>
          <w:iCs/>
        </w:rPr>
        <w:t>Клиническая картина.</w:t>
      </w:r>
    </w:p>
    <w:p w14:paraId="389C25C9" w14:textId="77777777" w:rsidR="008074B4" w:rsidRPr="009A4DCC" w:rsidRDefault="008074B4" w:rsidP="008074B4">
      <w:pPr>
        <w:ind w:firstLine="708"/>
      </w:pPr>
      <w:r w:rsidRPr="009A4DCC">
        <w:t>Признаками перианальной инфекции обычно являются ан</w:t>
      </w:r>
      <w:r>
        <w:t>оректальная боль и лихорадка</w:t>
      </w:r>
      <w:r w:rsidRPr="009A4DCC">
        <w:t>. Оценка характера изменений в тканях является основой для выбора тактики лечения.</w:t>
      </w:r>
    </w:p>
    <w:p w14:paraId="5962516E" w14:textId="77777777" w:rsidR="008074B4" w:rsidRPr="00284D51" w:rsidRDefault="008074B4" w:rsidP="008074B4">
      <w:pPr>
        <w:ind w:firstLine="708"/>
        <w:rPr>
          <w:bCs/>
          <w:i/>
          <w:iCs/>
        </w:rPr>
      </w:pPr>
      <w:r w:rsidRPr="00284D51">
        <w:rPr>
          <w:bCs/>
          <w:i/>
          <w:iCs/>
        </w:rPr>
        <w:t>Диагностика.</w:t>
      </w:r>
    </w:p>
    <w:p w14:paraId="2BDAD8C1" w14:textId="77777777" w:rsidR="008074B4" w:rsidRPr="009A4DCC" w:rsidRDefault="008074B4" w:rsidP="0091350E">
      <w:pPr>
        <w:pStyle w:val="aff"/>
        <w:numPr>
          <w:ilvl w:val="0"/>
          <w:numId w:val="81"/>
        </w:numPr>
        <w:contextualSpacing/>
      </w:pPr>
      <w:r w:rsidRPr="009A4DCC">
        <w:t>Осмотр колопроктолога (первичный и повторно в динамике)</w:t>
      </w:r>
    </w:p>
    <w:p w14:paraId="05BA3E42" w14:textId="77777777" w:rsidR="008074B4" w:rsidRPr="009A4DCC" w:rsidRDefault="008074B4" w:rsidP="0091350E">
      <w:pPr>
        <w:pStyle w:val="aff"/>
        <w:numPr>
          <w:ilvl w:val="0"/>
          <w:numId w:val="81"/>
        </w:numPr>
        <w:contextualSpacing/>
      </w:pPr>
      <w:r w:rsidRPr="009A4DCC">
        <w:t>МРТ органов малого таза.</w:t>
      </w:r>
    </w:p>
    <w:p w14:paraId="54F30ACB" w14:textId="77777777" w:rsidR="008074B4" w:rsidRPr="009A4DCC" w:rsidRDefault="008074B4" w:rsidP="0091350E">
      <w:pPr>
        <w:pStyle w:val="aff"/>
        <w:numPr>
          <w:ilvl w:val="0"/>
          <w:numId w:val="81"/>
        </w:numPr>
        <w:contextualSpacing/>
      </w:pPr>
      <w:r>
        <w:t>КТ/СКТ</w:t>
      </w:r>
      <w:r w:rsidRPr="009A4DCC">
        <w:t xml:space="preserve"> органов малого таза</w:t>
      </w:r>
    </w:p>
    <w:p w14:paraId="0AF1FD05" w14:textId="77777777" w:rsidR="008074B4" w:rsidRPr="00AE580F" w:rsidRDefault="008074B4" w:rsidP="0091350E">
      <w:pPr>
        <w:pStyle w:val="aff"/>
        <w:numPr>
          <w:ilvl w:val="0"/>
          <w:numId w:val="81"/>
        </w:numPr>
        <w:contextualSpacing/>
      </w:pPr>
      <w:r>
        <w:t>Бактериологическое исследование</w:t>
      </w:r>
    </w:p>
    <w:p w14:paraId="0084522E" w14:textId="77777777" w:rsidR="008074B4" w:rsidRPr="009A4DCC" w:rsidRDefault="008074B4" w:rsidP="008074B4">
      <w:pPr>
        <w:ind w:firstLine="708"/>
      </w:pPr>
      <w:r w:rsidRPr="009A4DCC">
        <w:t>Диагноз перианальной инфекции устанавливается клинически на основании симптомов</w:t>
      </w:r>
      <w:r>
        <w:t>,</w:t>
      </w:r>
      <w:r w:rsidRPr="009A4DCC">
        <w:t xml:space="preserve"> характеризующих воспаление: перианальная боль, эритема, скопление жидк</w:t>
      </w:r>
      <w:r>
        <w:t>ости или образование свища</w:t>
      </w:r>
      <w:r w:rsidRPr="009A4DCC">
        <w:t>. При обследовании пациентов с нейтропенией важно учитывать, что инвазивные диагностические процедуры (ректальное исследование и ректоскопии) у этой категории больных связаны с опасностью диссеминации</w:t>
      </w:r>
      <w:r>
        <w:t xml:space="preserve"> инфекции в ткани и кровоток</w:t>
      </w:r>
      <w:r w:rsidRPr="009A4DCC">
        <w:t>. Если диагноз перианальной инфекции сомнителен у пациента с перианальной болью и недостаточностью клинических признаков, проводится визуализация с помощью МРТ или КТ</w:t>
      </w:r>
      <w:r>
        <w:t>/СКТ органов малого таза</w:t>
      </w:r>
      <w:r w:rsidRPr="009A4DCC">
        <w:t>. МРТ признаками перианальной инфекции является наличие полостей в параректальной клетчатке, скоплений жидкости, дефектов стенки прямой кишки и свищевых ходов. У больных с нейтропенией при наличии клинических данных достаточным МРТ-признаком перианальной инфекции является наличие отека па</w:t>
      </w:r>
      <w:r>
        <w:t>раректальной клетчатки</w:t>
      </w:r>
      <w:r w:rsidRPr="009A4DCC">
        <w:t>. Для выявления характера микрофлоры, назначения и модификации антибактериальной терапии проводят микробиологическое, молекулярное и др. исследования мазков со слизистой прямой кишки, отделяемого свища, поверхности раны</w:t>
      </w:r>
      <w:r>
        <w:t>, соскоба кожи перианальной области</w:t>
      </w:r>
      <w:r w:rsidRPr="009A4DCC">
        <w:t xml:space="preserve">. </w:t>
      </w:r>
    </w:p>
    <w:p w14:paraId="6F516C60" w14:textId="77777777" w:rsidR="008074B4" w:rsidRPr="00284D51" w:rsidRDefault="008074B4" w:rsidP="008074B4">
      <w:pPr>
        <w:ind w:firstLine="708"/>
        <w:rPr>
          <w:bCs/>
          <w:i/>
          <w:iCs/>
        </w:rPr>
      </w:pPr>
      <w:r w:rsidRPr="00284D51">
        <w:rPr>
          <w:bCs/>
          <w:i/>
          <w:iCs/>
        </w:rPr>
        <w:t>Лечение</w:t>
      </w:r>
    </w:p>
    <w:p w14:paraId="21B78B86" w14:textId="77777777" w:rsidR="008074B4" w:rsidRPr="00F36465" w:rsidRDefault="008074B4" w:rsidP="0091350E">
      <w:pPr>
        <w:pStyle w:val="aff"/>
        <w:numPr>
          <w:ilvl w:val="0"/>
          <w:numId w:val="82"/>
        </w:numPr>
        <w:contextualSpacing/>
      </w:pPr>
      <w:r w:rsidRPr="00F36465">
        <w:t>Антибактериальная терапия</w:t>
      </w:r>
      <w:r>
        <w:t xml:space="preserve"> (см. выше)</w:t>
      </w:r>
    </w:p>
    <w:p w14:paraId="1970613C" w14:textId="77777777" w:rsidR="008074B4" w:rsidRPr="00F22A59" w:rsidRDefault="008074B4" w:rsidP="0091350E">
      <w:pPr>
        <w:pStyle w:val="aff"/>
        <w:numPr>
          <w:ilvl w:val="0"/>
          <w:numId w:val="82"/>
        </w:numPr>
        <w:contextualSpacing/>
      </w:pPr>
      <w:r>
        <w:t>Хирургическое пособие</w:t>
      </w:r>
    </w:p>
    <w:p w14:paraId="074EEE34" w14:textId="77777777" w:rsidR="008074B4" w:rsidRPr="009A4DCC" w:rsidRDefault="008074B4" w:rsidP="008074B4">
      <w:pPr>
        <w:ind w:firstLine="708"/>
      </w:pPr>
      <w:r w:rsidRPr="009A4DCC">
        <w:t>Для пациентов страдающих нейтропенией или иной формой иммуносупресии, аноректальные инфекции рассматриваются как состояние, требующее неотложного лечения с помощью антибиотиков, что позволяется остановить развитие аноректал</w:t>
      </w:r>
      <w:r>
        <w:t>ьной инфекции и сепсиса</w:t>
      </w:r>
      <w:r w:rsidRPr="009A4DCC">
        <w:t>. Показано применение на первом этапе антимикробных препаратов, проявляющих активность в отношении грамотрицательных бактерий, включа</w:t>
      </w:r>
      <w:r>
        <w:t>я синегнойную палочку</w:t>
      </w:r>
      <w:r w:rsidRPr="009A4DCC">
        <w:t xml:space="preserve">, введение антимикробных препаратов проводится только </w:t>
      </w:r>
      <w:r>
        <w:t xml:space="preserve">внутрь и </w:t>
      </w:r>
      <w:r w:rsidRPr="009A4DCC">
        <w:t xml:space="preserve">внутривенно. </w:t>
      </w:r>
    </w:p>
    <w:p w14:paraId="7A14E53A" w14:textId="77777777" w:rsidR="008074B4" w:rsidRPr="009A4DCC" w:rsidRDefault="008074B4" w:rsidP="008074B4">
      <w:pPr>
        <w:ind w:firstLine="708"/>
      </w:pPr>
      <w:r w:rsidRPr="009A4DCC">
        <w:t>Показанием к операции является формировани</w:t>
      </w:r>
      <w:r>
        <w:t>е абсцесса или некроза</w:t>
      </w:r>
      <w:r w:rsidRPr="009A4DCC">
        <w:t>. Выполняют дрениро</w:t>
      </w:r>
      <w:r>
        <w:t>вание полостей, некрэктомию</w:t>
      </w:r>
      <w:r w:rsidRPr="009A4DCC">
        <w:t>. В ряде случаев (флегмона таза, свищи 3-4 степени сложности) оперативное дренирование сочетают с наложением отводящей колостомы. Хирургическое вмешательство должно быть проведено на фоне антибактериальной терапии под общим обезболиванием. Антибактериальная терапия должна быть продолжена в послеоперационном периоде до исче</w:t>
      </w:r>
      <w:r>
        <w:t>зновения признаков инфекции</w:t>
      </w:r>
      <w:r w:rsidRPr="009A4DCC">
        <w:t xml:space="preserve">. </w:t>
      </w:r>
    </w:p>
    <w:p w14:paraId="0EAAE5F3" w14:textId="77777777" w:rsidR="008074B4" w:rsidRPr="009A4DCC" w:rsidRDefault="008074B4" w:rsidP="008074B4">
      <w:pPr>
        <w:ind w:firstLine="708"/>
      </w:pPr>
      <w:r w:rsidRPr="009A4DCC">
        <w:t>Пациенты с абсолютным количеством нейтрофилов более 1000х10</w:t>
      </w:r>
      <w:r w:rsidRPr="009A4DCC">
        <w:rPr>
          <w:vertAlign w:val="superscript"/>
        </w:rPr>
        <w:t>9</w:t>
      </w:r>
      <w:r w:rsidRPr="009A4DCC">
        <w:t xml:space="preserve">/л имеют более высокие показатели излечения при хирургическом дренировании, пациенты с более низким количеством нейтрофилов и / или отсутствием флюктуации более успешно лечатся </w:t>
      </w:r>
      <w:r>
        <w:t xml:space="preserve">применением </w:t>
      </w:r>
      <w:r w:rsidRPr="009A4DCC">
        <w:t>только антибиотик</w:t>
      </w:r>
      <w:r>
        <w:t>ов</w:t>
      </w:r>
      <w:r w:rsidRPr="009A4DCC">
        <w:t xml:space="preserve">. </w:t>
      </w:r>
    </w:p>
    <w:p w14:paraId="4D4442C4" w14:textId="77777777" w:rsidR="008074B4" w:rsidRPr="00284D51" w:rsidRDefault="008074B4" w:rsidP="008074B4">
      <w:pPr>
        <w:ind w:firstLine="708"/>
      </w:pPr>
      <w:r w:rsidRPr="009A4DCC">
        <w:t xml:space="preserve">Прогноз при перианальной инфекции зависит от клинической ситуации. Показатель летальности непосредственно связанный с перианальными инфекционными осложнениями среди онкогематологических пациентов </w:t>
      </w:r>
      <w:r>
        <w:t>при адекватных подходах составляет менее 5%</w:t>
      </w:r>
      <w:r w:rsidRPr="009A4DCC">
        <w:t>.</w:t>
      </w:r>
    </w:p>
    <w:p w14:paraId="2B7C8868" w14:textId="064AD78E" w:rsidR="007B0F3D" w:rsidRDefault="007B0F3D" w:rsidP="007B0F3D">
      <w:pPr>
        <w:pStyle w:val="2"/>
      </w:pPr>
    </w:p>
    <w:p w14:paraId="2C63A8B5" w14:textId="2BF1D705" w:rsidR="00AB4A77" w:rsidRPr="00AB4A77" w:rsidRDefault="003E550A" w:rsidP="00AB4A77">
      <w:pPr>
        <w:pStyle w:val="2"/>
      </w:pPr>
      <w:bookmarkStart w:id="45" w:name="_Toc65104108"/>
      <w:r>
        <w:t xml:space="preserve">7.10 </w:t>
      </w:r>
      <w:r w:rsidR="00AB4A77" w:rsidRPr="00262806">
        <w:t>Вирусные инфекции у пациентов с гематологическими заболеваниями</w:t>
      </w:r>
      <w:bookmarkEnd w:id="45"/>
    </w:p>
    <w:p w14:paraId="297C1D35" w14:textId="77777777" w:rsidR="00AB4A77" w:rsidRDefault="00AB4A77" w:rsidP="00AB4A77">
      <w:pPr>
        <w:ind w:firstLine="708"/>
      </w:pPr>
      <w:r w:rsidRPr="0028579C">
        <w:t xml:space="preserve">Герпесвирусные инфекции диагностируют </w:t>
      </w:r>
      <w:r>
        <w:t>чаще</w:t>
      </w:r>
      <w:r w:rsidRPr="0028579C">
        <w:t xml:space="preserve"> всего у </w:t>
      </w:r>
      <w:r>
        <w:t>гематологических пациентов с</w:t>
      </w:r>
      <w:r w:rsidRPr="0028579C">
        <w:t xml:space="preserve"> лимфопролиферативными заболеваниями и у реципиентов аллогенных </w:t>
      </w:r>
      <w:r w:rsidRPr="00053026">
        <w:t>гемопоэтических стволовых клеток</w:t>
      </w:r>
      <w:r w:rsidRPr="0028579C">
        <w:t xml:space="preserve"> </w:t>
      </w:r>
      <w:r>
        <w:t>(</w:t>
      </w:r>
      <w:r w:rsidRPr="0028579C">
        <w:t>ТГСК</w:t>
      </w:r>
      <w:r>
        <w:t>)</w:t>
      </w:r>
      <w:r w:rsidRPr="0028579C">
        <w:t xml:space="preserve">. </w:t>
      </w:r>
      <w:r>
        <w:t>Для диагностики герпесвирусных инфекций проводят комплекс необходимых инструментальных исследований для получения материала – исследование полости рта, промежности, влагалища, прямой кишки, эзофагогастродуоденоскопия, бронхоальвеалярный лаваж, люмбальная пункция, пункция/биопсия ткани/очага поражения любой локализации, выявленных при УЗИ, КТ/СКТ, МРТ органов и полостей, или физикально (</w:t>
      </w:r>
      <w:r w:rsidRPr="0028579C">
        <w:t>везикул</w:t>
      </w:r>
      <w:r>
        <w:t>ы</w:t>
      </w:r>
      <w:r w:rsidRPr="0028579C">
        <w:t>, “корочки” с везикул</w:t>
      </w:r>
      <w:r>
        <w:t xml:space="preserve">), </w:t>
      </w:r>
      <w:r w:rsidRPr="0028579C">
        <w:t>сыворотк</w:t>
      </w:r>
      <w:r>
        <w:t>а</w:t>
      </w:r>
      <w:r w:rsidRPr="0028579C">
        <w:t xml:space="preserve"> крови</w:t>
      </w:r>
      <w:r>
        <w:t>, и др</w:t>
      </w:r>
      <w:r w:rsidRPr="0028579C">
        <w:t>.</w:t>
      </w:r>
    </w:p>
    <w:p w14:paraId="19794675" w14:textId="77777777" w:rsidR="00AB4A77" w:rsidRDefault="00AB4A77" w:rsidP="00AB4A77">
      <w:pPr>
        <w:ind w:firstLine="708"/>
      </w:pPr>
    </w:p>
    <w:p w14:paraId="5C90C5ED" w14:textId="77777777" w:rsidR="00AB4A77" w:rsidRPr="00A14D1D" w:rsidRDefault="00AB4A77" w:rsidP="00AB4A77">
      <w:pPr>
        <w:rPr>
          <w:bCs/>
          <w:i/>
          <w:iCs/>
          <w:u w:val="single"/>
        </w:rPr>
      </w:pPr>
      <w:r w:rsidRPr="00A14D1D">
        <w:rPr>
          <w:bCs/>
          <w:i/>
          <w:iCs/>
          <w:u w:val="single"/>
        </w:rPr>
        <w:t>Вирусы простого герпеса 1 и 2 типа (Herpes simplex virus, HSV)</w:t>
      </w:r>
    </w:p>
    <w:p w14:paraId="3906039E" w14:textId="04B8F9FB" w:rsidR="00AB4A77" w:rsidRPr="00867D9A" w:rsidRDefault="00AB4A77" w:rsidP="00AB4A77">
      <w:pPr>
        <w:ind w:firstLine="708"/>
      </w:pPr>
      <w:r>
        <w:t>HSV</w:t>
      </w:r>
      <w:r w:rsidRPr="006B215F">
        <w:t xml:space="preserve"> вызывают у </w:t>
      </w:r>
      <w:r>
        <w:t>пациентов</w:t>
      </w:r>
      <w:r w:rsidRPr="006B215F">
        <w:t xml:space="preserve"> гематологическими заболеваниями прежде всего </w:t>
      </w:r>
      <w:r w:rsidRPr="0028579C">
        <w:t xml:space="preserve">повреждение слизистых оболочек (мукозиты), чаще HSV 1 тип. До 80% взрослых </w:t>
      </w:r>
      <w:r>
        <w:t xml:space="preserve">пациентов с </w:t>
      </w:r>
      <w:r w:rsidRPr="0028579C">
        <w:t>острыми миелоидными лейкозами (ОМЛ) являются серопозитивными</w:t>
      </w:r>
      <w:r>
        <w:t xml:space="preserve"> по HSV</w:t>
      </w:r>
      <w:r w:rsidRPr="0028579C">
        <w:t>. Мукозиты, вызванные HSV, являются</w:t>
      </w:r>
      <w:r>
        <w:t>,</w:t>
      </w:r>
      <w:r w:rsidRPr="0028579C">
        <w:t xml:space="preserve"> как правило</w:t>
      </w:r>
      <w:r>
        <w:t>,</w:t>
      </w:r>
      <w:r w:rsidRPr="0028579C">
        <w:t xml:space="preserve"> проявлением реактивации латентной вирусной инфекции во время курсов полихимиотерапии (ПХТ) и у реципиентов ТГСК. Частота мукозитов, вызванных HSV, среди серопозитивных</w:t>
      </w:r>
      <w:r>
        <w:t xml:space="preserve"> пациентов ОМЛ во время ПХТ составляет 61%- 66%</w:t>
      </w:r>
      <w:r w:rsidRPr="006B215F">
        <w:t xml:space="preserve">, среди реципиентов аллогенных ТГСК достигает 80%, из них основная доля в первые 4 недели после ТГСК. При реактивации </w:t>
      </w:r>
      <w:r>
        <w:t>HSV</w:t>
      </w:r>
      <w:r w:rsidRPr="006B215F">
        <w:t xml:space="preserve"> орофарингеальные дефекты на слизистой оболочке возникают у 85-90%, в области промежности (генитальный гесрпес) – у 10-15% больных. Другая манифестация реактивации </w:t>
      </w:r>
      <w:r>
        <w:t>HSV</w:t>
      </w:r>
      <w:r w:rsidRPr="006B215F">
        <w:t xml:space="preserve"> – это эзофагит (10%). К редким проявлениям </w:t>
      </w:r>
      <w:r w:rsidRPr="00867D9A">
        <w:t xml:space="preserve">относят пневмонию (2-3% при отсутствии профилактики), гепатиты, менингит, энцефалит </w:t>
      </w:r>
      <w:r w:rsidRPr="00867D9A">
        <w:fldChar w:fldCharType="begin" w:fldLock="1"/>
      </w:r>
      <w:r w:rsidR="00A967A8">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[153]","plainTextFormattedCitation":"[153]","previouslyFormattedCitation":"[153]"},"properties":{"noteIndex":0},"schema":"https://github.com/citation-style-language/schema/raw/master/csl-citation.json"}</w:instrText>
      </w:r>
      <w:r w:rsidRPr="00867D9A">
        <w:fldChar w:fldCharType="separate"/>
      </w:r>
      <w:r w:rsidRPr="00AB4A77">
        <w:rPr>
          <w:noProof/>
        </w:rPr>
        <w:t>[153]</w:t>
      </w:r>
      <w:r w:rsidRPr="00867D9A">
        <w:fldChar w:fldCharType="end"/>
      </w:r>
      <w:r w:rsidRPr="00867D9A">
        <w:t>.</w:t>
      </w:r>
    </w:p>
    <w:p w14:paraId="36C59B2B" w14:textId="77777777" w:rsidR="00AB4A77" w:rsidRPr="00867D9A" w:rsidRDefault="00AB4A77" w:rsidP="00AB4A77">
      <w:pPr>
        <w:ind w:firstLine="708"/>
        <w:rPr>
          <w:bCs/>
          <w:i/>
          <w:iCs/>
        </w:rPr>
      </w:pPr>
      <w:r w:rsidRPr="00867D9A">
        <w:rPr>
          <w:bCs/>
          <w:i/>
          <w:iCs/>
        </w:rPr>
        <w:t>Диагностика</w:t>
      </w:r>
    </w:p>
    <w:p w14:paraId="55DE8122" w14:textId="7F87670B" w:rsidR="00AB4A77" w:rsidRPr="006B215F" w:rsidRDefault="00AB4A77" w:rsidP="00AB4A77">
      <w:pPr>
        <w:ind w:firstLine="708"/>
      </w:pPr>
      <w:r w:rsidRPr="006B215F">
        <w:t>Серологические тесты (выявление антител</w:t>
      </w:r>
      <w:r>
        <w:t xml:space="preserve"> в крови, биологических жидкостях</w:t>
      </w:r>
      <w:r w:rsidRPr="006B215F">
        <w:t>) проводят до индукционного курса П</w:t>
      </w:r>
      <w:r>
        <w:t>ХТ и</w:t>
      </w:r>
      <w:r w:rsidRPr="006B215F">
        <w:t xml:space="preserve"> перед ТГСК с целью выявдения серопозитивных пациентов</w:t>
      </w:r>
      <w:r>
        <w:t xml:space="preserve"> </w:t>
      </w:r>
      <w:r w:rsidRPr="00867D9A">
        <w:fldChar w:fldCharType="begin" w:fldLock="1"/>
      </w:r>
      <w:r w:rsidR="00A967A8">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[153]","plainTextFormattedCitation":"[153]","previouslyFormattedCitation":"[153]"},"properties":{"noteIndex":0},"schema":"https://github.com/citation-style-language/schema/raw/master/csl-citation.json"}</w:instrText>
      </w:r>
      <w:r w:rsidRPr="00867D9A">
        <w:fldChar w:fldCharType="separate"/>
      </w:r>
      <w:r w:rsidRPr="00AB4A77">
        <w:rPr>
          <w:noProof/>
        </w:rPr>
        <w:t>[153]</w:t>
      </w:r>
      <w:r w:rsidRPr="00867D9A">
        <w:fldChar w:fldCharType="end"/>
      </w:r>
      <w:r w:rsidRPr="006B215F">
        <w:t>.</w:t>
      </w:r>
    </w:p>
    <w:p w14:paraId="540CDE40" w14:textId="40349E94" w:rsidR="00AB4A77" w:rsidRPr="006B215F" w:rsidRDefault="00AB4A77" w:rsidP="00AB4A77">
      <w:pPr>
        <w:ind w:firstLine="708"/>
      </w:pPr>
      <w:r w:rsidRPr="006B215F">
        <w:t xml:space="preserve">Для диагностики инфекции необходимо выявление вирусного генома </w:t>
      </w:r>
      <w:r>
        <w:t xml:space="preserve">при молекулярно-биологическом исследовании </w:t>
      </w:r>
      <w:r w:rsidRPr="006B215F">
        <w:t xml:space="preserve">методом </w:t>
      </w:r>
      <w:r w:rsidRPr="0028579C">
        <w:t>полимеразной цепной реакции (ПЦР). Исследуемые</w:t>
      </w:r>
      <w:r w:rsidRPr="006B215F">
        <w:t xml:space="preserve"> образцы – сыворотка крови, отделяемой со слизистой ротогл</w:t>
      </w:r>
      <w:r>
        <w:t>отки (</w:t>
      </w:r>
      <w:r w:rsidRPr="006B215F">
        <w:t xml:space="preserve">при наличии признаков мукозита) или со слизистой пищевода, </w:t>
      </w:r>
      <w:r>
        <w:t xml:space="preserve">аспираты и </w:t>
      </w:r>
      <w:r w:rsidRPr="006B215F">
        <w:t>биоптаты слизистых и органов</w:t>
      </w:r>
      <w:r>
        <w:t xml:space="preserve"> </w:t>
      </w:r>
      <w:r w:rsidRPr="00867D9A">
        <w:fldChar w:fldCharType="begin" w:fldLock="1"/>
      </w:r>
      <w:r w:rsidR="00A967A8">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[153]","plainTextFormattedCitation":"[153]","previouslyFormattedCitation":"[153]"},"properties":{"noteIndex":0},"schema":"https://github.com/citation-style-language/schema/raw/master/csl-citation.json"}</w:instrText>
      </w:r>
      <w:r w:rsidRPr="00867D9A">
        <w:fldChar w:fldCharType="separate"/>
      </w:r>
      <w:r w:rsidRPr="00AB4A77">
        <w:rPr>
          <w:noProof/>
        </w:rPr>
        <w:t>[153]</w:t>
      </w:r>
      <w:r w:rsidRPr="00867D9A">
        <w:fldChar w:fldCharType="end"/>
      </w:r>
      <w:r w:rsidRPr="006B215F">
        <w:t>.</w:t>
      </w:r>
    </w:p>
    <w:p w14:paraId="0CB7227B" w14:textId="77777777" w:rsidR="00AB4A77" w:rsidRPr="00CA38D1" w:rsidRDefault="00AB4A77" w:rsidP="00AB4A77">
      <w:pPr>
        <w:ind w:firstLine="708"/>
        <w:rPr>
          <w:bCs/>
          <w:i/>
          <w:iCs/>
        </w:rPr>
      </w:pPr>
      <w:r w:rsidRPr="00CA38D1">
        <w:rPr>
          <w:bCs/>
          <w:i/>
          <w:iCs/>
        </w:rPr>
        <w:t>Лечение</w:t>
      </w:r>
    </w:p>
    <w:p w14:paraId="68B28B5E" w14:textId="6FC99259" w:rsidR="00AB4A77" w:rsidRPr="006B215F" w:rsidRDefault="00AB4A77" w:rsidP="00AB4A77">
      <w:pPr>
        <w:ind w:firstLine="708"/>
      </w:pPr>
      <w:r w:rsidRPr="006B215F">
        <w:t>Назначают ацикловир в дозе 250 мг/м</w:t>
      </w:r>
      <w:r w:rsidRPr="00CA38D1">
        <w:rPr>
          <w:vertAlign w:val="superscript"/>
        </w:rPr>
        <w:t>2</w:t>
      </w:r>
      <w:r w:rsidRPr="006B215F">
        <w:t xml:space="preserve"> или 5 мг/кг каждые 8 часов в течение 7-10 дней. При нетяжелых мукозитах проводят лечение пероральной формой препаратов- ацикловир по 200 и 5 раз или по 400 мг 5 раз в сутки, валацикловир – по 500 мг х 2 раза, фамцикловир по 500 мг 2 раза в течение 10 дней. При пневмонии или менингите используют высокие дозы ацикловира внутривенно 500 мг/м</w:t>
      </w:r>
      <w:r w:rsidRPr="006B215F">
        <w:rPr>
          <w:vertAlign w:val="superscript"/>
        </w:rPr>
        <w:t xml:space="preserve">2 </w:t>
      </w:r>
      <w:r w:rsidRPr="006B215F">
        <w:t>или 10 мг/кг каждые 8 часов в течение 14-21 дня</w:t>
      </w:r>
      <w:r>
        <w:t xml:space="preserve"> </w:t>
      </w:r>
      <w:r w:rsidRPr="00867D9A">
        <w:fldChar w:fldCharType="begin" w:fldLock="1"/>
      </w:r>
      <w:r w:rsidR="00A967A8">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[153]","plainTextFormattedCitation":"[153]","previouslyFormattedCitation":"[153]"},"properties":{"noteIndex":0},"schema":"https://github.com/citation-style-language/schema/raw/master/csl-citation.json"}</w:instrText>
      </w:r>
      <w:r w:rsidRPr="00867D9A">
        <w:fldChar w:fldCharType="separate"/>
      </w:r>
      <w:r w:rsidRPr="00AB4A77">
        <w:rPr>
          <w:noProof/>
        </w:rPr>
        <w:t>[153]</w:t>
      </w:r>
      <w:r w:rsidRPr="00867D9A">
        <w:fldChar w:fldCharType="end"/>
      </w:r>
      <w:r w:rsidRPr="006B215F">
        <w:t>.</w:t>
      </w:r>
    </w:p>
    <w:p w14:paraId="24998851" w14:textId="359FFF8D" w:rsidR="00AB4A77" w:rsidRDefault="00AB4A77" w:rsidP="00AB4A77">
      <w:pPr>
        <w:ind w:firstLine="708"/>
      </w:pPr>
      <w:r w:rsidRPr="006B215F">
        <w:t xml:space="preserve">Длительный прием ацикловира редко приводит к развитию резистентности. Резистентность к ацикловиру является следствием длительной реактивации </w:t>
      </w:r>
      <w:r>
        <w:t>HSV.</w:t>
      </w:r>
      <w:r w:rsidRPr="006B215F">
        <w:t xml:space="preserve"> В этих случаях назначают фоскарнет внутривенно 60 м</w:t>
      </w:r>
      <w:r>
        <w:t>г/кг каждые 12 час или 40 мг/кг</w:t>
      </w:r>
      <w:r w:rsidRPr="006B215F">
        <w:t xml:space="preserve"> каждые 8 час в течение 7-21 дня или до ликвидации симптомов инфекции</w:t>
      </w:r>
      <w:r>
        <w:t xml:space="preserve"> </w:t>
      </w:r>
      <w:r w:rsidRPr="00867D9A">
        <w:fldChar w:fldCharType="begin" w:fldLock="1"/>
      </w:r>
      <w:r w:rsidR="00A967A8">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[153]","plainTextFormattedCitation":"[153]","previouslyFormattedCitation":"[153]"},"properties":{"noteIndex":0},"schema":"https://github.com/citation-style-language/schema/raw/master/csl-citation.json"}</w:instrText>
      </w:r>
      <w:r w:rsidRPr="00867D9A">
        <w:fldChar w:fldCharType="separate"/>
      </w:r>
      <w:r w:rsidRPr="00AB4A77">
        <w:rPr>
          <w:noProof/>
        </w:rPr>
        <w:t>[153]</w:t>
      </w:r>
      <w:r w:rsidRPr="00867D9A">
        <w:fldChar w:fldCharType="end"/>
      </w:r>
      <w:r w:rsidRPr="006B215F">
        <w:t>.</w:t>
      </w:r>
    </w:p>
    <w:p w14:paraId="310F45DF" w14:textId="77777777" w:rsidR="00AB4A77" w:rsidRPr="006B215F" w:rsidRDefault="00AB4A77" w:rsidP="00AB4A77">
      <w:pPr>
        <w:ind w:firstLine="708"/>
      </w:pPr>
    </w:p>
    <w:p w14:paraId="31F84990" w14:textId="77777777" w:rsidR="00AB4A77" w:rsidRPr="00861C01" w:rsidRDefault="00AB4A77" w:rsidP="00AB4A77">
      <w:pPr>
        <w:rPr>
          <w:bCs/>
          <w:i/>
          <w:iCs/>
          <w:u w:val="single"/>
        </w:rPr>
      </w:pPr>
      <w:r w:rsidRPr="00861C01">
        <w:rPr>
          <w:bCs/>
          <w:i/>
          <w:iCs/>
          <w:u w:val="single"/>
        </w:rPr>
        <w:t xml:space="preserve">Герпес зостер вирус (Herpes zoster virus, HZV) </w:t>
      </w:r>
    </w:p>
    <w:p w14:paraId="1D2AF314" w14:textId="77777777" w:rsidR="00AB4A77" w:rsidRPr="00EE012F" w:rsidRDefault="00AB4A77" w:rsidP="00AB4A77">
      <w:pPr>
        <w:ind w:firstLine="708"/>
      </w:pPr>
      <w:r w:rsidRPr="006B215F">
        <w:t xml:space="preserve">У реципиентов ТГСК инфекция </w:t>
      </w:r>
      <w:r w:rsidRPr="0028579C">
        <w:t>чаще возникает в течение первых 24 месяцев. Группу риска составляют больные с хронической реакцией «трансплантат против хозяина» (РТПХ). Другие факторы включают наличие острого лейкоза или лимфопролиферативного</w:t>
      </w:r>
      <w:r w:rsidRPr="006B215F">
        <w:t xml:space="preserve"> заболевания в качестве диагноза до ТГСК, во</w:t>
      </w:r>
      <w:r>
        <w:t>зраст старше 50 лет, проведение</w:t>
      </w:r>
      <w:r w:rsidRPr="006B215F">
        <w:t xml:space="preserve"> миелоаблативного режима, </w:t>
      </w:r>
      <w:r>
        <w:t>CD</w:t>
      </w:r>
      <w:r w:rsidRPr="006B215F">
        <w:t>34+</w:t>
      </w:r>
      <w:r>
        <w:t xml:space="preserve"> селектированная аллогенная или аутологичная ТГСК, наличие дефицита одновременно CD</w:t>
      </w:r>
      <w:r w:rsidRPr="006B215F">
        <w:t xml:space="preserve">4(+) и </w:t>
      </w:r>
      <w:r>
        <w:t>CD</w:t>
      </w:r>
      <w:r w:rsidRPr="006B215F">
        <w:t>8(+) лимфоцитов на 30</w:t>
      </w:r>
      <w:r>
        <w:t>-</w:t>
      </w:r>
      <w:r w:rsidRPr="006B215F">
        <w:t xml:space="preserve">й день после ТГСК. </w:t>
      </w:r>
      <w:r>
        <w:t>Гематологические пациенты с лимфопролиферативными заболеваниями составляют группу повышенного риска, независимо от этапа лечения / наблюдения.</w:t>
      </w:r>
    </w:p>
    <w:p w14:paraId="13BC10F9" w14:textId="77777777" w:rsidR="00AB4A77" w:rsidRPr="006B215F" w:rsidRDefault="00AB4A77" w:rsidP="00AB4A77">
      <w:pPr>
        <w:ind w:firstLine="708"/>
      </w:pPr>
      <w:r w:rsidRPr="006B215F">
        <w:t xml:space="preserve">Инфекция, вызванная </w:t>
      </w:r>
      <w:r>
        <w:t>HZV</w:t>
      </w:r>
      <w:r w:rsidRPr="006B215F">
        <w:t xml:space="preserve">, характеризуется поражением межпозвоночных ганглиев, множественными высыпаниями на коже по ходу вовлеченных в процесс нервов, часто сопровождающимися сильными болями, возможно развитие энцефалита, гепатита, пневмонии. Описаны случаи локализации </w:t>
      </w:r>
      <w:r>
        <w:t>боли в эпигастральной области,</w:t>
      </w:r>
      <w:r w:rsidRPr="006B215F">
        <w:t xml:space="preserve"> абдоминальные с развитием паралитической кишечной непроходимости.</w:t>
      </w:r>
    </w:p>
    <w:p w14:paraId="30E3D79B" w14:textId="77777777" w:rsidR="00AB4A77" w:rsidRPr="006B215F" w:rsidRDefault="00AB4A77" w:rsidP="00AB4A77">
      <w:pPr>
        <w:ind w:firstLine="708"/>
      </w:pPr>
      <w:r w:rsidRPr="006B215F">
        <w:t xml:space="preserve">Диагностику проводят на основании </w:t>
      </w:r>
      <w:r>
        <w:t xml:space="preserve">выявления </w:t>
      </w:r>
      <w:r w:rsidRPr="0028579C">
        <w:t xml:space="preserve">дезоксирибонуклеиновой кислоты (ДНК) вируса </w:t>
      </w:r>
      <w:r>
        <w:t xml:space="preserve">при молекулярно-биологическом исследовании </w:t>
      </w:r>
      <w:r w:rsidRPr="0028579C">
        <w:t>методом ПЦР. Исследуют содержимое везикул, “корочки” с везикул, биоптаты тканей, мазки со слизистой зева, спинномозговую жидкость (СМЖ), сыворотку крови</w:t>
      </w:r>
      <w:r>
        <w:t>, и др</w:t>
      </w:r>
      <w:r w:rsidRPr="0028579C">
        <w:t>.</w:t>
      </w:r>
    </w:p>
    <w:p w14:paraId="2FD32329" w14:textId="77777777" w:rsidR="00AB4A77" w:rsidRDefault="00AB4A77" w:rsidP="00AB4A77">
      <w:pPr>
        <w:ind w:firstLine="708"/>
      </w:pPr>
      <w:r w:rsidRPr="006B215F">
        <w:t>Лечение проводят ацикловиром внутривенно в дозе 500 мг/м</w:t>
      </w:r>
      <w:r w:rsidRPr="006B215F">
        <w:rPr>
          <w:vertAlign w:val="superscript"/>
        </w:rPr>
        <w:t>2</w:t>
      </w:r>
      <w:r w:rsidRPr="006B215F">
        <w:t xml:space="preserve">, введение каждые 8 часов. При стабилизации состояния возможен переход на пероральный прием препаратов – валацикловир (по 100 мг 3 раза), фамцикловир (по 500 мг 3 раза), ацикловир (800 мг 5 раз). Общая длительность лечения составляет не менее 7 дней. В случае ацикловир-резистентных </w:t>
      </w:r>
      <w:r>
        <w:t xml:space="preserve">HZV используют фоскарнет (60 мг/кг каждые 12 час внутривенно) в течение 2 недель. </w:t>
      </w:r>
    </w:p>
    <w:p w14:paraId="51F8AB2B" w14:textId="77777777" w:rsidR="00AB4A77" w:rsidRDefault="00AB4A77" w:rsidP="00AB4A77">
      <w:pPr>
        <w:ind w:firstLine="708"/>
      </w:pPr>
    </w:p>
    <w:p w14:paraId="4BCB7134" w14:textId="77777777" w:rsidR="00AB4A77" w:rsidRPr="007F7F8C" w:rsidRDefault="00AB4A77" w:rsidP="00AB4A77">
      <w:pPr>
        <w:rPr>
          <w:bCs/>
          <w:i/>
          <w:iCs/>
          <w:u w:val="single"/>
        </w:rPr>
      </w:pPr>
      <w:r w:rsidRPr="007F7F8C">
        <w:rPr>
          <w:bCs/>
          <w:i/>
          <w:iCs/>
          <w:u w:val="single"/>
        </w:rPr>
        <w:t>Цитомегаловирус (Cytomegalovirus, CMV)</w:t>
      </w:r>
    </w:p>
    <w:p w14:paraId="56C2B6E6" w14:textId="1FF4A2EC" w:rsidR="00AB4A77" w:rsidRPr="00E42938" w:rsidRDefault="00AB4A77" w:rsidP="00AB4A77">
      <w:pPr>
        <w:ind w:firstLine="708"/>
      </w:pPr>
      <w:r w:rsidRPr="0028579C">
        <w:t xml:space="preserve">CMV остается частым осложнением </w:t>
      </w:r>
      <w:r>
        <w:t xml:space="preserve">у гематологических пациентов, в частности, </w:t>
      </w:r>
      <w:r w:rsidRPr="0028579C">
        <w:t>у реципиентов аллогенных ТГСК, может быть причиной заболевания как на раннем, так и позднем этапе после ТГСК, приводит к угнетению костно-мозгового кровообращения. Виремия при лимфоидных гематологических заболеваниях (ХЛЛ, лимфомы, острый лимфобластный лейкоз) и множественной миеломе достигает 13,6% в то время при миелоидны</w:t>
      </w:r>
      <w:r>
        <w:t>х гемобластозах составляет 3,9%.</w:t>
      </w:r>
      <w:r w:rsidRPr="0028579C">
        <w:t xml:space="preserve"> Выделяют CMV</w:t>
      </w:r>
      <w:r>
        <w:t>-</w:t>
      </w:r>
      <w:r w:rsidRPr="0028579C">
        <w:t>инфекцию и CMV</w:t>
      </w:r>
      <w:r>
        <w:t>-</w:t>
      </w:r>
      <w:r w:rsidRPr="0028579C">
        <w:t>заболевание. При CMV</w:t>
      </w:r>
      <w:r>
        <w:t>-</w:t>
      </w:r>
      <w:r w:rsidRPr="0028579C">
        <w:t>инфекции определяется виремия и температура в сочетании или без подавления костно-мозгового кроветворения. В случае CMV</w:t>
      </w:r>
      <w:r>
        <w:t>-</w:t>
      </w:r>
      <w:r w:rsidRPr="0028579C">
        <w:t xml:space="preserve">заболевания вирус определяется в биоптате или из образцов, полученных в ходе инвазивных вмешательств (жидкость бронхоальвеолярного лаважа, СМЖ), </w:t>
      </w:r>
      <w:r>
        <w:t>с</w:t>
      </w:r>
      <w:r w:rsidRPr="0028579C">
        <w:t xml:space="preserve"> наличием</w:t>
      </w:r>
      <w:r w:rsidRPr="006B215F">
        <w:t xml:space="preserve"> симптомов, ассоциированных с </w:t>
      </w:r>
      <w:r>
        <w:t xml:space="preserve">локализацией мест получения </w:t>
      </w:r>
      <w:r w:rsidRPr="006B215F">
        <w:t>образц</w:t>
      </w:r>
      <w:r>
        <w:t>ов</w:t>
      </w:r>
      <w:r w:rsidRPr="006B215F">
        <w:t xml:space="preserve"> исследования. Наряду с пневмонией, энцефалитом, ретинитом может развиться </w:t>
      </w:r>
      <w:r>
        <w:t>CMV-</w:t>
      </w:r>
      <w:r w:rsidRPr="006B215F">
        <w:t xml:space="preserve">гастроинтестинальное заболевание, диагностика которого </w:t>
      </w:r>
      <w:r w:rsidRPr="00E42938">
        <w:t xml:space="preserve">является наиболее трудной, особенно у пациентов с РТПХ </w:t>
      </w:r>
      <w:r w:rsidRPr="00E42938">
        <w:fldChar w:fldCharType="begin" w:fldLock="1"/>
      </w:r>
      <w:r w:rsidR="00A967A8">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[154]","plainTextFormattedCitation":"[154]","previouslyFormattedCitation":"[154]"},"properties":{"noteIndex":0},"schema":"https://github.com/citation-style-language/schema/raw/master/csl-citation.json"}</w:instrText>
      </w:r>
      <w:r w:rsidRPr="00E42938">
        <w:fldChar w:fldCharType="separate"/>
      </w:r>
      <w:r w:rsidRPr="00AB4A77">
        <w:rPr>
          <w:noProof/>
        </w:rPr>
        <w:t>[154]</w:t>
      </w:r>
      <w:r w:rsidRPr="00E42938">
        <w:fldChar w:fldCharType="end"/>
      </w:r>
      <w:r w:rsidRPr="00E42938">
        <w:t xml:space="preserve">. </w:t>
      </w:r>
    </w:p>
    <w:p w14:paraId="06EF7BB0" w14:textId="77777777" w:rsidR="00AB4A77" w:rsidRPr="007F7F8C" w:rsidRDefault="00AB4A77" w:rsidP="00AB4A77">
      <w:pPr>
        <w:ind w:firstLine="708"/>
        <w:rPr>
          <w:bCs/>
          <w:i/>
          <w:iCs/>
        </w:rPr>
      </w:pPr>
      <w:r w:rsidRPr="007F7F8C">
        <w:rPr>
          <w:bCs/>
          <w:i/>
          <w:iCs/>
        </w:rPr>
        <w:t>Диагностика</w:t>
      </w:r>
    </w:p>
    <w:p w14:paraId="2C68B228" w14:textId="77777777" w:rsidR="00AB4A77" w:rsidRPr="006B215F" w:rsidRDefault="00AB4A77" w:rsidP="00AB4A77">
      <w:pPr>
        <w:ind w:firstLine="708"/>
      </w:pPr>
      <w:r w:rsidRPr="006B215F">
        <w:t xml:space="preserve">У реципиентов </w:t>
      </w:r>
      <w:r>
        <w:t xml:space="preserve">до </w:t>
      </w:r>
      <w:r w:rsidRPr="006B215F">
        <w:t xml:space="preserve">ТГСК исследуют наличие антител </w:t>
      </w:r>
      <w:r>
        <w:t>CMV.</w:t>
      </w:r>
    </w:p>
    <w:p w14:paraId="47876A3E" w14:textId="5C7376A9" w:rsidR="00AB4A77" w:rsidRPr="006B215F" w:rsidRDefault="00AB4A77" w:rsidP="00AB4A77">
      <w:pPr>
        <w:ind w:firstLine="708"/>
      </w:pPr>
      <w:r w:rsidRPr="006B215F">
        <w:t xml:space="preserve">Для диагностики инфекции или заболевания используют </w:t>
      </w:r>
      <w:r w:rsidRPr="00B67A55">
        <w:t>молекулярно-биологическое исследование на цитомегаловирус, включая количественное исследование</w:t>
      </w:r>
      <w:r>
        <w:t xml:space="preserve"> </w:t>
      </w:r>
      <w:r w:rsidRPr="006B215F">
        <w:t xml:space="preserve"> мето</w:t>
      </w:r>
      <w:r>
        <w:t>дом</w:t>
      </w:r>
      <w:r w:rsidRPr="006B215F">
        <w:t xml:space="preserve"> ПЦР</w:t>
      </w:r>
      <w:r>
        <w:t xml:space="preserve"> </w:t>
      </w:r>
      <w:r w:rsidRPr="00E42938">
        <w:fldChar w:fldCharType="begin" w:fldLock="1"/>
      </w:r>
      <w:r w:rsidR="00A967A8">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[154]","plainTextFormattedCitation":"[154]","previouslyFormattedCitation":"[154]"},"properties":{"noteIndex":0},"schema":"https://github.com/citation-style-language/schema/raw/master/csl-citation.json"}</w:instrText>
      </w:r>
      <w:r w:rsidRPr="00E42938">
        <w:fldChar w:fldCharType="separate"/>
      </w:r>
      <w:r w:rsidRPr="00AB4A77">
        <w:rPr>
          <w:noProof/>
        </w:rPr>
        <w:t>[154]</w:t>
      </w:r>
      <w:r w:rsidRPr="00E42938">
        <w:fldChar w:fldCharType="end"/>
      </w:r>
      <w:r w:rsidRPr="006B215F">
        <w:t>. Всем реципиентам аллогенной ТГ</w:t>
      </w:r>
      <w:r>
        <w:t>СК следует проводить мониторинг</w:t>
      </w:r>
      <w:r w:rsidRPr="006B215F">
        <w:t xml:space="preserve"> определения ДНК </w:t>
      </w:r>
      <w:r>
        <w:t>CMV</w:t>
      </w:r>
      <w:r w:rsidRPr="006B215F">
        <w:t xml:space="preserve"> не реже чем 1 раз в неделю. Длительность мониторинга составляет не менее 100 дней. Удлинение мониторинга рекомендовано у реципиентов с острой или хронической РТПХ, имевших </w:t>
      </w:r>
      <w:r>
        <w:t>CMV</w:t>
      </w:r>
      <w:r w:rsidRPr="006B215F">
        <w:t xml:space="preserve"> инфекцию в раннем периоде ТГСК, а также у реципиентов после несовместимой или неродственной ТГСК.</w:t>
      </w:r>
    </w:p>
    <w:p w14:paraId="3103B1D4" w14:textId="77777777" w:rsidR="00AB4A77" w:rsidRPr="007F7F8C" w:rsidRDefault="00AB4A77" w:rsidP="00AB4A77">
      <w:pPr>
        <w:ind w:firstLine="708"/>
        <w:rPr>
          <w:bCs/>
          <w:i/>
          <w:iCs/>
        </w:rPr>
      </w:pPr>
      <w:r w:rsidRPr="007F7F8C">
        <w:rPr>
          <w:bCs/>
          <w:i/>
          <w:iCs/>
        </w:rPr>
        <w:t>Лечение</w:t>
      </w:r>
    </w:p>
    <w:p w14:paraId="75C9DBAB" w14:textId="0ACF4895" w:rsidR="00AB4A77" w:rsidRPr="006B215F" w:rsidRDefault="00AB4A77" w:rsidP="00AB4A77">
      <w:pPr>
        <w:ind w:firstLine="708"/>
      </w:pPr>
      <w:r w:rsidRPr="006B215F">
        <w:t>Препаратом 1 линии является ганцикловир (внутривенно, 10 мг/кг/сутки, дозу разделяют на два приема)</w:t>
      </w:r>
      <w:r>
        <w:t xml:space="preserve"> </w:t>
      </w:r>
      <w:r w:rsidRPr="00E42938">
        <w:fldChar w:fldCharType="begin" w:fldLock="1"/>
      </w:r>
      <w:r w:rsidR="00A967A8">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[154]","plainTextFormattedCitation":"[154]","previouslyFormattedCitation":"[154]"},"properties":{"noteIndex":0},"schema":"https://github.com/citation-style-language/schema/raw/master/csl-citation.json"}</w:instrText>
      </w:r>
      <w:r w:rsidRPr="00E42938">
        <w:fldChar w:fldCharType="separate"/>
      </w:r>
      <w:r w:rsidRPr="00AB4A77">
        <w:rPr>
          <w:noProof/>
        </w:rPr>
        <w:t>[154]</w:t>
      </w:r>
      <w:r w:rsidRPr="00E42938">
        <w:fldChar w:fldCharType="end"/>
      </w:r>
      <w:r w:rsidRPr="006B215F">
        <w:t>. При резистентности назначают фоскарнет. Длительность лечения составляет не мене 2 недель. Назначают поддерживающую терапию ганцикловиром, если виремия продолжает определяться через 2 недели</w:t>
      </w:r>
      <w:r>
        <w:t xml:space="preserve"> </w:t>
      </w:r>
      <w:r w:rsidRPr="00E42938">
        <w:fldChar w:fldCharType="begin" w:fldLock="1"/>
      </w:r>
      <w:r w:rsidR="00A967A8">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[154]","plainTextFormattedCitation":"[154]","previouslyFormattedCitation":"[154]"},"properties":{"noteIndex":0},"schema":"https://github.com/citation-style-language/schema/raw/master/csl-citation.json"}</w:instrText>
      </w:r>
      <w:r w:rsidRPr="00E42938">
        <w:fldChar w:fldCharType="separate"/>
      </w:r>
      <w:r w:rsidRPr="00AB4A77">
        <w:rPr>
          <w:noProof/>
        </w:rPr>
        <w:t>[154]</w:t>
      </w:r>
      <w:r w:rsidRPr="00E42938">
        <w:fldChar w:fldCharType="end"/>
      </w:r>
      <w:r w:rsidRPr="006B215F">
        <w:t>.</w:t>
      </w:r>
    </w:p>
    <w:p w14:paraId="5BFD1E2A" w14:textId="77777777" w:rsidR="00AB4A77" w:rsidRDefault="00AB4A77" w:rsidP="00AB4A77">
      <w:pPr>
        <w:rPr>
          <w:bCs/>
          <w:i/>
          <w:iCs/>
          <w:u w:val="single"/>
        </w:rPr>
      </w:pPr>
    </w:p>
    <w:p w14:paraId="187B1298" w14:textId="77777777" w:rsidR="00AB4A77" w:rsidRPr="00E42938" w:rsidRDefault="00AB4A77" w:rsidP="00AB4A77">
      <w:pPr>
        <w:rPr>
          <w:bCs/>
          <w:i/>
          <w:iCs/>
          <w:u w:val="single"/>
        </w:rPr>
      </w:pPr>
      <w:r w:rsidRPr="00E42938">
        <w:rPr>
          <w:bCs/>
          <w:i/>
          <w:iCs/>
          <w:u w:val="single"/>
        </w:rPr>
        <w:t>Вирус Эпштейна-Барр (Epstein-Barr virus – EBV)</w:t>
      </w:r>
    </w:p>
    <w:p w14:paraId="448502D2" w14:textId="48C3A904" w:rsidR="00AB4A77" w:rsidRDefault="00AB4A77" w:rsidP="00AB4A77">
      <w:pPr>
        <w:ind w:firstLine="708"/>
      </w:pPr>
      <w:r w:rsidRPr="003605AD">
        <w:t xml:space="preserve">Проявления </w:t>
      </w:r>
      <w:r>
        <w:t>EBV</w:t>
      </w:r>
      <w:r w:rsidRPr="00275E66">
        <w:t>-</w:t>
      </w:r>
      <w:r w:rsidRPr="003605AD">
        <w:t xml:space="preserve">инфекции могут быть в виде </w:t>
      </w:r>
      <w:r>
        <w:t>инфекционного мононуклеоза, хронической EBV</w:t>
      </w:r>
      <w:r w:rsidRPr="00275E66">
        <w:t>-</w:t>
      </w:r>
      <w:r>
        <w:t>инфекции, EBV-ассоциированной опухоли. В некоторых случаях проявлением реактивации бывает энцефалит, пневмония и гепатит. Частота EBV-ассоциированного лимфопролиферативного заболевания составляет у реципиентов аутологичных ТГСК около 0, 07%, аллогенных ТГСК – 0,45-4%</w:t>
      </w:r>
      <w:r w:rsidRPr="006B215F">
        <w:t>;</w:t>
      </w:r>
      <w:r>
        <w:t xml:space="preserve"> наиболее высокий показатель после гаплоидентичной ТГСК (до 25%) и после деплеции Т-клеток (12-29%). Реципиенты после неродственной или частично совместимой ТГСК или после деплеции Т-клеток составляют группу риска в отношении развития EBV</w:t>
      </w:r>
      <w:r w:rsidRPr="006B215F">
        <w:t xml:space="preserve"> </w:t>
      </w:r>
      <w:r>
        <w:t xml:space="preserve">ассоциированной опухоли </w:t>
      </w:r>
      <w:r w:rsidRPr="00867D9A">
        <w:fldChar w:fldCharType="begin" w:fldLock="1"/>
      </w:r>
      <w:r w:rsidR="00A967A8">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[153]","plainTextFormattedCitation":"[153]","previouslyFormattedCitation":"[153]"},"properties":{"noteIndex":0},"schema":"https://github.com/citation-style-language/schema/raw/master/csl-citation.json"}</w:instrText>
      </w:r>
      <w:r w:rsidRPr="00867D9A">
        <w:fldChar w:fldCharType="separate"/>
      </w:r>
      <w:r w:rsidRPr="00AB4A77">
        <w:rPr>
          <w:noProof/>
        </w:rPr>
        <w:t>[153]</w:t>
      </w:r>
      <w:r w:rsidRPr="00867D9A">
        <w:fldChar w:fldCharType="end"/>
      </w:r>
      <w:r>
        <w:t>.</w:t>
      </w:r>
    </w:p>
    <w:p w14:paraId="3DCA1592" w14:textId="77777777" w:rsidR="00AB4A77" w:rsidRPr="006B215F" w:rsidRDefault="00AB4A77" w:rsidP="00AB4A77">
      <w:pPr>
        <w:ind w:firstLine="708"/>
      </w:pPr>
      <w:r>
        <w:t>Диагностика – детекция ДНК EBV</w:t>
      </w:r>
      <w:r w:rsidRPr="006B215F">
        <w:t xml:space="preserve"> методом ПЦР (количественный метод). Мониторинг </w:t>
      </w:r>
      <w:r>
        <w:t>ДНК EBV</w:t>
      </w:r>
      <w:r w:rsidRPr="006B215F">
        <w:t xml:space="preserve"> в группе высо</w:t>
      </w:r>
      <w:r>
        <w:t>ко</w:t>
      </w:r>
      <w:r w:rsidRPr="006B215F">
        <w:t xml:space="preserve">го риска (аллогенная ТГСК) необходимо проводить еженедельно в течение 3х месяцев после ТГСК, более продолжительный период – при хронической РТПХ, после </w:t>
      </w:r>
      <w:r>
        <w:t>гаплоидентичной ТГСК, а также среди пациентов с ранней реактивацией EBV</w:t>
      </w:r>
      <w:r w:rsidRPr="006B215F">
        <w:t>.</w:t>
      </w:r>
    </w:p>
    <w:p w14:paraId="0CAA4F5E" w14:textId="590AA08A" w:rsidR="00AB4A77" w:rsidRPr="003605AD" w:rsidRDefault="00AB4A77" w:rsidP="00AB4A77">
      <w:pPr>
        <w:ind w:firstLine="708"/>
      </w:pPr>
      <w:r w:rsidRPr="006B215F">
        <w:t xml:space="preserve">Лечение </w:t>
      </w:r>
      <w:r>
        <w:t xml:space="preserve">EBV-ассоциированного лимфопролиферативного заболевания проводят ритуксимабом </w:t>
      </w:r>
      <w:r w:rsidRPr="00867D9A">
        <w:fldChar w:fldCharType="begin" w:fldLock="1"/>
      </w:r>
      <w:r w:rsidR="00A967A8">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[153]","plainTextFormattedCitation":"[153]","previouslyFormattedCitation":"[153]"},"properties":{"noteIndex":0},"schema":"https://github.com/citation-style-language/schema/raw/master/csl-citation.json"}</w:instrText>
      </w:r>
      <w:r w:rsidRPr="00867D9A">
        <w:fldChar w:fldCharType="separate"/>
      </w:r>
      <w:r w:rsidRPr="00AB4A77">
        <w:rPr>
          <w:noProof/>
        </w:rPr>
        <w:t>[153]</w:t>
      </w:r>
      <w:r w:rsidRPr="00867D9A">
        <w:fldChar w:fldCharType="end"/>
      </w:r>
      <w:r>
        <w:t>. Антивирусные препараты и иммуноглобулин не рекомендованы для лечения.</w:t>
      </w:r>
    </w:p>
    <w:p w14:paraId="7CB38E01" w14:textId="77777777" w:rsidR="00AB4A77" w:rsidRDefault="00AB4A77" w:rsidP="00AB4A77">
      <w:pPr>
        <w:rPr>
          <w:bCs/>
          <w:i/>
          <w:iCs/>
          <w:u w:val="single"/>
        </w:rPr>
      </w:pPr>
    </w:p>
    <w:p w14:paraId="0F5BB9CC" w14:textId="77777777" w:rsidR="00AB4A77" w:rsidRPr="00023E68" w:rsidRDefault="00AB4A77" w:rsidP="00AB4A77">
      <w:pPr>
        <w:rPr>
          <w:bCs/>
          <w:i/>
          <w:iCs/>
          <w:u w:val="single"/>
        </w:rPr>
      </w:pPr>
      <w:r w:rsidRPr="00023E68">
        <w:rPr>
          <w:bCs/>
          <w:i/>
          <w:iCs/>
          <w:u w:val="single"/>
        </w:rPr>
        <w:t>Вирус герпеса человека 6 типа (Human herpes virus 6 – HHV-6)</w:t>
      </w:r>
    </w:p>
    <w:p w14:paraId="4CF37D48" w14:textId="07F2151E" w:rsidR="00AB4A77" w:rsidRPr="006B215F" w:rsidRDefault="00AB4A77" w:rsidP="00AB4A77">
      <w:pPr>
        <w:ind w:firstLine="708"/>
      </w:pPr>
      <w:r>
        <w:t>Среди</w:t>
      </w:r>
      <w:r w:rsidRPr="006B215F">
        <w:rPr>
          <w:b/>
        </w:rPr>
        <w:t xml:space="preserve"> </w:t>
      </w:r>
      <w:r w:rsidRPr="00620C7D">
        <w:t>HHV</w:t>
      </w:r>
      <w:r w:rsidRPr="006B215F">
        <w:t xml:space="preserve">6 выделяют тип А и тип В. </w:t>
      </w:r>
      <w:r>
        <w:t xml:space="preserve">Реактивация вируса может приводить к развитию энцефалита, угнетению костно-мозгового кроветворения, пневмонии, быть причиной диареи. Энцефалит, вызванный </w:t>
      </w:r>
      <w:r w:rsidRPr="005B1B4B">
        <w:t>HHV</w:t>
      </w:r>
      <w:r w:rsidRPr="006B215F">
        <w:t xml:space="preserve">6, является редким проявлением инфекции, описаны случаи при неродственной ТГСК. В СМЖ </w:t>
      </w:r>
      <w:r>
        <w:t>пациентов с</w:t>
      </w:r>
      <w:r w:rsidRPr="006B215F">
        <w:t xml:space="preserve"> энцефалитом </w:t>
      </w:r>
      <w:r w:rsidRPr="005B1B4B">
        <w:t>HHV</w:t>
      </w:r>
      <w:r>
        <w:t>-</w:t>
      </w:r>
      <w:r w:rsidRPr="006B215F">
        <w:t xml:space="preserve">6 определяется повышенный уровень белка, в половине случаев бывает плеоцитоз. </w:t>
      </w:r>
      <w:r w:rsidRPr="0028579C">
        <w:t>Компьютерная томография головного мозга</w:t>
      </w:r>
      <w:r w:rsidRPr="006B215F">
        <w:t xml:space="preserve"> может быть нормальной, изменения </w:t>
      </w:r>
      <w:r w:rsidRPr="0028579C">
        <w:t>определяются при магнитно-резонансной томографии</w:t>
      </w:r>
      <w:r>
        <w:t xml:space="preserve"> </w:t>
      </w:r>
      <w:r w:rsidRPr="00E42938">
        <w:fldChar w:fldCharType="begin" w:fldLock="1"/>
      </w:r>
      <w:r w:rsidR="00A967A8">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[154]","plainTextFormattedCitation":"[154]","previouslyFormattedCitation":"[154]"},"properties":{"noteIndex":0},"schema":"https://github.com/citation-style-language/schema/raw/master/csl-citation.json"}</w:instrText>
      </w:r>
      <w:r w:rsidRPr="00E42938">
        <w:fldChar w:fldCharType="separate"/>
      </w:r>
      <w:r w:rsidRPr="00AB4A77">
        <w:rPr>
          <w:noProof/>
        </w:rPr>
        <w:t>[154]</w:t>
      </w:r>
      <w:r w:rsidRPr="00E42938">
        <w:fldChar w:fldCharType="end"/>
      </w:r>
      <w:r w:rsidRPr="006B215F">
        <w:t xml:space="preserve">. </w:t>
      </w:r>
    </w:p>
    <w:p w14:paraId="341A1982" w14:textId="77777777" w:rsidR="00AB4A77" w:rsidRDefault="00AB4A77" w:rsidP="00AB4A77">
      <w:pPr>
        <w:ind w:firstLine="708"/>
      </w:pPr>
      <w:r>
        <w:t xml:space="preserve">Диагностика проводится на основании молекулярно-биологического исследования на </w:t>
      </w:r>
      <w:r w:rsidRPr="00620C7D">
        <w:t>HHV</w:t>
      </w:r>
      <w:r w:rsidRPr="006B215F">
        <w:t>6</w:t>
      </w:r>
      <w:r>
        <w:t xml:space="preserve">, выявляющая ДНК вируса методом ПЦР в крови, в СМЖ, других биологических субстратах,  в том числе, количественным методом. </w:t>
      </w:r>
    </w:p>
    <w:p w14:paraId="68516EB6" w14:textId="40CD1735" w:rsidR="00AB4A77" w:rsidRPr="00C1743E" w:rsidRDefault="00AB4A77" w:rsidP="00AB4A77">
      <w:pPr>
        <w:ind w:firstLine="708"/>
      </w:pPr>
      <w:r>
        <w:t xml:space="preserve">Лечение включает назначение ганцикловира или фоскарнета, возможно сочетанное применение препаратов </w:t>
      </w:r>
      <w:r w:rsidRPr="00E42938">
        <w:fldChar w:fldCharType="begin" w:fldLock="1"/>
      </w:r>
      <w:r w:rsidR="00A967A8">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[154]","plainTextFormattedCitation":"[154]","previouslyFormattedCitation":"[154]"},"properties":{"noteIndex":0},"schema":"https://github.com/citation-style-language/schema/raw/master/csl-citation.json"}</w:instrText>
      </w:r>
      <w:r w:rsidRPr="00E42938">
        <w:fldChar w:fldCharType="separate"/>
      </w:r>
      <w:r w:rsidRPr="00AB4A77">
        <w:rPr>
          <w:noProof/>
        </w:rPr>
        <w:t>[154]</w:t>
      </w:r>
      <w:r w:rsidRPr="00E42938">
        <w:fldChar w:fldCharType="end"/>
      </w:r>
      <w:r w:rsidRPr="006B215F">
        <w:t>.</w:t>
      </w:r>
      <w:r>
        <w:t xml:space="preserve"> Профилактика в отношении HHV</w:t>
      </w:r>
      <w:r w:rsidRPr="006B215F">
        <w:t>-6</w:t>
      </w:r>
      <w:r>
        <w:t xml:space="preserve"> не проводится.</w:t>
      </w:r>
    </w:p>
    <w:p w14:paraId="0AD51A6E" w14:textId="5202E0E0" w:rsidR="00AB4A77" w:rsidRDefault="00AB4A77" w:rsidP="003E550A">
      <w:pPr>
        <w:pStyle w:val="2"/>
      </w:pPr>
    </w:p>
    <w:p w14:paraId="0E34CCD0" w14:textId="778AD5DB" w:rsidR="00A967A8" w:rsidRPr="007531B6" w:rsidRDefault="00B74589" w:rsidP="00A967A8">
      <w:pPr>
        <w:pStyle w:val="2"/>
      </w:pPr>
      <w:bookmarkStart w:id="46" w:name="_Toc65104109"/>
      <w:r>
        <w:t>7.11</w:t>
      </w:r>
      <w:bookmarkStart w:id="47" w:name="_Toc57985410"/>
      <w:bookmarkStart w:id="48" w:name="_Toc64478031"/>
      <w:r w:rsidR="00A967A8">
        <w:t xml:space="preserve"> Д</w:t>
      </w:r>
      <w:r w:rsidR="00A967A8" w:rsidRPr="007531B6">
        <w:t>иагностика и лечение инфекций</w:t>
      </w:r>
      <w:r w:rsidR="00A967A8">
        <w:t xml:space="preserve">, </w:t>
      </w:r>
      <w:r w:rsidR="00A967A8" w:rsidRPr="007531B6">
        <w:t>вызванных грибами</w:t>
      </w:r>
      <w:bookmarkEnd w:id="46"/>
      <w:bookmarkEnd w:id="47"/>
      <w:bookmarkEnd w:id="48"/>
    </w:p>
    <w:p w14:paraId="1AA1EFA7" w14:textId="77777777" w:rsidR="00A967A8" w:rsidRPr="0002711B" w:rsidRDefault="00A967A8" w:rsidP="00A967A8">
      <w:pPr>
        <w:ind w:firstLine="708"/>
      </w:pPr>
      <w:r>
        <w:t>Высокотехнологичные методы лечения и особенности иммунодефицита у пациентов с гематологическими заболеваниями ассоциированы с увеличением частоты оппортунистических инфекций и прежде всего инфекционных осложнений, вызванных грибами. В структуре инвазивных микозов ведущую позицию занимает инвазивный аспергиллез, далее следует инвазивный кандидоз, возрастает частота микозов, вызванных другими плесневыми грибами. В приложении представлены характеристика инфекционного процесса, вызванного грибами, особенности диагностики и лечения в зависимости от выделенного возбудителя.</w:t>
      </w:r>
    </w:p>
    <w:p w14:paraId="517393F6" w14:textId="77777777" w:rsidR="00A967A8" w:rsidRDefault="00A967A8" w:rsidP="00A967A8">
      <w:pPr>
        <w:widowControl w:val="0"/>
        <w:autoSpaceDE w:val="0"/>
        <w:autoSpaceDN w:val="0"/>
        <w:adjustRightInd w:val="0"/>
        <w:ind w:right="51"/>
        <w:contextualSpacing/>
        <w:rPr>
          <w:b/>
          <w:bCs/>
        </w:rPr>
      </w:pPr>
    </w:p>
    <w:p w14:paraId="5A002A58" w14:textId="39883F32" w:rsidR="00A967A8" w:rsidRPr="00084B8B" w:rsidRDefault="00A967A8" w:rsidP="00A967A8">
      <w:pPr>
        <w:widowControl w:val="0"/>
        <w:autoSpaceDE w:val="0"/>
        <w:autoSpaceDN w:val="0"/>
        <w:adjustRightInd w:val="0"/>
        <w:ind w:right="49"/>
        <w:contextualSpacing/>
        <w:rPr>
          <w:bCs/>
          <w:u w:val="single"/>
        </w:rPr>
      </w:pPr>
      <w:r w:rsidRPr="00F87280">
        <w:rPr>
          <w:bCs/>
          <w:u w:val="single"/>
        </w:rPr>
        <w:t>Диагностика и лечение кандидоза</w:t>
      </w:r>
      <w:r>
        <w:rPr>
          <w:bCs/>
          <w:u w:val="single"/>
          <w:lang w:val="en-US"/>
        </w:rPr>
        <w:t xml:space="preserve"> </w:t>
      </w:r>
      <w:r>
        <w:rPr>
          <w:b/>
        </w:rPr>
        <w:fldChar w:fldCharType="begin" w:fldLock="1"/>
      </w:r>
      <w:r w:rsidR="00FC494E">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-4","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mendeley":{"formattedCitation":"[149,150,155,156]","plainTextFormattedCitation":"[149,150,155,156]","previouslyFormattedCitation":"[149,150,155,156]"},"properties":{"noteIndex":0},"schema":"https://github.com/citation-style-language/schema/raw/master/csl-citation.json"}</w:instrText>
      </w:r>
      <w:r>
        <w:rPr>
          <w:b/>
        </w:rPr>
        <w:fldChar w:fldCharType="separate"/>
      </w:r>
      <w:r w:rsidRPr="00A967A8">
        <w:rPr>
          <w:noProof/>
        </w:rPr>
        <w:t>[149,150,155,156]</w:t>
      </w:r>
      <w:r>
        <w:rPr>
          <w:b/>
        </w:rPr>
        <w:fldChar w:fldCharType="end"/>
      </w:r>
    </w:p>
    <w:p w14:paraId="536553F9" w14:textId="77777777" w:rsidR="00A967A8" w:rsidRPr="0014445B" w:rsidRDefault="00A967A8" w:rsidP="00A967A8">
      <w:pPr>
        <w:widowControl w:val="0"/>
        <w:autoSpaceDE w:val="0"/>
        <w:autoSpaceDN w:val="0"/>
        <w:adjustRightInd w:val="0"/>
        <w:ind w:right="51" w:firstLine="709"/>
        <w:contextualSpacing/>
        <w:rPr>
          <w:b/>
          <w:bCs/>
        </w:rPr>
      </w:pPr>
      <w:r w:rsidRPr="0014445B">
        <w:rPr>
          <w:b/>
          <w:bCs/>
        </w:rPr>
        <w:t>Кандидоз полости рта и глотки (орофарингеальный кандидоз)</w:t>
      </w:r>
    </w:p>
    <w:p w14:paraId="715367C6" w14:textId="77777777" w:rsidR="00A967A8" w:rsidRPr="00F87280" w:rsidRDefault="00A967A8" w:rsidP="00A967A8">
      <w:pPr>
        <w:widowControl w:val="0"/>
        <w:autoSpaceDE w:val="0"/>
        <w:autoSpaceDN w:val="0"/>
        <w:adjustRightInd w:val="0"/>
        <w:ind w:right="51" w:firstLine="709"/>
        <w:contextualSpacing/>
        <w:rPr>
          <w:i/>
          <w:iCs/>
        </w:rPr>
      </w:pPr>
      <w:r w:rsidRPr="00F87280">
        <w:rPr>
          <w:i/>
          <w:iCs/>
          <w:u w:val="single"/>
        </w:rPr>
        <w:t>Возбудители</w:t>
      </w:r>
    </w:p>
    <w:p w14:paraId="27C0FB7C" w14:textId="77777777" w:rsidR="00A967A8" w:rsidRPr="00DA2BC8" w:rsidRDefault="00A967A8" w:rsidP="00A967A8">
      <w:pPr>
        <w:widowControl w:val="0"/>
        <w:autoSpaceDE w:val="0"/>
        <w:autoSpaceDN w:val="0"/>
        <w:adjustRightInd w:val="0"/>
        <w:ind w:right="51" w:firstLine="709"/>
        <w:contextualSpacing/>
      </w:pPr>
      <w:r w:rsidRPr="00DA2BC8">
        <w:t xml:space="preserve">Среди возбудителей преобладают </w:t>
      </w:r>
      <w:r w:rsidRPr="00DA2BC8">
        <w:rPr>
          <w:i/>
          <w:iCs/>
        </w:rPr>
        <w:t>Candida albicans,</w:t>
      </w:r>
      <w:r w:rsidRPr="00DA2BC8">
        <w:t xml:space="preserve"> часто в сочетании с бактериями. Другие виды выделяют реже </w:t>
      </w:r>
      <w:r>
        <w:t>(в основном, у пациентов,</w:t>
      </w:r>
      <w:r w:rsidRPr="00DA2BC8">
        <w:t xml:space="preserve"> длительно принимающих противогрибковые препараты</w:t>
      </w:r>
      <w:r>
        <w:t>)</w:t>
      </w:r>
      <w:r w:rsidRPr="00DA2BC8">
        <w:t>.</w:t>
      </w:r>
    </w:p>
    <w:p w14:paraId="317C94E5" w14:textId="77777777" w:rsidR="00A967A8" w:rsidRPr="00F87280" w:rsidRDefault="00A967A8" w:rsidP="00A967A8">
      <w:pPr>
        <w:widowControl w:val="0"/>
        <w:autoSpaceDE w:val="0"/>
        <w:autoSpaceDN w:val="0"/>
        <w:adjustRightInd w:val="0"/>
        <w:ind w:right="51" w:firstLine="709"/>
        <w:contextualSpacing/>
        <w:rPr>
          <w:i/>
          <w:iCs/>
          <w:u w:val="single"/>
        </w:rPr>
      </w:pPr>
      <w:r w:rsidRPr="00F87280">
        <w:rPr>
          <w:i/>
          <w:iCs/>
          <w:u w:val="single"/>
        </w:rPr>
        <w:t>Факторы риска</w:t>
      </w:r>
    </w:p>
    <w:p w14:paraId="1368EEA9" w14:textId="77777777" w:rsidR="00A967A8" w:rsidRPr="00DA2BC8" w:rsidRDefault="00A967A8" w:rsidP="00A967A8">
      <w:pPr>
        <w:widowControl w:val="0"/>
        <w:autoSpaceDE w:val="0"/>
        <w:autoSpaceDN w:val="0"/>
        <w:adjustRightInd w:val="0"/>
        <w:ind w:right="51" w:firstLine="709"/>
        <w:contextualSpacing/>
      </w:pPr>
      <w:r w:rsidRPr="00DA2BC8">
        <w:t>Основными факторами риска являются нейтропения, применение антибиотиков, глюкокортикоидов, цитостатиков и иммунодепрессантов, проведение лучевой терапии.</w:t>
      </w:r>
    </w:p>
    <w:p w14:paraId="3B98783A" w14:textId="77777777" w:rsidR="00A967A8" w:rsidRPr="00F87280" w:rsidRDefault="00A967A8" w:rsidP="00A967A8">
      <w:pPr>
        <w:widowControl w:val="0"/>
        <w:autoSpaceDE w:val="0"/>
        <w:autoSpaceDN w:val="0"/>
        <w:adjustRightInd w:val="0"/>
        <w:ind w:right="51" w:firstLine="709"/>
        <w:contextualSpacing/>
        <w:rPr>
          <w:i/>
          <w:iCs/>
          <w:u w:val="single"/>
        </w:rPr>
      </w:pPr>
      <w:r w:rsidRPr="00F87280">
        <w:rPr>
          <w:i/>
          <w:iCs/>
          <w:u w:val="single"/>
        </w:rPr>
        <w:t>Симптомы инфекции</w:t>
      </w:r>
    </w:p>
    <w:p w14:paraId="634910B3" w14:textId="77777777" w:rsidR="00A967A8" w:rsidRPr="00DA2BC8" w:rsidRDefault="00A967A8" w:rsidP="00A967A8">
      <w:pPr>
        <w:widowControl w:val="0"/>
        <w:autoSpaceDE w:val="0"/>
        <w:autoSpaceDN w:val="0"/>
        <w:adjustRightInd w:val="0"/>
        <w:ind w:right="51" w:firstLine="709"/>
        <w:contextualSpacing/>
      </w:pPr>
      <w:r w:rsidRPr="00DA2BC8">
        <w:t>Клинические проявления орофарингеального кандидоза - налеты белого цвета или гиперемия слизистой оболочки ротоглотки, боль в полости рта.</w:t>
      </w:r>
    </w:p>
    <w:p w14:paraId="051295BF" w14:textId="77777777" w:rsidR="00A967A8" w:rsidRPr="00F87280" w:rsidRDefault="00A967A8" w:rsidP="00A967A8">
      <w:pPr>
        <w:widowControl w:val="0"/>
        <w:autoSpaceDE w:val="0"/>
        <w:autoSpaceDN w:val="0"/>
        <w:adjustRightInd w:val="0"/>
        <w:ind w:right="51" w:firstLine="709"/>
        <w:contextualSpacing/>
        <w:rPr>
          <w:i/>
          <w:iCs/>
          <w:u w:val="single"/>
        </w:rPr>
      </w:pPr>
      <w:r w:rsidRPr="00F87280">
        <w:rPr>
          <w:i/>
          <w:iCs/>
          <w:u w:val="single"/>
        </w:rPr>
        <w:t>Диагностика</w:t>
      </w:r>
    </w:p>
    <w:p w14:paraId="35077763" w14:textId="77777777" w:rsidR="00A967A8" w:rsidRPr="00DA2BC8" w:rsidRDefault="00A967A8" w:rsidP="00A967A8">
      <w:pPr>
        <w:widowControl w:val="0"/>
        <w:autoSpaceDE w:val="0"/>
        <w:autoSpaceDN w:val="0"/>
        <w:adjustRightInd w:val="0"/>
        <w:ind w:right="51" w:firstLine="709"/>
        <w:contextualSpacing/>
      </w:pPr>
      <w:r w:rsidRPr="00DA2BC8">
        <w:t>При наличии симптомов берут мазок с измененной слизистой оболочки для микробиологического исследования (</w:t>
      </w:r>
      <w:r>
        <w:t xml:space="preserve">культуральное исследование, </w:t>
      </w:r>
      <w:r w:rsidRPr="00DA2BC8">
        <w:t xml:space="preserve">посев). При выделении </w:t>
      </w:r>
      <w:r w:rsidRPr="00DA2BC8">
        <w:rPr>
          <w:i/>
          <w:iCs/>
        </w:rPr>
        <w:t>Candida</w:t>
      </w:r>
      <w:r w:rsidRPr="00DA2BC8">
        <w:t xml:space="preserve"> spp. проводят идентификацию до вида. Чувствительность к противогрибковым препаратам определяют при длительном, рецидивирующем орофарингеальном кандидозе </w:t>
      </w:r>
    </w:p>
    <w:p w14:paraId="7A7BD0E0" w14:textId="77777777" w:rsidR="00A967A8" w:rsidRPr="00F87280" w:rsidRDefault="00A967A8" w:rsidP="00A967A8">
      <w:pPr>
        <w:widowControl w:val="0"/>
        <w:autoSpaceDE w:val="0"/>
        <w:autoSpaceDN w:val="0"/>
        <w:adjustRightInd w:val="0"/>
        <w:ind w:right="51" w:firstLine="709"/>
        <w:contextualSpacing/>
        <w:rPr>
          <w:i/>
          <w:iCs/>
        </w:rPr>
      </w:pPr>
      <w:r w:rsidRPr="00F87280">
        <w:rPr>
          <w:i/>
          <w:iCs/>
          <w:u w:val="single"/>
        </w:rPr>
        <w:t>Показания к назначению противогрибковых препаратов</w:t>
      </w:r>
    </w:p>
    <w:p w14:paraId="7B091F40" w14:textId="77777777" w:rsidR="00A967A8" w:rsidRPr="00DA2BC8" w:rsidRDefault="00A967A8" w:rsidP="00A967A8">
      <w:pPr>
        <w:widowControl w:val="0"/>
        <w:autoSpaceDE w:val="0"/>
        <w:autoSpaceDN w:val="0"/>
        <w:adjustRightInd w:val="0"/>
        <w:ind w:right="51" w:firstLine="709"/>
        <w:contextualSpacing/>
      </w:pPr>
      <w:r w:rsidRPr="00DA2BC8">
        <w:t xml:space="preserve">Наличие симптомов и выделение </w:t>
      </w:r>
      <w:r w:rsidRPr="00DA2BC8">
        <w:rPr>
          <w:i/>
          <w:iCs/>
        </w:rPr>
        <w:t xml:space="preserve">Candida </w:t>
      </w:r>
      <w:r w:rsidRPr="00DA2BC8">
        <w:t xml:space="preserve">spp. в мазках со слизистой ротоглотки. </w:t>
      </w:r>
    </w:p>
    <w:p w14:paraId="2800E073" w14:textId="77777777" w:rsidR="00A967A8" w:rsidRPr="00F87280" w:rsidRDefault="00A967A8" w:rsidP="00A967A8">
      <w:pPr>
        <w:widowControl w:val="0"/>
        <w:autoSpaceDE w:val="0"/>
        <w:autoSpaceDN w:val="0"/>
        <w:adjustRightInd w:val="0"/>
        <w:ind w:right="51" w:firstLine="709"/>
        <w:contextualSpacing/>
        <w:rPr>
          <w:i/>
          <w:iCs/>
          <w:u w:val="single"/>
        </w:rPr>
      </w:pPr>
      <w:r w:rsidRPr="00F87280">
        <w:rPr>
          <w:i/>
          <w:iCs/>
          <w:u w:val="single"/>
        </w:rPr>
        <w:t xml:space="preserve">Лечение </w:t>
      </w:r>
    </w:p>
    <w:p w14:paraId="44AF5B8B" w14:textId="77777777" w:rsidR="00A967A8" w:rsidRPr="00DA2BC8" w:rsidRDefault="00A967A8" w:rsidP="00A967A8">
      <w:pPr>
        <w:widowControl w:val="0"/>
        <w:autoSpaceDE w:val="0"/>
        <w:autoSpaceDN w:val="0"/>
        <w:adjustRightInd w:val="0"/>
        <w:ind w:right="51" w:firstLine="709"/>
        <w:contextualSpacing/>
        <w:rPr>
          <w:b/>
          <w:bCs/>
        </w:rPr>
      </w:pPr>
      <w:r w:rsidRPr="00DA2BC8">
        <w:rPr>
          <w:bCs/>
        </w:rPr>
        <w:t>Препарат выбора</w:t>
      </w:r>
      <w:r w:rsidRPr="00DA2BC8">
        <w:t xml:space="preserve"> — флуконазол, по 400 мг 1 раз в сутки внутрь или внутривенно.</w:t>
      </w:r>
      <w:r w:rsidRPr="00DA2BC8">
        <w:rPr>
          <w:b/>
          <w:bCs/>
        </w:rPr>
        <w:t xml:space="preserve"> </w:t>
      </w:r>
      <w:r w:rsidRPr="00DA2BC8">
        <w:t xml:space="preserve">Флуконазол не назначают при выделении </w:t>
      </w:r>
      <w:r w:rsidRPr="00DA2BC8">
        <w:rPr>
          <w:i/>
          <w:iCs/>
        </w:rPr>
        <w:t>C. krusei</w:t>
      </w:r>
      <w:r w:rsidRPr="00DA2BC8">
        <w:t xml:space="preserve"> или </w:t>
      </w:r>
      <w:r w:rsidRPr="00DA2BC8">
        <w:rPr>
          <w:i/>
          <w:iCs/>
        </w:rPr>
        <w:t xml:space="preserve">C. glabrata. </w:t>
      </w:r>
      <w:r w:rsidRPr="00DA2BC8">
        <w:rPr>
          <w:iCs/>
        </w:rPr>
        <w:t>При</w:t>
      </w:r>
      <w:r w:rsidRPr="00DA2BC8">
        <w:rPr>
          <w:i/>
          <w:iCs/>
        </w:rPr>
        <w:t xml:space="preserve"> </w:t>
      </w:r>
      <w:r w:rsidRPr="00DA2BC8">
        <w:t xml:space="preserve">детекции </w:t>
      </w:r>
      <w:r w:rsidRPr="00DA2BC8">
        <w:rPr>
          <w:i/>
          <w:iCs/>
        </w:rPr>
        <w:t xml:space="preserve">С. krusei </w:t>
      </w:r>
      <w:r w:rsidRPr="00DA2BC8">
        <w:t>или</w:t>
      </w:r>
      <w:r w:rsidRPr="00DA2BC8">
        <w:rPr>
          <w:i/>
          <w:iCs/>
        </w:rPr>
        <w:t xml:space="preserve"> C. glabrata</w:t>
      </w:r>
      <w:r w:rsidRPr="00DA2BC8">
        <w:rPr>
          <w:iCs/>
        </w:rPr>
        <w:t xml:space="preserve"> применяют</w:t>
      </w:r>
      <w:r w:rsidRPr="00DA2BC8">
        <w:rPr>
          <w:i/>
          <w:iCs/>
        </w:rPr>
        <w:t xml:space="preserve"> </w:t>
      </w:r>
      <w:r w:rsidRPr="00DA2BC8">
        <w:t xml:space="preserve">нистатин (5-8 гр в сутки), при выраженном мукозите у больных с фебрильной лейкопенией – эхиноканадин (микафунгин или каспофунгин, или анидулафунгин). </w:t>
      </w:r>
      <w:r w:rsidRPr="00DA2BC8">
        <w:rPr>
          <w:bCs/>
        </w:rPr>
        <w:t xml:space="preserve">При неэффективном применении флуконазола проводят замену на </w:t>
      </w:r>
      <w:r w:rsidRPr="00DA2BC8">
        <w:t xml:space="preserve">эхиноканадин (микафунгин по 100 мг 1 раза в сутки или каспофунгин в 1-й день 70 мг, а затем 50 мг в сутки, анидулафунгин в 1-й день 200 мг, а затем по 100 мг в сутки), позаконазол (суспензия, внутрь после еды), по 400 мг 2 раза в сутки в течение 3 дней, затем по 400 мг 1 раз в день; или вориконазол (таблетки), по 200 мг 2 раза в сутки внутрь; или амфотерицин В, 0,3-0,5 мг/кг/сут внутривенно. </w:t>
      </w:r>
      <w:r w:rsidRPr="00DA2BC8">
        <w:rPr>
          <w:bCs/>
        </w:rPr>
        <w:t>Длительность лечения</w:t>
      </w:r>
      <w:r w:rsidRPr="00DA2BC8">
        <w:t xml:space="preserve"> составляет 7-10 дней. Более длительное применение системных противогрибковых препаратов приводит к появлению флуконазолрезистентных штаммов грибов.</w:t>
      </w:r>
    </w:p>
    <w:p w14:paraId="1657AD14" w14:textId="77777777" w:rsidR="00A967A8" w:rsidRPr="0014445B" w:rsidRDefault="00A967A8" w:rsidP="00A967A8">
      <w:pPr>
        <w:widowControl w:val="0"/>
        <w:autoSpaceDE w:val="0"/>
        <w:autoSpaceDN w:val="0"/>
        <w:adjustRightInd w:val="0"/>
        <w:ind w:right="50" w:firstLine="709"/>
        <w:contextualSpacing/>
        <w:rPr>
          <w:b/>
          <w:bCs/>
        </w:rPr>
      </w:pPr>
      <w:r w:rsidRPr="0014445B">
        <w:rPr>
          <w:b/>
          <w:bCs/>
        </w:rPr>
        <w:t>Кандидоз пищевода</w:t>
      </w:r>
    </w:p>
    <w:p w14:paraId="3C9799FA" w14:textId="77777777" w:rsidR="00A967A8" w:rsidRPr="00F87280" w:rsidRDefault="00A967A8" w:rsidP="00A967A8">
      <w:pPr>
        <w:widowControl w:val="0"/>
        <w:autoSpaceDE w:val="0"/>
        <w:autoSpaceDN w:val="0"/>
        <w:adjustRightInd w:val="0"/>
        <w:ind w:right="50" w:firstLine="709"/>
        <w:contextualSpacing/>
        <w:rPr>
          <w:i/>
          <w:iCs/>
          <w:u w:val="single"/>
        </w:rPr>
      </w:pPr>
      <w:r w:rsidRPr="00F87280">
        <w:rPr>
          <w:i/>
          <w:iCs/>
          <w:u w:val="single"/>
        </w:rPr>
        <w:t>Возбудители</w:t>
      </w:r>
    </w:p>
    <w:p w14:paraId="1EFAF120" w14:textId="77777777" w:rsidR="00A967A8" w:rsidRPr="00DA2BC8" w:rsidRDefault="00A967A8" w:rsidP="00A967A8">
      <w:pPr>
        <w:widowControl w:val="0"/>
        <w:autoSpaceDE w:val="0"/>
        <w:autoSpaceDN w:val="0"/>
        <w:adjustRightInd w:val="0"/>
        <w:ind w:right="50" w:firstLine="709"/>
        <w:contextualSpacing/>
      </w:pPr>
      <w:r w:rsidRPr="00DA2BC8">
        <w:t xml:space="preserve">Среди возбудителей преобладают </w:t>
      </w:r>
      <w:r w:rsidRPr="00DA2BC8">
        <w:rPr>
          <w:i/>
          <w:iCs/>
        </w:rPr>
        <w:t>C. albicans.</w:t>
      </w:r>
    </w:p>
    <w:p w14:paraId="1C012248" w14:textId="77777777" w:rsidR="00A967A8" w:rsidRPr="00DA2BC8" w:rsidRDefault="00A967A8" w:rsidP="00A967A8">
      <w:pPr>
        <w:widowControl w:val="0"/>
        <w:autoSpaceDE w:val="0"/>
        <w:autoSpaceDN w:val="0"/>
        <w:adjustRightInd w:val="0"/>
        <w:ind w:right="50" w:firstLine="709"/>
        <w:contextualSpacing/>
      </w:pPr>
      <w:r w:rsidRPr="00F87280">
        <w:rPr>
          <w:i/>
          <w:iCs/>
          <w:u w:val="single"/>
        </w:rPr>
        <w:t>Факторы риска</w:t>
      </w:r>
      <w:r w:rsidRPr="00DA2BC8">
        <w:t xml:space="preserve"> те же, что при орофарингеальном кандидозе.</w:t>
      </w:r>
    </w:p>
    <w:p w14:paraId="728CECD5" w14:textId="77777777" w:rsidR="00A967A8" w:rsidRPr="00F87280" w:rsidRDefault="00A967A8" w:rsidP="00A967A8">
      <w:pPr>
        <w:widowControl w:val="0"/>
        <w:autoSpaceDE w:val="0"/>
        <w:autoSpaceDN w:val="0"/>
        <w:adjustRightInd w:val="0"/>
        <w:ind w:right="50" w:firstLine="709"/>
        <w:contextualSpacing/>
        <w:rPr>
          <w:i/>
          <w:iCs/>
          <w:u w:val="single"/>
        </w:rPr>
      </w:pPr>
      <w:r w:rsidRPr="00F87280">
        <w:rPr>
          <w:i/>
          <w:iCs/>
          <w:u w:val="single"/>
        </w:rPr>
        <w:t>Симптомы инфекции</w:t>
      </w:r>
    </w:p>
    <w:p w14:paraId="2366AEED" w14:textId="77777777" w:rsidR="00A967A8" w:rsidRPr="00DA2BC8" w:rsidRDefault="00A967A8" w:rsidP="00A967A8">
      <w:pPr>
        <w:widowControl w:val="0"/>
        <w:autoSpaceDE w:val="0"/>
        <w:autoSpaceDN w:val="0"/>
        <w:adjustRightInd w:val="0"/>
        <w:ind w:right="50" w:firstLine="709"/>
        <w:contextualSpacing/>
      </w:pPr>
      <w:r w:rsidRPr="00DA2BC8">
        <w:t>Клинические проявления кандидозного эзофагита — боль по ходу пищевода при глотании, боль или дискомфорт за грудиной в покое. Преобладает поражение дистального отдела пищевода.</w:t>
      </w:r>
    </w:p>
    <w:p w14:paraId="35518434" w14:textId="77777777" w:rsidR="00A967A8" w:rsidRPr="00F87280" w:rsidRDefault="00A967A8" w:rsidP="00A967A8">
      <w:pPr>
        <w:widowControl w:val="0"/>
        <w:autoSpaceDE w:val="0"/>
        <w:autoSpaceDN w:val="0"/>
        <w:adjustRightInd w:val="0"/>
        <w:ind w:right="50" w:firstLine="709"/>
        <w:contextualSpacing/>
        <w:rPr>
          <w:i/>
          <w:iCs/>
        </w:rPr>
      </w:pPr>
      <w:r w:rsidRPr="00F87280">
        <w:rPr>
          <w:i/>
          <w:iCs/>
          <w:u w:val="single"/>
        </w:rPr>
        <w:t>Диагностика</w:t>
      </w:r>
    </w:p>
    <w:p w14:paraId="13498B05" w14:textId="77777777" w:rsidR="00A967A8" w:rsidRPr="00DA2BC8" w:rsidRDefault="00A967A8" w:rsidP="00A967A8">
      <w:pPr>
        <w:widowControl w:val="0"/>
        <w:autoSpaceDE w:val="0"/>
        <w:autoSpaceDN w:val="0"/>
        <w:adjustRightInd w:val="0"/>
        <w:ind w:right="50" w:firstLine="709"/>
        <w:contextualSpacing/>
      </w:pPr>
      <w:r w:rsidRPr="00DA2BC8">
        <w:t>Проводят эзофагоскопию, при которой выявляют гиперемию или фибриновые налеты на слизистой оболочке пищевода. С измененной слизистой оболочки пищевода берут соскоб браш-методом (при гранулоцитопении и тромбоцитопении) или биоптат (если тромбоцитов в гемограмме более 50,0×10</w:t>
      </w:r>
      <w:r w:rsidRPr="00DA2BC8">
        <w:rPr>
          <w:vertAlign w:val="superscript"/>
        </w:rPr>
        <w:t>9</w:t>
      </w:r>
      <w:r w:rsidRPr="00DA2BC8">
        <w:t xml:space="preserve">/л) для микробиологического исследования. При выделении </w:t>
      </w:r>
      <w:r w:rsidRPr="00DA2BC8">
        <w:rPr>
          <w:i/>
          <w:iCs/>
        </w:rPr>
        <w:t>Candida</w:t>
      </w:r>
      <w:r w:rsidRPr="00DA2BC8">
        <w:t xml:space="preserve"> spp. проводят идентификацию до вида и определение чувствительности. Биоптат пищевода исследуют в лаборатории микробиологии (микроскопия и </w:t>
      </w:r>
      <w:r>
        <w:t>культуральное исследование/</w:t>
      </w:r>
      <w:r w:rsidRPr="00DA2BC8">
        <w:t>посев), вирусологии (</w:t>
      </w:r>
      <w:r>
        <w:t>молекулярно-биологическое определение</w:t>
      </w:r>
      <w:r w:rsidRPr="00DA2BC8">
        <w:t xml:space="preserve"> ДНК герпес-вирусов методом ПЦР) и гистологии</w:t>
      </w:r>
      <w:r>
        <w:t xml:space="preserve"> (гистологическое исследование биоптата)</w:t>
      </w:r>
      <w:r w:rsidRPr="00DA2BC8">
        <w:t>.</w:t>
      </w:r>
    </w:p>
    <w:p w14:paraId="07670747" w14:textId="77777777" w:rsidR="00A967A8" w:rsidRPr="00F87280" w:rsidRDefault="00A967A8" w:rsidP="00A967A8">
      <w:pPr>
        <w:widowControl w:val="0"/>
        <w:autoSpaceDE w:val="0"/>
        <w:autoSpaceDN w:val="0"/>
        <w:adjustRightInd w:val="0"/>
        <w:ind w:right="50" w:firstLine="709"/>
        <w:contextualSpacing/>
        <w:rPr>
          <w:i/>
          <w:iCs/>
          <w:u w:val="single"/>
        </w:rPr>
      </w:pPr>
      <w:r w:rsidRPr="00F87280">
        <w:rPr>
          <w:i/>
          <w:iCs/>
          <w:u w:val="single"/>
        </w:rPr>
        <w:t>Показания к назначению противогрибковых препаратов</w:t>
      </w:r>
    </w:p>
    <w:p w14:paraId="168ED4B6" w14:textId="77777777" w:rsidR="00A967A8" w:rsidRPr="00DA2BC8" w:rsidRDefault="00A967A8" w:rsidP="00A967A8">
      <w:pPr>
        <w:widowControl w:val="0"/>
        <w:autoSpaceDE w:val="0"/>
        <w:autoSpaceDN w:val="0"/>
        <w:adjustRightInd w:val="0"/>
        <w:ind w:right="50" w:firstLine="709"/>
        <w:contextualSpacing/>
      </w:pPr>
      <w:r w:rsidRPr="00DA2BC8">
        <w:t xml:space="preserve">Наличие симптомов эзофагита и выделение дрожжевых грибов со слизистой оболочки пищевода при эзофагоскопии. Если невозможно провести эзофагоскопию, то противогрибковые препараты назначают на основании клинических проявлений эзофагита. </w:t>
      </w:r>
    </w:p>
    <w:p w14:paraId="0082FA27" w14:textId="77777777" w:rsidR="00A967A8" w:rsidRPr="00F87280" w:rsidRDefault="00A967A8" w:rsidP="00A967A8">
      <w:pPr>
        <w:widowControl w:val="0"/>
        <w:autoSpaceDE w:val="0"/>
        <w:autoSpaceDN w:val="0"/>
        <w:adjustRightInd w:val="0"/>
        <w:ind w:right="50" w:firstLine="709"/>
        <w:contextualSpacing/>
        <w:rPr>
          <w:i/>
          <w:iCs/>
          <w:u w:val="single"/>
        </w:rPr>
      </w:pPr>
      <w:r w:rsidRPr="00F87280">
        <w:rPr>
          <w:i/>
          <w:iCs/>
          <w:u w:val="single"/>
        </w:rPr>
        <w:t>Лечение</w:t>
      </w:r>
    </w:p>
    <w:p w14:paraId="3BC347D7" w14:textId="77777777" w:rsidR="00A967A8" w:rsidRPr="00DA2BC8" w:rsidRDefault="00A967A8" w:rsidP="00A967A8">
      <w:pPr>
        <w:widowControl w:val="0"/>
        <w:autoSpaceDE w:val="0"/>
        <w:autoSpaceDN w:val="0"/>
        <w:adjustRightInd w:val="0"/>
        <w:ind w:right="50" w:firstLine="709"/>
        <w:contextualSpacing/>
      </w:pPr>
      <w:r w:rsidRPr="00DA2BC8">
        <w:t>Во всех случаях назначают системные противогрибковые препараты. Препараты, обладающие местным действием, для лечения не используют. По возможности сокращают число используемых антибиотиков или отменяют их.</w:t>
      </w:r>
    </w:p>
    <w:p w14:paraId="4DA7DA3F" w14:textId="77777777" w:rsidR="00A967A8" w:rsidRPr="00DA2BC8" w:rsidRDefault="00A967A8" w:rsidP="00A967A8">
      <w:pPr>
        <w:widowControl w:val="0"/>
        <w:autoSpaceDE w:val="0"/>
        <w:autoSpaceDN w:val="0"/>
        <w:adjustRightInd w:val="0"/>
        <w:ind w:right="50" w:firstLine="709"/>
        <w:contextualSpacing/>
      </w:pPr>
      <w:r w:rsidRPr="00DA2BC8">
        <w:rPr>
          <w:bCs/>
        </w:rPr>
        <w:t xml:space="preserve">Препарат выбора (исключение </w:t>
      </w:r>
      <w:r w:rsidRPr="00DA2BC8">
        <w:rPr>
          <w:bCs/>
          <w:i/>
          <w:iCs/>
        </w:rPr>
        <w:t>C. krusei</w:t>
      </w:r>
      <w:r w:rsidRPr="00DA2BC8">
        <w:rPr>
          <w:bCs/>
        </w:rPr>
        <w:t xml:space="preserve"> или </w:t>
      </w:r>
      <w:r w:rsidRPr="00DA2BC8">
        <w:rPr>
          <w:bCs/>
          <w:i/>
          <w:iCs/>
        </w:rPr>
        <w:t>C. glabrata</w:t>
      </w:r>
      <w:r w:rsidRPr="00DA2BC8">
        <w:rPr>
          <w:bCs/>
        </w:rPr>
        <w:t>)</w:t>
      </w:r>
      <w:r w:rsidRPr="00DA2BC8">
        <w:t xml:space="preserve"> — флуконазол, по 400 мг 1 раз в сутки внутрь или внутривенно. </w:t>
      </w:r>
      <w:r w:rsidRPr="00DA2BC8">
        <w:rPr>
          <w:bCs/>
        </w:rPr>
        <w:t>Альтернативные препараты</w:t>
      </w:r>
      <w:r w:rsidRPr="00DA2BC8">
        <w:t xml:space="preserve"> - каспофунгин по 50 мг внутривенно 1 раз в сутки, в 1-й день 70 мг; микафунгин по 100 мг внутривенно 1 раз в сутки; анидулафунгин по 100 мг внутривенно 1 раз в сутки, в 1-й день 200 мг; вориконазол по 3 мг/кг внутривенно 2 раза в сутки, в 1-й день по 6 мг/кг 2 раза в сутки или по 200 мг внутрь 2 раза в сутки; итраконазол (суспензия) по 200 мг 2 раза в сутки внутрь (натощак); позаконазол (суспензия) по 400 мг 2 раза в сутки (после приема пищи); амфотерицин В по 0,5-0,7 мг/кг внутривенно 1 раз в сутки. </w:t>
      </w:r>
      <w:r w:rsidRPr="00DA2BC8">
        <w:rPr>
          <w:bCs/>
        </w:rPr>
        <w:t>При неэффективности флуконазола</w:t>
      </w:r>
      <w:r w:rsidRPr="00DA2BC8">
        <w:t xml:space="preserve"> выбор препарата проводят на основании видовой идентификации </w:t>
      </w:r>
      <w:r w:rsidRPr="00DA2BC8">
        <w:rPr>
          <w:i/>
          <w:iCs/>
        </w:rPr>
        <w:t>Candida</w:t>
      </w:r>
      <w:r w:rsidRPr="00DA2BC8">
        <w:t xml:space="preserve"> spp. и определения чувствительности. Препарат выбора при эзофагите, вызванном </w:t>
      </w:r>
      <w:r w:rsidRPr="00DA2BC8">
        <w:rPr>
          <w:i/>
        </w:rPr>
        <w:t>C. krusei</w:t>
      </w:r>
      <w:r w:rsidRPr="00DA2BC8">
        <w:t xml:space="preserve"> или </w:t>
      </w:r>
      <w:r w:rsidRPr="00DA2BC8">
        <w:rPr>
          <w:i/>
        </w:rPr>
        <w:t>C. glabrata</w:t>
      </w:r>
      <w:r w:rsidRPr="00DA2BC8">
        <w:t xml:space="preserve"> – эхинокандин (каспофунгин или микафунгин или анидулафунгин). Не проводят замену флуконазола на азолы (итраконазол или вориконазол, или позаконазол) ввиду перекрестной резистентности. Допустима замена флуконазола на вориконазол при выделении </w:t>
      </w:r>
      <w:r w:rsidRPr="00DA2BC8">
        <w:rPr>
          <w:i/>
          <w:iCs/>
        </w:rPr>
        <w:t>C. krusei.</w:t>
      </w:r>
      <w:r w:rsidRPr="00DA2BC8">
        <w:t xml:space="preserve"> </w:t>
      </w:r>
      <w:r w:rsidRPr="00DA2BC8">
        <w:rPr>
          <w:bCs/>
        </w:rPr>
        <w:t xml:space="preserve">Длительность лечения </w:t>
      </w:r>
      <w:r w:rsidRPr="00DA2BC8">
        <w:t>составляет 14-21 день.</w:t>
      </w:r>
    </w:p>
    <w:p w14:paraId="3B6C91B5" w14:textId="77777777" w:rsidR="00A967A8" w:rsidRPr="0014445B" w:rsidRDefault="00A967A8" w:rsidP="00A967A8">
      <w:pPr>
        <w:widowControl w:val="0"/>
        <w:autoSpaceDE w:val="0"/>
        <w:autoSpaceDN w:val="0"/>
        <w:adjustRightInd w:val="0"/>
        <w:ind w:right="50" w:firstLine="709"/>
        <w:contextualSpacing/>
        <w:rPr>
          <w:b/>
          <w:bCs/>
        </w:rPr>
      </w:pPr>
      <w:r w:rsidRPr="0014445B">
        <w:rPr>
          <w:b/>
          <w:bCs/>
        </w:rPr>
        <w:t>Инвазивный кандидоз</w:t>
      </w:r>
    </w:p>
    <w:p w14:paraId="4F1E9908" w14:textId="77777777" w:rsidR="00A967A8" w:rsidRPr="00DA2BC8" w:rsidRDefault="00A967A8" w:rsidP="00A967A8">
      <w:pPr>
        <w:widowControl w:val="0"/>
        <w:autoSpaceDE w:val="0"/>
        <w:autoSpaceDN w:val="0"/>
        <w:adjustRightInd w:val="0"/>
        <w:ind w:right="50" w:firstLine="709"/>
        <w:contextualSpacing/>
      </w:pPr>
      <w:r w:rsidRPr="00DA2BC8">
        <w:rPr>
          <w:bCs/>
        </w:rPr>
        <w:t xml:space="preserve">Наличие симптомов инфекции и выделение  </w:t>
      </w:r>
      <w:r w:rsidRPr="00DA2BC8">
        <w:rPr>
          <w:bCs/>
          <w:i/>
        </w:rPr>
        <w:t>Candida</w:t>
      </w:r>
      <w:r w:rsidRPr="00DA2BC8">
        <w:rPr>
          <w:bCs/>
        </w:rPr>
        <w:t xml:space="preserve"> spp из стерильных в норме образцов (</w:t>
      </w:r>
      <w:r w:rsidRPr="00DA2BC8">
        <w:t xml:space="preserve">кровь, биоптаты органов и тканей, аспираты). Наиболее частым проявлениям является кандидемия. При кандидемии у больных с нейтропенией может развиться острый диссеминированный кандидоз в результате диссеминации кандид, септический шок, полиорганная недостаточность, смерть. Выделение </w:t>
      </w:r>
      <w:r w:rsidRPr="00DA2BC8">
        <w:rPr>
          <w:i/>
          <w:iCs/>
        </w:rPr>
        <w:t>Candida</w:t>
      </w:r>
      <w:r w:rsidRPr="00DA2BC8">
        <w:t xml:space="preserve"> spp. со слизистых оболочек, включая биоптаты слизистых, из мокроты, из жидкости БАЛ, из мочи не относят к инвазивному кандидозу. Диагноз кандидозной пневмонии не устанавливают на основании выделения </w:t>
      </w:r>
      <w:r w:rsidRPr="00DA2BC8">
        <w:rPr>
          <w:i/>
          <w:iCs/>
        </w:rPr>
        <w:t>Candida</w:t>
      </w:r>
      <w:r w:rsidRPr="00DA2BC8">
        <w:t xml:space="preserve"> spp. из мокроты или жидкости БАЛ, независимо от их количественного содержания в этих образцах. Выделение </w:t>
      </w:r>
      <w:r w:rsidRPr="00DA2BC8">
        <w:rPr>
          <w:i/>
          <w:iCs/>
        </w:rPr>
        <w:t>Candida</w:t>
      </w:r>
      <w:r w:rsidRPr="00DA2BC8">
        <w:t xml:space="preserve"> spp. из мокроты, жидкости БАЛ свидетельствует о колонизации дрожжевыми грибами слизистой оболочки дыхательных путей. Кандидозная пневмония может быть заподозрена только у больных с кандидемией.</w:t>
      </w:r>
    </w:p>
    <w:p w14:paraId="63E19E4C" w14:textId="77777777" w:rsidR="00A967A8" w:rsidRPr="00F87280" w:rsidRDefault="00A967A8" w:rsidP="00A967A8">
      <w:pPr>
        <w:widowControl w:val="0"/>
        <w:autoSpaceDE w:val="0"/>
        <w:autoSpaceDN w:val="0"/>
        <w:adjustRightInd w:val="0"/>
        <w:ind w:right="50" w:firstLine="709"/>
        <w:contextualSpacing/>
        <w:rPr>
          <w:i/>
          <w:iCs/>
          <w:u w:val="single"/>
        </w:rPr>
      </w:pPr>
      <w:r w:rsidRPr="00F87280">
        <w:rPr>
          <w:i/>
          <w:iCs/>
          <w:u w:val="single"/>
        </w:rPr>
        <w:t>Возбудители</w:t>
      </w:r>
    </w:p>
    <w:p w14:paraId="6182B401" w14:textId="77777777" w:rsidR="00A967A8" w:rsidRPr="005D3BBD" w:rsidRDefault="00A967A8" w:rsidP="00A967A8">
      <w:pPr>
        <w:widowControl w:val="0"/>
        <w:autoSpaceDE w:val="0"/>
        <w:autoSpaceDN w:val="0"/>
        <w:adjustRightInd w:val="0"/>
        <w:ind w:right="50" w:firstLine="709"/>
        <w:contextualSpacing/>
        <w:rPr>
          <w:lang w:val="en-US"/>
        </w:rPr>
      </w:pPr>
      <w:r w:rsidRPr="00DA2BC8">
        <w:t xml:space="preserve">Основными возбудителями являются </w:t>
      </w:r>
      <w:r w:rsidRPr="00DA2BC8">
        <w:rPr>
          <w:i/>
          <w:iCs/>
        </w:rPr>
        <w:t>C. albicans,</w:t>
      </w:r>
      <w:r w:rsidRPr="00DA2BC8">
        <w:t xml:space="preserve"> но частота их не превышает 30-40%. Возрастает</w:t>
      </w:r>
      <w:r w:rsidRPr="005D3BBD">
        <w:rPr>
          <w:lang w:val="en-US"/>
        </w:rPr>
        <w:t xml:space="preserve"> </w:t>
      </w:r>
      <w:r w:rsidRPr="00DA2BC8">
        <w:t>доля</w:t>
      </w:r>
      <w:r w:rsidRPr="005D3BBD">
        <w:rPr>
          <w:lang w:val="en-US"/>
        </w:rPr>
        <w:t xml:space="preserve"> </w:t>
      </w:r>
      <w:r w:rsidRPr="00DA2BC8">
        <w:t>выделения</w:t>
      </w:r>
      <w:r w:rsidRPr="005D3BBD">
        <w:rPr>
          <w:lang w:val="en-US"/>
        </w:rPr>
        <w:t xml:space="preserve"> </w:t>
      </w:r>
      <w:r w:rsidRPr="005D3BBD">
        <w:rPr>
          <w:i/>
          <w:iCs/>
          <w:lang w:val="en-US"/>
        </w:rPr>
        <w:t>Candida</w:t>
      </w:r>
      <w:r w:rsidRPr="005D3BBD">
        <w:rPr>
          <w:lang w:val="en-US"/>
        </w:rPr>
        <w:t xml:space="preserve"> non-</w:t>
      </w:r>
      <w:r w:rsidRPr="005D3BBD">
        <w:rPr>
          <w:i/>
          <w:iCs/>
          <w:lang w:val="en-US"/>
        </w:rPr>
        <w:t>albicans,</w:t>
      </w:r>
      <w:r w:rsidRPr="005D3BBD">
        <w:rPr>
          <w:lang w:val="en-US"/>
        </w:rPr>
        <w:t xml:space="preserve"> </w:t>
      </w:r>
      <w:r w:rsidRPr="00DA2BC8">
        <w:t>таких</w:t>
      </w:r>
      <w:r w:rsidRPr="005D3BBD">
        <w:rPr>
          <w:lang w:val="en-US"/>
        </w:rPr>
        <w:t xml:space="preserve"> </w:t>
      </w:r>
      <w:r w:rsidRPr="00DA2BC8">
        <w:t>как</w:t>
      </w:r>
      <w:r w:rsidRPr="005D3BBD">
        <w:rPr>
          <w:lang w:val="en-US"/>
        </w:rPr>
        <w:t xml:space="preserve"> </w:t>
      </w:r>
      <w:r w:rsidRPr="005D3BBD">
        <w:rPr>
          <w:i/>
          <w:iCs/>
          <w:lang w:val="en-US"/>
        </w:rPr>
        <w:t>Candida parapsilosis</w:t>
      </w:r>
      <w:r w:rsidRPr="005D3BBD">
        <w:rPr>
          <w:lang w:val="en-US"/>
        </w:rPr>
        <w:t xml:space="preserve"> (5-30%), </w:t>
      </w:r>
      <w:r w:rsidRPr="005D3BBD">
        <w:rPr>
          <w:i/>
          <w:iCs/>
          <w:lang w:val="en-US"/>
        </w:rPr>
        <w:t>Candida tropicalis</w:t>
      </w:r>
      <w:r w:rsidRPr="005D3BBD">
        <w:rPr>
          <w:lang w:val="en-US"/>
        </w:rPr>
        <w:t xml:space="preserve"> (5-10%), </w:t>
      </w:r>
      <w:r w:rsidRPr="005D3BBD">
        <w:rPr>
          <w:i/>
          <w:iCs/>
          <w:lang w:val="en-US"/>
        </w:rPr>
        <w:t>C. glabrata</w:t>
      </w:r>
      <w:r w:rsidRPr="005D3BBD">
        <w:rPr>
          <w:lang w:val="en-US"/>
        </w:rPr>
        <w:t xml:space="preserve"> (3-25%), </w:t>
      </w:r>
      <w:r w:rsidRPr="005D3BBD">
        <w:rPr>
          <w:i/>
          <w:iCs/>
          <w:lang w:val="en-US"/>
        </w:rPr>
        <w:t>C. krusei</w:t>
      </w:r>
      <w:r w:rsidRPr="005D3BBD">
        <w:rPr>
          <w:lang w:val="en-US"/>
        </w:rPr>
        <w:t xml:space="preserve"> (3-10%). </w:t>
      </w:r>
    </w:p>
    <w:p w14:paraId="6E4087DE" w14:textId="77777777" w:rsidR="00A967A8" w:rsidRPr="00F87280" w:rsidRDefault="00A967A8" w:rsidP="00A967A8">
      <w:pPr>
        <w:widowControl w:val="0"/>
        <w:autoSpaceDE w:val="0"/>
        <w:autoSpaceDN w:val="0"/>
        <w:adjustRightInd w:val="0"/>
        <w:ind w:right="50" w:firstLine="709"/>
        <w:contextualSpacing/>
        <w:rPr>
          <w:i/>
          <w:iCs/>
          <w:u w:val="single"/>
        </w:rPr>
      </w:pPr>
      <w:r w:rsidRPr="00F87280">
        <w:rPr>
          <w:i/>
          <w:iCs/>
          <w:u w:val="single"/>
        </w:rPr>
        <w:t>Факторы риска</w:t>
      </w:r>
    </w:p>
    <w:p w14:paraId="3CA93301" w14:textId="77777777" w:rsidR="00A967A8" w:rsidRPr="00DA2BC8" w:rsidRDefault="00A967A8" w:rsidP="00A967A8">
      <w:pPr>
        <w:widowControl w:val="0"/>
        <w:autoSpaceDE w:val="0"/>
        <w:autoSpaceDN w:val="0"/>
        <w:adjustRightInd w:val="0"/>
        <w:ind w:right="50" w:firstLine="709"/>
        <w:contextualSpacing/>
      </w:pPr>
      <w:r w:rsidRPr="00DA2BC8">
        <w:t>Факторами риска являются нейтропения, колонизация кандидами слизистых оболочек, применение антибиотиков широкого спектра действия, а также глюкокортикоидов, цитостатиков, иммунодепрессантов; абдоминальные операции, наличие центральных венозных катетеров, проведение полного парентерального питания, прием антацидов, Н</w:t>
      </w:r>
      <w:r w:rsidRPr="00DA2BC8">
        <w:rPr>
          <w:vertAlign w:val="subscript"/>
        </w:rPr>
        <w:t>2</w:t>
      </w:r>
      <w:r w:rsidRPr="00DA2BC8">
        <w:t>-блокаторов и иных средств, снижающих кислотность желудочного сока.</w:t>
      </w:r>
    </w:p>
    <w:p w14:paraId="421681CF" w14:textId="77777777" w:rsidR="00A967A8" w:rsidRPr="00F87280" w:rsidRDefault="00A967A8" w:rsidP="00A967A8">
      <w:pPr>
        <w:widowControl w:val="0"/>
        <w:autoSpaceDE w:val="0"/>
        <w:autoSpaceDN w:val="0"/>
        <w:adjustRightInd w:val="0"/>
        <w:ind w:right="50" w:firstLine="709"/>
        <w:contextualSpacing/>
        <w:rPr>
          <w:i/>
          <w:iCs/>
        </w:rPr>
      </w:pPr>
      <w:r w:rsidRPr="00F87280">
        <w:rPr>
          <w:i/>
          <w:iCs/>
          <w:u w:val="single"/>
        </w:rPr>
        <w:t>Симптомы инфекции</w:t>
      </w:r>
    </w:p>
    <w:p w14:paraId="747EB0DF" w14:textId="77777777" w:rsidR="00A967A8" w:rsidRPr="00DA2BC8" w:rsidRDefault="00A967A8" w:rsidP="00A967A8">
      <w:pPr>
        <w:widowControl w:val="0"/>
        <w:autoSpaceDE w:val="0"/>
        <w:autoSpaceDN w:val="0"/>
        <w:adjustRightInd w:val="0"/>
        <w:ind w:right="50" w:firstLine="709"/>
        <w:contextualSpacing/>
      </w:pPr>
      <w:r w:rsidRPr="00DA2BC8">
        <w:t>Клинические симптомы кандидемии неспецифичны. Преобладает лихорадка, которая сохраняется или повторно возникает на фоне лечения антибиотиками широкого спектра действия. В 10-15% случаев отмечается диссеминация в дерму кожи (отсевы) в виде мелких 0,3—0,6 см папулезных образований розовато-красноватого цвета или подкожных абсцессов</w:t>
      </w:r>
      <w:r>
        <w:t>, в</w:t>
      </w:r>
      <w:r w:rsidRPr="00DA2BC8">
        <w:t xml:space="preserve"> части случаев беспокоит выраженная боль в мышца</w:t>
      </w:r>
      <w:r>
        <w:t>х</w:t>
      </w:r>
      <w:r w:rsidRPr="00DA2BC8">
        <w:t>. Диссеминация кандид происходит гематогенно в любой орган</w:t>
      </w:r>
      <w:r>
        <w:t>; у взрослых гематологических</w:t>
      </w:r>
      <w:r w:rsidRPr="00DA2BC8">
        <w:t xml:space="preserve"> </w:t>
      </w:r>
      <w:r>
        <w:t>пациентов</w:t>
      </w:r>
      <w:r w:rsidRPr="00DA2BC8">
        <w:t xml:space="preserve"> преобладает инвазия в печень и/или селезенку (гепатолиенальный кандидоз), у 9-15% возникает эндофтальмит (снижение остроты зрения вплоть до слепоты). </w:t>
      </w:r>
    </w:p>
    <w:p w14:paraId="3B545093" w14:textId="77777777" w:rsidR="00A967A8" w:rsidRPr="00F87280" w:rsidRDefault="00A967A8" w:rsidP="00A967A8">
      <w:pPr>
        <w:widowControl w:val="0"/>
        <w:autoSpaceDE w:val="0"/>
        <w:autoSpaceDN w:val="0"/>
        <w:adjustRightInd w:val="0"/>
        <w:ind w:right="50" w:firstLine="709"/>
        <w:contextualSpacing/>
        <w:rPr>
          <w:i/>
          <w:iCs/>
        </w:rPr>
      </w:pPr>
      <w:r w:rsidRPr="00F87280">
        <w:rPr>
          <w:i/>
          <w:iCs/>
          <w:u w:val="single"/>
        </w:rPr>
        <w:t>Диагностика</w:t>
      </w:r>
    </w:p>
    <w:p w14:paraId="2CA3F118" w14:textId="77777777" w:rsidR="00A967A8" w:rsidRPr="00DA2BC8" w:rsidRDefault="00A967A8" w:rsidP="00A967A8">
      <w:pPr>
        <w:widowControl w:val="0"/>
        <w:autoSpaceDE w:val="0"/>
        <w:autoSpaceDN w:val="0"/>
        <w:adjustRightInd w:val="0"/>
        <w:ind w:right="50" w:firstLine="709"/>
        <w:contextualSpacing/>
      </w:pPr>
      <w:r w:rsidRPr="00DA2BC8">
        <w:t xml:space="preserve">Диагноз инвазивного кандидоза ставят на основании выделения грибов из стерильных в норме образцов при микроскопии (прямая микроскопия, цитология или гистология) или в культуре (посев). К стерильным образцам относят кровь, биоптаты органов и тканей, аспираты. При подозрении на кандидемию кровь для микробиолгического исследования берут в 4 флакона для гемокультур, при необходимости исследование повторяют. При выделении </w:t>
      </w:r>
      <w:r w:rsidRPr="00DA2BC8">
        <w:rPr>
          <w:i/>
          <w:iCs/>
        </w:rPr>
        <w:t>Candida</w:t>
      </w:r>
      <w:r w:rsidRPr="00DA2BC8">
        <w:t xml:space="preserve"> spp. из гемокультуры проводят ежедневно дополнительные посевы крови до получения двух отрицательных результатов подряд; для исключения диссеминации - офтальмоскопию с расширением зрачка (консультация офтальмолога), а также ультразвуковое исследование (УЗИ) или компьютерную томографию</w:t>
      </w:r>
      <w:r>
        <w:t>/спиральную компьютерную томографию</w:t>
      </w:r>
      <w:r w:rsidRPr="00DA2BC8">
        <w:t xml:space="preserve"> (КТ</w:t>
      </w:r>
      <w:r>
        <w:t>/СКТ</w:t>
      </w:r>
      <w:r w:rsidRPr="00DA2BC8">
        <w:t>) с контрастированием, или магнитно-резонансную томографию (МРТ) органов брюшной полости. Инструментальные исследования повторяют при восстановлении гранулоцитов (&gt;0,5×10</w:t>
      </w:r>
      <w:r w:rsidRPr="00DA2BC8">
        <w:rPr>
          <w:vertAlign w:val="superscript"/>
        </w:rPr>
        <w:t>9</w:t>
      </w:r>
      <w:r w:rsidRPr="00DA2BC8">
        <w:t xml:space="preserve">/л). Все штаммы </w:t>
      </w:r>
      <w:r w:rsidRPr="00DA2BC8">
        <w:rPr>
          <w:i/>
          <w:iCs/>
        </w:rPr>
        <w:t>Candida</w:t>
      </w:r>
      <w:r w:rsidRPr="00DA2BC8">
        <w:t xml:space="preserve"> spp., выделенные из стерильных в норме образцов, идентифицируют до вида и исследуют чувствительность к противогрибковым препаратам. На фоне лечения инвазивного кандидоза противогрибковыми препаратами может изменяться чувствительность (возможно формирование приобретенной резистентности) и вид возбудителя.</w:t>
      </w:r>
    </w:p>
    <w:p w14:paraId="2864E975" w14:textId="77777777" w:rsidR="00A967A8" w:rsidRPr="00DA2BC8" w:rsidRDefault="00A967A8" w:rsidP="00A967A8">
      <w:pPr>
        <w:widowControl w:val="0"/>
        <w:autoSpaceDE w:val="0"/>
        <w:autoSpaceDN w:val="0"/>
        <w:adjustRightInd w:val="0"/>
        <w:ind w:right="50" w:firstLine="709"/>
        <w:contextualSpacing/>
      </w:pPr>
      <w:r w:rsidRPr="00DA2BC8">
        <w:t xml:space="preserve">Серологическими маркерами инвазивного кандидоза являются антиген </w:t>
      </w:r>
      <w:r w:rsidRPr="00DA2BC8">
        <w:rPr>
          <w:i/>
          <w:iCs/>
        </w:rPr>
        <w:t>Candida</w:t>
      </w:r>
      <w:r w:rsidRPr="00DA2BC8">
        <w:t xml:space="preserve"> (маннан) и антитела к </w:t>
      </w:r>
      <w:r w:rsidRPr="00DA2BC8">
        <w:rPr>
          <w:i/>
          <w:iCs/>
        </w:rPr>
        <w:t>Candida</w:t>
      </w:r>
      <w:r w:rsidRPr="00DA2BC8">
        <w:t xml:space="preserve"> (антиманнан). Чувствительность тестов выше, если определяют оба показателя одновременно и неоднократно. Для теста характерным является высокое отрицательное прогностическое значение. При гепатолиенальном кандидозе чувствительность серологических маркеров определяется выше. Тест не включен в критерии диагностики инвазивного кандидоза. </w:t>
      </w:r>
    </w:p>
    <w:p w14:paraId="425CE8C6" w14:textId="77777777" w:rsidR="00A967A8" w:rsidRPr="00DA2BC8" w:rsidRDefault="00A967A8" w:rsidP="00A967A8">
      <w:pPr>
        <w:widowControl w:val="0"/>
        <w:autoSpaceDE w:val="0"/>
        <w:autoSpaceDN w:val="0"/>
        <w:adjustRightInd w:val="0"/>
        <w:ind w:right="50" w:firstLine="709"/>
        <w:contextualSpacing/>
      </w:pPr>
      <w:r w:rsidRPr="00DA2BC8">
        <w:t xml:space="preserve">На основании положительных результатов определения серологических маркеров у </w:t>
      </w:r>
      <w:r>
        <w:t>пациента</w:t>
      </w:r>
      <w:r w:rsidRPr="00DA2BC8">
        <w:t xml:space="preserve"> можно лишь предполагать наличие инвазивного кандидоза. В клинической практике определение антигена (маннан) и антител (антиманнан) может быть существенным подспорьем для назначения современных противогрибковых препаратов больным с фебрильной нейтропенией.</w:t>
      </w:r>
    </w:p>
    <w:p w14:paraId="015AC169" w14:textId="77777777" w:rsidR="00A967A8" w:rsidRPr="00DA2BC8" w:rsidRDefault="00A967A8" w:rsidP="00A967A8">
      <w:pPr>
        <w:widowControl w:val="0"/>
        <w:autoSpaceDE w:val="0"/>
        <w:autoSpaceDN w:val="0"/>
        <w:adjustRightInd w:val="0"/>
        <w:ind w:right="50" w:firstLine="709"/>
        <w:contextualSpacing/>
      </w:pPr>
      <w:r w:rsidRPr="00DA2BC8">
        <w:t xml:space="preserve">К диссеминированному кандидозу относят те случаи, когда в течение 2 недель после выделения </w:t>
      </w:r>
      <w:r w:rsidRPr="00DA2BC8">
        <w:rPr>
          <w:i/>
          <w:iCs/>
        </w:rPr>
        <w:t xml:space="preserve">Candida </w:t>
      </w:r>
      <w:r w:rsidRPr="00DA2BC8">
        <w:t xml:space="preserve">spp. из гемокультуры выявляют очаги в печени и/или селезенке либо экссудат в сетчатке при офтальмоскопии. Различают острый и хронический диссеминированный кандидоз. При остром диссеминированном кандидозе имеется непосредственная связь обнаруженных признаков с кандидозным сепсисом, а при хроническом диссеминированном кандидозе этой связи нет. </w:t>
      </w:r>
    </w:p>
    <w:p w14:paraId="11BA8595" w14:textId="77777777" w:rsidR="00A967A8" w:rsidRPr="00F87280" w:rsidRDefault="00A967A8" w:rsidP="00A967A8">
      <w:pPr>
        <w:widowControl w:val="0"/>
        <w:autoSpaceDE w:val="0"/>
        <w:autoSpaceDN w:val="0"/>
        <w:adjustRightInd w:val="0"/>
        <w:ind w:right="50" w:firstLine="709"/>
        <w:contextualSpacing/>
        <w:rPr>
          <w:bCs/>
          <w:i/>
          <w:iCs/>
          <w:u w:val="single"/>
        </w:rPr>
      </w:pPr>
      <w:r w:rsidRPr="00F87280">
        <w:rPr>
          <w:bCs/>
          <w:i/>
          <w:iCs/>
          <w:u w:val="single"/>
        </w:rPr>
        <w:t>Лечение</w:t>
      </w:r>
    </w:p>
    <w:p w14:paraId="3BA34D98" w14:textId="77777777" w:rsidR="00A967A8" w:rsidRDefault="00A967A8" w:rsidP="00A967A8">
      <w:pPr>
        <w:widowControl w:val="0"/>
        <w:autoSpaceDE w:val="0"/>
        <w:autoSpaceDN w:val="0"/>
        <w:adjustRightInd w:val="0"/>
        <w:ind w:right="50" w:firstLine="709"/>
        <w:contextualSpacing/>
        <w:rPr>
          <w:bCs/>
        </w:rPr>
      </w:pPr>
      <w:r w:rsidRPr="00DA2BC8">
        <w:rPr>
          <w:bCs/>
        </w:rPr>
        <w:t>Основными принципами лечения кандидемии (инвазивного кандидоза) являются</w:t>
      </w:r>
      <w:r>
        <w:rPr>
          <w:bCs/>
        </w:rPr>
        <w:t>:</w:t>
      </w:r>
    </w:p>
    <w:p w14:paraId="02E4827F" w14:textId="77777777" w:rsidR="00A967A8" w:rsidRDefault="00A967A8" w:rsidP="0091350E">
      <w:pPr>
        <w:pStyle w:val="aff"/>
        <w:widowControl w:val="0"/>
        <w:numPr>
          <w:ilvl w:val="0"/>
          <w:numId w:val="84"/>
        </w:numPr>
        <w:autoSpaceDE w:val="0"/>
        <w:autoSpaceDN w:val="0"/>
        <w:adjustRightInd w:val="0"/>
        <w:ind w:right="50"/>
        <w:contextualSpacing/>
        <w:rPr>
          <w:bCs/>
        </w:rPr>
      </w:pPr>
      <w:r w:rsidRPr="007531B6">
        <w:t>назначение эффективного противогрибкового препарата;</w:t>
      </w:r>
      <w:r w:rsidRPr="007531B6">
        <w:rPr>
          <w:bCs/>
        </w:rPr>
        <w:t xml:space="preserve"> </w:t>
      </w:r>
    </w:p>
    <w:p w14:paraId="136EFBD6" w14:textId="77777777" w:rsidR="00A967A8" w:rsidRDefault="00A967A8" w:rsidP="0091350E">
      <w:pPr>
        <w:pStyle w:val="aff"/>
        <w:widowControl w:val="0"/>
        <w:numPr>
          <w:ilvl w:val="0"/>
          <w:numId w:val="84"/>
        </w:numPr>
        <w:autoSpaceDE w:val="0"/>
        <w:autoSpaceDN w:val="0"/>
        <w:adjustRightInd w:val="0"/>
        <w:ind w:right="50"/>
        <w:contextualSpacing/>
        <w:rPr>
          <w:bCs/>
        </w:rPr>
      </w:pPr>
      <w:r w:rsidRPr="007531B6">
        <w:t>удаление сосудистого катетера;</w:t>
      </w:r>
      <w:r w:rsidRPr="007531B6">
        <w:rPr>
          <w:bCs/>
        </w:rPr>
        <w:t xml:space="preserve"> </w:t>
      </w:r>
    </w:p>
    <w:p w14:paraId="23BFEEFA" w14:textId="77777777" w:rsidR="00A967A8" w:rsidRPr="007531B6" w:rsidRDefault="00A967A8" w:rsidP="0091350E">
      <w:pPr>
        <w:pStyle w:val="aff"/>
        <w:widowControl w:val="0"/>
        <w:numPr>
          <w:ilvl w:val="0"/>
          <w:numId w:val="84"/>
        </w:numPr>
        <w:autoSpaceDE w:val="0"/>
        <w:autoSpaceDN w:val="0"/>
        <w:adjustRightInd w:val="0"/>
        <w:ind w:right="50"/>
        <w:contextualSpacing/>
        <w:rPr>
          <w:bCs/>
        </w:rPr>
      </w:pPr>
      <w:r w:rsidRPr="007531B6">
        <w:t xml:space="preserve">устранение или уменьшение факторов риска, приведших к развитию кандидемии. </w:t>
      </w:r>
    </w:p>
    <w:p w14:paraId="153FBA13" w14:textId="77777777" w:rsidR="00A967A8" w:rsidRPr="00DA2BC8" w:rsidRDefault="00A967A8" w:rsidP="00A967A8">
      <w:pPr>
        <w:widowControl w:val="0"/>
        <w:autoSpaceDE w:val="0"/>
        <w:autoSpaceDN w:val="0"/>
        <w:adjustRightInd w:val="0"/>
        <w:ind w:right="50" w:firstLine="709"/>
        <w:contextualSpacing/>
      </w:pPr>
      <w:r w:rsidRPr="00DA2BC8">
        <w:t xml:space="preserve">Препараты выбора для лечения инвазивного кандидоза (кандидемии) – эхинокандины, которые в отличие от азолов оказывают фунгицидное действие на кандиды. Замена эхинокандинов на флуконазол возможна только при выделении флуконазолчувствительных </w:t>
      </w:r>
      <w:r w:rsidRPr="00DA2BC8">
        <w:rPr>
          <w:i/>
          <w:iCs/>
        </w:rPr>
        <w:t xml:space="preserve">Candida </w:t>
      </w:r>
      <w:r w:rsidRPr="00DA2BC8">
        <w:t xml:space="preserve">spp. и стабильном состоянии пациента. </w:t>
      </w:r>
      <w:r w:rsidRPr="00DA2BC8">
        <w:rPr>
          <w:bCs/>
        </w:rPr>
        <w:t xml:space="preserve">Из группы эхинокандинов назначают один из препаратов – </w:t>
      </w:r>
      <w:r w:rsidRPr="00DA2BC8">
        <w:t xml:space="preserve">каспофунгин (в 1-й день 70 мг, далее по 50 мг внутривенно 1 раз в сутки); микафунгин (по 100 мг внутривенно 1 раз в сутки); анидулафунгин (в 1-й день 200 мг, далее по 100 мг внутривенно 1 раз в сутки). </w:t>
      </w:r>
      <w:r w:rsidRPr="00DA2BC8">
        <w:rPr>
          <w:iCs/>
        </w:rPr>
        <w:t>Эхинокандины – это единственные препараты, применение которых при инвазивном кандидозе привело к достоверно значимому увеличению числа излечений и к снижению летальности в сравнении с другими антимикотиками (азолами, липи</w:t>
      </w:r>
      <w:r>
        <w:rPr>
          <w:iCs/>
        </w:rPr>
        <w:t>дными формами амфотерицина В)</w:t>
      </w:r>
      <w:r w:rsidRPr="00DA2BC8">
        <w:rPr>
          <w:iCs/>
        </w:rPr>
        <w:t>. Не используют сочетание противогрибковых препаратов в 1-й линии терапии кандидемии (инвазивного кандидоза)</w:t>
      </w:r>
      <w:r w:rsidRPr="00DA2BC8">
        <w:t xml:space="preserve">. Альтернативные препараты для лечения инвазивного кандидоза - вориконазол ( в 1-й день по 6 мг/кг внутривенно 2 раза в сутки, в последующие дни по 3 мг/кг внутривенно 2 раза в сутки или по 200 мг внутрь 2 раза в сутки); амфотерицин В (0,7-1,0 мг/кг внутривенно 1 раз в сутки). </w:t>
      </w:r>
      <w:r w:rsidRPr="00DA2BC8">
        <w:rPr>
          <w:iCs/>
        </w:rPr>
        <w:t>Амфотерицин В назначают только при отсутствии других опций для лечения ввиду его высокой токсичности и низкой эффективности.</w:t>
      </w:r>
      <w:r w:rsidRPr="00DA2BC8">
        <w:t xml:space="preserve"> Флуконазол в качестве препарата 1-й линии не используют у больных с гематологическими заболеваниями. </w:t>
      </w:r>
      <w:r w:rsidRPr="00DA2BC8">
        <w:rPr>
          <w:iCs/>
        </w:rPr>
        <w:t>При сочетании</w:t>
      </w:r>
      <w:r w:rsidRPr="00DA2BC8">
        <w:rPr>
          <w:i/>
          <w:iCs/>
        </w:rPr>
        <w:t xml:space="preserve"> </w:t>
      </w:r>
      <w:r w:rsidRPr="00DA2BC8">
        <w:rPr>
          <w:iCs/>
        </w:rPr>
        <w:t>кандидемии и инвазивного аспергиллеза</w:t>
      </w:r>
      <w:r w:rsidRPr="00DA2BC8">
        <w:rPr>
          <w:i/>
          <w:iCs/>
        </w:rPr>
        <w:t xml:space="preserve"> </w:t>
      </w:r>
      <w:r w:rsidRPr="00DA2BC8">
        <w:rPr>
          <w:iCs/>
        </w:rPr>
        <w:t>назначают вориконазол</w:t>
      </w:r>
      <w:r w:rsidRPr="00DA2BC8">
        <w:t xml:space="preserve"> (в 1-й день по 6 мг/кг внутривенно 2 раза в сутки, в последующие дни по 3 мг/кг внутривенно 2 раза в сутки или по 200 мг 2 раза в сутки внутрь) или липидную форму амфотерицина В (5 мг/кг, внутривенно, 1 раз в сутки). </w:t>
      </w:r>
    </w:p>
    <w:p w14:paraId="48D228CB" w14:textId="54258C82" w:rsidR="00A967A8" w:rsidRPr="00DA2BC8" w:rsidRDefault="00A967A8" w:rsidP="00A967A8">
      <w:pPr>
        <w:widowControl w:val="0"/>
        <w:autoSpaceDE w:val="0"/>
        <w:autoSpaceDN w:val="0"/>
        <w:adjustRightInd w:val="0"/>
        <w:ind w:right="50" w:firstLine="709"/>
        <w:contextualSpacing/>
        <w:rPr>
          <w:b/>
          <w:bCs/>
        </w:rPr>
      </w:pPr>
      <w:r w:rsidRPr="00DA2BC8">
        <w:t xml:space="preserve">Для штаммов </w:t>
      </w:r>
      <w:r w:rsidRPr="00DA2BC8">
        <w:rPr>
          <w:i/>
          <w:iCs/>
        </w:rPr>
        <w:t xml:space="preserve">Candida </w:t>
      </w:r>
      <w:r w:rsidRPr="00DA2BC8">
        <w:rPr>
          <w:iCs/>
        </w:rPr>
        <w:t xml:space="preserve">spp. характерным является высокая способность к формированию биопленок, которая составляет 50% и преобладает у </w:t>
      </w:r>
      <w:r w:rsidRPr="00DA2BC8">
        <w:rPr>
          <w:i/>
          <w:iCs/>
        </w:rPr>
        <w:t>C. tropicalis</w:t>
      </w:r>
      <w:r w:rsidRPr="00DA2BC8">
        <w:rPr>
          <w:iCs/>
        </w:rPr>
        <w:t xml:space="preserve"> и </w:t>
      </w:r>
      <w:r w:rsidRPr="00DA2BC8">
        <w:rPr>
          <w:i/>
          <w:iCs/>
        </w:rPr>
        <w:t>C. krusei</w:t>
      </w:r>
      <w:r w:rsidRPr="00DA2BC8">
        <w:rPr>
          <w:iCs/>
        </w:rPr>
        <w:t xml:space="preserve"> (80%)</w:t>
      </w:r>
      <w:r>
        <w:rPr>
          <w:iCs/>
        </w:rPr>
        <w:t xml:space="preserve"> </w:t>
      </w:r>
      <w:r>
        <w:rPr>
          <w:iCs/>
        </w:rPr>
        <w:fldChar w:fldCharType="begin" w:fldLock="1"/>
      </w:r>
      <w:r w:rsidR="00FC494E">
        <w:rPr>
          <w:iCs/>
        </w:rPr>
        <w:instrText>ADDIN CSL_CITATION {"citationItems":[{"id":"ITEM-1","itemData":{"author":[{"dropping-particle":"","family":"Мальчикова","given":"А.О.","non-dropping-particle":"","parse-names":false,"suffix":""},{"dropping-particle":"","family":"Клясова","given":"Г.А.","non-dropping-particle":"","parse-names":false,"suffix":""}],"container-title":"Клиническая микробиология и антимикробная химиотерапия","id":"ITEM-1","issue":"2","issued":{"date-parts":[["2018"]]},"page":"126-130","title":"Формирование биопленок у изолятов Candida spp, выделенных из гемокультуры от больных с опухолями системы крови","type":"article-journal","volume":"20"},"uris":["http://www.mendeley.com/documents/?uuid=14b71eb8-c05c-48f8-844b-d37bf0031d16"]}],"mendeley":{"formattedCitation":"[157]","plainTextFormattedCitation":"[157]","previouslyFormattedCitation":"[157]"},"properties":{"noteIndex":0},"schema":"https://github.com/citation-style-language/schema/raw/master/csl-citation.json"}</w:instrText>
      </w:r>
      <w:r>
        <w:rPr>
          <w:iCs/>
        </w:rPr>
        <w:fldChar w:fldCharType="separate"/>
      </w:r>
      <w:r w:rsidRPr="00A967A8">
        <w:rPr>
          <w:iCs/>
          <w:noProof/>
        </w:rPr>
        <w:t>[157]</w:t>
      </w:r>
      <w:r>
        <w:rPr>
          <w:iCs/>
        </w:rPr>
        <w:fldChar w:fldCharType="end"/>
      </w:r>
      <w:r w:rsidRPr="00DA2BC8">
        <w:rPr>
          <w:iCs/>
        </w:rPr>
        <w:t xml:space="preserve">. Удаление центрального венозного катетера (ЦВК) является обязательным у больных вне гранулоцитопении и в случаях повторного выделения </w:t>
      </w:r>
      <w:r w:rsidRPr="00DA2BC8">
        <w:rPr>
          <w:i/>
          <w:iCs/>
        </w:rPr>
        <w:t xml:space="preserve">Candida </w:t>
      </w:r>
      <w:r w:rsidRPr="00DA2BC8">
        <w:rPr>
          <w:iCs/>
        </w:rPr>
        <w:t xml:space="preserve">spp. из гемокультуры на фоне терапиии противогрибковыми </w:t>
      </w:r>
      <w:r>
        <w:rPr>
          <w:iCs/>
        </w:rPr>
        <w:t>препаратами</w:t>
      </w:r>
      <w:r w:rsidRPr="005A06BE">
        <w:rPr>
          <w:iCs/>
        </w:rPr>
        <w:t>.</w:t>
      </w:r>
      <w:r w:rsidRPr="00DA2BC8">
        <w:rPr>
          <w:iCs/>
        </w:rPr>
        <w:t xml:space="preserve"> Не проводят замену ЦВК по проводнику.</w:t>
      </w:r>
    </w:p>
    <w:p w14:paraId="4173CEEF" w14:textId="77777777" w:rsidR="00A967A8" w:rsidRPr="00DA2BC8" w:rsidRDefault="00A967A8" w:rsidP="00A967A8">
      <w:pPr>
        <w:widowControl w:val="0"/>
        <w:autoSpaceDE w:val="0"/>
        <w:autoSpaceDN w:val="0"/>
        <w:adjustRightInd w:val="0"/>
        <w:ind w:right="50" w:firstLine="709"/>
        <w:contextualSpacing/>
      </w:pPr>
      <w:r w:rsidRPr="00DA2BC8">
        <w:rPr>
          <w:bCs/>
        </w:rPr>
        <w:t xml:space="preserve">Устранение или уменьшение факторов риска у </w:t>
      </w:r>
      <w:r>
        <w:rPr>
          <w:bCs/>
        </w:rPr>
        <w:t>пациентов</w:t>
      </w:r>
      <w:r w:rsidRPr="00DA2BC8">
        <w:rPr>
          <w:bCs/>
        </w:rPr>
        <w:t xml:space="preserve"> с инвазивным кандидозом включает </w:t>
      </w:r>
      <w:r w:rsidRPr="00DA2BC8">
        <w:t>сокращение по возможности используемых антибиотиков и изменение тактики цитостатической терапии.</w:t>
      </w:r>
    </w:p>
    <w:p w14:paraId="12D682D7" w14:textId="77777777" w:rsidR="00A967A8" w:rsidRPr="00CB7689" w:rsidRDefault="00A967A8" w:rsidP="00A967A8">
      <w:pPr>
        <w:widowControl w:val="0"/>
        <w:autoSpaceDE w:val="0"/>
        <w:autoSpaceDN w:val="0"/>
        <w:adjustRightInd w:val="0"/>
        <w:ind w:right="50" w:firstLine="709"/>
        <w:contextualSpacing/>
        <w:rPr>
          <w:i/>
          <w:iCs/>
          <w:u w:val="single"/>
        </w:rPr>
      </w:pPr>
      <w:r w:rsidRPr="00CB7689">
        <w:rPr>
          <w:i/>
          <w:iCs/>
          <w:u w:val="single"/>
        </w:rPr>
        <w:t>Длительность лечения</w:t>
      </w:r>
    </w:p>
    <w:p w14:paraId="4A6627AE" w14:textId="77777777" w:rsidR="00A967A8" w:rsidRPr="00DA2BC8" w:rsidRDefault="00A967A8" w:rsidP="00A967A8">
      <w:pPr>
        <w:widowControl w:val="0"/>
        <w:autoSpaceDE w:val="0"/>
        <w:autoSpaceDN w:val="0"/>
        <w:adjustRightInd w:val="0"/>
        <w:ind w:right="50" w:firstLine="709"/>
        <w:contextualSpacing/>
      </w:pPr>
      <w:r w:rsidRPr="00DA2BC8">
        <w:t>Противогрибковый препарат отменяют при наличии всех следующих критериев - регрессия клинических проявлений инфекции; число гранулоцитов в гемограмме более 0,5×10</w:t>
      </w:r>
      <w:r w:rsidRPr="00DA2BC8">
        <w:rPr>
          <w:vertAlign w:val="superscript"/>
        </w:rPr>
        <w:t>9</w:t>
      </w:r>
      <w:r w:rsidRPr="00DA2BC8">
        <w:t xml:space="preserve">/л; не менее двух недель от последней положительной гемокультуры; регрессия очагов диссеминации кандидоза в случаях их развития. </w:t>
      </w:r>
    </w:p>
    <w:p w14:paraId="4C0D132E" w14:textId="77777777" w:rsidR="00A967A8" w:rsidRPr="00DA2BC8" w:rsidRDefault="00A967A8" w:rsidP="00A967A8">
      <w:pPr>
        <w:widowControl w:val="0"/>
        <w:autoSpaceDE w:val="0"/>
        <w:autoSpaceDN w:val="0"/>
        <w:adjustRightInd w:val="0"/>
        <w:ind w:right="50" w:firstLine="709"/>
        <w:contextualSpacing/>
      </w:pPr>
      <w:r w:rsidRPr="00CB7689">
        <w:rPr>
          <w:i/>
          <w:iCs/>
          <w:u w:val="single"/>
        </w:rPr>
        <w:t>Персистирующая кандидемия включает</w:t>
      </w:r>
      <w:r w:rsidRPr="00DA2BC8">
        <w:rPr>
          <w:b/>
          <w:bCs/>
        </w:rPr>
        <w:t xml:space="preserve"> </w:t>
      </w:r>
      <w:r w:rsidRPr="00DA2BC8">
        <w:t xml:space="preserve">наличие симптомов сепсиса и повторное выделение </w:t>
      </w:r>
      <w:r w:rsidRPr="00DA2BC8">
        <w:rPr>
          <w:i/>
          <w:iCs/>
        </w:rPr>
        <w:t>Candida</w:t>
      </w:r>
      <w:r w:rsidRPr="00DA2BC8">
        <w:t xml:space="preserve"> spp. из гемокультуры.</w:t>
      </w:r>
      <w:r w:rsidRPr="00DA2BC8">
        <w:rPr>
          <w:b/>
          <w:bCs/>
        </w:rPr>
        <w:t xml:space="preserve"> </w:t>
      </w:r>
      <w:r w:rsidRPr="00DA2BC8">
        <w:t>При персистирующей кандидемии крайне важно исследовать чувствительность грибов к антимикотикам ввиду формирования вторичной резистентности; повторить инструментальные исследования с целью исключения диссеминации.</w:t>
      </w:r>
      <w:r w:rsidRPr="00DA2BC8">
        <w:rPr>
          <w:bCs/>
        </w:rPr>
        <w:t xml:space="preserve"> В этих случаях </w:t>
      </w:r>
      <w:r w:rsidRPr="00DA2BC8">
        <w:t xml:space="preserve">замену на антимикотик другой группы проводят согласно видовой принадлежности </w:t>
      </w:r>
      <w:r w:rsidRPr="00DA2BC8">
        <w:rPr>
          <w:i/>
        </w:rPr>
        <w:t>Candida</w:t>
      </w:r>
      <w:r w:rsidRPr="00DA2BC8">
        <w:t xml:space="preserve"> spp. и результатам чувствительностию.</w:t>
      </w:r>
    </w:p>
    <w:p w14:paraId="2CA5A4CD" w14:textId="77777777" w:rsidR="00A967A8" w:rsidRPr="0014445B" w:rsidRDefault="00A967A8" w:rsidP="00A967A8">
      <w:pPr>
        <w:widowControl w:val="0"/>
        <w:autoSpaceDE w:val="0"/>
        <w:autoSpaceDN w:val="0"/>
        <w:adjustRightInd w:val="0"/>
        <w:ind w:right="50" w:firstLine="709"/>
        <w:contextualSpacing/>
        <w:rPr>
          <w:b/>
          <w:bCs/>
        </w:rPr>
      </w:pPr>
      <w:r w:rsidRPr="0014445B">
        <w:rPr>
          <w:b/>
          <w:bCs/>
        </w:rPr>
        <w:t>Хронический диссеминированный (гепатолиенальный) кандидоз</w:t>
      </w:r>
    </w:p>
    <w:p w14:paraId="69B0252F" w14:textId="77777777" w:rsidR="00A967A8" w:rsidRPr="00CB7689" w:rsidRDefault="00A967A8" w:rsidP="00A967A8">
      <w:pPr>
        <w:widowControl w:val="0"/>
        <w:autoSpaceDE w:val="0"/>
        <w:autoSpaceDN w:val="0"/>
        <w:adjustRightInd w:val="0"/>
        <w:ind w:right="50" w:firstLine="709"/>
        <w:contextualSpacing/>
        <w:rPr>
          <w:i/>
          <w:iCs/>
        </w:rPr>
      </w:pPr>
      <w:r w:rsidRPr="00CB7689">
        <w:rPr>
          <w:i/>
          <w:iCs/>
          <w:u w:val="single"/>
        </w:rPr>
        <w:t>Симптомы</w:t>
      </w:r>
    </w:p>
    <w:p w14:paraId="258F7EAD" w14:textId="77777777" w:rsidR="00A967A8" w:rsidRPr="00DA2BC8" w:rsidRDefault="00A967A8" w:rsidP="00A967A8">
      <w:pPr>
        <w:widowControl w:val="0"/>
        <w:autoSpaceDE w:val="0"/>
        <w:autoSpaceDN w:val="0"/>
        <w:adjustRightInd w:val="0"/>
        <w:ind w:right="50" w:firstLine="709"/>
        <w:contextualSpacing/>
      </w:pPr>
      <w:r w:rsidRPr="00DA2BC8">
        <w:t>Ведущий симптом — лихорадка на фоне лечения антибиотиками, которая возникает в период гранулоцитопении и сохраняется при повышении уровня лейкоцитов (гранулоцитов &gt;0,5×10</w:t>
      </w:r>
      <w:r w:rsidRPr="00DA2BC8">
        <w:rPr>
          <w:vertAlign w:val="superscript"/>
        </w:rPr>
        <w:t>9</w:t>
      </w:r>
      <w:r w:rsidRPr="00DA2BC8">
        <w:t>/л). Для этого варианта инвазивного микоза очень характерной является температурная кривая –</w:t>
      </w:r>
      <w:r>
        <w:t xml:space="preserve"> </w:t>
      </w:r>
      <w:r w:rsidRPr="00DA2BC8">
        <w:t xml:space="preserve">колебания температуры от 36,7ºС-37,5°С утром до 39ºС-40ºС в вечернее время, которые возникают в период гранулоцитопении и сохраняются после восстановления гранулоцитов. </w:t>
      </w:r>
    </w:p>
    <w:p w14:paraId="0CFB7D54" w14:textId="77777777" w:rsidR="00A967A8" w:rsidRPr="00CB7689" w:rsidRDefault="00A967A8" w:rsidP="00A967A8">
      <w:pPr>
        <w:widowControl w:val="0"/>
        <w:autoSpaceDE w:val="0"/>
        <w:autoSpaceDN w:val="0"/>
        <w:adjustRightInd w:val="0"/>
        <w:ind w:right="50" w:firstLine="709"/>
        <w:contextualSpacing/>
        <w:rPr>
          <w:i/>
          <w:iCs/>
        </w:rPr>
      </w:pPr>
      <w:r w:rsidRPr="00CB7689">
        <w:rPr>
          <w:i/>
          <w:iCs/>
          <w:u w:val="single"/>
        </w:rPr>
        <w:t>Диагностика</w:t>
      </w:r>
    </w:p>
    <w:p w14:paraId="2703C81F" w14:textId="77777777" w:rsidR="00A967A8" w:rsidRPr="00DA2BC8" w:rsidRDefault="00A967A8" w:rsidP="00A967A8">
      <w:pPr>
        <w:widowControl w:val="0"/>
        <w:autoSpaceDE w:val="0"/>
        <w:autoSpaceDN w:val="0"/>
        <w:adjustRightInd w:val="0"/>
        <w:ind w:right="50" w:firstLine="709"/>
        <w:contextualSpacing/>
      </w:pPr>
      <w:r w:rsidRPr="00DA2BC8">
        <w:t>Проводят УЗИ, КТ или МРТ (наиболее высокая чувствительность) печени и селезенки. Характерным является обнаружение множественных очагов деструкции до 2 см. Чаще вовлекаются печень и селезенка, реже почки. По возможности проводят биопсию этих образований с проведением микробиологических (прямая микроскопия, посев) и гистологических иследований. Отрицательные результаты биопсии не исключают наличие гепатолиенального кандидоза. При лечении гепатолиенального кандидоза контрольные исследования (УЗИ, КТ или МРТ) проводят не ранее чем через 3-4 недели и обязательно вне нейтропении. Обращают внимание на размеры очагов и их плотность. Исследование в период нейтропении может дать ложноположительные результаты о сокращении размеров очагов.</w:t>
      </w:r>
    </w:p>
    <w:p w14:paraId="57212779" w14:textId="77777777" w:rsidR="00A967A8" w:rsidRPr="00DA2BC8" w:rsidRDefault="00A967A8" w:rsidP="00A967A8">
      <w:pPr>
        <w:widowControl w:val="0"/>
        <w:autoSpaceDE w:val="0"/>
        <w:autoSpaceDN w:val="0"/>
        <w:adjustRightInd w:val="0"/>
        <w:ind w:right="50" w:firstLine="709"/>
        <w:contextualSpacing/>
      </w:pPr>
      <w:r w:rsidRPr="00DA2BC8">
        <w:t>При гепатолиенальном кандидозе проводят определение серологичесик</w:t>
      </w:r>
      <w:r>
        <w:t>и</w:t>
      </w:r>
      <w:r w:rsidRPr="00DA2BC8">
        <w:t>х маркеров (маннан и антиманнан).</w:t>
      </w:r>
    </w:p>
    <w:p w14:paraId="2DF44179" w14:textId="77777777" w:rsidR="00A967A8" w:rsidRPr="00DA2BC8" w:rsidRDefault="00A967A8" w:rsidP="00A967A8">
      <w:pPr>
        <w:widowControl w:val="0"/>
        <w:autoSpaceDE w:val="0"/>
        <w:autoSpaceDN w:val="0"/>
        <w:adjustRightInd w:val="0"/>
        <w:ind w:right="50" w:firstLine="709"/>
        <w:contextualSpacing/>
      </w:pPr>
      <w:r w:rsidRPr="00CB7689">
        <w:rPr>
          <w:i/>
          <w:iCs/>
          <w:u w:val="single"/>
        </w:rPr>
        <w:t>Показанием к назначению противогрибковых препаратов</w:t>
      </w:r>
      <w:r w:rsidRPr="00DA2BC8">
        <w:rPr>
          <w:b/>
          <w:bCs/>
        </w:rPr>
        <w:t xml:space="preserve"> </w:t>
      </w:r>
      <w:r w:rsidRPr="00DA2BC8">
        <w:rPr>
          <w:bCs/>
        </w:rPr>
        <w:t>являются</w:t>
      </w:r>
      <w:r w:rsidRPr="00DA2BC8">
        <w:rPr>
          <w:b/>
          <w:bCs/>
        </w:rPr>
        <w:t xml:space="preserve"> </w:t>
      </w:r>
      <w:r w:rsidRPr="00DA2BC8">
        <w:t>лихорадка на фоне лечения антибиотиками, которая сохраняется при повышении количества лейкоцитов (гранулоцитов более 0,5×10</w:t>
      </w:r>
      <w:r w:rsidRPr="00DA2BC8">
        <w:rPr>
          <w:vertAlign w:val="superscript"/>
        </w:rPr>
        <w:t>9</w:t>
      </w:r>
      <w:r w:rsidRPr="00DA2BC8">
        <w:t>/л) и выявление множественных очагов в печени и/или селезенке по данным УЗИ, КТ или МРТ. Препаратами выбора в лечении гепатолиенального кандидоза являются эхинокандин (каспофунгин или микафунгин) или липидная форма амфотерицина В (3 мг/кг в сутки, внутривенно); альтернативный препарат - амфотерицин В (0,7-1,0 мг/кг). Дозирование эхинокандина проводят как при кандидемии. После ликвидации температуры (через 1-2 недели) проводят замену этих препаратов на флуконазол (400 мг внутрь или внутривенно 1 раз в сутки) ввиду необходимости продолжительного периода лечения данной патологии.</w:t>
      </w:r>
    </w:p>
    <w:p w14:paraId="0E8083BF" w14:textId="77777777" w:rsidR="00A967A8" w:rsidRPr="00DA2BC8" w:rsidRDefault="00A967A8" w:rsidP="00A967A8">
      <w:pPr>
        <w:widowControl w:val="0"/>
        <w:autoSpaceDE w:val="0"/>
        <w:autoSpaceDN w:val="0"/>
        <w:adjustRightInd w:val="0"/>
        <w:ind w:right="50" w:firstLine="709"/>
        <w:contextualSpacing/>
      </w:pPr>
      <w:r w:rsidRPr="00CB7689">
        <w:rPr>
          <w:i/>
          <w:iCs/>
          <w:u w:val="single"/>
        </w:rPr>
        <w:t>Длительность лечения</w:t>
      </w:r>
      <w:r w:rsidRPr="00DA2BC8">
        <w:t xml:space="preserve"> составляет от 3 до 6 месяцев. При ранней отмене противогрибкового препарата наблюдается высокая частота рецидивов инфекции. Критериями отмены противогрибкового препарата являются кальцификация или регрессия очагов.</w:t>
      </w:r>
    </w:p>
    <w:p w14:paraId="734AE01E" w14:textId="77777777" w:rsidR="00A967A8" w:rsidRPr="0014445B" w:rsidRDefault="00A967A8" w:rsidP="00A967A8">
      <w:pPr>
        <w:widowControl w:val="0"/>
        <w:autoSpaceDE w:val="0"/>
        <w:autoSpaceDN w:val="0"/>
        <w:adjustRightInd w:val="0"/>
        <w:ind w:right="50" w:firstLine="709"/>
        <w:contextualSpacing/>
        <w:rPr>
          <w:b/>
          <w:bCs/>
        </w:rPr>
      </w:pPr>
      <w:r w:rsidRPr="0014445B">
        <w:rPr>
          <w:b/>
          <w:bCs/>
        </w:rPr>
        <w:t>Инвазивный кандидоз центральной нервной системы (ЦНС)</w:t>
      </w:r>
    </w:p>
    <w:p w14:paraId="1A84E5C6" w14:textId="77777777" w:rsidR="00A967A8" w:rsidRPr="00DA2BC8" w:rsidRDefault="00A967A8" w:rsidP="00A967A8">
      <w:pPr>
        <w:widowControl w:val="0"/>
        <w:autoSpaceDE w:val="0"/>
        <w:autoSpaceDN w:val="0"/>
        <w:adjustRightInd w:val="0"/>
        <w:ind w:right="50" w:firstLine="709"/>
        <w:contextualSpacing/>
        <w:rPr>
          <w:b/>
          <w:bCs/>
        </w:rPr>
      </w:pPr>
      <w:r w:rsidRPr="00DA2BC8">
        <w:t xml:space="preserve">У взрослых </w:t>
      </w:r>
      <w:r>
        <w:t>гематологических пациентов</w:t>
      </w:r>
      <w:r w:rsidRPr="00DA2BC8">
        <w:t xml:space="preserve"> инвазивный кандидоз ЦНС возникает при диссеминации кандид из крови или является осложнением нейрохирургических операций (шунтирование и др.). Проявления кандидоза ЦНС - менингит (ведущее), </w:t>
      </w:r>
      <w:r>
        <w:t xml:space="preserve">также </w:t>
      </w:r>
      <w:r w:rsidRPr="00DA2BC8">
        <w:t>возможны множественные абсцессы в веществе головного мозга, большого размера солитарный абсцесс, эпидуральные абсцессы.</w:t>
      </w:r>
    </w:p>
    <w:p w14:paraId="776F8E9B" w14:textId="77777777" w:rsidR="00A967A8" w:rsidRPr="00DA2BC8" w:rsidRDefault="00A967A8" w:rsidP="00A967A8">
      <w:pPr>
        <w:widowControl w:val="0"/>
        <w:autoSpaceDE w:val="0"/>
        <w:autoSpaceDN w:val="0"/>
        <w:adjustRightInd w:val="0"/>
        <w:ind w:right="50" w:firstLine="709"/>
        <w:contextualSpacing/>
      </w:pPr>
      <w:r w:rsidRPr="00CB7689">
        <w:rPr>
          <w:i/>
          <w:iCs/>
          <w:u w:val="single"/>
        </w:rPr>
        <w:t>Симптомы</w:t>
      </w:r>
      <w:r w:rsidRPr="00DA2BC8">
        <w:rPr>
          <w:b/>
          <w:bCs/>
        </w:rPr>
        <w:t xml:space="preserve"> </w:t>
      </w:r>
      <w:r w:rsidRPr="00DA2BC8">
        <w:t>аналогичны симптомам бактериального менингита. При абсцедировании появляется очаговая симптоматика поражения ЦНС.</w:t>
      </w:r>
    </w:p>
    <w:p w14:paraId="0DBEBA8F" w14:textId="77777777" w:rsidR="00A967A8" w:rsidRPr="00CB7689" w:rsidRDefault="00A967A8" w:rsidP="00A967A8">
      <w:pPr>
        <w:widowControl w:val="0"/>
        <w:autoSpaceDE w:val="0"/>
        <w:autoSpaceDN w:val="0"/>
        <w:adjustRightInd w:val="0"/>
        <w:ind w:right="50" w:firstLine="709"/>
        <w:contextualSpacing/>
        <w:rPr>
          <w:i/>
          <w:iCs/>
        </w:rPr>
      </w:pPr>
      <w:r w:rsidRPr="00CB7689">
        <w:rPr>
          <w:i/>
          <w:iCs/>
          <w:u w:val="single"/>
        </w:rPr>
        <w:t>Диагностика</w:t>
      </w:r>
    </w:p>
    <w:p w14:paraId="6907C94D" w14:textId="77777777" w:rsidR="00A967A8" w:rsidRPr="00DA2BC8" w:rsidRDefault="00A967A8" w:rsidP="00A967A8">
      <w:pPr>
        <w:widowControl w:val="0"/>
        <w:autoSpaceDE w:val="0"/>
        <w:autoSpaceDN w:val="0"/>
        <w:adjustRightInd w:val="0"/>
        <w:ind w:right="50" w:firstLine="709"/>
        <w:contextualSpacing/>
      </w:pPr>
      <w:r w:rsidRPr="00DA2BC8">
        <w:t xml:space="preserve">Обнаружение </w:t>
      </w:r>
      <w:r w:rsidRPr="00DA2BC8">
        <w:rPr>
          <w:i/>
          <w:iCs/>
        </w:rPr>
        <w:t>Candida</w:t>
      </w:r>
      <w:r w:rsidRPr="00DA2BC8">
        <w:t xml:space="preserve"> spp. при микроскопии либо в культуре спинномозговой жидкости (СМЖ) или биоптатов головного мозга. При кандидозном менингите, как и при бактериальном, в СМЖ определяется нейтрофильный плеоцитоз. </w:t>
      </w:r>
      <w:r>
        <w:t xml:space="preserve">Выполняется КТ/МРТ головного мозга (по показаниям с контрастированием) для оценки локализации, размеров, динамики очага (очагов) поражения. </w:t>
      </w:r>
      <w:r w:rsidRPr="00DA2BC8">
        <w:t>Специфические р</w:t>
      </w:r>
      <w:r>
        <w:t>адио</w:t>
      </w:r>
      <w:r w:rsidRPr="00DA2BC8">
        <w:t>логические признаки абсцессов кандидозной этиологии отсутствуют.</w:t>
      </w:r>
    </w:p>
    <w:p w14:paraId="6AC28881" w14:textId="77777777" w:rsidR="00A967A8" w:rsidRPr="00CB7689" w:rsidRDefault="00A967A8" w:rsidP="00A967A8">
      <w:pPr>
        <w:widowControl w:val="0"/>
        <w:tabs>
          <w:tab w:val="left" w:pos="-90"/>
        </w:tabs>
        <w:autoSpaceDE w:val="0"/>
        <w:autoSpaceDN w:val="0"/>
        <w:adjustRightInd w:val="0"/>
        <w:ind w:right="50" w:firstLine="709"/>
        <w:contextualSpacing/>
        <w:rPr>
          <w:i/>
          <w:iCs/>
          <w:u w:val="single"/>
        </w:rPr>
      </w:pPr>
      <w:r w:rsidRPr="00CB7689">
        <w:rPr>
          <w:i/>
          <w:iCs/>
          <w:u w:val="single"/>
        </w:rPr>
        <w:t>Лечение</w:t>
      </w:r>
    </w:p>
    <w:p w14:paraId="43FBAE88" w14:textId="77777777" w:rsidR="00A967A8" w:rsidRPr="00DA2BC8" w:rsidRDefault="00A967A8" w:rsidP="00A967A8">
      <w:pPr>
        <w:widowControl w:val="0"/>
        <w:tabs>
          <w:tab w:val="left" w:pos="-90"/>
        </w:tabs>
        <w:autoSpaceDE w:val="0"/>
        <w:autoSpaceDN w:val="0"/>
        <w:adjustRightInd w:val="0"/>
        <w:ind w:right="50" w:firstLine="709"/>
        <w:contextualSpacing/>
      </w:pPr>
      <w:r w:rsidRPr="00DA2BC8">
        <w:rPr>
          <w:bCs/>
        </w:rPr>
        <w:t xml:space="preserve">Стартовая терапия (первые недели) – монотерапия липидной формы амфотерицина В (3-5 мг/кг </w:t>
      </w:r>
      <w:r w:rsidRPr="00DA2BC8">
        <w:t xml:space="preserve">внутривенно 1 раз в сутки) или в сочетании в течение первых недель с флуцитозином (25 мг/кг внутривенно 4 раза в сутки). Альтернативный препарат – вориконазол (в 1-й день по 6 мг/кг внутривенно 2 раза в сутки, затем по 4 мг/кг 2 раза в сутки с последующим переходом на пероральную форму по 200 мг внутрь 2 раза в сутки). </w:t>
      </w:r>
      <w:r w:rsidRPr="00DA2BC8">
        <w:rPr>
          <w:bCs/>
        </w:rPr>
        <w:t>При стабилизации</w:t>
      </w:r>
      <w:r w:rsidRPr="00DA2BC8">
        <w:rPr>
          <w:b/>
          <w:bCs/>
        </w:rPr>
        <w:t xml:space="preserve"> </w:t>
      </w:r>
      <w:r w:rsidRPr="00DA2BC8">
        <w:t xml:space="preserve">состояния после лечения липидной формой амфотерицина В назначают флуконазол при выделении флуконазолчувствительных </w:t>
      </w:r>
      <w:r w:rsidRPr="00DA2BC8">
        <w:rPr>
          <w:i/>
          <w:iCs/>
        </w:rPr>
        <w:t>Candida</w:t>
      </w:r>
      <w:r w:rsidRPr="00DA2BC8">
        <w:t xml:space="preserve"> spp (400-800 мг внутривенно 1 раз в сутки). </w:t>
      </w:r>
    </w:p>
    <w:p w14:paraId="29635FF0" w14:textId="77777777" w:rsidR="00A967A8" w:rsidRPr="00DA2BC8" w:rsidRDefault="00A967A8" w:rsidP="00A967A8">
      <w:pPr>
        <w:widowControl w:val="0"/>
        <w:tabs>
          <w:tab w:val="left" w:pos="-90"/>
        </w:tabs>
        <w:autoSpaceDE w:val="0"/>
        <w:autoSpaceDN w:val="0"/>
        <w:adjustRightInd w:val="0"/>
        <w:ind w:right="50" w:firstLine="709"/>
        <w:contextualSpacing/>
      </w:pPr>
      <w:r w:rsidRPr="00DA2BC8">
        <w:t>Вориконазол и флуконазол хорошо проникают через гематоэнцефалический барьер. Итраконазол, позаконазол, амфотерицин В и его липидные формы плохо проходят через гематоэнцефалический барьер. При лечении липидными формами амфотерицина В в веществе головного мозга создаются высокие концентрации, причем у липосомального амфотерицина В они выше, чем у липидного комплекса или обычного амфотерицина В. Комбинация амфотерицина В с флуцитозином обладает синергидным действием. Лечение кандидоза ЦНС не проводят эхинокандинами.</w:t>
      </w:r>
    </w:p>
    <w:p w14:paraId="64644D6E" w14:textId="77777777" w:rsidR="00A967A8" w:rsidRPr="00CB7689" w:rsidRDefault="00A967A8" w:rsidP="00A967A8">
      <w:pPr>
        <w:widowControl w:val="0"/>
        <w:autoSpaceDE w:val="0"/>
        <w:autoSpaceDN w:val="0"/>
        <w:adjustRightInd w:val="0"/>
        <w:ind w:right="50" w:firstLine="709"/>
        <w:contextualSpacing/>
        <w:rPr>
          <w:i/>
          <w:iCs/>
          <w:u w:val="single"/>
        </w:rPr>
      </w:pPr>
      <w:r w:rsidRPr="00CB7689">
        <w:rPr>
          <w:i/>
          <w:iCs/>
          <w:u w:val="single"/>
        </w:rPr>
        <w:t>Длительность лечения</w:t>
      </w:r>
    </w:p>
    <w:p w14:paraId="76FB6D98" w14:textId="77777777" w:rsidR="00A967A8" w:rsidRPr="00DA2BC8" w:rsidRDefault="00A967A8" w:rsidP="00A967A8">
      <w:pPr>
        <w:widowControl w:val="0"/>
        <w:autoSpaceDE w:val="0"/>
        <w:autoSpaceDN w:val="0"/>
        <w:adjustRightInd w:val="0"/>
        <w:ind w:right="50" w:firstLine="709"/>
        <w:contextualSpacing/>
      </w:pPr>
      <w:r w:rsidRPr="00DA2BC8">
        <w:t>Лечение занимает продолжительный период — до ликвидации всех клинических и р</w:t>
      </w:r>
      <w:r>
        <w:t>адио</w:t>
      </w:r>
      <w:r w:rsidRPr="00DA2BC8">
        <w:t>логических симптомов инфекции, нормализации состава СМЖ. Нейрохирургическим больным удаляют инфицированные шунты.</w:t>
      </w:r>
    </w:p>
    <w:p w14:paraId="26A84AFE" w14:textId="77777777" w:rsidR="00A967A8" w:rsidRPr="00444F93" w:rsidRDefault="00A967A8" w:rsidP="00A967A8">
      <w:pPr>
        <w:widowControl w:val="0"/>
        <w:autoSpaceDE w:val="0"/>
        <w:autoSpaceDN w:val="0"/>
        <w:adjustRightInd w:val="0"/>
        <w:ind w:right="50" w:firstLine="709"/>
        <w:contextualSpacing/>
        <w:rPr>
          <w:b/>
          <w:bCs/>
        </w:rPr>
      </w:pPr>
      <w:r w:rsidRPr="00444F93">
        <w:rPr>
          <w:b/>
          <w:bCs/>
        </w:rPr>
        <w:t>Кандидозный эндофтальмит</w:t>
      </w:r>
    </w:p>
    <w:p w14:paraId="2151C5F8" w14:textId="77777777" w:rsidR="00A967A8" w:rsidRDefault="00A967A8" w:rsidP="00A967A8">
      <w:pPr>
        <w:widowControl w:val="0"/>
        <w:autoSpaceDE w:val="0"/>
        <w:autoSpaceDN w:val="0"/>
        <w:adjustRightInd w:val="0"/>
        <w:ind w:right="50" w:firstLine="709"/>
        <w:contextualSpacing/>
      </w:pPr>
      <w:r w:rsidRPr="00DA2BC8">
        <w:t>Кандидозный эндофтальмит - воспаление внутренних оболочек глаза с формированием абсцесса (абсцессов) в стекловидном теле</w:t>
      </w:r>
      <w:r>
        <w:t>, в</w:t>
      </w:r>
      <w:r w:rsidRPr="00DA2BC8">
        <w:t>озникает при диссеминации кандид из крови.</w:t>
      </w:r>
      <w:r>
        <w:t xml:space="preserve"> </w:t>
      </w:r>
      <w:r w:rsidRPr="00DA2BC8">
        <w:t xml:space="preserve">Основной симптом - снижение остроты зрения вплоть до развития слепоты. Во всех случаях необходима консультация офтальмолога. При офтальмоскопии на сетчатке определяют множественные белесоватые очаги. </w:t>
      </w:r>
      <w:r>
        <w:t>Выполняют КТ/МРТ головы (по показаниям с контрастированием) для оценки локализации, размеров, динамики очага (очагов) поражения.</w:t>
      </w:r>
    </w:p>
    <w:p w14:paraId="592490CF" w14:textId="77777777" w:rsidR="00A967A8" w:rsidRPr="00DA2BC8" w:rsidRDefault="00A967A8" w:rsidP="00A967A8">
      <w:pPr>
        <w:widowControl w:val="0"/>
        <w:autoSpaceDE w:val="0"/>
        <w:autoSpaceDN w:val="0"/>
        <w:adjustRightInd w:val="0"/>
        <w:ind w:right="50" w:firstLine="709"/>
        <w:contextualSpacing/>
      </w:pPr>
      <w:r w:rsidRPr="00DA2BC8">
        <w:rPr>
          <w:bCs/>
        </w:rPr>
        <w:t xml:space="preserve">При обширном поражении назначают </w:t>
      </w:r>
      <w:r w:rsidRPr="00DA2BC8">
        <w:t xml:space="preserve">амфотерицин В (0,7-1 мг/кг внутривенно 1 раз в сутки) в сочетании с флуцитозином (25 мг/кг внутривенно 4 раза в сутки), </w:t>
      </w:r>
      <w:r w:rsidRPr="00DA2BC8">
        <w:rPr>
          <w:bCs/>
        </w:rPr>
        <w:t xml:space="preserve">при нетяжелых проявлениях - </w:t>
      </w:r>
      <w:r w:rsidRPr="00DA2BC8">
        <w:t xml:space="preserve">флуконазол (400-800 мг внутривенно или внутрь 1 раз в сутки), при </w:t>
      </w:r>
      <w:r w:rsidRPr="00DA2BC8">
        <w:rPr>
          <w:bCs/>
        </w:rPr>
        <w:t xml:space="preserve">отсутствие эффекта </w:t>
      </w:r>
      <w:r w:rsidRPr="00DA2BC8">
        <w:t xml:space="preserve">- вориконазол, липидные формы амфотерицина В. Не используют эхинокандины. В стекловидном теле создается высокая концентрация вориконазола, низкая концентрация - эхинокандинов (каспофунгина, микафунгина, анидулафунгина). </w:t>
      </w:r>
      <w:r w:rsidRPr="00DA2BC8">
        <w:rPr>
          <w:bCs/>
        </w:rPr>
        <w:t>Длительность лечения</w:t>
      </w:r>
      <w:r w:rsidRPr="00DA2BC8">
        <w:t xml:space="preserve"> составляет 4-6 недель. Критерии отмены противогрибковых препаратов - ликвидация клинических симптомов инфекции и регрессия или стабилизация размеров очагов, выявляемых при офтальмоскопии.</w:t>
      </w:r>
    </w:p>
    <w:p w14:paraId="6AD44D9B" w14:textId="77777777" w:rsidR="00A967A8" w:rsidRPr="00444F93" w:rsidRDefault="00A967A8" w:rsidP="00A967A8">
      <w:pPr>
        <w:widowControl w:val="0"/>
        <w:autoSpaceDE w:val="0"/>
        <w:autoSpaceDN w:val="0"/>
        <w:adjustRightInd w:val="0"/>
        <w:ind w:right="51" w:firstLine="709"/>
        <w:contextualSpacing/>
        <w:rPr>
          <w:b/>
          <w:bCs/>
        </w:rPr>
      </w:pPr>
      <w:r w:rsidRPr="00444F93">
        <w:rPr>
          <w:b/>
          <w:bCs/>
        </w:rPr>
        <w:t>Кандидозный эндокардит, перикардит, миокардит, тромбофлебит</w:t>
      </w:r>
    </w:p>
    <w:p w14:paraId="6DB22F8A" w14:textId="77777777" w:rsidR="00A967A8" w:rsidRPr="00DA2BC8" w:rsidRDefault="00A967A8" w:rsidP="00A967A8">
      <w:pPr>
        <w:widowControl w:val="0"/>
        <w:tabs>
          <w:tab w:val="left" w:pos="-90"/>
        </w:tabs>
        <w:autoSpaceDE w:val="0"/>
        <w:autoSpaceDN w:val="0"/>
        <w:adjustRightInd w:val="0"/>
        <w:ind w:left="90" w:right="51" w:firstLine="709"/>
        <w:contextualSpacing/>
      </w:pPr>
      <w:r w:rsidRPr="00DA2BC8">
        <w:t xml:space="preserve">У иммунокомпрометированных </w:t>
      </w:r>
      <w:r>
        <w:t xml:space="preserve">пацентов  ХЛЛ/ЛМЛ </w:t>
      </w:r>
      <w:r w:rsidRPr="00DA2BC8">
        <w:t xml:space="preserve">эти осложнения возникают при гематогенной диссеминации </w:t>
      </w:r>
      <w:r w:rsidRPr="00DA2BC8">
        <w:rPr>
          <w:i/>
          <w:iCs/>
        </w:rPr>
        <w:t>Candida</w:t>
      </w:r>
      <w:r w:rsidRPr="00DA2BC8">
        <w:t xml:space="preserve"> spp.</w:t>
      </w:r>
      <w:r>
        <w:t>; с</w:t>
      </w:r>
      <w:r w:rsidRPr="00DA2BC8">
        <w:rPr>
          <w:bCs/>
        </w:rPr>
        <w:t>имптомы</w:t>
      </w:r>
      <w:r w:rsidRPr="00DA2BC8">
        <w:t xml:space="preserve"> </w:t>
      </w:r>
      <w:r>
        <w:t xml:space="preserve">соответствуют аналогичной локализации инфекции </w:t>
      </w:r>
      <w:r w:rsidRPr="00DA2BC8">
        <w:t>бактериальн</w:t>
      </w:r>
      <w:r>
        <w:t>ой</w:t>
      </w:r>
      <w:r w:rsidRPr="00DA2BC8">
        <w:t xml:space="preserve"> </w:t>
      </w:r>
      <w:r>
        <w:t>природы</w:t>
      </w:r>
      <w:r w:rsidRPr="00DA2BC8">
        <w:t xml:space="preserve">. </w:t>
      </w:r>
      <w:r>
        <w:t xml:space="preserve">Для диагностики проводят необходимые инструменитальные и лабораторные исследования – ЭКГ, ЭхоКГ, КТ/МРТ органов грудной полости, доплерографические исследования, УЗИ сосудов, консультация кардиолога, кардиохирурга, ангиохирурга, микробиологические (бактериологические) исследования крови, микробиологические (бактериологические), цитологические и гистологические исследования биоптататов. </w:t>
      </w:r>
      <w:r w:rsidRPr="00DA2BC8">
        <w:t xml:space="preserve">Диагноз устанавливают на основании обнаружения </w:t>
      </w:r>
      <w:r w:rsidRPr="00DA2BC8">
        <w:rPr>
          <w:i/>
          <w:iCs/>
        </w:rPr>
        <w:t>Candida</w:t>
      </w:r>
      <w:r w:rsidRPr="00DA2BC8">
        <w:t xml:space="preserve"> spp. в материале из пораженных клапанов сердца или присутствия непосредственной связи между выделением </w:t>
      </w:r>
      <w:r w:rsidRPr="00DA2BC8">
        <w:rPr>
          <w:i/>
          <w:iCs/>
        </w:rPr>
        <w:t xml:space="preserve">Candida </w:t>
      </w:r>
      <w:r w:rsidRPr="00DA2BC8">
        <w:t xml:space="preserve">spp. из гемокультуры и появлением симптомов диссеминации инфекционного процесса. </w:t>
      </w:r>
      <w:r w:rsidRPr="00DA2BC8">
        <w:rPr>
          <w:bCs/>
        </w:rPr>
        <w:t xml:space="preserve">Препарат выбора - </w:t>
      </w:r>
      <w:r w:rsidRPr="00DA2BC8">
        <w:t xml:space="preserve">каспофунгин, </w:t>
      </w:r>
      <w:r w:rsidRPr="00DA2BC8">
        <w:rPr>
          <w:bCs/>
        </w:rPr>
        <w:t>альтернативный препарат – липидные формы амфотерицина В.</w:t>
      </w:r>
      <w:r w:rsidRPr="00DA2BC8">
        <w:t xml:space="preserve"> Флуконазол назначают </w:t>
      </w:r>
      <w:r w:rsidRPr="00DA2BC8">
        <w:rPr>
          <w:bCs/>
        </w:rPr>
        <w:t xml:space="preserve">при стабилизации симптомов инфекции и выделении флуконазолчувствительных </w:t>
      </w:r>
      <w:r w:rsidRPr="00DA2BC8">
        <w:rPr>
          <w:bCs/>
          <w:i/>
          <w:iCs/>
        </w:rPr>
        <w:t>Candida</w:t>
      </w:r>
      <w:r w:rsidRPr="00DA2BC8">
        <w:rPr>
          <w:bCs/>
        </w:rPr>
        <w:t xml:space="preserve"> spp.</w:t>
      </w:r>
      <w:r w:rsidRPr="00DA2BC8">
        <w:t xml:space="preserve"> </w:t>
      </w:r>
      <w:r w:rsidRPr="00DA2BC8">
        <w:rPr>
          <w:bCs/>
        </w:rPr>
        <w:t xml:space="preserve">Оперативное лечение включает </w:t>
      </w:r>
      <w:r w:rsidRPr="00DA2BC8">
        <w:t xml:space="preserve">удаление инфицированных клапанов сердца, перикардэктомия при перикардите. </w:t>
      </w:r>
      <w:r w:rsidRPr="00DA2BC8">
        <w:rPr>
          <w:bCs/>
        </w:rPr>
        <w:t>Длительность лечения</w:t>
      </w:r>
      <w:r w:rsidRPr="00DA2BC8">
        <w:t xml:space="preserve"> кандидозного эндокардита после хирургического вмешательства составляет не менее 6 недель; при наличии абсцессов и других осложнений - более продолжительный период. Если операцию на клапанах не проводят, то назначают пожизненно флуконазол в дозе 400-800 мг в сутки внутрь или внутривенно 1 раз в сутки. Лечение кандидозного перикардита и миокардита продолжается несколько месяцев.</w:t>
      </w:r>
    </w:p>
    <w:p w14:paraId="67D6A144" w14:textId="77777777" w:rsidR="00A967A8" w:rsidRPr="00444F93" w:rsidRDefault="00A967A8" w:rsidP="00A967A8">
      <w:pPr>
        <w:widowControl w:val="0"/>
        <w:autoSpaceDE w:val="0"/>
        <w:autoSpaceDN w:val="0"/>
        <w:adjustRightInd w:val="0"/>
        <w:ind w:right="51" w:firstLine="709"/>
        <w:contextualSpacing/>
        <w:rPr>
          <w:b/>
          <w:bCs/>
        </w:rPr>
      </w:pPr>
      <w:r w:rsidRPr="00444F93">
        <w:rPr>
          <w:b/>
          <w:bCs/>
        </w:rPr>
        <w:t>Кандидоз мочевыводящих путей</w:t>
      </w:r>
    </w:p>
    <w:p w14:paraId="2FF58957" w14:textId="77777777" w:rsidR="00A967A8" w:rsidRPr="00DA2BC8" w:rsidRDefault="00A967A8" w:rsidP="00A967A8">
      <w:pPr>
        <w:widowControl w:val="0"/>
        <w:autoSpaceDE w:val="0"/>
        <w:autoSpaceDN w:val="0"/>
        <w:adjustRightInd w:val="0"/>
        <w:ind w:right="51" w:firstLine="709"/>
        <w:contextualSpacing/>
      </w:pPr>
      <w:r w:rsidRPr="00DA2BC8">
        <w:t xml:space="preserve">Клинические проявления </w:t>
      </w:r>
      <w:r>
        <w:t xml:space="preserve">кандидоза мочевых путей – </w:t>
      </w:r>
      <w:r w:rsidRPr="00DA2BC8">
        <w:t xml:space="preserve">цистит, пиелонефорит, </w:t>
      </w:r>
      <w:r w:rsidRPr="00444F93">
        <w:t>острый диссеминированный кандидоз</w:t>
      </w:r>
      <w:r w:rsidRPr="00DA2BC8">
        <w:t xml:space="preserve">. К факторам риска относят факторы, индуцирующие развитие инвазивного кандидоза, дополнительный фактор </w:t>
      </w:r>
      <w:r>
        <w:t>–</w:t>
      </w:r>
      <w:r w:rsidRPr="00DA2BC8">
        <w:t xml:space="preserve"> катетеризация мочевого пузыря. При кандидозном цистите </w:t>
      </w:r>
      <w:r>
        <w:t>характерны</w:t>
      </w:r>
      <w:r w:rsidRPr="00DA2BC8">
        <w:t xml:space="preserve"> частые болезненные мочеиспускания; при пиелонефрите </w:t>
      </w:r>
      <w:r>
        <w:t>–</w:t>
      </w:r>
      <w:r w:rsidRPr="00DA2BC8">
        <w:t xml:space="preserve"> боль в поясничной области, боль при мочеиспускании, температура; при гематогенной диссеминации кандид может быть только лихорадка. </w:t>
      </w:r>
      <w:r>
        <w:t xml:space="preserve">Для диагностики проводят необходимые иснтрументальные и лабораторные исследования – клинический, микробиологический анализы мочи, УЗИ почек и мочевыводящих путей, мочевого пузыря, КТ/МРТ почек и мочевыводящих путей, мочевого пузыря, органов малого таза у мужчин и женщин. </w:t>
      </w:r>
      <w:r w:rsidRPr="00DA2BC8">
        <w:t xml:space="preserve">Диагноз ставят на основании выделения </w:t>
      </w:r>
      <w:r w:rsidRPr="00DA2BC8">
        <w:rPr>
          <w:i/>
          <w:iCs/>
        </w:rPr>
        <w:t>Candida</w:t>
      </w:r>
      <w:r w:rsidRPr="00DA2BC8">
        <w:t xml:space="preserve"> spp. из мочи. Необходимо провести идентификацию возбудителя до вида и определить его чувствительность.</w:t>
      </w:r>
    </w:p>
    <w:p w14:paraId="79A2AE10" w14:textId="77777777" w:rsidR="00A967A8" w:rsidRDefault="00A967A8" w:rsidP="00A967A8">
      <w:pPr>
        <w:widowControl w:val="0"/>
        <w:autoSpaceDE w:val="0"/>
        <w:autoSpaceDN w:val="0"/>
        <w:adjustRightInd w:val="0"/>
        <w:ind w:right="51" w:firstLine="709"/>
        <w:contextualSpacing/>
      </w:pPr>
      <w:r w:rsidRPr="00DA2BC8">
        <w:rPr>
          <w:bCs/>
        </w:rPr>
        <w:t xml:space="preserve">Показанием к назначению противогрибковых препаратов являются </w:t>
      </w:r>
      <w:r w:rsidRPr="00DA2BC8">
        <w:t xml:space="preserve">наличие признаков инфекции и неоднократное (не менее двух раз) выделение </w:t>
      </w:r>
      <w:r w:rsidRPr="00DA2BC8">
        <w:rPr>
          <w:i/>
          <w:iCs/>
        </w:rPr>
        <w:t>Candida</w:t>
      </w:r>
      <w:r w:rsidRPr="00DA2BC8">
        <w:t xml:space="preserve"> spp. из мочи, а также бессимптомная кандидурия у больных с нейтропенией. Бессимптомная кандидурия у больных </w:t>
      </w:r>
      <w:r w:rsidRPr="00DA2BC8">
        <w:rPr>
          <w:bCs/>
        </w:rPr>
        <w:t>вне нейтропении</w:t>
      </w:r>
      <w:r w:rsidRPr="00DA2BC8">
        <w:t xml:space="preserve"> свидетельствует о колонизации слизистой оболочки нижних отделов мочевыводящих путей кандидами, лечение противогрибковым</w:t>
      </w:r>
      <w:r>
        <w:t>и препаратами не проводят. У этой категории</w:t>
      </w:r>
      <w:r w:rsidRPr="00DA2BC8">
        <w:t xml:space="preserve"> </w:t>
      </w:r>
      <w:r>
        <w:t>пациентов</w:t>
      </w:r>
      <w:r w:rsidRPr="00DA2BC8">
        <w:t xml:space="preserve"> устранение факторов риска, например отмена антибиотиков или глюкокортикоидов, либо удаление катетера из мочевого пузыря, приводит к прекращению выделения кандид из мочи. </w:t>
      </w:r>
    </w:p>
    <w:p w14:paraId="70FC8562" w14:textId="77777777" w:rsidR="00A967A8" w:rsidRPr="00DA2BC8" w:rsidRDefault="00A967A8" w:rsidP="00A967A8">
      <w:pPr>
        <w:widowControl w:val="0"/>
        <w:autoSpaceDE w:val="0"/>
        <w:autoSpaceDN w:val="0"/>
        <w:adjustRightInd w:val="0"/>
        <w:ind w:right="51" w:firstLine="709"/>
        <w:contextualSpacing/>
        <w:rPr>
          <w:b/>
        </w:rPr>
      </w:pPr>
      <w:r w:rsidRPr="00DA2BC8">
        <w:rPr>
          <w:bCs/>
        </w:rPr>
        <w:t xml:space="preserve">Лечение </w:t>
      </w:r>
      <w:r w:rsidRPr="00DA2BC8">
        <w:rPr>
          <w:bCs/>
          <w:iCs/>
        </w:rPr>
        <w:t>кандидозного цистита включает назначение флуконазола (400 мг) в случаях детекции</w:t>
      </w:r>
      <w:r w:rsidRPr="00DA2BC8">
        <w:rPr>
          <w:bCs/>
        </w:rPr>
        <w:t xml:space="preserve"> флуконазолчувствительных </w:t>
      </w:r>
      <w:r w:rsidRPr="00DA2BC8">
        <w:rPr>
          <w:bCs/>
          <w:i/>
          <w:iCs/>
        </w:rPr>
        <w:t xml:space="preserve">Candida </w:t>
      </w:r>
      <w:r w:rsidRPr="00DA2BC8">
        <w:rPr>
          <w:bCs/>
        </w:rPr>
        <w:t>spp., применение</w:t>
      </w:r>
      <w:r w:rsidRPr="00DA2BC8">
        <w:t xml:space="preserve"> амфотерицин В (0,3-0,6 мг/кг внутривенно 1 раз в сутки) – при флуконазолустойчивых </w:t>
      </w:r>
      <w:r w:rsidRPr="00DA2BC8">
        <w:rPr>
          <w:bCs/>
          <w:i/>
          <w:iCs/>
        </w:rPr>
        <w:t xml:space="preserve">Candida </w:t>
      </w:r>
      <w:r w:rsidRPr="00DA2BC8">
        <w:rPr>
          <w:bCs/>
        </w:rPr>
        <w:t>spp</w:t>
      </w:r>
      <w:r w:rsidRPr="00DA2BC8">
        <w:t xml:space="preserve">. Орошение мочевого пузыря амфотерицином В допустимо лишь при выделении флуконазолрезистентных </w:t>
      </w:r>
      <w:r w:rsidRPr="00DA2BC8">
        <w:rPr>
          <w:i/>
          <w:iCs/>
        </w:rPr>
        <w:t xml:space="preserve">Candida </w:t>
      </w:r>
      <w:r w:rsidRPr="00DA2BC8">
        <w:t xml:space="preserve">spp., например </w:t>
      </w:r>
      <w:r w:rsidRPr="00DA2BC8">
        <w:rPr>
          <w:i/>
          <w:iCs/>
        </w:rPr>
        <w:t>С</w:t>
      </w:r>
      <w:r w:rsidRPr="00DA2BC8">
        <w:rPr>
          <w:iCs/>
          <w:strike/>
        </w:rPr>
        <w:t>.</w:t>
      </w:r>
      <w:r w:rsidRPr="00DA2BC8">
        <w:rPr>
          <w:i/>
          <w:iCs/>
        </w:rPr>
        <w:t xml:space="preserve"> glabrata</w:t>
      </w:r>
      <w:r w:rsidRPr="00DA2BC8">
        <w:t xml:space="preserve">. Необходимо отметить, что при таком методе лечения наблюдается высокая частота рецидивов. Лечение </w:t>
      </w:r>
      <w:r w:rsidRPr="00DA2BC8">
        <w:rPr>
          <w:bCs/>
          <w:iCs/>
        </w:rPr>
        <w:t>кандидозного пиелонефрита проводят теми же антимикотиками.</w:t>
      </w:r>
      <w:r w:rsidRPr="00DA2BC8">
        <w:t xml:space="preserve"> Липидные формы амфотерицина В не применяют для лечения кандидозного пиелонефрита по причине низкой концентрации препарата в паренхиме почек. По той же причине не назначают эхинокандиды и вориконазол.</w:t>
      </w:r>
    </w:p>
    <w:p w14:paraId="2295FE42" w14:textId="77777777" w:rsidR="00A967A8" w:rsidRDefault="00A967A8" w:rsidP="00A967A8">
      <w:pPr>
        <w:widowControl w:val="0"/>
        <w:autoSpaceDE w:val="0"/>
        <w:autoSpaceDN w:val="0"/>
        <w:adjustRightInd w:val="0"/>
        <w:ind w:right="51" w:firstLine="709"/>
        <w:contextualSpacing/>
      </w:pPr>
      <w:r w:rsidRPr="00DA2BC8">
        <w:rPr>
          <w:bCs/>
        </w:rPr>
        <w:t>Длительность лечения</w:t>
      </w:r>
      <w:r w:rsidRPr="00DA2BC8">
        <w:rPr>
          <w:b/>
          <w:bCs/>
        </w:rPr>
        <w:t xml:space="preserve"> </w:t>
      </w:r>
      <w:r w:rsidRPr="00DA2BC8">
        <w:t xml:space="preserve">кандидозного цистита флуконазолом составляет 2 недели. Если цистит вызван флуконазолрезистентными </w:t>
      </w:r>
      <w:r w:rsidRPr="00DA2BC8">
        <w:rPr>
          <w:i/>
          <w:iCs/>
        </w:rPr>
        <w:t xml:space="preserve">Candida </w:t>
      </w:r>
      <w:r w:rsidRPr="00DA2BC8">
        <w:t>spp., то лечение амфотерицином В проводят в течение 7-10 дней. Продолжительность лечения кандидозного пиелонефрита составляет 2 недели.</w:t>
      </w:r>
    </w:p>
    <w:p w14:paraId="6F47F4FA" w14:textId="77777777" w:rsidR="00A967A8" w:rsidRPr="00DA2BC8" w:rsidRDefault="00A967A8" w:rsidP="00A967A8">
      <w:pPr>
        <w:widowControl w:val="0"/>
        <w:autoSpaceDE w:val="0"/>
        <w:autoSpaceDN w:val="0"/>
        <w:adjustRightInd w:val="0"/>
        <w:ind w:right="51" w:firstLine="709"/>
        <w:contextualSpacing/>
      </w:pPr>
    </w:p>
    <w:p w14:paraId="368E1434" w14:textId="0AB15858" w:rsidR="00A967A8" w:rsidRPr="00084B8B" w:rsidRDefault="00A967A8" w:rsidP="00A967A8">
      <w:pPr>
        <w:widowControl w:val="0"/>
        <w:autoSpaceDE w:val="0"/>
        <w:autoSpaceDN w:val="0"/>
        <w:adjustRightInd w:val="0"/>
        <w:ind w:right="49"/>
        <w:contextualSpacing/>
        <w:rPr>
          <w:bCs/>
          <w:u w:val="single"/>
        </w:rPr>
      </w:pPr>
      <w:r w:rsidRPr="00CB7689">
        <w:rPr>
          <w:bCs/>
          <w:u w:val="single"/>
        </w:rPr>
        <w:t>Диагностика и лечение криптококкоза</w:t>
      </w:r>
      <w:r w:rsidRPr="00144984">
        <w:rPr>
          <w:bCs/>
          <w:u w:val="single"/>
        </w:rPr>
        <w:t xml:space="preserve"> </w:t>
      </w:r>
      <w:r>
        <w:rPr>
          <w:b/>
        </w:rPr>
        <w:fldChar w:fldCharType="begin" w:fldLock="1"/>
      </w:r>
      <w:r w:rsidR="00FC494E">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mendeley":{"formattedCitation":"[149,150,155]","plainTextFormattedCitation":"[149,150,155]","previouslyFormattedCitation":"[149,150,155]"},"properties":{"noteIndex":0},"schema":"https://github.com/citation-style-language/schema/raw/master/csl-citation.json"}</w:instrText>
      </w:r>
      <w:r>
        <w:rPr>
          <w:b/>
        </w:rPr>
        <w:fldChar w:fldCharType="separate"/>
      </w:r>
      <w:r w:rsidRPr="00A967A8">
        <w:rPr>
          <w:noProof/>
        </w:rPr>
        <w:t>[149,150,155]</w:t>
      </w:r>
      <w:r>
        <w:rPr>
          <w:b/>
        </w:rPr>
        <w:fldChar w:fldCharType="end"/>
      </w:r>
    </w:p>
    <w:p w14:paraId="03A9F2A0" w14:textId="77777777" w:rsidR="00A967A8" w:rsidRPr="00DA2BC8" w:rsidRDefault="00A967A8" w:rsidP="00A967A8">
      <w:pPr>
        <w:widowControl w:val="0"/>
        <w:autoSpaceDE w:val="0"/>
        <w:autoSpaceDN w:val="0"/>
        <w:adjustRightInd w:val="0"/>
        <w:ind w:right="50" w:firstLine="709"/>
        <w:contextualSpacing/>
      </w:pPr>
      <w:r w:rsidRPr="00DA2BC8">
        <w:t xml:space="preserve">Инфекция возникает преимущественно у </w:t>
      </w:r>
      <w:r>
        <w:t>пациентов</w:t>
      </w:r>
      <w:r w:rsidRPr="00DA2BC8">
        <w:t xml:space="preserve"> с Т-клеточным иммунодефицитом, </w:t>
      </w:r>
      <w:r>
        <w:t>в первую очередь,</w:t>
      </w:r>
      <w:r w:rsidRPr="00DA2BC8">
        <w:t xml:space="preserve"> у </w:t>
      </w:r>
      <w:r>
        <w:t>гематологических пациентов</w:t>
      </w:r>
      <w:r w:rsidRPr="00DA2BC8">
        <w:t xml:space="preserve"> с лимфатическими опухолями</w:t>
      </w:r>
      <w:r>
        <w:t>, в том числе, ХЛЛ/ЛМЛ,</w:t>
      </w:r>
      <w:r w:rsidRPr="00DA2BC8">
        <w:t xml:space="preserve"> и характеризуется частым поражением ЦНС в виде менингита или менингоэнцефалита. Основным возбудителем криптококкоза является </w:t>
      </w:r>
      <w:r w:rsidRPr="00DA2BC8">
        <w:rPr>
          <w:i/>
          <w:iCs/>
        </w:rPr>
        <w:t>Cryptococcus neoformans</w:t>
      </w:r>
      <w:r w:rsidRPr="00DA2BC8">
        <w:t xml:space="preserve">, реже заболевание вызывают </w:t>
      </w:r>
      <w:r w:rsidRPr="00DA2BC8">
        <w:rPr>
          <w:i/>
          <w:iCs/>
        </w:rPr>
        <w:t>C. gattii</w:t>
      </w:r>
      <w:r w:rsidRPr="00DA2BC8">
        <w:t xml:space="preserve">, крайне редко – </w:t>
      </w:r>
      <w:r w:rsidRPr="00DA2BC8">
        <w:rPr>
          <w:i/>
          <w:iCs/>
        </w:rPr>
        <w:t>C. laurentii</w:t>
      </w:r>
      <w:r w:rsidRPr="00DA2BC8">
        <w:t xml:space="preserve"> и </w:t>
      </w:r>
      <w:r w:rsidRPr="00DA2BC8">
        <w:rPr>
          <w:i/>
          <w:iCs/>
        </w:rPr>
        <w:t>С. albidus</w:t>
      </w:r>
      <w:r w:rsidRPr="00DA2BC8">
        <w:t>. К факторам риска относят применение глюкокортикоидных и иммуносупрессивных препаратов, таких как флударабин</w:t>
      </w:r>
      <w:r>
        <w:t xml:space="preserve"> и др</w:t>
      </w:r>
      <w:r w:rsidRPr="00DA2BC8">
        <w:t>.</w:t>
      </w:r>
    </w:p>
    <w:p w14:paraId="29CD8E89" w14:textId="77777777" w:rsidR="00A967A8" w:rsidRPr="00CB7689" w:rsidRDefault="00A967A8" w:rsidP="00A967A8">
      <w:pPr>
        <w:widowControl w:val="0"/>
        <w:autoSpaceDE w:val="0"/>
        <w:autoSpaceDN w:val="0"/>
        <w:adjustRightInd w:val="0"/>
        <w:ind w:right="50" w:firstLine="709"/>
        <w:contextualSpacing/>
        <w:rPr>
          <w:i/>
          <w:iCs/>
          <w:u w:val="single"/>
        </w:rPr>
      </w:pPr>
      <w:r w:rsidRPr="00CB7689">
        <w:rPr>
          <w:i/>
          <w:iCs/>
          <w:u w:val="single"/>
        </w:rPr>
        <w:t>Симптомы</w:t>
      </w:r>
    </w:p>
    <w:p w14:paraId="4DE1F044" w14:textId="77777777" w:rsidR="00A967A8" w:rsidRPr="00DA2BC8" w:rsidRDefault="00A967A8" w:rsidP="00A967A8">
      <w:pPr>
        <w:widowControl w:val="0"/>
        <w:autoSpaceDE w:val="0"/>
        <w:autoSpaceDN w:val="0"/>
        <w:adjustRightInd w:val="0"/>
        <w:ind w:right="50" w:firstLine="709"/>
        <w:contextualSpacing/>
      </w:pPr>
      <w:r w:rsidRPr="00DA2BC8">
        <w:t xml:space="preserve">Основное проявление – менингоэнцефалит. У </w:t>
      </w:r>
      <w:r>
        <w:t>гематологических пациентов</w:t>
      </w:r>
      <w:r w:rsidRPr="00DA2BC8">
        <w:t xml:space="preserve">, в отличие от ВИЧ-инфицированных пациентов, симптомы криптококкового менингита и менигоэнцефалита не столь выражены, чаще всего беспокоят повышение температуры, головная боль, нарушение сознания, а при запоздалом лечении развивается сопор. У 30-50% </w:t>
      </w:r>
      <w:r>
        <w:t>пациентов</w:t>
      </w:r>
      <w:r w:rsidRPr="00DA2BC8">
        <w:t xml:space="preserve"> с криптококкозом удается выделить </w:t>
      </w:r>
      <w:r w:rsidRPr="00DA2BC8">
        <w:rPr>
          <w:i/>
          <w:iCs/>
        </w:rPr>
        <w:t>Cryptococcus</w:t>
      </w:r>
      <w:r w:rsidRPr="00DA2BC8">
        <w:t xml:space="preserve"> spp</w:t>
      </w:r>
      <w:r>
        <w:t>. из гемокультуры. У 25-50% пациентов с</w:t>
      </w:r>
      <w:r w:rsidRPr="00DA2BC8">
        <w:t xml:space="preserve"> криптококкозом возникает диссеминация в других органов, такие как простата, кожа, печень, почки, селезенка и кости. Инфицирование простаты может являться источником реактивации криптококкоза после прекращения лечения. Клинические проявления криптококкоза неспецифичны и зависят от локализации процесса. </w:t>
      </w:r>
    </w:p>
    <w:p w14:paraId="6FCB3A04" w14:textId="77777777" w:rsidR="00A967A8" w:rsidRPr="00CB7689" w:rsidRDefault="00A967A8" w:rsidP="00A967A8">
      <w:pPr>
        <w:widowControl w:val="0"/>
        <w:autoSpaceDE w:val="0"/>
        <w:autoSpaceDN w:val="0"/>
        <w:adjustRightInd w:val="0"/>
        <w:ind w:right="50" w:firstLine="709"/>
        <w:contextualSpacing/>
        <w:rPr>
          <w:i/>
          <w:iCs/>
          <w:u w:val="single"/>
        </w:rPr>
      </w:pPr>
      <w:r w:rsidRPr="00CB7689">
        <w:rPr>
          <w:i/>
          <w:iCs/>
          <w:u w:val="single"/>
        </w:rPr>
        <w:t>Диагностика</w:t>
      </w:r>
    </w:p>
    <w:p w14:paraId="627D9912" w14:textId="77777777" w:rsidR="00A967A8" w:rsidRPr="00C17F87" w:rsidRDefault="00A967A8" w:rsidP="00A967A8">
      <w:pPr>
        <w:widowControl w:val="0"/>
        <w:autoSpaceDE w:val="0"/>
        <w:autoSpaceDN w:val="0"/>
        <w:adjustRightInd w:val="0"/>
        <w:ind w:right="50" w:firstLine="709"/>
        <w:contextualSpacing/>
      </w:pPr>
      <w:r>
        <w:t xml:space="preserve">Для диагностики проводят необходимые иснтрументальные и лабораторные исследования, манипуляции – КТ/МРТ грудной, брюшной полостей, малого таза, костей, головного и спинного мозга (по показаниям с контрастированием), люмбальные пункции с исследованием физико-химических свойств ликвора, а также цитологическим, молекулярно-биологическим исследованием, посевы (микробиологические / бактериологические исследования) крови и ликвора, другие исследования и консультации специалистов (невролога, окулиста, нейрохирурга, уролога, хирурга  и др. по показаниям). </w:t>
      </w:r>
    </w:p>
    <w:p w14:paraId="07663DDB" w14:textId="77777777" w:rsidR="00A967A8" w:rsidRDefault="00A967A8" w:rsidP="00A967A8">
      <w:pPr>
        <w:widowControl w:val="0"/>
        <w:autoSpaceDE w:val="0"/>
        <w:autoSpaceDN w:val="0"/>
        <w:adjustRightInd w:val="0"/>
        <w:ind w:right="50" w:firstLine="709"/>
        <w:contextualSpacing/>
      </w:pPr>
      <w:r w:rsidRPr="00DA2BC8">
        <w:t>Диагноз устанавливают на основании</w:t>
      </w:r>
      <w:r>
        <w:t>:</w:t>
      </w:r>
    </w:p>
    <w:p w14:paraId="785FA6C3" w14:textId="77777777" w:rsidR="00A967A8" w:rsidRDefault="00A967A8" w:rsidP="0091350E">
      <w:pPr>
        <w:pStyle w:val="aff"/>
        <w:widowControl w:val="0"/>
        <w:numPr>
          <w:ilvl w:val="0"/>
          <w:numId w:val="85"/>
        </w:numPr>
        <w:autoSpaceDE w:val="0"/>
        <w:autoSpaceDN w:val="0"/>
        <w:adjustRightInd w:val="0"/>
        <w:ind w:right="50"/>
        <w:contextualSpacing/>
      </w:pPr>
      <w:r w:rsidRPr="00444F93">
        <w:t xml:space="preserve">выделения </w:t>
      </w:r>
      <w:r w:rsidRPr="00444F93">
        <w:rPr>
          <w:i/>
          <w:iCs/>
        </w:rPr>
        <w:t xml:space="preserve">Cryptococcus </w:t>
      </w:r>
      <w:r w:rsidRPr="00444F93">
        <w:t xml:space="preserve">spp. из гемокультуры или СМЖ, или обнаружения дрожжеподобных грибов в СМЖ при микроскопии; </w:t>
      </w:r>
    </w:p>
    <w:p w14:paraId="088D8D7D" w14:textId="77777777" w:rsidR="00A967A8" w:rsidRDefault="00A967A8" w:rsidP="0091350E">
      <w:pPr>
        <w:pStyle w:val="aff"/>
        <w:widowControl w:val="0"/>
        <w:numPr>
          <w:ilvl w:val="0"/>
          <w:numId w:val="85"/>
        </w:numPr>
        <w:autoSpaceDE w:val="0"/>
        <w:autoSpaceDN w:val="0"/>
        <w:adjustRightInd w:val="0"/>
        <w:ind w:right="50"/>
        <w:contextualSpacing/>
      </w:pPr>
      <w:r w:rsidRPr="00444F93">
        <w:t xml:space="preserve">определения положительного антигена </w:t>
      </w:r>
      <w:r w:rsidRPr="00444F93">
        <w:rPr>
          <w:i/>
          <w:iCs/>
        </w:rPr>
        <w:t xml:space="preserve">Cryptococcus </w:t>
      </w:r>
      <w:r w:rsidRPr="00444F93">
        <w:t xml:space="preserve">(глюкуроноксиломаннан) в СМЖ. </w:t>
      </w:r>
    </w:p>
    <w:p w14:paraId="3979B79F" w14:textId="77777777" w:rsidR="00A967A8" w:rsidRPr="00444F93" w:rsidRDefault="00A967A8" w:rsidP="00A967A8">
      <w:pPr>
        <w:widowControl w:val="0"/>
        <w:autoSpaceDE w:val="0"/>
        <w:autoSpaceDN w:val="0"/>
        <w:adjustRightInd w:val="0"/>
        <w:ind w:right="50" w:firstLine="708"/>
      </w:pPr>
      <w:r w:rsidRPr="00444F93">
        <w:t xml:space="preserve">Ложноположительные результаты антигена </w:t>
      </w:r>
      <w:r w:rsidRPr="00444F93">
        <w:rPr>
          <w:i/>
          <w:iCs/>
        </w:rPr>
        <w:t xml:space="preserve">Cryptococcus </w:t>
      </w:r>
      <w:r w:rsidRPr="00444F93">
        <w:t xml:space="preserve">могут быть при инфекциях, вызванными </w:t>
      </w:r>
      <w:r w:rsidRPr="00444F93">
        <w:rPr>
          <w:i/>
          <w:iCs/>
        </w:rPr>
        <w:t>Trichosporon</w:t>
      </w:r>
      <w:r w:rsidRPr="00444F93">
        <w:t xml:space="preserve"> или </w:t>
      </w:r>
      <w:r w:rsidRPr="00444F93">
        <w:rPr>
          <w:i/>
          <w:iCs/>
        </w:rPr>
        <w:t>Capnocytophaga canimorsus</w:t>
      </w:r>
      <w:r w:rsidRPr="00444F93">
        <w:t xml:space="preserve">, или </w:t>
      </w:r>
      <w:r w:rsidRPr="00444F93">
        <w:rPr>
          <w:i/>
          <w:iCs/>
        </w:rPr>
        <w:t>Stomatococcus mucilaginosis,</w:t>
      </w:r>
      <w:r w:rsidRPr="00444F93">
        <w:t xml:space="preserve"> или при обнаружении ревматоидного фактора. </w:t>
      </w:r>
    </w:p>
    <w:p w14:paraId="0D8625FB" w14:textId="77777777" w:rsidR="00A967A8" w:rsidRPr="00CB7689" w:rsidRDefault="00A967A8" w:rsidP="00A967A8">
      <w:pPr>
        <w:widowControl w:val="0"/>
        <w:autoSpaceDE w:val="0"/>
        <w:autoSpaceDN w:val="0"/>
        <w:adjustRightInd w:val="0"/>
        <w:ind w:right="50" w:firstLine="709"/>
        <w:contextualSpacing/>
        <w:rPr>
          <w:i/>
          <w:iCs/>
          <w:u w:val="single"/>
        </w:rPr>
      </w:pPr>
      <w:r w:rsidRPr="00CB7689">
        <w:rPr>
          <w:i/>
          <w:iCs/>
          <w:u w:val="single"/>
        </w:rPr>
        <w:t>Лечение</w:t>
      </w:r>
    </w:p>
    <w:p w14:paraId="6E6BD224" w14:textId="77777777" w:rsidR="00A967A8" w:rsidRPr="00DA2BC8" w:rsidRDefault="00A967A8" w:rsidP="00A967A8">
      <w:pPr>
        <w:widowControl w:val="0"/>
        <w:autoSpaceDE w:val="0"/>
        <w:autoSpaceDN w:val="0"/>
        <w:adjustRightInd w:val="0"/>
        <w:ind w:right="50" w:firstLine="709"/>
        <w:contextualSpacing/>
      </w:pPr>
      <w:r w:rsidRPr="00DA2BC8">
        <w:t xml:space="preserve">Лечение криптококкоза длительное и включает этапы индукции, консолидации и поддерживания. </w:t>
      </w:r>
      <w:r w:rsidRPr="00DA2BC8">
        <w:rPr>
          <w:bCs/>
        </w:rPr>
        <w:t>Этап индукции составляет</w:t>
      </w:r>
      <w:r w:rsidRPr="00DA2BC8">
        <w:t xml:space="preserve"> от 2 до 6 недель и включает назначение амфотерицина В (0,7-1,0 мг/кг внутривенно в сутки) или сочетание амфотерицина В (0,7-1,0 мг/кг) с флуцитозином (100 мг/кг в сутки, эту дозу разделяют на 4 приема). Флуцитозин вводят не более 2 недель. При криптококкозе ЦНС длительность этого этапа лечения составляет 6 недель. Липидную форму амфотерицина В (липосомальный амфотерицин В 3-4 мг/кг или липидный комплекс амфотерицина В 5 мг/кг) назначают при непереносимости или токсичности, возникшей при использовании обычного амфотерцина В. </w:t>
      </w:r>
      <w:r w:rsidRPr="00DA2BC8">
        <w:rPr>
          <w:bCs/>
        </w:rPr>
        <w:t>Этап консолидации</w:t>
      </w:r>
      <w:r w:rsidRPr="00DA2BC8">
        <w:t xml:space="preserve"> длится 8 недель</w:t>
      </w:r>
      <w:r>
        <w:t xml:space="preserve">, </w:t>
      </w:r>
      <w:r w:rsidRPr="00DA2BC8">
        <w:t xml:space="preserve">для лечнения используют флуконазол (400 мг 1 раз в сутки внутривенно или перорально), далее на </w:t>
      </w:r>
      <w:r w:rsidRPr="00DA2BC8">
        <w:rPr>
          <w:bCs/>
        </w:rPr>
        <w:t>этапе поддерживания доза флуконазола составляет</w:t>
      </w:r>
      <w:r w:rsidRPr="00DA2BC8">
        <w:t xml:space="preserve"> 200 мг 1 раз в сутки внутривенно или перорально. Альтернативный препарат для лечения криптококкоза – вориконазол (дозирование как при инвазивном аспергиллезе).</w:t>
      </w:r>
    </w:p>
    <w:p w14:paraId="3969A59E" w14:textId="77777777" w:rsidR="00A967A8" w:rsidRDefault="00A967A8" w:rsidP="00A967A8">
      <w:pPr>
        <w:pStyle w:val="aff"/>
        <w:widowControl w:val="0"/>
        <w:autoSpaceDE w:val="0"/>
        <w:autoSpaceDN w:val="0"/>
        <w:adjustRightInd w:val="0"/>
        <w:ind w:left="1069" w:right="50"/>
        <w:contextualSpacing/>
        <w:rPr>
          <w:b/>
          <w:bCs/>
        </w:rPr>
      </w:pPr>
    </w:p>
    <w:p w14:paraId="25035FAA" w14:textId="68B20BD6" w:rsidR="00A967A8" w:rsidRPr="00084B8B" w:rsidRDefault="00A967A8" w:rsidP="00A967A8">
      <w:pPr>
        <w:widowControl w:val="0"/>
        <w:autoSpaceDE w:val="0"/>
        <w:autoSpaceDN w:val="0"/>
        <w:adjustRightInd w:val="0"/>
        <w:ind w:right="49"/>
        <w:contextualSpacing/>
        <w:rPr>
          <w:bCs/>
          <w:u w:val="single"/>
        </w:rPr>
      </w:pPr>
      <w:r w:rsidRPr="00CB7689">
        <w:rPr>
          <w:bCs/>
          <w:u w:val="single"/>
        </w:rPr>
        <w:t>Микозы, вызванные редкими дрожжеподобными грибами</w:t>
      </w:r>
      <w:r w:rsidRPr="00084B8B">
        <w:rPr>
          <w:bCs/>
          <w:u w:val="single"/>
        </w:rPr>
        <w:t xml:space="preserve"> </w:t>
      </w:r>
      <w:r>
        <w:rPr>
          <w:b/>
        </w:rPr>
        <w:fldChar w:fldCharType="begin" w:fldLock="1"/>
      </w:r>
      <w:r w:rsidR="00FC494E">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mendeley":{"formattedCitation":"[149,150,155]","plainTextFormattedCitation":"[149,150,155]","previouslyFormattedCitation":"[149,150,155]"},"properties":{"noteIndex":0},"schema":"https://github.com/citation-style-language/schema/raw/master/csl-citation.json"}</w:instrText>
      </w:r>
      <w:r>
        <w:rPr>
          <w:b/>
        </w:rPr>
        <w:fldChar w:fldCharType="separate"/>
      </w:r>
      <w:r w:rsidRPr="00A967A8">
        <w:rPr>
          <w:noProof/>
        </w:rPr>
        <w:t>[149,150,155]</w:t>
      </w:r>
      <w:r>
        <w:rPr>
          <w:b/>
        </w:rPr>
        <w:fldChar w:fldCharType="end"/>
      </w:r>
    </w:p>
    <w:p w14:paraId="0D79B841" w14:textId="77777777" w:rsidR="00A967A8" w:rsidRPr="00DA2BC8" w:rsidRDefault="00A967A8" w:rsidP="00A967A8">
      <w:pPr>
        <w:widowControl w:val="0"/>
        <w:autoSpaceDE w:val="0"/>
        <w:autoSpaceDN w:val="0"/>
        <w:adjustRightInd w:val="0"/>
        <w:ind w:right="50" w:firstLine="709"/>
        <w:contextualSpacing/>
      </w:pPr>
      <w:r w:rsidRPr="00DA2BC8">
        <w:t>Общая характеристика для грибов этой группы –</w:t>
      </w:r>
      <w:r>
        <w:t xml:space="preserve"> </w:t>
      </w:r>
      <w:r w:rsidRPr="00DA2BC8">
        <w:t xml:space="preserve">низкая вирулентность, широкое распространение в природе, частая колонизация кожи и слизистых оболочек человека, природная устойчивость к эхинокандинам, за исключением </w:t>
      </w:r>
      <w:r w:rsidRPr="00DA2BC8">
        <w:rPr>
          <w:i/>
          <w:iCs/>
        </w:rPr>
        <w:t>Saccharomyces</w:t>
      </w:r>
      <w:r w:rsidRPr="00DA2BC8">
        <w:t xml:space="preserve"> spp., вызывают поверхностные инфекции в общей популяции </w:t>
      </w:r>
      <w:r>
        <w:t>пациентов</w:t>
      </w:r>
      <w:r w:rsidRPr="00DA2BC8">
        <w:t xml:space="preserve">. Грибы этой категории редко вызывают инвазивные микозы у имммунокомпрометированных </w:t>
      </w:r>
      <w:r>
        <w:t>пациентов</w:t>
      </w:r>
      <w:r w:rsidRPr="00DA2BC8">
        <w:t xml:space="preserve">х. В общей структуре фунгемий редкие дрожжеподобные грибы занимают от 1% до 5%. Как правило, микробиологическим подтверждением является выделение грибов из гемокультуры. Заболевание возникает у тяжелой категории </w:t>
      </w:r>
      <w:r>
        <w:t>гематологических пациентов</w:t>
      </w:r>
      <w:r w:rsidRPr="00DA2BC8">
        <w:t xml:space="preserve">, включая </w:t>
      </w:r>
      <w:r>
        <w:t>пациентов с</w:t>
      </w:r>
      <w:r w:rsidRPr="00DA2BC8">
        <w:t xml:space="preserve"> острыми л</w:t>
      </w:r>
      <w:r>
        <w:t>ейкозами, реципиентов аллогенных</w:t>
      </w:r>
      <w:r w:rsidRPr="00DA2BC8">
        <w:t xml:space="preserve"> СГК</w:t>
      </w:r>
      <w:r>
        <w:t xml:space="preserve"> и др.</w:t>
      </w:r>
      <w:r w:rsidRPr="00DA2BC8">
        <w:t xml:space="preserve"> Крайне важно провести идентификацию до вида всех дрожжеподобных грибов, выделенных из стерильных локусов, с помощью современных тест-систем или масс-спектрометрии. К редким дрожжеподобным грибам относят </w:t>
      </w:r>
      <w:r w:rsidRPr="00DA2BC8">
        <w:rPr>
          <w:i/>
          <w:iCs/>
        </w:rPr>
        <w:t xml:space="preserve">Geotrichum </w:t>
      </w:r>
      <w:r w:rsidRPr="00DA2BC8">
        <w:t xml:space="preserve">spp., </w:t>
      </w:r>
      <w:r w:rsidRPr="00DA2BC8">
        <w:rPr>
          <w:i/>
          <w:iCs/>
        </w:rPr>
        <w:t>Rhodotorula</w:t>
      </w:r>
      <w:r w:rsidRPr="00DA2BC8">
        <w:t xml:space="preserve"> spp., </w:t>
      </w:r>
      <w:r w:rsidRPr="00DA2BC8">
        <w:rPr>
          <w:i/>
          <w:iCs/>
        </w:rPr>
        <w:t>Saccharomyces</w:t>
      </w:r>
      <w:r w:rsidRPr="00DA2BC8">
        <w:t xml:space="preserve"> spp., </w:t>
      </w:r>
      <w:r w:rsidRPr="00DA2BC8">
        <w:rPr>
          <w:i/>
          <w:iCs/>
        </w:rPr>
        <w:t>Trichosporon</w:t>
      </w:r>
      <w:r w:rsidRPr="00DA2BC8">
        <w:t xml:space="preserve"> spp., </w:t>
      </w:r>
      <w:r w:rsidRPr="00DA2BC8">
        <w:rPr>
          <w:i/>
          <w:iCs/>
        </w:rPr>
        <w:t>Malassezia</w:t>
      </w:r>
      <w:r w:rsidRPr="00DA2BC8">
        <w:t xml:space="preserve"> spp., </w:t>
      </w:r>
      <w:r w:rsidRPr="00DA2BC8">
        <w:rPr>
          <w:i/>
          <w:iCs/>
        </w:rPr>
        <w:t>Pichia anomala, Saprochaete capitata</w:t>
      </w:r>
    </w:p>
    <w:p w14:paraId="119E51A2" w14:textId="77777777" w:rsidR="00A967A8" w:rsidRPr="0031168A" w:rsidRDefault="00A967A8" w:rsidP="00A967A8">
      <w:pPr>
        <w:widowControl w:val="0"/>
        <w:autoSpaceDE w:val="0"/>
        <w:autoSpaceDN w:val="0"/>
        <w:adjustRightInd w:val="0"/>
        <w:ind w:right="50" w:firstLine="709"/>
        <w:contextualSpacing/>
        <w:rPr>
          <w:i/>
          <w:iCs/>
        </w:rPr>
      </w:pPr>
      <w:r w:rsidRPr="00C553B6">
        <w:rPr>
          <w:i/>
          <w:iCs/>
          <w:u w:val="single"/>
        </w:rPr>
        <w:t>Микозы</w:t>
      </w:r>
      <w:r w:rsidRPr="0031168A">
        <w:rPr>
          <w:i/>
          <w:iCs/>
          <w:u w:val="single"/>
        </w:rPr>
        <w:t xml:space="preserve">, </w:t>
      </w:r>
      <w:r w:rsidRPr="00C553B6">
        <w:rPr>
          <w:i/>
          <w:iCs/>
          <w:u w:val="single"/>
        </w:rPr>
        <w:t>вызванные</w:t>
      </w:r>
      <w:r w:rsidRPr="0031168A">
        <w:rPr>
          <w:i/>
          <w:iCs/>
          <w:u w:val="single"/>
        </w:rPr>
        <w:t xml:space="preserve"> </w:t>
      </w:r>
      <w:r w:rsidRPr="00C553B6">
        <w:rPr>
          <w:i/>
          <w:iCs/>
          <w:u w:val="single"/>
          <w:lang w:val="en-US"/>
        </w:rPr>
        <w:t>Saprochaete</w:t>
      </w:r>
      <w:r w:rsidRPr="0031168A">
        <w:rPr>
          <w:i/>
          <w:iCs/>
          <w:u w:val="single"/>
        </w:rPr>
        <w:t xml:space="preserve"> </w:t>
      </w:r>
      <w:r w:rsidRPr="00C553B6">
        <w:rPr>
          <w:i/>
          <w:iCs/>
          <w:u w:val="single"/>
          <w:lang w:val="en-US"/>
        </w:rPr>
        <w:t>capitat</w:t>
      </w:r>
      <w:r w:rsidRPr="00C553B6">
        <w:rPr>
          <w:i/>
          <w:iCs/>
          <w:lang w:val="en-US"/>
        </w:rPr>
        <w:t>a</w:t>
      </w:r>
      <w:r w:rsidRPr="0031168A">
        <w:rPr>
          <w:i/>
          <w:iCs/>
          <w:u w:val="single"/>
        </w:rPr>
        <w:t xml:space="preserve"> (</w:t>
      </w:r>
      <w:r w:rsidRPr="00C553B6">
        <w:rPr>
          <w:i/>
          <w:iCs/>
          <w:u w:val="single"/>
        </w:rPr>
        <w:t>синонимы</w:t>
      </w:r>
      <w:r w:rsidRPr="0031168A">
        <w:rPr>
          <w:i/>
          <w:iCs/>
          <w:u w:val="single"/>
        </w:rPr>
        <w:t xml:space="preserve"> </w:t>
      </w:r>
      <w:r w:rsidRPr="00C553B6">
        <w:rPr>
          <w:i/>
          <w:iCs/>
          <w:u w:val="single"/>
          <w:lang w:val="en-US"/>
        </w:rPr>
        <w:t>Trichosporon</w:t>
      </w:r>
      <w:r w:rsidRPr="0031168A">
        <w:rPr>
          <w:i/>
          <w:iCs/>
          <w:u w:val="single"/>
        </w:rPr>
        <w:t xml:space="preserve"> </w:t>
      </w:r>
      <w:r w:rsidRPr="00C553B6">
        <w:rPr>
          <w:i/>
          <w:iCs/>
          <w:u w:val="single"/>
          <w:lang w:val="en-US"/>
        </w:rPr>
        <w:t>capitatum</w:t>
      </w:r>
      <w:r w:rsidRPr="0031168A">
        <w:rPr>
          <w:i/>
          <w:iCs/>
          <w:u w:val="single"/>
        </w:rPr>
        <w:t xml:space="preserve">, </w:t>
      </w:r>
      <w:r w:rsidRPr="00C553B6">
        <w:rPr>
          <w:i/>
          <w:iCs/>
          <w:u w:val="single"/>
          <w:lang w:val="en-US"/>
        </w:rPr>
        <w:t>Geotrichum</w:t>
      </w:r>
      <w:r w:rsidRPr="0031168A">
        <w:rPr>
          <w:i/>
          <w:iCs/>
          <w:u w:val="single"/>
        </w:rPr>
        <w:t xml:space="preserve"> </w:t>
      </w:r>
      <w:r w:rsidRPr="00C553B6">
        <w:rPr>
          <w:i/>
          <w:iCs/>
          <w:u w:val="single"/>
          <w:lang w:val="en-US"/>
        </w:rPr>
        <w:t>capitatum</w:t>
      </w:r>
      <w:r w:rsidRPr="0031168A">
        <w:rPr>
          <w:i/>
          <w:iCs/>
          <w:u w:val="single"/>
        </w:rPr>
        <w:t xml:space="preserve">, </w:t>
      </w:r>
      <w:r w:rsidRPr="00C553B6">
        <w:rPr>
          <w:i/>
          <w:iCs/>
          <w:u w:val="single"/>
          <w:lang w:val="en-US"/>
        </w:rPr>
        <w:t>Ascotrichosporon</w:t>
      </w:r>
      <w:r w:rsidRPr="0031168A">
        <w:rPr>
          <w:i/>
          <w:iCs/>
          <w:u w:val="single"/>
        </w:rPr>
        <w:t xml:space="preserve"> </w:t>
      </w:r>
      <w:r w:rsidRPr="00C553B6">
        <w:rPr>
          <w:i/>
          <w:iCs/>
          <w:u w:val="single"/>
          <w:lang w:val="en-US"/>
        </w:rPr>
        <w:t>capitatum</w:t>
      </w:r>
      <w:r w:rsidRPr="0031168A">
        <w:rPr>
          <w:i/>
          <w:iCs/>
          <w:u w:val="single"/>
        </w:rPr>
        <w:t xml:space="preserve">, </w:t>
      </w:r>
      <w:r w:rsidRPr="00C553B6">
        <w:rPr>
          <w:i/>
          <w:iCs/>
          <w:u w:val="single"/>
          <w:lang w:val="en-US"/>
        </w:rPr>
        <w:t>Blastoschizomyces</w:t>
      </w:r>
      <w:r w:rsidRPr="0031168A">
        <w:rPr>
          <w:i/>
          <w:iCs/>
          <w:u w:val="single"/>
        </w:rPr>
        <w:t xml:space="preserve"> </w:t>
      </w:r>
      <w:r w:rsidRPr="00C553B6">
        <w:rPr>
          <w:i/>
          <w:iCs/>
          <w:u w:val="single"/>
          <w:lang w:val="en-US"/>
        </w:rPr>
        <w:t>capitatus</w:t>
      </w:r>
      <w:r w:rsidRPr="0031168A">
        <w:rPr>
          <w:i/>
          <w:iCs/>
          <w:u w:val="single"/>
        </w:rPr>
        <w:t>)</w:t>
      </w:r>
    </w:p>
    <w:p w14:paraId="01AE7A4A" w14:textId="77777777" w:rsidR="00A967A8" w:rsidRPr="00DA2BC8" w:rsidRDefault="00A967A8" w:rsidP="00A967A8">
      <w:pPr>
        <w:widowControl w:val="0"/>
        <w:autoSpaceDE w:val="0"/>
        <w:autoSpaceDN w:val="0"/>
        <w:adjustRightInd w:val="0"/>
        <w:ind w:right="50" w:firstLine="709"/>
        <w:contextualSpacing/>
        <w:rPr>
          <w:b/>
          <w:bCs/>
          <w:i/>
          <w:iCs/>
        </w:rPr>
      </w:pPr>
      <w:r w:rsidRPr="00DA2BC8">
        <w:t xml:space="preserve">В структуре фунгемий не превышают 0,5%. Фунгемии, вызванные </w:t>
      </w:r>
      <w:r w:rsidRPr="00DA2BC8">
        <w:rPr>
          <w:i/>
          <w:iCs/>
        </w:rPr>
        <w:t>S. capitat</w:t>
      </w:r>
      <w:r w:rsidRPr="00DA2BC8">
        <w:rPr>
          <w:i/>
        </w:rPr>
        <w:t>a</w:t>
      </w:r>
      <w:r w:rsidRPr="00DA2BC8">
        <w:t xml:space="preserve"> в сравнении с </w:t>
      </w:r>
      <w:r w:rsidRPr="00DA2BC8">
        <w:rPr>
          <w:i/>
          <w:iCs/>
        </w:rPr>
        <w:t>Candida</w:t>
      </w:r>
      <w:r w:rsidRPr="00DA2BC8">
        <w:t xml:space="preserve"> spp, характеризуются высокой частотой диссеминации в паренхиматозные органы (60-80%) и высокой летальностью (50-60%). К факторам риска относят нейтропению, наличие ЦВК.</w:t>
      </w:r>
      <w:r w:rsidRPr="00DA2BC8">
        <w:rPr>
          <w:b/>
          <w:bCs/>
          <w:i/>
          <w:iCs/>
        </w:rPr>
        <w:t xml:space="preserve"> </w:t>
      </w:r>
      <w:r w:rsidRPr="00DA2BC8">
        <w:rPr>
          <w:bCs/>
        </w:rPr>
        <w:t>Диагноз ставят на основании выделения</w:t>
      </w:r>
      <w:r w:rsidRPr="00DA2BC8">
        <w:rPr>
          <w:b/>
          <w:bCs/>
        </w:rPr>
        <w:t xml:space="preserve"> </w:t>
      </w:r>
      <w:r w:rsidRPr="00DA2BC8">
        <w:rPr>
          <w:i/>
          <w:iCs/>
        </w:rPr>
        <w:t>S. capitat</w:t>
      </w:r>
      <w:r w:rsidRPr="00DA2BC8">
        <w:rPr>
          <w:i/>
        </w:rPr>
        <w:t>a</w:t>
      </w:r>
      <w:r w:rsidRPr="00DA2BC8">
        <w:t xml:space="preserve"> из гемокультуры, хотя бы однократном, или из биоптатов органов и тканей. Идентификацию до вида проводят с помощью современных тест-систем или масс-спектрометрии, а не на основании микроскопии или культуральных свойств. </w:t>
      </w:r>
      <w:r w:rsidRPr="00DA2BC8">
        <w:rPr>
          <w:bCs/>
          <w:iCs/>
        </w:rPr>
        <w:t xml:space="preserve">Во всех случаях </w:t>
      </w:r>
      <w:r w:rsidRPr="00DA2BC8">
        <w:t xml:space="preserve">выделении </w:t>
      </w:r>
      <w:r w:rsidRPr="00DA2BC8">
        <w:rPr>
          <w:i/>
          <w:iCs/>
        </w:rPr>
        <w:t>S. capitat</w:t>
      </w:r>
      <w:r w:rsidRPr="00DA2BC8">
        <w:rPr>
          <w:i/>
        </w:rPr>
        <w:t>a</w:t>
      </w:r>
      <w:r w:rsidRPr="00DA2BC8">
        <w:t xml:space="preserve"> из гемокультуры выполняют КТ (с контрастированием) или МРТ органов брюшной полости ввиду высокой вероятности диссеминации. Симптомы инфекции, вызванной </w:t>
      </w:r>
      <w:r w:rsidRPr="00DA2BC8">
        <w:rPr>
          <w:i/>
          <w:iCs/>
        </w:rPr>
        <w:t>S. capitat</w:t>
      </w:r>
      <w:r w:rsidRPr="00DA2BC8">
        <w:rPr>
          <w:i/>
        </w:rPr>
        <w:t>a</w:t>
      </w:r>
      <w:r w:rsidRPr="00DA2BC8">
        <w:t xml:space="preserve">, аналогичны симптомам при кандидемии – высокая температура, озноб, гипотензия. </w:t>
      </w:r>
      <w:r w:rsidRPr="00DA2BC8">
        <w:rPr>
          <w:bCs/>
        </w:rPr>
        <w:t>Лечение включает</w:t>
      </w:r>
      <w:r w:rsidRPr="00DA2BC8">
        <w:rPr>
          <w:b/>
          <w:bCs/>
        </w:rPr>
        <w:t xml:space="preserve"> </w:t>
      </w:r>
      <w:r w:rsidRPr="00DA2BC8">
        <w:t>удаление ЦВК во всех случаях, назначение вориконазола (1-й день 12 мг/кг/сутки, внутривенно, доза разделяется на два приема, далее – 8 мг/кг/сутки, при стабилизации состояния – перевод на пероральную форму вориконазола по 200 мг х 2 раза в сутки) или амфотерицина В (1 мг/кг/сутки (+/- флуцитозин)). При отсутствиии эффекта от монотерапии можно использовать сочетание вориконазола с амфотерицином В. Амфотерицина В заменяют на липидные формы амфотерицина В (доза 3-5 мг/кг/сутки) в случаях повышения креатинина, непереносимости амофотерицина В, неэффективности.</w:t>
      </w:r>
      <w:r w:rsidRPr="00DA2BC8">
        <w:rPr>
          <w:b/>
          <w:bCs/>
          <w:i/>
          <w:iCs/>
        </w:rPr>
        <w:t xml:space="preserve"> </w:t>
      </w:r>
      <w:r w:rsidRPr="00DA2BC8">
        <w:t xml:space="preserve">Против </w:t>
      </w:r>
      <w:r w:rsidRPr="00DA2BC8">
        <w:rPr>
          <w:i/>
          <w:iCs/>
        </w:rPr>
        <w:t>S. capitata</w:t>
      </w:r>
      <w:r w:rsidRPr="00DA2BC8">
        <w:t xml:space="preserve"> проявляют активность </w:t>
      </w:r>
      <w:r w:rsidRPr="00DA2BC8">
        <w:rPr>
          <w:i/>
          <w:iCs/>
        </w:rPr>
        <w:t>in vitro</w:t>
      </w:r>
      <w:r w:rsidRPr="00DA2BC8">
        <w:t xml:space="preserve"> также итраконазол и позаконазол, не активен -- флуконазол.</w:t>
      </w:r>
      <w:r w:rsidRPr="00DA2BC8">
        <w:rPr>
          <w:b/>
          <w:bCs/>
          <w:i/>
          <w:iCs/>
        </w:rPr>
        <w:t xml:space="preserve"> </w:t>
      </w:r>
      <w:r w:rsidRPr="00DA2BC8">
        <w:t xml:space="preserve">Не рекомендовано применение эхинокандины по причине природной резистентности </w:t>
      </w:r>
      <w:r w:rsidRPr="00DA2BC8">
        <w:rPr>
          <w:i/>
          <w:iCs/>
        </w:rPr>
        <w:t>S. capitata.</w:t>
      </w:r>
    </w:p>
    <w:p w14:paraId="1D961278" w14:textId="77777777" w:rsidR="00A967A8" w:rsidRPr="00C553B6" w:rsidRDefault="00A967A8" w:rsidP="00A967A8">
      <w:pPr>
        <w:widowControl w:val="0"/>
        <w:autoSpaceDE w:val="0"/>
        <w:autoSpaceDN w:val="0"/>
        <w:adjustRightInd w:val="0"/>
        <w:ind w:right="50" w:firstLine="709"/>
        <w:contextualSpacing/>
        <w:rPr>
          <w:i/>
          <w:iCs/>
          <w:u w:val="single"/>
        </w:rPr>
      </w:pPr>
      <w:r w:rsidRPr="00C553B6">
        <w:rPr>
          <w:i/>
          <w:iCs/>
          <w:u w:val="single"/>
        </w:rPr>
        <w:t>Микозы, вызванные Malassezia spp.</w:t>
      </w:r>
    </w:p>
    <w:p w14:paraId="214F582B" w14:textId="77777777" w:rsidR="00A967A8" w:rsidRPr="00DA2BC8" w:rsidRDefault="00A967A8" w:rsidP="00A967A8">
      <w:pPr>
        <w:widowControl w:val="0"/>
        <w:autoSpaceDE w:val="0"/>
        <w:autoSpaceDN w:val="0"/>
        <w:adjustRightInd w:val="0"/>
        <w:ind w:right="50" w:firstLine="709"/>
        <w:contextualSpacing/>
      </w:pPr>
      <w:r w:rsidRPr="00DA2BC8">
        <w:t xml:space="preserve">Ведущие возбудителями инвазивных микозов у человека - </w:t>
      </w:r>
      <w:r w:rsidRPr="00DA2BC8">
        <w:rPr>
          <w:i/>
          <w:iCs/>
        </w:rPr>
        <w:t xml:space="preserve">M. furfur </w:t>
      </w:r>
      <w:r w:rsidRPr="00DA2BC8">
        <w:t xml:space="preserve">и </w:t>
      </w:r>
      <w:r w:rsidRPr="00DA2BC8">
        <w:rPr>
          <w:i/>
          <w:iCs/>
        </w:rPr>
        <w:t>M.</w:t>
      </w:r>
      <w:r w:rsidRPr="00DA2BC8">
        <w:t xml:space="preserve"> </w:t>
      </w:r>
      <w:r w:rsidRPr="00DA2BC8">
        <w:rPr>
          <w:i/>
          <w:iCs/>
        </w:rPr>
        <w:t>pachydermatis</w:t>
      </w:r>
      <w:r w:rsidRPr="00DA2BC8">
        <w:t xml:space="preserve">, являются липофильными грибами. Основным проявлением инфекции служит фунгемия, также могут возникать перитонит, эндокардит, пневмония, остеомиелит, менингит. Инфекции, вызванные </w:t>
      </w:r>
      <w:r w:rsidRPr="00DA2BC8">
        <w:rPr>
          <w:i/>
          <w:iCs/>
        </w:rPr>
        <w:t>Malassezia</w:t>
      </w:r>
      <w:r w:rsidRPr="00DA2BC8">
        <w:t xml:space="preserve"> spp. характеризуются нетяжелым течением и низкой летальностью. Ввиду липофильной природы большинства </w:t>
      </w:r>
      <w:r w:rsidRPr="00DA2BC8">
        <w:rPr>
          <w:i/>
          <w:iCs/>
        </w:rPr>
        <w:t xml:space="preserve">Malassezia </w:t>
      </w:r>
      <w:r w:rsidRPr="00DA2BC8">
        <w:t xml:space="preserve">spp., инфекция развивается у больных, получающих парентеральное питание, содержащее жирные кислоты. К другим факторам риска относят наличие ЦВК, перитонеального диализа, иммуносупрессии, тяжелой сопутствующей патологии. Возможны эпидемические вспышки в стационаре. </w:t>
      </w:r>
      <w:r w:rsidRPr="00DA2BC8">
        <w:rPr>
          <w:bCs/>
        </w:rPr>
        <w:t>Диагностика включает</w:t>
      </w:r>
      <w:r w:rsidRPr="00DA2BC8">
        <w:t xml:space="preserve"> выделение </w:t>
      </w:r>
      <w:r w:rsidRPr="00DA2BC8">
        <w:rPr>
          <w:i/>
          <w:iCs/>
        </w:rPr>
        <w:t>Malassezia</w:t>
      </w:r>
      <w:r w:rsidRPr="00DA2BC8">
        <w:t xml:space="preserve"> spp. из гемокультуры или других стерильных образцов (асцитическая жидкость, ликвор, биоптаты органов). Для детекции </w:t>
      </w:r>
      <w:r w:rsidRPr="00DA2BC8">
        <w:rPr>
          <w:i/>
          <w:iCs/>
        </w:rPr>
        <w:t>Malassezia</w:t>
      </w:r>
      <w:r w:rsidRPr="00DA2BC8">
        <w:t xml:space="preserve"> spp. необходимо в питательную среду добавлять жиры (например, стерильное оливковое масло) ввиду их липофильной природы. </w:t>
      </w:r>
      <w:r w:rsidRPr="00DA2BC8">
        <w:rPr>
          <w:bCs/>
        </w:rPr>
        <w:t>Лечение</w:t>
      </w:r>
      <w:r w:rsidRPr="00DA2BC8">
        <w:rPr>
          <w:b/>
          <w:bCs/>
        </w:rPr>
        <w:t xml:space="preserve"> </w:t>
      </w:r>
      <w:r w:rsidRPr="00DA2BC8">
        <w:rPr>
          <w:bCs/>
        </w:rPr>
        <w:t>включает у</w:t>
      </w:r>
      <w:r w:rsidRPr="00DA2BC8">
        <w:t xml:space="preserve">даление ЦВК, прекращение парентерального питания, </w:t>
      </w:r>
      <w:r w:rsidRPr="00DA2BC8">
        <w:rPr>
          <w:bCs/>
        </w:rPr>
        <w:t xml:space="preserve">назначение </w:t>
      </w:r>
      <w:r w:rsidRPr="00DA2BC8">
        <w:t xml:space="preserve">флуконазола  (400 мг), или амфотерицин В (1 мг/кг), или вориконазола (1-й день 12 мг/кг, далее 8 мг/кг). Не рекомендовано назначать эхинокандины ввиду природной резистентности </w:t>
      </w:r>
      <w:r w:rsidRPr="00DA2BC8">
        <w:rPr>
          <w:i/>
          <w:iCs/>
        </w:rPr>
        <w:t>Malassezia</w:t>
      </w:r>
      <w:r w:rsidRPr="00DA2BC8">
        <w:t xml:space="preserve"> spp.</w:t>
      </w:r>
    </w:p>
    <w:p w14:paraId="7BF63A8A" w14:textId="77777777" w:rsidR="00A967A8" w:rsidRPr="00C553B6" w:rsidRDefault="00A967A8" w:rsidP="00A967A8">
      <w:pPr>
        <w:widowControl w:val="0"/>
        <w:autoSpaceDE w:val="0"/>
        <w:autoSpaceDN w:val="0"/>
        <w:adjustRightInd w:val="0"/>
        <w:ind w:right="50" w:firstLine="709"/>
        <w:contextualSpacing/>
        <w:rPr>
          <w:i/>
          <w:iCs/>
          <w:u w:val="single"/>
        </w:rPr>
      </w:pPr>
      <w:r w:rsidRPr="00C553B6">
        <w:rPr>
          <w:i/>
          <w:iCs/>
          <w:u w:val="single"/>
        </w:rPr>
        <w:t>Микозы, вызванные Trichosporon spp.</w:t>
      </w:r>
    </w:p>
    <w:p w14:paraId="3030C6EE" w14:textId="77777777" w:rsidR="00A967A8" w:rsidRPr="00DA2BC8" w:rsidRDefault="00A967A8" w:rsidP="00A967A8">
      <w:pPr>
        <w:widowControl w:val="0"/>
        <w:autoSpaceDE w:val="0"/>
        <w:autoSpaceDN w:val="0"/>
        <w:adjustRightInd w:val="0"/>
        <w:ind w:right="50" w:firstLine="709"/>
        <w:contextualSpacing/>
      </w:pPr>
      <w:r w:rsidRPr="00DA2BC8">
        <w:t xml:space="preserve">Эти грибы очень широко распространены в окружающей среде, часто колонизируют кожу, особенно перианальную область, иногда слизистые оболочки верхних дыхательных путей и желудочно-кишечного тракта. Основным проявлением инвазивных микозов, вызванных </w:t>
      </w:r>
      <w:r w:rsidRPr="00DA2BC8">
        <w:rPr>
          <w:i/>
          <w:iCs/>
        </w:rPr>
        <w:t>Trichosporon</w:t>
      </w:r>
      <w:r w:rsidRPr="00DA2BC8">
        <w:t xml:space="preserve"> spp. у </w:t>
      </w:r>
      <w:r>
        <w:t>гематологических пациентов</w:t>
      </w:r>
      <w:r w:rsidRPr="00DA2BC8">
        <w:t xml:space="preserve"> является фунгемия (75%) с последующей диссеминацией в различные органы и ткани организма. Наиболее часто инфекция сопровождается появлением септико-пиемических очагов на коже (50%). Возможны и другие проявления, такие как эндокардит, перитонит, менингит, пиелонефрит и т.д. Для инвазивных микозов, вызванных </w:t>
      </w:r>
      <w:r w:rsidRPr="00DA2BC8">
        <w:rPr>
          <w:i/>
          <w:iCs/>
        </w:rPr>
        <w:t>Trichosporon</w:t>
      </w:r>
      <w:r w:rsidRPr="00DA2BC8">
        <w:t xml:space="preserve"> spp. у больных гемобластозами, характерна высокая летальность (55-80%). Основные возбудители - </w:t>
      </w:r>
      <w:r w:rsidRPr="00DA2BC8">
        <w:rPr>
          <w:i/>
          <w:iCs/>
        </w:rPr>
        <w:t>Trichosporon asahii</w:t>
      </w:r>
      <w:r w:rsidRPr="00DA2BC8">
        <w:t xml:space="preserve"> и </w:t>
      </w:r>
      <w:r w:rsidRPr="00DA2BC8">
        <w:rPr>
          <w:i/>
          <w:iCs/>
        </w:rPr>
        <w:t>Trichosporon dermatis</w:t>
      </w:r>
      <w:r w:rsidRPr="00DA2BC8">
        <w:t xml:space="preserve">. Основными факторами риска развития инфекции являются наличие ЦВК, пребывание в ОРИТ, перитонеальный диализ, лечение глюкокортикостероидами, химиотерапия, внутривенные инъекции наркотических веществ. </w:t>
      </w:r>
      <w:r w:rsidRPr="00DA2BC8">
        <w:rPr>
          <w:bCs/>
        </w:rPr>
        <w:t>Диагностика включает</w:t>
      </w:r>
      <w:r w:rsidRPr="00DA2BC8">
        <w:rPr>
          <w:b/>
          <w:bCs/>
        </w:rPr>
        <w:t xml:space="preserve"> </w:t>
      </w:r>
      <w:r w:rsidRPr="00DA2BC8">
        <w:t xml:space="preserve">выделение </w:t>
      </w:r>
      <w:r w:rsidRPr="00DA2BC8">
        <w:rPr>
          <w:i/>
          <w:iCs/>
        </w:rPr>
        <w:t>Trichosporon</w:t>
      </w:r>
      <w:r w:rsidRPr="00DA2BC8">
        <w:t xml:space="preserve"> spp. из гемокультуры </w:t>
      </w:r>
      <w:r>
        <w:t xml:space="preserve">(кровь) </w:t>
      </w:r>
      <w:r w:rsidRPr="00DA2BC8">
        <w:t>или других стерильных образцов (асцитическая жидкость, ликвор, биоптаты органов</w:t>
      </w:r>
      <w:r>
        <w:t>, и др.</w:t>
      </w:r>
      <w:r w:rsidRPr="00DA2BC8">
        <w:t xml:space="preserve">). Выделение </w:t>
      </w:r>
      <w:r w:rsidRPr="00DA2BC8">
        <w:rPr>
          <w:i/>
          <w:iCs/>
        </w:rPr>
        <w:t>Trichosporon</w:t>
      </w:r>
      <w:r w:rsidRPr="00DA2BC8">
        <w:t xml:space="preserve"> spp. из мочи при наличии гематурии может свидетельствовать о наличии пиелонефрита. Дрожжеподобные грибы </w:t>
      </w:r>
      <w:r w:rsidRPr="00DA2BC8">
        <w:rPr>
          <w:i/>
          <w:iCs/>
        </w:rPr>
        <w:t>Trichosporon</w:t>
      </w:r>
      <w:r w:rsidRPr="00DA2BC8">
        <w:t xml:space="preserve"> spp. продуцируют антигены </w:t>
      </w:r>
      <w:r w:rsidRPr="00DA2BC8">
        <w:rPr>
          <w:i/>
          <w:iCs/>
        </w:rPr>
        <w:t>Cryptococcus</w:t>
      </w:r>
      <w:r w:rsidRPr="00DA2BC8">
        <w:t xml:space="preserve"> spp. (глюкуроноксоломаннан) и </w:t>
      </w:r>
      <w:r w:rsidRPr="00DA2BC8">
        <w:rPr>
          <w:i/>
          <w:iCs/>
        </w:rPr>
        <w:t xml:space="preserve">Aspergillus </w:t>
      </w:r>
      <w:r w:rsidRPr="00DA2BC8">
        <w:t xml:space="preserve">(галактоманнан), поэтому может быть перекрестная реакция для этих антигенов при инфекции, вызванной </w:t>
      </w:r>
      <w:r w:rsidRPr="00DA2BC8">
        <w:rPr>
          <w:i/>
          <w:iCs/>
        </w:rPr>
        <w:t xml:space="preserve">Trichosporon </w:t>
      </w:r>
      <w:r w:rsidRPr="00DA2BC8">
        <w:t xml:space="preserve">spp. На основании обнаружения одновременно положительных антигенов глюкуроноксоломаннана и галактоманнана можно заподозрить инфекцию, вызванную </w:t>
      </w:r>
      <w:r w:rsidRPr="00DA2BC8">
        <w:rPr>
          <w:i/>
          <w:iCs/>
        </w:rPr>
        <w:t>Trichosporon</w:t>
      </w:r>
      <w:r w:rsidRPr="00DA2BC8">
        <w:t xml:space="preserve"> spp., и провести дополнительные исследования гемокультуры. </w:t>
      </w:r>
    </w:p>
    <w:p w14:paraId="5A4C699B" w14:textId="77777777" w:rsidR="00A967A8" w:rsidRPr="00DA2BC8" w:rsidRDefault="00A967A8" w:rsidP="00A967A8">
      <w:pPr>
        <w:widowControl w:val="0"/>
        <w:autoSpaceDE w:val="0"/>
        <w:autoSpaceDN w:val="0"/>
        <w:adjustRightInd w:val="0"/>
        <w:ind w:right="50" w:firstLine="709"/>
        <w:contextualSpacing/>
        <w:rPr>
          <w:b/>
          <w:bCs/>
        </w:rPr>
      </w:pPr>
      <w:r w:rsidRPr="00DA2BC8">
        <w:rPr>
          <w:bCs/>
        </w:rPr>
        <w:t xml:space="preserve">Лечение включает </w:t>
      </w:r>
      <w:r w:rsidRPr="00DA2BC8">
        <w:t xml:space="preserve">удаление ЦВК, </w:t>
      </w:r>
      <w:r w:rsidRPr="00DA2BC8">
        <w:rPr>
          <w:bCs/>
        </w:rPr>
        <w:t xml:space="preserve">назначение </w:t>
      </w:r>
      <w:r w:rsidRPr="00DA2BC8">
        <w:t xml:space="preserve">вориконазола в стандартных дозах, альтернативный препарат – флуконазол. Активность флуконазола в отношении </w:t>
      </w:r>
      <w:r w:rsidRPr="00DA2BC8">
        <w:rPr>
          <w:i/>
          <w:iCs/>
        </w:rPr>
        <w:t>Trichosporon</w:t>
      </w:r>
      <w:r w:rsidRPr="00DA2BC8">
        <w:t xml:space="preserve"> spp. вариабельная. Назначение амфотерицина В не рекомендовано ввиду низкой активности в лечении этих инфекций (16-24%).</w:t>
      </w:r>
      <w:r w:rsidRPr="00DA2BC8">
        <w:rPr>
          <w:b/>
          <w:bCs/>
        </w:rPr>
        <w:t xml:space="preserve"> </w:t>
      </w:r>
      <w:r w:rsidRPr="00DA2BC8">
        <w:t xml:space="preserve">Изоляты </w:t>
      </w:r>
      <w:r w:rsidRPr="00DA2BC8">
        <w:rPr>
          <w:i/>
          <w:iCs/>
        </w:rPr>
        <w:t xml:space="preserve">Trichosporon </w:t>
      </w:r>
      <w:r w:rsidRPr="00DA2BC8">
        <w:t>spp. проявляют природную устойчивость к эхинокандинам.</w:t>
      </w:r>
    </w:p>
    <w:p w14:paraId="407C54A6" w14:textId="77777777" w:rsidR="00A967A8" w:rsidRPr="00C553B6" w:rsidRDefault="00A967A8" w:rsidP="00A967A8">
      <w:pPr>
        <w:widowControl w:val="0"/>
        <w:autoSpaceDE w:val="0"/>
        <w:autoSpaceDN w:val="0"/>
        <w:adjustRightInd w:val="0"/>
        <w:ind w:right="50" w:firstLine="709"/>
        <w:contextualSpacing/>
        <w:rPr>
          <w:i/>
          <w:iCs/>
          <w:u w:val="single"/>
        </w:rPr>
      </w:pPr>
      <w:r w:rsidRPr="00C553B6">
        <w:rPr>
          <w:i/>
          <w:iCs/>
          <w:u w:val="single"/>
        </w:rPr>
        <w:t>Микозы, вызванные Rhodotorula spp.</w:t>
      </w:r>
    </w:p>
    <w:p w14:paraId="7CC82903" w14:textId="77777777" w:rsidR="00A967A8" w:rsidRPr="00DA2BC8" w:rsidRDefault="00A967A8" w:rsidP="00A967A8">
      <w:pPr>
        <w:widowControl w:val="0"/>
        <w:autoSpaceDE w:val="0"/>
        <w:autoSpaceDN w:val="0"/>
        <w:adjustRightInd w:val="0"/>
        <w:ind w:right="50" w:firstLine="709"/>
        <w:contextualSpacing/>
      </w:pPr>
      <w:r>
        <w:t>Эта разновидность грибов ч</w:t>
      </w:r>
      <w:r w:rsidRPr="00DA2BC8">
        <w:t>асто образу</w:t>
      </w:r>
      <w:r>
        <w:t>е</w:t>
      </w:r>
      <w:r w:rsidRPr="00DA2BC8">
        <w:t>т биопленки и способн</w:t>
      </w:r>
      <w:r>
        <w:t>а</w:t>
      </w:r>
      <w:r w:rsidRPr="00DA2BC8">
        <w:t xml:space="preserve"> колонизировать продукты питания, предметы личной гигиены (зубные щетки, душевые принадлежности), различное медицинское оборудование. Основным проявлением инфекции является инфекция кровотока (79%) и в большинстве случаев она ассоциирована с инфицированием ЦВК. Также описаны случаи перитонита, эндокардита, менингита и др. Летальность при инвазивных микозах, вызванных </w:t>
      </w:r>
      <w:r w:rsidRPr="00DA2BC8">
        <w:rPr>
          <w:i/>
          <w:iCs/>
        </w:rPr>
        <w:t>Rhodotorula</w:t>
      </w:r>
      <w:r w:rsidRPr="00DA2BC8">
        <w:t xml:space="preserve"> spp., составляет 12%-14%. Основной возбудитель – </w:t>
      </w:r>
      <w:r w:rsidRPr="00DA2BC8">
        <w:rPr>
          <w:i/>
          <w:iCs/>
        </w:rPr>
        <w:t>R. mucilaginosa (R. rubra)</w:t>
      </w:r>
      <w:r w:rsidRPr="00DA2BC8">
        <w:t xml:space="preserve">, реже </w:t>
      </w:r>
      <w:r w:rsidRPr="00DA2BC8">
        <w:rPr>
          <w:i/>
          <w:iCs/>
        </w:rPr>
        <w:t>R. glutinis</w:t>
      </w:r>
      <w:r w:rsidRPr="00DA2BC8">
        <w:t xml:space="preserve"> и </w:t>
      </w:r>
      <w:r w:rsidRPr="00DA2BC8">
        <w:rPr>
          <w:i/>
          <w:iCs/>
        </w:rPr>
        <w:t>R. minuta.</w:t>
      </w:r>
      <w:r w:rsidRPr="00DA2BC8">
        <w:t xml:space="preserve"> </w:t>
      </w:r>
      <w:r w:rsidRPr="00DA2BC8">
        <w:rPr>
          <w:bCs/>
        </w:rPr>
        <w:t>Факторами риска являются н</w:t>
      </w:r>
      <w:r w:rsidRPr="00DA2BC8">
        <w:t xml:space="preserve">аличие ЦВК, иммуносупрессия, обширные ожоги, перитонеальный диализ, цирроз печени, абдоминальные операции, введение наркотических препаратов. </w:t>
      </w:r>
      <w:r w:rsidRPr="00DA2BC8">
        <w:rPr>
          <w:bCs/>
        </w:rPr>
        <w:t xml:space="preserve">Диагностика основана на </w:t>
      </w:r>
      <w:r w:rsidRPr="00DA2BC8">
        <w:t xml:space="preserve">выделении </w:t>
      </w:r>
      <w:r w:rsidRPr="00DA2BC8">
        <w:rPr>
          <w:i/>
          <w:iCs/>
        </w:rPr>
        <w:t>Rhodotorula</w:t>
      </w:r>
      <w:r w:rsidRPr="00DA2BC8">
        <w:t xml:space="preserve"> spp. из гемокультуры или других стерильных образцов (асцитическая жидкость, ликвор, биоптаты органов).</w:t>
      </w:r>
    </w:p>
    <w:p w14:paraId="25DA4796" w14:textId="77777777" w:rsidR="00A967A8" w:rsidRPr="00DA2BC8" w:rsidRDefault="00A967A8" w:rsidP="00A967A8">
      <w:pPr>
        <w:widowControl w:val="0"/>
        <w:autoSpaceDE w:val="0"/>
        <w:autoSpaceDN w:val="0"/>
        <w:adjustRightInd w:val="0"/>
        <w:ind w:right="50" w:firstLine="709"/>
        <w:contextualSpacing/>
      </w:pPr>
      <w:r w:rsidRPr="00DA2BC8">
        <w:rPr>
          <w:bCs/>
        </w:rPr>
        <w:t>Лечение включает</w:t>
      </w:r>
      <w:r w:rsidRPr="00DA2BC8">
        <w:rPr>
          <w:b/>
          <w:bCs/>
        </w:rPr>
        <w:t xml:space="preserve"> </w:t>
      </w:r>
      <w:r w:rsidRPr="00DA2BC8">
        <w:t xml:space="preserve">удаление ЦВК, назначение </w:t>
      </w:r>
      <w:r w:rsidRPr="00DA2BC8">
        <w:rPr>
          <w:bCs/>
        </w:rPr>
        <w:t>а</w:t>
      </w:r>
      <w:r w:rsidRPr="00DA2BC8">
        <w:t>мфотерицина В (1 мг/кг/сутки) в монотерапии или в сочетании с флуцитозином,</w:t>
      </w:r>
      <w:r w:rsidRPr="00DA2BC8">
        <w:rPr>
          <w:bCs/>
        </w:rPr>
        <w:t xml:space="preserve"> альтернативный препарат – липидная форма</w:t>
      </w:r>
      <w:r w:rsidRPr="00DA2BC8">
        <w:rPr>
          <w:b/>
          <w:bCs/>
        </w:rPr>
        <w:t xml:space="preserve"> </w:t>
      </w:r>
      <w:r w:rsidRPr="00DA2BC8">
        <w:t>амфотерицина В (3 мг/кг/сутки).</w:t>
      </w:r>
    </w:p>
    <w:p w14:paraId="41F903C2" w14:textId="77777777" w:rsidR="00A967A8" w:rsidRPr="00C553B6" w:rsidRDefault="00A967A8" w:rsidP="00A967A8">
      <w:pPr>
        <w:widowControl w:val="0"/>
        <w:autoSpaceDE w:val="0"/>
        <w:autoSpaceDN w:val="0"/>
        <w:adjustRightInd w:val="0"/>
        <w:ind w:right="50" w:firstLine="709"/>
        <w:contextualSpacing/>
        <w:rPr>
          <w:i/>
          <w:iCs/>
          <w:u w:val="single"/>
        </w:rPr>
      </w:pPr>
      <w:r w:rsidRPr="00C553B6">
        <w:rPr>
          <w:i/>
          <w:iCs/>
          <w:u w:val="single"/>
        </w:rPr>
        <w:t>Микозы, вызванные Saccharomyces spp.</w:t>
      </w:r>
    </w:p>
    <w:p w14:paraId="09120125" w14:textId="77777777" w:rsidR="00A967A8" w:rsidRPr="00DA2BC8" w:rsidRDefault="00A967A8" w:rsidP="00A967A8">
      <w:pPr>
        <w:widowControl w:val="0"/>
        <w:autoSpaceDE w:val="0"/>
        <w:autoSpaceDN w:val="0"/>
        <w:adjustRightInd w:val="0"/>
        <w:ind w:right="50" w:firstLine="709"/>
        <w:contextualSpacing/>
      </w:pPr>
      <w:r w:rsidRPr="00DA2BC8">
        <w:t xml:space="preserve">Основные представители - </w:t>
      </w:r>
      <w:r w:rsidRPr="00DA2BC8">
        <w:rPr>
          <w:i/>
          <w:iCs/>
        </w:rPr>
        <w:t>Saccharomyces cerevisiae</w:t>
      </w:r>
      <w:r w:rsidRPr="00DA2BC8">
        <w:t xml:space="preserve"> (пекарские дрожжи) и </w:t>
      </w:r>
      <w:r w:rsidRPr="00DA2BC8">
        <w:rPr>
          <w:i/>
          <w:iCs/>
        </w:rPr>
        <w:t>Saccharomyces boulardii</w:t>
      </w:r>
      <w:r w:rsidRPr="00DA2BC8">
        <w:t xml:space="preserve"> (используют в качестве пробиотика при лечении диареи). Оба этих вида филогенетически родственны </w:t>
      </w:r>
      <w:r w:rsidRPr="00DA2BC8">
        <w:rPr>
          <w:i/>
          <w:iCs/>
        </w:rPr>
        <w:t>C. glabrata</w:t>
      </w:r>
      <w:r w:rsidRPr="00DA2BC8">
        <w:t xml:space="preserve">. В этой связи, клинические проявления, диагностика и лечение инфекции схожи с таковыми при кандидемии. Ведущими факторами риска инфекции являются прием пробиотиков, содержащих возбудитель, или пребывание в одной палате с </w:t>
      </w:r>
      <w:r>
        <w:t>пациентом</w:t>
      </w:r>
      <w:r w:rsidRPr="00DA2BC8">
        <w:t xml:space="preserve">, получающим пробиотики. Другими факторами являются нейтропения, кахексия, наличие ЦВК. </w:t>
      </w:r>
      <w:r w:rsidRPr="00DA2BC8">
        <w:rPr>
          <w:bCs/>
        </w:rPr>
        <w:t xml:space="preserve">Диагностика основана на </w:t>
      </w:r>
      <w:r w:rsidRPr="00DA2BC8">
        <w:t xml:space="preserve">выделении </w:t>
      </w:r>
      <w:r w:rsidRPr="00DA2BC8">
        <w:rPr>
          <w:i/>
          <w:iCs/>
        </w:rPr>
        <w:t>Saccharomyces</w:t>
      </w:r>
      <w:r w:rsidRPr="00DA2BC8">
        <w:t xml:space="preserve"> spp., из гемокультуры или других стерильных образцов (асцитическая жидкость, ликвор, биоптаты органов). </w:t>
      </w:r>
      <w:r w:rsidRPr="00DA2BC8">
        <w:rPr>
          <w:bCs/>
        </w:rPr>
        <w:t>Лечение включает отмену</w:t>
      </w:r>
      <w:r w:rsidRPr="00DA2BC8">
        <w:rPr>
          <w:b/>
          <w:bCs/>
        </w:rPr>
        <w:t xml:space="preserve"> </w:t>
      </w:r>
      <w:r w:rsidRPr="00DA2BC8">
        <w:t xml:space="preserve">пробиотика, содержащего </w:t>
      </w:r>
      <w:r w:rsidRPr="00DA2BC8">
        <w:rPr>
          <w:i/>
          <w:iCs/>
        </w:rPr>
        <w:t>S. boulardii</w:t>
      </w:r>
      <w:r w:rsidRPr="00DA2BC8">
        <w:t xml:space="preserve"> (если назначали), назначение препарата выбора - амфотерицина В (1 мг/кг/сутки) или </w:t>
      </w:r>
      <w:r w:rsidRPr="00DA2BC8">
        <w:rPr>
          <w:bCs/>
        </w:rPr>
        <w:t>альтернативного препарата</w:t>
      </w:r>
      <w:r w:rsidRPr="00DA2BC8">
        <w:rPr>
          <w:b/>
          <w:bCs/>
        </w:rPr>
        <w:t xml:space="preserve"> </w:t>
      </w:r>
      <w:r w:rsidRPr="00DA2BC8">
        <w:t>-</w:t>
      </w:r>
      <w:r w:rsidRPr="00DA2BC8">
        <w:rPr>
          <w:bCs/>
        </w:rPr>
        <w:t xml:space="preserve"> липидной формы </w:t>
      </w:r>
      <w:r w:rsidRPr="00DA2BC8">
        <w:t xml:space="preserve">амфотерицина В (3 мг/кг/сутки) или эхинокандина (каспофунгин или микафунгин, или анидулафунгин, в стандартных дозах). </w:t>
      </w:r>
    </w:p>
    <w:p w14:paraId="12C2AFDA" w14:textId="77777777" w:rsidR="00A967A8" w:rsidRPr="00C553B6" w:rsidRDefault="00A967A8" w:rsidP="00A967A8">
      <w:pPr>
        <w:widowControl w:val="0"/>
        <w:autoSpaceDE w:val="0"/>
        <w:autoSpaceDN w:val="0"/>
        <w:adjustRightInd w:val="0"/>
        <w:ind w:right="50" w:firstLine="709"/>
        <w:contextualSpacing/>
        <w:rPr>
          <w:i/>
          <w:iCs/>
          <w:u w:val="single"/>
          <w:lang w:val="en-US"/>
        </w:rPr>
      </w:pPr>
      <w:r w:rsidRPr="00C553B6">
        <w:rPr>
          <w:i/>
          <w:iCs/>
          <w:u w:val="single"/>
        </w:rPr>
        <w:t>Микозы</w:t>
      </w:r>
      <w:r w:rsidRPr="00C553B6">
        <w:rPr>
          <w:i/>
          <w:iCs/>
          <w:u w:val="single"/>
          <w:lang w:val="en-US"/>
        </w:rPr>
        <w:t xml:space="preserve">, </w:t>
      </w:r>
      <w:r w:rsidRPr="00C553B6">
        <w:rPr>
          <w:i/>
          <w:iCs/>
          <w:u w:val="single"/>
        </w:rPr>
        <w:t>вызванные</w:t>
      </w:r>
      <w:r w:rsidRPr="00C553B6">
        <w:rPr>
          <w:i/>
          <w:iCs/>
          <w:u w:val="single"/>
          <w:lang w:val="en-US"/>
        </w:rPr>
        <w:t xml:space="preserve"> Geotrichum candidum (Galactomyces candidus)</w:t>
      </w:r>
    </w:p>
    <w:p w14:paraId="51E0F5A4" w14:textId="77777777" w:rsidR="00A967A8" w:rsidRPr="00453773" w:rsidRDefault="00A967A8" w:rsidP="00A967A8">
      <w:pPr>
        <w:widowControl w:val="0"/>
        <w:autoSpaceDE w:val="0"/>
        <w:autoSpaceDN w:val="0"/>
        <w:adjustRightInd w:val="0"/>
        <w:ind w:right="50" w:firstLine="709"/>
        <w:contextualSpacing/>
        <w:rPr>
          <w:bCs/>
        </w:rPr>
      </w:pPr>
      <w:r w:rsidRPr="00DA2BC8">
        <w:t xml:space="preserve">Генетически родственны </w:t>
      </w:r>
      <w:r w:rsidRPr="00DA2BC8">
        <w:rPr>
          <w:i/>
          <w:iCs/>
        </w:rPr>
        <w:t>S. Capitata</w:t>
      </w:r>
      <w:r>
        <w:rPr>
          <w:i/>
          <w:iCs/>
        </w:rPr>
        <w:t xml:space="preserve">; </w:t>
      </w:r>
      <w:r w:rsidRPr="00453773">
        <w:rPr>
          <w:iCs/>
        </w:rPr>
        <w:t>о</w:t>
      </w:r>
      <w:r w:rsidRPr="00DA2BC8">
        <w:t xml:space="preserve">писаны единичные случаи инвазивной инфекции у </w:t>
      </w:r>
      <w:r>
        <w:t>гематологических пациентов, с</w:t>
      </w:r>
      <w:r w:rsidRPr="00DA2BC8">
        <w:t xml:space="preserve">пособны вызывать эпидемические вспышки в стационарах. </w:t>
      </w:r>
      <w:r w:rsidRPr="00DA2BC8">
        <w:rPr>
          <w:bCs/>
        </w:rPr>
        <w:t xml:space="preserve">В основе диагностики </w:t>
      </w:r>
      <w:r w:rsidRPr="00DA2BC8">
        <w:t xml:space="preserve">выделение грибов из гемокультуры </w:t>
      </w:r>
      <w:r>
        <w:t xml:space="preserve">(кровь) </w:t>
      </w:r>
      <w:r w:rsidRPr="00DA2BC8">
        <w:t>или других стерильных образцов (асцитическая жидкость, ликвор, биоптаты органов</w:t>
      </w:r>
      <w:r>
        <w:t xml:space="preserve"> и др.</w:t>
      </w:r>
      <w:r w:rsidRPr="00DA2BC8">
        <w:t xml:space="preserve">). </w:t>
      </w:r>
      <w:r w:rsidRPr="00DA2BC8">
        <w:rPr>
          <w:bCs/>
        </w:rPr>
        <w:t>Препаратом выбора является а</w:t>
      </w:r>
      <w:r w:rsidRPr="00DA2BC8">
        <w:t xml:space="preserve">мфотерицин В (1 мг/кг/сутки), </w:t>
      </w:r>
      <w:r w:rsidRPr="00DA2BC8">
        <w:rPr>
          <w:bCs/>
        </w:rPr>
        <w:t>альтернатив</w:t>
      </w:r>
      <w:r>
        <w:rPr>
          <w:bCs/>
        </w:rPr>
        <w:t>а</w:t>
      </w:r>
      <w:r w:rsidRPr="00DA2BC8">
        <w:rPr>
          <w:bCs/>
        </w:rPr>
        <w:t xml:space="preserve"> </w:t>
      </w:r>
      <w:r>
        <w:rPr>
          <w:bCs/>
        </w:rPr>
        <w:t>–</w:t>
      </w:r>
      <w:r w:rsidRPr="00DA2BC8">
        <w:rPr>
          <w:bCs/>
        </w:rPr>
        <w:t xml:space="preserve"> липидные формы </w:t>
      </w:r>
      <w:r w:rsidRPr="00DA2BC8">
        <w:t>амфотерицина В (3 мг/кг/сутки). Применение флуконазола, вориконазола и эхинокандинов не рекомендовано.</w:t>
      </w:r>
    </w:p>
    <w:p w14:paraId="3E3C7E4D" w14:textId="77777777" w:rsidR="00A967A8" w:rsidRDefault="00A967A8" w:rsidP="00A967A8">
      <w:pPr>
        <w:widowControl w:val="0"/>
        <w:autoSpaceDE w:val="0"/>
        <w:autoSpaceDN w:val="0"/>
        <w:adjustRightInd w:val="0"/>
        <w:ind w:right="50"/>
        <w:contextualSpacing/>
        <w:rPr>
          <w:b/>
          <w:bCs/>
        </w:rPr>
      </w:pPr>
    </w:p>
    <w:p w14:paraId="31C63521" w14:textId="7269F024" w:rsidR="00A967A8" w:rsidRPr="00084B8B" w:rsidRDefault="00A967A8" w:rsidP="00A967A8">
      <w:pPr>
        <w:widowControl w:val="0"/>
        <w:autoSpaceDE w:val="0"/>
        <w:autoSpaceDN w:val="0"/>
        <w:adjustRightInd w:val="0"/>
        <w:ind w:right="49"/>
        <w:contextualSpacing/>
        <w:rPr>
          <w:bCs/>
          <w:u w:val="single"/>
        </w:rPr>
      </w:pPr>
      <w:r w:rsidRPr="009B5EC6">
        <w:rPr>
          <w:bCs/>
          <w:u w:val="single"/>
        </w:rPr>
        <w:t>Инвазивный аспергиллез</w:t>
      </w:r>
      <w:r>
        <w:rPr>
          <w:bCs/>
          <w:u w:val="single"/>
          <w:lang w:val="en-US"/>
        </w:rPr>
        <w:t xml:space="preserve"> </w:t>
      </w:r>
      <w:r>
        <w:rPr>
          <w:b/>
        </w:rPr>
        <w:fldChar w:fldCharType="begin" w:fldLock="1"/>
      </w:r>
      <w:r w:rsidR="00FC494E">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-4","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patients","type":"article-journal","volume":"102"},"uris":["http://www.mendeley.com/documents/?uuid=56063fed-25f6-3324-a2f1-f316166613f0"]},{"id":"ITEM-5","itemData":{"DOI":"10.1016/j.cmi.2018.01.002","ISSN":"14690691","PMID":"29544767","abstract":"The European Society for Clinical Microbiology and Infectious Diseases, the European Confederation of Medical Mycology and the European Respiratory Society Joint Clinical Guidelines focus on diagnosis and management of aspergillosis. Of the numerous recommendations, a few are summarized here. Chest computed tomography as well as bronchoscopy with bronchoalveolar lavage (BAL) in patients with suspicion of pulmonary invasive aspergillosis (IA) are strongly recommended. For diagnosis, direct microscopy, preferably using optical brighteners, histopathology and culture are strongly recommended. Serum and BAL galactomannan measures are recommended as markers for the diagnosis of IA. PCR should be considered in conjunction with other diagnostic tests. Pathogen identification to species complex level is strongly recommended for all clinically relevant Aspergillus isolates; antifungal susceptibility testing should be performed in patients with invasive disease in regions with resistance found in contemporary surveillance programmes. Isavuconazole and voriconazole are the preferred agents for first-line treatment of pulmonary IA, whereas liposomal amphotericin B is moderately supported. Combinations of antifungals as primary treatment options are not recommended. Therapeutic drug monitoring is strongly recommended for patients receiving posaconazole suspension or any form of voriconazole for IA treatment, and in refractory disease, where a personalized approach considering reversal of predisposing factors, switching drug class and surgical intervention is also strongly recommended. Primary prophylaxis with posaconazole is strongly recommended in patients with acute myelogenous leukaemia or myelodysplastic syndrome receiving induction chemotherapy. Secondary prophylaxis is strongly recommended in high-risk patients. We strongly recommend treatment duration based on clinical improvement, degree of immunosuppression and response on imaging.","author":[{"dropping-particle":"","family":"Ullmann","given":"A. J.","non-dropping-particle":"","parse-names":false,"suffix":""},{"dropping-particle":"","family":"Aguado","given":"J. M.","non-dropping-particle":"","parse-names":false,"suffix":""},{"dropping-particle":"","family":"Arikan-Akdagli","given":"S.","non-dropping-particle":"","parse-names":false,"suffix":""},{"dropping-particle":"","family":"Denning","given":"D. W.","non-dropping-particle":"","parse-names":false,"suffix":""},{"dropping-particle":"","family":"Groll","given":"A. H.","non-dropping-particle":"","parse-names":false,"suffix":""},{"dropping-particle":"","family":"Lagrou","given":"K.","non-dropping-particle":"","parse-names":false,"suffix":""},{"dropping-particle":"","family":"Lass-Flörl","given":"C.","non-dropping-particle":"","parse-names":false,"suffix":""},{"dropping-particle":"","family":"Lewis","given":"R. E.","non-dropping-particle":"","parse-names":false,"suffix":""},{"dropping-particle":"","family":"Munoz","given":"P.","non-dropping-particle":"","parse-names":false,"suffix":""},{"dropping-particle":"","family":"Verweij","given":"P. E.","non-dropping-particle":"","parse-names":false,"suffix":""},{"dropping-particle":"","family":"Warris","given":"A.","non-dropping-particle":"","parse-names":false,"suffix":""},{"dropping-particle":"","family":"Ader","given":"F.","non-dropping-particle":"","parse-names":false,"suffix":""},{"dropping-particle":"","family":"Akova","given":"M.","non-dropping-particle":"","parse-names":false,"suffix":""},{"dropping-particle":"","family":"Arendrup","given":"M. C.","non-dropping-particle":"","parse-names":false,"suffix":""},{"dropping-particle":"","family":"Barnes","given":"R. A.","non-dropping-particle":"","parse-names":false,"suffix":""},{"dropping-particle":"","family":"Beigelman-Aubry","given":"C.","non-dropping-particle":"","parse-names":false,"suffix":""},{"dropping-particle":"","family":"Blot","given":"S.","non-dropping-particle":"","parse-names":false,"suffix":""},{"dropping-particle":"","family":"Bouza","given":"E.","non-dropping-particle":"","parse-names":false,"suffix":""},{"dropping-particle":"","family":"Brüggemann","given":"R. J.M.","non-dropping-particle":"","parse-names":false,"suffix":""},{"dropping-particle":"","family":"Buchheidt","given":"D.","non-dropping-particle":"","parse-names":false,"suffix":""},{"dropping-particle":"","family":"Cadranel","given":"J.","non-dropping-particle":"","parse-names":false,"suffix":""},{"dropping-particle":"","family":"Castagnola","given":"E.","non-dropping-particle":"","parse-names":false,"suffix":""},{"dropping-particle":"","family":"Chakrabarti","given":"A.","non-dropping-particle":"","parse-names":false,"suffix":""},{"dropping-particle":"","family":"Cuenca-Estrella","given":"M.","non-dropping-particle":"","parse-names":false,"suffix":""},{"dropping-particle":"","family":"Dimopoulos","given":"G.","non-dropping-particle":"","parse-names":false,"suffix":""},{"dropping-particle":"","family":"Fortun","given":"J.","non-dropping-particle":"","parse-names":false,"suffix":""},{"dropping-particle":"","family":"Gangneux","given":"J. P.","non-dropping-particle":"","parse-names":false,"suffix":""},{"dropping-particle":"","family":"Garbino","given":"J.","non-dropping-particle":"","parse-names":false,"suffix":""},{"dropping-particle":"","family":"Heinz","given":"W. J.","non-dropping-particle":"","parse-names":false,"suffix":""},{"dropping-particle":"","family":"Herbrecht","given":"R.","non-dropping-particle":"","parse-names":false,"suffix":""},{"dropping-particle":"","family":"Heussel","given":"C. P.","non-dropping-particle":"","parse-names":false,"suffix":""},{"dropping-particle":"","family":"Kibbler","given":"C. C.","non-dropping-particle":"","parse-names":false,"suffix":""},{"dropping-particle":"","family":"Klimko","given":"N.","non-dropping-particle":"","parse-names":false,"suffix":""},{"dropping-particle":"","family":"Kullberg","given":"B. J.","non-dropping-particle":"","parse-names":false,"suffix":""},{"dropping-particle":"","family":"Lange","given":"C.","non-dropping-particle":"","parse-names":false,"suffix":""},{"dropping-particle":"","family":"Lehrnbecher","given":"T.","non-dropping-particle":"","parse-names":false,"suffix":""},{"dropping-particle":"","family":"Löffler","given":"J.","non-dropping-particle":"","parse-names":false,"suffix":""},{"dropping-particle":"","family":"Lortholary","given":"O.","non-dropping-particle":"","parse-names":false,"suffix":""},{"dropping-particle":"","family":"Maertens","given":"J.","non-dropping-particle":"","parse-names":false,"suffix":""},{"dropping-particle":"","family":"Marchetti","given":"O.","non-dropping-particle":"","parse-names":false,"suffix":""},{"dropping-particle":"","family":"Meis","given":"J. F.","non-dropping-particle":"","parse-names":false,"suffix":""},{"dropping-particle":"","family":"Pagano","given":"L.","non-dropping-particle":"","parse-names":false,"suffix":""},{"dropping-particle":"","family":"Ribaud","given":"P.","non-dropping-particle":"","parse-names":false,"suffix":""},{"dropping-particle":"","family":"Richardson","given":"M.","non-dropping-particle":"","parse-names":false,"suffix":""},{"dropping-particle":"","family":"Roilides","given":"E.","non-dropping-particle":"","parse-names":false,"suffix":""},{"dropping-particle":"","family":"Ruhnke","given":"M.","non-dropping-particle":"","parse-names":false,"suffix":""},{"dropping-particle":"","family":"Sanguinetti","given":"M.","non-dropping-particle":"","parse-names":false,"suffix":""},{"dropping-particle":"","family":"Sheppard","given":"D. C.","non-dropping-particle":"","parse-names":false,"suffix":""},{"dropping-particle":"","family":"Sinkó","given":"J.","non-dropping-particle":"","parse-names":false,"suffix":""},{"dropping-particle":"","family":"Skiada","given":"A.","non-dropping-particle":"","parse-names":false,"suffix":""},{"dropping-particle":"","family":"Vehreschild","given":"M. J.G.T.","non-dropping-particle":"","parse-names":false,"suffix":""},{"dropping-particle":"","family":"Viscoli","given":"C.","non-dropping-particle":"","parse-names":false,"suffix":""},{"dropping-particle":"","family":"Cornely","given":"O. A.","non-dropping-particle":"","parse-names":false,"suffix":""}],"container-title":"Clinical Microbiology and Infection","id":"ITEM-5","issued":{"date-parts":[["2018","5","1"]]},"page":"e1-e38","publisher":"Elsevier B.V.","title":"Diagnosis and management of Aspergillus diseases: executive summary of the 2017 ESCMID-ECMM-ERS guideline","type":"article-journal","volume":"24"},"uris":["http://www.mendeley.com/documents/?uuid=5eaef361-0e16-3d87-bd2e-021d8493d891"]}],"mendeley":{"formattedCitation":"[149,150,155,156,158]","plainTextFormattedCitation":"[149,150,155,156,158]","previouslyFormattedCitation":"[149,150,155,156,158]"},"properties":{"noteIndex":0},"schema":"https://github.com/citation-style-language/schema/raw/master/csl-citation.json"}</w:instrText>
      </w:r>
      <w:r>
        <w:rPr>
          <w:b/>
        </w:rPr>
        <w:fldChar w:fldCharType="separate"/>
      </w:r>
      <w:r w:rsidRPr="00A967A8">
        <w:rPr>
          <w:noProof/>
        </w:rPr>
        <w:t>[149,150,155,156,158]</w:t>
      </w:r>
      <w:r>
        <w:rPr>
          <w:b/>
        </w:rPr>
        <w:fldChar w:fldCharType="end"/>
      </w:r>
    </w:p>
    <w:p w14:paraId="1BF0EEB5" w14:textId="77777777" w:rsidR="00A967A8" w:rsidRPr="00DA2BC8" w:rsidRDefault="00A967A8" w:rsidP="00A967A8">
      <w:pPr>
        <w:widowControl w:val="0"/>
        <w:autoSpaceDE w:val="0"/>
        <w:autoSpaceDN w:val="0"/>
        <w:adjustRightInd w:val="0"/>
        <w:ind w:right="50" w:firstLine="709"/>
        <w:contextualSpacing/>
      </w:pPr>
      <w:r w:rsidRPr="00DA2BC8">
        <w:t xml:space="preserve">Инвазивный аспергиллез является ведущей грибковой инфекцией в современной гематологии. В структуре инвазивных микозов у </w:t>
      </w:r>
      <w:r>
        <w:t xml:space="preserve">гематологических пациентов </w:t>
      </w:r>
      <w:r w:rsidRPr="00DA2BC8">
        <w:t xml:space="preserve">доля инвазивного аспергиллеза достигает 80%. Первичный очаг локализуется в легких (90-95%) и в придаточных пазухах носа (5-10%). Инвазивный аспергиллез преобладает у реципиентов аллогенных ТСГК, особенно неродственных, у </w:t>
      </w:r>
      <w:r>
        <w:t>пациентов с</w:t>
      </w:r>
      <w:r w:rsidRPr="00DA2BC8">
        <w:t xml:space="preserve"> острыми миелоидными лейкозами и миелодиспластическом синдром</w:t>
      </w:r>
      <w:r>
        <w:t>ом</w:t>
      </w:r>
      <w:r w:rsidRPr="00DA2BC8">
        <w:t xml:space="preserve">. </w:t>
      </w:r>
      <w:r w:rsidRPr="00DA2BC8">
        <w:rPr>
          <w:bCs/>
        </w:rPr>
        <w:t xml:space="preserve">Основные возбудители </w:t>
      </w:r>
      <w:r w:rsidRPr="00DA2BC8">
        <w:rPr>
          <w:i/>
          <w:iCs/>
        </w:rPr>
        <w:t>Aspergillus fumigatus</w:t>
      </w:r>
      <w:r w:rsidRPr="00DA2BC8">
        <w:t xml:space="preserve"> и </w:t>
      </w:r>
      <w:r w:rsidRPr="00DA2BC8">
        <w:rPr>
          <w:i/>
          <w:iCs/>
        </w:rPr>
        <w:t>Aspergillus flavus</w:t>
      </w:r>
      <w:r w:rsidRPr="00DA2BC8">
        <w:t xml:space="preserve">, реже - </w:t>
      </w:r>
      <w:r w:rsidRPr="00DA2BC8">
        <w:rPr>
          <w:i/>
          <w:iCs/>
        </w:rPr>
        <w:t>Aspergillus niger</w:t>
      </w:r>
      <w:r w:rsidRPr="00DA2BC8">
        <w:t xml:space="preserve"> и другие виды.</w:t>
      </w:r>
    </w:p>
    <w:p w14:paraId="050266AE" w14:textId="77777777" w:rsidR="00A967A8" w:rsidRPr="009B5EC6" w:rsidRDefault="00A967A8" w:rsidP="00A967A8">
      <w:pPr>
        <w:widowControl w:val="0"/>
        <w:autoSpaceDE w:val="0"/>
        <w:autoSpaceDN w:val="0"/>
        <w:adjustRightInd w:val="0"/>
        <w:ind w:right="50" w:firstLine="709"/>
        <w:contextualSpacing/>
        <w:rPr>
          <w:i/>
          <w:iCs/>
          <w:u w:val="single"/>
        </w:rPr>
      </w:pPr>
      <w:r w:rsidRPr="009B5EC6">
        <w:rPr>
          <w:i/>
          <w:iCs/>
          <w:u w:val="single"/>
        </w:rPr>
        <w:t>Факторы риска</w:t>
      </w:r>
    </w:p>
    <w:p w14:paraId="4829DB48" w14:textId="77777777" w:rsidR="00A967A8" w:rsidRPr="00DA2BC8" w:rsidRDefault="00A967A8" w:rsidP="00A967A8">
      <w:pPr>
        <w:widowControl w:val="0"/>
        <w:autoSpaceDE w:val="0"/>
        <w:autoSpaceDN w:val="0"/>
        <w:adjustRightInd w:val="0"/>
        <w:ind w:right="50" w:firstLine="709"/>
        <w:contextualSpacing/>
      </w:pPr>
      <w:r w:rsidRPr="00DA2BC8">
        <w:t>Основными факторами, индуцирующими развитие инвазивного аспергиллеза, являются гранулоцитопения (нейтрофилов менее 0,5×10</w:t>
      </w:r>
      <w:r w:rsidRPr="00DA2BC8">
        <w:rPr>
          <w:vertAlign w:val="superscript"/>
        </w:rPr>
        <w:t>9</w:t>
      </w:r>
      <w:r w:rsidRPr="00DA2BC8">
        <w:t>/л) длительностью от 10 дней и более на момент диагностики или в течение 60 дней до развития инвазивного аспергиллеза; трансплантация аллогенных ТГСК, лечение глюкокортикоидами и другими препаратами, приводящими к подавлению функции T-лимфоцитов. Частота инвазивного аспергиллеза возрастает в период эпидемии вирусных инфекций.</w:t>
      </w:r>
    </w:p>
    <w:p w14:paraId="08CE2A3B" w14:textId="77777777" w:rsidR="00A967A8" w:rsidRPr="00453773" w:rsidRDefault="00A967A8" w:rsidP="00A967A8">
      <w:pPr>
        <w:widowControl w:val="0"/>
        <w:autoSpaceDE w:val="0"/>
        <w:autoSpaceDN w:val="0"/>
        <w:adjustRightInd w:val="0"/>
        <w:ind w:right="50" w:firstLine="709"/>
        <w:contextualSpacing/>
        <w:rPr>
          <w:b/>
          <w:bCs/>
        </w:rPr>
      </w:pPr>
      <w:r w:rsidRPr="00453773">
        <w:rPr>
          <w:b/>
          <w:bCs/>
        </w:rPr>
        <w:t>Инвазивный аспергиллез легких</w:t>
      </w:r>
    </w:p>
    <w:p w14:paraId="6836E170" w14:textId="77777777" w:rsidR="00A967A8" w:rsidRPr="009B5EC6" w:rsidRDefault="00A967A8" w:rsidP="00A967A8">
      <w:pPr>
        <w:widowControl w:val="0"/>
        <w:autoSpaceDE w:val="0"/>
        <w:autoSpaceDN w:val="0"/>
        <w:adjustRightInd w:val="0"/>
        <w:ind w:right="50" w:firstLine="709"/>
        <w:contextualSpacing/>
        <w:rPr>
          <w:i/>
          <w:iCs/>
        </w:rPr>
      </w:pPr>
      <w:r w:rsidRPr="009B5EC6">
        <w:rPr>
          <w:i/>
          <w:iCs/>
          <w:u w:val="single"/>
        </w:rPr>
        <w:t>Симптомы</w:t>
      </w:r>
      <w:r w:rsidRPr="009B5EC6">
        <w:rPr>
          <w:i/>
          <w:iCs/>
        </w:rPr>
        <w:t xml:space="preserve"> </w:t>
      </w:r>
    </w:p>
    <w:p w14:paraId="1C7374E2" w14:textId="77777777" w:rsidR="00A967A8" w:rsidRPr="00DA2BC8" w:rsidRDefault="00A967A8" w:rsidP="00A967A8">
      <w:pPr>
        <w:widowControl w:val="0"/>
        <w:autoSpaceDE w:val="0"/>
        <w:autoSpaceDN w:val="0"/>
        <w:adjustRightInd w:val="0"/>
        <w:ind w:right="50" w:firstLine="709"/>
        <w:contextualSpacing/>
      </w:pPr>
      <w:r w:rsidRPr="00DA2BC8">
        <w:t xml:space="preserve">Начальные признаки скудные, в большинстве случаев бывает только лихорадка. У 15-20% </w:t>
      </w:r>
      <w:r>
        <w:t>пациентов</w:t>
      </w:r>
      <w:r w:rsidRPr="00DA2BC8">
        <w:t xml:space="preserve"> инвазивным аспергиллезом температура быва</w:t>
      </w:r>
      <w:r>
        <w:t>ет нормальной или субфебрильной</w:t>
      </w:r>
      <w:r w:rsidRPr="00DA2BC8">
        <w:t xml:space="preserve">. Другими симптомами являются кашель, сухой или с мокротой, кровохарканье, боль в грудной клетке, одышка. При прогрессировании инфекции может возникнуть легочное кровотечение, дыхательная недостаточность, спонтанный пневмоторакс. У 30-40% больных происходит диссеминация инвазивного аспергиллеза, чаще в головной мозг или печень. </w:t>
      </w:r>
    </w:p>
    <w:p w14:paraId="1457CADC" w14:textId="77777777" w:rsidR="00A967A8" w:rsidRPr="009B5EC6" w:rsidRDefault="00A967A8" w:rsidP="00A967A8">
      <w:pPr>
        <w:widowControl w:val="0"/>
        <w:autoSpaceDE w:val="0"/>
        <w:autoSpaceDN w:val="0"/>
        <w:adjustRightInd w:val="0"/>
        <w:ind w:right="50" w:firstLine="709"/>
        <w:contextualSpacing/>
        <w:rPr>
          <w:i/>
          <w:iCs/>
          <w:u w:val="single"/>
        </w:rPr>
      </w:pPr>
      <w:r w:rsidRPr="009B5EC6">
        <w:rPr>
          <w:i/>
          <w:iCs/>
          <w:u w:val="single"/>
        </w:rPr>
        <w:t>Диагностика инвазивного аспергиллеза легких</w:t>
      </w:r>
    </w:p>
    <w:p w14:paraId="070E1BB6" w14:textId="77777777" w:rsidR="00A967A8" w:rsidRPr="00DA2BC8" w:rsidRDefault="00A967A8" w:rsidP="00A967A8">
      <w:pPr>
        <w:widowControl w:val="0"/>
        <w:autoSpaceDE w:val="0"/>
        <w:autoSpaceDN w:val="0"/>
        <w:adjustRightInd w:val="0"/>
        <w:ind w:right="50" w:firstLine="709"/>
        <w:contextualSpacing/>
      </w:pPr>
      <w:r w:rsidRPr="00DA2BC8">
        <w:rPr>
          <w:bCs/>
        </w:rPr>
        <w:t>Диагноз инвазивного аспергиллеза устанавливают</w:t>
      </w:r>
      <w:r w:rsidRPr="00DA2BC8">
        <w:t xml:space="preserve"> на основании наличия факторов риска, характерных изменений</w:t>
      </w:r>
      <w:r>
        <w:t xml:space="preserve"> при радиологическом исследовании (КТ/СКТ легких)</w:t>
      </w:r>
      <w:r w:rsidRPr="00DA2BC8">
        <w:t>, микологического подтвержден</w:t>
      </w:r>
      <w:r>
        <w:t>и</w:t>
      </w:r>
      <w:r w:rsidRPr="00DA2BC8">
        <w:t xml:space="preserve">я, включающего культуральное и/или серологические исследования. </w:t>
      </w:r>
    </w:p>
    <w:p w14:paraId="4349DB07" w14:textId="77777777" w:rsidR="00A967A8" w:rsidRPr="009B5EC6" w:rsidRDefault="00A967A8" w:rsidP="00A967A8">
      <w:pPr>
        <w:widowControl w:val="0"/>
        <w:autoSpaceDE w:val="0"/>
        <w:autoSpaceDN w:val="0"/>
        <w:adjustRightInd w:val="0"/>
        <w:ind w:right="50" w:firstLine="709"/>
        <w:contextualSpacing/>
        <w:rPr>
          <w:i/>
          <w:iCs/>
          <w:u w:val="single"/>
        </w:rPr>
      </w:pPr>
      <w:r w:rsidRPr="009B5EC6">
        <w:rPr>
          <w:i/>
          <w:iCs/>
          <w:u w:val="single"/>
        </w:rPr>
        <w:t>Радиологические особенности инвазивного аспергиллеза легких</w:t>
      </w:r>
    </w:p>
    <w:p w14:paraId="03646115" w14:textId="77777777" w:rsidR="00A967A8" w:rsidRPr="00DA2BC8" w:rsidRDefault="00A967A8" w:rsidP="00A967A8">
      <w:pPr>
        <w:widowControl w:val="0"/>
        <w:tabs>
          <w:tab w:val="left" w:pos="317"/>
        </w:tabs>
        <w:autoSpaceDE w:val="0"/>
        <w:autoSpaceDN w:val="0"/>
        <w:adjustRightInd w:val="0"/>
        <w:ind w:right="50" w:firstLine="709"/>
        <w:contextualSpacing/>
      </w:pPr>
      <w:r w:rsidRPr="00DA2BC8">
        <w:t xml:space="preserve">Ранняя диагностика инвазивного аспергиллеза легких возможна только по данным </w:t>
      </w:r>
      <w:r>
        <w:t>КТ</w:t>
      </w:r>
      <w:r w:rsidRPr="00DA2BC8">
        <w:t xml:space="preserve">. Рентгенографию </w:t>
      </w:r>
      <w:r>
        <w:t xml:space="preserve">рутинно </w:t>
      </w:r>
      <w:r w:rsidRPr="00DA2BC8">
        <w:t>не используют в диагностике инвазивного аспергиллеза по причине позднего выявления изменений в легких. Радиологические проявления инвазивного аспергиллеза легких не являются строго специфичными. На раннем этапе инфекции определяется симптом «ореола» (область разрежения, которая представляет собой геморрагический инфильтрат, окружающий некротизированную ткань легкого), в более отдаленные сроки - симптом «серпа» (формирование воздушной полости в виде полумесяца) или образование полости. Характерными также являются очаги с ровными контурами или инфильтраты треугольной формы, обращенные основанием к плевре, преобладает субплевральное расположение очагов. У реципиентов аллогенных ГСК вне нейтропении, получающих лечение преднизолоном по поводу РТПХ доминируют изменения в легких, неспецифичные для инвазивного аспергиллеза, – это центролобулярные очаги небольших размеров или изменения по типу бронхиолита. При диагностике инвазивного аспергиллеза следует провести КТ или МРТ головного мозга с целью исключения диссеминации. У больных, излеченных от инвазивного аспергиллеза, могут определяться в легких остаточные изменения в виде паренхиматозных тяжей или небольших полостей.</w:t>
      </w:r>
    </w:p>
    <w:p w14:paraId="3CED0552" w14:textId="77777777" w:rsidR="00A967A8" w:rsidRPr="00DA2BC8" w:rsidRDefault="00A967A8" w:rsidP="00A967A8">
      <w:pPr>
        <w:widowControl w:val="0"/>
        <w:autoSpaceDE w:val="0"/>
        <w:autoSpaceDN w:val="0"/>
        <w:adjustRightInd w:val="0"/>
        <w:ind w:right="50" w:firstLine="709"/>
        <w:contextualSpacing/>
      </w:pPr>
      <w:r w:rsidRPr="00EB3571">
        <w:rPr>
          <w:bCs/>
          <w:i/>
          <w:iCs/>
          <w:u w:val="single"/>
        </w:rPr>
        <w:t>Микологические исследования</w:t>
      </w:r>
      <w:r w:rsidRPr="00DA2BC8">
        <w:t xml:space="preserve"> включают выделение культуры </w:t>
      </w:r>
      <w:r w:rsidRPr="00DA2BC8">
        <w:rPr>
          <w:i/>
          <w:iCs/>
        </w:rPr>
        <w:t>Aspergillus</w:t>
      </w:r>
      <w:r w:rsidRPr="00DA2BC8">
        <w:t xml:space="preserve"> из мокроты, жидкости БАЛ или биоптата легкого либо обнаружение истинного септированного мицелия из биоптата (аспирата) при гистологическом или цитологическом исследовании; определение положительного антигена </w:t>
      </w:r>
      <w:r w:rsidRPr="00DA2BC8">
        <w:rPr>
          <w:i/>
          <w:iCs/>
        </w:rPr>
        <w:t>Aspergillus</w:t>
      </w:r>
      <w:r w:rsidRPr="00DA2BC8">
        <w:t xml:space="preserve"> (галактоманнан) в сыворотке (индекс оптической плотности ≥0,5) и/или в жидкости БАЛ (индекс оптической плотности от 1,0 и более).</w:t>
      </w:r>
    </w:p>
    <w:p w14:paraId="6BF1F872" w14:textId="77777777" w:rsidR="00A967A8" w:rsidRPr="00EB3571" w:rsidRDefault="00A967A8" w:rsidP="00A967A8">
      <w:pPr>
        <w:widowControl w:val="0"/>
        <w:autoSpaceDE w:val="0"/>
        <w:autoSpaceDN w:val="0"/>
        <w:adjustRightInd w:val="0"/>
        <w:ind w:right="50" w:firstLine="709"/>
        <w:contextualSpacing/>
        <w:rPr>
          <w:i/>
          <w:iCs/>
          <w:u w:val="single"/>
        </w:rPr>
      </w:pPr>
      <w:r w:rsidRPr="00EB3571">
        <w:rPr>
          <w:i/>
          <w:iCs/>
          <w:u w:val="single"/>
        </w:rPr>
        <w:t>Мониторинг исследований</w:t>
      </w:r>
    </w:p>
    <w:p w14:paraId="3CD52F91" w14:textId="77777777" w:rsidR="00A967A8" w:rsidRPr="00DA2BC8" w:rsidRDefault="00A967A8" w:rsidP="00A967A8">
      <w:pPr>
        <w:widowControl w:val="0"/>
        <w:tabs>
          <w:tab w:val="left" w:pos="317"/>
        </w:tabs>
        <w:autoSpaceDE w:val="0"/>
        <w:autoSpaceDN w:val="0"/>
        <w:adjustRightInd w:val="0"/>
        <w:ind w:right="50" w:firstLine="709"/>
        <w:contextualSpacing/>
      </w:pPr>
      <w:r w:rsidRPr="00DA2BC8">
        <w:t>В процессе лечения инвазивного аспергиллеза повторяют КТ</w:t>
      </w:r>
      <w:r>
        <w:t xml:space="preserve">/СКТ легких </w:t>
      </w:r>
      <w:r w:rsidRPr="00DA2BC8">
        <w:t xml:space="preserve"> каждые 2-3 недели, при клинической неэффективности лечения - через 1 неделю от начала терапии, при стабилизации клинических проявлений инфекции – реже; определение антигена </w:t>
      </w:r>
      <w:r w:rsidRPr="00DA2BC8">
        <w:rPr>
          <w:i/>
          <w:iCs/>
        </w:rPr>
        <w:t>Aspergillus</w:t>
      </w:r>
      <w:r w:rsidRPr="00DA2BC8">
        <w:t xml:space="preserve"> (галактоманнан) в крови - 1 раз в неделю, если тест был положительным. Повторные положительные результаты определения галактоманнана (индекс оптической плотности &gt;0,5) в период лечения инвазивного аспергиллеза относятся к неблагоприятным факторам прогноза и свидетельсвуют об отсутствии контроля над инфекцией. </w:t>
      </w:r>
    </w:p>
    <w:p w14:paraId="598E94C8" w14:textId="77777777" w:rsidR="00A967A8" w:rsidRPr="00DA2BC8" w:rsidRDefault="00A967A8" w:rsidP="00A967A8">
      <w:pPr>
        <w:widowControl w:val="0"/>
        <w:autoSpaceDE w:val="0"/>
        <w:autoSpaceDN w:val="0"/>
        <w:adjustRightInd w:val="0"/>
        <w:ind w:right="50" w:firstLine="709"/>
        <w:contextualSpacing/>
      </w:pPr>
      <w:r w:rsidRPr="00DA2BC8">
        <w:t>При повышении нейтрофилов (более 0,5×10</w:t>
      </w:r>
      <w:r w:rsidRPr="00DA2BC8">
        <w:rPr>
          <w:vertAlign w:val="superscript"/>
        </w:rPr>
        <w:t>9</w:t>
      </w:r>
      <w:r w:rsidRPr="00DA2BC8">
        <w:t xml:space="preserve">/л) объем поражения в легких может увеличиваться на фоне улучшения клинического состояния </w:t>
      </w:r>
      <w:r>
        <w:t>пациента</w:t>
      </w:r>
      <w:r w:rsidRPr="00DA2BC8">
        <w:t>. Модификацию противогрибковой терапии не проводят.</w:t>
      </w:r>
    </w:p>
    <w:p w14:paraId="4DEEA4F5" w14:textId="77777777" w:rsidR="00A967A8" w:rsidRPr="00DA2BC8" w:rsidRDefault="00A967A8" w:rsidP="00A967A8">
      <w:pPr>
        <w:widowControl w:val="0"/>
        <w:autoSpaceDE w:val="0"/>
        <w:autoSpaceDN w:val="0"/>
        <w:adjustRightInd w:val="0"/>
        <w:ind w:right="50" w:firstLine="709"/>
        <w:contextualSpacing/>
      </w:pPr>
      <w:r w:rsidRPr="00DA2BC8">
        <w:t xml:space="preserve">Радиологические проявления, характерные для инвазивного аспергиллеза, могут быть при инфекции, вызванной другими микроорганизмами, или при иных патологических состояниях. Это следует учитывать, особенно когда диагноз инвазивного аспергиллеза установлен только на основании данных радиологического исследования без микологического подтверждения. </w:t>
      </w:r>
    </w:p>
    <w:p w14:paraId="573B1ED9" w14:textId="77777777" w:rsidR="00A967A8" w:rsidRPr="00EB3571" w:rsidRDefault="00A967A8" w:rsidP="00A967A8">
      <w:pPr>
        <w:widowControl w:val="0"/>
        <w:autoSpaceDE w:val="0"/>
        <w:autoSpaceDN w:val="0"/>
        <w:adjustRightInd w:val="0"/>
        <w:ind w:right="50" w:firstLine="709"/>
        <w:contextualSpacing/>
        <w:rPr>
          <w:i/>
        </w:rPr>
      </w:pPr>
      <w:r w:rsidRPr="00EB3571">
        <w:rPr>
          <w:i/>
          <w:u w:val="single"/>
        </w:rPr>
        <w:t xml:space="preserve">Лечение инвазивного аспергиллеза </w:t>
      </w:r>
    </w:p>
    <w:p w14:paraId="121B4E7D" w14:textId="77777777" w:rsidR="00A967A8" w:rsidRPr="00DA2BC8" w:rsidRDefault="00A967A8" w:rsidP="00A967A8">
      <w:pPr>
        <w:widowControl w:val="0"/>
        <w:autoSpaceDE w:val="0"/>
        <w:autoSpaceDN w:val="0"/>
        <w:adjustRightInd w:val="0"/>
        <w:ind w:right="50" w:firstLine="709"/>
        <w:contextualSpacing/>
      </w:pPr>
      <w:r w:rsidRPr="00DA2BC8">
        <w:t>Основными принципами эффективной терапии инвазивного аспергиллеза являются своевременная диагностика; незамедлительное назначение антимикотиков при подозрении на инвазивный аспергиллез; назначение эффективных препаратов на первом этапе лечения.</w:t>
      </w:r>
    </w:p>
    <w:p w14:paraId="3C9EDB37" w14:textId="77777777" w:rsidR="00A967A8" w:rsidRPr="00DA2BC8" w:rsidRDefault="00A967A8" w:rsidP="00A967A8">
      <w:pPr>
        <w:widowControl w:val="0"/>
        <w:tabs>
          <w:tab w:val="left" w:pos="317"/>
        </w:tabs>
        <w:autoSpaceDE w:val="0"/>
        <w:autoSpaceDN w:val="0"/>
        <w:adjustRightInd w:val="0"/>
        <w:ind w:right="50" w:firstLine="709"/>
        <w:contextualSpacing/>
      </w:pPr>
      <w:r w:rsidRPr="00DA2BC8">
        <w:rPr>
          <w:bCs/>
        </w:rPr>
        <w:t>Препаратами выбора являются</w:t>
      </w:r>
      <w:r w:rsidRPr="00DA2BC8">
        <w:rPr>
          <w:b/>
          <w:bCs/>
        </w:rPr>
        <w:t xml:space="preserve"> </w:t>
      </w:r>
      <w:r w:rsidRPr="00DA2BC8">
        <w:t xml:space="preserve">вориконазол (в 1-й первый день по 6 мг/кг внутривенно 2 раза в сутки, в последующие дни по 4 мг/кг внутривенно 2 раза в сутки, с переходом в дальнейшем на пероральную форму по 200 мг 2 раза в сутки, у больных с высокой массой тела пероральная доза составляет 8 мг/кг, максимально - по 300 мг х 2 раза, прием натощак или через 1 час после еды), изавуконазол по 200 мг каждые 8 час в течение </w:t>
      </w:r>
      <w:r>
        <w:t xml:space="preserve">2 дней, далее по </w:t>
      </w:r>
      <w:r w:rsidRPr="00DA2BC8">
        <w:t>200 мг 1 раз в сутки внутривенно или перорально [</w:t>
      </w:r>
      <w:r w:rsidRPr="00EC3182">
        <w:t>6</w:t>
      </w:r>
      <w:r w:rsidRPr="00DA2BC8">
        <w:t xml:space="preserve">]. Изавуконазол в сравнении с вориконазолом имеет достоверно ниже токсичность, разрешен больным с отклонениями в функции печени, проявляет активность не только против </w:t>
      </w:r>
      <w:r w:rsidRPr="00DA2BC8">
        <w:rPr>
          <w:i/>
        </w:rPr>
        <w:t>Aspergillus</w:t>
      </w:r>
      <w:r w:rsidRPr="00DA2BC8">
        <w:t xml:space="preserve">, но и грибов рода </w:t>
      </w:r>
      <w:r w:rsidRPr="00DA2BC8">
        <w:rPr>
          <w:i/>
        </w:rPr>
        <w:t>Mucorales</w:t>
      </w:r>
      <w:r w:rsidRPr="00DA2BC8">
        <w:t xml:space="preserve">. Больным печеночными порфириями не назначают азолы, для лечения используют эхинокандин. </w:t>
      </w:r>
      <w:r w:rsidRPr="00DA2BC8">
        <w:rPr>
          <w:bCs/>
        </w:rPr>
        <w:t xml:space="preserve">Альтернативные антимикотики для лечения инвазивного аспергиллеза легких - </w:t>
      </w:r>
      <w:r w:rsidRPr="00DA2BC8">
        <w:t>липидный комплекс амфотерицина В (5 мг/кг/сутки внутривенно), липосомальный амфотерициин В (3 мг/кг/сутки), каспофунгин (в 1-й день 70 мг, затем 50 мг внутривенно 1 раз в сутки), микафунгин (100 мг 1 раз в сутки внутривенно). Лечение амфотерицином В инвазивного аспергиллеза легких не показано.</w:t>
      </w:r>
    </w:p>
    <w:p w14:paraId="354CA399" w14:textId="77777777" w:rsidR="00A967A8" w:rsidRPr="00DA2BC8" w:rsidRDefault="00A967A8" w:rsidP="00A967A8">
      <w:pPr>
        <w:widowControl w:val="0"/>
        <w:tabs>
          <w:tab w:val="left" w:pos="317"/>
        </w:tabs>
        <w:autoSpaceDE w:val="0"/>
        <w:autoSpaceDN w:val="0"/>
        <w:adjustRightInd w:val="0"/>
        <w:ind w:right="50" w:firstLine="709"/>
        <w:contextualSpacing/>
      </w:pPr>
      <w:r w:rsidRPr="00DA2BC8">
        <w:rPr>
          <w:iCs/>
        </w:rPr>
        <w:t>Не используют сочетание противогрибковых препаратов в качестве терапии первой линии инвазивного аспергиллеза.</w:t>
      </w:r>
    </w:p>
    <w:p w14:paraId="582CFD85" w14:textId="77777777" w:rsidR="00A967A8" w:rsidRPr="00DA2BC8" w:rsidRDefault="00A967A8" w:rsidP="00A967A8">
      <w:pPr>
        <w:widowControl w:val="0"/>
        <w:autoSpaceDE w:val="0"/>
        <w:autoSpaceDN w:val="0"/>
        <w:adjustRightInd w:val="0"/>
        <w:ind w:right="50" w:firstLine="709"/>
        <w:contextualSpacing/>
        <w:rPr>
          <w:bCs/>
        </w:rPr>
      </w:pPr>
      <w:r w:rsidRPr="00DA2BC8">
        <w:rPr>
          <w:bCs/>
        </w:rPr>
        <w:t xml:space="preserve">Хирургическое лечение инвазивного аспергиллеза легких включает удаление очага, который </w:t>
      </w:r>
      <w:r w:rsidRPr="00DA2BC8">
        <w:t>расположен около крупных сосудов или перикарда, или в наличии активное кровохарканье из отдельного очага, или инвазия в плевральную полость/ребра.</w:t>
      </w:r>
    </w:p>
    <w:p w14:paraId="5106C875" w14:textId="77777777" w:rsidR="00A967A8" w:rsidRPr="00DA2BC8" w:rsidRDefault="00A967A8" w:rsidP="00A967A8">
      <w:pPr>
        <w:widowControl w:val="0"/>
        <w:autoSpaceDE w:val="0"/>
        <w:autoSpaceDN w:val="0"/>
        <w:adjustRightInd w:val="0"/>
        <w:ind w:right="50" w:firstLine="709"/>
        <w:contextualSpacing/>
      </w:pPr>
      <w:r w:rsidRPr="00DA2BC8">
        <w:rPr>
          <w:bCs/>
        </w:rPr>
        <w:t xml:space="preserve">Применение противогрибковых препаратов длительное и </w:t>
      </w:r>
      <w:r w:rsidRPr="00DA2BC8">
        <w:t>составляет не менее 6-12 недель. Критерием для отмены антимиоктиков является регрессия очагов в легких. Отрицательные результаты определения галактоманнана в сыворотке крови или в жидкости БАЛ в процессе лечения не являются основанием для прекращения противогрибковой терапии.</w:t>
      </w:r>
    </w:p>
    <w:p w14:paraId="0C4514FC" w14:textId="77777777" w:rsidR="00A967A8" w:rsidRPr="008F73A5" w:rsidRDefault="00A967A8" w:rsidP="00A967A8">
      <w:pPr>
        <w:widowControl w:val="0"/>
        <w:autoSpaceDE w:val="0"/>
        <w:autoSpaceDN w:val="0"/>
        <w:adjustRightInd w:val="0"/>
        <w:ind w:right="50" w:firstLine="709"/>
        <w:contextualSpacing/>
        <w:rPr>
          <w:b/>
          <w:bCs/>
        </w:rPr>
      </w:pPr>
      <w:r w:rsidRPr="008F73A5">
        <w:rPr>
          <w:b/>
          <w:bCs/>
        </w:rPr>
        <w:t>Инвазивный аспергиллезный риносинусит</w:t>
      </w:r>
    </w:p>
    <w:p w14:paraId="5142D147" w14:textId="77777777" w:rsidR="00A967A8" w:rsidRPr="00DA2BC8" w:rsidRDefault="00A967A8" w:rsidP="00A967A8">
      <w:pPr>
        <w:widowControl w:val="0"/>
        <w:autoSpaceDE w:val="0"/>
        <w:autoSpaceDN w:val="0"/>
        <w:adjustRightInd w:val="0"/>
        <w:ind w:right="50" w:firstLine="709"/>
        <w:contextualSpacing/>
      </w:pPr>
      <w:r w:rsidRPr="00EB3571">
        <w:rPr>
          <w:i/>
          <w:iCs/>
          <w:u w:val="single"/>
        </w:rPr>
        <w:t>Симптомы</w:t>
      </w:r>
      <w:r w:rsidRPr="00DA2BC8">
        <w:rPr>
          <w:bCs/>
        </w:rPr>
        <w:t xml:space="preserve"> включают </w:t>
      </w:r>
      <w:r w:rsidRPr="00DA2BC8">
        <w:t xml:space="preserve">затруднение носового дыхания, выраженную локальную боль в области пораженной околоносовой пазухи, периорбитальный отек на стороне поражения, асимметрию лица. </w:t>
      </w:r>
      <w:r>
        <w:t>При осмотре оториноларинголом н</w:t>
      </w:r>
      <w:r w:rsidRPr="00DA2BC8">
        <w:t>а слизистой оболочке нижней стенки и/или перегородки носового хода определяют некроз или изъязвления. В дальнейшем возникает деструкция мягкого и твердого неба, деструкция костей лицевой части черепа.</w:t>
      </w:r>
    </w:p>
    <w:p w14:paraId="0B636072" w14:textId="77777777" w:rsidR="00A967A8" w:rsidRDefault="00A967A8" w:rsidP="00A967A8">
      <w:pPr>
        <w:widowControl w:val="0"/>
        <w:autoSpaceDE w:val="0"/>
        <w:autoSpaceDN w:val="0"/>
        <w:adjustRightInd w:val="0"/>
        <w:ind w:right="50" w:firstLine="709"/>
        <w:contextualSpacing/>
      </w:pPr>
      <w:r w:rsidRPr="00EB3571">
        <w:rPr>
          <w:i/>
          <w:iCs/>
          <w:u w:val="single"/>
        </w:rPr>
        <w:t>Диагноз аспергиллезного риносинусита</w:t>
      </w:r>
      <w:r w:rsidRPr="00DA2BC8">
        <w:rPr>
          <w:b/>
          <w:bCs/>
        </w:rPr>
        <w:t xml:space="preserve"> </w:t>
      </w:r>
      <w:r w:rsidRPr="00DA2BC8">
        <w:rPr>
          <w:bCs/>
        </w:rPr>
        <w:t>устанавливают на основании</w:t>
      </w:r>
      <w:r w:rsidRPr="00DA2BC8">
        <w:rPr>
          <w:b/>
          <w:bCs/>
        </w:rPr>
        <w:t xml:space="preserve"> </w:t>
      </w:r>
      <w:r w:rsidRPr="00DA2BC8">
        <w:t>радиологических призна</w:t>
      </w:r>
      <w:r>
        <w:t>ков (МРТ носоротоглотки)</w:t>
      </w:r>
      <w:r w:rsidRPr="00DA2BC8">
        <w:t xml:space="preserve"> и выделения культуры </w:t>
      </w:r>
      <w:r w:rsidRPr="00DA2BC8">
        <w:rPr>
          <w:i/>
          <w:iCs/>
        </w:rPr>
        <w:t xml:space="preserve">Aspergillus </w:t>
      </w:r>
      <w:r w:rsidRPr="00DA2BC8">
        <w:t>spp. из биоптата некротизированной слизистой оболочки носа или аспирата придаточных пазух носа либо обнаружение мицелия грибов при гистологическом или цитологическом исследовании биоптата (аспирата).</w:t>
      </w:r>
    </w:p>
    <w:p w14:paraId="7E77AC1C" w14:textId="77777777" w:rsidR="00A967A8" w:rsidRPr="00DA2BC8" w:rsidRDefault="00A967A8" w:rsidP="00A967A8">
      <w:pPr>
        <w:widowControl w:val="0"/>
        <w:autoSpaceDE w:val="0"/>
        <w:autoSpaceDN w:val="0"/>
        <w:adjustRightInd w:val="0"/>
        <w:ind w:right="50" w:firstLine="709"/>
        <w:contextualSpacing/>
      </w:pPr>
      <w:r w:rsidRPr="00EB3571">
        <w:rPr>
          <w:i/>
          <w:iCs/>
          <w:u w:val="single"/>
        </w:rPr>
        <w:t>Для лечения</w:t>
      </w:r>
      <w:r w:rsidRPr="00DA2BC8">
        <w:rPr>
          <w:b/>
          <w:bCs/>
        </w:rPr>
        <w:t xml:space="preserve"> </w:t>
      </w:r>
      <w:r w:rsidRPr="00DA2BC8">
        <w:t>используют те же препараты, что при инвазивном аспергиллезе легких.</w:t>
      </w:r>
    </w:p>
    <w:p w14:paraId="50129EF0" w14:textId="77777777" w:rsidR="00A967A8" w:rsidRPr="001828E6" w:rsidRDefault="00A967A8" w:rsidP="00A967A8">
      <w:pPr>
        <w:widowControl w:val="0"/>
        <w:autoSpaceDE w:val="0"/>
        <w:autoSpaceDN w:val="0"/>
        <w:adjustRightInd w:val="0"/>
        <w:ind w:right="50" w:firstLine="709"/>
        <w:contextualSpacing/>
        <w:rPr>
          <w:b/>
          <w:bCs/>
        </w:rPr>
      </w:pPr>
      <w:r w:rsidRPr="001828E6">
        <w:rPr>
          <w:b/>
          <w:bCs/>
        </w:rPr>
        <w:t xml:space="preserve">Резистентный инвазивный аспергиллез </w:t>
      </w:r>
    </w:p>
    <w:p w14:paraId="75684543" w14:textId="77777777" w:rsidR="00A967A8" w:rsidRPr="00DA2BC8" w:rsidRDefault="00A967A8" w:rsidP="00A967A8">
      <w:pPr>
        <w:widowControl w:val="0"/>
        <w:autoSpaceDE w:val="0"/>
        <w:autoSpaceDN w:val="0"/>
        <w:adjustRightInd w:val="0"/>
        <w:ind w:right="50" w:firstLine="709"/>
        <w:contextualSpacing/>
      </w:pPr>
      <w:r w:rsidRPr="00DA2BC8">
        <w:rPr>
          <w:bCs/>
        </w:rPr>
        <w:t>В критерии резистентного течения входят</w:t>
      </w:r>
      <w:r w:rsidRPr="00DA2BC8">
        <w:rPr>
          <w:b/>
          <w:bCs/>
        </w:rPr>
        <w:t xml:space="preserve"> </w:t>
      </w:r>
      <w:r w:rsidRPr="00DA2BC8">
        <w:t>сохранение клинических признаков инфекции и отрицательная динамика в легких по данным КТВР не ранее чем через 7-14 дней от начала лечения.</w:t>
      </w:r>
    </w:p>
    <w:p w14:paraId="3C3600A5" w14:textId="77777777" w:rsidR="00A967A8" w:rsidRPr="00DA2BC8" w:rsidRDefault="00A967A8" w:rsidP="00A967A8">
      <w:pPr>
        <w:widowControl w:val="0"/>
        <w:autoSpaceDE w:val="0"/>
        <w:autoSpaceDN w:val="0"/>
        <w:adjustRightInd w:val="0"/>
        <w:ind w:right="50" w:firstLine="709"/>
        <w:contextualSpacing/>
        <w:rPr>
          <w:b/>
          <w:bCs/>
          <w:i/>
          <w:iCs/>
        </w:rPr>
      </w:pPr>
      <w:r w:rsidRPr="00DA2BC8">
        <w:rPr>
          <w:bCs/>
          <w:iCs/>
        </w:rPr>
        <w:t>Проводят модификацию противогрибковой терапии, которая включает</w:t>
      </w:r>
      <w:r w:rsidRPr="00DA2BC8">
        <w:rPr>
          <w:b/>
          <w:bCs/>
          <w:i/>
          <w:iCs/>
        </w:rPr>
        <w:t xml:space="preserve"> </w:t>
      </w:r>
      <w:r w:rsidRPr="00DA2BC8">
        <w:t>добавление второго антимикотика к ранее назначенному (например, к вориконазолу добавляют эхинокандин), или назначают противогрибковый препарат другой группы, отменяя препарат первой линии (назначение липидного комплекса амфотерицина В 5 мг/кг/сутки или липосомального амфотерицина В 5 мг/кг/сутки).</w:t>
      </w:r>
    </w:p>
    <w:p w14:paraId="7EC38398" w14:textId="77777777" w:rsidR="00A967A8" w:rsidRPr="00047807" w:rsidRDefault="00A967A8" w:rsidP="00A967A8">
      <w:pPr>
        <w:widowControl w:val="0"/>
        <w:autoSpaceDE w:val="0"/>
        <w:autoSpaceDN w:val="0"/>
        <w:adjustRightInd w:val="0"/>
        <w:ind w:right="50" w:firstLine="709"/>
        <w:contextualSpacing/>
        <w:rPr>
          <w:b/>
          <w:bCs/>
        </w:rPr>
      </w:pPr>
      <w:r w:rsidRPr="00047807">
        <w:rPr>
          <w:b/>
          <w:bCs/>
        </w:rPr>
        <w:t>Инвазивный аспергиллез ЦНС</w:t>
      </w:r>
    </w:p>
    <w:p w14:paraId="2D9C4D44" w14:textId="77777777" w:rsidR="00A967A8" w:rsidRPr="00DA2BC8" w:rsidRDefault="00A967A8" w:rsidP="00A967A8">
      <w:pPr>
        <w:widowControl w:val="0"/>
        <w:autoSpaceDE w:val="0"/>
        <w:autoSpaceDN w:val="0"/>
        <w:adjustRightInd w:val="0"/>
        <w:ind w:right="50" w:firstLine="709"/>
        <w:contextualSpacing/>
        <w:rPr>
          <w:bCs/>
        </w:rPr>
      </w:pPr>
      <w:r w:rsidRPr="00DA2BC8">
        <w:t xml:space="preserve">Поражение аспергиллами ЦНС происходит в результате диссеминации - гематогенной или из соседнего органа (инвазия грибов из околоносовых пазух). </w:t>
      </w:r>
      <w:r w:rsidRPr="00DA2BC8">
        <w:rPr>
          <w:bCs/>
        </w:rPr>
        <w:t xml:space="preserve">В критерии диагностики входят </w:t>
      </w:r>
      <w:r w:rsidRPr="00DA2BC8">
        <w:t xml:space="preserve">неврологические симптомы, выявление очагов в головном мозге при </w:t>
      </w:r>
      <w:r>
        <w:t>КТ/СКТ</w:t>
      </w:r>
      <w:r w:rsidRPr="00DA2BC8">
        <w:t xml:space="preserve"> или МРТ</w:t>
      </w:r>
      <w:r>
        <w:t xml:space="preserve"> (по показаниям с контрастированием)</w:t>
      </w:r>
      <w:r w:rsidRPr="00DA2BC8">
        <w:t>;</w:t>
      </w:r>
      <w:r w:rsidRPr="00DA2BC8">
        <w:rPr>
          <w:bCs/>
        </w:rPr>
        <w:t xml:space="preserve"> </w:t>
      </w:r>
      <w:r w:rsidRPr="00DA2BC8">
        <w:t xml:space="preserve">наличие первичного очага инвазии аспергиллами в легких или околоносовых пазухах. В части случаев может быть определен положительный антиген </w:t>
      </w:r>
      <w:r w:rsidRPr="00DA2BC8">
        <w:rPr>
          <w:i/>
          <w:iCs/>
        </w:rPr>
        <w:t>Aspergillus</w:t>
      </w:r>
      <w:r w:rsidRPr="00DA2BC8">
        <w:t xml:space="preserve"> (галактоманнана) в СМЖ (индекс оптической плотности ≥1</w:t>
      </w:r>
      <w:r>
        <w:t>)</w:t>
      </w:r>
      <w:r w:rsidRPr="00EC3182">
        <w:t>.</w:t>
      </w:r>
      <w:r w:rsidRPr="00DA2BC8">
        <w:rPr>
          <w:b/>
          <w:bCs/>
          <w:i/>
          <w:iCs/>
        </w:rPr>
        <w:t xml:space="preserve"> </w:t>
      </w:r>
      <w:r w:rsidRPr="00DA2BC8">
        <w:t>Препарат выбора для лечения инвазивного аспергиллеза ЦНС – липосомальный амфотерицин В (5-10 мг/кг/сутки) или липидный комплекс амфотерицина В (5 мг/кг /сутки); альтернативный – вориконазол (дозы как при лечении инвазивного аспергиллеза легких) или изавуконазол.</w:t>
      </w:r>
      <w:r w:rsidRPr="00DA2BC8">
        <w:rPr>
          <w:b/>
          <w:bCs/>
        </w:rPr>
        <w:t xml:space="preserve"> </w:t>
      </w:r>
      <w:r w:rsidRPr="00DA2BC8">
        <w:rPr>
          <w:bCs/>
        </w:rPr>
        <w:t xml:space="preserve">Если лечение проводили липидной формой амфотерицина В, то после стабилизации состояния, но не ранее чем через 2 недели, можно перейти на пероральный прием азолов (вориконазол, изавуконазол, позаконазол). </w:t>
      </w:r>
      <w:r w:rsidRPr="00DA2BC8">
        <w:t>Противогрибковые препараты, включая амфотерицин В, интратекально или в очаг поражения не вводят.</w:t>
      </w:r>
      <w:r w:rsidRPr="00DA2BC8">
        <w:rPr>
          <w:bCs/>
        </w:rPr>
        <w:t xml:space="preserve"> Хирургическое лечение</w:t>
      </w:r>
      <w:r w:rsidRPr="00DA2BC8">
        <w:t xml:space="preserve"> заключается в резекции очага в головном мозге, которую проводят при условии, что не будет усугубления неврологических нарушений. Лечение длительное, составляет несколько месяцев.</w:t>
      </w:r>
    </w:p>
    <w:p w14:paraId="604CE4AC" w14:textId="77777777" w:rsidR="00A967A8" w:rsidRDefault="00A967A8" w:rsidP="00A967A8">
      <w:pPr>
        <w:widowControl w:val="0"/>
        <w:autoSpaceDE w:val="0"/>
        <w:autoSpaceDN w:val="0"/>
        <w:adjustRightInd w:val="0"/>
        <w:ind w:right="50"/>
        <w:contextualSpacing/>
        <w:rPr>
          <w:b/>
          <w:bCs/>
        </w:rPr>
      </w:pPr>
    </w:p>
    <w:p w14:paraId="00ED7274" w14:textId="6BAC65DA" w:rsidR="00A967A8" w:rsidRPr="00084B8B" w:rsidRDefault="00A967A8" w:rsidP="00A967A8">
      <w:pPr>
        <w:widowControl w:val="0"/>
        <w:autoSpaceDE w:val="0"/>
        <w:autoSpaceDN w:val="0"/>
        <w:adjustRightInd w:val="0"/>
        <w:ind w:right="49"/>
        <w:contextualSpacing/>
        <w:rPr>
          <w:bCs/>
          <w:u w:val="single"/>
        </w:rPr>
      </w:pPr>
      <w:r w:rsidRPr="00EB3571">
        <w:rPr>
          <w:bCs/>
          <w:u w:val="single"/>
        </w:rPr>
        <w:t>Диагностика и лечение мукормикоза</w:t>
      </w:r>
      <w:r>
        <w:rPr>
          <w:bCs/>
          <w:u w:val="single"/>
          <w:lang w:val="en-US"/>
        </w:rPr>
        <w:t xml:space="preserve"> </w:t>
      </w:r>
      <w:r>
        <w:rPr>
          <w:b/>
        </w:rPr>
        <w:fldChar w:fldCharType="begin" w:fldLock="1"/>
      </w:r>
      <w:r w:rsidR="00FC494E">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-4","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patients","type":"article-journal","volume":"102"},"uris":["http://www.mendeley.com/documents/?uuid=56063fed-25f6-3324-a2f1-f316166613f0"]},{"id":"ITEM-5","itemData":{"DOI":"10.1016/S1473-3099(19)30312-3","ISSN":"14744457","PMID":"31699664","abstract":"Mucormycosis is a difficult to diagnose rare disease with high morbidity and mortality. Diagnosis is often delayed, and disease tends to progress rapidly. Urgent surgical and medical intervention is lifesaving. Guidance on the complex multidisciplinary management has potential to improve prognosis, but approaches differ between health-care settings. From January, 2018, authors from 33 countries in all United Nations regions analysed the published evidence on mucormycosis management and provided consensus recommendations addressing differences between the regions of the world as part of the “One World One Guideline” initiative of the European Confederation of Medical Mycology (ECMM). Diagnostic management does not differ greatly between world regions. Upon suspicion of mucormycosis appropriate imaging is strongly recommended to document extent of disease and is followed by strongly recommended surgical intervention. First-line treatment with high-dose liposomal amphotericin B is strongly recommended, while intravenous isavuconazole and intravenous or delayed release tablet posaconazole are recommended with moderate strength. Both triazoles are strongly recommended salvage treatments. Amphotericin B deoxycholate is recommended against, because of substantial toxicity, but may be the only option in resource limited settings. Management of mucormycosis depends on recognising disease patterns and on early diagnosis. Limited availability of contemporary treatments burdens patients in low and middle income settings. Areas of uncertainty were identified and future research directions specified.","author":[{"dropping-particle":"","family":"Cornely","given":"Oliver A.","non-dropping-particle":"","parse-names":false,"suffix":""},{"dropping-particle":"","family":"Alastruey-Izquierdo","given":"Ana","non-dropping-particle":"","parse-names":false,"suffix":""},{"dropping-particle":"","family":"Arenz","given":"Dorothee","non-dropping-particle":"","parse-names":false,"suffix":""},{"dropping-particle":"","family":"Chen","given":"Sharon C.A.","non-dropping-particle":"","parse-names":false,"suffix":""},{"dropping-particle":"","family":"Dannaoui","given":"Eric","non-dropping-particle":"","parse-names":false,"suffix":""},{"dropping-particle":"","family":"Hochhegger","given":"Bruno","non-dropping-particle":"","parse-names":false,"suffix":""},{"dropping-particle":"","family":"Hoenigl","given":"Martin","non-dropping-particle":"","parse-names":false,"suffix":""},{"dropping-particle":"","family":"Jensen","given":"Henrik E.","non-dropping-particle":"","parse-names":false,"suffix":""},{"dropping-particle":"","family":"Lagrou","given":"Katrien","non-dropping-particle":"","parse-names":false,"suffix":""},{"dropping-particle":"","family":"Lewis","given":"Russell E.","non-dropping-particle":"","parse-names":false,"suffix":""},{"dropping-particle":"","family":"Mellinghoff","given":"Sibylle C.","non-dropping-particle":"","parse-names":false,"suffix":""},{"dropping-particle":"","family":"Mer","given":"Mervyn","non-dropping-particle":"","parse-names":false,"suffix":""},{"dropping-particle":"","family":"Pana","given":"Zoi D.","non-dropping-particle":"","parse-names":false,"suffix":""},{"dropping-particle":"","family":"Seidel","given":"Danila","non-dropping-particle":"","parse-names":false,"suffix":""},{"dropping-particle":"","family":"Sheppard","given":"Donald C.","non-dropping-particle":"","parse-names":false,"suffix":""},{"dropping-particle":"","family":"Wahba","given":"Roger","non-dropping-particle":"","parse-names":false,"suffix":""},{"dropping-particle":"","family":"Akova","given":"Murat","non-dropping-particle":"","parse-names":false,"suffix":""},{"dropping-particle":"","family":"Alanio","given":"Alexandre","non-dropping-particle":"","parse-names":false,"suffix":""},{"dropping-particle":"","family":"Al-Hatmi","given":"Abdullah M.S.","non-dropping-particle":"","parse-names":false,"suffix":""},{"dropping-particle":"","family":"Arikan-Akdagli","given":"Sevtap","non-dropping-particle":"","parse-names":false,"suffix":""},{"dropping-particle":"","family":"Badali","given":"Hamid","non-dropping-particle":"","parse-names":false,"suffix":""},{"dropping-particle":"","family":"Ben-Ami","given":"Ronen","non-dropping-particle":"","parse-names":false,"suffix":""},{"dropping-particle":"","family":"Bonifaz","given":"Alexandro","non-dropping-particle":"","parse-names":false,"suffix":""},{"dropping-particle":"","family":"Bretagne","given":"Stéphane","non-dropping-particle":"","parse-names":false,"suffix":""},{"dropping-particle":"","family":"Castagnola","given":"Elio","non-dropping-particle":"","parse-names":false,"suffix":""},{"dropping-particle":"","family":"Chayakulkeeree","given":"Methee","non-dropping-particle":"","parse-names":false,"suffix":""},{"dropping-particle":"","family":"Colombo","given":"Arnaldo L.","non-dropping-particle":"","parse-names":false,"suffix":""},{"dropping-particle":"","family":"Corzo-León","given":"Dora E.","non-dropping-particle":"","parse-names":false,"suffix":""},{"dropping-particle":"","family":"Drgona","given":"Lubos","non-dropping-particle":"","parse-names":false,"suffix":""},{"dropping-particle":"","family":"Groll","given":"Andreas H.","non-dropping-particle":"","parse-names":false,"suffix":""},{"dropping-particle":"","family":"Guinea","given":"Jesus","non-dropping-particle":"","parse-names":false,"suffix":""},{"dropping-particle":"","family":"Heussel","given":"Claus Peter","non-dropping-particle":"","parse-names":false,"suffix":""},{"dropping-particle":"","family":"Ibrahim","given":"Ashraf S.","non-dropping-particle":"","parse-names":false,"suffix":""},{"dropping-particle":"","family":"Kanj","given":"Souha S.","non-dropping-particle":"","parse-names":false,"suffix":""},{"dropping-particle":"","family":"Klimko","given":"Nikolay","non-dropping-particle":"","parse-names":false,"suffix":""},{"dropping-particle":"","family":"Lackner","given":"Michaela","non-dropping-particle":"","parse-names":false,"suffix":""},{"dropping-particle":"","family":"Lamoth","given":"Frederic","non-dropping-particle":"","parse-names":false,"suffix":""},{"dropping-particle":"","family":"Lanternier","given":"Fanny","non-dropping-particle":"","parse-names":false,"suffix":""},{"dropping-particle":"","family":"Lass-Floerl","given":"Cornelia","non-dropping-particle":"","parse-names":false,"suffix":""},{"dropping-particle":"","family":"Lee","given":"Dong Gun","non-dropping-particle":"","parse-names":false,"suffix":""},{"dropping-particle":"","family":"Lehrnbecher","given":"Thomas","non-dropping-particle":"","parse-names":false,"suffix":""},{"dropping-particle":"","family":"Lmimouni","given":"Badre E.","non-dropping-particle":"","parse-names":false,"suffix":""},{"dropping-particle":"","family":"Mares","given":"Mihai","non-dropping-particle":"","parse-names":false,"suffix":""},{"dropping-particle":"","family":"Maschmeyer","given":"Georg","non-dropping-particle":"","parse-names":false,"suffix":""},{"dropping-particle":"","family":"Meis","given":"Jacques F.","non-dropping-particle":"","parse-names":false,"suffix":""},{"dropping-particle":"","family":"Meletiadis","given":"Joseph","non-dropping-particle":"","parse-names":false,"suffix":""},{"dropping-particle":"","family":"Morrissey","given":"C. Orla","non-dropping-particle":"","parse-names":false,"suffix":""},{"dropping-particle":"","family":"Nucci","given":"Marcio","non-dropping-particle":"","parse-names":false,"suffix":""},{"dropping-particle":"","family":"Oladele","given":"Rita","non-dropping-particle":"","parse-names":false,"suffix":""},{"dropping-particle":"","family":"Pagano","given":"Livio","non-dropping-particle":"","parse-names":false,"suffix":""},{"dropping-particle":"","family":"Pasqualotto","given":"Alessandro","non-dropping-particle":"","parse-names":false,"suffix":""},{"dropping-particle":"","family":"Patel","given":"Atul","non-dropping-particle":"","parse-names":false,"suffix":""},{"dropping-particle":"","family":"Racil","given":"Zdenek","non-dropping-particle":"","parse-names":false,"suffix":""},{"dropping-particle":"","family":"Richardson","given":"Malcolm","non-dropping-particle":"","parse-names":false,"suffix":""},{"dropping-particle":"","family":"Roilides","given":"Emmanuel","non-dropping-particle":"","parse-names":false,"suffix":""},{"dropping-particle":"","family":"Ruhnke","given":"Markus","non-dropping-particle":"","parse-names":false,"suffix":""},{"dropping-particle":"","family":"Seyedmousavi","given":"Seyedmojtaba","non-dropping-particle":"","parse-names":false,"suffix":""},{"dropping-particle":"","family":"Sidharthan","given":"Neeraj","non-dropping-particle":"","parse-names":false,"suffix":""},{"dropping-particle":"","family":"Singh","given":"Nina","non-dropping-particle":"","parse-names":false,"suffix":""},{"dropping-particle":"","family":"Sinko","given":"János","non-dropping-particle":"","parse-names":false,"suffix":""},{"dropping-particle":"","family":"Skiada","given":"Anna","non-dropping-particle":"","parse-names":false,"suffix":""},{"dropping-particle":"","family":"Slavin","given":"Monica","non-dropping-particle":"","parse-names":false,"suffix":""},{"dropping-particle":"","family":"Soman","given":"Rajeev","non-dropping-particle":"","parse-names":false,"suffix":""},{"dropping-particle":"","family":"Spellberg","given":"Brad","non-dropping-particle":"","parse-names":false,"suffix":""},{"dropping-particle":"","family":"Steinbach","given":"William","non-dropping-particle":"","parse-names":false,"suffix":""},{"dropping-particle":"","family":"Tan","given":"Ban Hock","non-dropping-particle":"","parse-names":false,"suffix":""},{"dropping-particle":"","family":"Ullmann","given":"Andrew J.","non-dropping-particle":"","parse-names":false,"suffix":""},{"dropping-particle":"","family":"Vehreschild","given":"Jörg J.","non-dropping-particle":"","parse-names":false,"suffix":""},{"dropping-particle":"","family":"Vehreschild","given":"Maria J.G.T.","non-dropping-particle":"","parse-names":false,"suffix":""},{"dropping-particle":"","family":"Walsh","given":"Thomas J.","non-dropping-particle":"","parse-names":false,"suffix":""},{"dropping-particle":"","family":"White","given":"P. Lewis","non-dropping-particle":"","parse-names":false,"suffix":""},{"dropping-particle":"","family":"Wiederhold","given":"Nathan P.","non-dropping-particle":"","parse-names":false,"suffix":""},{"dropping-particle":"","family":"Zaoutis","given":"Theoklis","non-dropping-particle":"","parse-names":false,"suffix":""},{"dropping-particle":"","family":"Chakrabarti","given":"Arunaloke","non-dropping-particle":"","parse-names":false,"suffix":""}],"container-title":"The Lancet Infectious Diseases","id":"ITEM-5","issue":"12","issued":{"date-parts":[["2019","12","1"]]},"page":"e405-e421","publisher":"Lancet Publishing Group","title":"Global guideline for the diagnosis and management of mucormycosis: an initiative of the European Confederation of Medical Mycology in cooperation with the Mycoses Study Group Education and Research Consortium","type":"article","volume":"19"},"uris":["http://www.mendeley.com/documents/?uuid=fc978cfc-9076-3684-a701-eca666f38a46"]}],"mendeley":{"formattedCitation":"[149,150,155,156,159]","plainTextFormattedCitation":"[149,150,155,156,159]","previouslyFormattedCitation":"[149,150,155,156,159]"},"properties":{"noteIndex":0},"schema":"https://github.com/citation-style-language/schema/raw/master/csl-citation.json"}</w:instrText>
      </w:r>
      <w:r>
        <w:rPr>
          <w:b/>
        </w:rPr>
        <w:fldChar w:fldCharType="separate"/>
      </w:r>
      <w:r w:rsidRPr="00A967A8">
        <w:rPr>
          <w:noProof/>
        </w:rPr>
        <w:t>[149,150,155,156,159]</w:t>
      </w:r>
      <w:r>
        <w:rPr>
          <w:b/>
        </w:rPr>
        <w:fldChar w:fldCharType="end"/>
      </w:r>
    </w:p>
    <w:p w14:paraId="304C890F" w14:textId="77777777" w:rsidR="00A967A8" w:rsidRPr="00DA2BC8" w:rsidRDefault="00A967A8" w:rsidP="00A967A8">
      <w:pPr>
        <w:widowControl w:val="0"/>
        <w:autoSpaceDE w:val="0"/>
        <w:autoSpaceDN w:val="0"/>
        <w:adjustRightInd w:val="0"/>
        <w:ind w:right="50" w:firstLine="709"/>
        <w:contextualSpacing/>
      </w:pPr>
      <w:r w:rsidRPr="00DA2BC8">
        <w:t>Мукормикоз занимает вторую позицию после инвазивного аспергиллеза в спектре инвазивных микозо</w:t>
      </w:r>
      <w:r>
        <w:t>в, вызванных плесневыми грибами</w:t>
      </w:r>
      <w:r w:rsidRPr="00DA2BC8">
        <w:t xml:space="preserve"> у </w:t>
      </w:r>
      <w:r>
        <w:t>гематологических пациентов</w:t>
      </w:r>
      <w:r w:rsidRPr="00DA2BC8">
        <w:t xml:space="preserve">. Частота мукормикоза у </w:t>
      </w:r>
      <w:r>
        <w:t>гематологических пациентов</w:t>
      </w:r>
      <w:r w:rsidRPr="00DA2BC8">
        <w:t xml:space="preserve"> не превышает 0,5%, в структуре инвазивных микозов составляет </w:t>
      </w:r>
      <w:r>
        <w:t>3-5</w:t>
      </w:r>
      <w:r w:rsidRPr="00DA2BC8">
        <w:t xml:space="preserve">. Мукормикоз преобладает у больных острыми лейкозами и реципиентов аллогенных СГК, характеризуется агрессивным течением с преимущественным поражением легких, частой диссеминацией (25-40%), высокой летальностью (50—60%). </w:t>
      </w:r>
      <w:r w:rsidRPr="00DA2BC8">
        <w:rPr>
          <w:bCs/>
        </w:rPr>
        <w:t xml:space="preserve">Возбудители </w:t>
      </w:r>
      <w:r w:rsidRPr="00DA2BC8">
        <w:t xml:space="preserve">– мицелиальные грибы </w:t>
      </w:r>
      <w:r w:rsidRPr="00DA2BC8">
        <w:rPr>
          <w:i/>
          <w:iCs/>
        </w:rPr>
        <w:t>Mucorales</w:t>
      </w:r>
      <w:r w:rsidRPr="00DA2BC8">
        <w:t xml:space="preserve">, среди них наиболее часто инфекцию у человека вызывают </w:t>
      </w:r>
      <w:r w:rsidRPr="00DA2BC8">
        <w:rPr>
          <w:i/>
          <w:iCs/>
        </w:rPr>
        <w:t>Rhizopus</w:t>
      </w:r>
      <w:r w:rsidRPr="00DA2BC8">
        <w:t xml:space="preserve"> spp., </w:t>
      </w:r>
      <w:r w:rsidRPr="00DA2BC8">
        <w:rPr>
          <w:i/>
          <w:iCs/>
        </w:rPr>
        <w:t>Mucor</w:t>
      </w:r>
      <w:r w:rsidRPr="00DA2BC8">
        <w:t xml:space="preserve"> spp., </w:t>
      </w:r>
      <w:r w:rsidRPr="00DA2BC8">
        <w:rPr>
          <w:i/>
          <w:iCs/>
        </w:rPr>
        <w:t>Lichtheimia</w:t>
      </w:r>
      <w:r w:rsidRPr="00DA2BC8">
        <w:t xml:space="preserve"> (</w:t>
      </w:r>
      <w:r w:rsidRPr="00DA2BC8">
        <w:rPr>
          <w:i/>
          <w:iCs/>
        </w:rPr>
        <w:t>Absidia</w:t>
      </w:r>
      <w:r w:rsidRPr="00DA2BC8">
        <w:t xml:space="preserve">) spp., </w:t>
      </w:r>
      <w:r w:rsidRPr="00DA2BC8">
        <w:rPr>
          <w:i/>
          <w:iCs/>
        </w:rPr>
        <w:t>Cunninghamella</w:t>
      </w:r>
      <w:r w:rsidRPr="00DA2BC8">
        <w:t xml:space="preserve"> spp., </w:t>
      </w:r>
      <w:r w:rsidRPr="00DA2BC8">
        <w:rPr>
          <w:i/>
          <w:iCs/>
        </w:rPr>
        <w:t>Rhizomucor</w:t>
      </w:r>
      <w:r w:rsidRPr="00DA2BC8">
        <w:t xml:space="preserve"> spp., </w:t>
      </w:r>
      <w:r w:rsidRPr="00DA2BC8">
        <w:rPr>
          <w:i/>
          <w:iCs/>
        </w:rPr>
        <w:t>Apophysomyces</w:t>
      </w:r>
      <w:r w:rsidRPr="00DA2BC8">
        <w:t xml:space="preserve"> spp., </w:t>
      </w:r>
      <w:r w:rsidRPr="00DA2BC8">
        <w:rPr>
          <w:i/>
          <w:iCs/>
        </w:rPr>
        <w:t>Saksenaea</w:t>
      </w:r>
      <w:r w:rsidRPr="00DA2BC8">
        <w:t xml:space="preserve"> spp.</w:t>
      </w:r>
    </w:p>
    <w:p w14:paraId="0332D1C8" w14:textId="77777777" w:rsidR="00A967A8" w:rsidRPr="00DA2BC8" w:rsidRDefault="00A967A8" w:rsidP="00A967A8">
      <w:pPr>
        <w:widowControl w:val="0"/>
        <w:autoSpaceDE w:val="0"/>
        <w:autoSpaceDN w:val="0"/>
        <w:adjustRightInd w:val="0"/>
        <w:ind w:right="50" w:firstLine="709"/>
        <w:contextualSpacing/>
      </w:pPr>
      <w:r w:rsidRPr="00686506">
        <w:rPr>
          <w:i/>
          <w:iCs/>
          <w:u w:val="single"/>
        </w:rPr>
        <w:t>Факторы риска</w:t>
      </w:r>
      <w:r w:rsidRPr="00DA2BC8">
        <w:t xml:space="preserve"> возникновения мукормикоза во многом схожи с таковыми для инвазивного аспергиллеза и включают длительную гранулоцитопению (нейтрофилов менее 0,5 × 10</w:t>
      </w:r>
      <w:r w:rsidRPr="00DA2BC8">
        <w:rPr>
          <w:vertAlign w:val="superscript"/>
        </w:rPr>
        <w:t>9</w:t>
      </w:r>
      <w:r w:rsidRPr="00DA2BC8">
        <w:t xml:space="preserve">/л), трансплантацию аллогенных СГК, отсутствие ремиссии гемобластоза, лечение глюкокортикостероидами и другими иммуносупрессивными препаратами. К дополнительным факторам риска, ассоциированным с развитием мукормикоза, относят сахарный диабет, тяжелые травмы и обширные ожоги. Следует отметить, что вориконазол не активен в отношении </w:t>
      </w:r>
      <w:r w:rsidRPr="00DA2BC8">
        <w:rPr>
          <w:i/>
          <w:iCs/>
        </w:rPr>
        <w:t>Mucorale</w:t>
      </w:r>
      <w:r w:rsidRPr="00DA2BC8">
        <w:t xml:space="preserve">s, и в период его применения может возникать мукормикоз. Важным компонентом метаболизма </w:t>
      </w:r>
      <w:r w:rsidRPr="00DA2BC8">
        <w:rPr>
          <w:i/>
          <w:iCs/>
        </w:rPr>
        <w:t xml:space="preserve">Mucorales </w:t>
      </w:r>
      <w:r w:rsidRPr="00DA2BC8">
        <w:t xml:space="preserve">является железо, поэтому </w:t>
      </w:r>
      <w:r>
        <w:t>пациентов</w:t>
      </w:r>
      <w:r w:rsidRPr="00DA2BC8">
        <w:t xml:space="preserve"> с гемосидерозом относят к группе высокого риска по возникновению мукормикоза, как и пациентов, получающих лечение дефероксамином. </w:t>
      </w:r>
    </w:p>
    <w:p w14:paraId="4FA68FA7" w14:textId="77777777" w:rsidR="00A967A8" w:rsidRPr="00047807" w:rsidRDefault="00A967A8" w:rsidP="00A967A8">
      <w:pPr>
        <w:widowControl w:val="0"/>
        <w:autoSpaceDE w:val="0"/>
        <w:autoSpaceDN w:val="0"/>
        <w:adjustRightInd w:val="0"/>
        <w:ind w:right="50" w:firstLine="709"/>
        <w:contextualSpacing/>
        <w:rPr>
          <w:b/>
          <w:bCs/>
        </w:rPr>
      </w:pPr>
      <w:r w:rsidRPr="00047807">
        <w:rPr>
          <w:b/>
          <w:bCs/>
        </w:rPr>
        <w:t>Мукормикоз легких</w:t>
      </w:r>
    </w:p>
    <w:p w14:paraId="43E1DF63" w14:textId="77777777" w:rsidR="00A967A8" w:rsidRPr="00686506" w:rsidRDefault="00A967A8" w:rsidP="00A967A8">
      <w:pPr>
        <w:widowControl w:val="0"/>
        <w:autoSpaceDE w:val="0"/>
        <w:autoSpaceDN w:val="0"/>
        <w:adjustRightInd w:val="0"/>
        <w:ind w:right="50" w:firstLine="709"/>
        <w:contextualSpacing/>
        <w:rPr>
          <w:i/>
          <w:iCs/>
          <w:u w:val="single"/>
        </w:rPr>
      </w:pPr>
      <w:r w:rsidRPr="00686506">
        <w:rPr>
          <w:i/>
          <w:iCs/>
          <w:u w:val="single"/>
        </w:rPr>
        <w:t>Симптомы</w:t>
      </w:r>
    </w:p>
    <w:p w14:paraId="4B43A65E" w14:textId="77777777" w:rsidR="00A967A8" w:rsidRPr="00DA2BC8" w:rsidRDefault="00A967A8" w:rsidP="00A967A8">
      <w:pPr>
        <w:widowControl w:val="0"/>
        <w:autoSpaceDE w:val="0"/>
        <w:autoSpaceDN w:val="0"/>
        <w:adjustRightInd w:val="0"/>
        <w:ind w:right="50" w:firstLine="709"/>
        <w:contextualSpacing/>
      </w:pPr>
      <w:r w:rsidRPr="00DA2BC8">
        <w:t xml:space="preserve">Клинические проявления скудные, неспецифичные, схожи с таковыми при инвазивном аспергиллезе легких. Нередко присутствует непродуктивный кашель, прогрессирующая дыхательная недостаточность, плевральная боль. При наличии плеврита может выслушиваться шум трения плевры. Инвазия мицелия грибов в сосуды вызывает некроз окружающих тканей и приводит к образованию полостей и фатальным легочным кровотечениям. У </w:t>
      </w:r>
      <w:r>
        <w:t>гематологических пациентов</w:t>
      </w:r>
      <w:r w:rsidRPr="00DA2BC8">
        <w:t xml:space="preserve"> часто бывает диссеминация инфекции вследствие инвазии грибов в окружающие ткани и органы (бронхи, плевру, грудную стенку, диафрагму, печень и др.), или гематогенно (в головной мозг, селезенку, почки, сердце, мягкие ткани и т. д.). Для диссеминированной формы инфекции характерны симптомы, соответствующие локализации очагов поражения. </w:t>
      </w:r>
    </w:p>
    <w:p w14:paraId="7D522FF9" w14:textId="77777777" w:rsidR="00A967A8" w:rsidRPr="00DA2BC8" w:rsidRDefault="00A967A8" w:rsidP="00A967A8">
      <w:pPr>
        <w:widowControl w:val="0"/>
        <w:autoSpaceDE w:val="0"/>
        <w:autoSpaceDN w:val="0"/>
        <w:adjustRightInd w:val="0"/>
        <w:ind w:right="50" w:firstLine="709"/>
        <w:contextualSpacing/>
        <w:rPr>
          <w:b/>
          <w:bCs/>
        </w:rPr>
      </w:pPr>
      <w:r w:rsidRPr="00686506">
        <w:rPr>
          <w:i/>
          <w:iCs/>
          <w:u w:val="single"/>
        </w:rPr>
        <w:t>Диагностика мукормикоза легких</w:t>
      </w:r>
      <w:r w:rsidRPr="00DA2BC8">
        <w:rPr>
          <w:b/>
          <w:bCs/>
        </w:rPr>
        <w:t xml:space="preserve"> </w:t>
      </w:r>
      <w:r w:rsidRPr="00DA2BC8">
        <w:rPr>
          <w:bCs/>
        </w:rPr>
        <w:t xml:space="preserve">включает присутствие факторов риска, радиологические изменения в легких и наличие микологического подтверждения инфекции. </w:t>
      </w:r>
    </w:p>
    <w:p w14:paraId="55075CC4" w14:textId="77777777" w:rsidR="00A967A8" w:rsidRPr="00686506" w:rsidRDefault="00A967A8" w:rsidP="00A967A8">
      <w:pPr>
        <w:widowControl w:val="0"/>
        <w:autoSpaceDE w:val="0"/>
        <w:autoSpaceDN w:val="0"/>
        <w:adjustRightInd w:val="0"/>
        <w:ind w:right="50" w:firstLine="709"/>
        <w:contextualSpacing/>
        <w:rPr>
          <w:i/>
          <w:iCs/>
          <w:u w:val="single"/>
        </w:rPr>
      </w:pPr>
      <w:r w:rsidRPr="00686506">
        <w:rPr>
          <w:i/>
          <w:iCs/>
          <w:u w:val="single"/>
        </w:rPr>
        <w:t>Радиологические особенности мукормикоза легких</w:t>
      </w:r>
    </w:p>
    <w:p w14:paraId="167EA80B" w14:textId="77777777" w:rsidR="00A967A8" w:rsidRPr="00DA2BC8" w:rsidRDefault="00A967A8" w:rsidP="00A967A8">
      <w:pPr>
        <w:widowControl w:val="0"/>
        <w:autoSpaceDE w:val="0"/>
        <w:autoSpaceDN w:val="0"/>
        <w:adjustRightInd w:val="0"/>
        <w:ind w:right="50" w:firstLine="709"/>
        <w:contextualSpacing/>
      </w:pPr>
      <w:r w:rsidRPr="00DA2BC8">
        <w:t>Основа радиологической диагностики – это КТ</w:t>
      </w:r>
      <w:r>
        <w:t>/СКТ</w:t>
      </w:r>
      <w:r w:rsidRPr="00DA2BC8">
        <w:t>. Радиологические проявления мукормикоза неспецифичны и часто схожи с инвазивным аспергиллезом. Выделяют ряд радиологических признаков, которые в большей степени характерны для мукормикоза, чем для инвазивного аспергиллеза, и включают симптом «обратного ореола» (просветление в центре очага или зоны консолидации), плевральный выпот, наличие от 10 и более очагов в легких.</w:t>
      </w:r>
    </w:p>
    <w:p w14:paraId="1401637F" w14:textId="77777777" w:rsidR="00A967A8" w:rsidRPr="00686506" w:rsidRDefault="00A967A8" w:rsidP="00A967A8">
      <w:pPr>
        <w:widowControl w:val="0"/>
        <w:autoSpaceDE w:val="0"/>
        <w:autoSpaceDN w:val="0"/>
        <w:adjustRightInd w:val="0"/>
        <w:ind w:right="50" w:firstLine="709"/>
        <w:contextualSpacing/>
        <w:rPr>
          <w:bCs/>
          <w:i/>
          <w:iCs/>
        </w:rPr>
      </w:pPr>
      <w:r w:rsidRPr="00686506">
        <w:rPr>
          <w:bCs/>
          <w:i/>
          <w:iCs/>
          <w:u w:val="single"/>
        </w:rPr>
        <w:t>Микологическая диагностика мукормикоза</w:t>
      </w:r>
    </w:p>
    <w:p w14:paraId="1452CD24" w14:textId="77777777" w:rsidR="00A967A8" w:rsidRPr="00DA2BC8" w:rsidRDefault="00A967A8" w:rsidP="00A967A8">
      <w:pPr>
        <w:widowControl w:val="0"/>
        <w:autoSpaceDE w:val="0"/>
        <w:autoSpaceDN w:val="0"/>
        <w:adjustRightInd w:val="0"/>
        <w:ind w:right="50" w:firstLine="709"/>
        <w:contextualSpacing/>
      </w:pPr>
      <w:r w:rsidRPr="00DA2BC8">
        <w:t xml:space="preserve">Нет серологических маркеров диагностики. Исследуют жидкость БАЛ или биоптаты органов. Диагноз устанавливают на основании обнаружения несептированного мицелия при флуоресцентной микроскопии либо при гистологическом исследовании биоптата, или детекции культуры грибов </w:t>
      </w:r>
      <w:r w:rsidRPr="00DA2BC8">
        <w:rPr>
          <w:i/>
          <w:iCs/>
        </w:rPr>
        <w:t>Mucorales</w:t>
      </w:r>
      <w:r w:rsidRPr="00DA2BC8">
        <w:t xml:space="preserve"> из исследуемых образцов. Вероятность получения культуры </w:t>
      </w:r>
      <w:r w:rsidRPr="00DA2BC8">
        <w:rPr>
          <w:i/>
          <w:iCs/>
        </w:rPr>
        <w:t xml:space="preserve">Mucorales </w:t>
      </w:r>
      <w:r w:rsidRPr="00DA2BC8">
        <w:rPr>
          <w:iCs/>
        </w:rPr>
        <w:t xml:space="preserve">выше из биоптатов, чем из жидкости БАЛ. </w:t>
      </w:r>
    </w:p>
    <w:p w14:paraId="479494ED" w14:textId="77777777" w:rsidR="00A967A8" w:rsidRPr="00686506" w:rsidRDefault="00A967A8" w:rsidP="00A967A8">
      <w:pPr>
        <w:widowControl w:val="0"/>
        <w:autoSpaceDE w:val="0"/>
        <w:autoSpaceDN w:val="0"/>
        <w:adjustRightInd w:val="0"/>
        <w:ind w:right="50" w:firstLine="709"/>
        <w:contextualSpacing/>
        <w:rPr>
          <w:i/>
          <w:iCs/>
          <w:u w:val="single"/>
        </w:rPr>
      </w:pPr>
      <w:r w:rsidRPr="00686506">
        <w:rPr>
          <w:i/>
          <w:iCs/>
          <w:u w:val="single"/>
        </w:rPr>
        <w:t>Лечение мукормикоза легких</w:t>
      </w:r>
    </w:p>
    <w:p w14:paraId="2A222071" w14:textId="77777777" w:rsidR="00A967A8" w:rsidRPr="00DA2BC8" w:rsidRDefault="00A967A8" w:rsidP="00A967A8">
      <w:pPr>
        <w:widowControl w:val="0"/>
        <w:autoSpaceDE w:val="0"/>
        <w:autoSpaceDN w:val="0"/>
        <w:adjustRightInd w:val="0"/>
        <w:ind w:right="50" w:firstLine="709"/>
        <w:contextualSpacing/>
      </w:pPr>
      <w:r w:rsidRPr="00DA2BC8">
        <w:t xml:space="preserve">Мукормикоз характеризуется крайне агрессивным течением. Лечение необходимо начинать при первых признаках инфекции, поскольку промедление в назначении антимикотиков приводит к увеличению частоты летальных исходов. </w:t>
      </w:r>
      <w:r w:rsidRPr="00DA2BC8">
        <w:rPr>
          <w:bCs/>
        </w:rPr>
        <w:t>Препаратами выбора для лечения являются липидные формы амфотерицина В (</w:t>
      </w:r>
      <w:r w:rsidRPr="00DA2BC8">
        <w:t>липосомальный амфотерицин или липидный комплекс амфотерицина В 5 мг/кг/сутки), альтернативный - изавуконазол (изавуконазол по 200 мг каждые 8 час в течение 2 дней (6 доз), далее по 200 мг 1 раз в сутки внутривенно или перорально). Замену липидной формы амфотерицина В на позаконазол проводят при одновременном наличии следующих условий: положительная динамика в легких по данным КТВР, стабильном состоянии больного, отсутствии мукозита и диареи, полноценном питании, отсутствии нарушения функции печени.</w:t>
      </w:r>
    </w:p>
    <w:p w14:paraId="7A434871" w14:textId="77777777" w:rsidR="00A967A8" w:rsidRPr="00DA2BC8" w:rsidRDefault="00A967A8" w:rsidP="00A967A8">
      <w:pPr>
        <w:widowControl w:val="0"/>
        <w:autoSpaceDE w:val="0"/>
        <w:autoSpaceDN w:val="0"/>
        <w:adjustRightInd w:val="0"/>
        <w:ind w:right="50" w:firstLine="709"/>
        <w:contextualSpacing/>
      </w:pPr>
      <w:r w:rsidRPr="00DA2BC8">
        <w:t>При диссеминации Mucorales в головной мозг препаратом выбора является липосомальный амфотерицин, дозирование может быть увеличено до 10 мг/кг в сутки. При неэффективности к липидным формам амфотерицина В добавляют эхинокандин или позаконазол.</w:t>
      </w:r>
    </w:p>
    <w:p w14:paraId="023F1C81" w14:textId="77777777" w:rsidR="00A967A8" w:rsidRPr="00686506" w:rsidRDefault="00A967A8" w:rsidP="00A967A8">
      <w:pPr>
        <w:widowControl w:val="0"/>
        <w:autoSpaceDE w:val="0"/>
        <w:autoSpaceDN w:val="0"/>
        <w:adjustRightInd w:val="0"/>
        <w:ind w:right="50" w:firstLine="709"/>
        <w:contextualSpacing/>
        <w:rPr>
          <w:i/>
          <w:iCs/>
          <w:u w:val="single"/>
        </w:rPr>
      </w:pPr>
      <w:r w:rsidRPr="00686506">
        <w:rPr>
          <w:i/>
          <w:iCs/>
          <w:u w:val="single"/>
        </w:rPr>
        <w:t>Хирургическое лечение мукормикоза легких</w:t>
      </w:r>
    </w:p>
    <w:p w14:paraId="4A35214F" w14:textId="77777777" w:rsidR="00A967A8" w:rsidRPr="00DA2BC8" w:rsidRDefault="00A967A8" w:rsidP="00A967A8">
      <w:pPr>
        <w:widowControl w:val="0"/>
        <w:autoSpaceDE w:val="0"/>
        <w:autoSpaceDN w:val="0"/>
        <w:adjustRightInd w:val="0"/>
        <w:ind w:right="50" w:firstLine="709"/>
        <w:contextualSpacing/>
      </w:pPr>
      <w:r w:rsidRPr="00DA2BC8">
        <w:rPr>
          <w:i/>
          <w:iCs/>
        </w:rPr>
        <w:t>При локализованной форме</w:t>
      </w:r>
      <w:r w:rsidRPr="00DA2BC8">
        <w:t xml:space="preserve"> мукормикоза легких показано хирургическое лечение во всех случаях, если позволяет состояние </w:t>
      </w:r>
      <w:r>
        <w:t>пациента</w:t>
      </w:r>
      <w:r w:rsidRPr="00DA2BC8">
        <w:t xml:space="preserve">. Операцию выполняют при стабилизации состояния больного. </w:t>
      </w:r>
      <w:r w:rsidRPr="00DA2BC8">
        <w:rPr>
          <w:i/>
          <w:iCs/>
        </w:rPr>
        <w:t>При диссеминации</w:t>
      </w:r>
      <w:r w:rsidRPr="00DA2BC8">
        <w:t xml:space="preserve"> необходимость хирургического лечения определяется индивидуально.</w:t>
      </w:r>
    </w:p>
    <w:p w14:paraId="734BA020" w14:textId="77777777" w:rsidR="00A967A8" w:rsidRPr="00DA2BC8" w:rsidRDefault="00A967A8" w:rsidP="00A967A8">
      <w:pPr>
        <w:widowControl w:val="0"/>
        <w:autoSpaceDE w:val="0"/>
        <w:autoSpaceDN w:val="0"/>
        <w:adjustRightInd w:val="0"/>
        <w:ind w:right="50" w:firstLine="709"/>
        <w:contextualSpacing/>
      </w:pPr>
      <w:r w:rsidRPr="00686506">
        <w:t>Лечение</w:t>
      </w:r>
      <w:r w:rsidRPr="00DA2BC8">
        <w:rPr>
          <w:b/>
          <w:bCs/>
        </w:rPr>
        <w:t xml:space="preserve"> </w:t>
      </w:r>
      <w:r w:rsidRPr="00DA2BC8">
        <w:t xml:space="preserve">мукормикоза антимикотиками длительное, несколько месяцев. Критерием для отмены противогрибковых препаратов является регрессия очагов в легких. Всем больных, имевших мукормикоз в анамнезе, во время очередных курсов ПХТ проводят профилактику позаконазолом по 200 мг 3 раза в сутки в суспензии или изавуконазолом (см. вторичная профилактика). </w:t>
      </w:r>
    </w:p>
    <w:p w14:paraId="374AE6F5" w14:textId="77777777" w:rsidR="00A967A8" w:rsidRPr="00047807" w:rsidRDefault="00A967A8" w:rsidP="00A967A8">
      <w:pPr>
        <w:widowControl w:val="0"/>
        <w:autoSpaceDE w:val="0"/>
        <w:autoSpaceDN w:val="0"/>
        <w:adjustRightInd w:val="0"/>
        <w:ind w:right="51" w:firstLine="709"/>
        <w:contextualSpacing/>
        <w:rPr>
          <w:b/>
          <w:bCs/>
        </w:rPr>
      </w:pPr>
      <w:r w:rsidRPr="00047807">
        <w:rPr>
          <w:b/>
          <w:bCs/>
        </w:rPr>
        <w:t>Мукормикоз придаточных пазух носа</w:t>
      </w:r>
    </w:p>
    <w:p w14:paraId="4F8B1E3E" w14:textId="77777777" w:rsidR="00A967A8" w:rsidRPr="00DA2BC8" w:rsidRDefault="00A967A8" w:rsidP="00A967A8">
      <w:pPr>
        <w:widowControl w:val="0"/>
        <w:autoSpaceDE w:val="0"/>
        <w:autoSpaceDN w:val="0"/>
        <w:adjustRightInd w:val="0"/>
        <w:ind w:right="51" w:firstLine="709"/>
        <w:contextualSpacing/>
      </w:pPr>
      <w:r w:rsidRPr="00DA2BC8">
        <w:t xml:space="preserve">Эта локализация инфекции наиболее характерна для </w:t>
      </w:r>
      <w:r>
        <w:t xml:space="preserve">гематологических пациентов с </w:t>
      </w:r>
      <w:r w:rsidRPr="00DA2BC8">
        <w:t xml:space="preserve">сахарным диабетом. Клиническая картина аналогична инвазивному аспергиллезному риносинуситу, но мукормикоз протекает более агрессивно, и в течение нескольких дней происходит вовлечение в инфекционный процесс окружающих мягких тканей (некроз) с деструкцией костей черепа и инвазией грибов в орбиту и головной мозг. Как правило, наблюдается одностороннее поражение грибами </w:t>
      </w:r>
      <w:r w:rsidRPr="00DA2BC8">
        <w:rPr>
          <w:i/>
        </w:rPr>
        <w:t>Mucorale</w:t>
      </w:r>
      <w:r w:rsidRPr="00DA2BC8">
        <w:rPr>
          <w:i/>
          <w:iCs/>
        </w:rPr>
        <w:t>s</w:t>
      </w:r>
      <w:r w:rsidRPr="00DA2BC8">
        <w:t xml:space="preserve"> придаточных пазух носа. </w:t>
      </w:r>
    </w:p>
    <w:p w14:paraId="2714172D" w14:textId="77777777" w:rsidR="00A967A8" w:rsidRPr="00DA2BC8" w:rsidRDefault="00A967A8" w:rsidP="00A967A8">
      <w:pPr>
        <w:widowControl w:val="0"/>
        <w:autoSpaceDE w:val="0"/>
        <w:autoSpaceDN w:val="0"/>
        <w:adjustRightInd w:val="0"/>
        <w:ind w:right="51" w:firstLine="709"/>
        <w:contextualSpacing/>
      </w:pPr>
      <w:r w:rsidRPr="00DA2BC8">
        <w:t xml:space="preserve">Начальные симптомы заболевания включают боль, отек и покраснение на стороне поражения. В дальнейшем возникает некроз или изъязвления на слизистой оболочке носовых ходов, коже. Часто бывает гематогенненная диссеминация. Клиническая картина соответствует локализации очага поражения. </w:t>
      </w:r>
    </w:p>
    <w:p w14:paraId="48C9ED58" w14:textId="77777777" w:rsidR="00A967A8" w:rsidRPr="00DA2BC8" w:rsidRDefault="00A967A8" w:rsidP="00A967A8">
      <w:pPr>
        <w:widowControl w:val="0"/>
        <w:autoSpaceDE w:val="0"/>
        <w:autoSpaceDN w:val="0"/>
        <w:adjustRightInd w:val="0"/>
        <w:ind w:right="51" w:firstLine="709"/>
        <w:contextualSpacing/>
      </w:pPr>
      <w:r w:rsidRPr="00686506">
        <w:rPr>
          <w:i/>
          <w:iCs/>
          <w:u w:val="single"/>
        </w:rPr>
        <w:t>Диагностика мукормикозного риносинусита</w:t>
      </w:r>
      <w:r w:rsidRPr="00DA2BC8">
        <w:rPr>
          <w:b/>
          <w:bCs/>
        </w:rPr>
        <w:t xml:space="preserve"> </w:t>
      </w:r>
      <w:r w:rsidRPr="00DA2BC8">
        <w:rPr>
          <w:bCs/>
        </w:rPr>
        <w:t>включает наличие</w:t>
      </w:r>
      <w:r w:rsidRPr="00DA2BC8">
        <w:rPr>
          <w:b/>
          <w:bCs/>
        </w:rPr>
        <w:t xml:space="preserve"> </w:t>
      </w:r>
      <w:r w:rsidRPr="00DA2BC8">
        <w:t>радиологических признаков риносинусита, деструкции костей черепа</w:t>
      </w:r>
      <w:r>
        <w:t xml:space="preserve"> при КТ/СКТ/МРТ</w:t>
      </w:r>
      <w:r w:rsidRPr="00DA2BC8">
        <w:t>;</w:t>
      </w:r>
      <w:r w:rsidRPr="00DA2BC8">
        <w:rPr>
          <w:b/>
          <w:bCs/>
        </w:rPr>
        <w:t xml:space="preserve"> </w:t>
      </w:r>
      <w:r w:rsidRPr="00DA2BC8">
        <w:t xml:space="preserve">выделение культуры </w:t>
      </w:r>
      <w:r w:rsidRPr="00DA2BC8">
        <w:rPr>
          <w:i/>
        </w:rPr>
        <w:t>Mucorales</w:t>
      </w:r>
      <w:r w:rsidRPr="00DA2BC8">
        <w:t xml:space="preserve"> из биоптата некротизированной слизистой оболочки носа или аспирата придаточных пазух носа или обнаружение несептированного мицелия грибов при гистологическом или цитологическом исследовании биоптата (аспирата). </w:t>
      </w:r>
    </w:p>
    <w:p w14:paraId="05A31433" w14:textId="77777777" w:rsidR="00A967A8" w:rsidRPr="00DA2BC8" w:rsidRDefault="00A967A8" w:rsidP="00A967A8">
      <w:pPr>
        <w:widowControl w:val="0"/>
        <w:autoSpaceDE w:val="0"/>
        <w:autoSpaceDN w:val="0"/>
        <w:adjustRightInd w:val="0"/>
        <w:ind w:right="51" w:firstLine="709"/>
        <w:contextualSpacing/>
        <w:rPr>
          <w:b/>
          <w:bCs/>
        </w:rPr>
      </w:pPr>
      <w:r w:rsidRPr="00686506">
        <w:rPr>
          <w:i/>
          <w:iCs/>
          <w:u w:val="single"/>
        </w:rPr>
        <w:t>Лечение мукормикоза придаточных пазух носа</w:t>
      </w:r>
      <w:r w:rsidRPr="00DA2BC8">
        <w:t xml:space="preserve"> является комбинированным и включает назначение противогрибковых препаратов в сочетании с оперативным лечением. Применяют те же антимикотики, что при мукормикозе легких.</w:t>
      </w:r>
      <w:r w:rsidRPr="00DA2BC8">
        <w:rPr>
          <w:bCs/>
        </w:rPr>
        <w:t xml:space="preserve"> </w:t>
      </w:r>
      <w:r w:rsidRPr="00DA2BC8">
        <w:t xml:space="preserve">Хирургическую резекцию очага поражения обязательно выполняют в пределах здоровых тканей. </w:t>
      </w:r>
    </w:p>
    <w:p w14:paraId="5C4AAA17" w14:textId="77777777" w:rsidR="00A967A8" w:rsidRPr="00047807" w:rsidRDefault="00A967A8" w:rsidP="00A967A8">
      <w:pPr>
        <w:widowControl w:val="0"/>
        <w:autoSpaceDE w:val="0"/>
        <w:autoSpaceDN w:val="0"/>
        <w:adjustRightInd w:val="0"/>
        <w:ind w:right="51" w:firstLine="709"/>
        <w:contextualSpacing/>
        <w:rPr>
          <w:b/>
          <w:bCs/>
        </w:rPr>
      </w:pPr>
      <w:r w:rsidRPr="00047807">
        <w:rPr>
          <w:b/>
          <w:bCs/>
        </w:rPr>
        <w:t>Мукормикоз кожи и мягких тканей</w:t>
      </w:r>
    </w:p>
    <w:p w14:paraId="376C0BB9" w14:textId="77777777" w:rsidR="00A967A8" w:rsidRPr="00DA2BC8" w:rsidRDefault="00A967A8" w:rsidP="00A967A8">
      <w:pPr>
        <w:widowControl w:val="0"/>
        <w:autoSpaceDE w:val="0"/>
        <w:autoSpaceDN w:val="0"/>
        <w:adjustRightInd w:val="0"/>
        <w:ind w:right="51" w:firstLine="709"/>
        <w:contextualSpacing/>
      </w:pPr>
      <w:r w:rsidRPr="00DA2BC8">
        <w:t xml:space="preserve">Такая локализация инфекции преобладает у </w:t>
      </w:r>
      <w:r>
        <w:t>пациентов</w:t>
      </w:r>
      <w:r w:rsidRPr="00DA2BC8">
        <w:t xml:space="preserve"> с обширными травмами и ожогами. В некоторых случаях может быть следствием инвазивных медицинских процедур при использовании медицинского оборудования, контаминированного грибами </w:t>
      </w:r>
      <w:r w:rsidRPr="00DA2BC8">
        <w:rPr>
          <w:i/>
        </w:rPr>
        <w:t>Mucorales</w:t>
      </w:r>
      <w:r w:rsidRPr="00DA2BC8">
        <w:t xml:space="preserve">. </w:t>
      </w:r>
    </w:p>
    <w:p w14:paraId="470A8A1B" w14:textId="77777777" w:rsidR="00A967A8" w:rsidRPr="00DA2BC8" w:rsidRDefault="00A967A8" w:rsidP="00A967A8">
      <w:pPr>
        <w:widowControl w:val="0"/>
        <w:autoSpaceDE w:val="0"/>
        <w:autoSpaceDN w:val="0"/>
        <w:adjustRightInd w:val="0"/>
        <w:ind w:right="51" w:firstLine="709"/>
        <w:contextualSpacing/>
      </w:pPr>
      <w:r w:rsidRPr="00DA2BC8">
        <w:t xml:space="preserve">Симптомы мукормикоза кожи и мягких тканей включают наличие признаков воспаления (гиперемии, болезненности, уплотнения) в области очага инфекции с некрозом в центре, который появляется в течение короткого временного промежутка (1-4 суток). Инвазия грибов происходит в окружающие ткани, включая подкожно-жировую клетчатку и мышцы. При прорастании сосудов происходит гематогенная диссеминация мукормикоза в другие органы и ткани. Для диагностики мукормикоза мягких тканей необходимо провести краевую биопсию области поражения. </w:t>
      </w:r>
      <w:r w:rsidRPr="00DA2BC8">
        <w:rPr>
          <w:bCs/>
        </w:rPr>
        <w:t xml:space="preserve">Диагноз устанавливают на основании </w:t>
      </w:r>
      <w:r w:rsidRPr="00DA2BC8">
        <w:t xml:space="preserve">выделения культуры </w:t>
      </w:r>
      <w:r w:rsidRPr="00DA2BC8">
        <w:rPr>
          <w:i/>
        </w:rPr>
        <w:t>Mucorales</w:t>
      </w:r>
      <w:r w:rsidRPr="00DA2BC8">
        <w:t xml:space="preserve"> из биоптата некротизированной ткани либо обнаружения несептированного мицелия грибов при флуоресцентной микроскопии или гистологическом исследовании. </w:t>
      </w:r>
      <w:r w:rsidRPr="00DA2BC8">
        <w:rPr>
          <w:bCs/>
        </w:rPr>
        <w:t xml:space="preserve">Лечение мукормикоза мягких тканей во всех случяах комбринированное, включающее обязательную резекцию некроза до здоровых фрагментов и назначение антимикотиков, как </w:t>
      </w:r>
      <w:r w:rsidRPr="00DA2BC8">
        <w:t>при мукормикозе легких.</w:t>
      </w:r>
    </w:p>
    <w:p w14:paraId="7A60F5BD" w14:textId="77777777" w:rsidR="00A967A8" w:rsidRDefault="00A967A8" w:rsidP="00A967A8">
      <w:pPr>
        <w:widowControl w:val="0"/>
        <w:autoSpaceDE w:val="0"/>
        <w:autoSpaceDN w:val="0"/>
        <w:adjustRightInd w:val="0"/>
        <w:ind w:right="50"/>
        <w:contextualSpacing/>
        <w:rPr>
          <w:b/>
          <w:bCs/>
        </w:rPr>
      </w:pPr>
    </w:p>
    <w:p w14:paraId="74C03BE2" w14:textId="6C321450" w:rsidR="00A967A8" w:rsidRPr="00144984" w:rsidRDefault="00A967A8" w:rsidP="00A967A8">
      <w:pPr>
        <w:widowControl w:val="0"/>
        <w:autoSpaceDE w:val="0"/>
        <w:autoSpaceDN w:val="0"/>
        <w:adjustRightInd w:val="0"/>
        <w:ind w:right="49"/>
        <w:contextualSpacing/>
        <w:rPr>
          <w:bCs/>
          <w:u w:val="single"/>
        </w:rPr>
      </w:pPr>
      <w:r w:rsidRPr="00686506">
        <w:rPr>
          <w:bCs/>
          <w:u w:val="single"/>
        </w:rPr>
        <w:t xml:space="preserve">Диагностика и лечение инвазивных микозов, вызванных редкими плесневыми грибами </w:t>
      </w:r>
      <w:r>
        <w:rPr>
          <w:b/>
        </w:rPr>
        <w:fldChar w:fldCharType="begin" w:fldLock="1"/>
      </w:r>
      <w:r w:rsidR="00FC494E">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infections","type":"article-journal","volume":"20"},"uris":["http://www.mendeley.com/documents/?uuid=5a6b3e24-e337-3cd9-bb20-08cd60455554"]},{"id":"ITEM-4","itemData":{"DOI":"10.1111/1469-0691.12465","ISSN":"14690691","PMID":"24548001","abstract":"Mycoses summarized in the hyalohyphomycosis group are heterogeneous, defined by the presence of hyaline (non-dematiaceous) hyphae. The number of organisms implicated in hyalohyphomycosis is increasing and the most clinically important species belong to the genera Fusarium, Scedosporium, Acremonium, Scopulariopsis, Purpureocillium and Paecilomyces. Severely immunocompromised patients are particularly vulnerable to infection, and clinical manifestations range from colonization to chronic localized lesions to acute invasive and/or disseminated diseases. Diagnosis usually requires isolation and identification of the infecting pathogen. A poor prognosis is associated with fusariosis and early therapy of localized disease is important to prevent progression to a more aggressive or disseminated infection. Therapy should include voriconazole and surgical debridement where possible or posaconazole as salvage treatment. Voriconazole represents the first-line treatment of infections due to members of the genus Scedosporium. For Acremonium spp., Scopulariopsis spp., Purpureocillium spp. and Paecilomyces spp. the optimal antifungal treatment has not been established. Management usually consists of surgery and antifungal treatment, depending on the clinical presentation. © 2014 European Society of Clinical Microbiology and Infectious Diseases.","author":[{"dropping-particle":"","family":"Tortorano","given":"A. M.","non-dropping-particle":"","parse-names":false,"suffix":""},{"dropping-particle":"","family":"Richardson","given":"M.","non-dropping-particle":"","parse-names":false,"suffix":""},{"dropping-particle":"","family":"Roilides","given":"E.","non-dropping-particle":"","parse-names":false,"suffix":""},{"dropping-particle":"","family":"Diepeningen","given":"A.","non-dropping-particle":"van","parse-names":false,"suffix":""},{"dropping-particle":"","family":"Caira","given":"M.","non-dropping-particle":"","parse-names":false,"suffix":""},{"dropping-particle":"","family":"Munoz","given":"P.","non-dropping-particle":"","parse-names":false,"suffix":""},{"dropping-particle":"","family":"Johnson","given":"E.","non-dropping-particle":"","parse-names":false,"suffix":""},{"dropping-particle":"","family":"Meletiadis","given":"J.","non-dropping-particle":"","parse-names":false,"suffix":""},{"dropping-particle":"","family":"Pana","given":"Z. D.","non-dropping-particle":"","parse-names":false,"suffix":""},{"dropping-particle":"","family":"Lackner","given":"M.","non-dropping-particle":"","parse-names":false,"suffix":""},{"dropping-particle":"","family":"Verweij","given":"P.","non-dropping-particle":"","parse-names":false,"suffix":""},{"dropping-particle":"","family":"Freiberger","given":"T.","non-dropping-particle":"","parse-names":false,"suffix":""},{"dropping-particle":"","family":"Cornely","given":"O. A.","non-dropping-particle":"","parse-names":false,"suffix":""},{"dropping-particle":"","family":"Arikan-Akdagli","given":"S.","non-dropping-particle":"","parse-names":false,"suffix":""},{"dropping-particle":"","family":"Dannaoui","given":"E.","non-dropping-particle":"","parse-names":false,"suffix":""},{"dropping-particle":"","family":"Groll","given":"A. H.","non-dropping-particle":"","parse-names":false,"suffix":""},{"dropping-particle":"","family":"Lagrou","given":"K.","non-dropping-particle":"","parse-names":false,"suffix":""},{"dropping-particle":"","family":"Chakrabarti","given":"A.","non-dropping-particle":"","parse-names":false,"suffix":""},{"dropping-particle":"","family":"Lanternier","given":"F.","non-dropping-particle":"","parse-names":false,"suffix":""},{"dropping-particle":"","family":"Pagano","given":"L.","non-dropping-particle":"","parse-names":false,"suffix":""},{"dropping-particle":"","family":"Skiada","given":"A.","non-dropping-particle":"","parse-names":false,"suffix":""},{"dropping-particle":"","family":"Akova","given":"M.","non-dropping-particle":"","parse-names":false,"suffix":""},{"dropping-particle":"","family":"Arendrup","given":"M. C.","non-dropping-particle":"","parse-names":false,"suffix":""},{"dropping-particle":"","family":"Boekhout","given":"T.","non-dropping-particle":"","parse-names":false,"suffix":""},{"dropping-particle":"","family":"Chowdhary","given":"A.","non-dropping-particle":"","parse-names":false,"suffix":""},{"dropping-particle":"","family":"Cuenca-Estrella","given":"M.","non-dropping-particle":"","parse-names":false,"suffix":""},{"dropping-particle":"","family":"Guinea","given":"J.","non-dropping-particle":"","parse-names":false,"suffix":""},{"dropping-particle":"","family":"Guarro","given":"J.","non-dropping-particle":"","parse-names":false,"suffix":""},{"dropping-particle":"","family":"Hoog","given":"S.","non-dropping-particle":"de","parse-names":false,"suffix":""},{"dropping-particle":"","family":"Hope","given":"W.","non-dropping-particle":"","parse-names":false,"suffix":""},{"dropping-particle":"","family":"Kathuria","given":"S.","non-dropping-particle":"","parse-names":false,"suffix":""},{"dropping-particle":"","family":"Lortholary","given":"O.","non-dropping-particle":"","parse-names":false,"suffix":""},{"dropping-particle":"","family":"Meis","given":"J. F.","non-dropping-particle":"","parse-names":false,"suffix":""},{"dropping-particle":"","family":"Ullmann","given":"A. J.","non-dropping-particle":"","parse-names":false,"suffix":""},{"dropping-particle":"","family":"Petrikkos","given":"G.","non-dropping-particle":"","parse-names":false,"suffix":""},{"dropping-particle":"","family":"Lass-Flörl","given":"C.","non-dropping-particle":"","parse-names":false,"suffix":""}],"container-title":"Clinical Microbiology and Infection","id":"ITEM-4","issue":"S3","issued":{"date-parts":[["2014"]]},"page":"27-46","publisher":"Blackwell Publishing Ltd","title":"ESCMID and ECMM joint guidelines on diagnosis and management of hyalohyphomycosis: Fusarium spp., Scedosporium spp. and others","type":"article-journal","volume":"20"},"uris":["http://www.mendeley.com/documents/?uuid=a2a77bc6-7c62-3766-9352-c711579a66f5"]}],"mendeley":{"formattedCitation":"[149,150,155,160]","plainTextFormattedCitation":"[149,150,155,160]","previouslyFormattedCitation":"[149,150,155,160]"},"properties":{"noteIndex":0},"schema":"https://github.com/citation-style-language/schema/raw/master/csl-citation.json"}</w:instrText>
      </w:r>
      <w:r>
        <w:rPr>
          <w:b/>
        </w:rPr>
        <w:fldChar w:fldCharType="separate"/>
      </w:r>
      <w:r w:rsidRPr="00A967A8">
        <w:rPr>
          <w:noProof/>
        </w:rPr>
        <w:t>[149,150,155,160]</w:t>
      </w:r>
      <w:r>
        <w:rPr>
          <w:b/>
        </w:rPr>
        <w:fldChar w:fldCharType="end"/>
      </w:r>
    </w:p>
    <w:p w14:paraId="0DC6406B" w14:textId="77777777" w:rsidR="00A967A8" w:rsidRPr="00144984" w:rsidRDefault="00A967A8" w:rsidP="00A967A8">
      <w:pPr>
        <w:widowControl w:val="0"/>
        <w:autoSpaceDE w:val="0"/>
        <w:autoSpaceDN w:val="0"/>
        <w:adjustRightInd w:val="0"/>
        <w:ind w:right="50" w:firstLine="708"/>
        <w:rPr>
          <w:b/>
          <w:bCs/>
        </w:rPr>
      </w:pPr>
      <w:r>
        <w:rPr>
          <w:bCs/>
        </w:rPr>
        <w:t>У</w:t>
      </w:r>
      <w:r w:rsidRPr="00144984">
        <w:rPr>
          <w:bCs/>
        </w:rPr>
        <w:t xml:space="preserve"> </w:t>
      </w:r>
      <w:r>
        <w:rPr>
          <w:bCs/>
        </w:rPr>
        <w:t>гематологических</w:t>
      </w:r>
      <w:r w:rsidRPr="00144984">
        <w:rPr>
          <w:bCs/>
        </w:rPr>
        <w:t xml:space="preserve"> </w:t>
      </w:r>
      <w:r>
        <w:rPr>
          <w:bCs/>
        </w:rPr>
        <w:t>пациентов</w:t>
      </w:r>
      <w:r w:rsidRPr="00144984">
        <w:rPr>
          <w:bCs/>
        </w:rPr>
        <w:t xml:space="preserve"> </w:t>
      </w:r>
      <w:r>
        <w:rPr>
          <w:bCs/>
        </w:rPr>
        <w:t>ввиду</w:t>
      </w:r>
      <w:r w:rsidRPr="00144984">
        <w:rPr>
          <w:bCs/>
        </w:rPr>
        <w:t xml:space="preserve"> </w:t>
      </w:r>
      <w:r>
        <w:rPr>
          <w:bCs/>
        </w:rPr>
        <w:t>иммуносупрессии</w:t>
      </w:r>
      <w:r w:rsidRPr="00144984">
        <w:rPr>
          <w:bCs/>
        </w:rPr>
        <w:t xml:space="preserve">, </w:t>
      </w:r>
      <w:r>
        <w:rPr>
          <w:bCs/>
        </w:rPr>
        <w:t>вызванной</w:t>
      </w:r>
      <w:r w:rsidRPr="00144984">
        <w:rPr>
          <w:bCs/>
        </w:rPr>
        <w:t xml:space="preserve"> </w:t>
      </w:r>
      <w:r>
        <w:rPr>
          <w:bCs/>
        </w:rPr>
        <w:t>как</w:t>
      </w:r>
      <w:r w:rsidRPr="00144984">
        <w:rPr>
          <w:bCs/>
        </w:rPr>
        <w:t xml:space="preserve"> </w:t>
      </w:r>
      <w:r>
        <w:rPr>
          <w:bCs/>
        </w:rPr>
        <w:t>самим</w:t>
      </w:r>
      <w:r w:rsidRPr="00144984">
        <w:rPr>
          <w:bCs/>
        </w:rPr>
        <w:t xml:space="preserve"> </w:t>
      </w:r>
      <w:r>
        <w:rPr>
          <w:bCs/>
        </w:rPr>
        <w:t>заболеванием</w:t>
      </w:r>
      <w:r w:rsidRPr="00144984">
        <w:rPr>
          <w:bCs/>
        </w:rPr>
        <w:t xml:space="preserve">, </w:t>
      </w:r>
      <w:r>
        <w:rPr>
          <w:bCs/>
        </w:rPr>
        <w:t>так</w:t>
      </w:r>
      <w:r w:rsidRPr="00144984">
        <w:rPr>
          <w:bCs/>
        </w:rPr>
        <w:t xml:space="preserve"> </w:t>
      </w:r>
      <w:r>
        <w:rPr>
          <w:bCs/>
        </w:rPr>
        <w:t>и</w:t>
      </w:r>
      <w:r w:rsidRPr="00144984">
        <w:rPr>
          <w:bCs/>
        </w:rPr>
        <w:t xml:space="preserve"> </w:t>
      </w:r>
      <w:r>
        <w:rPr>
          <w:bCs/>
        </w:rPr>
        <w:t>специфической</w:t>
      </w:r>
      <w:r w:rsidRPr="00144984">
        <w:rPr>
          <w:bCs/>
        </w:rPr>
        <w:t xml:space="preserve"> </w:t>
      </w:r>
      <w:r>
        <w:rPr>
          <w:bCs/>
        </w:rPr>
        <w:t>терапией</w:t>
      </w:r>
      <w:r w:rsidRPr="00144984">
        <w:rPr>
          <w:bCs/>
        </w:rPr>
        <w:t xml:space="preserve"> </w:t>
      </w:r>
      <w:r>
        <w:rPr>
          <w:bCs/>
        </w:rPr>
        <w:t>гематологического</w:t>
      </w:r>
      <w:r w:rsidRPr="00144984">
        <w:rPr>
          <w:bCs/>
        </w:rPr>
        <w:t xml:space="preserve"> </w:t>
      </w:r>
      <w:r>
        <w:rPr>
          <w:bCs/>
        </w:rPr>
        <w:t>заболевания</w:t>
      </w:r>
      <w:r w:rsidRPr="00144984">
        <w:rPr>
          <w:bCs/>
        </w:rPr>
        <w:t xml:space="preserve">, </w:t>
      </w:r>
      <w:r>
        <w:rPr>
          <w:bCs/>
        </w:rPr>
        <w:t>могут</w:t>
      </w:r>
      <w:r w:rsidRPr="00144984">
        <w:rPr>
          <w:bCs/>
        </w:rPr>
        <w:t xml:space="preserve"> </w:t>
      </w:r>
      <w:r>
        <w:rPr>
          <w:bCs/>
        </w:rPr>
        <w:t>встречаться</w:t>
      </w:r>
      <w:r w:rsidRPr="00144984">
        <w:rPr>
          <w:bCs/>
        </w:rPr>
        <w:t xml:space="preserve"> </w:t>
      </w:r>
      <w:r w:rsidRPr="00E41F19">
        <w:rPr>
          <w:bCs/>
        </w:rPr>
        <w:t>инвазивные</w:t>
      </w:r>
      <w:r w:rsidRPr="00144984">
        <w:rPr>
          <w:bCs/>
        </w:rPr>
        <w:t xml:space="preserve"> </w:t>
      </w:r>
      <w:r w:rsidRPr="00E41F19">
        <w:rPr>
          <w:bCs/>
        </w:rPr>
        <w:t>микозы</w:t>
      </w:r>
      <w:r w:rsidRPr="00144984">
        <w:rPr>
          <w:bCs/>
        </w:rPr>
        <w:t xml:space="preserve">, </w:t>
      </w:r>
      <w:r w:rsidRPr="00E41F19">
        <w:rPr>
          <w:bCs/>
        </w:rPr>
        <w:t>вызванные</w:t>
      </w:r>
      <w:r w:rsidRPr="00144984">
        <w:rPr>
          <w:bCs/>
        </w:rPr>
        <w:t xml:space="preserve"> </w:t>
      </w:r>
      <w:r w:rsidRPr="00E41F19">
        <w:rPr>
          <w:bCs/>
        </w:rPr>
        <w:t>редкими</w:t>
      </w:r>
      <w:r w:rsidRPr="00144984">
        <w:rPr>
          <w:bCs/>
        </w:rPr>
        <w:t xml:space="preserve"> </w:t>
      </w:r>
      <w:r w:rsidRPr="00E41F19">
        <w:rPr>
          <w:bCs/>
        </w:rPr>
        <w:t>плесневыми</w:t>
      </w:r>
      <w:r w:rsidRPr="00144984">
        <w:rPr>
          <w:bCs/>
        </w:rPr>
        <w:t xml:space="preserve"> </w:t>
      </w:r>
      <w:r w:rsidRPr="00E41F19">
        <w:rPr>
          <w:bCs/>
        </w:rPr>
        <w:t>грибами</w:t>
      </w:r>
      <w:r w:rsidRPr="00144984">
        <w:rPr>
          <w:bCs/>
        </w:rPr>
        <w:t>.</w:t>
      </w:r>
    </w:p>
    <w:p w14:paraId="09A21155" w14:textId="77777777" w:rsidR="00A967A8" w:rsidRPr="00144984" w:rsidRDefault="00A967A8" w:rsidP="00A967A8">
      <w:pPr>
        <w:widowControl w:val="0"/>
        <w:autoSpaceDE w:val="0"/>
        <w:autoSpaceDN w:val="0"/>
        <w:adjustRightInd w:val="0"/>
        <w:ind w:right="50" w:firstLine="709"/>
        <w:contextualSpacing/>
        <w:rPr>
          <w:i/>
          <w:iCs/>
          <w:u w:val="single"/>
        </w:rPr>
      </w:pPr>
      <w:r w:rsidRPr="00686506">
        <w:rPr>
          <w:i/>
          <w:iCs/>
          <w:u w:val="single"/>
        </w:rPr>
        <w:t>Фузариоз</w:t>
      </w:r>
      <w:r w:rsidRPr="00144984">
        <w:rPr>
          <w:i/>
          <w:iCs/>
          <w:u w:val="single"/>
        </w:rPr>
        <w:t xml:space="preserve"> </w:t>
      </w:r>
    </w:p>
    <w:p w14:paraId="297F8FCB" w14:textId="77777777" w:rsidR="00A967A8" w:rsidRPr="00DA2BC8" w:rsidRDefault="00A967A8" w:rsidP="00A967A8">
      <w:pPr>
        <w:widowControl w:val="0"/>
        <w:autoSpaceDE w:val="0"/>
        <w:autoSpaceDN w:val="0"/>
        <w:adjustRightInd w:val="0"/>
        <w:ind w:right="50" w:firstLine="709"/>
        <w:contextualSpacing/>
      </w:pPr>
      <w:r w:rsidRPr="00DA2BC8">
        <w:t>Основными</w:t>
      </w:r>
      <w:r w:rsidRPr="00144984">
        <w:t xml:space="preserve"> </w:t>
      </w:r>
      <w:r w:rsidRPr="00DA2BC8">
        <w:t>возбудителями</w:t>
      </w:r>
      <w:r w:rsidRPr="00144984">
        <w:t xml:space="preserve"> </w:t>
      </w:r>
      <w:r w:rsidRPr="00DA2BC8">
        <w:t>являются</w:t>
      </w:r>
      <w:r w:rsidRPr="00144984">
        <w:t xml:space="preserve"> </w:t>
      </w:r>
      <w:r w:rsidRPr="00FB256D">
        <w:rPr>
          <w:i/>
          <w:iCs/>
          <w:lang w:val="en-US"/>
        </w:rPr>
        <w:t>Fusarium</w:t>
      </w:r>
      <w:r w:rsidRPr="00144984">
        <w:rPr>
          <w:i/>
          <w:iCs/>
        </w:rPr>
        <w:t xml:space="preserve"> </w:t>
      </w:r>
      <w:r w:rsidRPr="00FB256D">
        <w:rPr>
          <w:i/>
          <w:iCs/>
          <w:lang w:val="en-US"/>
        </w:rPr>
        <w:t>solani</w:t>
      </w:r>
      <w:r w:rsidRPr="00144984">
        <w:t xml:space="preserve"> </w:t>
      </w:r>
      <w:r w:rsidRPr="00DA2BC8">
        <w:t>и</w:t>
      </w:r>
      <w:r w:rsidRPr="00144984">
        <w:t xml:space="preserve"> </w:t>
      </w:r>
      <w:r w:rsidRPr="00FB256D">
        <w:rPr>
          <w:i/>
          <w:iCs/>
          <w:lang w:val="en-US"/>
        </w:rPr>
        <w:t>Fusarium</w:t>
      </w:r>
      <w:r w:rsidRPr="00144984">
        <w:rPr>
          <w:i/>
          <w:iCs/>
        </w:rPr>
        <w:t xml:space="preserve"> </w:t>
      </w:r>
      <w:r w:rsidRPr="00FB256D">
        <w:rPr>
          <w:i/>
          <w:iCs/>
          <w:lang w:val="en-US"/>
        </w:rPr>
        <w:t>oxysporum</w:t>
      </w:r>
      <w:r w:rsidRPr="00144984">
        <w:t xml:space="preserve">. </w:t>
      </w:r>
      <w:r w:rsidRPr="00DA2BC8">
        <w:t>Фузариоз</w:t>
      </w:r>
      <w:r w:rsidRPr="00144984">
        <w:t xml:space="preserve"> </w:t>
      </w:r>
      <w:r w:rsidRPr="00DA2BC8">
        <w:t>развивается</w:t>
      </w:r>
      <w:r w:rsidRPr="00144984">
        <w:t xml:space="preserve"> </w:t>
      </w:r>
      <w:r w:rsidRPr="00DA2BC8">
        <w:t>преимущественно</w:t>
      </w:r>
      <w:r w:rsidRPr="00144984">
        <w:t xml:space="preserve"> </w:t>
      </w:r>
      <w:r w:rsidRPr="00DA2BC8">
        <w:t>у</w:t>
      </w:r>
      <w:r w:rsidRPr="00144984">
        <w:t xml:space="preserve"> </w:t>
      </w:r>
      <w:r>
        <w:t>онкогематологических</w:t>
      </w:r>
      <w:r w:rsidRPr="00144984">
        <w:t xml:space="preserve"> </w:t>
      </w:r>
      <w:r>
        <w:t>пациентов</w:t>
      </w:r>
      <w:r w:rsidRPr="00DA2BC8">
        <w:t xml:space="preserve">, в основном у </w:t>
      </w:r>
      <w:r>
        <w:t>пациентов с острыми миелоидными лейкозами</w:t>
      </w:r>
      <w:r w:rsidRPr="00DA2BC8">
        <w:t xml:space="preserve"> и у реципиентов аллогенных СГК. Ведущим фактором риска возникновения фузариоза является наличие гранулоцитопении. В отличие от других видов мицелиальных грибов, основным проявлением инфекции, вызванной </w:t>
      </w:r>
      <w:r w:rsidRPr="00DA2BC8">
        <w:rPr>
          <w:i/>
          <w:iCs/>
        </w:rPr>
        <w:t xml:space="preserve">Fusarium </w:t>
      </w:r>
      <w:r w:rsidRPr="00DA2BC8">
        <w:t xml:space="preserve">spp., является фунгемия (40-60%) с образованием септико-пиемических очагов на коже (60-80%), а также вовлечение в инфекционный процесс легких и придаточных пазух носа. Для фузариоза характерно наличие на коже множества септико-пиемических очагов в виде уплотненных эритематозных макул или папул, болезненных, с некрозом в центре. Летальность при фузариозе высокая и достигает 50-70% у иммунокомпрометированных больных. </w:t>
      </w:r>
      <w:r w:rsidRPr="00DA2BC8">
        <w:rPr>
          <w:bCs/>
        </w:rPr>
        <w:t xml:space="preserve">Для диагностики фузариоза должна быть получена культура </w:t>
      </w:r>
      <w:r w:rsidRPr="00DA2BC8">
        <w:rPr>
          <w:i/>
          <w:iCs/>
        </w:rPr>
        <w:t>Fusarium</w:t>
      </w:r>
      <w:r w:rsidRPr="00DA2BC8">
        <w:t xml:space="preserve"> spp. из крови или других стерильных образцов (биоптаты кожи и органов, аспират придаточных пазух носа), жидкости БАЛ или мокроты. При фузариозе может быть определен ложно-положительный антиген </w:t>
      </w:r>
      <w:r w:rsidRPr="00DA2BC8">
        <w:rPr>
          <w:i/>
          <w:iCs/>
        </w:rPr>
        <w:t>Aspergillus</w:t>
      </w:r>
      <w:r w:rsidRPr="00DA2BC8">
        <w:t xml:space="preserve"> (галактоманнан). Радиологические изменения в легких и придаточных пазухах носа при фузариозе неспецифичны и схожи с инвазивным аспергиллезом. </w:t>
      </w:r>
      <w:r w:rsidRPr="00DA2BC8">
        <w:rPr>
          <w:iCs/>
        </w:rPr>
        <w:t>Грибы</w:t>
      </w:r>
      <w:r w:rsidRPr="00DA2BC8">
        <w:rPr>
          <w:i/>
          <w:iCs/>
        </w:rPr>
        <w:t xml:space="preserve"> Fusaruim </w:t>
      </w:r>
      <w:r w:rsidRPr="00DA2BC8">
        <w:t xml:space="preserve">spp. характеризуются низкими параметрами чувствительности и могут быть устойчивыми ко всем препаратам из группы азолов. </w:t>
      </w:r>
    </w:p>
    <w:p w14:paraId="1DBC3524" w14:textId="77777777" w:rsidR="00A967A8" w:rsidRPr="00DA2BC8" w:rsidRDefault="00A967A8" w:rsidP="00A967A8">
      <w:pPr>
        <w:widowControl w:val="0"/>
        <w:autoSpaceDE w:val="0"/>
        <w:autoSpaceDN w:val="0"/>
        <w:adjustRightInd w:val="0"/>
        <w:ind w:right="50" w:firstLine="709"/>
        <w:contextualSpacing/>
        <w:rPr>
          <w:b/>
          <w:bCs/>
        </w:rPr>
      </w:pPr>
      <w:r w:rsidRPr="00DA2BC8">
        <w:rPr>
          <w:bCs/>
        </w:rPr>
        <w:t xml:space="preserve">Препаратом выбора для лечения является </w:t>
      </w:r>
      <w:r w:rsidRPr="00DA2BC8">
        <w:t xml:space="preserve">вориконазол (в 1-й день по 6 мг/кг внутривенно 2 раза в сутки, затем по 4 мг/кг внутривенно 2 раза в сутки, с переходом на пероральную форму по 200 мг 2 раза в сутки, прием натощак или через 1 час после еды), </w:t>
      </w:r>
      <w:r w:rsidRPr="00DA2BC8">
        <w:rPr>
          <w:bCs/>
        </w:rPr>
        <w:t xml:space="preserve">альтернативные препараты - </w:t>
      </w:r>
      <w:r w:rsidRPr="00DA2BC8">
        <w:t>липосомальный амфотерицин В (5 мг/кг)</w:t>
      </w:r>
      <w:r w:rsidRPr="00DA2BC8">
        <w:rPr>
          <w:bCs/>
        </w:rPr>
        <w:t>, л</w:t>
      </w:r>
      <w:r w:rsidRPr="00DA2BC8">
        <w:t>ипидный комплекс амфотерицина В (5 мг/кг), позаконазол (суспензия, по 400 мг 2 раза в сутки, после еды).</w:t>
      </w:r>
      <w:r w:rsidRPr="00DA2BC8">
        <w:rPr>
          <w:bCs/>
        </w:rPr>
        <w:t xml:space="preserve"> </w:t>
      </w:r>
      <w:r w:rsidRPr="00DA2BC8">
        <w:t xml:space="preserve">Не показано сочетание противогрибковых препаратов в качестве стартовой терапии. Не назначают эхинокандин ввиду природной устойчивости. </w:t>
      </w:r>
    </w:p>
    <w:p w14:paraId="584F6A1D" w14:textId="77777777" w:rsidR="00A967A8" w:rsidRPr="00686506" w:rsidRDefault="00A967A8" w:rsidP="00A967A8">
      <w:pPr>
        <w:widowControl w:val="0"/>
        <w:autoSpaceDE w:val="0"/>
        <w:autoSpaceDN w:val="0"/>
        <w:adjustRightInd w:val="0"/>
        <w:ind w:right="51" w:firstLine="709"/>
        <w:contextualSpacing/>
        <w:rPr>
          <w:i/>
          <w:iCs/>
          <w:u w:val="single"/>
        </w:rPr>
      </w:pPr>
      <w:r w:rsidRPr="00686506">
        <w:rPr>
          <w:i/>
          <w:iCs/>
          <w:u w:val="single"/>
        </w:rPr>
        <w:t xml:space="preserve">Сцедоспориоз </w:t>
      </w:r>
    </w:p>
    <w:p w14:paraId="79A6B1AC" w14:textId="77777777" w:rsidR="00A967A8" w:rsidRPr="00DA2BC8" w:rsidRDefault="00A967A8" w:rsidP="00A967A8">
      <w:pPr>
        <w:widowControl w:val="0"/>
        <w:autoSpaceDE w:val="0"/>
        <w:autoSpaceDN w:val="0"/>
        <w:adjustRightInd w:val="0"/>
        <w:ind w:right="51" w:firstLine="709"/>
        <w:contextualSpacing/>
      </w:pPr>
      <w:r w:rsidRPr="00DA2BC8">
        <w:t xml:space="preserve">Основными возбудителя сцедоспориоза являются </w:t>
      </w:r>
      <w:r w:rsidRPr="00DA2BC8">
        <w:rPr>
          <w:i/>
          <w:iCs/>
        </w:rPr>
        <w:t>Scedosporium apiospermium</w:t>
      </w:r>
      <w:r w:rsidRPr="00DA2BC8">
        <w:t xml:space="preserve"> и </w:t>
      </w:r>
      <w:r w:rsidRPr="00DA2BC8">
        <w:rPr>
          <w:i/>
          <w:iCs/>
        </w:rPr>
        <w:t>Scedosporium prolificans</w:t>
      </w:r>
      <w:r w:rsidRPr="00DA2BC8">
        <w:t xml:space="preserve">. У иммунокомпрометированных больных преобладает диссеминированная форма инфекции с преимущественным поражением кожи, придаточных пазух носа, легких и центральной нервной системы. При сцедоспориозе головного мозга, в отличие от инвазивного аспергиллеза, может не быть изменений в легких или придаточных пазухах носа. </w:t>
      </w:r>
      <w:r w:rsidRPr="00DA2BC8">
        <w:rPr>
          <w:i/>
          <w:iCs/>
        </w:rPr>
        <w:t>S. prolificans</w:t>
      </w:r>
      <w:r w:rsidRPr="00DA2BC8">
        <w:t xml:space="preserve">, как и </w:t>
      </w:r>
      <w:r w:rsidRPr="00DA2BC8">
        <w:rPr>
          <w:i/>
          <w:iCs/>
        </w:rPr>
        <w:t>Fusarium</w:t>
      </w:r>
      <w:r w:rsidRPr="00DA2BC8">
        <w:t xml:space="preserve"> spp., с высокой частотой (&gt;50%) выделяют из гемокультуры. Для инфекций, вызванных </w:t>
      </w:r>
      <w:r w:rsidRPr="00DA2BC8">
        <w:rPr>
          <w:i/>
          <w:iCs/>
        </w:rPr>
        <w:t>S. prolificans</w:t>
      </w:r>
      <w:r w:rsidRPr="00DA2BC8">
        <w:t xml:space="preserve">, характерна очень высокая летальность (до 95%) среди больных опухолями системы крови ввиду наличия устойчивости этого микроорганизма ко многим противогрибковым препаратам, а в ряде случаев ко всем антимикотикам. </w:t>
      </w:r>
      <w:r w:rsidRPr="00DA2BC8">
        <w:rPr>
          <w:bCs/>
        </w:rPr>
        <w:t xml:space="preserve">Критерии диагностики сцедоспориоза включают </w:t>
      </w:r>
      <w:r w:rsidRPr="00DA2BC8">
        <w:t xml:space="preserve">выделение </w:t>
      </w:r>
      <w:r w:rsidRPr="00DA2BC8">
        <w:rPr>
          <w:i/>
          <w:iCs/>
        </w:rPr>
        <w:t xml:space="preserve">Scedosporium </w:t>
      </w:r>
      <w:r w:rsidRPr="00DA2BC8">
        <w:t xml:space="preserve">spp. из гемокультуры или других стерильных образцов (аспират из придаточных пазух носа, биоптаты тканей и органов), жидкости БАЛ, мокроты. </w:t>
      </w:r>
      <w:r w:rsidRPr="00DA2BC8">
        <w:rPr>
          <w:bCs/>
        </w:rPr>
        <w:t>Препарат выбора –</w:t>
      </w:r>
      <w:r w:rsidRPr="00DA2BC8">
        <w:t xml:space="preserve"> вориконазол (дозирование как при аспергиллезе), </w:t>
      </w:r>
      <w:r w:rsidRPr="00DA2BC8">
        <w:rPr>
          <w:bCs/>
        </w:rPr>
        <w:t>альтернативные - л</w:t>
      </w:r>
      <w:r w:rsidRPr="00DA2BC8">
        <w:t>ипосомальный или липидный комплекс амфотерцина В (5 мг/кг) или позаконазол (по 400 мг х 2 раза в сутки). Возможно применение сочетания антимикотиков.</w:t>
      </w:r>
    </w:p>
    <w:p w14:paraId="0AFB1D35" w14:textId="77777777" w:rsidR="00A967A8" w:rsidRPr="00686506" w:rsidRDefault="00A967A8" w:rsidP="00A967A8">
      <w:pPr>
        <w:widowControl w:val="0"/>
        <w:autoSpaceDE w:val="0"/>
        <w:autoSpaceDN w:val="0"/>
        <w:adjustRightInd w:val="0"/>
        <w:ind w:right="51" w:firstLine="709"/>
        <w:contextualSpacing/>
        <w:rPr>
          <w:i/>
          <w:iCs/>
          <w:u w:val="single"/>
        </w:rPr>
      </w:pPr>
      <w:r w:rsidRPr="00686506">
        <w:rPr>
          <w:i/>
          <w:iCs/>
          <w:u w:val="single"/>
        </w:rPr>
        <w:t>Инфекции, вызванные Acremonium spp.</w:t>
      </w:r>
    </w:p>
    <w:p w14:paraId="5E9C2855" w14:textId="77777777" w:rsidR="00A967A8" w:rsidRPr="00DA2BC8" w:rsidRDefault="00A967A8" w:rsidP="00A967A8">
      <w:pPr>
        <w:widowControl w:val="0"/>
        <w:autoSpaceDE w:val="0"/>
        <w:autoSpaceDN w:val="0"/>
        <w:adjustRightInd w:val="0"/>
        <w:ind w:right="51" w:firstLine="709"/>
        <w:contextualSpacing/>
      </w:pPr>
      <w:r>
        <w:t>Эти г</w:t>
      </w:r>
      <w:r w:rsidRPr="00DA2BC8">
        <w:t xml:space="preserve">рибы широко распространены в окружающей среде. Описаны случаи перитонита, инфицирования диализной фистулы, остеомиелита, менингита после спинномозговой анестезии, эндокардита после операции на клапанах, пневмонии, вызванные </w:t>
      </w:r>
      <w:r w:rsidRPr="00DA2BC8">
        <w:rPr>
          <w:i/>
          <w:iCs/>
        </w:rPr>
        <w:t xml:space="preserve">Acremonium </w:t>
      </w:r>
      <w:r w:rsidRPr="00DA2BC8">
        <w:t xml:space="preserve">spp., инфекции кровотока. Диагностика инфекций, вызванных </w:t>
      </w:r>
      <w:r w:rsidRPr="00DA2BC8">
        <w:rPr>
          <w:i/>
          <w:iCs/>
        </w:rPr>
        <w:t>Acremonium</w:t>
      </w:r>
      <w:r w:rsidRPr="00DA2BC8">
        <w:t xml:space="preserve"> spp</w:t>
      </w:r>
      <w:r>
        <w:t>. включает выделение культуры этих</w:t>
      </w:r>
      <w:r w:rsidRPr="00DA2BC8">
        <w:t xml:space="preserve"> грибов из локуса поражения</w:t>
      </w:r>
      <w:r>
        <w:t>, выявленного при соответствующей инструментальной диагностике (УЗИ, ЭхоКГ, КТ/СКТ, МРТ пораженных областей) и манипуляциях – люмбальная пункция, плевральная пункция, пункция брюшной полости, пункция/биопсия очага поражения</w:t>
      </w:r>
      <w:r w:rsidRPr="00DA2BC8">
        <w:t>. Лечение проводится вориконазолом или амфотерицином В или позаконазолом (стандартные дозы).</w:t>
      </w:r>
    </w:p>
    <w:p w14:paraId="27C439EB" w14:textId="77777777" w:rsidR="00A967A8" w:rsidRDefault="00A967A8" w:rsidP="00A967A8">
      <w:pPr>
        <w:widowControl w:val="0"/>
        <w:autoSpaceDE w:val="0"/>
        <w:autoSpaceDN w:val="0"/>
        <w:adjustRightInd w:val="0"/>
        <w:ind w:right="50"/>
        <w:contextualSpacing/>
        <w:rPr>
          <w:b/>
          <w:bCs/>
        </w:rPr>
      </w:pPr>
    </w:p>
    <w:p w14:paraId="2DEEBB92" w14:textId="1225F137" w:rsidR="00A967A8" w:rsidRPr="00084B8B" w:rsidRDefault="00A967A8" w:rsidP="00A967A8">
      <w:pPr>
        <w:widowControl w:val="0"/>
        <w:autoSpaceDE w:val="0"/>
        <w:autoSpaceDN w:val="0"/>
        <w:adjustRightInd w:val="0"/>
        <w:ind w:right="50"/>
        <w:contextualSpacing/>
        <w:rPr>
          <w:b/>
        </w:rPr>
      </w:pPr>
      <w:r w:rsidRPr="00686506">
        <w:rPr>
          <w:bCs/>
          <w:u w:val="single"/>
        </w:rPr>
        <w:t>Диагностика и лечение пневмоцистной пневмонии</w:t>
      </w:r>
      <w:r w:rsidRPr="00084B8B">
        <w:rPr>
          <w:bCs/>
          <w:u w:val="single"/>
        </w:rPr>
        <w:t xml:space="preserve"> </w:t>
      </w:r>
      <w:r>
        <w:rPr>
          <w:b/>
        </w:rPr>
        <w:fldChar w:fldCharType="begin" w:fldLock="1"/>
      </w:r>
      <w:r w:rsidR="00FC494E">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infections","type":"article-journal","volume":"20"},"uris":["http://www.mendeley.com/documents/?uuid=5a6b3e24-e337-3cd9-bb20-08cd60455554"]},{"id":"ITEM-4","itemData":{"DOI":"10.1093/jac/dkw158","ISSN":"14602091","PMID":"27550993","abstract":"The initiation of systemic antimicrobial treatment of Pneumocystis jirovecii pneumonia (PCP) is triggered by clinical signs and symptoms, typical radiological and occasionally laboratory findings in patients at risk of this infection. Diagnostic proof by bronchoalveolar lavage should not delay the start of treatment. Most patients with haematological malignancies present with a severe PCP; therefore, antimicrobial therapy should be started intravenously. High-dose trimethoprim/sulfamethoxazole is the treatment of choice. In patients with documented intolerance to this regimen, the preferred alternative is the combination of primaquine plus clindamycin. Treatment success should be first evaluated after 1 week, and in case of clinical non-response, pulmonary CT scan and bronchoalveolar lavage should be repeated to look for secondary or co-infections. Treatment duration typically is 3 weeks and secondary anti-PCP prophylaxis is indicated in all patients thereafter. In patients with critical respiratory failure, non-invasive ventilation is not significantly superior to intubation and mechanical ventilation. The administration of glucocorticoids must be decided on a case-by-case basis.","author":[{"dropping-particle":"","family":"Maschmeyer","given":"Georg","non-dropping-particle":"","parse-names":false,"suffix":""},{"dropping-particle":"","family":"Helweg-Larsen","given":"Jannik","non-dropping-particle":"","parse-names":false,"suffix":""},{"dropping-particle":"","family":"Pagano","given":"Livio","non-dropping-particle":"","parse-names":false,"suffix":""},{"dropping-particle":"","family":"Robin","given":"Christine","non-dropping-particle":"","parse-names":false,"suffix":""},{"dropping-particle":"","family":"Cordonnier","given":"Catherine","non-dropping-particle":"","parse-names":false,"suffix":""},{"dropping-particle":"","family":"Schellongowski","given":"Peter","non-dropping-particle":"","parse-names":false,"suffix":""}],"container-title":"The Journal of antimicrobial chemotherapy","id":"ITEM-4","issue":"9","issued":{"date-parts":[["2016","9","1"]]},"page":"2405-2413","publisher":"J Antimicrob Chemother","title":"ECIL guidelines for treatment of Pneumocystis jirovecii pneumonia in non-HIV-infected haematology patients","type":"article-journal","volume":"71"},"uris":["http://www.mendeley.com/documents/?uuid=2f829fda-f017-3f84-8bbc-ec72967bb7a9"]}],"mendeley":{"formattedCitation":"[149,150,155,161]","plainTextFormattedCitation":"[149,150,155,161]","previouslyFormattedCitation":"[149,150,155,161]"},"properties":{"noteIndex":0},"schema":"https://github.com/citation-style-language/schema/raw/master/csl-citation.json"}</w:instrText>
      </w:r>
      <w:r>
        <w:rPr>
          <w:b/>
        </w:rPr>
        <w:fldChar w:fldCharType="separate"/>
      </w:r>
      <w:r w:rsidRPr="00A967A8">
        <w:rPr>
          <w:noProof/>
        </w:rPr>
        <w:t>[149,150,155,161]</w:t>
      </w:r>
      <w:r>
        <w:rPr>
          <w:b/>
        </w:rPr>
        <w:fldChar w:fldCharType="end"/>
      </w:r>
      <w:bookmarkStart w:id="49" w:name="_Toc520213128"/>
    </w:p>
    <w:p w14:paraId="3A9EA9A7" w14:textId="77777777" w:rsidR="00A967A8" w:rsidRPr="00DA2BC8" w:rsidRDefault="00A967A8" w:rsidP="00A967A8">
      <w:pPr>
        <w:widowControl w:val="0"/>
        <w:autoSpaceDE w:val="0"/>
        <w:autoSpaceDN w:val="0"/>
        <w:adjustRightInd w:val="0"/>
        <w:ind w:right="50" w:firstLine="709"/>
        <w:contextualSpacing/>
      </w:pPr>
      <w:r w:rsidRPr="00DA2BC8">
        <w:t>До</w:t>
      </w:r>
      <w:r w:rsidRPr="00FB256D">
        <w:t xml:space="preserve"> </w:t>
      </w:r>
      <w:r w:rsidRPr="00DA2BC8">
        <w:t>недавнего</w:t>
      </w:r>
      <w:r w:rsidRPr="00FB256D">
        <w:t xml:space="preserve"> </w:t>
      </w:r>
      <w:r w:rsidRPr="00DA2BC8">
        <w:t>времени</w:t>
      </w:r>
      <w:r w:rsidRPr="00FB256D">
        <w:t xml:space="preserve"> </w:t>
      </w:r>
      <w:r w:rsidRPr="00DA2BC8">
        <w:t>большинство</w:t>
      </w:r>
      <w:r w:rsidRPr="00FB256D">
        <w:t xml:space="preserve"> </w:t>
      </w:r>
      <w:r w:rsidRPr="00DA2BC8">
        <w:t>специалистов</w:t>
      </w:r>
      <w:r w:rsidRPr="00FB256D">
        <w:t xml:space="preserve"> </w:t>
      </w:r>
      <w:r w:rsidRPr="00DA2BC8">
        <w:t>относили</w:t>
      </w:r>
      <w:r w:rsidRPr="00FB256D">
        <w:t xml:space="preserve"> </w:t>
      </w:r>
      <w:r w:rsidRPr="00FB256D">
        <w:rPr>
          <w:i/>
          <w:iCs/>
          <w:lang w:val="en-US"/>
        </w:rPr>
        <w:t>Pneumocystis</w:t>
      </w:r>
      <w:r w:rsidRPr="00FB256D">
        <w:rPr>
          <w:i/>
          <w:iCs/>
        </w:rPr>
        <w:t xml:space="preserve"> </w:t>
      </w:r>
      <w:r w:rsidRPr="00FB256D">
        <w:rPr>
          <w:i/>
          <w:iCs/>
          <w:lang w:val="en-US"/>
        </w:rPr>
        <w:t>jirovecii</w:t>
      </w:r>
      <w:r w:rsidRPr="00FB256D">
        <w:t xml:space="preserve"> (</w:t>
      </w:r>
      <w:r w:rsidRPr="00DA2BC8">
        <w:t>ранее</w:t>
      </w:r>
      <w:r w:rsidRPr="00FB256D">
        <w:t xml:space="preserve"> </w:t>
      </w:r>
      <w:r w:rsidRPr="00FB256D">
        <w:rPr>
          <w:i/>
          <w:iCs/>
          <w:lang w:val="en-US"/>
        </w:rPr>
        <w:t>Pneumocystis</w:t>
      </w:r>
      <w:r w:rsidRPr="00FB256D">
        <w:rPr>
          <w:i/>
          <w:iCs/>
        </w:rPr>
        <w:t xml:space="preserve"> </w:t>
      </w:r>
      <w:r w:rsidRPr="00FB256D">
        <w:rPr>
          <w:i/>
          <w:iCs/>
          <w:lang w:val="en-US"/>
        </w:rPr>
        <w:t>carinii</w:t>
      </w:r>
      <w:r w:rsidRPr="00FB256D">
        <w:t xml:space="preserve">) </w:t>
      </w:r>
      <w:r w:rsidRPr="00DA2BC8">
        <w:t>к</w:t>
      </w:r>
      <w:r w:rsidRPr="00FB256D">
        <w:t xml:space="preserve"> </w:t>
      </w:r>
      <w:r w:rsidRPr="00DA2BC8">
        <w:t>простейшим</w:t>
      </w:r>
      <w:r w:rsidRPr="00FB256D">
        <w:t xml:space="preserve">. </w:t>
      </w:r>
      <w:r w:rsidRPr="00DA2BC8">
        <w:t xml:space="preserve">Это подтверждалось эффективным лечением пневмоцистной инфекции препаратами с антипротозойной активностью и безуспешной терапией противогрибковыми препаратами, а также отсутствием некоторых веществ в клеточной стенке пневмоцист, характерных для грибов, например, эргостерола. В настоящее время </w:t>
      </w:r>
      <w:r w:rsidRPr="00DA2BC8">
        <w:rPr>
          <w:i/>
          <w:iCs/>
        </w:rPr>
        <w:t>P. jirovecii</w:t>
      </w:r>
      <w:r w:rsidRPr="00DA2BC8">
        <w:t xml:space="preserve"> отнесены к дрожжеподобным грибам, сходным с патогенами растений, на основании идентичности строения ряда клеточных структур, гомологичности ферментных систем, фрагментов рибонуклеиновых кислот (16S pРНК, 5S pРНК).</w:t>
      </w:r>
    </w:p>
    <w:p w14:paraId="73DF4ECC" w14:textId="77777777" w:rsidR="00A967A8" w:rsidRPr="00DA2BC8" w:rsidRDefault="00A967A8" w:rsidP="00A967A8">
      <w:pPr>
        <w:widowControl w:val="0"/>
        <w:autoSpaceDE w:val="0"/>
        <w:autoSpaceDN w:val="0"/>
        <w:adjustRightInd w:val="0"/>
        <w:ind w:right="50" w:firstLine="709"/>
        <w:contextualSpacing/>
      </w:pPr>
      <w:r w:rsidRPr="00DA2BC8">
        <w:t xml:space="preserve">В общей популяции передача возбудителя происходит при непосредственном контакте с носителем </w:t>
      </w:r>
      <w:r w:rsidRPr="00DA2BC8">
        <w:rPr>
          <w:i/>
          <w:iCs/>
        </w:rPr>
        <w:t>P. jirovecii</w:t>
      </w:r>
      <w:r w:rsidRPr="00DA2BC8">
        <w:t xml:space="preserve">. У иммунокомпрометированных </w:t>
      </w:r>
      <w:r>
        <w:t>пациентов</w:t>
      </w:r>
      <w:r w:rsidRPr="00DA2BC8">
        <w:t xml:space="preserve"> </w:t>
      </w:r>
      <w:r w:rsidRPr="00DA2BC8">
        <w:rPr>
          <w:i/>
          <w:iCs/>
        </w:rPr>
        <w:t>P. jirovecii</w:t>
      </w:r>
      <w:r w:rsidRPr="00DA2BC8">
        <w:t xml:space="preserve"> вызывают тяжелую пневмонию, в большинстве случаев сопровождающейся острой дыхательной недостаточностью. Пневмоцистная пневмония возникает, прежде всего, у реципиентов аллогенных СГК, </w:t>
      </w:r>
      <w:r>
        <w:t xml:space="preserve">пациентов с </w:t>
      </w:r>
      <w:r w:rsidRPr="00DA2BC8">
        <w:t>острыми лимфобластными лейкозами</w:t>
      </w:r>
      <w:r>
        <w:t xml:space="preserve">, </w:t>
      </w:r>
      <w:r w:rsidRPr="00DA2BC8">
        <w:t xml:space="preserve">лимфопролиферативными заболеваниями, включая </w:t>
      </w:r>
      <w:r>
        <w:t>пациентов</w:t>
      </w:r>
      <w:r w:rsidRPr="00DA2BC8">
        <w:t xml:space="preserve"> хроническим лимфолейкозом, лимфомами, множественной миеломой. Сопутствующие заболевания, такие как хроническая обструктивная болезнь легких и бронхиальная астма также ассоциированы с развитием этой инфекции. Активная профилактика пневмоцистных пневмоний привели к существенному снижению частоты подобных осложнений. Развитие пневмоцистной пневмонии на фоне профилактического приема ко-тримоксазола бывает обусловлено чаще всего нарушениями в режиме приема препарата, а не резистентнотсью. Летальность от пневмоцистной пневмонии у </w:t>
      </w:r>
      <w:r>
        <w:t>гематологических пациентов</w:t>
      </w:r>
      <w:r w:rsidRPr="00DA2BC8">
        <w:t xml:space="preserve"> может достигать 30-50%, особенно у реципиентов аллогенных СГК. </w:t>
      </w:r>
    </w:p>
    <w:p w14:paraId="58DECDDC" w14:textId="77777777" w:rsidR="00A967A8" w:rsidRPr="00686506" w:rsidRDefault="00A967A8" w:rsidP="00A967A8">
      <w:pPr>
        <w:widowControl w:val="0"/>
        <w:autoSpaceDE w:val="0"/>
        <w:autoSpaceDN w:val="0"/>
        <w:adjustRightInd w:val="0"/>
        <w:ind w:right="50" w:firstLine="709"/>
        <w:contextualSpacing/>
        <w:rPr>
          <w:i/>
          <w:iCs/>
        </w:rPr>
      </w:pPr>
      <w:r w:rsidRPr="00686506">
        <w:rPr>
          <w:i/>
          <w:iCs/>
          <w:u w:val="single"/>
        </w:rPr>
        <w:t>Факторы риска</w:t>
      </w:r>
    </w:p>
    <w:p w14:paraId="768C6489" w14:textId="77777777" w:rsidR="00A967A8" w:rsidRPr="00DA2BC8" w:rsidRDefault="00A967A8" w:rsidP="00A967A8">
      <w:pPr>
        <w:widowControl w:val="0"/>
        <w:autoSpaceDE w:val="0"/>
        <w:autoSpaceDN w:val="0"/>
        <w:adjustRightInd w:val="0"/>
        <w:ind w:right="50" w:firstLine="709"/>
        <w:contextualSpacing/>
      </w:pPr>
      <w:r w:rsidRPr="00DA2BC8">
        <w:t xml:space="preserve">Пневмоцистная пневмония возникает прежде всего у </w:t>
      </w:r>
      <w:r>
        <w:t>пациентов</w:t>
      </w:r>
      <w:r w:rsidRPr="00DA2BC8">
        <w:t xml:space="preserve"> с дефицитом Т-клеточного звена иммунитета, лимфоцитопенией, низким уровнем CD4+ клеток. Основной предрасполагающий фактор в развитии пневмоцистной пневмонии – это прием глюкокортикоидов. К другим факторам относят использование цитостатических препаратов (флюдарабин</w:t>
      </w:r>
      <w:r>
        <w:t>а, винкристина, циклофосфамида</w:t>
      </w:r>
      <w:r w:rsidRPr="00DA2BC8">
        <w:t xml:space="preserve">), моноклональных антител (ритуксимаба, </w:t>
      </w:r>
      <w:r>
        <w:t>обину</w:t>
      </w:r>
      <w:r w:rsidRPr="00DA2BC8">
        <w:t xml:space="preserve">тузумаба), трансплантация СГК, РТПХ. </w:t>
      </w:r>
    </w:p>
    <w:p w14:paraId="02F9C007" w14:textId="77777777" w:rsidR="00A967A8" w:rsidRPr="00686506" w:rsidRDefault="00A967A8" w:rsidP="00A967A8">
      <w:pPr>
        <w:widowControl w:val="0"/>
        <w:autoSpaceDE w:val="0"/>
        <w:autoSpaceDN w:val="0"/>
        <w:adjustRightInd w:val="0"/>
        <w:ind w:right="50" w:firstLine="709"/>
        <w:contextualSpacing/>
        <w:rPr>
          <w:i/>
          <w:iCs/>
          <w:u w:val="single"/>
        </w:rPr>
      </w:pPr>
      <w:r w:rsidRPr="00686506">
        <w:rPr>
          <w:i/>
          <w:iCs/>
          <w:u w:val="single"/>
        </w:rPr>
        <w:t>Симптомы</w:t>
      </w:r>
    </w:p>
    <w:p w14:paraId="42488184" w14:textId="77777777" w:rsidR="00A967A8" w:rsidRPr="00DA2BC8" w:rsidRDefault="00A967A8" w:rsidP="00A967A8">
      <w:pPr>
        <w:widowControl w:val="0"/>
        <w:autoSpaceDE w:val="0"/>
        <w:autoSpaceDN w:val="0"/>
        <w:adjustRightInd w:val="0"/>
        <w:ind w:right="50" w:firstLine="709"/>
        <w:contextualSpacing/>
      </w:pPr>
      <w:r w:rsidRPr="00DA2BC8">
        <w:t xml:space="preserve">Начальные признаки инфекции включают лихорадку (90%), сухой кашель, одышку, затем быстро возникает острая дыхательная недостаточность. У части </w:t>
      </w:r>
      <w:r>
        <w:t>пациентов</w:t>
      </w:r>
      <w:r w:rsidRPr="00DA2BC8">
        <w:t xml:space="preserve">, получающих кортикостероиды, клиническая картина может быть стертой и ухудшение происходит только после снижения дозы или отмены этих препаратов. При осмотре </w:t>
      </w:r>
      <w:r>
        <w:t>пациента</w:t>
      </w:r>
      <w:r w:rsidRPr="00DA2BC8">
        <w:t xml:space="preserve"> с пневмоцистной пневмонией выявляется, прежде всего, несоответствие между физикальными данными и тяжестью </w:t>
      </w:r>
      <w:r>
        <w:t>состояния</w:t>
      </w:r>
      <w:r w:rsidRPr="00DA2BC8">
        <w:t xml:space="preserve">, когда крайне скудная аускультативная симптоматика сочетается с выраженной дыхательной недостаточностью (одышка, артериальная гипоксемия, респираторный алкалоз). </w:t>
      </w:r>
    </w:p>
    <w:p w14:paraId="729D8EE7" w14:textId="77777777" w:rsidR="00A967A8" w:rsidRPr="00DA2BC8" w:rsidRDefault="00A967A8" w:rsidP="00A967A8">
      <w:pPr>
        <w:widowControl w:val="0"/>
        <w:autoSpaceDE w:val="0"/>
        <w:autoSpaceDN w:val="0"/>
        <w:adjustRightInd w:val="0"/>
        <w:ind w:right="50" w:firstLine="709"/>
        <w:contextualSpacing/>
      </w:pPr>
      <w:r w:rsidRPr="00DA2BC8">
        <w:rPr>
          <w:bCs/>
        </w:rPr>
        <w:t>Диагностика включает о</w:t>
      </w:r>
      <w:r w:rsidRPr="00DA2BC8">
        <w:t xml:space="preserve">бнаружение цист, трофозоидов при флуоресцентной микроскопии (метод непрямой иммунофлюоресценции) или ДНК </w:t>
      </w:r>
      <w:r w:rsidRPr="00DA2BC8">
        <w:rPr>
          <w:i/>
          <w:iCs/>
        </w:rPr>
        <w:t>P. jirovecii</w:t>
      </w:r>
      <w:r w:rsidRPr="00DA2BC8">
        <w:t xml:space="preserve"> методом ПЦР в образцах жидкости БАЛ.</w:t>
      </w:r>
      <w:r w:rsidRPr="00DA2BC8">
        <w:rPr>
          <w:bCs/>
        </w:rPr>
        <w:t xml:space="preserve"> </w:t>
      </w:r>
      <w:r w:rsidRPr="00DA2BC8">
        <w:t xml:space="preserve">Образцы индуцированной мокроты или смывыв со слизистой оболочки бронхов и верхних дыхательных путей не используют для диагностики пневмоцистной инфекции у </w:t>
      </w:r>
      <w:r>
        <w:t>гематологических пациентов</w:t>
      </w:r>
      <w:r w:rsidRPr="00DA2BC8">
        <w:t xml:space="preserve"> ввиду их низкой чувствительности. </w:t>
      </w:r>
    </w:p>
    <w:p w14:paraId="21801E9E" w14:textId="77777777" w:rsidR="00A967A8" w:rsidRPr="00DA2BC8" w:rsidRDefault="00A967A8" w:rsidP="00A967A8">
      <w:pPr>
        <w:widowControl w:val="0"/>
        <w:autoSpaceDE w:val="0"/>
        <w:autoSpaceDN w:val="0"/>
        <w:adjustRightInd w:val="0"/>
        <w:ind w:right="50" w:firstLine="709"/>
        <w:contextualSpacing/>
      </w:pPr>
      <w:r w:rsidRPr="00DA2BC8">
        <w:t xml:space="preserve">Неоднократное обнаружение ДНК пневмоцист при повторных исследованиях жидкости БАЛ не является критерием неэффективного лечения при наличии положительной клинической динамики. </w:t>
      </w:r>
      <w:r w:rsidRPr="00DA2BC8">
        <w:rPr>
          <w:i/>
          <w:iCs/>
        </w:rPr>
        <w:t>P. jirovecii</w:t>
      </w:r>
      <w:r w:rsidRPr="00DA2BC8">
        <w:t xml:space="preserve"> могут определяться в жидкости БАЛ в течение нескольких дней и даже недель при успешном лечении пневмоцистной пневмонии. </w:t>
      </w:r>
    </w:p>
    <w:p w14:paraId="4B23600D" w14:textId="77777777" w:rsidR="00A967A8" w:rsidRPr="00DA2BC8" w:rsidRDefault="00A967A8" w:rsidP="00A967A8">
      <w:pPr>
        <w:widowControl w:val="0"/>
        <w:autoSpaceDE w:val="0"/>
        <w:autoSpaceDN w:val="0"/>
        <w:adjustRightInd w:val="0"/>
        <w:ind w:right="50" w:firstLine="709"/>
        <w:contextualSpacing/>
      </w:pPr>
      <w:r w:rsidRPr="00DA2BC8">
        <w:t>У реципиентов аллогенных СГК пневмоцистная пневмония примерно в половине случаев сочетается с цитамегаловирусной инфекцией.</w:t>
      </w:r>
    </w:p>
    <w:p w14:paraId="2728A598" w14:textId="77777777" w:rsidR="00A967A8" w:rsidRPr="00DA2BC8" w:rsidRDefault="00A967A8" w:rsidP="00A967A8">
      <w:pPr>
        <w:widowControl w:val="0"/>
        <w:autoSpaceDE w:val="0"/>
        <w:autoSpaceDN w:val="0"/>
        <w:adjustRightInd w:val="0"/>
        <w:ind w:right="50" w:firstLine="709"/>
        <w:contextualSpacing/>
      </w:pPr>
      <w:r w:rsidRPr="00DA2BC8">
        <w:t xml:space="preserve">Повышение уровня лактатдегидрогеназы в сыворотке крови при пневмоцистной пневмонии более характерно для ВИЧ-инфицированных больных, а не для больных опухолями системы крови. </w:t>
      </w:r>
    </w:p>
    <w:p w14:paraId="5D658E03" w14:textId="77777777" w:rsidR="00A967A8" w:rsidRPr="00686506" w:rsidRDefault="00A967A8" w:rsidP="00A967A8">
      <w:pPr>
        <w:widowControl w:val="0"/>
        <w:autoSpaceDE w:val="0"/>
        <w:autoSpaceDN w:val="0"/>
        <w:adjustRightInd w:val="0"/>
        <w:ind w:right="50" w:firstLine="709"/>
        <w:contextualSpacing/>
        <w:rPr>
          <w:bCs/>
          <w:i/>
          <w:iCs/>
          <w:u w:val="single"/>
        </w:rPr>
      </w:pPr>
      <w:r w:rsidRPr="00686506">
        <w:rPr>
          <w:bCs/>
          <w:i/>
          <w:iCs/>
          <w:u w:val="single"/>
        </w:rPr>
        <w:t>Радиологические особенности пневмоцистной пневмонии</w:t>
      </w:r>
    </w:p>
    <w:p w14:paraId="1C05E21B" w14:textId="77777777" w:rsidR="00A967A8" w:rsidRPr="00DA2BC8" w:rsidRDefault="00A967A8" w:rsidP="00A967A8">
      <w:pPr>
        <w:widowControl w:val="0"/>
        <w:autoSpaceDE w:val="0"/>
        <w:autoSpaceDN w:val="0"/>
        <w:adjustRightInd w:val="0"/>
        <w:ind w:right="50" w:firstLine="709"/>
        <w:contextualSpacing/>
      </w:pPr>
      <w:r w:rsidRPr="00DA2BC8">
        <w:t>Заподозрить пневмоцистную пневмонию можно только по данным КТ</w:t>
      </w:r>
      <w:r>
        <w:t>/СКТ</w:t>
      </w:r>
      <w:r w:rsidRPr="00DA2BC8">
        <w:t>.</w:t>
      </w:r>
      <w:r w:rsidRPr="00DA2BC8">
        <w:rPr>
          <w:b/>
        </w:rPr>
        <w:t xml:space="preserve"> </w:t>
      </w:r>
    </w:p>
    <w:p w14:paraId="28BFF78F" w14:textId="77777777" w:rsidR="00A967A8" w:rsidRPr="00DA2BC8" w:rsidRDefault="00A967A8" w:rsidP="00A967A8">
      <w:pPr>
        <w:widowControl w:val="0"/>
        <w:autoSpaceDE w:val="0"/>
        <w:autoSpaceDN w:val="0"/>
        <w:adjustRightInd w:val="0"/>
        <w:ind w:right="50" w:firstLine="709"/>
        <w:contextualSpacing/>
      </w:pPr>
      <w:r w:rsidRPr="00DA2BC8">
        <w:t>При радиологическом исследовании легких обнаруживают облаковидную, туманную, по типу снежной бури или матового стекла, билатеральную инфильтрацию, чаще в прикорневых отделах легких. В то же время могут быть выявлены участки консолидации, буллы (10%), особенно в верхних долях легких, которые могут приводить к образованию пневмоторакса. Признаки плеврита бывают редко, за исключением реципиентов аллогенных СГК. В некоторых случаях определяют одиночные или множественные очаги в легких, описаны случаи симптома «обратного ореола» и каверн по данным КТ</w:t>
      </w:r>
      <w:r>
        <w:t>/СКТ</w:t>
      </w:r>
      <w:r w:rsidRPr="00DA2BC8">
        <w:t xml:space="preserve"> легких. </w:t>
      </w:r>
    </w:p>
    <w:p w14:paraId="6788E2F1" w14:textId="77777777" w:rsidR="00A967A8" w:rsidRPr="00DA2BC8" w:rsidRDefault="00A967A8" w:rsidP="00A967A8">
      <w:pPr>
        <w:widowControl w:val="0"/>
        <w:autoSpaceDE w:val="0"/>
        <w:autoSpaceDN w:val="0"/>
        <w:adjustRightInd w:val="0"/>
        <w:ind w:right="50" w:firstLine="709"/>
        <w:contextualSpacing/>
        <w:rPr>
          <w:b/>
          <w:bCs/>
        </w:rPr>
      </w:pPr>
      <w:r w:rsidRPr="00DA2BC8">
        <w:rPr>
          <w:bCs/>
        </w:rPr>
        <w:t>Препаратом выбора является т</w:t>
      </w:r>
      <w:r w:rsidRPr="00DA2BC8">
        <w:t>риметоприм/сульфаметоксазол, который назначают из расчета по триметоприму 15-20 мг/кг в сутки, внутривенно, дозу разделяют на 3 приема.</w:t>
      </w:r>
    </w:p>
    <w:p w14:paraId="09772806" w14:textId="77777777" w:rsidR="00A967A8" w:rsidRPr="00DA2BC8" w:rsidRDefault="00A967A8" w:rsidP="00A967A8">
      <w:pPr>
        <w:widowControl w:val="0"/>
        <w:autoSpaceDE w:val="0"/>
        <w:autoSpaceDN w:val="0"/>
        <w:adjustRightInd w:val="0"/>
        <w:ind w:right="50" w:firstLine="709"/>
        <w:contextualSpacing/>
      </w:pPr>
      <w:r w:rsidRPr="00DA2BC8">
        <w:rPr>
          <w:bCs/>
        </w:rPr>
        <w:t xml:space="preserve">У </w:t>
      </w:r>
      <w:r w:rsidRPr="00DA2BC8">
        <w:t xml:space="preserve">нетяжелых </w:t>
      </w:r>
      <w:r>
        <w:t>пациентов</w:t>
      </w:r>
      <w:r w:rsidRPr="00DA2BC8">
        <w:t xml:space="preserve"> пневмоцистной пневмонией без дыхательной недостаточности, при условии отсутствия мукозита и нормальной функции желудочно-кишечного тракта (нет диареи), может быть использован триметоприм/сульфаметоксазол перорально в тех же дозах, как и для внутривенного назначения. Концентрация триметоприма/сульфаметоксазола в сыворотке крови является эквивалентной при использовании его внутривенно или перорально (в случае нормальной функции желудочно-кишечного тракта). Внутривенная форма триметоприма/сульфаметоксазола может быть заменена на пероральную без изменения дозирования препарата, как продолжение лечения, при клиническом улучшении состояния и нормальной абсорбции в желудочно-кишечном тракте. </w:t>
      </w:r>
    </w:p>
    <w:p w14:paraId="3B4713F2" w14:textId="77777777" w:rsidR="00A967A8" w:rsidRDefault="00A967A8" w:rsidP="00A967A8">
      <w:pPr>
        <w:widowControl w:val="0"/>
        <w:autoSpaceDE w:val="0"/>
        <w:autoSpaceDN w:val="0"/>
        <w:adjustRightInd w:val="0"/>
        <w:ind w:right="50" w:firstLine="709"/>
        <w:contextualSpacing/>
      </w:pPr>
      <w:r w:rsidRPr="00DA2BC8">
        <w:t xml:space="preserve">Не рекомендовано назначать метотрексат в период терапии триметопримом/сульфаметоксазолом из-за развития побочных эффектов. </w:t>
      </w:r>
      <w:r w:rsidRPr="00DA2BC8">
        <w:rPr>
          <w:bCs/>
        </w:rPr>
        <w:t xml:space="preserve">Препаратами 2-го ряда являются </w:t>
      </w:r>
      <w:r w:rsidRPr="00DA2BC8">
        <w:t xml:space="preserve">пентамидин (4 мг/кг 1 раз в сутки, внутривенно, максимальная суточная доза 300 мг), сочетание примахина (30 мг внутрь 1 раз в сутки) и клиндамицина (600 мг внутривенно 3 раза в сутки). При неэффективности к триметоприму/сульфаметоксазолу добавляют каспофунгин (в 1-й день 70 мг, затем и по 50 мг внутривенно 1 раз в сутки). </w:t>
      </w:r>
      <w:r w:rsidRPr="00DA2BC8">
        <w:rPr>
          <w:iCs/>
        </w:rPr>
        <w:t>Не проводят одним эхинокандином</w:t>
      </w:r>
      <w:r w:rsidRPr="00DA2BC8">
        <w:t xml:space="preserve"> </w:t>
      </w:r>
      <w:r w:rsidRPr="00DA2BC8">
        <w:rPr>
          <w:iCs/>
        </w:rPr>
        <w:t>лечение пневмоцистной пневмонии (нет исследований).</w:t>
      </w:r>
      <w:r w:rsidRPr="00DA2BC8">
        <w:t xml:space="preserve"> Не рекомендовано назначение кортикостероидов всем больным с пневмоцистной пневмонией и дыхательной недостаточностью. Решение о добавлении кортикостероидов </w:t>
      </w:r>
      <w:r>
        <w:t>пациентам</w:t>
      </w:r>
      <w:r w:rsidRPr="00DA2BC8">
        <w:t xml:space="preserve"> с пневмоцистной пневмонией и дыхательной недостаточностью следует рассматривать индивидуально в каждом случае. </w:t>
      </w:r>
      <w:r w:rsidRPr="00DA2BC8">
        <w:rPr>
          <w:bCs/>
        </w:rPr>
        <w:t>Длительность лечения</w:t>
      </w:r>
      <w:r w:rsidRPr="00DA2BC8">
        <w:t xml:space="preserve"> пневмоцистной пневмонии составляет от 2 до 3-х недель.</w:t>
      </w:r>
    </w:p>
    <w:bookmarkEnd w:id="49"/>
    <w:p w14:paraId="30D4F35F" w14:textId="6AD20F48" w:rsidR="00A967A8" w:rsidRDefault="00A967A8" w:rsidP="00A967A8">
      <w:pPr>
        <w:widowControl w:val="0"/>
        <w:autoSpaceDE w:val="0"/>
        <w:autoSpaceDN w:val="0"/>
        <w:adjustRightInd w:val="0"/>
        <w:ind w:right="50" w:firstLine="709"/>
        <w:contextualSpacing/>
      </w:pPr>
    </w:p>
    <w:p w14:paraId="42D0FC80" w14:textId="33554F63" w:rsidR="006A531E" w:rsidRPr="006A531E" w:rsidRDefault="00BF3A98" w:rsidP="006A531E">
      <w:pPr>
        <w:pStyle w:val="2"/>
      </w:pPr>
      <w:bookmarkStart w:id="50" w:name="_Toc65104110"/>
      <w:r>
        <w:t>7.12</w:t>
      </w:r>
      <w:r w:rsidR="006A531E">
        <w:t xml:space="preserve"> </w:t>
      </w:r>
      <w:r w:rsidR="006A531E" w:rsidRPr="003722EE">
        <w:rPr>
          <w:bCs/>
        </w:rPr>
        <w:t>Профилактика инфекционных осложнений у пациентов с гематологическими заболеваниями</w:t>
      </w:r>
      <w:bookmarkEnd w:id="50"/>
    </w:p>
    <w:p w14:paraId="7AE0A158" w14:textId="77777777" w:rsidR="006A531E" w:rsidRPr="003722EE" w:rsidRDefault="006A531E" w:rsidP="006A531E">
      <w:pPr>
        <w:ind w:right="49" w:firstLine="708"/>
        <w:contextualSpacing/>
      </w:pPr>
      <w:r w:rsidRPr="003722EE">
        <w:t xml:space="preserve">Высокая частота инфекционных осложнений у гематологических пациентов, особенно в период нейтропении, диктует необходимость назначения препаратов для профилактики инфекций. Профилактика показана для инфекций, вызванных грибами и вирусами в группе высокого риска. Профилактика бактериальных инфекций становится менее актуальной по причине увеличения полирезистентных бактерий и проводится у определенной категории больных. </w:t>
      </w:r>
    </w:p>
    <w:p w14:paraId="169AA1EF" w14:textId="77777777" w:rsidR="006A531E" w:rsidRDefault="006A531E" w:rsidP="006A531E">
      <w:pPr>
        <w:widowControl w:val="0"/>
        <w:autoSpaceDE w:val="0"/>
        <w:autoSpaceDN w:val="0"/>
        <w:adjustRightInd w:val="0"/>
        <w:ind w:right="49"/>
        <w:rPr>
          <w:i/>
          <w:iCs/>
          <w:u w:val="single"/>
        </w:rPr>
      </w:pPr>
    </w:p>
    <w:p w14:paraId="45431621" w14:textId="77777777" w:rsidR="006A531E" w:rsidRPr="003722EE" w:rsidRDefault="006A531E" w:rsidP="006A531E">
      <w:pPr>
        <w:widowControl w:val="0"/>
        <w:autoSpaceDE w:val="0"/>
        <w:autoSpaceDN w:val="0"/>
        <w:adjustRightInd w:val="0"/>
        <w:ind w:right="49"/>
        <w:rPr>
          <w:i/>
          <w:iCs/>
          <w:u w:val="single"/>
        </w:rPr>
      </w:pPr>
      <w:r w:rsidRPr="003722EE">
        <w:rPr>
          <w:i/>
          <w:iCs/>
          <w:u w:val="single"/>
        </w:rPr>
        <w:t>Профилактика инфекций, вызванных бактериями</w:t>
      </w:r>
    </w:p>
    <w:p w14:paraId="39B4D4B1" w14:textId="77777777" w:rsidR="006A531E" w:rsidRPr="003722EE" w:rsidRDefault="006A531E" w:rsidP="006A531E">
      <w:pPr>
        <w:widowControl w:val="0"/>
        <w:autoSpaceDE w:val="0"/>
        <w:autoSpaceDN w:val="0"/>
        <w:adjustRightInd w:val="0"/>
        <w:ind w:right="49" w:firstLine="709"/>
        <w:contextualSpacing/>
        <w:rPr>
          <w:bCs/>
        </w:rPr>
      </w:pPr>
      <w:r w:rsidRPr="003722EE">
        <w:rPr>
          <w:bCs/>
        </w:rPr>
        <w:t xml:space="preserve">Профилактику бактериальных инфекций проводят реципиентам аллогенной трансплантации гемопоэтических стволовых клеток (ТГСК), не имеющим колонизации слизистых оболочек энтеробактериями с продукцией </w:t>
      </w:r>
      <w:r w:rsidRPr="003722EE">
        <w:rPr>
          <w:bCs/>
        </w:rPr>
        <w:sym w:font="Symbol" w:char="F062"/>
      </w:r>
      <w:r w:rsidRPr="003722EE">
        <w:rPr>
          <w:bCs/>
        </w:rPr>
        <w:t xml:space="preserve">-лактамаз расширенного спектра или карбапенемаз, фторхинолон-устойчивыми штаммами </w:t>
      </w:r>
      <w:r w:rsidRPr="003722EE">
        <w:rPr>
          <w:bCs/>
          <w:i/>
        </w:rPr>
        <w:t>Pseudomonas aeruginosa, Stenotrophomonas maltophilia, Acinetobacter baumannii</w:t>
      </w:r>
      <w:r w:rsidRPr="003722EE">
        <w:rPr>
          <w:bCs/>
        </w:rPr>
        <w:t xml:space="preserve"> и другими бактериями, устойчивыми к фторхинолонам. Перед назначением фторхинолона для профилактики необходимо исследовать мазок со слизистой прямой кишки, исследование повторяют каждые 7 дней. Профилактику отменяют при назначении системных антибиотиков по поводу лихорадки в период нейтропении. Для профилактики используют фторхинолоны - </w:t>
      </w:r>
      <w:r w:rsidRPr="003722EE">
        <w:t xml:space="preserve">ципрофлоксацин по 0,5 г внутрь 2 раза в сутки </w:t>
      </w:r>
      <w:r w:rsidRPr="003722EE">
        <w:rPr>
          <w:iCs/>
        </w:rPr>
        <w:t>или</w:t>
      </w:r>
      <w:r w:rsidRPr="003722EE">
        <w:rPr>
          <w:bCs/>
        </w:rPr>
        <w:t xml:space="preserve"> </w:t>
      </w:r>
      <w:r w:rsidRPr="003722EE">
        <w:t>левофлоксацин по 0,5 г внутрь 1 раз в сутки. Назначают фторхинолон перед ТГСК с 1-го дня кондиционирования, отменяют - при лейкоцитах более 1,0х10</w:t>
      </w:r>
      <w:r w:rsidRPr="003722EE">
        <w:rPr>
          <w:vertAlign w:val="superscript"/>
        </w:rPr>
        <w:t>9</w:t>
      </w:r>
      <w:r w:rsidRPr="003722EE">
        <w:t>/л или при назначении системных антибиотиков по поводу возникшей инфекции.</w:t>
      </w:r>
    </w:p>
    <w:p w14:paraId="695068EF" w14:textId="6AD34534" w:rsidR="006A531E" w:rsidRDefault="006A531E" w:rsidP="006A531E">
      <w:pPr>
        <w:widowControl w:val="0"/>
        <w:autoSpaceDE w:val="0"/>
        <w:autoSpaceDN w:val="0"/>
        <w:adjustRightInd w:val="0"/>
        <w:ind w:right="49" w:firstLine="709"/>
        <w:contextualSpacing/>
      </w:pPr>
      <w:r w:rsidRPr="003722EE">
        <w:t>Профилактика бактериальных инфекций у других категорий пациентов исключена по причине неэффективности из-за высокой частоты детекции полирезистентных бактерий. Так, профилактическое применение фторхинолонов приводит к достоверному увеличению частоты инфекций, вызванных полирезистентными штаммами, возрастает необходимость в назначении карбапенемов. Отсутствие в протоколе лечения острых лейкозов антимикробной профилактики означает только более жесткий клинический и бактериологический мониторинг состояния пациента и своевременное назначение противомикробных препаратов внутривенно в соответствии с проявлениями инфекции. Не назначают антибиотики с целью деколонизации полирезистентных бактерий со слизистой желудочно-кишечного тракта.</w:t>
      </w:r>
    </w:p>
    <w:p w14:paraId="4CD68279" w14:textId="77777777" w:rsidR="006A531E" w:rsidRPr="003722EE" w:rsidRDefault="006A531E" w:rsidP="006A531E">
      <w:pPr>
        <w:widowControl w:val="0"/>
        <w:autoSpaceDE w:val="0"/>
        <w:autoSpaceDN w:val="0"/>
        <w:adjustRightInd w:val="0"/>
        <w:ind w:right="49" w:firstLine="709"/>
        <w:contextualSpacing/>
        <w:rPr>
          <w:bCs/>
        </w:rPr>
      </w:pPr>
    </w:p>
    <w:p w14:paraId="5C583A24" w14:textId="7EECD407" w:rsidR="006A531E" w:rsidRPr="00DD5F61" w:rsidRDefault="006A531E" w:rsidP="006A531E">
      <w:pPr>
        <w:widowControl w:val="0"/>
        <w:autoSpaceDE w:val="0"/>
        <w:autoSpaceDN w:val="0"/>
        <w:adjustRightInd w:val="0"/>
        <w:ind w:right="49"/>
        <w:rPr>
          <w:i/>
          <w:iCs/>
          <w:u w:val="single"/>
        </w:rPr>
      </w:pPr>
      <w:r w:rsidRPr="006F23E6">
        <w:rPr>
          <w:i/>
          <w:iCs/>
          <w:u w:val="single"/>
        </w:rPr>
        <w:t>Профилактика пневмоцистной пневмонии</w:t>
      </w:r>
      <w:r>
        <w:rPr>
          <w:i/>
          <w:iCs/>
          <w:u w:val="single"/>
        </w:rPr>
        <w:t xml:space="preserve"> </w:t>
      </w:r>
      <w:r>
        <w:rPr>
          <w:i/>
          <w:iCs/>
          <w:u w:val="single"/>
        </w:rPr>
        <w:fldChar w:fldCharType="begin" w:fldLock="1"/>
      </w:r>
      <w:r w:rsidR="00DA11F8">
        <w:rPr>
          <w:i/>
          <w:iCs/>
          <w:u w:val="single"/>
        </w:rPr>
        <w:instrText>ADDIN CSL_CITATION {"citationItems":[{"id":"ITEM-1","itemData":{"DOI":"10.1093/jac/dkw157","ISSN":"14602091","PMID":"27550992","abstract":"The 5th European Conference on Infections in Leukaemia (ECIL-5) meeting aimed to establish evidence-based recommendations for the prophylaxis of Pneumocystis jirovecii pneumonia (PCP) in non-HIV-infected patients with an underlying haematological condition, including allogeneic HSCT recipients. Recommendations were based on the grading system of the IDSA. Trimethoprim/sulfamethoxazole given 2-3 times weekly is the drug of choice for the primary prophylaxis of PCP in adults (A-II) and children (A-I) and should be given during the entire period at risk. Recent data indicate that children may benefit equally from a once-weekly regimen (B-II). All other drugs, including pentamidine, atovaquone and dapsone, are considered second-line alternatives when trimethoprim/ sulfamethoxazole is poorly tolerated or contraindicated. The main indications of PCP prophylaxis are ALL, allogeneic HSCT, treatment with alemtuzumab, fludarabine/cyclophosphamide/rituximab combinations, &gt;4 weeks of treatmentwith corticosteroids andwell-defined primary immune deficiencies in children. Additional indications are proposed depending on the treatment regimen.","author":[{"dropping-particle":"","family":"Maertens","given":"Johan","non-dropping-particle":"","parse-names":false,"suffix":""},{"dropping-particle":"","family":"Cesaro","given":"Simone","non-dropping-particle":"","parse-names":false,"suffix":""},{"dropping-particle":"","family":"Maschmeyer","given":"Georg","non-dropping-particle":"","parse-names":false,"suffix":""},{"dropping-particle":"","family":"Einsele","given":"Hermann","non-dropping-particle":"","parse-names":false,"suffix":""},{"dropping-particle":"","family":"Donnelly","given":"J. Peter","non-dropping-particle":"","parse-names":false,"suffix":""},{"dropping-particle":"","family":"Alanio","given":"Alexandre","non-dropping-particle":"","parse-names":false,"suffix":""},{"dropping-particle":"","family":"Hauser","given":"Philippe","non-dropping-particle":"","parse-names":false,"suffix":""},{"dropping-particle":"","family":"Lagrou","given":"Katrien","non-dropping-particle":"","parse-names":false,"suffix":""},{"dropping-particle":"","family":"Melchers","given":"Willem J.G.","non-dropping-particle":"","parse-names":false,"suffix":""},{"dropping-particle":"","family":"Helweg-Larsen","given":"Jannik","non-dropping-particle":"","parse-names":false,"suffix":""},{"dropping-particle":"","family":"Matos","given":"Olga","non-dropping-particle":"","parse-names":false,"suffix":""},{"dropping-particle":"","family":"Bretagne","given":"Stéphane","non-dropping-particle":"","parse-names":false,"suffix":""},{"dropping-particle":"","family":"Cordonnier","given":"Catherine","non-dropping-particle":"","parse-names":false,"suffix":""},{"dropping-particle":"","family":"Agrawal","given":"Samir","non-dropping-particle":"","parse-names":false,"suffix":""},{"dropping-particle":"","family":"Kibbler","given":"Christopher","non-dropping-particle":"","parse-names":false,"suffix":""},{"dropping-particle":"","family":"Pagliuca","given":"Antonio","non-dropping-particle":"","parse-names":false,"suffix":""},{"dropping-particle":"","family":"Ward","given":"Katherine","non-dropping-particle":"","parse-names":false,"suffix":""},{"dropping-particle":"","family":"Akova","given":"Murat","non-dropping-particle":"","parse-names":false,"suffix":""},{"dropping-particle":"","family":"Herbrecht","given":"Raoul","non-dropping-particle":"","parse-names":false,"suffix":""},{"dropping-particle":"","family":"Mallet","given":"Vincent","non-dropping-particle":"","parse-names":false,"suffix":""},{"dropping-particle":"","family":"Ribaud","given":"Patricia","non-dropping-particle":"","parse-names":false,"suffix":""},{"dropping-particle":"","family":"Aljurf","given":"Mahmoud","non-dropping-particle":"","parse-names":false,"suffix":""},{"dropping-particle":"","family":"Averbuch","given":"Dina","non-dropping-particle":"","parse-names":false,"suffix":""},{"dropping-particle":"","family":"Engelhard","given":"Dan","non-dropping-particle":"","parse-names":false,"suffix":""},{"dropping-particle":"","family":"Berg","given":"Thomas","non-dropping-particle":"","parse-names":false,"suffix":""},{"dropping-particle":"","family":"Cornely","given":"Oliver","non-dropping-particle":"","parse-names":false,"suffix":""},{"dropping-particle":"","family":"Penack","given":"Olaf","non-dropping-particle":"","parse-names":false,"suffix":""},{"dropping-particle":"","family":"Boemmel","given":"Florian","non-dropping-particle":"van","parse-names":false,"suffix":""},{"dropping-particle":"","family":"Lilienfeld-Toal","given":"Marie","non-dropping-particle":"von","parse-names":false,"suffix":""},{"dropping-particle":"","family":"Blennow","given":"Ola","non-dropping-particle":"","parse-names":false,"suffix":""},{"dropping-particle":"","family":"Ljungman","given":"Per","non-dropping-particle":"","parse-names":false,"suffix":""},{"dropping-particle":"","family":"Bruggemann","given":"Roger","non-dropping-particle":"","parse-names":false,"suffix":""},{"dropping-particle":"","family":"Donnelly","given":"Peter","non-dropping-particle":"","parse-names":false,"suffix":""},{"dropping-particle":"","family":"Kullberg","given":"Bart Jan","non-dropping-particle":"","parse-names":false,"suffix":""},{"dropping-particle":"","family":"Melchers","given":"Willem","non-dropping-particle":"","parse-names":false,"suffix":""},{"dropping-particle":"","family":"Calandra","given":"Thierry","non-dropping-particle":"","parse-names":false,"suffix":""},{"dropping-particle":"","family":"Hirsch","given":"Hans","non-dropping-particle":"","parse-names":false,"suffix":""},{"dropping-particle":"","family":"Marchetti","given":"Oscar","non-dropping-particle":"","parse-names":false,"suffix":""},{"dropping-particle":"","family":"Orasch","given":"Christina","non-dropping-particle":"","parse-names":false,"suffix":""},{"dropping-particle":"","family":"Tissot","given":"Frederic","non-dropping-particle":"","parse-names":false,"suffix":""},{"dropping-particle":"","family":"Castagnola","given":"Elio","non-dropping-particle":"","parse-names":false,"suffix":""},{"dropping-particle":"","family":"Girmenia","given":"Corrado","non-dropping-particle":"","parse-names":false,"suffix":""},{"dropping-particle":"","family":"Mikulska","given":"Malgorzata","non-dropping-particle":"","parse-names":false,"suffix":""},{"dropping-particle":"","family":"Pagano","given":"Livio","non-dropping-particle":"","parse-names":false,"suffix":""},{"dropping-particle":"","family":"Viscoli","given":"Claudio","non-dropping-particle":"","parse-names":false,"suffix":""},{"dropping-particle":"","family":"La Camara","given":"Rafael","non-dropping-particle":"De","parse-names":false,"suffix":""},{"dropping-particle":"","family":"Duarte","given":"Rafael","non-dropping-particle":"","parse-names":false,"suffix":""},{"dropping-particle":"","family":"Munoz","given":"Patricia","non-dropping-particle":"","parse-names":false,"suffix":""},{"dropping-particle":"","family":"Drgona","given":"Lubos","non-dropping-particle":"","parse-names":false,"suffix":""},{"dropping-particle":"","family":"Hargreaves","given":"Ruth","non-dropping-particle":"","parse-names":false,"suffix":""},{"dropping-particle":"","family":"Hubacek","given":"Petr","non-dropping-particle":"","parse-names":false,"suffix":""},{"dropping-particle":"","family":"Kouba","given":"Michal","non-dropping-particle":"","parse-names":false,"suffix":""},{"dropping-particle":"","family":"Racil","given":"Zdenek","non-dropping-particle":"","parse-names":false,"suffix":""},{"dropping-particle":"","family":"Klyasova","given":"Galina","non-dropping-particle":"","parse-names":false,"suffix":""},{"dropping-particle":"","family":"Pettrikos","given":"George","non-dropping-particle":"","parse-names":false,"suffix":""},{"dropping-particle":"","family":"Roilides","given":"Emmanuel","non-dropping-particle":"","parse-names":false,"suffix":""},{"dropping-particle":"","family":"Skiada","given":"Anna","non-dropping-particle":"","parse-names":false,"suffix":""},{"dropping-particle":"","family":"Rizzi-Puechal","given":"Valérie","non-dropping-particle":"","parse-names":false,"suffix":""},{"dropping-particle":"","family":"Sinko","given":"Janos","non-dropping-particle":"","parse-names":false,"suffix":""},{"dropping-particle":"","family":"Slavin","given":"Monica","non-dropping-particle":"","parse-names":false,"suffix":""},{"dropping-particle":"","family":"Styczynski","given":"Jan","non-dropping-particle":"","parse-names":false,"suffix":""},{"dropping-particle":"","family":"Tweddle","given":"Lorraine","non-dropping-particle":"","parse-names":false,"suffix":""},{"dropping-particle":"","family":"Wood","given":"Craig","non-dropping-particle":"","parse-names":false,"suffix":""}],"container-title":"Journal of Antimicrobial Chemotherapy","id":"ITEM-1","issue":"9","issued":{"date-parts":[["2016","9","1"]]},"page":"1-8","publisher":"Oxford University Press","title":"ECIL guidelines for preventing Pneumocystis jirovecii pneumonia in patients with haematological malignancies and stem cell transplant recipients","type":"bill","volume":"71"},"uris":["http://www.mendeley.com/documents/?uuid=a0eb48bc-4417-4d24-8796-9587f2cfd3b7"]}],"mendeley":{"formattedCitation":"[162]","plainTextFormattedCitation":"[162]","previouslyFormattedCitation":"[162]"},"properties":{"noteIndex":0},"schema":"https://github.com/citation-style-language/schema/raw/master/csl-citation.json"}</w:instrText>
      </w:r>
      <w:r>
        <w:rPr>
          <w:i/>
          <w:iCs/>
          <w:u w:val="single"/>
        </w:rPr>
        <w:fldChar w:fldCharType="separate"/>
      </w:r>
      <w:r w:rsidR="00FC494E" w:rsidRPr="00FC494E">
        <w:rPr>
          <w:iCs/>
          <w:noProof/>
        </w:rPr>
        <w:t>[162]</w:t>
      </w:r>
      <w:r>
        <w:rPr>
          <w:i/>
          <w:iCs/>
          <w:u w:val="single"/>
        </w:rPr>
        <w:fldChar w:fldCharType="end"/>
      </w:r>
    </w:p>
    <w:p w14:paraId="3FBB5D48" w14:textId="77777777" w:rsidR="006A531E" w:rsidRPr="003722EE" w:rsidRDefault="006A531E" w:rsidP="006A531E">
      <w:pPr>
        <w:widowControl w:val="0"/>
        <w:autoSpaceDE w:val="0"/>
        <w:autoSpaceDN w:val="0"/>
        <w:adjustRightInd w:val="0"/>
        <w:snapToGrid w:val="0"/>
        <w:ind w:right="51" w:firstLine="708"/>
        <w:contextualSpacing/>
      </w:pPr>
      <w:r w:rsidRPr="003722EE">
        <w:t>Профилактика пневмоцистной пневмонии является обязательной для:</w:t>
      </w:r>
    </w:p>
    <w:p w14:paraId="11F663B5" w14:textId="77777777" w:rsidR="006A531E" w:rsidRPr="006F23E6" w:rsidRDefault="006A531E" w:rsidP="0091350E">
      <w:pPr>
        <w:pStyle w:val="aff"/>
        <w:widowControl w:val="0"/>
        <w:numPr>
          <w:ilvl w:val="0"/>
          <w:numId w:val="86"/>
        </w:numPr>
        <w:autoSpaceDE w:val="0"/>
        <w:autoSpaceDN w:val="0"/>
        <w:adjustRightInd w:val="0"/>
        <w:snapToGrid w:val="0"/>
        <w:ind w:right="51"/>
        <w:contextualSpacing/>
        <w:rPr>
          <w:szCs w:val="24"/>
        </w:rPr>
      </w:pPr>
      <w:r w:rsidRPr="006F23E6">
        <w:rPr>
          <w:szCs w:val="24"/>
        </w:rPr>
        <w:t>пациентов с острыми лимфобластными лейкозами (ОЛЛ);</w:t>
      </w:r>
    </w:p>
    <w:p w14:paraId="345BD459" w14:textId="77777777" w:rsidR="006A531E" w:rsidRPr="006F23E6" w:rsidRDefault="006A531E" w:rsidP="0091350E">
      <w:pPr>
        <w:pStyle w:val="aff"/>
        <w:widowControl w:val="0"/>
        <w:numPr>
          <w:ilvl w:val="0"/>
          <w:numId w:val="86"/>
        </w:numPr>
        <w:autoSpaceDE w:val="0"/>
        <w:autoSpaceDN w:val="0"/>
        <w:adjustRightInd w:val="0"/>
        <w:ind w:right="49"/>
        <w:contextualSpacing/>
        <w:rPr>
          <w:szCs w:val="24"/>
        </w:rPr>
      </w:pPr>
      <w:r w:rsidRPr="006F23E6">
        <w:rPr>
          <w:szCs w:val="24"/>
        </w:rPr>
        <w:t>реципиентов аллогенной ТГСК;</w:t>
      </w:r>
    </w:p>
    <w:p w14:paraId="41EE19A6" w14:textId="77777777" w:rsidR="006A531E" w:rsidRPr="006F23E6" w:rsidRDefault="006A531E" w:rsidP="0091350E">
      <w:pPr>
        <w:pStyle w:val="aff"/>
        <w:widowControl w:val="0"/>
        <w:numPr>
          <w:ilvl w:val="0"/>
          <w:numId w:val="86"/>
        </w:numPr>
        <w:autoSpaceDE w:val="0"/>
        <w:autoSpaceDN w:val="0"/>
        <w:adjustRightInd w:val="0"/>
        <w:ind w:right="49"/>
        <w:contextualSpacing/>
        <w:rPr>
          <w:szCs w:val="24"/>
        </w:rPr>
      </w:pPr>
      <w:r w:rsidRPr="006F23E6">
        <w:rPr>
          <w:szCs w:val="24"/>
        </w:rPr>
        <w:t>при терапиии алемтузумабом;</w:t>
      </w:r>
    </w:p>
    <w:p w14:paraId="665ABB70" w14:textId="77777777" w:rsidR="006A531E" w:rsidRPr="006F23E6" w:rsidRDefault="006A531E" w:rsidP="0091350E">
      <w:pPr>
        <w:pStyle w:val="aff"/>
        <w:widowControl w:val="0"/>
        <w:numPr>
          <w:ilvl w:val="0"/>
          <w:numId w:val="86"/>
        </w:numPr>
        <w:autoSpaceDE w:val="0"/>
        <w:autoSpaceDN w:val="0"/>
        <w:adjustRightInd w:val="0"/>
        <w:ind w:right="49"/>
        <w:contextualSpacing/>
        <w:rPr>
          <w:szCs w:val="24"/>
        </w:rPr>
      </w:pPr>
      <w:r w:rsidRPr="006F23E6">
        <w:rPr>
          <w:szCs w:val="24"/>
        </w:rPr>
        <w:t>при использовании программ с включением флударабина, циклофосфамида, ритуксимаба;</w:t>
      </w:r>
    </w:p>
    <w:p w14:paraId="41D59220" w14:textId="77777777" w:rsidR="006A531E" w:rsidRPr="006F23E6" w:rsidRDefault="006A531E" w:rsidP="0091350E">
      <w:pPr>
        <w:pStyle w:val="aff"/>
        <w:widowControl w:val="0"/>
        <w:numPr>
          <w:ilvl w:val="0"/>
          <w:numId w:val="86"/>
        </w:numPr>
        <w:autoSpaceDE w:val="0"/>
        <w:autoSpaceDN w:val="0"/>
        <w:adjustRightInd w:val="0"/>
        <w:ind w:right="51"/>
        <w:contextualSpacing/>
        <w:rPr>
          <w:szCs w:val="24"/>
        </w:rPr>
      </w:pPr>
      <w:r w:rsidRPr="006F23E6">
        <w:rPr>
          <w:szCs w:val="24"/>
        </w:rPr>
        <w:t>при лечении глюкокортикостероидными препаратами.</w:t>
      </w:r>
    </w:p>
    <w:p w14:paraId="3953B8AE" w14:textId="14EB708D" w:rsidR="006A531E" w:rsidRPr="003722EE" w:rsidRDefault="006A531E" w:rsidP="006A531E">
      <w:pPr>
        <w:widowControl w:val="0"/>
        <w:autoSpaceDE w:val="0"/>
        <w:autoSpaceDN w:val="0"/>
        <w:adjustRightInd w:val="0"/>
        <w:ind w:right="51" w:firstLine="708"/>
        <w:contextualSpacing/>
      </w:pPr>
      <w:r w:rsidRPr="003722EE">
        <w:t>Препарат для профилактики назначают больным ОЛЛ с 14-го дня полихимиотерапии (ПХТ) и проводят весь период лечения, включая этап поддерживания; реципиентам аллогенных ТГСК – от дня  констатации приживления костного мозга в течение 6 мес</w:t>
      </w:r>
      <w:r w:rsidR="008826C9">
        <w:t>.</w:t>
      </w:r>
      <w:r w:rsidRPr="003722EE">
        <w:t xml:space="preserve"> и более, включая весь период в период иммуносупрессивной терапии до повышения уровня CD4+ более 200 кл/мм</w:t>
      </w:r>
      <w:r w:rsidRPr="003722EE">
        <w:rPr>
          <w:vertAlign w:val="superscript"/>
        </w:rPr>
        <w:t>3</w:t>
      </w:r>
      <w:r w:rsidRPr="003722EE">
        <w:t xml:space="preserve">. Длительность профилактики при использовании препаратов алемтузумаб, флударабин, циклофосфамид, ритуксимаб, глюкокортикостероидов составляет от 6 мес и более. </w:t>
      </w:r>
    </w:p>
    <w:p w14:paraId="5BE0C9FE" w14:textId="77777777" w:rsidR="006A531E" w:rsidRPr="003722EE" w:rsidRDefault="006A531E" w:rsidP="006A531E">
      <w:pPr>
        <w:widowControl w:val="0"/>
        <w:autoSpaceDE w:val="0"/>
        <w:autoSpaceDN w:val="0"/>
        <w:adjustRightInd w:val="0"/>
        <w:ind w:right="51" w:firstLine="708"/>
        <w:contextualSpacing/>
      </w:pPr>
      <w:r w:rsidRPr="003722EE">
        <w:t xml:space="preserve">Профилактика пневмоцистной пневмонии также рекомендована: </w:t>
      </w:r>
    </w:p>
    <w:p w14:paraId="59B20CDC" w14:textId="77777777" w:rsidR="006A531E" w:rsidRPr="003722EE" w:rsidRDefault="006A531E" w:rsidP="0091350E">
      <w:pPr>
        <w:pStyle w:val="aff"/>
        <w:widowControl w:val="0"/>
        <w:numPr>
          <w:ilvl w:val="0"/>
          <w:numId w:val="86"/>
        </w:numPr>
        <w:autoSpaceDE w:val="0"/>
        <w:autoSpaceDN w:val="0"/>
        <w:adjustRightInd w:val="0"/>
        <w:snapToGrid w:val="0"/>
        <w:ind w:right="51"/>
        <w:contextualSpacing/>
        <w:rPr>
          <w:szCs w:val="24"/>
        </w:rPr>
      </w:pPr>
      <w:r w:rsidRPr="003722EE">
        <w:rPr>
          <w:szCs w:val="24"/>
        </w:rPr>
        <w:t xml:space="preserve">пациентам с лимфопролиферативными заболеваниями при лечении курсами ПХТ, включающими глюкокортикостероидные препараты (в том числе, </w:t>
      </w:r>
      <w:r w:rsidRPr="006F23E6">
        <w:rPr>
          <w:szCs w:val="24"/>
        </w:rPr>
        <w:t>R</w:t>
      </w:r>
      <w:r w:rsidRPr="003722EE">
        <w:rPr>
          <w:szCs w:val="24"/>
        </w:rPr>
        <w:t>-</w:t>
      </w:r>
      <w:r w:rsidRPr="006F23E6">
        <w:rPr>
          <w:szCs w:val="24"/>
        </w:rPr>
        <w:t>CHOP</w:t>
      </w:r>
      <w:r w:rsidRPr="003722EE">
        <w:rPr>
          <w:szCs w:val="24"/>
        </w:rPr>
        <w:t xml:space="preserve"> или </w:t>
      </w:r>
      <w:r w:rsidRPr="006F23E6">
        <w:rPr>
          <w:szCs w:val="24"/>
        </w:rPr>
        <w:t>BEACOPP</w:t>
      </w:r>
      <w:r w:rsidRPr="003722EE">
        <w:rPr>
          <w:szCs w:val="24"/>
        </w:rPr>
        <w:t>-14, ВЕАСОРР</w:t>
      </w:r>
      <w:r w:rsidRPr="006F23E6">
        <w:rPr>
          <w:szCs w:val="24"/>
        </w:rPr>
        <w:t>esc</w:t>
      </w:r>
      <w:r w:rsidRPr="003722EE">
        <w:rPr>
          <w:szCs w:val="24"/>
        </w:rPr>
        <w:t xml:space="preserve"> и др.);</w:t>
      </w:r>
    </w:p>
    <w:p w14:paraId="1EA429DE" w14:textId="77777777" w:rsidR="006A531E" w:rsidRPr="003722EE" w:rsidRDefault="006A531E" w:rsidP="0091350E">
      <w:pPr>
        <w:pStyle w:val="aff"/>
        <w:widowControl w:val="0"/>
        <w:numPr>
          <w:ilvl w:val="0"/>
          <w:numId w:val="86"/>
        </w:numPr>
        <w:autoSpaceDE w:val="0"/>
        <w:autoSpaceDN w:val="0"/>
        <w:adjustRightInd w:val="0"/>
        <w:snapToGrid w:val="0"/>
        <w:ind w:right="51"/>
        <w:contextualSpacing/>
        <w:rPr>
          <w:szCs w:val="24"/>
        </w:rPr>
      </w:pPr>
      <w:r w:rsidRPr="003722EE">
        <w:rPr>
          <w:szCs w:val="24"/>
        </w:rPr>
        <w:t>при лечении лимфопролиферативных заболеваний нуклеозидными препаратами (флударабин, кладрибин);</w:t>
      </w:r>
    </w:p>
    <w:p w14:paraId="1AE6EA3D" w14:textId="77777777" w:rsidR="006A531E" w:rsidRPr="003722EE" w:rsidRDefault="006A531E" w:rsidP="0091350E">
      <w:pPr>
        <w:pStyle w:val="aff"/>
        <w:widowControl w:val="0"/>
        <w:numPr>
          <w:ilvl w:val="0"/>
          <w:numId w:val="86"/>
        </w:numPr>
        <w:autoSpaceDE w:val="0"/>
        <w:autoSpaceDN w:val="0"/>
        <w:adjustRightInd w:val="0"/>
        <w:snapToGrid w:val="0"/>
        <w:ind w:right="51"/>
        <w:contextualSpacing/>
        <w:rPr>
          <w:szCs w:val="24"/>
        </w:rPr>
      </w:pPr>
      <w:r w:rsidRPr="003722EE">
        <w:rPr>
          <w:szCs w:val="24"/>
        </w:rPr>
        <w:t xml:space="preserve"> при применении имуунодепрессантов (например, микофенолат мофетил);</w:t>
      </w:r>
    </w:p>
    <w:p w14:paraId="27B4EFAB" w14:textId="77777777" w:rsidR="006A531E" w:rsidRPr="003722EE" w:rsidRDefault="006A531E" w:rsidP="0091350E">
      <w:pPr>
        <w:pStyle w:val="aff"/>
        <w:widowControl w:val="0"/>
        <w:numPr>
          <w:ilvl w:val="0"/>
          <w:numId w:val="86"/>
        </w:numPr>
        <w:autoSpaceDE w:val="0"/>
        <w:autoSpaceDN w:val="0"/>
        <w:adjustRightInd w:val="0"/>
        <w:snapToGrid w:val="0"/>
        <w:ind w:right="51"/>
        <w:contextualSpacing/>
        <w:rPr>
          <w:szCs w:val="24"/>
        </w:rPr>
      </w:pPr>
      <w:r w:rsidRPr="003722EE">
        <w:rPr>
          <w:szCs w:val="24"/>
        </w:rPr>
        <w:t>при проведении лучевой терапии опухоли центральной нервной системы (ЦНС), или метастазах в ЦНС, с использованием высоких доз кортикостероидов.</w:t>
      </w:r>
    </w:p>
    <w:p w14:paraId="635B2DDD" w14:textId="77777777" w:rsidR="006A531E" w:rsidRPr="003722EE" w:rsidRDefault="006A531E" w:rsidP="006A531E">
      <w:pPr>
        <w:widowControl w:val="0"/>
        <w:autoSpaceDE w:val="0"/>
        <w:autoSpaceDN w:val="0"/>
        <w:adjustRightInd w:val="0"/>
        <w:ind w:right="49" w:firstLine="708"/>
        <w:contextualSpacing/>
        <w:rPr>
          <w:i/>
          <w:iCs/>
        </w:rPr>
      </w:pPr>
      <w:r w:rsidRPr="003722EE">
        <w:t>Препаратом выбора для профилактики пневмоцистной пневмонии является триметоприм/сульфаметоксазол, назначают по 480 мг ежедневно, альтернативный - пентамидин, применение в дозе 300 мг в виде аэрозоля через респираторный ингалятор или внутривенно каждые 3-4 недели.</w:t>
      </w:r>
    </w:p>
    <w:p w14:paraId="3BFB60B6" w14:textId="77777777" w:rsidR="006A531E" w:rsidRPr="003722EE" w:rsidRDefault="006A531E" w:rsidP="006A531E">
      <w:pPr>
        <w:widowControl w:val="0"/>
        <w:autoSpaceDE w:val="0"/>
        <w:autoSpaceDN w:val="0"/>
        <w:adjustRightInd w:val="0"/>
        <w:ind w:right="49" w:firstLine="708"/>
        <w:contextualSpacing/>
      </w:pPr>
      <w:r w:rsidRPr="003722EE">
        <w:t xml:space="preserve">Использование триметоприма/сульфаметоксазола ежедневно одновременно предупреждает инфекции, вызываемые </w:t>
      </w:r>
      <w:r w:rsidRPr="003722EE">
        <w:rPr>
          <w:i/>
          <w:iCs/>
        </w:rPr>
        <w:t>Toxoplasma gondii, Listeria monocytogenes, Nocardia asteroides.</w:t>
      </w:r>
    </w:p>
    <w:p w14:paraId="35B9EF66" w14:textId="77777777" w:rsidR="006A531E" w:rsidRPr="003722EE" w:rsidRDefault="006A531E" w:rsidP="006A531E">
      <w:pPr>
        <w:widowControl w:val="0"/>
        <w:autoSpaceDE w:val="0"/>
        <w:autoSpaceDN w:val="0"/>
        <w:adjustRightInd w:val="0"/>
        <w:ind w:right="49" w:firstLine="708"/>
        <w:contextualSpacing/>
      </w:pPr>
      <w:r w:rsidRPr="003722EE">
        <w:t xml:space="preserve">Пациенты, инфицированные </w:t>
      </w:r>
      <w:r w:rsidRPr="003722EE">
        <w:rPr>
          <w:i/>
          <w:iCs/>
        </w:rPr>
        <w:t>Pneumocystis jirovecii,</w:t>
      </w:r>
      <w:r w:rsidRPr="003722EE">
        <w:t xml:space="preserve"> не должны находиться в одной палате с другими иммунокомпрометированными пациентами.</w:t>
      </w:r>
    </w:p>
    <w:p w14:paraId="3921E842" w14:textId="77777777" w:rsidR="006A531E" w:rsidRDefault="006A531E" w:rsidP="006A531E">
      <w:pPr>
        <w:widowControl w:val="0"/>
        <w:autoSpaceDE w:val="0"/>
        <w:autoSpaceDN w:val="0"/>
        <w:adjustRightInd w:val="0"/>
        <w:ind w:right="49"/>
        <w:rPr>
          <w:i/>
          <w:iCs/>
          <w:u w:val="single"/>
        </w:rPr>
      </w:pPr>
    </w:p>
    <w:p w14:paraId="64D7FB66" w14:textId="2CB0860A" w:rsidR="006A531E" w:rsidRPr="001A25D9" w:rsidRDefault="006A531E" w:rsidP="006A531E">
      <w:pPr>
        <w:widowControl w:val="0"/>
        <w:autoSpaceDE w:val="0"/>
        <w:autoSpaceDN w:val="0"/>
        <w:adjustRightInd w:val="0"/>
        <w:ind w:right="49"/>
        <w:rPr>
          <w:i/>
          <w:iCs/>
          <w:u w:val="single"/>
        </w:rPr>
      </w:pPr>
      <w:r w:rsidRPr="00643B16">
        <w:rPr>
          <w:i/>
          <w:iCs/>
          <w:u w:val="single"/>
        </w:rPr>
        <w:t>Профилактика инфекций, вызванных грибами</w:t>
      </w:r>
      <w:r>
        <w:rPr>
          <w:i/>
          <w:iCs/>
          <w:u w:val="single"/>
        </w:rPr>
        <w:t xml:space="preserve"> </w:t>
      </w:r>
      <w:r>
        <w:rPr>
          <w:i/>
          <w:iCs/>
          <w:u w:val="single"/>
        </w:rPr>
        <w:fldChar w:fldCharType="begin" w:fldLock="1"/>
      </w:r>
      <w:r w:rsidR="00DA11F8">
        <w:rPr>
          <w:i/>
          <w:iCs/>
          <w:u w:val="single"/>
        </w:rPr>
        <w:instrText>ADDIN CSL_CITATION {"citationItems":[{"id":"ITEM-1","itemData":{"DOI":"10.1038/bmt.2010.175","ISSN":"14765365","abstract":"In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Transplantation","id":"ITEM-1","issue":"5","issued":{"date-parts":[["2011"]]},"page":"709-718","publisher":"Nature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mendeley":{"formattedCitation":"[150]","plainTextFormattedCitation":"[150]","previouslyFormattedCitation":"[150]"},"properties":{"noteIndex":0},"schema":"https://github.com/citation-style-language/schema/raw/master/csl-citation.json"}</w:instrText>
      </w:r>
      <w:r>
        <w:rPr>
          <w:i/>
          <w:iCs/>
          <w:u w:val="single"/>
        </w:rPr>
        <w:fldChar w:fldCharType="separate"/>
      </w:r>
      <w:r w:rsidR="00FC494E" w:rsidRPr="00FC494E">
        <w:rPr>
          <w:iCs/>
          <w:noProof/>
        </w:rPr>
        <w:t>[150]</w:t>
      </w:r>
      <w:r>
        <w:rPr>
          <w:i/>
          <w:iCs/>
          <w:u w:val="single"/>
        </w:rPr>
        <w:fldChar w:fldCharType="end"/>
      </w:r>
    </w:p>
    <w:p w14:paraId="4CD46693" w14:textId="77777777" w:rsidR="006A531E" w:rsidRPr="003722EE" w:rsidRDefault="006A531E" w:rsidP="006A531E">
      <w:pPr>
        <w:widowControl w:val="0"/>
        <w:autoSpaceDE w:val="0"/>
        <w:autoSpaceDN w:val="0"/>
        <w:adjustRightInd w:val="0"/>
        <w:ind w:right="49" w:firstLine="709"/>
        <w:contextualSpacing/>
      </w:pPr>
      <w:r w:rsidRPr="003722EE">
        <w:t xml:space="preserve">Цель профилактического применения противогрибковых препаратов — предупреждение развития инвазивных микозов в группах высокого риска их возникновения. </w:t>
      </w:r>
    </w:p>
    <w:p w14:paraId="0B6FEC2C" w14:textId="77777777" w:rsidR="006A531E" w:rsidRPr="003722EE" w:rsidRDefault="006A531E" w:rsidP="006A531E">
      <w:pPr>
        <w:widowControl w:val="0"/>
        <w:autoSpaceDE w:val="0"/>
        <w:autoSpaceDN w:val="0"/>
        <w:adjustRightInd w:val="0"/>
        <w:ind w:right="49" w:firstLine="709"/>
        <w:contextualSpacing/>
      </w:pPr>
      <w:r w:rsidRPr="003722EE">
        <w:t xml:space="preserve">Различают первичную и вторичную </w:t>
      </w:r>
      <w:r w:rsidRPr="003722EE">
        <w:rPr>
          <w:bCs/>
        </w:rPr>
        <w:t xml:space="preserve">противогрибковую </w:t>
      </w:r>
      <w:r w:rsidRPr="003722EE">
        <w:t>профилактику.</w:t>
      </w:r>
    </w:p>
    <w:p w14:paraId="5FC4147F" w14:textId="77777777" w:rsidR="006A531E" w:rsidRDefault="006A531E" w:rsidP="006A531E">
      <w:pPr>
        <w:widowControl w:val="0"/>
        <w:autoSpaceDE w:val="0"/>
        <w:autoSpaceDN w:val="0"/>
        <w:adjustRightInd w:val="0"/>
        <w:ind w:right="51" w:firstLine="708"/>
        <w:contextualSpacing/>
        <w:rPr>
          <w:b/>
          <w:bCs/>
          <w:u w:val="single"/>
        </w:rPr>
      </w:pPr>
    </w:p>
    <w:p w14:paraId="0053350A" w14:textId="77777777" w:rsidR="006A531E" w:rsidRPr="00643B16" w:rsidRDefault="006A531E" w:rsidP="006A531E">
      <w:pPr>
        <w:widowControl w:val="0"/>
        <w:autoSpaceDE w:val="0"/>
        <w:autoSpaceDN w:val="0"/>
        <w:adjustRightInd w:val="0"/>
        <w:ind w:right="51" w:firstLine="708"/>
        <w:contextualSpacing/>
        <w:rPr>
          <w:b/>
          <w:bCs/>
        </w:rPr>
      </w:pPr>
      <w:r w:rsidRPr="00643B16">
        <w:rPr>
          <w:b/>
          <w:bCs/>
        </w:rPr>
        <w:t xml:space="preserve">Первичная противогрибковая профилактика </w:t>
      </w:r>
    </w:p>
    <w:p w14:paraId="13267F80" w14:textId="77777777" w:rsidR="006A531E" w:rsidRPr="003722EE" w:rsidRDefault="006A531E" w:rsidP="006A531E">
      <w:pPr>
        <w:widowControl w:val="0"/>
        <w:autoSpaceDE w:val="0"/>
        <w:autoSpaceDN w:val="0"/>
        <w:adjustRightInd w:val="0"/>
        <w:ind w:right="51" w:firstLine="709"/>
        <w:contextualSpacing/>
        <w:rPr>
          <w:bCs/>
        </w:rPr>
      </w:pPr>
      <w:r w:rsidRPr="003722EE">
        <w:rPr>
          <w:bCs/>
        </w:rPr>
        <w:t>Первичная противогрибковая профилактика показана:</w:t>
      </w:r>
    </w:p>
    <w:p w14:paraId="46F61430" w14:textId="77777777" w:rsidR="006A531E" w:rsidRPr="003722EE" w:rsidRDefault="006A531E" w:rsidP="0091350E">
      <w:pPr>
        <w:pStyle w:val="aff"/>
        <w:widowControl w:val="0"/>
        <w:numPr>
          <w:ilvl w:val="0"/>
          <w:numId w:val="86"/>
        </w:numPr>
        <w:autoSpaceDE w:val="0"/>
        <w:autoSpaceDN w:val="0"/>
        <w:adjustRightInd w:val="0"/>
        <w:snapToGrid w:val="0"/>
        <w:ind w:right="51"/>
        <w:contextualSpacing/>
        <w:rPr>
          <w:szCs w:val="24"/>
        </w:rPr>
      </w:pPr>
      <w:r w:rsidRPr="003722EE">
        <w:rPr>
          <w:szCs w:val="24"/>
        </w:rPr>
        <w:t>реципиентам аллогенной ТГСК;</w:t>
      </w:r>
    </w:p>
    <w:p w14:paraId="6971509B" w14:textId="77777777" w:rsidR="006A531E" w:rsidRPr="00643B16" w:rsidRDefault="006A531E" w:rsidP="0091350E">
      <w:pPr>
        <w:pStyle w:val="aff"/>
        <w:widowControl w:val="0"/>
        <w:numPr>
          <w:ilvl w:val="0"/>
          <w:numId w:val="86"/>
        </w:numPr>
        <w:autoSpaceDE w:val="0"/>
        <w:autoSpaceDN w:val="0"/>
        <w:adjustRightInd w:val="0"/>
        <w:snapToGrid w:val="0"/>
        <w:ind w:right="51"/>
        <w:contextualSpacing/>
        <w:rPr>
          <w:szCs w:val="24"/>
        </w:rPr>
      </w:pPr>
      <w:r w:rsidRPr="003722EE">
        <w:rPr>
          <w:szCs w:val="24"/>
        </w:rPr>
        <w:t>пациентам острым миелобластным лейкозом на этапах индукции и консолидации проводят при ожидаемой длительной нейтропении;</w:t>
      </w:r>
    </w:p>
    <w:p w14:paraId="3B2E2E30" w14:textId="77777777" w:rsidR="006A531E" w:rsidRPr="003722EE" w:rsidRDefault="006A531E" w:rsidP="0091350E">
      <w:pPr>
        <w:pStyle w:val="aff"/>
        <w:widowControl w:val="0"/>
        <w:numPr>
          <w:ilvl w:val="0"/>
          <w:numId w:val="86"/>
        </w:numPr>
        <w:autoSpaceDE w:val="0"/>
        <w:autoSpaceDN w:val="0"/>
        <w:adjustRightInd w:val="0"/>
        <w:snapToGrid w:val="0"/>
        <w:ind w:right="51"/>
        <w:contextualSpacing/>
        <w:rPr>
          <w:szCs w:val="24"/>
        </w:rPr>
      </w:pPr>
      <w:r w:rsidRPr="003722EE">
        <w:rPr>
          <w:szCs w:val="24"/>
        </w:rPr>
        <w:t>пациентам с апластической анемией (во время введения антитимоцитарного глобулина (</w:t>
      </w:r>
      <w:r w:rsidRPr="00643B16">
        <w:rPr>
          <w:szCs w:val="24"/>
        </w:rPr>
        <w:t>A</w:t>
      </w:r>
      <w:r w:rsidRPr="003722EE">
        <w:rPr>
          <w:szCs w:val="24"/>
        </w:rPr>
        <w:t>ТГ).</w:t>
      </w:r>
    </w:p>
    <w:p w14:paraId="75AEC625" w14:textId="77777777" w:rsidR="006A531E" w:rsidRPr="003722EE" w:rsidRDefault="006A531E" w:rsidP="006A531E">
      <w:pPr>
        <w:widowControl w:val="0"/>
        <w:autoSpaceDE w:val="0"/>
        <w:autoSpaceDN w:val="0"/>
        <w:adjustRightInd w:val="0"/>
        <w:ind w:right="51" w:firstLine="709"/>
        <w:contextualSpacing/>
        <w:rPr>
          <w:b/>
          <w:bCs/>
          <w:i/>
          <w:iCs/>
        </w:rPr>
      </w:pPr>
      <w:r w:rsidRPr="003722EE">
        <w:rPr>
          <w:bCs/>
          <w:iCs/>
        </w:rPr>
        <w:t xml:space="preserve">Реципиентам аллогенной ТГСК в период гранулоцитопении и пребывания в палате с фильтрами высокой степени очистки воздуха препаратом выбора для профилактики является </w:t>
      </w:r>
      <w:r w:rsidRPr="003722EE">
        <w:t>флуконазол, (400 мг в сутки, внутривенно или внутрь), альтернативные препараты - микафунгин 50</w:t>
      </w:r>
      <w:r>
        <w:t xml:space="preserve"> </w:t>
      </w:r>
      <w:r w:rsidRPr="003722EE">
        <w:t>мг внутривенно</w:t>
      </w:r>
      <w:r w:rsidRPr="003722EE">
        <w:rPr>
          <w:b/>
          <w:bCs/>
          <w:i/>
          <w:iCs/>
        </w:rPr>
        <w:t>,</w:t>
      </w:r>
      <w:r w:rsidRPr="003722EE">
        <w:rPr>
          <w:bCs/>
          <w:iCs/>
        </w:rPr>
        <w:t xml:space="preserve"> в</w:t>
      </w:r>
      <w:r w:rsidRPr="003722EE">
        <w:t>ориконазол (по 200</w:t>
      </w:r>
      <w:r>
        <w:t xml:space="preserve"> </w:t>
      </w:r>
      <w:r w:rsidRPr="003722EE">
        <w:t>мг 2 раза в сутки внутрь или внутривенно).</w:t>
      </w:r>
    </w:p>
    <w:p w14:paraId="4CF46A0F" w14:textId="77777777" w:rsidR="006A531E" w:rsidRPr="003722EE" w:rsidRDefault="006A531E" w:rsidP="006A531E">
      <w:pPr>
        <w:widowControl w:val="0"/>
        <w:autoSpaceDE w:val="0"/>
        <w:autoSpaceDN w:val="0"/>
        <w:adjustRightInd w:val="0"/>
        <w:ind w:right="51" w:firstLine="709"/>
        <w:contextualSpacing/>
        <w:rPr>
          <w:bCs/>
          <w:iCs/>
        </w:rPr>
      </w:pPr>
      <w:r w:rsidRPr="003722EE">
        <w:rPr>
          <w:bCs/>
          <w:iCs/>
        </w:rPr>
        <w:t xml:space="preserve">Реципиентам аллогенной ТГСК в период гранулоцитопении, если они пребывают в палате без фильтров высокой степени очистки воздуха, </w:t>
      </w:r>
      <w:r w:rsidRPr="003722EE">
        <w:t xml:space="preserve">при проведении 2й и последующих трансплантаций </w:t>
      </w:r>
      <w:r w:rsidRPr="003722EE">
        <w:rPr>
          <w:bCs/>
          <w:iCs/>
        </w:rPr>
        <w:t>назначают антимикотики, активные против плесневых грибов:</w:t>
      </w:r>
    </w:p>
    <w:p w14:paraId="57959B96" w14:textId="77777777" w:rsidR="006A531E" w:rsidRPr="00643B16" w:rsidRDefault="006A531E" w:rsidP="0091350E">
      <w:pPr>
        <w:pStyle w:val="aff"/>
        <w:widowControl w:val="0"/>
        <w:numPr>
          <w:ilvl w:val="0"/>
          <w:numId w:val="86"/>
        </w:numPr>
        <w:autoSpaceDE w:val="0"/>
        <w:autoSpaceDN w:val="0"/>
        <w:adjustRightInd w:val="0"/>
        <w:snapToGrid w:val="0"/>
        <w:ind w:right="51"/>
        <w:contextualSpacing/>
        <w:rPr>
          <w:szCs w:val="24"/>
        </w:rPr>
      </w:pPr>
      <w:r w:rsidRPr="00643B16">
        <w:rPr>
          <w:szCs w:val="24"/>
        </w:rPr>
        <w:t>микафунгин (по 50</w:t>
      </w:r>
      <w:r>
        <w:rPr>
          <w:szCs w:val="24"/>
        </w:rPr>
        <w:t xml:space="preserve"> </w:t>
      </w:r>
      <w:r w:rsidRPr="00643B16">
        <w:rPr>
          <w:szCs w:val="24"/>
        </w:rPr>
        <w:t>мг внутривенно)</w:t>
      </w:r>
      <w:r w:rsidRPr="003722EE">
        <w:rPr>
          <w:szCs w:val="24"/>
        </w:rPr>
        <w:t>;</w:t>
      </w:r>
    </w:p>
    <w:p w14:paraId="217EB70A" w14:textId="77777777" w:rsidR="006A531E" w:rsidRPr="003722EE" w:rsidRDefault="006A531E" w:rsidP="0091350E">
      <w:pPr>
        <w:pStyle w:val="aff"/>
        <w:widowControl w:val="0"/>
        <w:numPr>
          <w:ilvl w:val="0"/>
          <w:numId w:val="86"/>
        </w:numPr>
        <w:autoSpaceDE w:val="0"/>
        <w:autoSpaceDN w:val="0"/>
        <w:adjustRightInd w:val="0"/>
        <w:snapToGrid w:val="0"/>
        <w:ind w:right="51"/>
        <w:contextualSpacing/>
        <w:rPr>
          <w:szCs w:val="24"/>
        </w:rPr>
      </w:pPr>
      <w:r w:rsidRPr="003722EE">
        <w:rPr>
          <w:szCs w:val="24"/>
        </w:rPr>
        <w:t>вориконазол (по 200</w:t>
      </w:r>
      <w:r w:rsidRPr="00643B16">
        <w:rPr>
          <w:szCs w:val="24"/>
        </w:rPr>
        <w:t> </w:t>
      </w:r>
      <w:r w:rsidRPr="003722EE">
        <w:rPr>
          <w:szCs w:val="24"/>
        </w:rPr>
        <w:t>мг 2</w:t>
      </w:r>
      <w:r w:rsidRPr="00643B16">
        <w:rPr>
          <w:szCs w:val="24"/>
        </w:rPr>
        <w:t> </w:t>
      </w:r>
      <w:r w:rsidRPr="003722EE">
        <w:rPr>
          <w:szCs w:val="24"/>
        </w:rPr>
        <w:t>раза в сутки внутрь или внутривенно);</w:t>
      </w:r>
    </w:p>
    <w:p w14:paraId="1540C38A" w14:textId="77777777" w:rsidR="006A531E" w:rsidRPr="003722EE" w:rsidRDefault="006A531E" w:rsidP="0091350E">
      <w:pPr>
        <w:pStyle w:val="aff"/>
        <w:widowControl w:val="0"/>
        <w:numPr>
          <w:ilvl w:val="0"/>
          <w:numId w:val="86"/>
        </w:numPr>
        <w:autoSpaceDE w:val="0"/>
        <w:autoSpaceDN w:val="0"/>
        <w:adjustRightInd w:val="0"/>
        <w:snapToGrid w:val="0"/>
        <w:ind w:right="51"/>
        <w:contextualSpacing/>
        <w:rPr>
          <w:szCs w:val="24"/>
        </w:rPr>
      </w:pPr>
      <w:r w:rsidRPr="003722EE">
        <w:rPr>
          <w:szCs w:val="24"/>
        </w:rPr>
        <w:t>позаконазол  в суспензии;</w:t>
      </w:r>
      <w:r>
        <w:rPr>
          <w:szCs w:val="24"/>
        </w:rPr>
        <w:t xml:space="preserve"> </w:t>
      </w:r>
      <w:r w:rsidRPr="003722EE">
        <w:rPr>
          <w:szCs w:val="24"/>
        </w:rPr>
        <w:t>по 200</w:t>
      </w:r>
      <w:r w:rsidRPr="00643B16">
        <w:rPr>
          <w:szCs w:val="24"/>
        </w:rPr>
        <w:t> </w:t>
      </w:r>
      <w:r w:rsidRPr="003722EE">
        <w:rPr>
          <w:szCs w:val="24"/>
        </w:rPr>
        <w:t>мг 3</w:t>
      </w:r>
      <w:r w:rsidRPr="00643B16">
        <w:rPr>
          <w:szCs w:val="24"/>
        </w:rPr>
        <w:t> </w:t>
      </w:r>
      <w:r w:rsidRPr="003722EE">
        <w:rPr>
          <w:szCs w:val="24"/>
        </w:rPr>
        <w:t>раза в сутки внутрь);</w:t>
      </w:r>
    </w:p>
    <w:p w14:paraId="709A54DB" w14:textId="77777777" w:rsidR="006A531E" w:rsidRPr="003722EE" w:rsidRDefault="006A531E" w:rsidP="0091350E">
      <w:pPr>
        <w:pStyle w:val="aff"/>
        <w:widowControl w:val="0"/>
        <w:numPr>
          <w:ilvl w:val="0"/>
          <w:numId w:val="86"/>
        </w:numPr>
        <w:autoSpaceDE w:val="0"/>
        <w:autoSpaceDN w:val="0"/>
        <w:adjustRightInd w:val="0"/>
        <w:snapToGrid w:val="0"/>
        <w:ind w:right="51"/>
        <w:contextualSpacing/>
        <w:rPr>
          <w:szCs w:val="24"/>
        </w:rPr>
      </w:pPr>
      <w:r w:rsidRPr="003722EE">
        <w:rPr>
          <w:szCs w:val="24"/>
        </w:rPr>
        <w:t>позаконазол в таблетках (в 1 день по 300 мг 2 раза, далее по 300 мг 1 раз в сутки).</w:t>
      </w:r>
    </w:p>
    <w:p w14:paraId="6BB63996" w14:textId="77777777" w:rsidR="006A531E" w:rsidRPr="003722EE" w:rsidRDefault="006A531E" w:rsidP="006A531E">
      <w:pPr>
        <w:pStyle w:val="aff"/>
        <w:widowControl w:val="0"/>
        <w:autoSpaceDE w:val="0"/>
        <w:autoSpaceDN w:val="0"/>
        <w:adjustRightInd w:val="0"/>
        <w:ind w:right="49"/>
        <w:rPr>
          <w:szCs w:val="24"/>
        </w:rPr>
      </w:pPr>
    </w:p>
    <w:p w14:paraId="48CC1C37" w14:textId="77777777" w:rsidR="006A531E" w:rsidRPr="003722EE" w:rsidRDefault="006A531E" w:rsidP="006A531E">
      <w:pPr>
        <w:pStyle w:val="aff"/>
        <w:widowControl w:val="0"/>
        <w:autoSpaceDE w:val="0"/>
        <w:autoSpaceDN w:val="0"/>
        <w:adjustRightInd w:val="0"/>
        <w:ind w:right="49"/>
        <w:rPr>
          <w:szCs w:val="24"/>
        </w:rPr>
      </w:pPr>
      <w:r w:rsidRPr="003722EE">
        <w:rPr>
          <w:szCs w:val="24"/>
        </w:rPr>
        <w:t>Реципиентам, имевшим в анамнезе инвазивный аспергиллез назначают:</w:t>
      </w:r>
    </w:p>
    <w:p w14:paraId="59633309" w14:textId="77777777" w:rsidR="006A531E" w:rsidRPr="003722EE" w:rsidRDefault="006A531E" w:rsidP="0091350E">
      <w:pPr>
        <w:pStyle w:val="aff"/>
        <w:widowControl w:val="0"/>
        <w:numPr>
          <w:ilvl w:val="0"/>
          <w:numId w:val="86"/>
        </w:numPr>
        <w:autoSpaceDE w:val="0"/>
        <w:autoSpaceDN w:val="0"/>
        <w:adjustRightInd w:val="0"/>
        <w:snapToGrid w:val="0"/>
        <w:ind w:right="51"/>
        <w:contextualSpacing/>
        <w:rPr>
          <w:szCs w:val="24"/>
        </w:rPr>
      </w:pPr>
      <w:r w:rsidRPr="003722EE">
        <w:rPr>
          <w:szCs w:val="24"/>
        </w:rPr>
        <w:t>вориконазол (по 200</w:t>
      </w:r>
      <w:r w:rsidRPr="00643B16">
        <w:rPr>
          <w:szCs w:val="24"/>
        </w:rPr>
        <w:t> </w:t>
      </w:r>
      <w:r w:rsidRPr="003722EE">
        <w:rPr>
          <w:szCs w:val="24"/>
        </w:rPr>
        <w:t>мг 2</w:t>
      </w:r>
      <w:r w:rsidRPr="00643B16">
        <w:rPr>
          <w:szCs w:val="24"/>
        </w:rPr>
        <w:t> </w:t>
      </w:r>
      <w:r w:rsidRPr="003722EE">
        <w:rPr>
          <w:szCs w:val="24"/>
        </w:rPr>
        <w:t>раза в сутки внутрь или внутривенно);</w:t>
      </w:r>
    </w:p>
    <w:p w14:paraId="4DA9BDEE" w14:textId="77777777" w:rsidR="006A531E" w:rsidRPr="003722EE" w:rsidRDefault="006A531E" w:rsidP="0091350E">
      <w:pPr>
        <w:pStyle w:val="aff"/>
        <w:widowControl w:val="0"/>
        <w:numPr>
          <w:ilvl w:val="0"/>
          <w:numId w:val="86"/>
        </w:numPr>
        <w:autoSpaceDE w:val="0"/>
        <w:autoSpaceDN w:val="0"/>
        <w:adjustRightInd w:val="0"/>
        <w:snapToGrid w:val="0"/>
        <w:ind w:right="51"/>
        <w:contextualSpacing/>
        <w:rPr>
          <w:szCs w:val="24"/>
        </w:rPr>
      </w:pPr>
      <w:r w:rsidRPr="003722EE">
        <w:rPr>
          <w:szCs w:val="24"/>
        </w:rPr>
        <w:t>позаконазол (в суспензии по 200</w:t>
      </w:r>
      <w:r w:rsidRPr="00643B16">
        <w:rPr>
          <w:szCs w:val="24"/>
        </w:rPr>
        <w:t> </w:t>
      </w:r>
      <w:r w:rsidRPr="003722EE">
        <w:rPr>
          <w:szCs w:val="24"/>
        </w:rPr>
        <w:t>мг 3</w:t>
      </w:r>
      <w:r w:rsidRPr="00643B16">
        <w:rPr>
          <w:szCs w:val="24"/>
        </w:rPr>
        <w:t> </w:t>
      </w:r>
      <w:r w:rsidRPr="003722EE">
        <w:rPr>
          <w:szCs w:val="24"/>
        </w:rPr>
        <w:t>раза в сутки внутрь);</w:t>
      </w:r>
    </w:p>
    <w:p w14:paraId="03E82F41" w14:textId="77777777" w:rsidR="006A531E" w:rsidRPr="003722EE" w:rsidRDefault="006A531E" w:rsidP="0091350E">
      <w:pPr>
        <w:pStyle w:val="aff"/>
        <w:widowControl w:val="0"/>
        <w:numPr>
          <w:ilvl w:val="0"/>
          <w:numId w:val="86"/>
        </w:numPr>
        <w:autoSpaceDE w:val="0"/>
        <w:autoSpaceDN w:val="0"/>
        <w:adjustRightInd w:val="0"/>
        <w:snapToGrid w:val="0"/>
        <w:ind w:right="51"/>
        <w:contextualSpacing/>
        <w:rPr>
          <w:szCs w:val="24"/>
        </w:rPr>
      </w:pPr>
      <w:r w:rsidRPr="003722EE">
        <w:rPr>
          <w:szCs w:val="24"/>
        </w:rPr>
        <w:t xml:space="preserve">позаконазол в таблетках (в 1 день по 300 мг 2 раза, далее по 300 мг 1 раз в сутки); </w:t>
      </w:r>
    </w:p>
    <w:p w14:paraId="7D697147" w14:textId="77777777" w:rsidR="006A531E" w:rsidRPr="003722EE" w:rsidRDefault="006A531E" w:rsidP="0091350E">
      <w:pPr>
        <w:pStyle w:val="aff"/>
        <w:widowControl w:val="0"/>
        <w:numPr>
          <w:ilvl w:val="0"/>
          <w:numId w:val="86"/>
        </w:numPr>
        <w:autoSpaceDE w:val="0"/>
        <w:autoSpaceDN w:val="0"/>
        <w:adjustRightInd w:val="0"/>
        <w:snapToGrid w:val="0"/>
        <w:ind w:right="51"/>
        <w:contextualSpacing/>
        <w:rPr>
          <w:szCs w:val="24"/>
        </w:rPr>
      </w:pPr>
      <w:r w:rsidRPr="003722EE">
        <w:rPr>
          <w:szCs w:val="24"/>
        </w:rPr>
        <w:t>изавуконазол в таблетках или внутривенно (в 1-2 дни по 200 мг 3 раза, затем по 200 мг 1 раз).</w:t>
      </w:r>
    </w:p>
    <w:p w14:paraId="512BB87D" w14:textId="77777777" w:rsidR="006A531E" w:rsidRPr="003722EE" w:rsidRDefault="006A531E" w:rsidP="006A531E">
      <w:pPr>
        <w:widowControl w:val="0"/>
        <w:autoSpaceDE w:val="0"/>
        <w:autoSpaceDN w:val="0"/>
        <w:adjustRightInd w:val="0"/>
        <w:ind w:right="51" w:firstLine="709"/>
        <w:contextualSpacing/>
      </w:pPr>
    </w:p>
    <w:p w14:paraId="15516B74" w14:textId="77777777" w:rsidR="006A531E" w:rsidRPr="003722EE" w:rsidRDefault="006A531E" w:rsidP="006A531E">
      <w:pPr>
        <w:widowControl w:val="0"/>
        <w:autoSpaceDE w:val="0"/>
        <w:autoSpaceDN w:val="0"/>
        <w:adjustRightInd w:val="0"/>
        <w:ind w:right="51" w:firstLine="709"/>
        <w:contextualSpacing/>
      </w:pPr>
      <w:r w:rsidRPr="003722EE">
        <w:t>При реакции «трансплантат против хозяина» (РТПХ) и печеночной недостаточности препаратом выбора для профилактики является анидулафунгин (в 1й день 200 мг, далее 100 мг).</w:t>
      </w:r>
    </w:p>
    <w:p w14:paraId="6F940506" w14:textId="77777777" w:rsidR="006A531E" w:rsidRPr="003722EE" w:rsidRDefault="006A531E" w:rsidP="006A531E">
      <w:pPr>
        <w:widowControl w:val="0"/>
        <w:autoSpaceDE w:val="0"/>
        <w:autoSpaceDN w:val="0"/>
        <w:adjustRightInd w:val="0"/>
        <w:ind w:right="49" w:firstLine="709"/>
        <w:contextualSpacing/>
        <w:rPr>
          <w:bCs/>
          <w:iCs/>
        </w:rPr>
      </w:pPr>
      <w:r w:rsidRPr="003722EE">
        <w:rPr>
          <w:bCs/>
          <w:iCs/>
        </w:rPr>
        <w:t xml:space="preserve">Реципиентам аутологичной ТГСК в период гранулоцитопении противогрибковую профилактику не проводят. </w:t>
      </w:r>
    </w:p>
    <w:p w14:paraId="1C91A6C0" w14:textId="77777777" w:rsidR="006A531E" w:rsidRPr="003722EE" w:rsidRDefault="006A531E" w:rsidP="006A531E">
      <w:pPr>
        <w:widowControl w:val="0"/>
        <w:autoSpaceDE w:val="0"/>
        <w:autoSpaceDN w:val="0"/>
        <w:adjustRightInd w:val="0"/>
        <w:ind w:right="49" w:firstLine="709"/>
        <w:contextualSpacing/>
      </w:pPr>
      <w:r w:rsidRPr="003722EE">
        <w:rPr>
          <w:bCs/>
          <w:iCs/>
        </w:rPr>
        <w:t>Больным острым миелоидным лейкозом противогрибковые препараты для профилактики назначают в индукции. Профилактика на этапе консолидации ПХТ также может быть проведена при курсах ПХТ, приводящих к длительной нейтропении. П</w:t>
      </w:r>
      <w:r w:rsidRPr="003722EE">
        <w:rPr>
          <w:bCs/>
        </w:rPr>
        <w:t xml:space="preserve">репаратом выбора для профилактики является </w:t>
      </w:r>
      <w:r w:rsidRPr="003722EE">
        <w:t>позаконазол в суспензии (по 200 мг 3 раза после еды) или в таблетках (в 1 день по 300 мг х 2 раза, затем по 300 мг 1 раз, прием препарата не зависит от приема пищи).</w:t>
      </w:r>
    </w:p>
    <w:p w14:paraId="1AB6D910" w14:textId="77777777" w:rsidR="006A531E" w:rsidRPr="003722EE" w:rsidRDefault="006A531E" w:rsidP="006A531E">
      <w:pPr>
        <w:widowControl w:val="0"/>
        <w:autoSpaceDE w:val="0"/>
        <w:autoSpaceDN w:val="0"/>
        <w:adjustRightInd w:val="0"/>
        <w:ind w:right="49" w:firstLine="709"/>
        <w:contextualSpacing/>
        <w:rPr>
          <w:bCs/>
          <w:iCs/>
        </w:rPr>
      </w:pPr>
      <w:r w:rsidRPr="003722EE">
        <w:rPr>
          <w:bCs/>
          <w:iCs/>
        </w:rPr>
        <w:t xml:space="preserve">Больным апластической анемией во время введения AТГ назначают для профилактики </w:t>
      </w:r>
      <w:r w:rsidRPr="003722EE">
        <w:t>флуконазол (400 мг в сутки, внутривенно или внутрь).</w:t>
      </w:r>
    </w:p>
    <w:p w14:paraId="73B1EEF6" w14:textId="77777777" w:rsidR="006A531E" w:rsidRDefault="006A531E" w:rsidP="006A531E">
      <w:pPr>
        <w:widowControl w:val="0"/>
        <w:tabs>
          <w:tab w:val="left" w:pos="0"/>
        </w:tabs>
        <w:autoSpaceDE w:val="0"/>
        <w:autoSpaceDN w:val="0"/>
        <w:adjustRightInd w:val="0"/>
        <w:ind w:right="49" w:firstLine="709"/>
        <w:contextualSpacing/>
      </w:pPr>
      <w:r w:rsidRPr="003722EE">
        <w:t>Антимикотики для профилактики назначают</w:t>
      </w:r>
      <w:r w:rsidRPr="003722EE">
        <w:rPr>
          <w:bCs/>
          <w:iCs/>
        </w:rPr>
        <w:t xml:space="preserve"> р</w:t>
      </w:r>
      <w:r w:rsidRPr="003722EE">
        <w:t>еципиентам аллогенной ТГСК  с 1-го дня предтрансплантационного кондиционирования</w:t>
      </w:r>
      <w:r w:rsidRPr="003722EE">
        <w:rPr>
          <w:b/>
          <w:bCs/>
          <w:i/>
          <w:iCs/>
        </w:rPr>
        <w:t xml:space="preserve">, </w:t>
      </w:r>
      <w:r w:rsidRPr="003722EE">
        <w:t xml:space="preserve">реципиентам с РТПХ и терапией преднизолона ≥ 1 мг/кг </w:t>
      </w:r>
      <w:r>
        <w:t>–</w:t>
      </w:r>
      <w:r w:rsidRPr="003722EE">
        <w:t xml:space="preserve"> с 1-го дня применения глюкокортикоидов, </w:t>
      </w:r>
      <w:r w:rsidRPr="003722EE">
        <w:rPr>
          <w:bCs/>
          <w:iCs/>
        </w:rPr>
        <w:t>пациента</w:t>
      </w:r>
      <w:r w:rsidRPr="003722EE">
        <w:t xml:space="preserve">м острым миелобластным лейкозом – с 1-го дня послекурсового периода, </w:t>
      </w:r>
      <w:r w:rsidRPr="003722EE">
        <w:rPr>
          <w:bCs/>
          <w:iCs/>
        </w:rPr>
        <w:t>пациента</w:t>
      </w:r>
      <w:r w:rsidRPr="003722EE">
        <w:t>м апластической анемией – за 2 дня до введения АТГ (в день назначения преднизолона).</w:t>
      </w:r>
    </w:p>
    <w:p w14:paraId="0C293D65" w14:textId="77777777" w:rsidR="006A531E" w:rsidRPr="00B77DCF" w:rsidRDefault="006A531E" w:rsidP="006A531E">
      <w:pPr>
        <w:widowControl w:val="0"/>
        <w:tabs>
          <w:tab w:val="left" w:pos="0"/>
        </w:tabs>
        <w:autoSpaceDE w:val="0"/>
        <w:autoSpaceDN w:val="0"/>
        <w:adjustRightInd w:val="0"/>
        <w:ind w:right="49" w:firstLine="709"/>
        <w:contextualSpacing/>
        <w:rPr>
          <w:u w:val="single"/>
        </w:rPr>
      </w:pPr>
      <w:r w:rsidRPr="00B77DCF">
        <w:rPr>
          <w:iCs/>
          <w:u w:val="single"/>
        </w:rPr>
        <w:t xml:space="preserve">Критерии отмены профилактики противогрибковыми препаратами: </w:t>
      </w:r>
    </w:p>
    <w:p w14:paraId="25250011" w14:textId="77777777" w:rsidR="006A531E" w:rsidRPr="00643B16" w:rsidRDefault="006A531E" w:rsidP="0091350E">
      <w:pPr>
        <w:pStyle w:val="aff"/>
        <w:widowControl w:val="0"/>
        <w:numPr>
          <w:ilvl w:val="0"/>
          <w:numId w:val="86"/>
        </w:numPr>
        <w:autoSpaceDE w:val="0"/>
        <w:autoSpaceDN w:val="0"/>
        <w:adjustRightInd w:val="0"/>
        <w:snapToGrid w:val="0"/>
        <w:ind w:right="51"/>
        <w:contextualSpacing/>
        <w:rPr>
          <w:szCs w:val="24"/>
        </w:rPr>
      </w:pPr>
      <w:r w:rsidRPr="00643B16">
        <w:rPr>
          <w:szCs w:val="24"/>
        </w:rPr>
        <w:t>у реципиентов аллогенных ТГСК без РТПХ – восстановление гранулоцитов (&gt;0,5 х 10</w:t>
      </w:r>
      <w:r w:rsidRPr="00015917">
        <w:rPr>
          <w:szCs w:val="24"/>
          <w:vertAlign w:val="superscript"/>
        </w:rPr>
        <w:t>9</w:t>
      </w:r>
      <w:r w:rsidRPr="00643B16">
        <w:rPr>
          <w:szCs w:val="24"/>
        </w:rPr>
        <w:t xml:space="preserve">/л); </w:t>
      </w:r>
    </w:p>
    <w:p w14:paraId="178064BE" w14:textId="77777777" w:rsidR="006A531E" w:rsidRPr="003722EE" w:rsidRDefault="006A531E" w:rsidP="0091350E">
      <w:pPr>
        <w:pStyle w:val="aff"/>
        <w:widowControl w:val="0"/>
        <w:numPr>
          <w:ilvl w:val="0"/>
          <w:numId w:val="86"/>
        </w:numPr>
        <w:autoSpaceDE w:val="0"/>
        <w:autoSpaceDN w:val="0"/>
        <w:adjustRightInd w:val="0"/>
        <w:snapToGrid w:val="0"/>
        <w:ind w:right="51"/>
        <w:contextualSpacing/>
        <w:rPr>
          <w:szCs w:val="24"/>
        </w:rPr>
      </w:pPr>
      <w:r w:rsidRPr="003722EE">
        <w:rPr>
          <w:szCs w:val="24"/>
        </w:rPr>
        <w:t xml:space="preserve"> </w:t>
      </w:r>
      <w:r w:rsidRPr="00643B16">
        <w:rPr>
          <w:szCs w:val="24"/>
        </w:rPr>
        <w:t>у пациентов с РТПХ</w:t>
      </w:r>
      <w:r w:rsidRPr="003722EE">
        <w:rPr>
          <w:szCs w:val="24"/>
        </w:rPr>
        <w:t xml:space="preserve"> – “контроль” над РТПХ, снижение дозы преднизолона до 0,15-0,3 мг/кг/сут, количество гранулоцитов &gt;0,5х10</w:t>
      </w:r>
      <w:r w:rsidRPr="00015917">
        <w:rPr>
          <w:szCs w:val="24"/>
          <w:vertAlign w:val="superscript"/>
        </w:rPr>
        <w:t>9</w:t>
      </w:r>
      <w:r w:rsidRPr="003722EE">
        <w:rPr>
          <w:szCs w:val="24"/>
        </w:rPr>
        <w:t xml:space="preserve">/л, отсутствие лимфопении и цитомегаловирусной инфекции. </w:t>
      </w:r>
      <w:r w:rsidRPr="003722EE">
        <w:rPr>
          <w:szCs w:val="24"/>
        </w:rPr>
        <w:tab/>
      </w:r>
    </w:p>
    <w:p w14:paraId="33A59B53" w14:textId="77777777" w:rsidR="006A531E" w:rsidRPr="003722EE" w:rsidRDefault="006A531E" w:rsidP="0091350E">
      <w:pPr>
        <w:pStyle w:val="aff"/>
        <w:widowControl w:val="0"/>
        <w:numPr>
          <w:ilvl w:val="0"/>
          <w:numId w:val="86"/>
        </w:numPr>
        <w:autoSpaceDE w:val="0"/>
        <w:autoSpaceDN w:val="0"/>
        <w:adjustRightInd w:val="0"/>
        <w:snapToGrid w:val="0"/>
        <w:ind w:right="51"/>
        <w:contextualSpacing/>
        <w:rPr>
          <w:szCs w:val="24"/>
        </w:rPr>
      </w:pPr>
      <w:r w:rsidRPr="003722EE">
        <w:rPr>
          <w:szCs w:val="24"/>
        </w:rPr>
        <w:t xml:space="preserve">Особое внимание при отмене профилактического приема противогрибковых препаратов, активных в отношении плесневых грибов, следует уделять пациентам с доказанной или предполагаемой РТПХ легких. При наличии мокроты у пациентов с РТПХ легких необходимо во всех случаях проводить микологическое исследование на плесневые грибы. При обнаружении плесневых грибов в мокроте, даже при минимальных изменениях в легких, следует назначать позаконазол (суспензия, по 400 мг х 2 раза после еды), или позаконазол в таблетках (в 1й день по 300 мг х 2 раза, затем по 300 мг 1 раз), или изавуконазол (в 1-2 дни по 200 мг 3 раза, затем по 200 мг 1 раз в таблетках или внутривенно), вориконазол (по 200 мг х 2 раза в таблетках, у больных с весом &gt; 85 кг суточную дозу вориконазола в таблетках назначают из расчета 8 мг/кг/сутки, максимально – по 300 мг х 2 раза); </w:t>
      </w:r>
    </w:p>
    <w:p w14:paraId="734491DF" w14:textId="77777777" w:rsidR="006A531E" w:rsidRPr="00643B16" w:rsidRDefault="006A531E" w:rsidP="0091350E">
      <w:pPr>
        <w:pStyle w:val="aff"/>
        <w:widowControl w:val="0"/>
        <w:numPr>
          <w:ilvl w:val="0"/>
          <w:numId w:val="86"/>
        </w:numPr>
        <w:autoSpaceDE w:val="0"/>
        <w:autoSpaceDN w:val="0"/>
        <w:adjustRightInd w:val="0"/>
        <w:snapToGrid w:val="0"/>
        <w:ind w:right="51"/>
        <w:contextualSpacing/>
        <w:rPr>
          <w:szCs w:val="24"/>
        </w:rPr>
      </w:pPr>
      <w:r w:rsidRPr="003722EE">
        <w:rPr>
          <w:szCs w:val="24"/>
        </w:rPr>
        <w:t>у пациентов с о</w:t>
      </w:r>
      <w:r w:rsidRPr="00643B16">
        <w:rPr>
          <w:szCs w:val="24"/>
        </w:rPr>
        <w:t>стрыми миелоидными лейкозами – восстановление гранулоцитов (&gt;0,5 х 10</w:t>
      </w:r>
      <w:r w:rsidRPr="00015917">
        <w:rPr>
          <w:szCs w:val="24"/>
          <w:vertAlign w:val="superscript"/>
        </w:rPr>
        <w:t>9</w:t>
      </w:r>
      <w:r w:rsidRPr="00643B16">
        <w:rPr>
          <w:szCs w:val="24"/>
        </w:rPr>
        <w:t>/л);</w:t>
      </w:r>
    </w:p>
    <w:p w14:paraId="289D063C" w14:textId="77777777" w:rsidR="006A531E" w:rsidRPr="003722EE" w:rsidRDefault="006A531E" w:rsidP="0091350E">
      <w:pPr>
        <w:pStyle w:val="aff"/>
        <w:widowControl w:val="0"/>
        <w:numPr>
          <w:ilvl w:val="0"/>
          <w:numId w:val="86"/>
        </w:numPr>
        <w:autoSpaceDE w:val="0"/>
        <w:autoSpaceDN w:val="0"/>
        <w:adjustRightInd w:val="0"/>
        <w:snapToGrid w:val="0"/>
        <w:ind w:right="51"/>
        <w:contextualSpacing/>
        <w:rPr>
          <w:szCs w:val="24"/>
        </w:rPr>
      </w:pPr>
      <w:r w:rsidRPr="00643B16">
        <w:rPr>
          <w:szCs w:val="24"/>
        </w:rPr>
        <w:t>у пациентов с апластической анемией – ч</w:t>
      </w:r>
      <w:r w:rsidRPr="003722EE">
        <w:rPr>
          <w:szCs w:val="24"/>
        </w:rPr>
        <w:t>ерез 10</w:t>
      </w:r>
      <w:r w:rsidRPr="00643B16">
        <w:rPr>
          <w:szCs w:val="24"/>
        </w:rPr>
        <w:t> </w:t>
      </w:r>
      <w:r w:rsidRPr="003722EE">
        <w:rPr>
          <w:szCs w:val="24"/>
        </w:rPr>
        <w:t>дней после окончания введения АТГ.</w:t>
      </w:r>
    </w:p>
    <w:p w14:paraId="2B04E6C4" w14:textId="77777777" w:rsidR="006A531E" w:rsidRDefault="006A531E" w:rsidP="006A531E">
      <w:pPr>
        <w:widowControl w:val="0"/>
        <w:autoSpaceDE w:val="0"/>
        <w:autoSpaceDN w:val="0"/>
        <w:adjustRightInd w:val="0"/>
        <w:ind w:right="51" w:firstLine="709"/>
        <w:contextualSpacing/>
        <w:rPr>
          <w:b/>
        </w:rPr>
      </w:pPr>
    </w:p>
    <w:p w14:paraId="7615C52A" w14:textId="77777777" w:rsidR="006A531E" w:rsidRPr="00B77DCF" w:rsidRDefault="006A531E" w:rsidP="006A531E">
      <w:pPr>
        <w:widowControl w:val="0"/>
        <w:autoSpaceDE w:val="0"/>
        <w:autoSpaceDN w:val="0"/>
        <w:adjustRightInd w:val="0"/>
        <w:ind w:right="51" w:firstLine="709"/>
        <w:contextualSpacing/>
        <w:rPr>
          <w:b/>
        </w:rPr>
      </w:pPr>
      <w:r w:rsidRPr="00B77DCF">
        <w:rPr>
          <w:b/>
        </w:rPr>
        <w:t>Вторичная противогрибковая профилактика</w:t>
      </w:r>
    </w:p>
    <w:p w14:paraId="3C39E5E7" w14:textId="77777777" w:rsidR="006A531E" w:rsidRPr="003722EE" w:rsidRDefault="006A531E" w:rsidP="006A531E">
      <w:pPr>
        <w:widowControl w:val="0"/>
        <w:autoSpaceDE w:val="0"/>
        <w:autoSpaceDN w:val="0"/>
        <w:adjustRightInd w:val="0"/>
        <w:ind w:right="51" w:firstLine="708"/>
        <w:contextualSpacing/>
        <w:rPr>
          <w:bCs/>
        </w:rPr>
      </w:pPr>
      <w:r w:rsidRPr="003722EE">
        <w:t>Вторичная противогрибковая профилактика п</w:t>
      </w:r>
      <w:r w:rsidRPr="003722EE">
        <w:rPr>
          <w:bCs/>
        </w:rPr>
        <w:t>роводится:</w:t>
      </w:r>
    </w:p>
    <w:p w14:paraId="14359C52" w14:textId="77777777" w:rsidR="006A531E" w:rsidRPr="00643B16" w:rsidRDefault="006A531E" w:rsidP="0091350E">
      <w:pPr>
        <w:pStyle w:val="aff"/>
        <w:widowControl w:val="0"/>
        <w:numPr>
          <w:ilvl w:val="0"/>
          <w:numId w:val="86"/>
        </w:numPr>
        <w:autoSpaceDE w:val="0"/>
        <w:autoSpaceDN w:val="0"/>
        <w:adjustRightInd w:val="0"/>
        <w:snapToGrid w:val="0"/>
        <w:ind w:right="51"/>
        <w:contextualSpacing/>
        <w:rPr>
          <w:szCs w:val="24"/>
        </w:rPr>
      </w:pPr>
      <w:r w:rsidRPr="00643B16">
        <w:rPr>
          <w:szCs w:val="24"/>
        </w:rPr>
        <w:t>пациентам, имевшим в анамнезе инвазивный микоз, вызванный плесневыми грибами (инвазивный аспергиллез, мукормикоз и др.), а также диссеминированный инвазивный кандидоз (инвазия в органы);</w:t>
      </w:r>
    </w:p>
    <w:p w14:paraId="67BAC19D" w14:textId="77777777" w:rsidR="006A531E" w:rsidRPr="00643B16" w:rsidRDefault="006A531E" w:rsidP="0091350E">
      <w:pPr>
        <w:pStyle w:val="aff"/>
        <w:widowControl w:val="0"/>
        <w:numPr>
          <w:ilvl w:val="0"/>
          <w:numId w:val="86"/>
        </w:numPr>
        <w:autoSpaceDE w:val="0"/>
        <w:autoSpaceDN w:val="0"/>
        <w:adjustRightInd w:val="0"/>
        <w:snapToGrid w:val="0"/>
        <w:ind w:right="51"/>
        <w:contextualSpacing/>
        <w:rPr>
          <w:szCs w:val="24"/>
        </w:rPr>
      </w:pPr>
      <w:r w:rsidRPr="00643B16">
        <w:rPr>
          <w:szCs w:val="24"/>
        </w:rPr>
        <w:t>во время очередного курса ПХТ, если ожидается нейтропения от 7 дней и более</w:t>
      </w:r>
      <w:r>
        <w:rPr>
          <w:szCs w:val="24"/>
        </w:rPr>
        <w:t>.</w:t>
      </w:r>
    </w:p>
    <w:p w14:paraId="02A29D59" w14:textId="77777777" w:rsidR="006A531E" w:rsidRPr="00B77DCF" w:rsidRDefault="006A531E" w:rsidP="006A531E">
      <w:pPr>
        <w:widowControl w:val="0"/>
        <w:autoSpaceDE w:val="0"/>
        <w:autoSpaceDN w:val="0"/>
        <w:adjustRightInd w:val="0"/>
        <w:snapToGrid w:val="0"/>
        <w:ind w:right="51" w:firstLine="709"/>
      </w:pPr>
      <w:r w:rsidRPr="00B77DCF">
        <w:t>Пациентам, имевшим кандидемию без диссеминации в органы, профилактику не проводят.</w:t>
      </w:r>
    </w:p>
    <w:p w14:paraId="337B15BB" w14:textId="77777777" w:rsidR="006A531E" w:rsidRPr="003722EE" w:rsidRDefault="006A531E" w:rsidP="006A531E">
      <w:pPr>
        <w:widowControl w:val="0"/>
        <w:autoSpaceDE w:val="0"/>
        <w:autoSpaceDN w:val="0"/>
        <w:adjustRightInd w:val="0"/>
        <w:ind w:right="49" w:firstLine="709"/>
        <w:contextualSpacing/>
      </w:pPr>
      <w:r w:rsidRPr="003722EE">
        <w:t>Вторичная противогрибковая профилактика показана при курсах ПХТ, сопровождающихся нейтропенией, и при использовании иммуносупресивных препаратов. Для вторичной профилактики назначают препарат, при использовании которого было достигнуто излечение от инвазивного микоза, с 1-го дня послекурсового периода или при количестве гранулоцитов ≤0,5</w:t>
      </w:r>
      <w:r>
        <w:t xml:space="preserve"> </w:t>
      </w:r>
      <w:r w:rsidRPr="003722EE">
        <w:t>х</w:t>
      </w:r>
      <w:r>
        <w:t xml:space="preserve"> </w:t>
      </w:r>
      <w:r w:rsidRPr="003722EE">
        <w:t>10</w:t>
      </w:r>
      <w:r w:rsidRPr="003722EE">
        <w:rPr>
          <w:vertAlign w:val="superscript"/>
        </w:rPr>
        <w:t>9</w:t>
      </w:r>
      <w:r w:rsidRPr="003722EE">
        <w:t>/л, а также в течение всего периода применения иммуносупрессивных препаратов.</w:t>
      </w:r>
    </w:p>
    <w:p w14:paraId="13FD7BD5" w14:textId="07F94C24" w:rsidR="006A531E" w:rsidRPr="003722EE" w:rsidRDefault="006A531E" w:rsidP="006A531E">
      <w:pPr>
        <w:widowControl w:val="0"/>
        <w:autoSpaceDE w:val="0"/>
        <w:autoSpaceDN w:val="0"/>
        <w:adjustRightInd w:val="0"/>
        <w:ind w:right="51" w:firstLine="709"/>
        <w:contextualSpacing/>
      </w:pPr>
      <w:r w:rsidRPr="003722EE">
        <w:t>Противогрибковые препараты, используемые для вторичной профилактики больным, имевшим в анамнезе</w:t>
      </w:r>
      <w:r w:rsidRPr="00026095">
        <w:t xml:space="preserve"> </w:t>
      </w:r>
      <w:r>
        <w:fldChar w:fldCharType="begin" w:fldLock="1"/>
      </w:r>
      <w:r w:rsidR="00DA11F8">
        <w:instrText>ADDIN CSL_CITATION {"citationItems":[{"id":"ITEM-1","itemData":{"DOI":"10.3324/haematol.2016.152900","ISSN":"15928721","PMID":"28011902","abstract":"The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-1","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mendeley":{"formattedCitation":"[156]","plainTextFormattedCitation":"[156]","previouslyFormattedCitation":"[156]"},"properties":{"noteIndex":0},"schema":"https://github.com/citation-style-language/schema/raw/master/csl-citation.json"}</w:instrText>
      </w:r>
      <w:r>
        <w:fldChar w:fldCharType="separate"/>
      </w:r>
      <w:r w:rsidR="00FC494E" w:rsidRPr="00FC494E">
        <w:rPr>
          <w:noProof/>
        </w:rPr>
        <w:t>[156]</w:t>
      </w:r>
      <w:r>
        <w:fldChar w:fldCharType="end"/>
      </w:r>
      <w:r w:rsidRPr="003722EE">
        <w:t>:</w:t>
      </w:r>
    </w:p>
    <w:p w14:paraId="7E845D23" w14:textId="77777777" w:rsidR="006A531E" w:rsidRPr="00643B16" w:rsidRDefault="006A531E" w:rsidP="0091350E">
      <w:pPr>
        <w:pStyle w:val="aff"/>
        <w:widowControl w:val="0"/>
        <w:numPr>
          <w:ilvl w:val="0"/>
          <w:numId w:val="86"/>
        </w:numPr>
        <w:autoSpaceDE w:val="0"/>
        <w:autoSpaceDN w:val="0"/>
        <w:adjustRightInd w:val="0"/>
        <w:snapToGrid w:val="0"/>
        <w:ind w:right="51"/>
        <w:contextualSpacing/>
        <w:rPr>
          <w:szCs w:val="24"/>
        </w:rPr>
      </w:pPr>
      <w:r w:rsidRPr="00643B16">
        <w:rPr>
          <w:szCs w:val="24"/>
        </w:rPr>
        <w:t>Кандидемию с диссеминацией в органы или хронический диссеминированный кандидоз:</w:t>
      </w:r>
    </w:p>
    <w:p w14:paraId="36F601D9" w14:textId="77777777" w:rsidR="006A531E" w:rsidRPr="003722EE" w:rsidRDefault="006A531E" w:rsidP="0091350E">
      <w:pPr>
        <w:widowControl w:val="0"/>
        <w:numPr>
          <w:ilvl w:val="0"/>
          <w:numId w:val="87"/>
        </w:numPr>
        <w:tabs>
          <w:tab w:val="left" w:pos="317"/>
        </w:tabs>
        <w:autoSpaceDE w:val="0"/>
        <w:autoSpaceDN w:val="0"/>
        <w:adjustRightInd w:val="0"/>
        <w:ind w:right="49"/>
        <w:contextualSpacing/>
      </w:pPr>
      <w:r w:rsidRPr="003722EE">
        <w:t>флуконазол, по 400 мг в сутки, внутривенно или внутрь;</w:t>
      </w:r>
    </w:p>
    <w:p w14:paraId="16B1BEAC" w14:textId="77777777" w:rsidR="006A531E" w:rsidRPr="003722EE" w:rsidRDefault="006A531E" w:rsidP="0091350E">
      <w:pPr>
        <w:widowControl w:val="0"/>
        <w:numPr>
          <w:ilvl w:val="0"/>
          <w:numId w:val="87"/>
        </w:numPr>
        <w:tabs>
          <w:tab w:val="left" w:pos="317"/>
        </w:tabs>
        <w:autoSpaceDE w:val="0"/>
        <w:autoSpaceDN w:val="0"/>
        <w:adjustRightInd w:val="0"/>
        <w:ind w:right="49"/>
        <w:contextualSpacing/>
      </w:pPr>
      <w:r w:rsidRPr="003722EE">
        <w:t>каспофунгин, по 50 мг в сутки внутривенно;</w:t>
      </w:r>
    </w:p>
    <w:p w14:paraId="3BEC81FC" w14:textId="77777777" w:rsidR="006A531E" w:rsidRPr="003722EE" w:rsidRDefault="006A531E" w:rsidP="0091350E">
      <w:pPr>
        <w:widowControl w:val="0"/>
        <w:numPr>
          <w:ilvl w:val="0"/>
          <w:numId w:val="87"/>
        </w:numPr>
        <w:tabs>
          <w:tab w:val="left" w:pos="317"/>
        </w:tabs>
        <w:autoSpaceDE w:val="0"/>
        <w:autoSpaceDN w:val="0"/>
        <w:adjustRightInd w:val="0"/>
        <w:ind w:right="49"/>
        <w:contextualSpacing/>
      </w:pPr>
      <w:r w:rsidRPr="003722EE">
        <w:t>микафунгин, по 100 мг в сутки внутривенно;</w:t>
      </w:r>
    </w:p>
    <w:p w14:paraId="7B436E8B" w14:textId="77777777" w:rsidR="006A531E" w:rsidRPr="003722EE" w:rsidRDefault="006A531E" w:rsidP="0091350E">
      <w:pPr>
        <w:widowControl w:val="0"/>
        <w:numPr>
          <w:ilvl w:val="0"/>
          <w:numId w:val="87"/>
        </w:numPr>
        <w:tabs>
          <w:tab w:val="left" w:pos="317"/>
        </w:tabs>
        <w:autoSpaceDE w:val="0"/>
        <w:autoSpaceDN w:val="0"/>
        <w:adjustRightInd w:val="0"/>
        <w:ind w:right="51"/>
        <w:contextualSpacing/>
      </w:pPr>
      <w:r w:rsidRPr="003722EE">
        <w:t>анидулафунгин, по 100 мг в сутки внутривенно.</w:t>
      </w:r>
    </w:p>
    <w:p w14:paraId="64F4CE11" w14:textId="77777777" w:rsidR="006A531E" w:rsidRPr="00643B16" w:rsidRDefault="006A531E" w:rsidP="0091350E">
      <w:pPr>
        <w:pStyle w:val="aff"/>
        <w:widowControl w:val="0"/>
        <w:numPr>
          <w:ilvl w:val="0"/>
          <w:numId w:val="86"/>
        </w:numPr>
        <w:autoSpaceDE w:val="0"/>
        <w:autoSpaceDN w:val="0"/>
        <w:adjustRightInd w:val="0"/>
        <w:snapToGrid w:val="0"/>
        <w:ind w:right="51"/>
        <w:contextualSpacing/>
        <w:rPr>
          <w:szCs w:val="24"/>
        </w:rPr>
      </w:pPr>
      <w:r w:rsidRPr="00643B16">
        <w:rPr>
          <w:szCs w:val="24"/>
        </w:rPr>
        <w:t>Инвазивный аспергиллез:</w:t>
      </w:r>
    </w:p>
    <w:p w14:paraId="1E9260E2" w14:textId="77777777" w:rsidR="006A531E" w:rsidRPr="003722EE" w:rsidRDefault="006A531E" w:rsidP="0091350E">
      <w:pPr>
        <w:widowControl w:val="0"/>
        <w:numPr>
          <w:ilvl w:val="0"/>
          <w:numId w:val="87"/>
        </w:numPr>
        <w:tabs>
          <w:tab w:val="left" w:pos="317"/>
        </w:tabs>
        <w:autoSpaceDE w:val="0"/>
        <w:autoSpaceDN w:val="0"/>
        <w:adjustRightInd w:val="0"/>
        <w:ind w:right="49"/>
        <w:contextualSpacing/>
      </w:pPr>
      <w:r w:rsidRPr="003722EE">
        <w:t>вориконазол (таблетки/внутривенно), по 200</w:t>
      </w:r>
      <w:r w:rsidRPr="00643B16">
        <w:t> </w:t>
      </w:r>
      <w:r w:rsidRPr="003722EE">
        <w:t>мг 2</w:t>
      </w:r>
      <w:r w:rsidRPr="00643B16">
        <w:t> </w:t>
      </w:r>
      <w:r w:rsidRPr="003722EE">
        <w:t>раза;</w:t>
      </w:r>
    </w:p>
    <w:p w14:paraId="709B777E" w14:textId="77777777" w:rsidR="006A531E" w:rsidRPr="003722EE" w:rsidRDefault="006A531E" w:rsidP="0091350E">
      <w:pPr>
        <w:widowControl w:val="0"/>
        <w:numPr>
          <w:ilvl w:val="0"/>
          <w:numId w:val="87"/>
        </w:numPr>
        <w:tabs>
          <w:tab w:val="left" w:pos="317"/>
        </w:tabs>
        <w:autoSpaceDE w:val="0"/>
        <w:autoSpaceDN w:val="0"/>
        <w:adjustRightInd w:val="0"/>
        <w:ind w:right="49"/>
        <w:contextualSpacing/>
      </w:pPr>
      <w:r w:rsidRPr="003722EE">
        <w:t>позаконазол (суспензия), по 200</w:t>
      </w:r>
      <w:r w:rsidRPr="00643B16">
        <w:t> </w:t>
      </w:r>
      <w:r w:rsidRPr="003722EE">
        <w:t>мг 3</w:t>
      </w:r>
      <w:r w:rsidRPr="00643B16">
        <w:t> </w:t>
      </w:r>
      <w:r w:rsidRPr="003722EE">
        <w:t>раза (после еды);</w:t>
      </w:r>
    </w:p>
    <w:p w14:paraId="17442239" w14:textId="77777777" w:rsidR="006A531E" w:rsidRPr="003722EE" w:rsidRDefault="006A531E" w:rsidP="0091350E">
      <w:pPr>
        <w:widowControl w:val="0"/>
        <w:numPr>
          <w:ilvl w:val="0"/>
          <w:numId w:val="87"/>
        </w:numPr>
        <w:tabs>
          <w:tab w:val="left" w:pos="317"/>
        </w:tabs>
        <w:autoSpaceDE w:val="0"/>
        <w:autoSpaceDN w:val="0"/>
        <w:adjustRightInd w:val="0"/>
        <w:ind w:right="49"/>
        <w:contextualSpacing/>
      </w:pPr>
      <w:r w:rsidRPr="003722EE">
        <w:t>позаконазол (таблетки) в 1й день по 300 мг х 2 раза, далее по 1 таб 1 раз;</w:t>
      </w:r>
    </w:p>
    <w:p w14:paraId="2BE1AB84" w14:textId="77777777" w:rsidR="006A531E" w:rsidRPr="00643B16" w:rsidRDefault="006A531E" w:rsidP="0091350E">
      <w:pPr>
        <w:widowControl w:val="0"/>
        <w:numPr>
          <w:ilvl w:val="0"/>
          <w:numId w:val="87"/>
        </w:numPr>
        <w:tabs>
          <w:tab w:val="left" w:pos="317"/>
        </w:tabs>
        <w:autoSpaceDE w:val="0"/>
        <w:autoSpaceDN w:val="0"/>
        <w:adjustRightInd w:val="0"/>
        <w:ind w:right="49"/>
        <w:contextualSpacing/>
      </w:pPr>
      <w:r w:rsidRPr="003722EE">
        <w:t>изавуконазол (таблетки/внутривенно) в 1-2й дни по 200 мг 3 раза, затем по 200 мг 1 раз.</w:t>
      </w:r>
    </w:p>
    <w:p w14:paraId="0B7DB362" w14:textId="77777777" w:rsidR="006A531E" w:rsidRPr="00643B16" w:rsidRDefault="006A531E" w:rsidP="0091350E">
      <w:pPr>
        <w:pStyle w:val="aff"/>
        <w:widowControl w:val="0"/>
        <w:numPr>
          <w:ilvl w:val="0"/>
          <w:numId w:val="86"/>
        </w:numPr>
        <w:autoSpaceDE w:val="0"/>
        <w:autoSpaceDN w:val="0"/>
        <w:adjustRightInd w:val="0"/>
        <w:snapToGrid w:val="0"/>
        <w:ind w:right="51"/>
        <w:contextualSpacing/>
        <w:rPr>
          <w:szCs w:val="24"/>
        </w:rPr>
      </w:pPr>
      <w:r w:rsidRPr="00643B16">
        <w:rPr>
          <w:szCs w:val="24"/>
        </w:rPr>
        <w:t>Мукормикоз:</w:t>
      </w:r>
    </w:p>
    <w:p w14:paraId="70577491" w14:textId="77777777" w:rsidR="006A531E" w:rsidRPr="003722EE" w:rsidRDefault="006A531E" w:rsidP="0091350E">
      <w:pPr>
        <w:widowControl w:val="0"/>
        <w:numPr>
          <w:ilvl w:val="0"/>
          <w:numId w:val="87"/>
        </w:numPr>
        <w:tabs>
          <w:tab w:val="left" w:pos="317"/>
        </w:tabs>
        <w:autoSpaceDE w:val="0"/>
        <w:autoSpaceDN w:val="0"/>
        <w:adjustRightInd w:val="0"/>
        <w:ind w:right="49"/>
        <w:contextualSpacing/>
      </w:pPr>
      <w:r w:rsidRPr="003722EE">
        <w:t>позаконазол (суспензия), по 200</w:t>
      </w:r>
      <w:r w:rsidRPr="00643B16">
        <w:t> </w:t>
      </w:r>
      <w:r w:rsidRPr="003722EE">
        <w:t>мг 3</w:t>
      </w:r>
      <w:r w:rsidRPr="00643B16">
        <w:t> </w:t>
      </w:r>
      <w:r w:rsidRPr="003722EE">
        <w:t>раза (после еды);</w:t>
      </w:r>
    </w:p>
    <w:p w14:paraId="661FC0D4" w14:textId="77777777" w:rsidR="006A531E" w:rsidRPr="003722EE" w:rsidRDefault="006A531E" w:rsidP="0091350E">
      <w:pPr>
        <w:widowControl w:val="0"/>
        <w:numPr>
          <w:ilvl w:val="0"/>
          <w:numId w:val="87"/>
        </w:numPr>
        <w:tabs>
          <w:tab w:val="left" w:pos="317"/>
        </w:tabs>
        <w:autoSpaceDE w:val="0"/>
        <w:autoSpaceDN w:val="0"/>
        <w:adjustRightInd w:val="0"/>
        <w:ind w:right="49"/>
        <w:contextualSpacing/>
      </w:pPr>
      <w:r w:rsidRPr="003722EE">
        <w:t>позаконазол (таблетки) в 1й день по 300 мг х 2 раза, далее по 1 таб 1 раз;</w:t>
      </w:r>
    </w:p>
    <w:p w14:paraId="6B35836B" w14:textId="77777777" w:rsidR="006A531E" w:rsidRPr="00643B16" w:rsidRDefault="006A531E" w:rsidP="0091350E">
      <w:pPr>
        <w:widowControl w:val="0"/>
        <w:numPr>
          <w:ilvl w:val="0"/>
          <w:numId w:val="87"/>
        </w:numPr>
        <w:tabs>
          <w:tab w:val="left" w:pos="317"/>
        </w:tabs>
        <w:autoSpaceDE w:val="0"/>
        <w:autoSpaceDN w:val="0"/>
        <w:adjustRightInd w:val="0"/>
        <w:ind w:right="49"/>
        <w:contextualSpacing/>
      </w:pPr>
      <w:r w:rsidRPr="003722EE">
        <w:t>изавуконазол (таблетки/внутривенно) в 1-2й дни по 200 мг 3 раза, затем по 200 мг 1 раз.</w:t>
      </w:r>
    </w:p>
    <w:p w14:paraId="7EFF8A1E" w14:textId="77777777" w:rsidR="006A531E" w:rsidRPr="003722EE" w:rsidRDefault="006A531E" w:rsidP="006A531E">
      <w:pPr>
        <w:widowControl w:val="0"/>
        <w:autoSpaceDE w:val="0"/>
        <w:autoSpaceDN w:val="0"/>
        <w:adjustRightInd w:val="0"/>
        <w:ind w:right="51" w:firstLine="708"/>
        <w:contextualSpacing/>
      </w:pPr>
      <w:r w:rsidRPr="003722EE">
        <w:t>Амфотерицин В не назначают для профилактики инвазивных микозов по причине его высокой токсичности. При вторичной профилактике вориконазол, позаконазол, изавуконазол следует применять осторожно при курсах ПХТ, включающих винкристин, поскольку они могут потенцировать развитие нейротоксичности. Назначать эти препараты следует не ранее чем через 3-5 дней от даты последнего введения винкристина.</w:t>
      </w:r>
    </w:p>
    <w:p w14:paraId="2C62909E" w14:textId="77777777" w:rsidR="006A531E" w:rsidRPr="003722EE" w:rsidRDefault="006A531E" w:rsidP="006A531E">
      <w:pPr>
        <w:widowControl w:val="0"/>
        <w:tabs>
          <w:tab w:val="left" w:pos="0"/>
        </w:tabs>
        <w:autoSpaceDE w:val="0"/>
        <w:autoSpaceDN w:val="0"/>
        <w:adjustRightInd w:val="0"/>
        <w:ind w:right="49"/>
        <w:contextualSpacing/>
        <w:rPr>
          <w:bCs/>
          <w:iCs/>
        </w:rPr>
      </w:pPr>
      <w:r w:rsidRPr="003722EE">
        <w:rPr>
          <w:bCs/>
        </w:rPr>
        <w:tab/>
        <w:t xml:space="preserve">Противогрибковые препараты, назначенные для вторичной профилактики, отменяют при </w:t>
      </w:r>
      <w:r w:rsidRPr="003722EE">
        <w:rPr>
          <w:bCs/>
          <w:iCs/>
        </w:rPr>
        <w:t>восстановление гранулоцитов (&gt;0,5 х 10</w:t>
      </w:r>
      <w:r w:rsidRPr="003722EE">
        <w:rPr>
          <w:bCs/>
          <w:iCs/>
          <w:vertAlign w:val="superscript"/>
        </w:rPr>
        <w:t>9</w:t>
      </w:r>
      <w:r w:rsidRPr="003722EE">
        <w:rPr>
          <w:bCs/>
          <w:iCs/>
        </w:rPr>
        <w:t>/л).</w:t>
      </w:r>
    </w:p>
    <w:p w14:paraId="5C52D0A4" w14:textId="77777777" w:rsidR="006A531E" w:rsidRDefault="006A531E" w:rsidP="006A531E">
      <w:pPr>
        <w:pStyle w:val="aff"/>
        <w:widowControl w:val="0"/>
        <w:autoSpaceDE w:val="0"/>
        <w:autoSpaceDN w:val="0"/>
        <w:adjustRightInd w:val="0"/>
        <w:ind w:right="51"/>
        <w:rPr>
          <w:b/>
          <w:szCs w:val="24"/>
        </w:rPr>
      </w:pPr>
    </w:p>
    <w:p w14:paraId="701B1C36" w14:textId="6B715564" w:rsidR="006A531E" w:rsidRPr="0051550E" w:rsidRDefault="006A531E" w:rsidP="006A531E">
      <w:pPr>
        <w:pStyle w:val="aff"/>
        <w:widowControl w:val="0"/>
        <w:autoSpaceDE w:val="0"/>
        <w:autoSpaceDN w:val="0"/>
        <w:adjustRightInd w:val="0"/>
        <w:ind w:right="51"/>
        <w:rPr>
          <w:bCs/>
          <w:i/>
          <w:iCs/>
          <w:szCs w:val="24"/>
          <w:u w:val="single"/>
        </w:rPr>
      </w:pPr>
      <w:r w:rsidRPr="00B77DCF">
        <w:rPr>
          <w:bCs/>
          <w:i/>
          <w:iCs/>
          <w:szCs w:val="24"/>
          <w:u w:val="single"/>
        </w:rPr>
        <w:t>Профилактика вирусных инфекций</w:t>
      </w:r>
      <w:r>
        <w:rPr>
          <w:bCs/>
          <w:i/>
          <w:iCs/>
          <w:szCs w:val="24"/>
          <w:u w:val="single"/>
        </w:rPr>
        <w:t xml:space="preserve"> </w:t>
      </w:r>
      <w:r>
        <w:rPr>
          <w:bCs/>
          <w:i/>
          <w:iCs/>
          <w:szCs w:val="24"/>
          <w:u w:val="single"/>
        </w:rPr>
        <w:fldChar w:fldCharType="begin" w:fldLock="1"/>
      </w:r>
      <w:r w:rsidR="00DA11F8">
        <w:rPr>
          <w:bCs/>
          <w:i/>
          <w:iCs/>
          <w:szCs w:val="24"/>
          <w:u w:val="single"/>
        </w:rPr>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Leukemia","type":"article-journal","volume":"43"},"uris":["http://www.mendeley.com/documents/?uuid=d821a870-8754-3698-8a43-34506f6d18d8"]},{"id":"ITEM-2","itemData":{"DOI":"10.1038/bmt.2008.162","ISSN":"02683369","PMID":"18587440","abstract":"These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Transplantation","id":"ITEM-2","issue":"4","issued":{"date-parts":[["2008"]]},"page":"227-240","publisher":"Bone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[153,154]","plainTextFormattedCitation":"[153,154]","previouslyFormattedCitation":"[153,154]"},"properties":{"noteIndex":0},"schema":"https://github.com/citation-style-language/schema/raw/master/csl-citation.json"}</w:instrText>
      </w:r>
      <w:r>
        <w:rPr>
          <w:bCs/>
          <w:i/>
          <w:iCs/>
          <w:szCs w:val="24"/>
          <w:u w:val="single"/>
        </w:rPr>
        <w:fldChar w:fldCharType="separate"/>
      </w:r>
      <w:r w:rsidR="00FC494E" w:rsidRPr="00FC494E">
        <w:rPr>
          <w:bCs/>
          <w:iCs/>
          <w:noProof/>
          <w:szCs w:val="24"/>
        </w:rPr>
        <w:t>[153,154]</w:t>
      </w:r>
      <w:r>
        <w:rPr>
          <w:bCs/>
          <w:i/>
          <w:iCs/>
          <w:szCs w:val="24"/>
          <w:u w:val="single"/>
        </w:rPr>
        <w:fldChar w:fldCharType="end"/>
      </w:r>
    </w:p>
    <w:p w14:paraId="5B162E64" w14:textId="77777777" w:rsidR="006A531E" w:rsidRPr="003722EE" w:rsidRDefault="006A531E" w:rsidP="006A531E">
      <w:pPr>
        <w:ind w:right="51" w:firstLine="708"/>
        <w:contextualSpacing/>
      </w:pPr>
      <w:r w:rsidRPr="003722EE">
        <w:t xml:space="preserve">Противовирусные препараты для профилактики назначают пациентам, серопозитивным по вирусу простого герпеса (ВПГ) - реципиентам аллогенной ТГСК, пациентам с острыми лейкозами, лимфомами, другими гематологическими заболеваниями. </w:t>
      </w:r>
    </w:p>
    <w:p w14:paraId="7CFE8605" w14:textId="77777777" w:rsidR="006A531E" w:rsidRPr="003722EE" w:rsidRDefault="006A531E" w:rsidP="006A531E">
      <w:pPr>
        <w:ind w:right="49" w:firstLine="709"/>
        <w:contextualSpacing/>
      </w:pPr>
      <w:r w:rsidRPr="003722EE">
        <w:t>Используют следующие препараты для профилактики вирусных инфекций:</w:t>
      </w:r>
    </w:p>
    <w:p w14:paraId="4B6869E6" w14:textId="77777777" w:rsidR="006A531E" w:rsidRPr="003722EE" w:rsidRDefault="006A531E" w:rsidP="0091350E">
      <w:pPr>
        <w:pStyle w:val="aff"/>
        <w:widowControl w:val="0"/>
        <w:numPr>
          <w:ilvl w:val="0"/>
          <w:numId w:val="86"/>
        </w:numPr>
        <w:autoSpaceDE w:val="0"/>
        <w:autoSpaceDN w:val="0"/>
        <w:adjustRightInd w:val="0"/>
        <w:snapToGrid w:val="0"/>
        <w:ind w:right="51"/>
        <w:contextualSpacing/>
        <w:rPr>
          <w:szCs w:val="24"/>
        </w:rPr>
      </w:pPr>
      <w:r w:rsidRPr="003722EE">
        <w:rPr>
          <w:szCs w:val="24"/>
        </w:rPr>
        <w:t>ацикловир внутривенно 250 мг/м</w:t>
      </w:r>
      <w:r w:rsidRPr="008356BD">
        <w:rPr>
          <w:szCs w:val="24"/>
          <w:vertAlign w:val="superscript"/>
        </w:rPr>
        <w:t>2</w:t>
      </w:r>
      <w:r w:rsidRPr="003722EE">
        <w:rPr>
          <w:szCs w:val="24"/>
        </w:rPr>
        <w:t xml:space="preserve"> или 5 мг/кг каждые 12 часов;</w:t>
      </w:r>
    </w:p>
    <w:p w14:paraId="7FB36E99" w14:textId="77777777" w:rsidR="006A531E" w:rsidRPr="003722EE" w:rsidRDefault="006A531E" w:rsidP="0091350E">
      <w:pPr>
        <w:pStyle w:val="aff"/>
        <w:widowControl w:val="0"/>
        <w:numPr>
          <w:ilvl w:val="0"/>
          <w:numId w:val="86"/>
        </w:numPr>
        <w:autoSpaceDE w:val="0"/>
        <w:autoSpaceDN w:val="0"/>
        <w:adjustRightInd w:val="0"/>
        <w:snapToGrid w:val="0"/>
        <w:ind w:right="51"/>
        <w:contextualSpacing/>
        <w:rPr>
          <w:szCs w:val="24"/>
        </w:rPr>
      </w:pPr>
      <w:r w:rsidRPr="003722EE">
        <w:rPr>
          <w:szCs w:val="24"/>
        </w:rPr>
        <w:t>ацикловир таблетки по 200 мг х 3 раза;</w:t>
      </w:r>
    </w:p>
    <w:p w14:paraId="21A6DFD1" w14:textId="77777777" w:rsidR="006A531E" w:rsidRPr="003722EE" w:rsidRDefault="006A531E" w:rsidP="0091350E">
      <w:pPr>
        <w:pStyle w:val="aff"/>
        <w:widowControl w:val="0"/>
        <w:numPr>
          <w:ilvl w:val="0"/>
          <w:numId w:val="86"/>
        </w:numPr>
        <w:autoSpaceDE w:val="0"/>
        <w:autoSpaceDN w:val="0"/>
        <w:adjustRightInd w:val="0"/>
        <w:snapToGrid w:val="0"/>
        <w:ind w:right="51"/>
        <w:contextualSpacing/>
        <w:rPr>
          <w:szCs w:val="24"/>
        </w:rPr>
      </w:pPr>
      <w:r w:rsidRPr="003722EE">
        <w:rPr>
          <w:szCs w:val="24"/>
        </w:rPr>
        <w:t>валациковир по 500 мг х 2 раза;</w:t>
      </w:r>
    </w:p>
    <w:p w14:paraId="19E50EB3" w14:textId="77777777" w:rsidR="006A531E" w:rsidRPr="00643B16" w:rsidRDefault="006A531E" w:rsidP="0091350E">
      <w:pPr>
        <w:pStyle w:val="aff"/>
        <w:widowControl w:val="0"/>
        <w:numPr>
          <w:ilvl w:val="0"/>
          <w:numId w:val="86"/>
        </w:numPr>
        <w:autoSpaceDE w:val="0"/>
        <w:autoSpaceDN w:val="0"/>
        <w:adjustRightInd w:val="0"/>
        <w:snapToGrid w:val="0"/>
        <w:ind w:right="51"/>
        <w:contextualSpacing/>
        <w:rPr>
          <w:szCs w:val="24"/>
        </w:rPr>
      </w:pPr>
      <w:r w:rsidRPr="00643B16">
        <w:rPr>
          <w:szCs w:val="24"/>
        </w:rPr>
        <w:t>фамцикловир по 500 мг 2 раза.</w:t>
      </w:r>
    </w:p>
    <w:p w14:paraId="03719E3B" w14:textId="77777777" w:rsidR="006A531E" w:rsidRPr="003722EE" w:rsidRDefault="006A531E" w:rsidP="006A531E">
      <w:pPr>
        <w:ind w:right="49" w:firstLine="709"/>
        <w:contextualSpacing/>
      </w:pPr>
      <w:r w:rsidRPr="003722EE">
        <w:t>Противовирусную профилактику применяют в течение 3-5 недель с 1-го дня ПХТ или кондицирования при ТГСК. Перевод с пероральной на внутривенную форму проводят у больных с мукозитом. У реципиентов аллогенной ТГСК и РТПХ или получающих иммуносупрессивную терапию, включая кортикостероиды, период профилактического приема препаратов является более продолжительным.</w:t>
      </w:r>
    </w:p>
    <w:p w14:paraId="38CFEF90" w14:textId="77777777" w:rsidR="006A531E" w:rsidRPr="003722EE" w:rsidRDefault="006A531E" w:rsidP="006A531E">
      <w:pPr>
        <w:ind w:right="49" w:firstLine="709"/>
        <w:contextualSpacing/>
      </w:pPr>
      <w:r w:rsidRPr="003722EE">
        <w:t>Антивирусная профилактика ВПГ не требуется для серонегативных больных острыми лейкозами и после ТГСК.</w:t>
      </w:r>
    </w:p>
    <w:p w14:paraId="1C262EA6" w14:textId="77777777" w:rsidR="006A531E" w:rsidRPr="0051550E" w:rsidRDefault="006A531E" w:rsidP="006A531E">
      <w:pPr>
        <w:widowControl w:val="0"/>
        <w:autoSpaceDE w:val="0"/>
        <w:autoSpaceDN w:val="0"/>
        <w:adjustRightInd w:val="0"/>
        <w:ind w:right="49"/>
        <w:contextualSpacing/>
      </w:pPr>
    </w:p>
    <w:p w14:paraId="343F9532" w14:textId="608F54A0" w:rsidR="0073058C" w:rsidRPr="0073058C" w:rsidRDefault="008826C9" w:rsidP="0073058C">
      <w:pPr>
        <w:pStyle w:val="2"/>
      </w:pPr>
      <w:bookmarkStart w:id="51" w:name="_Toc65104111"/>
      <w:r>
        <w:t xml:space="preserve">7.13 </w:t>
      </w:r>
      <w:r w:rsidR="0073058C" w:rsidRPr="00C23943">
        <w:rPr>
          <w:kern w:val="32"/>
        </w:rPr>
        <w:t>Диагностика гемотрансмиссивных инфекций</w:t>
      </w:r>
      <w:bookmarkEnd w:id="51"/>
    </w:p>
    <w:p w14:paraId="064B5C16" w14:textId="77777777" w:rsidR="0073058C" w:rsidRPr="00C23943" w:rsidRDefault="0073058C" w:rsidP="0073058C">
      <w:pPr>
        <w:pStyle w:val="aff"/>
        <w:spacing w:line="240" w:lineRule="auto"/>
        <w:ind w:left="360"/>
        <w:contextualSpacing/>
        <w:rPr>
          <w:b/>
          <w:kern w:val="32"/>
          <w:szCs w:val="24"/>
        </w:rPr>
      </w:pPr>
    </w:p>
    <w:p w14:paraId="14185EF5" w14:textId="77777777" w:rsidR="0073058C" w:rsidRDefault="0073058C" w:rsidP="0073058C">
      <w:pPr>
        <w:ind w:firstLine="708"/>
        <w:rPr>
          <w:rFonts w:eastAsia="Arial Unicode MS"/>
        </w:rPr>
      </w:pPr>
      <w:r>
        <w:t>Пациенты гематологического профиля</w:t>
      </w:r>
      <w:r w:rsidRPr="008532D2">
        <w:t xml:space="preserve"> являются группой высокого риска вероятного инфицирования гемотрансмиссивными вирусными инфекциями, поскольку </w:t>
      </w:r>
      <w:r>
        <w:t>при многих гематологических заболеваниях пациентам</w:t>
      </w:r>
      <w:r w:rsidRPr="008532D2">
        <w:t xml:space="preserve"> проводятся множественные трансфузии от большого числа доноров, многочисленные медицинские манипуляции и инвазивные исследования. </w:t>
      </w:r>
      <w:r>
        <w:t xml:space="preserve">В </w:t>
      </w:r>
      <w:r w:rsidRPr="008532D2">
        <w:t xml:space="preserve">ряде случаев </w:t>
      </w:r>
      <w:r>
        <w:t>гематологические з</w:t>
      </w:r>
      <w:r w:rsidRPr="008532D2">
        <w:t xml:space="preserve">аболевания </w:t>
      </w:r>
      <w:r>
        <w:t>т</w:t>
      </w:r>
      <w:r w:rsidRPr="00626D84">
        <w:t>ребуют дифференциального диагноза с ВИЧ-инфекцией</w:t>
      </w:r>
      <w:r>
        <w:t>. Кроме того, а</w:t>
      </w:r>
      <w:r w:rsidRPr="008532D2">
        <w:rPr>
          <w:rFonts w:eastAsia="Arial Unicode MS"/>
        </w:rPr>
        <w:t xml:space="preserve">ктуальность проблемы </w:t>
      </w:r>
      <w:r w:rsidRPr="008532D2">
        <w:rPr>
          <w:kern w:val="32"/>
        </w:rPr>
        <w:t xml:space="preserve">гемотрансмиссивных инфекций </w:t>
      </w:r>
      <w:r w:rsidRPr="008532D2">
        <w:rPr>
          <w:rFonts w:eastAsia="Arial Unicode MS"/>
        </w:rPr>
        <w:t>у пациентов заболеваниями системы крови определяется вероятностью реактивации ранее латентного инфекционного процесса</w:t>
      </w:r>
      <w:r w:rsidRPr="008532D2">
        <w:t>.</w:t>
      </w:r>
      <w:r w:rsidRPr="008532D2">
        <w:rPr>
          <w:rFonts w:eastAsia="Arial Unicode MS"/>
        </w:rPr>
        <w:t xml:space="preserve"> </w:t>
      </w:r>
    </w:p>
    <w:p w14:paraId="05FFA1DE" w14:textId="77777777" w:rsidR="0073058C" w:rsidRDefault="0073058C" w:rsidP="0073058C">
      <w:pPr>
        <w:ind w:firstLine="708"/>
      </w:pPr>
    </w:p>
    <w:p w14:paraId="3AF1725A" w14:textId="77777777" w:rsidR="0073058C" w:rsidRPr="00B71129" w:rsidRDefault="0073058C" w:rsidP="0073058C">
      <w:pPr>
        <w:pStyle w:val="Normal11"/>
        <w:spacing w:line="360" w:lineRule="auto"/>
        <w:rPr>
          <w:bCs/>
          <w:i/>
          <w:iCs/>
          <w:sz w:val="22"/>
          <w:u w:val="single"/>
        </w:rPr>
      </w:pPr>
      <w:r w:rsidRPr="00B71129">
        <w:rPr>
          <w:bCs/>
          <w:i/>
          <w:iCs/>
          <w:szCs w:val="28"/>
          <w:u w:val="single"/>
        </w:rPr>
        <w:t>Лабораторная диагностика</w:t>
      </w:r>
    </w:p>
    <w:p w14:paraId="5BBCC315" w14:textId="77777777" w:rsidR="0073058C" w:rsidRDefault="0073058C" w:rsidP="0073058C">
      <w:pPr>
        <w:ind w:firstLine="708"/>
      </w:pPr>
      <w:r>
        <w:t>С</w:t>
      </w:r>
      <w:r w:rsidRPr="000A150B">
        <w:t>огласно санитарно-эпидемиологическим правилам СП 3.1.3112-13 «П</w:t>
      </w:r>
      <w:r>
        <w:t>рофилактика вирусного гепатита С</w:t>
      </w:r>
      <w:r w:rsidRPr="000A150B">
        <w:t>» обязательному обследованию на наличие анти-ВГС и РНК ВГС подлежат пациенты отделений гемодиализа, гематологии и трансплантации, пребывающие в медицинской организации более 1 месяца через 30 дней после поступления и далее – ежемесячно. Кроме того, реципиенты крови и ее компонентов, органов и тканей подлежат обязательному обследованию на наличие анти-ВГС при подозрении на заболевание гепатитом C и в течение 6 месяцев после переливания крови и ее компонентов, пересадки органов и тканей</w:t>
      </w:r>
      <w:r>
        <w:t>.</w:t>
      </w:r>
    </w:p>
    <w:p w14:paraId="7394D50B" w14:textId="77777777" w:rsidR="0073058C" w:rsidRDefault="0073058C" w:rsidP="0073058C">
      <w:pPr>
        <w:ind w:firstLine="708"/>
      </w:pPr>
      <w:r w:rsidRPr="007E59BC">
        <w:t>Согласно санитарно-эпидемиологическим правилам СП3.1.1.2341-08 «</w:t>
      </w:r>
      <w:r w:rsidRPr="000A150B">
        <w:t>П</w:t>
      </w:r>
      <w:r>
        <w:t xml:space="preserve">рофилактика вирусного гепатита </w:t>
      </w:r>
      <w:r w:rsidRPr="007E59BC">
        <w:t xml:space="preserve">B» обязательному обследованию на наличие </w:t>
      </w:r>
      <w:r w:rsidRPr="007E59BC">
        <w:rPr>
          <w:lang w:val="en-US"/>
        </w:rPr>
        <w:t>HBsAg</w:t>
      </w:r>
      <w:r w:rsidRPr="007E59BC">
        <w:t xml:space="preserve"> подлежат реципиенты крови и ее компонентов </w:t>
      </w:r>
      <w:r>
        <w:t xml:space="preserve">в </w:t>
      </w:r>
      <w:r w:rsidRPr="007E59BC">
        <w:t>течение 6 месяцев с момента последней трансфузии.</w:t>
      </w:r>
      <w:r>
        <w:t xml:space="preserve"> </w:t>
      </w:r>
    </w:p>
    <w:p w14:paraId="2FBDEDB9" w14:textId="7C9D38FB" w:rsidR="0073058C" w:rsidRDefault="0073058C" w:rsidP="0073058C">
      <w:pPr>
        <w:ind w:firstLine="708"/>
      </w:pPr>
      <w:r>
        <w:t xml:space="preserve">В клинических рекомендациях международных ассоциаций приведены различные стратегии скрининга маркеров ВГВ </w:t>
      </w:r>
      <w:r>
        <w:fldChar w:fldCharType="begin" w:fldLock="1"/>
      </w:r>
      <w:r w:rsidR="005267A5">
        <w:instrText>ADDIN CSL_CITATION {"citationItems":[{"id":"ITEM-1","itemData":{"author":[{"dropping-particle":"","family":"Титова","given":"В.Б.","non-dropping-particle":"","parse-names":false,"suffix":""},{"dropping-particle":"","family":"Беляева","given":"Н.М.","non-dropping-particle":"","parse-names":false,"suffix":""}],"container-title":"Инфекционные болезни","id":"ITEM-1","issue":"3","issued":{"date-parts":[["2014"]]},"page":"51-60","title":"Вирусный гепатит В у иммуносупрессивных пациентов с онкологическими заболеваниями: патогенез, ведение и профилактика","type":"article-journal","volume":"12"},"uris":["http://www.mendeley.com/documents/?uuid=3941bbfb-358d-41ff-ba67-2c90cf30bdc3"]}],"mendeley":{"formattedCitation":"[163]","plainTextFormattedCitation":"[163]","previouslyFormattedCitation":"[163]"},"properties":{"noteIndex":0},"schema":"https://github.com/citation-style-language/schema/raw/master/csl-citation.json"}</w:instrText>
      </w:r>
      <w:r>
        <w:fldChar w:fldCharType="separate"/>
      </w:r>
      <w:r w:rsidR="00DA11F8" w:rsidRPr="00DA11F8">
        <w:rPr>
          <w:noProof/>
        </w:rPr>
        <w:t>[163]</w:t>
      </w:r>
      <w:r>
        <w:fldChar w:fldCharType="end"/>
      </w:r>
      <w:r>
        <w:t xml:space="preserve">. </w:t>
      </w:r>
      <w:r w:rsidRPr="00E71F5D">
        <w:t>Европейской ассоциацией по изучению печени рекомендовано мониторирование у пациентов при отсутствии HBsAg и возможном наличии анти-НВс активности АЛТ, концентрации ДНК ВГВ и проведение терапии аналогами нуклеозидов в случае подтверждения реактивации гепатита до повышения активности АЛТ</w:t>
      </w:r>
      <w:r w:rsidRPr="00EB2B8F">
        <w:t xml:space="preserve"> </w:t>
      </w:r>
      <w:r>
        <w:fldChar w:fldCharType="begin" w:fldLock="1"/>
      </w:r>
      <w:r w:rsidR="005267A5">
        <w:instrText>ADDIN CSL_CITATION {"citationItems":[{"id":"ITEM-1","itemData":{"DOI":"10.1016/j.jhep.2012.02.010","ISSN":"01688278","PMID":"22436845","author":[{"dropping-particle":"","family":"Papatheodoridis","given":"George","non-dropping-particle":"","parse-names":false,"suffix":""},{"dropping-particle":"","family":"Buti","given":"Maria","non-dropping-particle":"","parse-names":false,"suffix":""},{"dropping-particle":"","family":"Cornberg","given":"Markus","non-dropping-particle":"","parse-names":false,"suffix":""},{"dropping-particle":"","family":"Janssen","given":"Harry","non-dropping-particle":"","parse-names":false,"suffix":""},{"dropping-particle":"","family":"Mutimer","given":"David","non-dropping-particle":"","parse-names":false,"suffix":""},{"dropping-particle":"","family":"Pol","given":"Stanislas","non-dropping-particle":"","parse-names":false,"suffix":""},{"dropping-particle":"","family":"Raimondo","given":"Giovanni","non-dropping-particle":"","parse-names":false,"suffix":""},{"dropping-particle":"","family":"Dusheiko","given":"Geoffrey","non-dropping-particle":"","parse-names":false,"suffix":""},{"dropping-particle":"","family":"Lok","given":"Anna","non-dropping-particle":"","parse-names":false,"suffix":""},{"dropping-particle":"","family":"Marcellin","given":"Patrick","non-dropping-particle":"","parse-names":false,"suffix":""}],"container-title":"Journal of Hepatology","id":"ITEM-1","issue":"1","issued":{"date-parts":[["2012","7","1"]]},"page":"167-185","publisher":"Elsevier B.V.","title":"EASL clinical practice guidelines: Management of chronic hepatitis B virus infection","type":"article","volume":"57"},"uris":["http://www.mendeley.com/documents/?uuid=d031160c-7302-3cad-80c7-cb9ded7fc99f"]}],"mendeley":{"formattedCitation":"[164]","plainTextFormattedCitation":"[164]","previouslyFormattedCitation":"[164]"},"properties":{"noteIndex":0},"schema":"https://github.com/citation-style-language/schema/raw/master/csl-citation.json"}</w:instrText>
      </w:r>
      <w:r>
        <w:fldChar w:fldCharType="separate"/>
      </w:r>
      <w:r w:rsidR="00DA11F8" w:rsidRPr="00DA11F8">
        <w:rPr>
          <w:noProof/>
        </w:rPr>
        <w:t>[164]</w:t>
      </w:r>
      <w:r>
        <w:fldChar w:fldCharType="end"/>
      </w:r>
      <w:r w:rsidRPr="00E71F5D">
        <w:t>.</w:t>
      </w:r>
      <w:r>
        <w:t xml:space="preserve"> </w:t>
      </w:r>
    </w:p>
    <w:p w14:paraId="2455AD3F" w14:textId="77777777" w:rsidR="0073058C" w:rsidRDefault="0073058C" w:rsidP="0073058C">
      <w:pPr>
        <w:ind w:left="644"/>
        <w:rPr>
          <w:b/>
          <w:szCs w:val="28"/>
        </w:rPr>
      </w:pPr>
    </w:p>
    <w:p w14:paraId="05E417F7" w14:textId="77777777" w:rsidR="0073058C" w:rsidRPr="00506902" w:rsidRDefault="0073058C" w:rsidP="0073058C">
      <w:pPr>
        <w:ind w:left="284"/>
        <w:rPr>
          <w:bCs/>
          <w:i/>
          <w:iCs/>
          <w:szCs w:val="28"/>
          <w:u w:val="single"/>
        </w:rPr>
      </w:pPr>
      <w:r w:rsidRPr="00506902">
        <w:rPr>
          <w:bCs/>
          <w:i/>
          <w:iCs/>
          <w:szCs w:val="28"/>
          <w:u w:val="single"/>
        </w:rPr>
        <w:t>Протокол обследования образцов крови пациентов на инфекционные маркеры (ВИЧ, ВГВ, ВГС, возбудителя сифилиса)</w:t>
      </w:r>
    </w:p>
    <w:p w14:paraId="1A781C8D" w14:textId="77777777" w:rsidR="0073058C" w:rsidRDefault="0073058C" w:rsidP="0091350E">
      <w:pPr>
        <w:pStyle w:val="Number1"/>
        <w:numPr>
          <w:ilvl w:val="0"/>
          <w:numId w:val="88"/>
        </w:numPr>
        <w:spacing w:line="360" w:lineRule="auto"/>
      </w:pPr>
      <w:r w:rsidRPr="00350A4F">
        <w:t xml:space="preserve">Обследование всех </w:t>
      </w:r>
      <w:r>
        <w:t xml:space="preserve">первичных </w:t>
      </w:r>
      <w:r w:rsidRPr="00350A4F">
        <w:t>пациентов</w:t>
      </w:r>
      <w:r>
        <w:t xml:space="preserve"> на регламентированые исследования: </w:t>
      </w:r>
    </w:p>
    <w:p w14:paraId="0CEBFB15" w14:textId="77777777" w:rsidR="0073058C" w:rsidRDefault="0073058C" w:rsidP="0091350E">
      <w:pPr>
        <w:pStyle w:val="Number1"/>
        <w:numPr>
          <w:ilvl w:val="0"/>
          <w:numId w:val="91"/>
        </w:numPr>
        <w:spacing w:line="360" w:lineRule="auto"/>
      </w:pPr>
      <w:r>
        <w:t xml:space="preserve">Определение анти-ВИЧ (антитела </w:t>
      </w:r>
      <w:r w:rsidRPr="0009562B">
        <w:t>IgM, IgG к вирусу иммунодефицита человека ВИЧ-1</w:t>
      </w:r>
      <w:r>
        <w:t xml:space="preserve"> и </w:t>
      </w:r>
      <w:r w:rsidRPr="0009562B">
        <w:t xml:space="preserve">ВИЧ-2, </w:t>
      </w:r>
      <w:r>
        <w:t>антиген</w:t>
      </w:r>
      <w:r w:rsidRPr="0009562B">
        <w:t xml:space="preserve"> p24 ВИЧ-1)</w:t>
      </w:r>
      <w:r>
        <w:t>;</w:t>
      </w:r>
    </w:p>
    <w:p w14:paraId="540C0E66" w14:textId="77777777" w:rsidR="0073058C" w:rsidRDefault="0073058C" w:rsidP="0091350E">
      <w:pPr>
        <w:pStyle w:val="Number1"/>
        <w:numPr>
          <w:ilvl w:val="0"/>
          <w:numId w:val="91"/>
        </w:numPr>
        <w:spacing w:line="360" w:lineRule="auto"/>
      </w:pPr>
      <w:r>
        <w:t>Определение HBsAg;</w:t>
      </w:r>
    </w:p>
    <w:p w14:paraId="6D913A9D" w14:textId="77777777" w:rsidR="0073058C" w:rsidRDefault="0073058C" w:rsidP="0091350E">
      <w:pPr>
        <w:pStyle w:val="Number1"/>
        <w:numPr>
          <w:ilvl w:val="0"/>
          <w:numId w:val="91"/>
        </w:numPr>
        <w:spacing w:line="360" w:lineRule="auto"/>
      </w:pPr>
      <w:r>
        <w:t>Определение</w:t>
      </w:r>
      <w:r w:rsidRPr="00350A4F">
        <w:t xml:space="preserve"> </w:t>
      </w:r>
      <w:r>
        <w:t>антител к ВГС;</w:t>
      </w:r>
      <w:r w:rsidRPr="00350A4F">
        <w:t xml:space="preserve"> </w:t>
      </w:r>
    </w:p>
    <w:p w14:paraId="778297E3" w14:textId="77777777" w:rsidR="0073058C" w:rsidRDefault="0073058C" w:rsidP="0091350E">
      <w:pPr>
        <w:pStyle w:val="Number1"/>
        <w:numPr>
          <w:ilvl w:val="0"/>
          <w:numId w:val="91"/>
        </w:numPr>
        <w:spacing w:line="360" w:lineRule="auto"/>
      </w:pPr>
      <w:r>
        <w:t>Определение</w:t>
      </w:r>
      <w:r w:rsidRPr="00350A4F">
        <w:t xml:space="preserve"> РНК ВГС</w:t>
      </w:r>
      <w:r>
        <w:t xml:space="preserve"> (ПЦР, качественное);</w:t>
      </w:r>
    </w:p>
    <w:p w14:paraId="6809CD3C" w14:textId="77777777" w:rsidR="0073058C" w:rsidRDefault="0073058C" w:rsidP="0091350E">
      <w:pPr>
        <w:pStyle w:val="Number1"/>
        <w:numPr>
          <w:ilvl w:val="0"/>
          <w:numId w:val="91"/>
        </w:numPr>
        <w:spacing w:line="360" w:lineRule="auto"/>
      </w:pPr>
      <w:r>
        <w:t>С</w:t>
      </w:r>
      <w:r w:rsidRPr="00350A4F">
        <w:t xml:space="preserve">ерологические реакции на </w:t>
      </w:r>
      <w:r w:rsidRPr="00B47058">
        <w:rPr>
          <w:iCs/>
        </w:rPr>
        <w:t>сифилис (о</w:t>
      </w:r>
      <w:r w:rsidRPr="00B47058">
        <w:t>пределение антител к бледной трепонеме качественное и полуколичественное в сыворотке крови</w:t>
      </w:r>
      <w:r>
        <w:t xml:space="preserve">; </w:t>
      </w:r>
      <w:r w:rsidRPr="00B47058">
        <w:t>определение антител к бледной трепонеме иммуноферментным методом в крови)</w:t>
      </w:r>
      <w:r>
        <w:t>.</w:t>
      </w:r>
    </w:p>
    <w:p w14:paraId="5B1354AE" w14:textId="77777777" w:rsidR="0073058C" w:rsidRDefault="0073058C" w:rsidP="0091350E">
      <w:pPr>
        <w:pStyle w:val="Number1"/>
        <w:numPr>
          <w:ilvl w:val="0"/>
          <w:numId w:val="88"/>
        </w:numPr>
        <w:spacing w:line="360" w:lineRule="auto"/>
      </w:pPr>
      <w:r>
        <w:t>Дополнительное о</w:t>
      </w:r>
      <w:r w:rsidRPr="00350A4F">
        <w:t xml:space="preserve">бследование всех </w:t>
      </w:r>
      <w:r>
        <w:t xml:space="preserve">первичных </w:t>
      </w:r>
      <w:r w:rsidRPr="00350A4F">
        <w:t xml:space="preserve">пациентов </w:t>
      </w:r>
      <w:r>
        <w:t xml:space="preserve">– кандидатов на трансфузии </w:t>
      </w:r>
      <w:r w:rsidRPr="00350A4F">
        <w:t>на наличие</w:t>
      </w:r>
      <w:r>
        <w:t>:</w:t>
      </w:r>
    </w:p>
    <w:p w14:paraId="0FA487E8" w14:textId="77777777" w:rsidR="0073058C" w:rsidRPr="00757238" w:rsidRDefault="0073058C" w:rsidP="0091350E">
      <w:pPr>
        <w:pStyle w:val="Number1"/>
        <w:numPr>
          <w:ilvl w:val="0"/>
          <w:numId w:val="92"/>
        </w:numPr>
        <w:spacing w:line="360" w:lineRule="auto"/>
      </w:pPr>
      <w:r>
        <w:t xml:space="preserve">Определение </w:t>
      </w:r>
      <w:r w:rsidRPr="00757238">
        <w:t>антител к ядерному ант</w:t>
      </w:r>
      <w:r>
        <w:t>игену (HBcAg) вируса гепатита B;</w:t>
      </w:r>
    </w:p>
    <w:p w14:paraId="35FE89F3" w14:textId="77777777" w:rsidR="0073058C" w:rsidRDefault="0073058C" w:rsidP="0091350E">
      <w:pPr>
        <w:pStyle w:val="Number1"/>
        <w:numPr>
          <w:ilvl w:val="0"/>
          <w:numId w:val="92"/>
        </w:numPr>
        <w:spacing w:line="360" w:lineRule="auto"/>
      </w:pPr>
      <w:r w:rsidRPr="007C6DC7">
        <w:t>Определение антител к поверхностному антигену (anti-HBs) вируса гепатита B</w:t>
      </w:r>
      <w:r>
        <w:t>;</w:t>
      </w:r>
      <w:r w:rsidRPr="00350A4F">
        <w:t xml:space="preserve"> </w:t>
      </w:r>
    </w:p>
    <w:p w14:paraId="00FF11BD" w14:textId="77777777" w:rsidR="0073058C" w:rsidRDefault="0073058C" w:rsidP="0091350E">
      <w:pPr>
        <w:pStyle w:val="Number1"/>
        <w:numPr>
          <w:ilvl w:val="0"/>
          <w:numId w:val="92"/>
        </w:numPr>
        <w:spacing w:line="360" w:lineRule="auto"/>
      </w:pPr>
      <w:r w:rsidRPr="007C6DC7">
        <w:t xml:space="preserve">Определение ДНК </w:t>
      </w:r>
      <w:r>
        <w:t>ВГ</w:t>
      </w:r>
      <w:r w:rsidRPr="007C6DC7">
        <w:t>B методом ПЦР, качественное исследование</w:t>
      </w:r>
      <w:r>
        <w:t>.</w:t>
      </w:r>
      <w:r w:rsidRPr="00350A4F">
        <w:t xml:space="preserve"> </w:t>
      </w:r>
    </w:p>
    <w:p w14:paraId="545826B2" w14:textId="77777777" w:rsidR="0073058C" w:rsidRDefault="0073058C" w:rsidP="0091350E">
      <w:pPr>
        <w:pStyle w:val="Number1"/>
        <w:numPr>
          <w:ilvl w:val="0"/>
          <w:numId w:val="88"/>
        </w:numPr>
        <w:spacing w:line="360" w:lineRule="auto"/>
      </w:pPr>
      <w:r>
        <w:t>Дополнительное о</w:t>
      </w:r>
      <w:r w:rsidRPr="00350A4F">
        <w:t>бследование</w:t>
      </w:r>
      <w:r>
        <w:t xml:space="preserve"> по показаниям:</w:t>
      </w:r>
    </w:p>
    <w:p w14:paraId="54D16CDB" w14:textId="77777777" w:rsidR="0073058C" w:rsidRPr="00350A4F" w:rsidRDefault="0073058C" w:rsidP="0091350E">
      <w:pPr>
        <w:pStyle w:val="Number1"/>
        <w:numPr>
          <w:ilvl w:val="0"/>
          <w:numId w:val="90"/>
        </w:numPr>
        <w:spacing w:line="360" w:lineRule="auto"/>
      </w:pPr>
      <w:r w:rsidRPr="00350A4F">
        <w:t>В случае обнаружения HBsAg — дополнительное исследование HВеAg.</w:t>
      </w:r>
    </w:p>
    <w:p w14:paraId="0149EBF9" w14:textId="77777777" w:rsidR="0073058C" w:rsidRPr="00350A4F" w:rsidRDefault="0073058C" w:rsidP="0091350E">
      <w:pPr>
        <w:pStyle w:val="Number1"/>
        <w:numPr>
          <w:ilvl w:val="0"/>
          <w:numId w:val="90"/>
        </w:numPr>
        <w:spacing w:line="360" w:lineRule="auto"/>
      </w:pPr>
      <w:r w:rsidRPr="00350A4F">
        <w:t>В случае обнаружения анти-HBс — дополнительное исследование анти-НВс IgM.</w:t>
      </w:r>
    </w:p>
    <w:p w14:paraId="0BEE5DD7" w14:textId="77777777" w:rsidR="0073058C" w:rsidRPr="00350A4F" w:rsidRDefault="0073058C" w:rsidP="0091350E">
      <w:pPr>
        <w:pStyle w:val="Number1"/>
        <w:numPr>
          <w:ilvl w:val="0"/>
          <w:numId w:val="90"/>
        </w:numPr>
        <w:spacing w:line="360" w:lineRule="auto"/>
      </w:pPr>
      <w:r w:rsidRPr="00350A4F">
        <w:t xml:space="preserve">При наличии </w:t>
      </w:r>
      <w:r w:rsidRPr="007C6DC7">
        <w:t>только анти-HBs</w:t>
      </w:r>
      <w:r w:rsidRPr="00350A4F">
        <w:t xml:space="preserve"> (с учетом анамнестических данных больного о проведении вакцинации или отсутствии) — исследование анти-НВе для подтверждения инфицированности ВГВ.</w:t>
      </w:r>
    </w:p>
    <w:p w14:paraId="5292C54A" w14:textId="77777777" w:rsidR="0073058C" w:rsidRPr="00350A4F" w:rsidRDefault="0073058C" w:rsidP="0091350E">
      <w:pPr>
        <w:pStyle w:val="Number1"/>
        <w:numPr>
          <w:ilvl w:val="0"/>
          <w:numId w:val="90"/>
        </w:numPr>
        <w:spacing w:line="360" w:lineRule="auto"/>
      </w:pPr>
      <w:r w:rsidRPr="00350A4F">
        <w:t xml:space="preserve">При отсутствии </w:t>
      </w:r>
      <w:r w:rsidRPr="007C6DC7">
        <w:t>анти-HBс, анти-HBs</w:t>
      </w:r>
      <w:r w:rsidRPr="00350A4F">
        <w:t xml:space="preserve"> у больных с нарушенным иммунитетом — мониторинг этих маркеров не реже 1 раза в 3—6 месяцев в зависимости от динамики клинико-лабораторных показателей.</w:t>
      </w:r>
    </w:p>
    <w:p w14:paraId="63A79876" w14:textId="77777777" w:rsidR="0073058C" w:rsidRPr="00350A4F" w:rsidRDefault="0073058C" w:rsidP="0091350E">
      <w:pPr>
        <w:pStyle w:val="Number1"/>
        <w:numPr>
          <w:ilvl w:val="0"/>
          <w:numId w:val="88"/>
        </w:numPr>
        <w:spacing w:line="360" w:lineRule="auto"/>
      </w:pPr>
      <w:r>
        <w:t>Повторное ежемесячное о</w:t>
      </w:r>
      <w:r w:rsidRPr="00350A4F">
        <w:t xml:space="preserve">бследование на </w:t>
      </w:r>
      <w:r>
        <w:t>маркеры</w:t>
      </w:r>
      <w:r w:rsidRPr="00350A4F">
        <w:t xml:space="preserve"> HBsAg, анти-ВГС, ДНК ВГВ, РНК ВГС </w:t>
      </w:r>
      <w:r>
        <w:t xml:space="preserve">– </w:t>
      </w:r>
      <w:r w:rsidRPr="00350A4F">
        <w:t>для реципиентов</w:t>
      </w:r>
      <w:r>
        <w:t xml:space="preserve"> трансфузий</w:t>
      </w:r>
      <w:r w:rsidRPr="00350A4F">
        <w:t xml:space="preserve"> компонентов</w:t>
      </w:r>
      <w:r>
        <w:t xml:space="preserve"> </w:t>
      </w:r>
      <w:r w:rsidRPr="00350A4F">
        <w:t>крови, органов и тканей, пациентов гематологических и других смежных подразделений, пребывающих в стационаре свыше 1 месяца.</w:t>
      </w:r>
    </w:p>
    <w:p w14:paraId="2F90D0AB" w14:textId="77777777" w:rsidR="0073058C" w:rsidRDefault="0073058C" w:rsidP="0091350E">
      <w:pPr>
        <w:numPr>
          <w:ilvl w:val="0"/>
          <w:numId w:val="88"/>
        </w:numPr>
        <w:autoSpaceDE w:val="0"/>
        <w:autoSpaceDN w:val="0"/>
        <w:adjustRightInd w:val="0"/>
        <w:jc w:val="left"/>
      </w:pPr>
      <w:r w:rsidRPr="00350A4F">
        <w:t>Остальные контингенты пациентов вне зависимости от результатов тестирования при поступлении обследуются на инфекционные маркеры ВГВ и ВГС по клиническим и эпидемиологическим показаниям.</w:t>
      </w:r>
    </w:p>
    <w:p w14:paraId="61A1F5E1" w14:textId="77777777" w:rsidR="0073058C" w:rsidRPr="00350A4F" w:rsidRDefault="0073058C" w:rsidP="0073058C">
      <w:pPr>
        <w:ind w:left="720"/>
      </w:pPr>
    </w:p>
    <w:p w14:paraId="1D6296B3" w14:textId="77777777" w:rsidR="0073058C" w:rsidRPr="00D20B00" w:rsidRDefault="0073058C" w:rsidP="0073058C">
      <w:pPr>
        <w:pStyle w:val="Normal11"/>
        <w:spacing w:line="360" w:lineRule="auto"/>
        <w:rPr>
          <w:bCs/>
          <w:i/>
          <w:iCs/>
          <w:u w:val="single"/>
        </w:rPr>
      </w:pPr>
      <w:r w:rsidRPr="00D20B00">
        <w:rPr>
          <w:bCs/>
          <w:i/>
          <w:iCs/>
          <w:u w:val="single"/>
        </w:rPr>
        <w:t>Инструментальная диагностика</w:t>
      </w:r>
    </w:p>
    <w:p w14:paraId="6A3C2253" w14:textId="07BE0C3E" w:rsidR="0073058C" w:rsidRDefault="0073058C" w:rsidP="00D42087">
      <w:pPr>
        <w:pStyle w:val="Normal11"/>
        <w:spacing w:line="360" w:lineRule="auto"/>
        <w:ind w:firstLine="709"/>
      </w:pPr>
      <w:r>
        <w:t>Инструментальная диагностика проводится по рекомендации врача-инфекциониста. При показаниях д</w:t>
      </w:r>
      <w:r w:rsidRPr="006A482D">
        <w:t xml:space="preserve">ля получения информации о стадии фиброза и прогнозе заболевания </w:t>
      </w:r>
      <w:r>
        <w:t>проводится:</w:t>
      </w:r>
    </w:p>
    <w:p w14:paraId="1FFDA711" w14:textId="77777777" w:rsidR="0073058C" w:rsidRDefault="0073058C" w:rsidP="0091350E">
      <w:pPr>
        <w:pStyle w:val="Normal11"/>
        <w:numPr>
          <w:ilvl w:val="0"/>
          <w:numId w:val="93"/>
        </w:numPr>
        <w:shd w:val="clear" w:color="auto" w:fill="FFFFFF"/>
        <w:tabs>
          <w:tab w:val="left" w:pos="394"/>
        </w:tabs>
        <w:overflowPunct w:val="0"/>
        <w:spacing w:before="5" w:line="360" w:lineRule="auto"/>
        <w:textAlignment w:val="baseline"/>
      </w:pPr>
      <w:r>
        <w:t xml:space="preserve">УЗИ печени. </w:t>
      </w:r>
    </w:p>
    <w:p w14:paraId="60FEF3A4" w14:textId="77777777" w:rsidR="0073058C" w:rsidRDefault="0073058C" w:rsidP="0091350E">
      <w:pPr>
        <w:pStyle w:val="Normal11"/>
        <w:numPr>
          <w:ilvl w:val="0"/>
          <w:numId w:val="93"/>
        </w:numPr>
        <w:shd w:val="clear" w:color="auto" w:fill="FFFFFF"/>
        <w:tabs>
          <w:tab w:val="left" w:pos="394"/>
        </w:tabs>
        <w:overflowPunct w:val="0"/>
        <w:spacing w:before="5" w:line="360" w:lineRule="auto"/>
        <w:textAlignment w:val="baseline"/>
      </w:pPr>
      <w:r>
        <w:t>Эластометрия печени</w:t>
      </w:r>
    </w:p>
    <w:p w14:paraId="2FD5CAD2" w14:textId="77777777" w:rsidR="0073058C" w:rsidRDefault="0073058C" w:rsidP="0091350E">
      <w:pPr>
        <w:pStyle w:val="Normal11"/>
        <w:numPr>
          <w:ilvl w:val="0"/>
          <w:numId w:val="93"/>
        </w:numPr>
        <w:shd w:val="clear" w:color="auto" w:fill="FFFFFF"/>
        <w:tabs>
          <w:tab w:val="left" w:pos="394"/>
        </w:tabs>
        <w:overflowPunct w:val="0"/>
        <w:spacing w:before="5" w:line="360" w:lineRule="auto"/>
        <w:textAlignment w:val="baseline"/>
      </w:pPr>
      <w:r>
        <w:t>Б</w:t>
      </w:r>
      <w:r w:rsidRPr="006A482D">
        <w:t>иопси</w:t>
      </w:r>
      <w:r>
        <w:t>я</w:t>
      </w:r>
      <w:r w:rsidRPr="006A482D">
        <w:t xml:space="preserve"> печени</w:t>
      </w:r>
      <w:r>
        <w:t>.</w:t>
      </w:r>
      <w:r w:rsidRPr="006A482D">
        <w:t xml:space="preserve"> </w:t>
      </w:r>
    </w:p>
    <w:p w14:paraId="37D2B7E0" w14:textId="77777777" w:rsidR="0073058C" w:rsidRDefault="0073058C" w:rsidP="0073058C">
      <w:pPr>
        <w:pStyle w:val="Normal11"/>
        <w:spacing w:line="360" w:lineRule="auto"/>
        <w:ind w:left="1068"/>
      </w:pPr>
    </w:p>
    <w:p w14:paraId="29E4E132" w14:textId="77777777" w:rsidR="0073058C" w:rsidRPr="00D20B00" w:rsidRDefault="0073058C" w:rsidP="0073058C">
      <w:pPr>
        <w:pStyle w:val="Normal11"/>
        <w:spacing w:line="360" w:lineRule="auto"/>
        <w:rPr>
          <w:bCs/>
          <w:i/>
          <w:iCs/>
          <w:u w:val="single"/>
        </w:rPr>
      </w:pPr>
      <w:r w:rsidRPr="00D20B00">
        <w:rPr>
          <w:bCs/>
          <w:i/>
          <w:iCs/>
          <w:u w:val="single"/>
        </w:rPr>
        <w:t xml:space="preserve">Лечение и профилактика вирусных гепатитов В и С </w:t>
      </w:r>
    </w:p>
    <w:p w14:paraId="4CA00651" w14:textId="413C4E40" w:rsidR="0073058C" w:rsidRPr="00E71F5D" w:rsidRDefault="0073058C" w:rsidP="00D42087">
      <w:pPr>
        <w:pStyle w:val="Normal11"/>
        <w:spacing w:line="360" w:lineRule="auto"/>
        <w:ind w:firstLine="709"/>
      </w:pPr>
      <w:r w:rsidRPr="00E71F5D">
        <w:t xml:space="preserve">Современные противовирусные препараты позволяют эффективно лечить острые и тяжелые формы </w:t>
      </w:r>
      <w:r>
        <w:t>вирусных гепатитов В и С</w:t>
      </w:r>
      <w:r w:rsidRPr="00E71F5D">
        <w:t>, однако эффективность такой терапии зависит от сроков начала лечения</w:t>
      </w:r>
      <w:r w:rsidRPr="00C46A96">
        <w:t xml:space="preserve"> </w:t>
      </w:r>
      <w:r>
        <w:fldChar w:fldCharType="begin" w:fldLock="1"/>
      </w:r>
      <w:r w:rsidR="005267A5">
        <w:instrText>ADDIN CSL_CITATION {"citationItems":[{"id":"ITEM-1","itemData":{"DOI":"10.1002/jmv.22199","ISSN":"01466615","PMID":"21915865","abstract":"The aim of the study was to evaluate clinical and virological differences in HBV reactivation between patients with overt and occult HBV infection. Twenty-three consecutive patients with symptomatic HBV reactivation occurring during or after immunosuppressive therapy were enrolled in a retrospective study: 10 with reactivation of overt HBV infection (overt group) and 13 of occult HBV infection (occult group). Twenty-one patients were treated with nucleot(s)ide analogues after HBV reactivation. Regimens including rituximab or fludarabine were administered more frequently in the occult group (61% vs. 31%, respectively). HBV reactivation was severe frequently in the overt (40%) and occult groups (38.4%). Patients in the overt group showed higher HBV-DNA titers (1.1×10 8±1.4×10 8 vs. 5.1×10 5±6.8×10 5IU; P&lt;0.005). Seven patients died during HBV reactivation, two in the overt and five in the occult group. Of these seven patients, two remained untreated and five had been treated with Lamivudine; of the 16 patients showing remission of HBV reactivation, four had been treated with Lamivudine, four with Entecavir, two with Telbivudine, and six with Lamivudine plus Adefovir. It is concluded that HBV reactivation is life-threatening in patients with diseases inhibiting the immune response and/or receiving immunosuppressive drugs. Supportive therapy without antiviral drugs or Lamivudine monotherapy may not be effective for treating patients with HBV reactivation. © 2011 Wiley-Liss, Inc.","author":[{"dropping-particle":"","family":"Coppola","given":"Nicola","non-dropping-particle":"","parse-names":false,"suffix":""},{"dropping-particle":"","family":"Tonziello","given":"Gilda","non-dropping-particle":"","parse-names":false,"suffix":""},{"dropping-particle":"","family":"Pisaturo","given":"Mariantonietta","non-dropping-particle":"","parse-names":false,"suffix":""},{"dropping-particle":"","family":"Messina","given":"Vincenzo","non-dropping-particle":"","parse-names":false,"suffix":""},{"dropping-particle":"","family":"Guastafierro","given":"Salvatore","non-dropping-particle":"","parse-names":false,"suffix":""},{"dropping-particle":"","family":"Fiore","given":"Marco","non-dropping-particle":"","parse-names":false,"suffix":""},{"dropping-particle":"","family":"Iodice","given":"Valentina","non-dropping-particle":"","parse-names":false,"suffix":""},{"dropping-particle":"","family":"Sagnelli","given":"Caterina","non-dropping-particle":"","parse-names":false,"suffix":""},{"dropping-particle":"","family":"Stanzione","given":"Maria","non-dropping-particle":"","parse-names":false,"suffix":""},{"dropping-particle":"","family":"Capoluongo","given":"Nicolina","non-dropping-particle":"","parse-names":false,"suffix":""},{"dropping-particle":"","family":"Pasquale","given":"Giuseppe","non-dropping-particle":"","parse-names":false,"suffix":""},{"dropping-particle":"","family":"Sagnelli","given":"Evangelista","non-dropping-particle":"","parse-names":false,"suffix":""}],"container-title":"Journal of Medical Virology","id":"ITEM-1","issue":"11","issued":{"date-parts":[["2011","11"]]},"page":"1909-1916","publisher":"J Med Virol","title":"Reactivation of overt and occult hepatitis B infection in various immunosuppressive settings","type":"article-journal","volume":"83"},"uris":["http://www.mendeley.com/documents/?uuid=7dc438fe-ccda-3a54-a4c3-5a2d13cb41a2"]},{"id":"ITEM-2","itemData":{"DOI":"10.1016/j.jhep.2009.07.012","abstract":"Backgrounds/Aims: Hepatitis B virus (HBV) reactivation following treatment with rituximab has been reported in patients with either HBsAg-positive, or HBsAg-negative and anti-HBc positive infection. Patients with severe reactivation often have a fatal outcome despite treatment with lamivudine. The use of entecavir has not been reported in patients with severe HBV reactivation. Methods: We present a case of a HBsAg-negative patient diagnosed with chronic lymphocytic leukemia who received a chemotherapeutic regimen that included rituximab, who subsequently presented with severe HBV reactivation with ascites, jaundice and coagulopathy and was treated with entecavir. A review of the literature and underlying HBV associated mutations are discussed. Results: Entecavir produced a rapid and sustained suppression of HBV that was associated with rapid clinical improvement without any side effects. Conclusion: Entecavir is an efficacious and safe treatment for severe HBV reactivation.","author":[{"dropping-particle":"","family":"Sanchez","given":"Mayra J","non-dropping-particle":"","parse-names":false,"suffix":""},{"dropping-particle":"","family":"Buti","given":"Maria","non-dropping-particle":"","parse-names":false,"suffix":""},{"dropping-particle":"","family":"Homs","given":"Maria","non-dropping-particle":"","parse-names":false,"suffix":""},{"dropping-particle":"","family":"Palacios","given":"Andres","non-dropping-particle":"","parse-names":false,"suffix":""},{"dropping-particle":"","family":"Rodriguez-Frias","given":"Francisco","non-dropping-particle":"","parse-names":false,"suffix":""},{"dropping-particle":"","family":"Esteban","given":"Rafael","non-dropping-particle":"","parse-names":false,"suffix":""}],"container-title":"Journal of Hepatology","id":"ITEM-2","issued":{"date-parts":[["0"]]},"page":"1091-1096","title":"Successful use of entecavir for a severe case of reactivation of hepatitis B virus following polychemotherapy containing rituximab q","type":"article-journal","volume":"51"},"uris":["http://www.mendeley.com/documents/?uuid=7c5b9301-1084-3fdb-b8fc-ae5d3423651c"]}],"mendeley":{"formattedCitation":"[165,166]","plainTextFormattedCitation":"[165,166]","previouslyFormattedCitation":"[165,166]"},"properties":{"noteIndex":0},"schema":"https://github.com/citation-style-language/schema/raw/master/csl-citation.json"}</w:instrText>
      </w:r>
      <w:r>
        <w:fldChar w:fldCharType="separate"/>
      </w:r>
      <w:r w:rsidR="00DA11F8" w:rsidRPr="00DA11F8">
        <w:rPr>
          <w:noProof/>
        </w:rPr>
        <w:t>[165,166]</w:t>
      </w:r>
      <w:r>
        <w:fldChar w:fldCharType="end"/>
      </w:r>
      <w:r w:rsidRPr="00E71F5D">
        <w:t>. Несколько зарубежных рандомизированных контролируемых исследований с метаанализом данных показали, что для профилактики реактивации ВГВ целесообразно использовать ламивудин</w:t>
      </w:r>
      <w:r w:rsidRPr="009510CC">
        <w:t xml:space="preserve"> </w:t>
      </w:r>
      <w:r>
        <w:fldChar w:fldCharType="begin" w:fldLock="1"/>
      </w:r>
      <w:r w:rsidR="005267A5">
        <w:instrText>ADDIN CSL_CITATION {"citationItems":[{"id":"ITEM-1","itemData":{"DOI":"10.1182/blood-2008-10-163493","ISSN":"00064971","PMID":"19144986","abstract":"Hepatitis B virus (HBV) reactivation is a serious but preventable complication of immunosuppression. Full HBV serologic profile must be obtained from all patients receiving intensive immunosuppressive therapy. In general, preemptive anti-HBV therapy is more effective than giving treatment after development of reactivation. Prompt lamivu-dine therapy should be given to at-risk patients who are hepatitis B surface antigen (HBsAg)-positive. It is recommended that lamivudine be continued until at least 6 months after the cessation of immunosuppression. Some patients requiring a longer duration of lamivudine therapy are at risk of developing drug resistance. The newer anti HBV agents are effective in overcoming lamivudine resistance. Early use of these agents may be considered. HBV reactivation was observed in HBsAg-negative patients with occult HBV infection (HBV DNA-positive) who are on heavy immunosuppression. The optimal management of this group of patients is unclear. For patients receiving allogeneic HSC transplants, the HBV status of the donors requires special attention. To minimize the risk of transmission of infection to recipients, HBsAg positive donors should receive adequate anti-HBV therapy before HSC donation. As the result of adoptive immune transfer, clearance of HBsAg is observed in HBsAg-positive patients receiving HSC transplants from donors who are positive for hepatitis B surface and core antibodies. © 2009 by The American Society of Hematology.","author":[{"dropping-particle":"","family":"Liang","given":"Raymond","non-dropping-particle":"","parse-names":false,"suffix":""}],"container-title":"Blood","id":"ITEM-1","issue":"14","issued":{"date-parts":[["2009","4","2"]]},"page":"3147-3153","publisher":"American Society of Hematology","title":"How I treat and monitor viral hepatitis B infection in patients receiving intensive immunosuppressive therapies or undergoing hematopoietic stem cell transplantation","type":"article-journal","volume":"113"},"uris":["http://www.mendeley.com/documents/?uuid=c6aa979e-82bd-3a05-b09a-b65bc02bee20"]},{"id":"ITEM-2","itemData":{"DOI":"10.1016/j.blre.2008.02.001","ISSN":"0268960X","abstract":"Viral hepatitis is the third major cause of liver dysfunction in allogeneic transplant recipients and has become a significant concern in patients with hematological malignancies receiving chemotherapy. Thus, identification of patients at risk for viral hepatitis is very important when evaluating and treating hematological malignancies. Serologic screening for all patients should include anti-HCV, hepatitis B surface antigen (HBsAg), hepatitis B surface antibody (anti-HBs), and hepatitis B core antibody (anti-HBc) testing. Current therapies for hepatitis B (HBV) virus infection are aimed at viral suppression, while treatment for hepatitis C (HCV) virus can eradicate infection in many treated patients. To prevent HBV viral reactivation, prophylaxis with nucleoside analogues should be initiated for all HBsAg-positive patients. HCV infection appears to have little impact on short-term survival after bone marrow transplantation (BMT), but eventually can impact long-term survival due to progression of liver disease. In this review we will highlight the mechanisms of virus reactivation, clinical manifestations, and management strategies to minimize acute and chronic morbidity in this population. © 2008 Elsevier Ltd. All rights reserved.","author":[{"dropping-particle":"","family":"Firpi","given":"Roberto J.","non-dropping-particle":"","parse-names":false,"suffix":""},{"dropping-particle":"","family":"Nelson","given":"David R.","non-dropping-particle":"","parse-names":false,"suffix":""}],"container-title":"Blood Reviews","id":"ITEM-2","issue":"3","issued":{"date-parts":[["2008","5","14"]]},"page":"117-126","title":"Management of viral hepatitis in hematologic malignancies","type":"article-journal","volume":"22"},"uris":["http://www.mendeley.com/documents/?uuid=bede40bd-819b-33b5-83bb-9b5be4df0b88"]},{"id":"ITEM-3","itemData":{"DOI":"10.1002/ajh.21022","ISSN":"03618609","abstract":"Several studies have shown that the frequency of hepatitis C virus (HCV) infection is high in patients with B-cell non-Hodgkin's lymphoma (NHL). In these studies, liver dysfunction during chemotherapy has been demonstrated, but changes in HCV ribonucleic acid (RNA) levels during chemotherapy have not been well documented. In this study, we monitored serum HCV RNA levels and liver function In five HCV-infected patients with B-cell NHL undergoing treatment with rituximab-combination chemotherapy. Increased HCV RNA levels during or after the chemotherapy were observed in all five patients, and a significant increase in transaminases was seen in one case. In this case, serum HCV RNA level dramatically decreased at the time of the increase of transaminases, and this suggested that the cause of liver damage was an immune reaction against hepatocytes with HCV and not any anticancer drug induced liver toxicity. Monitoring of serum HCV RNA levels and transaminases may be helpful to understand the cause of liver dysfunction in patients receiving chemotherapy. However, increases of HCV viral load were not associated with the occurrence of liver dysfunction in this study. Further studies will be necessary to investigate more fully the relationship between changes in HCV viral load and liver function during chemotherapy for HCV-infected patients. © 2007 Wiley-Liss, Inc.","author":[{"dropping-particle":"","family":"Ennishi","given":"Daisuke","non-dropping-particle":"","parse-names":false,"suffix":""},{"dropping-particle":"","family":"Terui","given":"Yasuhito","non-dropping-particle":"","parse-names":false,"suffix":""},{"dropping-particle":"","family":"Yokoyama","given":"Masahiro","non-dropping-particle":"","parse-names":false,"suffix":""},{"dropping-particle":"","family":"Mishima","given":"Yuko","non-dropping-particle":"","parse-names":false,"suffix":""},{"dropping-particle":"","family":"Takahashi","given":"Shunji","non-dropping-particle":"","parse-names":false,"suffix":""},{"dropping-particle":"","family":"Takeuchi","given":"Kengo","non-dropping-particle":"","parse-names":false,"suffix":""},{"dropping-particle":"","family":"Okamoto","given":"Hiroaki","non-dropping-particle":"","parse-names":false,"suffix":""},{"dropping-particle":"","family":"Tanimoto","given":"Mitsune","non-dropping-particle":"","parse-names":false,"suffix":""},{"dropping-particle":"","family":"Hatake","given":"Kiyohiko","non-dropping-particle":"","parse-names":false,"suffix":""}],"container-title":"American Journal of Hematology","id":"ITEM-3","issue":"1","issued":{"date-parts":[["2008","1","1"]]},"page":"59-62","publisher":"John Wiley &amp; Sons, Ltd","title":"Monitoring serum hepatitis C virus (HCV) RNA in patients with HCV-infected CD20-positive B-cell lymphoma undergoing rituximab combination chemotherapy","type":"article-journal","volume":"83"},"uris":["http://www.mendeley.com/documents/?uuid=1e8624bf-39e2-37ad-955a-10105c759886"]},{"id":"ITEM-4","itemData":{"DOI":"10.1111/j.1478-3231.2010.02396.x","ISSN":"14783223","PMID":"21205146","abstract":"Reactivation of hepatitis B is characterized by a sudden increase in hepatitis B virus (HBV) replication in a patient with prior evidence of resolved or inactive HBV infection. Although HBV reactivation can occur spontaneously, it usually occurs after chemotherapy, immunosuppression (organ transplantation) or an alteration in immune function (therapy for autoimmune disease, human immunodeficiency virus infection). The clinical presentation cases can vary, ranging from a subclinical, asymptomatic course to severe acute hepatitis and even death. Although reactivation of HBV is mainly found in HBsAg-positive patients, it can be observed in serologically recovered anti-hepatitis B core antibody (HBc)-positive, HBsAg-negative patients. Serum HBV DNA typically increases during immune suppression, followed by a disease flare and HBV DNA clearance following immune restoration after immune suppression is stopped. In organ transplant recipients, without immune reconstitution, high HBV DNA levels can lead to fibrosing cholestatic hepatitis related to the direct cytopathic effect of HBV. Several randomized, controlled trials and meta-analyses have shown that reactivation can be prevented by lamivudine prophylaxis. Screening for HBsAg and anti-HBc should be performed before beginning immunosuppressive treatment and routine prophylaxis is recommended in HBsAg-positive patients. The optimal duration of prophylaxis remains to be determined. In anti-HBc-positive patients with or without anti-hepatitis B surface antigen, alanine transaminase and HBV DNA levels should be closely monitored and antiviral therapy should be started when HBV reactivation is confirmed. The use of new more potent nucleos(t)ides analogues with lower resistance rates would seem to be logical; however, experience with these drugs in the prophylaxis and treatment of severe HBV reactivation is limited. © 2011 John Wiley &amp; Sons A/S.","author":[{"dropping-particle":"","family":"Roche","given":"Bruno","non-dropping-particle":"","parse-names":false,"suffix":""},{"dropping-particle":"","family":"Samuel","given":"Didier","non-dropping-particle":"","parse-names":false,"suffix":""}],"container-title":"Liver International","id":"ITEM-4","issue":"SUPPL. 1","issued":{"date-parts":[["2011","1"]]},"page":"104-110","publisher":"Liver Int","title":"The difficulties of managing severe hepatitis B virus reactivation","type":"article-journal","volume":"31"},"uris":["http://www.mendeley.com/documents/?uuid=7322b501-0227-3082-a6d1-2bf3f9e30c4f"]}],"mendeley":{"formattedCitation":"[167–170]","plainTextFormattedCitation":"[167–170]","previouslyFormattedCitation":"[167–170]"},"properties":{"noteIndex":0},"schema":"https://github.com/citation-style-language/schema/raw/master/csl-citation.json"}</w:instrText>
      </w:r>
      <w:r>
        <w:fldChar w:fldCharType="separate"/>
      </w:r>
      <w:r w:rsidR="00DA11F8" w:rsidRPr="00DA11F8">
        <w:rPr>
          <w:noProof/>
        </w:rPr>
        <w:t>[167–170]</w:t>
      </w:r>
      <w:r>
        <w:fldChar w:fldCharType="end"/>
      </w:r>
      <w:r w:rsidRPr="00E71F5D">
        <w:t>, а также другие более новые и эффективные нуклеозидные аналоги с меньшей скоростью развития к ним резистентности — адефовир, дипивоксил, энтекавир, телбивудин</w:t>
      </w:r>
      <w:r w:rsidRPr="00786DB5">
        <w:t xml:space="preserve"> </w:t>
      </w:r>
      <w:r>
        <w:rPr>
          <w:lang w:val="en-US"/>
        </w:rPr>
        <w:fldChar w:fldCharType="begin" w:fldLock="1"/>
      </w:r>
      <w:r w:rsidR="005267A5">
        <w:rPr>
          <w:lang w:val="en-US"/>
        </w:rPr>
        <w:instrText>ADDIN CSL_CITATION {"citationItems":[{"id":"ITEM-1","itemData":{"DOI":"10.1002/(SICI)1096-9071(200003)60:3&lt;256::AID-JMV2&gt;3.0.CO;2-H","ISSN":"0146-6615","abstract":"Current commercial hepatitis B virus (HBV) anti-HBe immunoassays are designed so that anti-HBe is detectable only in the absence of excess HBeAg. Recently, with the use of direct anti-HBe assays, anti-HBe was detected in individuals who had been seropositive for several years for HBeAg [Maruyama et al. (1993) J. Clin. Invest. 91:2586-2595]. Although anti-HBe seroconversion does not necessarily indicate subsequent HBeAg clearance, the ability to detect earlier anti-HBe seroconversion could have clinical significance for monitoring patients undergoing HBV immunotherapy (e.g., α interferon therapy). Because the HBeAg and the HBcAg share 149 amino acids, an anti-HBe assay must distinguish anti-HBe from anti-HBc antibodies. Although the HBV HBeAg and HBcAg display distinct immunogenic determinants, much remains unknown regarding the complete epitope spectrum specific to each antigen. The goal of this study was 3-fold. The first objective was to identify HBeAg specific linear epitopes. The second objective was to design an anti-HBe immunoassay capable of detecting anti-HBe specific antibody in the presence of excess HBeAg. The third objective was to characterize early anti-HBe seroconversion antibodies. The major linear epitope residing in the HBeAg amino acid sequence was mapped and 2 novel minor epitopes (δ, γ) which appear to be HBeAg specific have been identified. An anti-HBe immunoassay capable of detecting anti-HBe specific antibody in the presence of excess HBeAg was designed. Finally, it was found that early anti-HBe seroconversion antibodies appear to be conformational, whereas later seroconversion, more typically associated with the clearance of HBeAg, is characterized by the presence of antibodies to the linear HBeAg epitopes.","author":[{"dropping-particle":"","family":"Baumeister","given":"Mark A.","non-dropping-particle":"","parse-names":false,"suffix":""},{"dropping-particle":"","family":"Medina-Selby","given":"Angelica","non-dropping-particle":"","parse-names":false,"suffix":""},{"dropping-particle":"","family":"Coit","given":"Doris","non-dropping-particle":"","parse-names":false,"suffix":""},{"dropping-particle":"","family":"Nguyen","given":"Steve","non-dropping-particle":"","parse-names":false,"suffix":""},{"dropping-particle":"","family":"George-Nascimento","given":"Carlos","non-dropping-particle":"","parse-names":false,"suffix":""},{"dropping-particle":"","family":"Gyenes","given":"Alexander","non-dropping-particle":"","parse-names":false,"suffix":""},{"dropping-particle":"","family":"Valenzuela","given":"Pablo","non-dropping-particle":"","parse-names":false,"suffix":""},{"dropping-particle":"","family":"Kuo","given":"George","non-dropping-particle":"","parse-names":false,"suffix":""},{"dropping-particle":"","family":"Chien","given":"David Y.","non-dropping-particle":"","parse-names":false,"suffix":""}],"container-title":"Journal of Medical Virology","id":"ITEM-1","issue":"3","issued":{"date-parts":[["2000","3","1"]]},"page":"256-263","publisher":"John Wiley &amp; Sons, Ltd","title":"Hepatitis B virus e antigen specific epitopes and limitations of commercial anti-HBe immunoassays","type":"article-journal","volume":"60"},"uris":["http://www.mendeley.com/documents/?uuid=157697dc-810b-3491-8616-538c082b1b1a"]}],"mendeley":{"formattedCitation":"[171]","plainTextFormattedCitation":"[171]","previouslyFormattedCitation":"[171]"},"properties":{"noteIndex":0},"schema":"https://github.com/citation-style-language/schema/raw/master/csl-citation.json"}</w:instrText>
      </w:r>
      <w:r>
        <w:rPr>
          <w:lang w:val="en-US"/>
        </w:rPr>
        <w:fldChar w:fldCharType="separate"/>
      </w:r>
      <w:r w:rsidR="00DA11F8" w:rsidRPr="00DA11F8">
        <w:rPr>
          <w:noProof/>
        </w:rPr>
        <w:t>[171]</w:t>
      </w:r>
      <w:r>
        <w:rPr>
          <w:lang w:val="en-US"/>
        </w:rPr>
        <w:fldChar w:fldCharType="end"/>
      </w:r>
      <w:r w:rsidRPr="00E71F5D">
        <w:t xml:space="preserve">. Рекомендовано проведение профилактики </w:t>
      </w:r>
      <w:r>
        <w:t xml:space="preserve">гепатита </w:t>
      </w:r>
      <w:r w:rsidRPr="00E71F5D">
        <w:t>В у HBsAg-отрицательных пациентов, которым планируется пересадка костного мозга от анти-НВс-позитивных доноров: в первую очередь</w:t>
      </w:r>
      <w:r>
        <w:t xml:space="preserve"> </w:t>
      </w:r>
      <w:r w:rsidRPr="00E71F5D">
        <w:t>–</w:t>
      </w:r>
      <w:r>
        <w:t xml:space="preserve"> вакцинация;</w:t>
      </w:r>
      <w:r w:rsidRPr="00E71F5D">
        <w:t xml:space="preserve"> при </w:t>
      </w:r>
      <w:r>
        <w:t>дефиците</w:t>
      </w:r>
      <w:r w:rsidRPr="00E71F5D">
        <w:t xml:space="preserve"> времени</w:t>
      </w:r>
      <w:r>
        <w:t xml:space="preserve"> для вакцинации вследствие экстренных</w:t>
      </w:r>
      <w:r w:rsidRPr="00E71F5D">
        <w:t xml:space="preserve"> </w:t>
      </w:r>
      <w:r>
        <w:t xml:space="preserve">показаний к лечению гематологического заболевания </w:t>
      </w:r>
      <w:r w:rsidRPr="00E71F5D">
        <w:t xml:space="preserve">профилактику проводят с помощью специфического иммуноглобулина, ламивудина или их сочетания. </w:t>
      </w:r>
      <w:r>
        <w:t>При необходимости назначения терапии моноклональным антителом анти-CD20 у гематологических пациентов с положительными маркерами анти-НВс и/или анти-НВ</w:t>
      </w:r>
      <w:r>
        <w:rPr>
          <w:lang w:val="en-US"/>
        </w:rPr>
        <w:t>s</w:t>
      </w:r>
      <w:r>
        <w:t xml:space="preserve"> показан постоянный прием энтекавира 0,5 мг/сут на весь период лечения/поддерживающей терапии и не менее 1 года после завершения иммуносупрессивной терапии при неоднократных отрицательных результатах тестирования на ДНК ВГВ в крови; при развитии устойчивости к энтекавиру показан переход </w:t>
      </w:r>
      <w:r w:rsidRPr="001B6EC8">
        <w:t>на тенофовир</w:t>
      </w:r>
      <w:r>
        <w:t>.</w:t>
      </w:r>
    </w:p>
    <w:p w14:paraId="321F3262" w14:textId="0DC920B1" w:rsidR="0073058C" w:rsidRPr="00A2796B" w:rsidRDefault="0073058C" w:rsidP="0073058C">
      <w:r w:rsidRPr="00E71F5D">
        <w:t xml:space="preserve">Профилактика реактивации ВГС и терапия </w:t>
      </w:r>
      <w:r>
        <w:t>В</w:t>
      </w:r>
      <w:r w:rsidRPr="00E71F5D">
        <w:t>ГС у гематологических больных с нарушениями иммунитета на этапах программной терапии представляется более затруднительной, чем у</w:t>
      </w:r>
      <w:r>
        <w:t xml:space="preserve"> лиц с нормальным иммунитетом</w:t>
      </w:r>
      <w:r w:rsidRPr="008262F3">
        <w:t xml:space="preserve"> </w:t>
      </w:r>
      <w:r>
        <w:fldChar w:fldCharType="begin" w:fldLock="1"/>
      </w:r>
      <w:r w:rsidR="005267A5">
        <w:instrText>ADDIN CSL_CITATION {"citationItems":[{"id":"ITEM-1","itemData":{"DOI":"10.1038/nrclinonc.2012.1","ISSN":"17594774","PMID":"22271089","abstract":"Infections with hepatitis B virus (HBV) or hepatitis C virus (HCV) are associated with significant morbidity and mortality among patients with cancer, especially in patients with hematologic malignancies and those who undergo hematopoietic stem-cell transplantation. Reported rates of HBV reactivation in HBV carriers who undergo chemotherapy range from 14-72%. In these patients, mortality rates range from 5-52%. HCV reactivation seems to be less common than HBV reactivation and is usually associated with a good outcome and low mortality. However, once severe hepatitis develops, as a result of viral reactivation, mortality rates seem to be similar among patients infected with HBV or HCV. Liver damage owing to viral reactivation frequently leads to modifications or interruptions of chemotherapy, which can negatively affect patients' clinical outcome. Risk factors for the development of severe HBV or HCV reactivation need to be better defined to permit identification of patients who may benefit from preventive measures, early diagnosis, and therapy. In this article, we review the epidemiology, pathogenesis, risk factors, and clinical and laboratory manifestations associated with reactivation of HBV and HCV during immunosuppressive therapy. We also discuss strategies for the prevention and treatment of viral reactivation, including the management of reactivation with new antiviral agents. © 2012 Macmillan Publishers Limited. All rights reserved.","author":[{"dropping-particle":"","family":"Torres","given":"Harrys A.","non-dropping-particle":"","parse-names":false,"suffix":""},{"dropping-particle":"","family":"Davila","given":"Marta","non-dropping-particle":"","parse-names":false,"suffix":""}],"container-title":"Nature Reviews Clinical Oncology","id":"ITEM-1","issue":"3","issued":{"date-parts":[["2012","3"]]},"page":"156-166","publisher":"Nat Rev Clin Oncol","title":"Reactivation of hepatitis B virus and hepatitis C virus in patients with cancer","type":"article","volume":"9"},"uris":["http://www.mendeley.com/documents/?uuid=4b3e52b7-1df5-3438-ac0e-dece4683d1b8"]}],"mendeley":{"formattedCitation":"[172]","plainTextFormattedCitation":"[172]","previouslyFormattedCitation":"[172]"},"properties":{"noteIndex":0},"schema":"https://github.com/citation-style-language/schema/raw/master/csl-citation.json"}</w:instrText>
      </w:r>
      <w:r>
        <w:fldChar w:fldCharType="separate"/>
      </w:r>
      <w:r w:rsidR="00DA11F8" w:rsidRPr="00DA11F8">
        <w:rPr>
          <w:noProof/>
        </w:rPr>
        <w:t>[172]</w:t>
      </w:r>
      <w:r>
        <w:fldChar w:fldCharType="end"/>
      </w:r>
      <w:r w:rsidRPr="00E71F5D">
        <w:t xml:space="preserve">. Терапия </w:t>
      </w:r>
      <w:r>
        <w:t xml:space="preserve">ВГС </w:t>
      </w:r>
      <w:r w:rsidRPr="00E71F5D">
        <w:t>с применением новых препаратов прямого противовирусного действия на основе ингибиторов ферментов ВГС — NS3 и NS5B, а также блокаторов белка NS5A, позволяет достигнуть хороших результатов лечения у большинства пациентов</w:t>
      </w:r>
      <w:r w:rsidRPr="00B25E91">
        <w:t xml:space="preserve"> </w:t>
      </w:r>
      <w:r>
        <w:fldChar w:fldCharType="begin" w:fldLock="1"/>
      </w:r>
      <w:r w:rsidR="005267A5">
        <w:instrText>ADDIN CSL_CITATION {"citationItems":[{"id":"ITEM-1","itemData":{"DOI":"10.1055/s-0034-1371006","ISSN":"10988971","PMID":"24782254","abstract":"Presently, interferon- (IFN-) containing treatment regimens are the standard of care for patients with hepatitis C virus (HCV) infections. Although this therapy eliminates the virus in a substantial proportion of patients, it has numerous side effects and contraindications. Recent approval of telaprevir and boceprevir, targeting the protease residing in nonstructural protein 3 (NS3) of the HCV genome, increased therapy success when given in combination with pegylated IFN and ribavirin, but side effects are more frequent and the management of treatment is complex. This situation will change soon with the introduction of new highly potent direct-acting antivirals. They target, in addition to the NS3 protease, NS5A, which is required for RNA replication and virion assembly and the NS5B RNA-dependent RNA polymerase. Moreover, host-cell factors such as cyclophilin A or microRNA-122, essential for HCV replication, have been pursued as therapeutic targets. In this review, the authors briefly summarize the main features of viral and cellular factors involved in HCV replication that are utilized as therapy targets for chronic hepatitis C. © 2014 by Thieme Medical Publishers, Inc.","author":[{"dropping-particle":"","family":"Rupp","given":"Daniel","non-dropping-particle":"","parse-names":false,"suffix":""},{"dropping-particle":"","family":"Bartenschlager","given":"Ralf","non-dropping-particle":"","parse-names":false,"suffix":""}],"container-title":"Seminars in Liver Disease","id":"ITEM-1","issue":"1","issued":{"date-parts":[["2014"]]},"page":"9-21","publisher":"Thieme Medical Publishers, Inc.","title":"Targets for antiviral therapy of hepatitis C","type":"article-journal","volume":"34"},"uris":["http://www.mendeley.com/documents/?uuid=545bae31-4382-32cf-83f6-b0514fa0fa7d"]}],"mendeley":{"formattedCitation":"[173]","plainTextFormattedCitation":"[173]","previouslyFormattedCitation":"[173]"},"properties":{"noteIndex":0},"schema":"https://github.com/citation-style-language/schema/raw/master/csl-citation.json"}</w:instrText>
      </w:r>
      <w:r>
        <w:fldChar w:fldCharType="separate"/>
      </w:r>
      <w:r w:rsidR="00DA11F8" w:rsidRPr="00DA11F8">
        <w:rPr>
          <w:noProof/>
        </w:rPr>
        <w:t>[173]</w:t>
      </w:r>
      <w:r>
        <w:fldChar w:fldCharType="end"/>
      </w:r>
      <w:r w:rsidRPr="00E71F5D">
        <w:t xml:space="preserve">. </w:t>
      </w:r>
      <w:r w:rsidRPr="00A2796B">
        <w:t xml:space="preserve">ВОЗ рекомендует использовать </w:t>
      </w:r>
      <w:r w:rsidRPr="00A2796B">
        <w:rPr>
          <w:bCs/>
        </w:rPr>
        <w:t>пангенотипные</w:t>
      </w:r>
      <w:r w:rsidRPr="00A2796B">
        <w:t xml:space="preserve"> комбинации </w:t>
      </w:r>
      <w:r>
        <w:t>противовирусных препаратов прямого действия</w:t>
      </w:r>
      <w:r w:rsidRPr="00A2796B">
        <w:rPr>
          <w:bCs/>
        </w:rPr>
        <w:t xml:space="preserve">: </w:t>
      </w:r>
    </w:p>
    <w:p w14:paraId="71DCB516" w14:textId="77777777" w:rsidR="0073058C" w:rsidRPr="00A2796B" w:rsidRDefault="0073058C" w:rsidP="0091350E">
      <w:pPr>
        <w:numPr>
          <w:ilvl w:val="0"/>
          <w:numId w:val="89"/>
        </w:numPr>
        <w:autoSpaceDE w:val="0"/>
        <w:autoSpaceDN w:val="0"/>
        <w:adjustRightInd w:val="0"/>
      </w:pPr>
      <w:r w:rsidRPr="00A2796B">
        <w:t xml:space="preserve">софосбувир/велпатасвир, 12 недель, </w:t>
      </w:r>
    </w:p>
    <w:p w14:paraId="3B1C04E1" w14:textId="77777777" w:rsidR="0073058C" w:rsidRPr="00A2796B" w:rsidRDefault="0073058C" w:rsidP="0091350E">
      <w:pPr>
        <w:numPr>
          <w:ilvl w:val="0"/>
          <w:numId w:val="89"/>
        </w:numPr>
        <w:autoSpaceDE w:val="0"/>
        <w:autoSpaceDN w:val="0"/>
        <w:adjustRightInd w:val="0"/>
      </w:pPr>
      <w:r w:rsidRPr="00A2796B">
        <w:rPr>
          <w:lang w:val="en-US"/>
        </w:rPr>
        <w:t>c</w:t>
      </w:r>
      <w:r w:rsidRPr="00A2796B">
        <w:t xml:space="preserve">офосбувир/даклатасвир, 12 недель, </w:t>
      </w:r>
    </w:p>
    <w:p w14:paraId="3CF3F731" w14:textId="77777777" w:rsidR="0073058C" w:rsidRPr="00A2796B" w:rsidRDefault="0073058C" w:rsidP="0091350E">
      <w:pPr>
        <w:numPr>
          <w:ilvl w:val="0"/>
          <w:numId w:val="89"/>
        </w:numPr>
        <w:autoSpaceDE w:val="0"/>
        <w:autoSpaceDN w:val="0"/>
        <w:adjustRightInd w:val="0"/>
      </w:pPr>
      <w:r w:rsidRPr="00A2796B">
        <w:t xml:space="preserve">глекапревир/пибрентасвир, 8 – 16 недель. </w:t>
      </w:r>
    </w:p>
    <w:p w14:paraId="765EE944" w14:textId="77777777" w:rsidR="0073058C" w:rsidRDefault="0073058C" w:rsidP="0073058C">
      <w:pPr>
        <w:rPr>
          <w:b/>
          <w:szCs w:val="28"/>
        </w:rPr>
      </w:pPr>
    </w:p>
    <w:p w14:paraId="3227C712" w14:textId="77777777" w:rsidR="0073058C" w:rsidRPr="00D20B00" w:rsidRDefault="0073058C" w:rsidP="0073058C">
      <w:pPr>
        <w:rPr>
          <w:bCs/>
          <w:i/>
          <w:iCs/>
          <w:sz w:val="22"/>
          <w:u w:val="single"/>
        </w:rPr>
      </w:pPr>
      <w:r w:rsidRPr="00D20B00">
        <w:rPr>
          <w:bCs/>
          <w:i/>
          <w:iCs/>
          <w:szCs w:val="28"/>
          <w:u w:val="single"/>
        </w:rPr>
        <w:t>Алгоритм действий врача</w:t>
      </w:r>
    </w:p>
    <w:p w14:paraId="3B0CD0A3" w14:textId="77777777" w:rsidR="0073058C" w:rsidRDefault="0073058C" w:rsidP="00D42087">
      <w:pPr>
        <w:ind w:firstLine="709"/>
        <w:rPr>
          <w:szCs w:val="28"/>
        </w:rPr>
      </w:pPr>
      <w:r>
        <w:rPr>
          <w:noProof/>
        </w:rPr>
        <w:t xml:space="preserve">Врач-гематолог назначает лабораторное обследование на наличие маркеров гемотрансмиссивных инфекций согласно выше приведенному </w:t>
      </w:r>
      <w:r w:rsidRPr="00700883">
        <w:rPr>
          <w:noProof/>
        </w:rPr>
        <w:t>«</w:t>
      </w:r>
      <w:r w:rsidRPr="00700883">
        <w:rPr>
          <w:szCs w:val="28"/>
        </w:rPr>
        <w:t>Протоколу обследования образцов крови пациентов на инфекционные маркеры».</w:t>
      </w:r>
    </w:p>
    <w:p w14:paraId="75ACC18C" w14:textId="06E80549" w:rsidR="0073058C" w:rsidRDefault="0073058C" w:rsidP="00D42087">
      <w:pPr>
        <w:ind w:firstLine="709"/>
        <w:rPr>
          <w:noProof/>
        </w:rPr>
      </w:pPr>
      <w:r>
        <w:rPr>
          <w:szCs w:val="28"/>
        </w:rPr>
        <w:t xml:space="preserve">В случае выявления </w:t>
      </w:r>
      <w:r>
        <w:rPr>
          <w:noProof/>
        </w:rPr>
        <w:t>маркеров гемотрансмиссивных инфекций пациента напрвляют на консультацию к врачу-инфекцианисту.</w:t>
      </w:r>
    </w:p>
    <w:p w14:paraId="0E1F7573" w14:textId="77777777" w:rsidR="00E36D4A" w:rsidRPr="00E71F5D" w:rsidRDefault="00E36D4A" w:rsidP="00D42087">
      <w:pPr>
        <w:ind w:firstLine="709"/>
        <w:rPr>
          <w:noProof/>
        </w:rPr>
      </w:pPr>
    </w:p>
    <w:p w14:paraId="51C00D49" w14:textId="4BE09350" w:rsidR="003D210A" w:rsidRPr="003D210A" w:rsidRDefault="00D42087" w:rsidP="003D210A">
      <w:pPr>
        <w:pStyle w:val="2"/>
      </w:pPr>
      <w:bookmarkStart w:id="52" w:name="_Toc65104112"/>
      <w:r>
        <w:t>7.14</w:t>
      </w:r>
      <w:r w:rsidR="003D210A">
        <w:t xml:space="preserve"> </w:t>
      </w:r>
      <w:r w:rsidR="003D210A" w:rsidRPr="00C15639">
        <w:t>Диагностика и лечение септического шока и острой дыхательной недостаточности у гематологических пациентов</w:t>
      </w:r>
      <w:bookmarkEnd w:id="52"/>
    </w:p>
    <w:p w14:paraId="4FCA9737" w14:textId="77777777" w:rsidR="003D210A" w:rsidRPr="00C15639" w:rsidRDefault="003D210A" w:rsidP="003D210A">
      <w:pPr>
        <w:pStyle w:val="Normal11"/>
      </w:pPr>
    </w:p>
    <w:p w14:paraId="2A17EFD3" w14:textId="77777777" w:rsidR="003D210A" w:rsidRPr="00C15639" w:rsidRDefault="003D210A" w:rsidP="003D210A">
      <w:pPr>
        <w:pStyle w:val="Normal11"/>
        <w:spacing w:line="360" w:lineRule="auto"/>
        <w:rPr>
          <w:i/>
          <w:u w:val="single"/>
        </w:rPr>
      </w:pPr>
      <w:r w:rsidRPr="00C15639">
        <w:rPr>
          <w:i/>
          <w:u w:val="single"/>
        </w:rPr>
        <w:t>Сепсис и септический шок</w:t>
      </w:r>
    </w:p>
    <w:p w14:paraId="73583922" w14:textId="77777777" w:rsidR="003D210A" w:rsidRPr="00C15639" w:rsidRDefault="003D210A" w:rsidP="003D210A">
      <w:pPr>
        <w:pStyle w:val="Normal11"/>
        <w:spacing w:line="360" w:lineRule="auto"/>
        <w:ind w:firstLine="699"/>
      </w:pPr>
      <w:r w:rsidRPr="00C15639">
        <w:t>Сепсис — это угрожающая жизни органная дисфункция, вызванная нарушенным ответом организма больного на инфекцию. Сепсис регистрируется у 30% онкогематологических больных после проведения курсов химиотерапии и является одной из наиболее частых причин перевода их в отделение реанимации и интенсивной терапии (ОРИТ).</w:t>
      </w:r>
    </w:p>
    <w:p w14:paraId="1A94B222" w14:textId="77777777" w:rsidR="003D210A" w:rsidRPr="00C15639" w:rsidRDefault="003D210A" w:rsidP="003D210A">
      <w:pPr>
        <w:ind w:firstLine="699"/>
        <w:rPr>
          <w:szCs w:val="24"/>
          <w:lang w:eastAsia="ru-RU"/>
        </w:rPr>
      </w:pPr>
      <w:r w:rsidRPr="00C15639">
        <w:rPr>
          <w:szCs w:val="24"/>
          <w:lang w:eastAsia="ru-RU"/>
        </w:rPr>
        <w:t>Сепсис является одним из факторов риска смертности у онкогематологических пациентов. Одним из наиболее тяжелых проявлений сепсиса является септический шок, который у этой категории больных является независимым предиктором летального исхода. Септический шок является одной из наиболее частых причин госпитализации в ОРИТ – 42%, а также является самой частой причиной смерти. Выживаемость при септическом шоке у больных в состоянии агранулоцитоза, по некоторым данным, составляет всего 27%. Хотя за последнее время выживаемость у онкогематологических пациентов с септическим шоком увеличилась, однако смертность все еще остается высокой и во многом зависит от оснащенности палаты интенсивной терапии, действий персонала при лечении больных с септическим шоком.</w:t>
      </w:r>
    </w:p>
    <w:p w14:paraId="558281AA" w14:textId="77777777" w:rsidR="003D210A" w:rsidRPr="00C15639" w:rsidRDefault="003D210A" w:rsidP="003D210A">
      <w:pPr>
        <w:ind w:firstLine="699"/>
        <w:rPr>
          <w:szCs w:val="24"/>
          <w:lang w:eastAsia="ru-RU"/>
        </w:rPr>
      </w:pPr>
      <w:r w:rsidRPr="00C15639">
        <w:rPr>
          <w:szCs w:val="24"/>
          <w:lang w:eastAsia="ru-RU"/>
        </w:rPr>
        <w:t>Изучение клинических проявлений сепсиса у онкогематологических больных показало, что в 35% случаев его первые симптомы возникают в течение недели до выделения бактерий из крови, причем значимо чаще при сепсисе, обусловленном неферментирующими бактериями (56%) в сравнении с энтеробактериями (26%). У 33% больных гемобластозами лихорадка возникала лишь за сутки до развития септического шока. У онкогематологических больных обычно имеет место снижение уровня Ig</w:t>
      </w:r>
      <w:r w:rsidRPr="00C15639">
        <w:rPr>
          <w:szCs w:val="24"/>
          <w:lang w:val="en-US" w:eastAsia="ru-RU"/>
        </w:rPr>
        <w:t>G</w:t>
      </w:r>
      <w:r w:rsidRPr="00C15639">
        <w:rPr>
          <w:szCs w:val="24"/>
          <w:lang w:eastAsia="ru-RU"/>
        </w:rPr>
        <w:t xml:space="preserve"> и </w:t>
      </w:r>
      <w:r w:rsidRPr="00C15639">
        <w:rPr>
          <w:szCs w:val="24"/>
          <w:lang w:val="en-US" w:eastAsia="ru-RU"/>
        </w:rPr>
        <w:t>IgM</w:t>
      </w:r>
      <w:r w:rsidRPr="00C15639">
        <w:rPr>
          <w:szCs w:val="24"/>
          <w:lang w:eastAsia="ru-RU"/>
        </w:rPr>
        <w:t>, персистирует нейтропения, что также способствует развитию инфекционных осложнений. Таким образом, можно говорить о расширении понятия сепсис в онкогематологии. Необходимо подозревать сепсис у каждого больного онкогематологическим заболеванием или депрессией кроветоворения с фебрильной лихорадкой и даже нормальными уровнями маркеров воспаления, начинать или видоизменять таким пациентам антибиотическую терапию как можно раньше. Необходимо активное проведение комплекса диагностических исследований, повторение их, изменение тактики антимикробной терапии при отрицательных результатах у этих больных.</w:t>
      </w:r>
    </w:p>
    <w:p w14:paraId="0AB54342" w14:textId="77777777" w:rsidR="003D210A" w:rsidRPr="00C15639" w:rsidRDefault="003D210A" w:rsidP="003D210A">
      <w:pPr>
        <w:ind w:firstLine="699"/>
        <w:rPr>
          <w:szCs w:val="24"/>
          <w:lang w:eastAsia="ru-RU"/>
        </w:rPr>
      </w:pPr>
      <w:r w:rsidRPr="00C15639">
        <w:rPr>
          <w:szCs w:val="24"/>
          <w:lang w:eastAsia="ru-RU"/>
        </w:rPr>
        <w:t xml:space="preserve">Определение понятия «сепсис» за последние годы претерпело ряд существенных изменений. </w:t>
      </w:r>
    </w:p>
    <w:p w14:paraId="66E1EF0D" w14:textId="77777777" w:rsidR="003D210A" w:rsidRPr="00C15639" w:rsidRDefault="003D210A" w:rsidP="003D210A">
      <w:pPr>
        <w:ind w:firstLine="699"/>
        <w:rPr>
          <w:szCs w:val="24"/>
          <w:lang w:eastAsia="ru-RU"/>
        </w:rPr>
      </w:pPr>
      <w:r w:rsidRPr="00C15639">
        <w:rPr>
          <w:szCs w:val="24"/>
          <w:lang w:eastAsia="ru-RU"/>
        </w:rPr>
        <w:t xml:space="preserve">В 1991 г. на согласительной конференции Американского колледжа пульмонологов и Общества специалистов критической медицины — ACCP/SCCM, состоявшейся в Чикаго, было дано определение сепсиса как системной реакции организма на инфекционный очаг («Сепсис-1»). Согласно этой концепции, выделяли синдром системного воспалительной реакции, сепсис, тяжелый сепсис, синдром полиорганной дисфункции, септической шок. </w:t>
      </w:r>
    </w:p>
    <w:p w14:paraId="049CA8C8" w14:textId="77777777" w:rsidR="003D210A" w:rsidRPr="00C15639" w:rsidRDefault="003D210A" w:rsidP="003D210A">
      <w:pPr>
        <w:ind w:firstLine="699"/>
        <w:rPr>
          <w:szCs w:val="24"/>
          <w:lang w:eastAsia="ru-RU"/>
        </w:rPr>
      </w:pPr>
      <w:r w:rsidRPr="00C15639">
        <w:rPr>
          <w:szCs w:val="24"/>
          <w:lang w:eastAsia="ru-RU"/>
        </w:rPr>
        <w:t>В 2001 г. в этом определении был расширен список диагностических критериев, однако определение сепсиса, септического шока и органной дисфункции осталось в основном без изменений («Сепсис-2»).</w:t>
      </w:r>
    </w:p>
    <w:p w14:paraId="0903B915" w14:textId="6428AA04" w:rsidR="003D210A" w:rsidRPr="00C15639" w:rsidRDefault="003D210A" w:rsidP="003D210A">
      <w:pPr>
        <w:ind w:firstLine="709"/>
        <w:rPr>
          <w:szCs w:val="24"/>
          <w:lang w:eastAsia="ru-RU"/>
        </w:rPr>
      </w:pPr>
      <w:r w:rsidRPr="00C15639">
        <w:rPr>
          <w:szCs w:val="24"/>
          <w:lang w:eastAsia="ru-RU"/>
        </w:rPr>
        <w:t>В январе 2014 г. Европейское общество специалистов интенсивной терапии (European Society of Intensive Care Medicine) и Общество специалистов критической медицины (Society of Critical Care Medicine) создали рабочую группу по разработке нового определения сепсиса. Это новое определение сепсиса и его осложнений получило название «Сепсис-3»</w:t>
      </w:r>
      <w:r w:rsidRPr="005E58DC">
        <w:rPr>
          <w:szCs w:val="24"/>
          <w:lang w:eastAsia="ru-RU"/>
        </w:rPr>
        <w:t xml:space="preserve"> </w:t>
      </w:r>
      <w:r>
        <w:rPr>
          <w:szCs w:val="24"/>
          <w:lang w:eastAsia="ru-RU"/>
        </w:rPr>
        <w:fldChar w:fldCharType="begin" w:fldLock="1"/>
      </w:r>
      <w:r w:rsidR="00120F30">
        <w:rPr>
          <w:szCs w:val="24"/>
          <w:lang w:eastAsia="ru-RU"/>
        </w:rPr>
        <w:instrText>ADDIN CSL_CITATION {"citationItems":[{"id":"ITEM-1","itemData":{"DOI":"10.1001/jama.2016.0287","ISSN":"15383598","PMID":"26903338","abstract":"IMPORTANCE: Definitions of sepsis and septic shock were last revised in 2001. Considerable advances have since been made into the pathobiology (changes in organ function, morphology, cell biology, biochemistry, immunology, and circulation), management, and epidemiology of sepsis, suggesting the need for reexamination. OBJECTIVE: To evaluate and, as needed, update definitions for sepsis and septic shock. PROCESS A task force (n = 19) with expertise in sepsis pathobiology, clinical trials, and epidemiology was convened by the Society of Critical Care Medicine and the European Society of Intensive Care Medicine. Definitions and clinical criteria were generated through meetings, Delphi processes, analysis of electronic health record databases, and voting, followed by circulation to international professional societies, requesting peer review and endorsement (by 31 societies listed in the Acknowledgment). KEY FINDINGS FROMEVIDENCE SYNTHESIS: Limitations of previous definitions included an excessive focus on inflammation, the misleading model that sepsis follows a continuum through severe sepsis to shock, and inadequate specificity and sensitivity of the systemic inflammatory response syndrome (SIRS) criteria. Multiple definitions and terminologies are currently in use for sepsis, septic shock, and organ dysfunction, leading to discrepancies in reported incidence and observed mortality. The task force concluded the term severe sepsis was redundant. RECOMMENDATIONS: Sepsis should be defined as life-threatening organ dysfunction caused by a dysregulated host response to infection. For clinical operationalization, organ dysfunction can be represented by an increase in the Sequential [Sepsis-related] Organ Failure Assessment (SOFA) score of 2 points or more, which is associated with an in-hospital mortality greater than 10%. Septic shock should be defined as a subset of sepsis in which particularly profound circulatory, cellular, and metabolic abnormalities are associated with a greater risk of mortality than with sepsis alone. Patients with septic shock can be clinically identified by a vasopressor requirement to maintain a mean arterial pressure of 65mmHg or greater and serum lactate level greater than 2 mmol/L (&gt;18mg/dL) in the absence of hypovolemia. This combination is associated with hospital mortality rates greater than 40%. In out-of-hospital, emergency department, or general hospital ward settings, adult patients with suspected infection can be rapidly i…","author":[{"dropping-particle":"","family":"Singer","given":"Mervyn","non-dropping-particle":"","parse-names":false,"suffix":""},{"dropping-particle":"","family":"Deutschman","given":"Clifford S.","non-dropping-particle":"","parse-names":false,"suffix":""},{"dropping-particle":"","family":"Seymour","given":"Christopherwarren","non-dropping-particle":"","parse-names":false,"suffix":""},{"dropping-particle":"","family":"Shankar-Hari","given":"Manu","non-dropping-particle":"","parse-names":false,"suffix":""},{"dropping-particle":"","family":"Annane","given":"Djillali","non-dropping-particle":"","parse-names":false,"suffix":""},{"dropping-particle":"","family":"Bauer","given":"Michael","non-dropping-particle":"","parse-names":false,"suffix":""},{"dropping-particle":"","family":"Bellomo","given":"Rinaldo","non-dropping-particle":"","parse-names":false,"suffix":""},{"dropping-particle":"","family":"Bernard","given":"Gordon R.","non-dropping-particle":"","parse-names":false,"suffix":""},{"dropping-particle":"","family":"Chiche","given":"Jean Daniel","non-dropping-particle":"","parse-names":false,"suffix":""},{"dropping-particle":"","family":"Coopersmith","given":"Craig M.","non-dropping-particle":"","parse-names":false,"suffix":""},{"dropping-particle":"","family":"Hotchkiss","given":"Richard S.","non-dropping-particle":"","parse-names":false,"suffix":""},{"dropping-particle":"","family":"Levy","given":"Mitchell M.","non-dropping-particle":"","parse-names":false,"suffix":""},{"dropping-particle":"","family":"Marshall","given":"John C.","non-dropping-particle":"","parse-names":false,"suffix":""},{"dropping-particle":"","family":"Martin","given":"Greg S.","non-dropping-particle":"","parse-names":false,"suffix":""},{"dropping-particle":"","family":"Opal","given":"Steven M.","non-dropping-particle":"","parse-names":false,"suffix":""},{"dropping-particle":"","family":"Rubenfeld","given":"Gordon D.","non-dropping-particle":"","parse-names":false,"suffix":""},{"dropping-particle":"Der","family":"Poll","given":"Tomvan","non-dropping-particle":"","parse-names":false,"suffix":""},{"dropping-particle":"","family":"Vincent","given":"Jean Louis","non-dropping-particle":"","parse-names":false,"suffix":""},{"dropping-particle":"","family":"Angus","given":"Derek C.","non-dropping-particle":"","parse-names":false,"suffix":""}],"container-title":"JAMA - Journal of the American Medical Association","id":"ITEM-1","issue":"8","issued":{"date-parts":[["2016","2","23"]]},"page":"801-810","publisher":"American Medical Association","title":"The third international consensus definitions for sepsis and septic shock (sepsis-3)","type":"article","volume":"315"},"uris":["http://www.mendeley.com/documents/?uuid=7a82ce29-56d4-3507-a1c5-e9dc199012e8"]}],"mendeley":{"formattedCitation":"[174]","plainTextFormattedCitation":"[174]","previouslyFormattedCitation":"[174]"},"properties":{"noteIndex":0},"schema":"https://github.com/citation-style-language/schema/raw/master/csl-citation.json"}</w:instrText>
      </w:r>
      <w:r>
        <w:rPr>
          <w:szCs w:val="24"/>
          <w:lang w:eastAsia="ru-RU"/>
        </w:rPr>
        <w:fldChar w:fldCharType="separate"/>
      </w:r>
      <w:r w:rsidR="005267A5" w:rsidRPr="005267A5">
        <w:rPr>
          <w:noProof/>
          <w:szCs w:val="24"/>
          <w:lang w:eastAsia="ru-RU"/>
        </w:rPr>
        <w:t>[174]</w:t>
      </w:r>
      <w:r>
        <w:rPr>
          <w:szCs w:val="24"/>
          <w:lang w:eastAsia="ru-RU"/>
        </w:rPr>
        <w:fldChar w:fldCharType="end"/>
      </w:r>
      <w:r w:rsidRPr="00C15639">
        <w:rPr>
          <w:szCs w:val="24"/>
          <w:lang w:eastAsia="ru-RU"/>
        </w:rPr>
        <w:t>.</w:t>
      </w:r>
    </w:p>
    <w:p w14:paraId="6EE0057C" w14:textId="77777777" w:rsidR="003D210A" w:rsidRDefault="003D210A" w:rsidP="003D210A">
      <w:pPr>
        <w:ind w:firstLine="708"/>
        <w:rPr>
          <w:b/>
          <w:bCs/>
          <w:lang w:eastAsia="ru-RU"/>
        </w:rPr>
      </w:pPr>
    </w:p>
    <w:p w14:paraId="233F625B" w14:textId="77777777" w:rsidR="003D210A" w:rsidRPr="00955814" w:rsidRDefault="003D210A" w:rsidP="003D210A">
      <w:pPr>
        <w:ind w:firstLine="708"/>
        <w:rPr>
          <w:b/>
          <w:bCs/>
          <w:lang w:eastAsia="ru-RU"/>
        </w:rPr>
      </w:pPr>
      <w:r w:rsidRPr="00955814">
        <w:rPr>
          <w:b/>
          <w:bCs/>
          <w:lang w:eastAsia="ru-RU"/>
        </w:rPr>
        <w:t>«Сепсис-3»: отличительные особенности</w:t>
      </w:r>
    </w:p>
    <w:p w14:paraId="51ACFDB9" w14:textId="77777777" w:rsidR="003D210A" w:rsidRPr="00C15639" w:rsidRDefault="003D210A" w:rsidP="003D210A">
      <w:pPr>
        <w:ind w:firstLine="709"/>
        <w:rPr>
          <w:b/>
          <w:szCs w:val="24"/>
        </w:rPr>
      </w:pPr>
      <w:r w:rsidRPr="00C15639">
        <w:rPr>
          <w:b/>
          <w:szCs w:val="24"/>
        </w:rPr>
        <w:t>1. Системная воспалительная реакция в настоящее время не рассматривается как критерий сепсиса.</w:t>
      </w:r>
    </w:p>
    <w:p w14:paraId="748E72AD" w14:textId="77777777" w:rsidR="003D210A" w:rsidRPr="00C15639" w:rsidRDefault="003D210A" w:rsidP="003D210A">
      <w:pPr>
        <w:ind w:firstLine="709"/>
        <w:rPr>
          <w:b/>
          <w:bCs/>
          <w:szCs w:val="24"/>
        </w:rPr>
      </w:pPr>
      <w:r w:rsidRPr="00C15639">
        <w:rPr>
          <w:szCs w:val="24"/>
          <w:lang w:eastAsia="ru-RU"/>
        </w:rPr>
        <w:t>Сепсис — это угрожающая жизни органная дисфункция, вызванная нарушенным ответом организма больного на инфекцию.</w:t>
      </w:r>
    </w:p>
    <w:p w14:paraId="17D25A33" w14:textId="77777777" w:rsidR="003D210A" w:rsidRPr="00C15639" w:rsidRDefault="003D210A" w:rsidP="003D210A">
      <w:pPr>
        <w:ind w:firstLine="709"/>
        <w:rPr>
          <w:b/>
          <w:szCs w:val="24"/>
        </w:rPr>
      </w:pPr>
      <w:r w:rsidRPr="00C15639">
        <w:rPr>
          <w:b/>
          <w:szCs w:val="24"/>
        </w:rPr>
        <w:t xml:space="preserve">2. Системная воспалительная реакция заменена шкалой органной недостаточности </w:t>
      </w:r>
      <w:r w:rsidRPr="00C15639">
        <w:rPr>
          <w:b/>
          <w:szCs w:val="24"/>
          <w:lang w:val="en-US"/>
        </w:rPr>
        <w:t>qSOFA</w:t>
      </w:r>
      <w:r w:rsidRPr="00C15639">
        <w:rPr>
          <w:b/>
          <w:szCs w:val="24"/>
        </w:rPr>
        <w:t xml:space="preserve"> (</w:t>
      </w:r>
      <w:r w:rsidRPr="00C15639">
        <w:rPr>
          <w:b/>
          <w:szCs w:val="24"/>
          <w:lang w:val="en-US"/>
        </w:rPr>
        <w:t>quick</w:t>
      </w:r>
      <w:r w:rsidRPr="00C15639">
        <w:rPr>
          <w:b/>
          <w:szCs w:val="24"/>
        </w:rPr>
        <w:t xml:space="preserve"> </w:t>
      </w:r>
      <w:r w:rsidRPr="00C15639">
        <w:rPr>
          <w:b/>
          <w:szCs w:val="24"/>
          <w:lang w:val="en-US"/>
        </w:rPr>
        <w:t>Sequential</w:t>
      </w:r>
      <w:r w:rsidRPr="00C15639">
        <w:rPr>
          <w:b/>
          <w:szCs w:val="24"/>
        </w:rPr>
        <w:t xml:space="preserve"> </w:t>
      </w:r>
      <w:r w:rsidRPr="00C15639">
        <w:rPr>
          <w:b/>
          <w:szCs w:val="24"/>
          <w:lang w:val="en-US"/>
        </w:rPr>
        <w:t>Organ</w:t>
      </w:r>
      <w:r w:rsidRPr="00C15639">
        <w:rPr>
          <w:b/>
          <w:szCs w:val="24"/>
        </w:rPr>
        <w:t xml:space="preserve"> </w:t>
      </w:r>
      <w:r w:rsidRPr="00C15639">
        <w:rPr>
          <w:b/>
          <w:szCs w:val="24"/>
          <w:lang w:val="en-US"/>
        </w:rPr>
        <w:t>Failure</w:t>
      </w:r>
      <w:r w:rsidRPr="00C15639">
        <w:rPr>
          <w:b/>
          <w:szCs w:val="24"/>
        </w:rPr>
        <w:t xml:space="preserve"> </w:t>
      </w:r>
      <w:r w:rsidRPr="00C15639">
        <w:rPr>
          <w:b/>
          <w:szCs w:val="24"/>
          <w:lang w:val="en-US"/>
        </w:rPr>
        <w:t>Assessment</w:t>
      </w:r>
      <w:r w:rsidRPr="00C15639">
        <w:rPr>
          <w:b/>
          <w:szCs w:val="24"/>
        </w:rPr>
        <w:t>).</w:t>
      </w:r>
    </w:p>
    <w:p w14:paraId="7BDB1A09" w14:textId="77777777" w:rsidR="003D210A" w:rsidRPr="00C15639" w:rsidRDefault="003D210A" w:rsidP="003D210A">
      <w:pPr>
        <w:ind w:firstLine="709"/>
        <w:rPr>
          <w:szCs w:val="24"/>
          <w:lang w:eastAsia="ru-RU"/>
        </w:rPr>
      </w:pPr>
      <w:r w:rsidRPr="00C15639">
        <w:rPr>
          <w:szCs w:val="24"/>
          <w:lang w:eastAsia="ru-RU"/>
        </w:rPr>
        <w:t>Новые критерии qSOFA разработаны в качестве быстрого и простого инструмента, позволяющего идентифицировать сепсис в любых условиях. В отличие от SOFA, для шкалы qSOFA не требуются лабораторные тесты.</w:t>
      </w:r>
    </w:p>
    <w:p w14:paraId="1F82BE5D" w14:textId="77777777" w:rsidR="003D210A" w:rsidRPr="00C15639" w:rsidRDefault="003D210A" w:rsidP="003D210A">
      <w:pPr>
        <w:ind w:firstLine="709"/>
        <w:rPr>
          <w:szCs w:val="24"/>
          <w:lang w:eastAsia="ru-RU"/>
        </w:rPr>
      </w:pPr>
      <w:r w:rsidRPr="00C15639">
        <w:rPr>
          <w:szCs w:val="24"/>
          <w:lang w:eastAsia="ru-RU"/>
        </w:rPr>
        <w:t>Положительная шкала qSOFA помогает клиницисту увидеть органную дисфункцию, начать или эскалировать терапию, согласно принятым в интенсивной терапии правилам.</w:t>
      </w:r>
    </w:p>
    <w:p w14:paraId="75CDA942" w14:textId="77777777" w:rsidR="003D210A" w:rsidRPr="00C15639" w:rsidRDefault="003D210A" w:rsidP="003D210A">
      <w:pPr>
        <w:ind w:firstLine="709"/>
        <w:rPr>
          <w:szCs w:val="24"/>
          <w:lang w:eastAsia="ru-RU"/>
        </w:rPr>
      </w:pPr>
      <w:r w:rsidRPr="00C15639">
        <w:rPr>
          <w:szCs w:val="24"/>
          <w:lang w:eastAsia="ru-RU"/>
        </w:rPr>
        <w:t>Диагноз сепсиса устанавливается при подозрении на инфекцию и положительной qSOFA, то есть ≥ 2 критериев из следующих:</w:t>
      </w:r>
    </w:p>
    <w:p w14:paraId="6DE34102" w14:textId="77777777" w:rsidR="003D210A" w:rsidRPr="00C15639" w:rsidRDefault="003D210A" w:rsidP="003D210A">
      <w:pPr>
        <w:pStyle w:val="Number1"/>
        <w:spacing w:before="0" w:line="360" w:lineRule="auto"/>
        <w:ind w:firstLine="709"/>
        <w:rPr>
          <w:szCs w:val="24"/>
        </w:rPr>
      </w:pPr>
      <w:r w:rsidRPr="00C15639">
        <w:rPr>
          <w:szCs w:val="24"/>
        </w:rPr>
        <w:t>1.</w:t>
      </w:r>
      <w:r w:rsidRPr="00C15639">
        <w:rPr>
          <w:szCs w:val="24"/>
        </w:rPr>
        <w:tab/>
        <w:t>Нарушенный ментальный статус (шкала комы Глазго &lt; 15).</w:t>
      </w:r>
    </w:p>
    <w:p w14:paraId="4241E9A1" w14:textId="77777777" w:rsidR="003D210A" w:rsidRPr="00C15639" w:rsidRDefault="003D210A" w:rsidP="003D210A">
      <w:pPr>
        <w:pStyle w:val="Number1"/>
        <w:spacing w:before="0" w:line="360" w:lineRule="auto"/>
        <w:ind w:firstLine="709"/>
        <w:rPr>
          <w:szCs w:val="24"/>
        </w:rPr>
      </w:pPr>
      <w:r w:rsidRPr="00C15639">
        <w:rPr>
          <w:szCs w:val="24"/>
        </w:rPr>
        <w:t>2.</w:t>
      </w:r>
      <w:r w:rsidRPr="00C15639">
        <w:rPr>
          <w:szCs w:val="24"/>
        </w:rPr>
        <w:tab/>
        <w:t>Систолическое АД ≤ 100 мм рт. ст.</w:t>
      </w:r>
    </w:p>
    <w:p w14:paraId="75ACA1B9" w14:textId="77777777" w:rsidR="003D210A" w:rsidRPr="00C15639" w:rsidRDefault="003D210A" w:rsidP="003D210A">
      <w:pPr>
        <w:pStyle w:val="Number1"/>
        <w:spacing w:before="0" w:line="360" w:lineRule="auto"/>
        <w:ind w:firstLine="709"/>
        <w:rPr>
          <w:szCs w:val="24"/>
        </w:rPr>
      </w:pPr>
      <w:r w:rsidRPr="00C15639">
        <w:rPr>
          <w:szCs w:val="24"/>
        </w:rPr>
        <w:t>3.</w:t>
      </w:r>
      <w:r w:rsidRPr="00C15639">
        <w:rPr>
          <w:szCs w:val="24"/>
        </w:rPr>
        <w:tab/>
        <w:t>Число дыханий ≥ 22/мин.</w:t>
      </w:r>
    </w:p>
    <w:p w14:paraId="7AC5270C" w14:textId="77777777" w:rsidR="003D210A" w:rsidRPr="00C15639" w:rsidRDefault="003D210A" w:rsidP="003D210A">
      <w:pPr>
        <w:ind w:firstLine="709"/>
        <w:rPr>
          <w:b/>
          <w:bCs/>
          <w:szCs w:val="24"/>
        </w:rPr>
      </w:pPr>
      <w:r w:rsidRPr="00C15639">
        <w:rPr>
          <w:b/>
          <w:bCs/>
          <w:szCs w:val="24"/>
        </w:rPr>
        <w:t xml:space="preserve">3. Шкала органной недостаточности </w:t>
      </w:r>
      <w:r w:rsidRPr="00C15639">
        <w:rPr>
          <w:b/>
          <w:bCs/>
          <w:szCs w:val="24"/>
          <w:lang w:val="en-US"/>
        </w:rPr>
        <w:t>SOFA</w:t>
      </w:r>
      <w:r w:rsidRPr="00C15639">
        <w:rPr>
          <w:b/>
          <w:bCs/>
          <w:szCs w:val="24"/>
        </w:rPr>
        <w:t xml:space="preserve"> (</w:t>
      </w:r>
      <w:r w:rsidRPr="00C15639">
        <w:rPr>
          <w:b/>
          <w:szCs w:val="24"/>
        </w:rPr>
        <w:t xml:space="preserve">Sepsis-related Organ Failure Assessment) </w:t>
      </w:r>
      <w:r w:rsidRPr="00C15639">
        <w:rPr>
          <w:b/>
          <w:bCs/>
          <w:szCs w:val="24"/>
        </w:rPr>
        <w:t>используется в настоящее время для клинической характеристики септических больных.</w:t>
      </w:r>
    </w:p>
    <w:p w14:paraId="7877E67A" w14:textId="77777777" w:rsidR="003D210A" w:rsidRPr="00C15639" w:rsidRDefault="003D210A" w:rsidP="003D210A">
      <w:pPr>
        <w:ind w:firstLine="709"/>
        <w:rPr>
          <w:szCs w:val="24"/>
          <w:lang w:eastAsia="ru-RU"/>
        </w:rPr>
      </w:pPr>
      <w:r w:rsidRPr="00C15639">
        <w:rPr>
          <w:szCs w:val="24"/>
          <w:lang w:eastAsia="ru-RU"/>
        </w:rPr>
        <w:t>Шкалы SOFA и qSOFA — «родные братья». Шкала SOFA — «золотой стандарт» для идентификации органной дисфункции у септических больных (таб.1). SOFA является лучшим предиктором госпитальной летальности, чем системная воспалительная реакция, ≥ 2 баллов по шкале SOFA означает увеличение от 2 до 25 раз риска смертельного исхода. SOFA учитывает 6 различных систем органов, придавая от 1 до 4 баллов для каждой системы. Повышение на 2 балла означает увеличение риска госпитальной летальности.</w:t>
      </w:r>
    </w:p>
    <w:p w14:paraId="2AD1BE8C" w14:textId="77777777" w:rsidR="003D210A" w:rsidRDefault="003D210A" w:rsidP="003D210A">
      <w:pPr>
        <w:pStyle w:val="table-name"/>
        <w:spacing w:before="0" w:line="360" w:lineRule="auto"/>
        <w:ind w:firstLine="0"/>
        <w:rPr>
          <w:szCs w:val="24"/>
        </w:rPr>
      </w:pPr>
    </w:p>
    <w:p w14:paraId="4B87CDCF" w14:textId="77777777" w:rsidR="003D210A" w:rsidRPr="00C15639" w:rsidRDefault="003D210A" w:rsidP="003D210A">
      <w:pPr>
        <w:pStyle w:val="table-name"/>
        <w:spacing w:before="0" w:line="360" w:lineRule="auto"/>
        <w:ind w:firstLine="0"/>
        <w:rPr>
          <w:szCs w:val="24"/>
        </w:rPr>
      </w:pPr>
      <w:r w:rsidRPr="00C15639">
        <w:rPr>
          <w:szCs w:val="24"/>
        </w:rPr>
        <w:t xml:space="preserve">Таблица 1. Шкала Sepsis-related Organ Failure Assessment (SOFA)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1128"/>
        <w:gridCol w:w="1417"/>
        <w:gridCol w:w="1843"/>
        <w:gridCol w:w="1984"/>
      </w:tblGrid>
      <w:tr w:rsidR="003D210A" w:rsidRPr="00C15639" w14:paraId="60F37638" w14:textId="77777777" w:rsidTr="005A428D">
        <w:trPr>
          <w:cantSplit/>
          <w:trHeight w:val="20"/>
        </w:trPr>
        <w:tc>
          <w:tcPr>
            <w:tcW w:w="2808" w:type="dxa"/>
            <w:vMerge w:val="restart"/>
            <w:vAlign w:val="center"/>
          </w:tcPr>
          <w:p w14:paraId="33EF6CF2" w14:textId="77777777" w:rsidR="003D210A" w:rsidRPr="00C15639" w:rsidRDefault="003D210A" w:rsidP="003D210A">
            <w:pPr>
              <w:pStyle w:val="table-head-bold"/>
              <w:numPr>
                <w:ilvl w:val="12"/>
                <w:numId w:val="0"/>
              </w:numPr>
              <w:spacing w:before="0" w:line="360" w:lineRule="auto"/>
              <w:ind w:firstLine="425"/>
              <w:rPr>
                <w:sz w:val="24"/>
                <w:szCs w:val="24"/>
              </w:rPr>
            </w:pPr>
            <w:r w:rsidRPr="00C15639">
              <w:rPr>
                <w:sz w:val="24"/>
                <w:szCs w:val="24"/>
              </w:rPr>
              <w:t>Системы органов</w:t>
            </w:r>
          </w:p>
        </w:tc>
        <w:tc>
          <w:tcPr>
            <w:tcW w:w="6372" w:type="dxa"/>
            <w:gridSpan w:val="4"/>
          </w:tcPr>
          <w:p w14:paraId="0333453A" w14:textId="77777777" w:rsidR="003D210A" w:rsidRPr="00C15639" w:rsidRDefault="003D210A" w:rsidP="003D210A">
            <w:pPr>
              <w:pStyle w:val="table-head-bold"/>
              <w:numPr>
                <w:ilvl w:val="12"/>
                <w:numId w:val="0"/>
              </w:numPr>
              <w:spacing w:before="0" w:line="360" w:lineRule="auto"/>
              <w:ind w:firstLine="425"/>
              <w:rPr>
                <w:sz w:val="24"/>
                <w:szCs w:val="24"/>
              </w:rPr>
            </w:pPr>
            <w:r w:rsidRPr="00C15639">
              <w:rPr>
                <w:sz w:val="24"/>
                <w:szCs w:val="24"/>
              </w:rPr>
              <w:t>Баллы</w:t>
            </w:r>
          </w:p>
        </w:tc>
      </w:tr>
      <w:tr w:rsidR="003D210A" w:rsidRPr="00C15639" w14:paraId="6232E515" w14:textId="77777777" w:rsidTr="005A428D">
        <w:trPr>
          <w:cantSplit/>
          <w:trHeight w:val="20"/>
        </w:trPr>
        <w:tc>
          <w:tcPr>
            <w:tcW w:w="2808" w:type="dxa"/>
            <w:vMerge/>
          </w:tcPr>
          <w:p w14:paraId="770B2C5E" w14:textId="77777777" w:rsidR="003D210A" w:rsidRPr="00C15639" w:rsidRDefault="003D210A" w:rsidP="003D210A">
            <w:pPr>
              <w:pStyle w:val="table-head-bold"/>
              <w:numPr>
                <w:ilvl w:val="12"/>
                <w:numId w:val="0"/>
              </w:numPr>
              <w:spacing w:before="0" w:line="360" w:lineRule="auto"/>
              <w:ind w:firstLine="425"/>
              <w:rPr>
                <w:sz w:val="24"/>
                <w:szCs w:val="24"/>
              </w:rPr>
            </w:pPr>
          </w:p>
        </w:tc>
        <w:tc>
          <w:tcPr>
            <w:tcW w:w="1128" w:type="dxa"/>
          </w:tcPr>
          <w:p w14:paraId="02B203D2" w14:textId="77777777" w:rsidR="003D210A" w:rsidRPr="00C15639" w:rsidRDefault="003D210A" w:rsidP="003D210A">
            <w:pPr>
              <w:pStyle w:val="table-head-bold"/>
              <w:numPr>
                <w:ilvl w:val="12"/>
                <w:numId w:val="0"/>
              </w:numPr>
              <w:spacing w:before="0" w:line="360" w:lineRule="auto"/>
              <w:ind w:firstLine="425"/>
              <w:rPr>
                <w:sz w:val="24"/>
                <w:szCs w:val="24"/>
              </w:rPr>
            </w:pPr>
            <w:r w:rsidRPr="00C15639">
              <w:rPr>
                <w:sz w:val="24"/>
                <w:szCs w:val="24"/>
              </w:rPr>
              <w:t>1</w:t>
            </w:r>
          </w:p>
        </w:tc>
        <w:tc>
          <w:tcPr>
            <w:tcW w:w="1417" w:type="dxa"/>
          </w:tcPr>
          <w:p w14:paraId="02493189" w14:textId="77777777" w:rsidR="003D210A" w:rsidRPr="00C15639" w:rsidRDefault="003D210A" w:rsidP="003D210A">
            <w:pPr>
              <w:pStyle w:val="table-head-bold"/>
              <w:numPr>
                <w:ilvl w:val="12"/>
                <w:numId w:val="0"/>
              </w:numPr>
              <w:spacing w:before="0" w:line="360" w:lineRule="auto"/>
              <w:ind w:firstLine="425"/>
              <w:rPr>
                <w:sz w:val="24"/>
                <w:szCs w:val="24"/>
              </w:rPr>
            </w:pPr>
            <w:r w:rsidRPr="00C15639">
              <w:rPr>
                <w:sz w:val="24"/>
                <w:szCs w:val="24"/>
              </w:rPr>
              <w:t>2</w:t>
            </w:r>
          </w:p>
        </w:tc>
        <w:tc>
          <w:tcPr>
            <w:tcW w:w="1843" w:type="dxa"/>
          </w:tcPr>
          <w:p w14:paraId="4CFE089F" w14:textId="77777777" w:rsidR="003D210A" w:rsidRPr="00C15639" w:rsidRDefault="003D210A" w:rsidP="003D210A">
            <w:pPr>
              <w:pStyle w:val="table-head-bold"/>
              <w:numPr>
                <w:ilvl w:val="12"/>
                <w:numId w:val="0"/>
              </w:numPr>
              <w:spacing w:before="0" w:line="360" w:lineRule="auto"/>
              <w:ind w:firstLine="425"/>
              <w:rPr>
                <w:sz w:val="24"/>
                <w:szCs w:val="24"/>
              </w:rPr>
            </w:pPr>
            <w:r w:rsidRPr="00C15639">
              <w:rPr>
                <w:sz w:val="24"/>
                <w:szCs w:val="24"/>
              </w:rPr>
              <w:t>3</w:t>
            </w:r>
          </w:p>
        </w:tc>
        <w:tc>
          <w:tcPr>
            <w:tcW w:w="1984" w:type="dxa"/>
          </w:tcPr>
          <w:p w14:paraId="489DA0E9" w14:textId="77777777" w:rsidR="003D210A" w:rsidRPr="00C15639" w:rsidRDefault="003D210A" w:rsidP="003D210A">
            <w:pPr>
              <w:pStyle w:val="table-head-bold"/>
              <w:numPr>
                <w:ilvl w:val="12"/>
                <w:numId w:val="0"/>
              </w:numPr>
              <w:spacing w:before="0" w:line="360" w:lineRule="auto"/>
              <w:ind w:firstLine="425"/>
              <w:rPr>
                <w:sz w:val="24"/>
                <w:szCs w:val="24"/>
              </w:rPr>
            </w:pPr>
            <w:r w:rsidRPr="00C15639">
              <w:rPr>
                <w:sz w:val="24"/>
                <w:szCs w:val="24"/>
              </w:rPr>
              <w:t>4</w:t>
            </w:r>
          </w:p>
        </w:tc>
      </w:tr>
      <w:tr w:rsidR="003D210A" w:rsidRPr="00C15639" w14:paraId="0F1C96F7" w14:textId="77777777" w:rsidTr="005A428D">
        <w:trPr>
          <w:cantSplit/>
          <w:trHeight w:val="20"/>
        </w:trPr>
        <w:tc>
          <w:tcPr>
            <w:tcW w:w="2808" w:type="dxa"/>
          </w:tcPr>
          <w:p w14:paraId="558B39AF" w14:textId="77777777" w:rsidR="003D210A" w:rsidRPr="00C15639" w:rsidRDefault="003D210A" w:rsidP="003D210A">
            <w:pPr>
              <w:pStyle w:val="table-text-0"/>
              <w:numPr>
                <w:ilvl w:val="12"/>
                <w:numId w:val="0"/>
              </w:numPr>
              <w:spacing w:before="0" w:line="360" w:lineRule="auto"/>
              <w:rPr>
                <w:b/>
                <w:sz w:val="24"/>
                <w:szCs w:val="24"/>
                <w:lang w:val="ru-RU"/>
              </w:rPr>
            </w:pPr>
            <w:r w:rsidRPr="00C15639">
              <w:rPr>
                <w:b/>
                <w:sz w:val="24"/>
                <w:szCs w:val="24"/>
                <w:lang w:val="ru-RU"/>
              </w:rPr>
              <w:t>Дыхание</w:t>
            </w:r>
          </w:p>
          <w:p w14:paraId="5930CD5B" w14:textId="77777777" w:rsidR="003D210A" w:rsidRPr="00C15639" w:rsidRDefault="003D210A" w:rsidP="003D210A">
            <w:pPr>
              <w:pStyle w:val="table-text-0"/>
              <w:numPr>
                <w:ilvl w:val="12"/>
                <w:numId w:val="0"/>
              </w:numPr>
              <w:spacing w:before="0" w:line="360" w:lineRule="auto"/>
              <w:rPr>
                <w:sz w:val="24"/>
                <w:szCs w:val="24"/>
                <w:lang w:val="ru-RU"/>
              </w:rPr>
            </w:pPr>
            <w:r w:rsidRPr="00C15639">
              <w:rPr>
                <w:sz w:val="24"/>
                <w:szCs w:val="24"/>
              </w:rPr>
              <w:t>P</w:t>
            </w:r>
            <w:r w:rsidRPr="00C15639">
              <w:rPr>
                <w:sz w:val="24"/>
                <w:szCs w:val="24"/>
                <w:vertAlign w:val="subscript"/>
              </w:rPr>
              <w:t>a</w:t>
            </w:r>
            <w:r w:rsidRPr="00C15639">
              <w:rPr>
                <w:sz w:val="24"/>
                <w:szCs w:val="24"/>
              </w:rPr>
              <w:t>O</w:t>
            </w:r>
            <w:r w:rsidRPr="00C15639">
              <w:rPr>
                <w:sz w:val="24"/>
                <w:szCs w:val="24"/>
                <w:vertAlign w:val="subscript"/>
                <w:lang w:val="ru-RU"/>
              </w:rPr>
              <w:t>2</w:t>
            </w:r>
            <w:r w:rsidRPr="00C15639">
              <w:rPr>
                <w:sz w:val="24"/>
                <w:szCs w:val="24"/>
                <w:lang w:val="ru-RU"/>
              </w:rPr>
              <w:t>/</w:t>
            </w:r>
            <w:r w:rsidRPr="00C15639">
              <w:rPr>
                <w:sz w:val="24"/>
                <w:szCs w:val="24"/>
              </w:rPr>
              <w:t>F</w:t>
            </w:r>
            <w:r w:rsidRPr="00C15639">
              <w:rPr>
                <w:sz w:val="24"/>
                <w:szCs w:val="24"/>
                <w:vertAlign w:val="subscript"/>
              </w:rPr>
              <w:t>I</w:t>
            </w:r>
            <w:r w:rsidRPr="00C15639">
              <w:rPr>
                <w:sz w:val="24"/>
                <w:szCs w:val="24"/>
              </w:rPr>
              <w:t>O</w:t>
            </w:r>
            <w:r w:rsidRPr="00C15639">
              <w:rPr>
                <w:sz w:val="24"/>
                <w:szCs w:val="24"/>
                <w:vertAlign w:val="subscript"/>
                <w:lang w:val="ru-RU"/>
              </w:rPr>
              <w:t>2</w:t>
            </w:r>
            <w:r w:rsidRPr="00C15639">
              <w:rPr>
                <w:sz w:val="24"/>
                <w:szCs w:val="24"/>
                <w:lang w:val="ru-RU"/>
              </w:rPr>
              <w:t>, мм рт. ст.</w:t>
            </w:r>
          </w:p>
        </w:tc>
        <w:tc>
          <w:tcPr>
            <w:tcW w:w="1128" w:type="dxa"/>
            <w:vAlign w:val="center"/>
          </w:tcPr>
          <w:p w14:paraId="404313A5" w14:textId="77777777" w:rsidR="003D210A" w:rsidRPr="00C15639" w:rsidRDefault="003D210A" w:rsidP="003D210A">
            <w:pPr>
              <w:pStyle w:val="table-text-0"/>
              <w:numPr>
                <w:ilvl w:val="12"/>
                <w:numId w:val="0"/>
              </w:numPr>
              <w:spacing w:before="0" w:line="360" w:lineRule="auto"/>
              <w:rPr>
                <w:sz w:val="24"/>
                <w:szCs w:val="24"/>
              </w:rPr>
            </w:pPr>
            <w:r w:rsidRPr="00C15639">
              <w:rPr>
                <w:sz w:val="24"/>
                <w:szCs w:val="24"/>
              </w:rPr>
              <w:t>399—300</w:t>
            </w:r>
          </w:p>
        </w:tc>
        <w:tc>
          <w:tcPr>
            <w:tcW w:w="1417" w:type="dxa"/>
            <w:vAlign w:val="center"/>
          </w:tcPr>
          <w:p w14:paraId="685576E2" w14:textId="77777777" w:rsidR="003D210A" w:rsidRPr="00C15639" w:rsidRDefault="003D210A" w:rsidP="003D210A">
            <w:pPr>
              <w:pStyle w:val="table-text-0"/>
              <w:numPr>
                <w:ilvl w:val="12"/>
                <w:numId w:val="0"/>
              </w:numPr>
              <w:spacing w:before="0" w:line="360" w:lineRule="auto"/>
              <w:rPr>
                <w:sz w:val="24"/>
                <w:szCs w:val="24"/>
              </w:rPr>
            </w:pPr>
            <w:r w:rsidRPr="00C15639">
              <w:rPr>
                <w:sz w:val="24"/>
                <w:szCs w:val="24"/>
              </w:rPr>
              <w:t>299—200</w:t>
            </w:r>
          </w:p>
        </w:tc>
        <w:tc>
          <w:tcPr>
            <w:tcW w:w="1843" w:type="dxa"/>
            <w:vAlign w:val="center"/>
          </w:tcPr>
          <w:p w14:paraId="31BEA30E" w14:textId="77777777" w:rsidR="003D210A" w:rsidRPr="00C15639" w:rsidRDefault="003D210A" w:rsidP="003D210A">
            <w:pPr>
              <w:pStyle w:val="table-text-0"/>
              <w:numPr>
                <w:ilvl w:val="12"/>
                <w:numId w:val="0"/>
              </w:numPr>
              <w:spacing w:before="0" w:line="360" w:lineRule="auto"/>
              <w:rPr>
                <w:sz w:val="24"/>
                <w:szCs w:val="24"/>
              </w:rPr>
            </w:pPr>
            <w:r w:rsidRPr="00C15639">
              <w:rPr>
                <w:sz w:val="24"/>
                <w:szCs w:val="24"/>
              </w:rPr>
              <w:t>199—100</w:t>
            </w:r>
          </w:p>
        </w:tc>
        <w:tc>
          <w:tcPr>
            <w:tcW w:w="1984" w:type="dxa"/>
            <w:vAlign w:val="center"/>
          </w:tcPr>
          <w:p w14:paraId="79821996" w14:textId="77777777" w:rsidR="003D210A" w:rsidRPr="00C15639" w:rsidRDefault="003D210A" w:rsidP="003D210A">
            <w:pPr>
              <w:pStyle w:val="table-text-0"/>
              <w:numPr>
                <w:ilvl w:val="12"/>
                <w:numId w:val="0"/>
              </w:numPr>
              <w:spacing w:before="0" w:line="360" w:lineRule="auto"/>
              <w:rPr>
                <w:sz w:val="24"/>
                <w:szCs w:val="24"/>
              </w:rPr>
            </w:pPr>
            <w:r w:rsidRPr="00C15639">
              <w:rPr>
                <w:sz w:val="24"/>
                <w:szCs w:val="24"/>
              </w:rPr>
              <w:t>&lt; 100</w:t>
            </w:r>
          </w:p>
        </w:tc>
      </w:tr>
      <w:tr w:rsidR="003D210A" w:rsidRPr="00C15639" w14:paraId="33934A6C" w14:textId="77777777" w:rsidTr="005A428D">
        <w:trPr>
          <w:cantSplit/>
          <w:trHeight w:val="20"/>
        </w:trPr>
        <w:tc>
          <w:tcPr>
            <w:tcW w:w="2808" w:type="dxa"/>
          </w:tcPr>
          <w:p w14:paraId="56D844CA" w14:textId="77777777" w:rsidR="003D210A" w:rsidRPr="00C15639" w:rsidRDefault="003D210A" w:rsidP="003D210A">
            <w:pPr>
              <w:pStyle w:val="table-text-0"/>
              <w:numPr>
                <w:ilvl w:val="12"/>
                <w:numId w:val="0"/>
              </w:numPr>
              <w:spacing w:before="0" w:line="360" w:lineRule="auto"/>
              <w:rPr>
                <w:b/>
                <w:sz w:val="24"/>
                <w:szCs w:val="24"/>
              </w:rPr>
            </w:pPr>
            <w:r w:rsidRPr="00C15639">
              <w:rPr>
                <w:b/>
                <w:sz w:val="24"/>
                <w:szCs w:val="24"/>
              </w:rPr>
              <w:t>Коагуляция</w:t>
            </w:r>
          </w:p>
          <w:p w14:paraId="41D3E907" w14:textId="77777777" w:rsidR="003D210A" w:rsidRPr="00C15639" w:rsidRDefault="003D210A" w:rsidP="003D210A">
            <w:pPr>
              <w:pStyle w:val="table-text-0"/>
              <w:numPr>
                <w:ilvl w:val="12"/>
                <w:numId w:val="0"/>
              </w:numPr>
              <w:spacing w:before="0" w:line="360" w:lineRule="auto"/>
              <w:rPr>
                <w:sz w:val="24"/>
                <w:szCs w:val="24"/>
              </w:rPr>
            </w:pPr>
            <w:r w:rsidRPr="00C15639">
              <w:rPr>
                <w:sz w:val="24"/>
                <w:szCs w:val="24"/>
              </w:rPr>
              <w:t xml:space="preserve">Тромбоциты, </w:t>
            </w:r>
            <w:r w:rsidRPr="00C15639">
              <w:rPr>
                <w:sz w:val="24"/>
                <w:szCs w:val="24"/>
              </w:rPr>
              <w:t> 10</w:t>
            </w:r>
            <w:r w:rsidRPr="00C15639">
              <w:rPr>
                <w:sz w:val="24"/>
                <w:szCs w:val="24"/>
                <w:vertAlign w:val="superscript"/>
              </w:rPr>
              <w:t>3</w:t>
            </w:r>
            <w:r w:rsidRPr="00C15639">
              <w:rPr>
                <w:sz w:val="24"/>
                <w:szCs w:val="24"/>
              </w:rPr>
              <w:t>/мм</w:t>
            </w:r>
            <w:r w:rsidRPr="00C15639">
              <w:rPr>
                <w:sz w:val="24"/>
                <w:szCs w:val="24"/>
                <w:vertAlign w:val="superscript"/>
              </w:rPr>
              <w:t>3</w:t>
            </w:r>
          </w:p>
        </w:tc>
        <w:tc>
          <w:tcPr>
            <w:tcW w:w="1128" w:type="dxa"/>
            <w:vAlign w:val="center"/>
          </w:tcPr>
          <w:p w14:paraId="799F7DBE" w14:textId="77777777" w:rsidR="003D210A" w:rsidRPr="00C15639" w:rsidRDefault="003D210A" w:rsidP="003D210A">
            <w:pPr>
              <w:pStyle w:val="table-text-0"/>
              <w:numPr>
                <w:ilvl w:val="12"/>
                <w:numId w:val="0"/>
              </w:numPr>
              <w:spacing w:before="0" w:line="360" w:lineRule="auto"/>
              <w:rPr>
                <w:sz w:val="24"/>
                <w:szCs w:val="24"/>
              </w:rPr>
            </w:pPr>
            <w:r w:rsidRPr="00C15639">
              <w:rPr>
                <w:sz w:val="24"/>
                <w:szCs w:val="24"/>
              </w:rPr>
              <w:t>&lt;</w:t>
            </w:r>
            <w:r w:rsidRPr="00C15639">
              <w:rPr>
                <w:sz w:val="24"/>
                <w:szCs w:val="24"/>
                <w:lang w:val="ru-RU"/>
              </w:rPr>
              <w:t> </w:t>
            </w:r>
            <w:r w:rsidRPr="00C15639">
              <w:rPr>
                <w:sz w:val="24"/>
                <w:szCs w:val="24"/>
              </w:rPr>
              <w:t>150</w:t>
            </w:r>
          </w:p>
        </w:tc>
        <w:tc>
          <w:tcPr>
            <w:tcW w:w="1417" w:type="dxa"/>
            <w:vAlign w:val="center"/>
          </w:tcPr>
          <w:p w14:paraId="76A7D7CF" w14:textId="77777777" w:rsidR="003D210A" w:rsidRPr="00C15639" w:rsidRDefault="003D210A" w:rsidP="003D210A">
            <w:pPr>
              <w:pStyle w:val="table-text-0"/>
              <w:numPr>
                <w:ilvl w:val="12"/>
                <w:numId w:val="0"/>
              </w:numPr>
              <w:spacing w:before="0" w:line="360" w:lineRule="auto"/>
              <w:rPr>
                <w:sz w:val="24"/>
                <w:szCs w:val="24"/>
              </w:rPr>
            </w:pPr>
            <w:r w:rsidRPr="00C15639">
              <w:rPr>
                <w:sz w:val="24"/>
                <w:szCs w:val="24"/>
              </w:rPr>
              <w:t>&lt;</w:t>
            </w:r>
            <w:r w:rsidRPr="00C15639">
              <w:rPr>
                <w:sz w:val="24"/>
                <w:szCs w:val="24"/>
                <w:lang w:val="ru-RU"/>
              </w:rPr>
              <w:t> </w:t>
            </w:r>
            <w:r w:rsidRPr="00C15639">
              <w:rPr>
                <w:sz w:val="24"/>
                <w:szCs w:val="24"/>
              </w:rPr>
              <w:t>100</w:t>
            </w:r>
          </w:p>
        </w:tc>
        <w:tc>
          <w:tcPr>
            <w:tcW w:w="1843" w:type="dxa"/>
            <w:vAlign w:val="center"/>
          </w:tcPr>
          <w:p w14:paraId="200F0EB9" w14:textId="77777777" w:rsidR="003D210A" w:rsidRPr="00C15639" w:rsidRDefault="003D210A" w:rsidP="003D210A">
            <w:pPr>
              <w:pStyle w:val="table-text-0"/>
              <w:numPr>
                <w:ilvl w:val="12"/>
                <w:numId w:val="0"/>
              </w:numPr>
              <w:spacing w:before="0" w:line="360" w:lineRule="auto"/>
              <w:rPr>
                <w:sz w:val="24"/>
                <w:szCs w:val="24"/>
              </w:rPr>
            </w:pPr>
            <w:r w:rsidRPr="00C15639">
              <w:rPr>
                <w:sz w:val="24"/>
                <w:szCs w:val="24"/>
              </w:rPr>
              <w:t>&lt;</w:t>
            </w:r>
            <w:r w:rsidRPr="00C15639">
              <w:rPr>
                <w:sz w:val="24"/>
                <w:szCs w:val="24"/>
                <w:lang w:val="ru-RU"/>
              </w:rPr>
              <w:t> </w:t>
            </w:r>
            <w:r w:rsidRPr="00C15639">
              <w:rPr>
                <w:sz w:val="24"/>
                <w:szCs w:val="24"/>
              </w:rPr>
              <w:t>50</w:t>
            </w:r>
          </w:p>
        </w:tc>
        <w:tc>
          <w:tcPr>
            <w:tcW w:w="1984" w:type="dxa"/>
            <w:vAlign w:val="center"/>
          </w:tcPr>
          <w:p w14:paraId="7CB47FAF" w14:textId="77777777" w:rsidR="003D210A" w:rsidRPr="00C15639" w:rsidRDefault="003D210A" w:rsidP="003D210A">
            <w:pPr>
              <w:pStyle w:val="table-text-0"/>
              <w:numPr>
                <w:ilvl w:val="12"/>
                <w:numId w:val="0"/>
              </w:numPr>
              <w:spacing w:before="0" w:line="360" w:lineRule="auto"/>
              <w:rPr>
                <w:sz w:val="24"/>
                <w:szCs w:val="24"/>
              </w:rPr>
            </w:pPr>
            <w:r w:rsidRPr="00C15639">
              <w:rPr>
                <w:sz w:val="24"/>
                <w:szCs w:val="24"/>
              </w:rPr>
              <w:t>&lt;</w:t>
            </w:r>
            <w:r w:rsidRPr="00C15639">
              <w:rPr>
                <w:sz w:val="24"/>
                <w:szCs w:val="24"/>
                <w:lang w:val="ru-RU"/>
              </w:rPr>
              <w:t> </w:t>
            </w:r>
            <w:r w:rsidRPr="00C15639">
              <w:rPr>
                <w:sz w:val="24"/>
                <w:szCs w:val="24"/>
              </w:rPr>
              <w:t>20</w:t>
            </w:r>
          </w:p>
        </w:tc>
      </w:tr>
      <w:tr w:rsidR="003D210A" w:rsidRPr="00C15639" w14:paraId="715134E0" w14:textId="77777777" w:rsidTr="005A428D">
        <w:trPr>
          <w:cantSplit/>
          <w:trHeight w:val="20"/>
        </w:trPr>
        <w:tc>
          <w:tcPr>
            <w:tcW w:w="2808" w:type="dxa"/>
          </w:tcPr>
          <w:p w14:paraId="349ACFCD" w14:textId="77777777" w:rsidR="003D210A" w:rsidRPr="00C15639" w:rsidRDefault="003D210A" w:rsidP="003D210A">
            <w:pPr>
              <w:pStyle w:val="table-text-0"/>
              <w:numPr>
                <w:ilvl w:val="12"/>
                <w:numId w:val="0"/>
              </w:numPr>
              <w:spacing w:before="0" w:line="360" w:lineRule="auto"/>
              <w:rPr>
                <w:b/>
                <w:sz w:val="24"/>
                <w:szCs w:val="24"/>
                <w:lang w:val="ru-RU"/>
              </w:rPr>
            </w:pPr>
            <w:r w:rsidRPr="00C15639">
              <w:rPr>
                <w:b/>
                <w:sz w:val="24"/>
                <w:szCs w:val="24"/>
                <w:lang w:val="ru-RU"/>
              </w:rPr>
              <w:t>Печень</w:t>
            </w:r>
          </w:p>
          <w:p w14:paraId="3222B8A6" w14:textId="77777777" w:rsidR="003D210A" w:rsidRPr="00C15639" w:rsidRDefault="003D210A" w:rsidP="003D210A">
            <w:pPr>
              <w:pStyle w:val="table-text-0"/>
              <w:numPr>
                <w:ilvl w:val="12"/>
                <w:numId w:val="0"/>
              </w:numPr>
              <w:spacing w:before="0" w:line="360" w:lineRule="auto"/>
              <w:rPr>
                <w:sz w:val="24"/>
                <w:szCs w:val="24"/>
                <w:lang w:val="ru-RU"/>
              </w:rPr>
            </w:pPr>
            <w:r w:rsidRPr="00C15639">
              <w:rPr>
                <w:sz w:val="24"/>
                <w:szCs w:val="24"/>
                <w:lang w:val="ru-RU"/>
              </w:rPr>
              <w:t>Билирубин, мкмоль/л</w:t>
            </w:r>
          </w:p>
        </w:tc>
        <w:tc>
          <w:tcPr>
            <w:tcW w:w="1128" w:type="dxa"/>
            <w:vAlign w:val="center"/>
          </w:tcPr>
          <w:p w14:paraId="79129596" w14:textId="77777777" w:rsidR="003D210A" w:rsidRPr="00C15639" w:rsidRDefault="003D210A" w:rsidP="003D210A">
            <w:pPr>
              <w:pStyle w:val="table-text-0"/>
              <w:numPr>
                <w:ilvl w:val="12"/>
                <w:numId w:val="0"/>
              </w:numPr>
              <w:spacing w:before="0" w:line="360" w:lineRule="auto"/>
              <w:rPr>
                <w:sz w:val="24"/>
                <w:szCs w:val="24"/>
                <w:lang w:val="ru-RU"/>
              </w:rPr>
            </w:pPr>
            <w:r w:rsidRPr="00C15639">
              <w:rPr>
                <w:sz w:val="24"/>
                <w:szCs w:val="24"/>
                <w:lang w:val="ru-RU"/>
              </w:rPr>
              <w:t>20—30</w:t>
            </w:r>
          </w:p>
        </w:tc>
        <w:tc>
          <w:tcPr>
            <w:tcW w:w="1417" w:type="dxa"/>
            <w:vAlign w:val="center"/>
          </w:tcPr>
          <w:p w14:paraId="5901A12A" w14:textId="77777777" w:rsidR="003D210A" w:rsidRPr="00C15639" w:rsidRDefault="003D210A" w:rsidP="003D210A">
            <w:pPr>
              <w:pStyle w:val="table-text-0"/>
              <w:numPr>
                <w:ilvl w:val="12"/>
                <w:numId w:val="0"/>
              </w:numPr>
              <w:spacing w:before="0" w:line="360" w:lineRule="auto"/>
              <w:rPr>
                <w:sz w:val="24"/>
                <w:szCs w:val="24"/>
                <w:lang w:val="ru-RU"/>
              </w:rPr>
            </w:pPr>
            <w:r w:rsidRPr="00C15639">
              <w:rPr>
                <w:sz w:val="24"/>
                <w:szCs w:val="24"/>
                <w:lang w:val="ru-RU"/>
              </w:rPr>
              <w:t>33—101</w:t>
            </w:r>
          </w:p>
        </w:tc>
        <w:tc>
          <w:tcPr>
            <w:tcW w:w="1843" w:type="dxa"/>
            <w:vAlign w:val="center"/>
          </w:tcPr>
          <w:p w14:paraId="2E90A3E6" w14:textId="77777777" w:rsidR="003D210A" w:rsidRPr="00C15639" w:rsidRDefault="003D210A" w:rsidP="003D210A">
            <w:pPr>
              <w:pStyle w:val="table-text-0"/>
              <w:numPr>
                <w:ilvl w:val="12"/>
                <w:numId w:val="0"/>
              </w:numPr>
              <w:spacing w:before="0" w:line="360" w:lineRule="auto"/>
              <w:rPr>
                <w:sz w:val="24"/>
                <w:szCs w:val="24"/>
                <w:lang w:val="ru-RU"/>
              </w:rPr>
            </w:pPr>
            <w:r w:rsidRPr="00C15639">
              <w:rPr>
                <w:sz w:val="24"/>
                <w:szCs w:val="24"/>
                <w:lang w:val="ru-RU"/>
              </w:rPr>
              <w:t>102—204</w:t>
            </w:r>
          </w:p>
        </w:tc>
        <w:tc>
          <w:tcPr>
            <w:tcW w:w="1984" w:type="dxa"/>
            <w:vAlign w:val="center"/>
          </w:tcPr>
          <w:p w14:paraId="7DEC67A6" w14:textId="77777777" w:rsidR="003D210A" w:rsidRPr="00C15639" w:rsidRDefault="003D210A" w:rsidP="003D210A">
            <w:pPr>
              <w:pStyle w:val="table-text-0"/>
              <w:numPr>
                <w:ilvl w:val="12"/>
                <w:numId w:val="0"/>
              </w:numPr>
              <w:spacing w:before="0" w:line="360" w:lineRule="auto"/>
              <w:rPr>
                <w:sz w:val="24"/>
                <w:szCs w:val="24"/>
                <w:lang w:val="ru-RU"/>
              </w:rPr>
            </w:pPr>
            <w:r w:rsidRPr="00C15639">
              <w:rPr>
                <w:sz w:val="24"/>
                <w:szCs w:val="24"/>
                <w:lang w:val="ru-RU"/>
              </w:rPr>
              <w:t>&gt; 204</w:t>
            </w:r>
          </w:p>
        </w:tc>
      </w:tr>
      <w:tr w:rsidR="003D210A" w:rsidRPr="00C15639" w14:paraId="742BEB64" w14:textId="77777777" w:rsidTr="005A428D">
        <w:trPr>
          <w:cantSplit/>
          <w:trHeight w:val="20"/>
        </w:trPr>
        <w:tc>
          <w:tcPr>
            <w:tcW w:w="2808" w:type="dxa"/>
          </w:tcPr>
          <w:p w14:paraId="53667307" w14:textId="77777777" w:rsidR="003D210A" w:rsidRPr="00C15639" w:rsidRDefault="003D210A" w:rsidP="003D210A">
            <w:pPr>
              <w:pStyle w:val="table-text-0"/>
              <w:numPr>
                <w:ilvl w:val="12"/>
                <w:numId w:val="0"/>
              </w:numPr>
              <w:spacing w:before="0" w:line="360" w:lineRule="auto"/>
              <w:rPr>
                <w:b/>
                <w:sz w:val="24"/>
                <w:szCs w:val="24"/>
                <w:lang w:val="ru-RU"/>
              </w:rPr>
            </w:pPr>
            <w:r w:rsidRPr="00C15639">
              <w:rPr>
                <w:b/>
                <w:sz w:val="24"/>
                <w:szCs w:val="24"/>
                <w:lang w:val="ru-RU"/>
              </w:rPr>
              <w:t>Сердечно-сосудистая система</w:t>
            </w:r>
          </w:p>
          <w:p w14:paraId="1C57C4E9" w14:textId="77777777" w:rsidR="003D210A" w:rsidRPr="00C15639" w:rsidRDefault="003D210A" w:rsidP="003D210A">
            <w:pPr>
              <w:pStyle w:val="table-text-0"/>
              <w:numPr>
                <w:ilvl w:val="12"/>
                <w:numId w:val="0"/>
              </w:numPr>
              <w:spacing w:before="0" w:line="360" w:lineRule="auto"/>
              <w:rPr>
                <w:sz w:val="24"/>
                <w:szCs w:val="24"/>
                <w:lang w:val="ru-RU"/>
              </w:rPr>
            </w:pPr>
            <w:r w:rsidRPr="00C15639">
              <w:rPr>
                <w:sz w:val="24"/>
                <w:szCs w:val="24"/>
                <w:lang w:val="ru-RU"/>
              </w:rPr>
              <w:t>Артериальная гипотензия</w:t>
            </w:r>
          </w:p>
        </w:tc>
        <w:tc>
          <w:tcPr>
            <w:tcW w:w="1128" w:type="dxa"/>
            <w:vAlign w:val="center"/>
          </w:tcPr>
          <w:p w14:paraId="6E29F1AA" w14:textId="77777777" w:rsidR="003D210A" w:rsidRPr="00C15639" w:rsidRDefault="003D210A" w:rsidP="003D210A">
            <w:pPr>
              <w:pStyle w:val="table-text-0"/>
              <w:numPr>
                <w:ilvl w:val="12"/>
                <w:numId w:val="0"/>
              </w:numPr>
              <w:spacing w:before="0" w:line="360" w:lineRule="auto"/>
              <w:rPr>
                <w:sz w:val="24"/>
                <w:szCs w:val="24"/>
                <w:lang w:val="ru-RU"/>
              </w:rPr>
            </w:pPr>
            <w:r w:rsidRPr="00C15639">
              <w:rPr>
                <w:sz w:val="24"/>
                <w:szCs w:val="24"/>
                <w:lang w:val="ru-RU"/>
              </w:rPr>
              <w:t>АД ср &lt; 65 мм рт. ст.</w:t>
            </w:r>
          </w:p>
        </w:tc>
        <w:tc>
          <w:tcPr>
            <w:tcW w:w="1417" w:type="dxa"/>
            <w:vAlign w:val="center"/>
          </w:tcPr>
          <w:p w14:paraId="5A28EA7C" w14:textId="77777777" w:rsidR="003D210A" w:rsidRPr="00C15639" w:rsidRDefault="003D210A" w:rsidP="003D210A">
            <w:pPr>
              <w:pStyle w:val="table-text-0"/>
              <w:numPr>
                <w:ilvl w:val="12"/>
                <w:numId w:val="0"/>
              </w:numPr>
              <w:spacing w:before="0" w:line="360" w:lineRule="auto"/>
              <w:rPr>
                <w:sz w:val="24"/>
                <w:szCs w:val="24"/>
                <w:lang w:val="ru-RU"/>
              </w:rPr>
            </w:pPr>
            <w:r w:rsidRPr="00C15639">
              <w:rPr>
                <w:sz w:val="24"/>
                <w:szCs w:val="24"/>
                <w:lang w:val="ru-RU"/>
              </w:rPr>
              <w:t>Допамин  &lt; 5 мкг/кг/мин или добутамин (любая доза)*</w:t>
            </w:r>
          </w:p>
        </w:tc>
        <w:tc>
          <w:tcPr>
            <w:tcW w:w="1843" w:type="dxa"/>
            <w:vAlign w:val="center"/>
          </w:tcPr>
          <w:p w14:paraId="6EB88E41" w14:textId="77777777" w:rsidR="003D210A" w:rsidRPr="00C15639" w:rsidRDefault="003D210A" w:rsidP="003D210A">
            <w:pPr>
              <w:pStyle w:val="table-text-0"/>
              <w:numPr>
                <w:ilvl w:val="12"/>
                <w:numId w:val="0"/>
              </w:numPr>
              <w:spacing w:before="0" w:line="360" w:lineRule="auto"/>
              <w:rPr>
                <w:sz w:val="24"/>
                <w:szCs w:val="24"/>
                <w:lang w:val="ru-RU"/>
              </w:rPr>
            </w:pPr>
            <w:r w:rsidRPr="00C15639">
              <w:rPr>
                <w:sz w:val="24"/>
                <w:szCs w:val="24"/>
                <w:lang w:val="ru-RU"/>
              </w:rPr>
              <w:t>Допамин &gt; 5 мкг/кг/мин, или адреналин ≤ 0,1 мкг/кг/мин или норадреналин ≤ 0,1 мкг/кг/мин</w:t>
            </w:r>
          </w:p>
        </w:tc>
        <w:tc>
          <w:tcPr>
            <w:tcW w:w="1984" w:type="dxa"/>
            <w:vAlign w:val="center"/>
          </w:tcPr>
          <w:p w14:paraId="39365371" w14:textId="77777777" w:rsidR="003D210A" w:rsidRPr="00C15639" w:rsidRDefault="003D210A" w:rsidP="003D210A">
            <w:pPr>
              <w:pStyle w:val="table-text-0"/>
              <w:numPr>
                <w:ilvl w:val="12"/>
                <w:numId w:val="0"/>
              </w:numPr>
              <w:spacing w:before="0" w:line="360" w:lineRule="auto"/>
              <w:rPr>
                <w:sz w:val="24"/>
                <w:szCs w:val="24"/>
                <w:lang w:val="ru-RU"/>
              </w:rPr>
            </w:pPr>
            <w:r w:rsidRPr="00C15639">
              <w:rPr>
                <w:sz w:val="24"/>
                <w:szCs w:val="24"/>
                <w:lang w:val="ru-RU"/>
              </w:rPr>
              <w:t>Допамин &gt; 15 мкг/кг/мин, или адреналин &gt; 0,1 мкг/кг/мин, или норадреналин &gt; 0,1 мкг/кг/мин</w:t>
            </w:r>
          </w:p>
        </w:tc>
      </w:tr>
      <w:tr w:rsidR="003D210A" w:rsidRPr="00C15639" w14:paraId="5FB23589" w14:textId="77777777" w:rsidTr="005A428D">
        <w:trPr>
          <w:cantSplit/>
          <w:trHeight w:val="20"/>
        </w:trPr>
        <w:tc>
          <w:tcPr>
            <w:tcW w:w="2808" w:type="dxa"/>
          </w:tcPr>
          <w:p w14:paraId="53F25742" w14:textId="77777777" w:rsidR="003D210A" w:rsidRPr="00C15639" w:rsidRDefault="003D210A" w:rsidP="003D210A">
            <w:pPr>
              <w:pStyle w:val="table-text-0"/>
              <w:numPr>
                <w:ilvl w:val="12"/>
                <w:numId w:val="0"/>
              </w:numPr>
              <w:spacing w:before="0" w:line="360" w:lineRule="auto"/>
              <w:rPr>
                <w:sz w:val="24"/>
                <w:szCs w:val="24"/>
                <w:lang w:val="ru-RU"/>
              </w:rPr>
            </w:pPr>
            <w:r w:rsidRPr="00C15639">
              <w:rPr>
                <w:sz w:val="24"/>
                <w:szCs w:val="24"/>
                <w:lang w:val="ru-RU"/>
              </w:rPr>
              <w:t>ЦНС</w:t>
            </w:r>
          </w:p>
          <w:p w14:paraId="130A699A" w14:textId="77777777" w:rsidR="003D210A" w:rsidRPr="00C15639" w:rsidRDefault="003D210A" w:rsidP="003D210A">
            <w:pPr>
              <w:pStyle w:val="table-text-0"/>
              <w:numPr>
                <w:ilvl w:val="12"/>
                <w:numId w:val="0"/>
              </w:numPr>
              <w:spacing w:before="0" w:line="360" w:lineRule="auto"/>
              <w:rPr>
                <w:sz w:val="24"/>
                <w:szCs w:val="24"/>
                <w:lang w:val="ru-RU"/>
              </w:rPr>
            </w:pPr>
            <w:r w:rsidRPr="00C15639">
              <w:rPr>
                <w:sz w:val="24"/>
                <w:szCs w:val="24"/>
                <w:lang w:val="ru-RU"/>
              </w:rPr>
              <w:t>Шкала комы Глазго, баллы</w:t>
            </w:r>
          </w:p>
        </w:tc>
        <w:tc>
          <w:tcPr>
            <w:tcW w:w="1128" w:type="dxa"/>
            <w:vAlign w:val="center"/>
          </w:tcPr>
          <w:p w14:paraId="1181FEA2" w14:textId="77777777" w:rsidR="003D210A" w:rsidRPr="00C15639" w:rsidRDefault="003D210A" w:rsidP="003D210A">
            <w:pPr>
              <w:pStyle w:val="table-text-0"/>
              <w:numPr>
                <w:ilvl w:val="12"/>
                <w:numId w:val="0"/>
              </w:numPr>
              <w:spacing w:before="0" w:line="360" w:lineRule="auto"/>
              <w:rPr>
                <w:sz w:val="24"/>
                <w:szCs w:val="24"/>
                <w:lang w:val="ru-RU"/>
              </w:rPr>
            </w:pPr>
            <w:r w:rsidRPr="00C15639">
              <w:rPr>
                <w:sz w:val="24"/>
                <w:szCs w:val="24"/>
                <w:lang w:val="ru-RU"/>
              </w:rPr>
              <w:t>3—14</w:t>
            </w:r>
          </w:p>
        </w:tc>
        <w:tc>
          <w:tcPr>
            <w:tcW w:w="1417" w:type="dxa"/>
            <w:vAlign w:val="center"/>
          </w:tcPr>
          <w:p w14:paraId="43123D7B" w14:textId="77777777" w:rsidR="003D210A" w:rsidRPr="00C15639" w:rsidRDefault="003D210A" w:rsidP="003D210A">
            <w:pPr>
              <w:pStyle w:val="table-text-0"/>
              <w:numPr>
                <w:ilvl w:val="12"/>
                <w:numId w:val="0"/>
              </w:numPr>
              <w:spacing w:before="0" w:line="360" w:lineRule="auto"/>
              <w:rPr>
                <w:sz w:val="24"/>
                <w:szCs w:val="24"/>
                <w:lang w:val="ru-RU"/>
              </w:rPr>
            </w:pPr>
            <w:r w:rsidRPr="00C15639">
              <w:rPr>
                <w:sz w:val="24"/>
                <w:szCs w:val="24"/>
                <w:lang w:val="ru-RU"/>
              </w:rPr>
              <w:t>10—12</w:t>
            </w:r>
          </w:p>
        </w:tc>
        <w:tc>
          <w:tcPr>
            <w:tcW w:w="1843" w:type="dxa"/>
            <w:vAlign w:val="center"/>
          </w:tcPr>
          <w:p w14:paraId="2DCD6D1A" w14:textId="77777777" w:rsidR="003D210A" w:rsidRPr="00C15639" w:rsidRDefault="003D210A" w:rsidP="003D210A">
            <w:pPr>
              <w:pStyle w:val="table-text-0"/>
              <w:numPr>
                <w:ilvl w:val="12"/>
                <w:numId w:val="0"/>
              </w:numPr>
              <w:spacing w:before="0" w:line="360" w:lineRule="auto"/>
              <w:rPr>
                <w:sz w:val="24"/>
                <w:szCs w:val="24"/>
                <w:lang w:val="ru-RU"/>
              </w:rPr>
            </w:pPr>
            <w:r w:rsidRPr="00C15639">
              <w:rPr>
                <w:sz w:val="24"/>
                <w:szCs w:val="24"/>
                <w:lang w:val="ru-RU"/>
              </w:rPr>
              <w:t>6—9</w:t>
            </w:r>
          </w:p>
        </w:tc>
        <w:tc>
          <w:tcPr>
            <w:tcW w:w="1984" w:type="dxa"/>
            <w:vAlign w:val="center"/>
          </w:tcPr>
          <w:p w14:paraId="3CDF5AFB" w14:textId="77777777" w:rsidR="003D210A" w:rsidRPr="00C15639" w:rsidRDefault="003D210A" w:rsidP="003D210A">
            <w:pPr>
              <w:pStyle w:val="table-text-0"/>
              <w:numPr>
                <w:ilvl w:val="12"/>
                <w:numId w:val="0"/>
              </w:numPr>
              <w:spacing w:before="0" w:line="360" w:lineRule="auto"/>
              <w:rPr>
                <w:sz w:val="24"/>
                <w:szCs w:val="24"/>
                <w:lang w:val="ru-RU"/>
              </w:rPr>
            </w:pPr>
            <w:r w:rsidRPr="00C15639">
              <w:rPr>
                <w:sz w:val="24"/>
                <w:szCs w:val="24"/>
                <w:lang w:val="ru-RU"/>
              </w:rPr>
              <w:t>&lt; 6</w:t>
            </w:r>
          </w:p>
        </w:tc>
      </w:tr>
      <w:tr w:rsidR="003D210A" w:rsidRPr="00C15639" w14:paraId="283543B4" w14:textId="77777777" w:rsidTr="005A428D">
        <w:trPr>
          <w:cantSplit/>
          <w:trHeight w:val="20"/>
        </w:trPr>
        <w:tc>
          <w:tcPr>
            <w:tcW w:w="2808" w:type="dxa"/>
            <w:tcBorders>
              <w:bottom w:val="nil"/>
            </w:tcBorders>
          </w:tcPr>
          <w:p w14:paraId="52BCA741" w14:textId="77777777" w:rsidR="003D210A" w:rsidRPr="00C15639" w:rsidRDefault="003D210A" w:rsidP="003D210A">
            <w:pPr>
              <w:pStyle w:val="table-text-0"/>
              <w:numPr>
                <w:ilvl w:val="12"/>
                <w:numId w:val="0"/>
              </w:numPr>
              <w:spacing w:before="0" w:line="360" w:lineRule="auto"/>
              <w:rPr>
                <w:b/>
                <w:sz w:val="24"/>
                <w:szCs w:val="24"/>
                <w:lang w:val="ru-RU"/>
              </w:rPr>
            </w:pPr>
            <w:r w:rsidRPr="00C15639">
              <w:rPr>
                <w:b/>
                <w:sz w:val="24"/>
                <w:szCs w:val="24"/>
                <w:lang w:val="ru-RU"/>
              </w:rPr>
              <w:t>Почки</w:t>
            </w:r>
          </w:p>
        </w:tc>
        <w:tc>
          <w:tcPr>
            <w:tcW w:w="1128" w:type="dxa"/>
            <w:tcBorders>
              <w:bottom w:val="nil"/>
            </w:tcBorders>
            <w:vAlign w:val="center"/>
          </w:tcPr>
          <w:p w14:paraId="2A694454" w14:textId="77777777" w:rsidR="003D210A" w:rsidRPr="00C15639" w:rsidRDefault="003D210A" w:rsidP="003D210A">
            <w:pPr>
              <w:pStyle w:val="table-text-0"/>
              <w:numPr>
                <w:ilvl w:val="12"/>
                <w:numId w:val="0"/>
              </w:numPr>
              <w:spacing w:before="0" w:line="360" w:lineRule="auto"/>
              <w:rPr>
                <w:sz w:val="24"/>
                <w:szCs w:val="24"/>
                <w:lang w:val="ru-RU"/>
              </w:rPr>
            </w:pPr>
          </w:p>
        </w:tc>
        <w:tc>
          <w:tcPr>
            <w:tcW w:w="1417" w:type="dxa"/>
            <w:tcBorders>
              <w:bottom w:val="nil"/>
            </w:tcBorders>
            <w:vAlign w:val="center"/>
          </w:tcPr>
          <w:p w14:paraId="236F0A95" w14:textId="77777777" w:rsidR="003D210A" w:rsidRPr="00C15639" w:rsidRDefault="003D210A" w:rsidP="003D210A">
            <w:pPr>
              <w:pStyle w:val="table-text-0"/>
              <w:numPr>
                <w:ilvl w:val="12"/>
                <w:numId w:val="0"/>
              </w:numPr>
              <w:spacing w:before="0" w:line="360" w:lineRule="auto"/>
              <w:rPr>
                <w:sz w:val="24"/>
                <w:szCs w:val="24"/>
                <w:lang w:val="ru-RU"/>
              </w:rPr>
            </w:pPr>
          </w:p>
        </w:tc>
        <w:tc>
          <w:tcPr>
            <w:tcW w:w="1843" w:type="dxa"/>
            <w:tcBorders>
              <w:bottom w:val="nil"/>
            </w:tcBorders>
            <w:vAlign w:val="center"/>
          </w:tcPr>
          <w:p w14:paraId="75F5B537" w14:textId="77777777" w:rsidR="003D210A" w:rsidRPr="00C15639" w:rsidRDefault="003D210A" w:rsidP="003D210A">
            <w:pPr>
              <w:pStyle w:val="table-text-0"/>
              <w:numPr>
                <w:ilvl w:val="12"/>
                <w:numId w:val="0"/>
              </w:numPr>
              <w:spacing w:before="0" w:line="360" w:lineRule="auto"/>
              <w:rPr>
                <w:sz w:val="24"/>
                <w:szCs w:val="24"/>
                <w:lang w:val="ru-RU"/>
              </w:rPr>
            </w:pPr>
          </w:p>
        </w:tc>
        <w:tc>
          <w:tcPr>
            <w:tcW w:w="1984" w:type="dxa"/>
            <w:tcBorders>
              <w:bottom w:val="nil"/>
            </w:tcBorders>
            <w:vAlign w:val="center"/>
          </w:tcPr>
          <w:p w14:paraId="6E35FCEF" w14:textId="77777777" w:rsidR="003D210A" w:rsidRPr="00C15639" w:rsidRDefault="003D210A" w:rsidP="003D210A">
            <w:pPr>
              <w:pStyle w:val="table-text-0"/>
              <w:numPr>
                <w:ilvl w:val="12"/>
                <w:numId w:val="0"/>
              </w:numPr>
              <w:spacing w:before="0" w:line="360" w:lineRule="auto"/>
              <w:rPr>
                <w:sz w:val="24"/>
                <w:szCs w:val="24"/>
                <w:lang w:val="ru-RU"/>
              </w:rPr>
            </w:pPr>
          </w:p>
        </w:tc>
      </w:tr>
      <w:tr w:rsidR="003D210A" w:rsidRPr="00C15639" w14:paraId="24425CB5" w14:textId="77777777" w:rsidTr="005A428D">
        <w:trPr>
          <w:cantSplit/>
          <w:trHeight w:val="20"/>
        </w:trPr>
        <w:tc>
          <w:tcPr>
            <w:tcW w:w="2808" w:type="dxa"/>
            <w:tcBorders>
              <w:top w:val="nil"/>
              <w:bottom w:val="nil"/>
            </w:tcBorders>
          </w:tcPr>
          <w:p w14:paraId="1E731301" w14:textId="77777777" w:rsidR="003D210A" w:rsidRPr="00C15639" w:rsidRDefault="003D210A" w:rsidP="003D210A">
            <w:pPr>
              <w:pStyle w:val="table-text-0"/>
              <w:numPr>
                <w:ilvl w:val="12"/>
                <w:numId w:val="0"/>
              </w:numPr>
              <w:spacing w:before="0" w:line="360" w:lineRule="auto"/>
              <w:rPr>
                <w:sz w:val="24"/>
                <w:szCs w:val="24"/>
                <w:lang w:val="ru-RU"/>
              </w:rPr>
            </w:pPr>
            <w:r w:rsidRPr="00C15639">
              <w:rPr>
                <w:sz w:val="24"/>
                <w:szCs w:val="24"/>
                <w:lang w:val="ru-RU"/>
              </w:rPr>
              <w:t>Креатинин, ммоль/л</w:t>
            </w:r>
          </w:p>
        </w:tc>
        <w:tc>
          <w:tcPr>
            <w:tcW w:w="1128" w:type="dxa"/>
            <w:tcBorders>
              <w:top w:val="nil"/>
            </w:tcBorders>
            <w:vAlign w:val="center"/>
          </w:tcPr>
          <w:p w14:paraId="3FACD332" w14:textId="77777777" w:rsidR="003D210A" w:rsidRPr="00C15639" w:rsidRDefault="003D210A" w:rsidP="003D210A">
            <w:pPr>
              <w:pStyle w:val="table-text-0"/>
              <w:numPr>
                <w:ilvl w:val="12"/>
                <w:numId w:val="0"/>
              </w:numPr>
              <w:spacing w:before="0" w:line="360" w:lineRule="auto"/>
              <w:rPr>
                <w:sz w:val="24"/>
                <w:szCs w:val="24"/>
                <w:lang w:val="ru-RU"/>
              </w:rPr>
            </w:pPr>
            <w:r w:rsidRPr="00C15639">
              <w:rPr>
                <w:sz w:val="24"/>
                <w:szCs w:val="24"/>
                <w:lang w:val="ru-RU"/>
              </w:rPr>
              <w:t>0,11—0,17</w:t>
            </w:r>
          </w:p>
        </w:tc>
        <w:tc>
          <w:tcPr>
            <w:tcW w:w="1417" w:type="dxa"/>
            <w:tcBorders>
              <w:top w:val="nil"/>
            </w:tcBorders>
            <w:vAlign w:val="center"/>
          </w:tcPr>
          <w:p w14:paraId="642F0A17" w14:textId="77777777" w:rsidR="003D210A" w:rsidRPr="00C15639" w:rsidRDefault="003D210A" w:rsidP="003D210A">
            <w:pPr>
              <w:pStyle w:val="table-text-0"/>
              <w:numPr>
                <w:ilvl w:val="12"/>
                <w:numId w:val="0"/>
              </w:numPr>
              <w:spacing w:before="0" w:line="360" w:lineRule="auto"/>
              <w:rPr>
                <w:sz w:val="24"/>
                <w:szCs w:val="24"/>
                <w:lang w:val="ru-RU"/>
              </w:rPr>
            </w:pPr>
            <w:r w:rsidRPr="00C15639">
              <w:rPr>
                <w:sz w:val="24"/>
                <w:szCs w:val="24"/>
                <w:lang w:val="ru-RU"/>
              </w:rPr>
              <w:t>0,171—0,299</w:t>
            </w:r>
          </w:p>
        </w:tc>
        <w:tc>
          <w:tcPr>
            <w:tcW w:w="1843" w:type="dxa"/>
            <w:tcBorders>
              <w:top w:val="nil"/>
            </w:tcBorders>
            <w:vAlign w:val="center"/>
          </w:tcPr>
          <w:p w14:paraId="7BA307E4" w14:textId="77777777" w:rsidR="003D210A" w:rsidRPr="00C15639" w:rsidRDefault="003D210A" w:rsidP="003D210A">
            <w:pPr>
              <w:pStyle w:val="table-text-0"/>
              <w:numPr>
                <w:ilvl w:val="12"/>
                <w:numId w:val="0"/>
              </w:numPr>
              <w:spacing w:before="0" w:line="360" w:lineRule="auto"/>
              <w:rPr>
                <w:sz w:val="24"/>
                <w:szCs w:val="24"/>
                <w:lang w:val="ru-RU"/>
              </w:rPr>
            </w:pPr>
            <w:r w:rsidRPr="00C15639">
              <w:rPr>
                <w:sz w:val="24"/>
                <w:szCs w:val="24"/>
                <w:lang w:val="ru-RU"/>
              </w:rPr>
              <w:t>0,3—0,44 или</w:t>
            </w:r>
          </w:p>
        </w:tc>
        <w:tc>
          <w:tcPr>
            <w:tcW w:w="1984" w:type="dxa"/>
            <w:tcBorders>
              <w:top w:val="nil"/>
            </w:tcBorders>
            <w:vAlign w:val="center"/>
          </w:tcPr>
          <w:p w14:paraId="3872B97A" w14:textId="77777777" w:rsidR="003D210A" w:rsidRPr="00C15639" w:rsidRDefault="003D210A" w:rsidP="003D210A">
            <w:pPr>
              <w:pStyle w:val="table-text-0"/>
              <w:numPr>
                <w:ilvl w:val="12"/>
                <w:numId w:val="0"/>
              </w:numPr>
              <w:spacing w:before="0" w:line="360" w:lineRule="auto"/>
              <w:rPr>
                <w:sz w:val="24"/>
                <w:szCs w:val="24"/>
                <w:lang w:val="ru-RU"/>
              </w:rPr>
            </w:pPr>
            <w:r w:rsidRPr="00C15639">
              <w:rPr>
                <w:sz w:val="24"/>
                <w:szCs w:val="24"/>
                <w:lang w:val="ru-RU"/>
              </w:rPr>
              <w:t>&gt; 0,44 или</w:t>
            </w:r>
          </w:p>
        </w:tc>
      </w:tr>
      <w:tr w:rsidR="003D210A" w:rsidRPr="00C15639" w14:paraId="01F83A77" w14:textId="77777777" w:rsidTr="005A428D">
        <w:trPr>
          <w:cantSplit/>
          <w:trHeight w:val="20"/>
        </w:trPr>
        <w:tc>
          <w:tcPr>
            <w:tcW w:w="2808" w:type="dxa"/>
            <w:tcBorders>
              <w:top w:val="nil"/>
            </w:tcBorders>
          </w:tcPr>
          <w:p w14:paraId="20EB4800" w14:textId="77777777" w:rsidR="003D210A" w:rsidRPr="00C15639" w:rsidRDefault="003D210A" w:rsidP="003D210A">
            <w:pPr>
              <w:pStyle w:val="table-text-0"/>
              <w:numPr>
                <w:ilvl w:val="12"/>
                <w:numId w:val="0"/>
              </w:numPr>
              <w:spacing w:before="0" w:line="360" w:lineRule="auto"/>
              <w:rPr>
                <w:sz w:val="24"/>
                <w:szCs w:val="24"/>
                <w:lang w:val="ru-RU"/>
              </w:rPr>
            </w:pPr>
            <w:r w:rsidRPr="00C15639">
              <w:rPr>
                <w:sz w:val="24"/>
                <w:szCs w:val="24"/>
                <w:lang w:val="ru-RU"/>
              </w:rPr>
              <w:t>Диурез, мл/сут</w:t>
            </w:r>
          </w:p>
        </w:tc>
        <w:tc>
          <w:tcPr>
            <w:tcW w:w="1128" w:type="dxa"/>
            <w:vAlign w:val="center"/>
          </w:tcPr>
          <w:p w14:paraId="7D35DCF9" w14:textId="77777777" w:rsidR="003D210A" w:rsidRPr="00C15639" w:rsidRDefault="003D210A" w:rsidP="003D210A">
            <w:pPr>
              <w:pStyle w:val="table-text-0"/>
              <w:numPr>
                <w:ilvl w:val="12"/>
                <w:numId w:val="0"/>
              </w:numPr>
              <w:spacing w:before="0" w:line="360" w:lineRule="auto"/>
              <w:rPr>
                <w:sz w:val="24"/>
                <w:szCs w:val="24"/>
                <w:lang w:val="ru-RU"/>
              </w:rPr>
            </w:pPr>
          </w:p>
        </w:tc>
        <w:tc>
          <w:tcPr>
            <w:tcW w:w="1417" w:type="dxa"/>
            <w:vAlign w:val="center"/>
          </w:tcPr>
          <w:p w14:paraId="166B2669" w14:textId="77777777" w:rsidR="003D210A" w:rsidRPr="00C15639" w:rsidRDefault="003D210A" w:rsidP="003D210A">
            <w:pPr>
              <w:pStyle w:val="table-text-0"/>
              <w:numPr>
                <w:ilvl w:val="12"/>
                <w:numId w:val="0"/>
              </w:numPr>
              <w:spacing w:before="0" w:line="360" w:lineRule="auto"/>
              <w:rPr>
                <w:sz w:val="24"/>
                <w:szCs w:val="24"/>
                <w:lang w:val="ru-RU"/>
              </w:rPr>
            </w:pPr>
          </w:p>
        </w:tc>
        <w:tc>
          <w:tcPr>
            <w:tcW w:w="1843" w:type="dxa"/>
            <w:vAlign w:val="center"/>
          </w:tcPr>
          <w:p w14:paraId="27AD37A1" w14:textId="77777777" w:rsidR="003D210A" w:rsidRPr="00C15639" w:rsidRDefault="003D210A" w:rsidP="003D210A">
            <w:pPr>
              <w:pStyle w:val="table-text-0"/>
              <w:numPr>
                <w:ilvl w:val="12"/>
                <w:numId w:val="0"/>
              </w:numPr>
              <w:spacing w:before="0" w:line="360" w:lineRule="auto"/>
              <w:rPr>
                <w:sz w:val="24"/>
                <w:szCs w:val="24"/>
                <w:lang w:val="ru-RU"/>
              </w:rPr>
            </w:pPr>
            <w:r w:rsidRPr="00C15639">
              <w:rPr>
                <w:sz w:val="24"/>
                <w:szCs w:val="24"/>
                <w:lang w:val="ru-RU"/>
              </w:rPr>
              <w:t>&lt; 500 мл/сут</w:t>
            </w:r>
          </w:p>
        </w:tc>
        <w:tc>
          <w:tcPr>
            <w:tcW w:w="1984" w:type="dxa"/>
            <w:vAlign w:val="center"/>
          </w:tcPr>
          <w:p w14:paraId="3B3BD8C8" w14:textId="77777777" w:rsidR="003D210A" w:rsidRPr="00C15639" w:rsidRDefault="003D210A" w:rsidP="003D210A">
            <w:pPr>
              <w:pStyle w:val="table-text-0"/>
              <w:numPr>
                <w:ilvl w:val="12"/>
                <w:numId w:val="0"/>
              </w:numPr>
              <w:spacing w:before="0" w:line="360" w:lineRule="auto"/>
              <w:rPr>
                <w:sz w:val="24"/>
                <w:szCs w:val="24"/>
                <w:lang w:val="ru-RU"/>
              </w:rPr>
            </w:pPr>
            <w:r w:rsidRPr="00C15639">
              <w:rPr>
                <w:sz w:val="24"/>
                <w:szCs w:val="24"/>
                <w:lang w:val="ru-RU"/>
              </w:rPr>
              <w:t>&lt; 200 мл/сут</w:t>
            </w:r>
          </w:p>
        </w:tc>
      </w:tr>
      <w:tr w:rsidR="003D210A" w:rsidRPr="00C15639" w14:paraId="11AB48FE" w14:textId="77777777" w:rsidTr="005A428D">
        <w:trPr>
          <w:cantSplit/>
          <w:trHeight w:val="20"/>
        </w:trPr>
        <w:tc>
          <w:tcPr>
            <w:tcW w:w="9180" w:type="dxa"/>
            <w:gridSpan w:val="5"/>
          </w:tcPr>
          <w:p w14:paraId="2AE7977C" w14:textId="77777777" w:rsidR="003D210A" w:rsidRPr="00C15639" w:rsidRDefault="003D210A" w:rsidP="003D210A">
            <w:pPr>
              <w:pStyle w:val="table-ref"/>
              <w:spacing w:before="0" w:after="0" w:line="360" w:lineRule="auto"/>
              <w:rPr>
                <w:sz w:val="24"/>
                <w:szCs w:val="24"/>
              </w:rPr>
            </w:pPr>
            <w:r w:rsidRPr="00C15639">
              <w:rPr>
                <w:sz w:val="24"/>
                <w:szCs w:val="24"/>
              </w:rPr>
              <w:t>* Применение ≥ 1 ч; дозы в мкг/кг/мин.</w:t>
            </w:r>
          </w:p>
        </w:tc>
      </w:tr>
    </w:tbl>
    <w:p w14:paraId="731BF3B0" w14:textId="77777777" w:rsidR="003D210A" w:rsidRPr="00C15639" w:rsidRDefault="003D210A" w:rsidP="003D210A">
      <w:pPr>
        <w:rPr>
          <w:szCs w:val="24"/>
        </w:rPr>
      </w:pPr>
    </w:p>
    <w:p w14:paraId="1260A8B7" w14:textId="77777777" w:rsidR="003D210A" w:rsidRPr="00C15639" w:rsidRDefault="003D210A" w:rsidP="003D210A">
      <w:pPr>
        <w:ind w:firstLine="709"/>
        <w:rPr>
          <w:szCs w:val="24"/>
        </w:rPr>
      </w:pPr>
      <w:r w:rsidRPr="00C15639">
        <w:rPr>
          <w:szCs w:val="24"/>
        </w:rPr>
        <w:t>Шкала qSOFA была создана из шкалы SOFA с помощью мультивариантного логистического регрессионного анализа. Положительная шкала SOFA — подозрение на инфекцию плюс наличие ≥ 2 баллов вследствие изменений вышеуказанных параметров.</w:t>
      </w:r>
    </w:p>
    <w:p w14:paraId="21353F09" w14:textId="77777777" w:rsidR="003D210A" w:rsidRPr="00C15639" w:rsidRDefault="003D210A" w:rsidP="003D210A">
      <w:pPr>
        <w:ind w:firstLine="709"/>
        <w:rPr>
          <w:szCs w:val="24"/>
        </w:rPr>
      </w:pPr>
      <w:r w:rsidRPr="00C15639">
        <w:rPr>
          <w:b/>
          <w:bCs/>
          <w:szCs w:val="24"/>
        </w:rPr>
        <w:t>4. Исключено понятие «тяжелый сепсис».</w:t>
      </w:r>
      <w:r w:rsidRPr="00C15639">
        <w:rPr>
          <w:szCs w:val="24"/>
        </w:rPr>
        <w:t xml:space="preserve"> «Сепсис» и «септический шок» — это две оставшиеся категории, поскольку, согласно новому определению, сепсис — это системный ответ на инфекцию, сопровождающихся развитием органной дисфункции. По сути то, что раньше называлось тяжелым сепсисом стало называться сепсисом, а то, что раньше называли просто «сепсис», отнесено к категории инфекции. Таким образом, сепсис, согласно определению «Сепсис-3», это инфекция, протекающая с органной дисфункцией. </w:t>
      </w:r>
    </w:p>
    <w:p w14:paraId="12C00BD9" w14:textId="77777777" w:rsidR="003D210A" w:rsidRPr="00C15639" w:rsidRDefault="003D210A" w:rsidP="003D210A">
      <w:pPr>
        <w:ind w:firstLine="709"/>
        <w:rPr>
          <w:szCs w:val="24"/>
        </w:rPr>
      </w:pPr>
      <w:r w:rsidRPr="00C15639">
        <w:rPr>
          <w:b/>
          <w:bCs/>
          <w:szCs w:val="24"/>
        </w:rPr>
        <w:t>5. Лактат — обязательный критерий септического шока наряду с артериальной гипотензией.</w:t>
      </w:r>
      <w:r w:rsidRPr="00C15639">
        <w:rPr>
          <w:bCs/>
          <w:szCs w:val="24"/>
        </w:rPr>
        <w:t xml:space="preserve"> </w:t>
      </w:r>
      <w:r w:rsidRPr="00C15639">
        <w:rPr>
          <w:szCs w:val="24"/>
        </w:rPr>
        <w:t>Раньше лактат рассматривался как маркер органной дисфункции. В «Сепсис-3» уровень лактата &gt; 2 ммоль/л является обязательным для диагноза септического шока. Для диагноза септического шока у больных должна быть артериальная гипотензия (среднее АД &lt; 65 мм рт. ст.) и уровень лактата &gt; 2 ммоль/л, несмотря на адекватную волемическую нагрузку.</w:t>
      </w:r>
    </w:p>
    <w:p w14:paraId="6C93338F" w14:textId="77777777" w:rsidR="003D210A" w:rsidRDefault="003D210A" w:rsidP="003D210A">
      <w:pPr>
        <w:ind w:firstLine="709"/>
        <w:rPr>
          <w:b/>
          <w:bCs/>
          <w:lang w:eastAsia="ru-RU"/>
        </w:rPr>
      </w:pPr>
    </w:p>
    <w:p w14:paraId="662DE9D6" w14:textId="77777777" w:rsidR="003D210A" w:rsidRPr="00391AAB" w:rsidRDefault="003D210A" w:rsidP="003D210A">
      <w:pPr>
        <w:ind w:firstLine="709"/>
        <w:rPr>
          <w:b/>
          <w:bCs/>
          <w:lang w:eastAsia="ru-RU"/>
        </w:rPr>
      </w:pPr>
      <w:r w:rsidRPr="00391AAB">
        <w:rPr>
          <w:b/>
          <w:bCs/>
          <w:lang w:eastAsia="ru-RU"/>
        </w:rPr>
        <w:t>Эпидемиология сепсиса в гематологической клинике</w:t>
      </w:r>
    </w:p>
    <w:p w14:paraId="0A709E5F" w14:textId="77777777" w:rsidR="003D210A" w:rsidRPr="00C15639" w:rsidRDefault="003D210A" w:rsidP="003D210A">
      <w:pPr>
        <w:pStyle w:val="Normal11"/>
        <w:spacing w:line="360" w:lineRule="auto"/>
        <w:ind w:firstLine="709"/>
      </w:pPr>
      <w:r w:rsidRPr="00C15639">
        <w:t>Наиболее часто выделяемыми из крови микроорганизмами при развитии септического шока у гематологических пацентов являются грамотрицательные палочки — у 47% больных; грамположительные бактерии выявляются лишь у 3,3% больных; у 6,7% больных из крови одновременно высеваются как грамположительные, так грамотрицательные микроорганизмы. Фунгемия является причиной септического шока у 10% больных. У 33% больных с септическим шоком патогены в крови не обнаруживаются.</w:t>
      </w:r>
    </w:p>
    <w:p w14:paraId="1D785E02" w14:textId="77777777" w:rsidR="003D210A" w:rsidRPr="00C15639" w:rsidRDefault="003D210A" w:rsidP="003D210A">
      <w:pPr>
        <w:ind w:firstLine="709"/>
        <w:rPr>
          <w:i/>
          <w:szCs w:val="24"/>
        </w:rPr>
      </w:pPr>
      <w:r w:rsidRPr="00C15639">
        <w:rPr>
          <w:szCs w:val="24"/>
        </w:rPr>
        <w:t xml:space="preserve">Среди грамотрицательных микроорганизмов септический шок чаще всего вызывают </w:t>
      </w:r>
      <w:r w:rsidRPr="00C15639">
        <w:rPr>
          <w:i/>
          <w:szCs w:val="24"/>
        </w:rPr>
        <w:t>Klebsiella pneumoniae, Pseudomonas aeruginosa, Escherichia coli, Acinetobacter baumannii</w:t>
      </w:r>
      <w:r w:rsidRPr="00C15639">
        <w:rPr>
          <w:szCs w:val="24"/>
        </w:rPr>
        <w:t xml:space="preserve">, среди грамположительных — </w:t>
      </w:r>
      <w:r w:rsidRPr="00C15639">
        <w:rPr>
          <w:i/>
          <w:szCs w:val="24"/>
        </w:rPr>
        <w:t>Enterococcus faecalis</w:t>
      </w:r>
      <w:r w:rsidRPr="00C15639">
        <w:rPr>
          <w:szCs w:val="24"/>
        </w:rPr>
        <w:t xml:space="preserve">, среди грибов — </w:t>
      </w:r>
      <w:r w:rsidRPr="00C15639">
        <w:rPr>
          <w:i/>
          <w:szCs w:val="24"/>
        </w:rPr>
        <w:t>Candida cruzei, Candida tropicalis, Acremonium spp.</w:t>
      </w:r>
    </w:p>
    <w:p w14:paraId="2DBB2EBF" w14:textId="77777777" w:rsidR="003D210A" w:rsidRPr="00C15639" w:rsidRDefault="003D210A" w:rsidP="003D210A">
      <w:pPr>
        <w:ind w:firstLine="709"/>
        <w:rPr>
          <w:szCs w:val="24"/>
        </w:rPr>
      </w:pPr>
      <w:r w:rsidRPr="00C15639">
        <w:rPr>
          <w:szCs w:val="24"/>
        </w:rPr>
        <w:t xml:space="preserve">Наиболее частым первичным очагом инфекции при септическом шоке являются легкие (51%), на втором месте — инфекция кровотока (11%), кишечник (некротическая энтеропатия) (8%). У четверти больных, несмотря на тщательное обследование, первичный очаг инфекции не удается верифицировать. </w:t>
      </w:r>
    </w:p>
    <w:p w14:paraId="00FD1BD3" w14:textId="77777777" w:rsidR="003D210A" w:rsidRPr="000538D0" w:rsidRDefault="003D210A" w:rsidP="003D210A">
      <w:pPr>
        <w:ind w:firstLine="709"/>
        <w:rPr>
          <w:b/>
          <w:bCs/>
        </w:rPr>
      </w:pPr>
      <w:r w:rsidRPr="000538D0">
        <w:rPr>
          <w:b/>
          <w:bCs/>
        </w:rPr>
        <w:t>Диагностические критерии сепсиса</w:t>
      </w:r>
    </w:p>
    <w:p w14:paraId="0921173E" w14:textId="77777777" w:rsidR="003D210A" w:rsidRPr="00C15639" w:rsidRDefault="003D210A" w:rsidP="003D210A">
      <w:pPr>
        <w:pStyle w:val="Normal11"/>
        <w:spacing w:line="360" w:lineRule="auto"/>
        <w:ind w:firstLine="709"/>
      </w:pPr>
      <w:r w:rsidRPr="00C15639">
        <w:t>Диагностические критерии сепсиса, согласно «Сепсис-3» = подозрение на инфекцию + положительная qSOFA, то есть ≥ 2 критериев из следующих:</w:t>
      </w:r>
    </w:p>
    <w:p w14:paraId="558551BB" w14:textId="77777777" w:rsidR="003D210A" w:rsidRPr="00C15639" w:rsidRDefault="003D210A" w:rsidP="003D210A">
      <w:pPr>
        <w:pStyle w:val="Number1"/>
        <w:spacing w:before="0" w:line="360" w:lineRule="auto"/>
        <w:ind w:firstLine="709"/>
        <w:rPr>
          <w:color w:val="auto"/>
          <w:szCs w:val="24"/>
        </w:rPr>
      </w:pPr>
      <w:r w:rsidRPr="00C15639">
        <w:rPr>
          <w:color w:val="auto"/>
          <w:szCs w:val="24"/>
        </w:rPr>
        <w:t>1. Нарушенный ментальный статус (шкала комы Глазго &lt; 15).</w:t>
      </w:r>
    </w:p>
    <w:p w14:paraId="769D5EB7" w14:textId="77777777" w:rsidR="003D210A" w:rsidRPr="00C15639" w:rsidRDefault="003D210A" w:rsidP="003D210A">
      <w:pPr>
        <w:pStyle w:val="Number1"/>
        <w:spacing w:before="0" w:line="360" w:lineRule="auto"/>
        <w:ind w:firstLine="709"/>
        <w:rPr>
          <w:color w:val="auto"/>
          <w:szCs w:val="24"/>
        </w:rPr>
      </w:pPr>
      <w:r w:rsidRPr="00C15639">
        <w:rPr>
          <w:color w:val="auto"/>
          <w:szCs w:val="24"/>
        </w:rPr>
        <w:t xml:space="preserve">2. Систолическое АД ≤ 100 мм рт. ст. </w:t>
      </w:r>
    </w:p>
    <w:p w14:paraId="0E478AAB" w14:textId="77777777" w:rsidR="003D210A" w:rsidRPr="00C15639" w:rsidRDefault="003D210A" w:rsidP="003D210A">
      <w:pPr>
        <w:pStyle w:val="Number1"/>
        <w:spacing w:before="0" w:line="360" w:lineRule="auto"/>
        <w:ind w:firstLine="709"/>
        <w:rPr>
          <w:color w:val="auto"/>
          <w:szCs w:val="24"/>
        </w:rPr>
      </w:pPr>
      <w:r w:rsidRPr="00C15639">
        <w:rPr>
          <w:color w:val="auto"/>
          <w:szCs w:val="24"/>
        </w:rPr>
        <w:t>3. Число дыханий ≥ 22/мин.</w:t>
      </w:r>
    </w:p>
    <w:p w14:paraId="699F8315" w14:textId="77777777" w:rsidR="003D210A" w:rsidRPr="00C15639" w:rsidRDefault="003D210A" w:rsidP="003D210A">
      <w:pPr>
        <w:ind w:firstLine="709"/>
        <w:rPr>
          <w:szCs w:val="24"/>
        </w:rPr>
      </w:pPr>
      <w:r w:rsidRPr="00C15639">
        <w:rPr>
          <w:b/>
          <w:bCs/>
          <w:szCs w:val="24"/>
          <w:lang w:eastAsia="en-GB"/>
        </w:rPr>
        <w:t>Септический шок</w:t>
      </w:r>
      <w:r w:rsidRPr="00C15639">
        <w:rPr>
          <w:szCs w:val="24"/>
          <w:lang w:eastAsia="en-GB"/>
        </w:rPr>
        <w:t> — это сепсис, протекающий с персистирующей артериальной гипотензией, требующей для поддержания среднего АД выше 65 мм рт. ст. применения вазопресоров, несмотря на адекватную волемическую нагрузку, и с уровнем сывороточного лактата &gt; 2 ммоль/л (18 мг/дл). При наличии этих критериев смертность превышает 40%.</w:t>
      </w:r>
    </w:p>
    <w:p w14:paraId="2774A8FA" w14:textId="77777777" w:rsidR="003D210A" w:rsidRPr="00C15639" w:rsidRDefault="003D210A" w:rsidP="003D210A">
      <w:pPr>
        <w:ind w:firstLine="709"/>
        <w:rPr>
          <w:szCs w:val="24"/>
          <w:lang w:eastAsia="en-GB"/>
        </w:rPr>
      </w:pPr>
      <w:r w:rsidRPr="00C15639">
        <w:rPr>
          <w:szCs w:val="24"/>
          <w:lang w:eastAsia="en-GB"/>
        </w:rPr>
        <w:t xml:space="preserve">Под артериальной гипотензией понимается снижение систолического АД &lt; 100 мм рт. ст. либо среднего АД &lt; 65 мм рт. ст. в течение более 1 часа, сохраняющееся, несмотря на адекватную инфузионную терапию. Критерием адекватности проводимой инфузионной терапии считается повышение ЦВД до 12 мм рт. ст., нормализация индекса </w:t>
      </w:r>
      <w:r w:rsidRPr="00C15639">
        <w:rPr>
          <w:szCs w:val="24"/>
        </w:rPr>
        <w:t>глобального конечно-диастолического объема (</w:t>
      </w:r>
      <w:r w:rsidRPr="00C15639">
        <w:rPr>
          <w:szCs w:val="24"/>
          <w:lang w:eastAsia="en-GB"/>
        </w:rPr>
        <w:t>ГКДО) по данным транспульмональной термодилюции, то есть &gt; 680 мл/м</w:t>
      </w:r>
      <w:r w:rsidRPr="00C15639">
        <w:rPr>
          <w:szCs w:val="24"/>
          <w:vertAlign w:val="superscript"/>
          <w:lang w:eastAsia="en-GB"/>
        </w:rPr>
        <w:t>2</w:t>
      </w:r>
      <w:r w:rsidRPr="00C15639">
        <w:rPr>
          <w:szCs w:val="24"/>
          <w:lang w:eastAsia="en-GB"/>
        </w:rPr>
        <w:t xml:space="preserve">. </w:t>
      </w:r>
    </w:p>
    <w:p w14:paraId="41834B53" w14:textId="77777777" w:rsidR="003D210A" w:rsidRPr="00C15639" w:rsidRDefault="003D210A" w:rsidP="003D210A">
      <w:pPr>
        <w:ind w:firstLine="709"/>
        <w:rPr>
          <w:szCs w:val="24"/>
          <w:lang w:eastAsia="en-GB"/>
        </w:rPr>
      </w:pPr>
      <w:r w:rsidRPr="00C15639">
        <w:rPr>
          <w:szCs w:val="24"/>
          <w:lang w:eastAsia="en-GB"/>
        </w:rPr>
        <w:t xml:space="preserve">Наличие бактериемии не является обязательным условием для диагностики септического шока. Считают, что больной выведен из состояния септического шока, если в течение суток без введения инотропных или вазопрессорных препаратов и волемической нагрузки систолическое АД стабилизируется на цифрах </w:t>
      </w:r>
      <w:r w:rsidRPr="00C15639">
        <w:rPr>
          <w:szCs w:val="24"/>
        </w:rPr>
        <w:t>≥</w:t>
      </w:r>
      <w:r w:rsidRPr="00C15639">
        <w:rPr>
          <w:szCs w:val="24"/>
          <w:lang w:eastAsia="en-GB"/>
        </w:rPr>
        <w:t> 90 мм рт. ст. и исчезают признаки нарушения тканевой перфузии.</w:t>
      </w:r>
    </w:p>
    <w:p w14:paraId="64ED7416" w14:textId="77777777" w:rsidR="003D210A" w:rsidRPr="00C15639" w:rsidRDefault="003D210A" w:rsidP="003D210A">
      <w:pPr>
        <w:ind w:firstLine="709"/>
        <w:rPr>
          <w:szCs w:val="24"/>
          <w:lang w:eastAsia="en-GB"/>
        </w:rPr>
      </w:pPr>
      <w:r w:rsidRPr="00C15639">
        <w:rPr>
          <w:szCs w:val="24"/>
          <w:lang w:eastAsia="en-GB"/>
        </w:rPr>
        <w:t>Под острой почечной недостаточностью понимают олигурию (диурез &lt; 0,5 мл/кг/ч) и/или повышение концентрации креатинина сыворотки &gt; 0,2 ммоль/л).</w:t>
      </w:r>
    </w:p>
    <w:p w14:paraId="048B4E08" w14:textId="77777777" w:rsidR="003D210A" w:rsidRPr="00C15639" w:rsidRDefault="003D210A" w:rsidP="003D210A">
      <w:pPr>
        <w:ind w:firstLine="709"/>
        <w:rPr>
          <w:szCs w:val="24"/>
          <w:lang w:eastAsia="en-GB"/>
        </w:rPr>
      </w:pPr>
      <w:r w:rsidRPr="00C15639">
        <w:rPr>
          <w:szCs w:val="24"/>
          <w:lang w:eastAsia="en-GB"/>
        </w:rPr>
        <w:t xml:space="preserve">Печеночная дисфункция диагностируется при выявлении гипербилирубинемии &gt; 70 мкмоль/л и/или повышения активности трансаминаз в два раза и более от нормы. </w:t>
      </w:r>
    </w:p>
    <w:p w14:paraId="6F3D3ACE" w14:textId="77777777" w:rsidR="003D210A" w:rsidRPr="00C15639" w:rsidRDefault="003D210A" w:rsidP="003D210A">
      <w:pPr>
        <w:ind w:firstLine="709"/>
        <w:rPr>
          <w:szCs w:val="24"/>
          <w:lang w:eastAsia="en-GB"/>
        </w:rPr>
      </w:pPr>
      <w:r w:rsidRPr="00C15639">
        <w:rPr>
          <w:szCs w:val="24"/>
          <w:lang w:eastAsia="en-GB"/>
        </w:rPr>
        <w:t>Критерии острой дыхательной недостаточности — тахипноэ (число дыханий в покое &gt; 30/мин), артериальная гипоксемия (Р</w:t>
      </w:r>
      <w:r w:rsidRPr="00C15639">
        <w:rPr>
          <w:szCs w:val="24"/>
          <w:vertAlign w:val="subscript"/>
          <w:lang w:eastAsia="en-GB"/>
        </w:rPr>
        <w:t>a</w:t>
      </w:r>
      <w:r w:rsidRPr="00C15639">
        <w:rPr>
          <w:szCs w:val="24"/>
          <w:lang w:eastAsia="en-GB"/>
        </w:rPr>
        <w:t>О</w:t>
      </w:r>
      <w:r w:rsidRPr="00C15639">
        <w:rPr>
          <w:szCs w:val="24"/>
          <w:vertAlign w:val="subscript"/>
          <w:lang w:eastAsia="en-GB"/>
        </w:rPr>
        <w:t>2</w:t>
      </w:r>
      <w:r w:rsidRPr="00C15639">
        <w:rPr>
          <w:szCs w:val="24"/>
          <w:lang w:eastAsia="en-GB"/>
        </w:rPr>
        <w:t xml:space="preserve"> &lt; 60 мм рт. ст.) или гиперкапния (Р</w:t>
      </w:r>
      <w:r w:rsidRPr="00C15639">
        <w:rPr>
          <w:szCs w:val="24"/>
          <w:vertAlign w:val="subscript"/>
          <w:lang w:eastAsia="en-GB"/>
        </w:rPr>
        <w:t>а</w:t>
      </w:r>
      <w:r w:rsidRPr="00C15639">
        <w:rPr>
          <w:szCs w:val="24"/>
          <w:lang w:eastAsia="en-GB"/>
        </w:rPr>
        <w:t>СО</w:t>
      </w:r>
      <w:r w:rsidRPr="00C15639">
        <w:rPr>
          <w:szCs w:val="24"/>
          <w:vertAlign w:val="subscript"/>
          <w:lang w:eastAsia="en-GB"/>
        </w:rPr>
        <w:t>2</w:t>
      </w:r>
      <w:r w:rsidRPr="00C15639">
        <w:rPr>
          <w:szCs w:val="24"/>
          <w:lang w:eastAsia="en-GB"/>
        </w:rPr>
        <w:t xml:space="preserve"> &gt; 50 мм рт. ст.) при дыхании воздухом, появление обширного двустороннего поражения легких по рентгенологическим данным при отсутствии клинических признаков первичной сердечной недостаточности и хронического заболевания легких. </w:t>
      </w:r>
    </w:p>
    <w:p w14:paraId="1B05EFFE" w14:textId="77777777" w:rsidR="003D210A" w:rsidRPr="00C15639" w:rsidRDefault="003D210A" w:rsidP="003D210A">
      <w:pPr>
        <w:ind w:firstLine="709"/>
        <w:rPr>
          <w:szCs w:val="24"/>
          <w:lang w:eastAsia="en-GB"/>
        </w:rPr>
      </w:pPr>
      <w:r w:rsidRPr="00C15639">
        <w:rPr>
          <w:szCs w:val="24"/>
          <w:lang w:eastAsia="en-GB"/>
        </w:rPr>
        <w:t>Выраженность дыхательной недостаточности оценивается у больных по респираторному индексу, вычисляемому по формуле P</w:t>
      </w:r>
      <w:r w:rsidRPr="00C15639">
        <w:rPr>
          <w:szCs w:val="24"/>
          <w:vertAlign w:val="subscript"/>
          <w:lang w:eastAsia="en-GB"/>
        </w:rPr>
        <w:t>a</w:t>
      </w:r>
      <w:r w:rsidRPr="00C15639">
        <w:rPr>
          <w:szCs w:val="24"/>
          <w:lang w:eastAsia="en-GB"/>
        </w:rPr>
        <w:t>O</w:t>
      </w:r>
      <w:r w:rsidRPr="00C15639">
        <w:rPr>
          <w:szCs w:val="24"/>
          <w:vertAlign w:val="subscript"/>
          <w:lang w:eastAsia="en-GB"/>
        </w:rPr>
        <w:t>2</w:t>
      </w:r>
      <w:r w:rsidRPr="00C15639">
        <w:rPr>
          <w:szCs w:val="24"/>
          <w:lang w:eastAsia="en-GB"/>
        </w:rPr>
        <w:t>/F</w:t>
      </w:r>
      <w:r w:rsidRPr="00C15639">
        <w:rPr>
          <w:szCs w:val="24"/>
          <w:vertAlign w:val="subscript"/>
          <w:lang w:eastAsia="en-GB"/>
        </w:rPr>
        <w:t>I</w:t>
      </w:r>
      <w:r w:rsidRPr="00C15639">
        <w:rPr>
          <w:szCs w:val="24"/>
          <w:lang w:eastAsia="en-GB"/>
        </w:rPr>
        <w:t>O</w:t>
      </w:r>
      <w:r w:rsidRPr="00C15639">
        <w:rPr>
          <w:szCs w:val="24"/>
          <w:vertAlign w:val="subscript"/>
          <w:lang w:eastAsia="en-GB"/>
        </w:rPr>
        <w:t>2</w:t>
      </w:r>
      <w:r w:rsidRPr="00C15639">
        <w:rPr>
          <w:szCs w:val="24"/>
          <w:lang w:eastAsia="en-GB"/>
        </w:rPr>
        <w:t>, где P</w:t>
      </w:r>
      <w:r w:rsidRPr="00C15639">
        <w:rPr>
          <w:szCs w:val="24"/>
          <w:vertAlign w:val="subscript"/>
          <w:lang w:eastAsia="en-GB"/>
        </w:rPr>
        <w:t>a</w:t>
      </w:r>
      <w:r w:rsidRPr="00C15639">
        <w:rPr>
          <w:szCs w:val="24"/>
          <w:lang w:eastAsia="en-GB"/>
        </w:rPr>
        <w:t>O</w:t>
      </w:r>
      <w:r w:rsidRPr="00C15639">
        <w:rPr>
          <w:szCs w:val="24"/>
          <w:vertAlign w:val="subscript"/>
          <w:lang w:eastAsia="en-GB"/>
        </w:rPr>
        <w:t>2</w:t>
      </w:r>
      <w:r w:rsidRPr="00C15639">
        <w:rPr>
          <w:szCs w:val="24"/>
          <w:lang w:eastAsia="en-GB"/>
        </w:rPr>
        <w:t> — это напряжения кислорода в артериальной крови, а F</w:t>
      </w:r>
      <w:r w:rsidRPr="00C15639">
        <w:rPr>
          <w:szCs w:val="24"/>
          <w:vertAlign w:val="subscript"/>
          <w:lang w:eastAsia="en-GB"/>
        </w:rPr>
        <w:t>I</w:t>
      </w:r>
      <w:r w:rsidRPr="00C15639">
        <w:rPr>
          <w:szCs w:val="24"/>
          <w:lang w:eastAsia="en-GB"/>
        </w:rPr>
        <w:t>O</w:t>
      </w:r>
      <w:r w:rsidRPr="00C15639">
        <w:rPr>
          <w:szCs w:val="24"/>
          <w:vertAlign w:val="subscript"/>
          <w:lang w:eastAsia="en-GB"/>
        </w:rPr>
        <w:t>2</w:t>
      </w:r>
      <w:r w:rsidRPr="00C15639">
        <w:rPr>
          <w:szCs w:val="24"/>
          <w:lang w:eastAsia="en-GB"/>
        </w:rPr>
        <w:t> — процентное содержание кислорода во вдыхаемой смеси, выраженное в долях единицы. В норме этот показатель превышает 350—400 мм рт. ст.</w:t>
      </w:r>
    </w:p>
    <w:p w14:paraId="4DD4A031" w14:textId="77777777" w:rsidR="003D210A" w:rsidRPr="00C15639" w:rsidRDefault="003D210A" w:rsidP="003D210A">
      <w:pPr>
        <w:ind w:firstLine="709"/>
        <w:rPr>
          <w:szCs w:val="24"/>
          <w:lang w:eastAsia="en-GB"/>
        </w:rPr>
      </w:pPr>
      <w:r w:rsidRPr="00C15639">
        <w:rPr>
          <w:szCs w:val="24"/>
          <w:lang w:eastAsia="en-GB"/>
        </w:rPr>
        <w:t>Некротическую энтеропатию диагностируют при появлении метеоризма, болей в животе, диареи при отсутствии признаков острого панкреатита.</w:t>
      </w:r>
    </w:p>
    <w:p w14:paraId="71124520" w14:textId="77777777" w:rsidR="003D210A" w:rsidRPr="004E0F49" w:rsidRDefault="003D210A" w:rsidP="003D210A">
      <w:pPr>
        <w:ind w:firstLine="708"/>
        <w:rPr>
          <w:b/>
          <w:bCs/>
          <w:lang w:eastAsia="en-GB"/>
        </w:rPr>
      </w:pPr>
      <w:r w:rsidRPr="004E0F49">
        <w:rPr>
          <w:b/>
          <w:bCs/>
          <w:lang w:eastAsia="en-GB"/>
        </w:rPr>
        <w:t>Алгоритм действий при поступлении больного в стационар с подозрением на септический шок</w:t>
      </w:r>
    </w:p>
    <w:p w14:paraId="64F2C7D8" w14:textId="4B51D4D4" w:rsidR="003D210A" w:rsidRPr="00C15639" w:rsidRDefault="003D210A" w:rsidP="0091350E">
      <w:pPr>
        <w:pStyle w:val="aff"/>
        <w:numPr>
          <w:ilvl w:val="0"/>
          <w:numId w:val="96"/>
        </w:numPr>
      </w:pPr>
      <w:r w:rsidRPr="00C15639">
        <w:t>Взятие кровь для микробиологического исследования из периферической вены и/или из центрального катетера в объеме 8—10 мл во флаконы, предназначенные для культивирования аэробных бактерий (BACTEC PLUS Aerobic/F). При наличии у больного установленного центрального венозного катетера в связи с возможным его инфицированием необходимо удалить катетер с последующим посевом его кончика. В обязательном порядке пациенту устанавливается новый центральный венозный катетер под ультразвуковой навигацией.</w:t>
      </w:r>
    </w:p>
    <w:p w14:paraId="50E9A6F9" w14:textId="12DE1773" w:rsidR="003D210A" w:rsidRPr="00C15639" w:rsidRDefault="003D210A" w:rsidP="0091350E">
      <w:pPr>
        <w:pStyle w:val="aff"/>
        <w:numPr>
          <w:ilvl w:val="0"/>
          <w:numId w:val="96"/>
        </w:numPr>
      </w:pPr>
      <w:r w:rsidRPr="00C15639">
        <w:t xml:space="preserve">Выполнение посевов (микробиологических/бактериологических исследований) со слизистых прямой кишки, зева и мочи. </w:t>
      </w:r>
    </w:p>
    <w:p w14:paraId="2EB781D0" w14:textId="0743D62A" w:rsidR="003D210A" w:rsidRPr="00C15639" w:rsidRDefault="003D210A" w:rsidP="0091350E">
      <w:pPr>
        <w:pStyle w:val="aff"/>
        <w:numPr>
          <w:ilvl w:val="0"/>
          <w:numId w:val="96"/>
        </w:numPr>
      </w:pPr>
      <w:r w:rsidRPr="00C15639">
        <w:t xml:space="preserve">Определение концентрации маркеров воспаления — сывороточная концентрация прокальцитонина и С-реактивного белка, плазменная концентрация пресепсина. При развитии септического шока концентрация прокальцитонина может оставаться в пределах нормальных значений (запаздывать), так как уровень прокальцитонина обычно повышается только через 10—12 часов после развития сепсиса. Поэтому рекомендуется повторно определять концентрацию прокальцитонина через 10—12 часов от развития септического шока. Уровни маркеров воспаления должны определяться в динамике. </w:t>
      </w:r>
    </w:p>
    <w:p w14:paraId="50FBDCDB" w14:textId="1F9420FC" w:rsidR="003D210A" w:rsidRPr="00C15639" w:rsidRDefault="003D210A" w:rsidP="0091350E">
      <w:pPr>
        <w:pStyle w:val="aff"/>
        <w:numPr>
          <w:ilvl w:val="0"/>
          <w:numId w:val="96"/>
        </w:numPr>
      </w:pPr>
      <w:r w:rsidRPr="00C15639">
        <w:t xml:space="preserve">Выполнение спиральной </w:t>
      </w:r>
      <w:r w:rsidRPr="00AB4AAE">
        <w:rPr>
          <w:bCs/>
        </w:rPr>
        <w:t xml:space="preserve">компьютерной томографии (СКТ) </w:t>
      </w:r>
      <w:r w:rsidRPr="00C15639">
        <w:t>грудной клетки всем пациентам с подозрением на пневмонию, по результатам которой выявляется область наибольшего поражения, выполняется фибробронхоскопия с бронхоальвеолярным лаважом. (См. ниже раздел «</w:t>
      </w:r>
      <w:r w:rsidRPr="00AB4AAE">
        <w:rPr>
          <w:kern w:val="36"/>
        </w:rPr>
        <w:t>Острая дыхательная недостаточность у гематологических пациентов» и Протокол</w:t>
      </w:r>
      <w:r w:rsidRPr="00C15639">
        <w:t xml:space="preserve"> обследования пациентов с поражением легких (рис.1). </w:t>
      </w:r>
    </w:p>
    <w:p w14:paraId="6954A4A8" w14:textId="7BA13A86" w:rsidR="003D210A" w:rsidRPr="00C15639" w:rsidRDefault="003D210A" w:rsidP="0091350E">
      <w:pPr>
        <w:pStyle w:val="aff"/>
        <w:numPr>
          <w:ilvl w:val="0"/>
          <w:numId w:val="96"/>
        </w:numPr>
      </w:pPr>
      <w:r w:rsidRPr="00C15639">
        <w:t xml:space="preserve">Выполнение электрокардиографии и трансторакальной эхокардиографии всем пациментам, а также определение концентрации кардиомаркеров (тропонин I, КФК КФК-МБ) для исключения развития септической миокардиальной дисфункции или септического миокардита. </w:t>
      </w:r>
    </w:p>
    <w:p w14:paraId="6F3DBED5" w14:textId="76C456FA" w:rsidR="003D210A" w:rsidRPr="00C15639" w:rsidRDefault="003D210A" w:rsidP="0091350E">
      <w:pPr>
        <w:pStyle w:val="aff"/>
        <w:numPr>
          <w:ilvl w:val="0"/>
          <w:numId w:val="96"/>
        </w:numPr>
      </w:pPr>
      <w:r w:rsidRPr="00C15639">
        <w:t xml:space="preserve">Установление артериальной линии для инвазивного мониторинга АД и взятия проб крови для анализа кислотно-щелочного состояния, газов крови у всех пациентов. Устанавливается катетер в a. radialis или a. femoralis либо катетер </w:t>
      </w:r>
      <w:r w:rsidRPr="00AB4AAE">
        <w:rPr>
          <w:lang w:val="en-US"/>
        </w:rPr>
        <w:t>P</w:t>
      </w:r>
      <w:r w:rsidRPr="00C15639">
        <w:t>i</w:t>
      </w:r>
      <w:r w:rsidRPr="00AB4AAE">
        <w:rPr>
          <w:lang w:val="en-US"/>
        </w:rPr>
        <w:t>CCO</w:t>
      </w:r>
      <w:r w:rsidRPr="00C15639">
        <w:t>. Цель терапии — достижение среднего АД ≥ 65 мм рт. ст., ЦВД 8—12 мм рт. ст., диуреза &gt; 0,5 мл/кг/ч, S</w:t>
      </w:r>
      <w:r w:rsidRPr="00AB4AAE">
        <w:rPr>
          <w:vertAlign w:val="subscript"/>
        </w:rPr>
        <w:t>cv</w:t>
      </w:r>
      <w:r w:rsidRPr="00C15639">
        <w:t>O</w:t>
      </w:r>
      <w:r w:rsidRPr="00AB4AAE">
        <w:rPr>
          <w:vertAlign w:val="subscript"/>
        </w:rPr>
        <w:t>2</w:t>
      </w:r>
      <w:r w:rsidRPr="00C15639">
        <w:t xml:space="preserve"> ≥ 70%, индекса ГКДО ≥ 680 мл/м</w:t>
      </w:r>
      <w:r w:rsidRPr="00AB4AAE">
        <w:rPr>
          <w:vertAlign w:val="superscript"/>
        </w:rPr>
        <w:t>2</w:t>
      </w:r>
      <w:r w:rsidRPr="00C15639">
        <w:t xml:space="preserve">. Индекс ГКДО необходимо оценивать в динамике. Но не надо стремиться к достижению условных норм индекса ГКДО при появлении признаков перегрузки объемом, так как это условные нормы не всегда отражают волемический статус пациента. </w:t>
      </w:r>
    </w:p>
    <w:p w14:paraId="2ECEF09C" w14:textId="69099712" w:rsidR="003D210A" w:rsidRPr="00C15639" w:rsidRDefault="003D210A" w:rsidP="0091350E">
      <w:pPr>
        <w:pStyle w:val="aff"/>
        <w:numPr>
          <w:ilvl w:val="0"/>
          <w:numId w:val="96"/>
        </w:numPr>
      </w:pPr>
      <w:r w:rsidRPr="00C15639">
        <w:t>При катетеризации сосудов уровень тромбоцитов &lt; 20х10</w:t>
      </w:r>
      <w:r w:rsidRPr="00AB4AAE">
        <w:rPr>
          <w:vertAlign w:val="superscript"/>
        </w:rPr>
        <w:t>9</w:t>
      </w:r>
      <w:r w:rsidRPr="00C15639">
        <w:t xml:space="preserve">/л является показанием для трансфузии концентрата тромбоцитов. Процедуры катетеризации сосудов следует выполнять под ультразвуковым контролем. В неотложных ситуациях катетеризация выполняется при любом уровне тромбоцитов. </w:t>
      </w:r>
    </w:p>
    <w:p w14:paraId="53F154A2" w14:textId="4C726D14" w:rsidR="003D210A" w:rsidRPr="00C15639" w:rsidRDefault="003D210A" w:rsidP="0091350E">
      <w:pPr>
        <w:pStyle w:val="aff"/>
        <w:numPr>
          <w:ilvl w:val="0"/>
          <w:numId w:val="96"/>
        </w:numPr>
      </w:pPr>
      <w:r w:rsidRPr="00C15639">
        <w:t>При возникновении подозрения на сепсис должна быть начата эмпирическая антибактериальная терапия с использованием одного или более препаратов, имеющих активность против всех потенциальных патогенов (бактерии и/или грибы) и создающих адекватную концентрацию в предполагаемых источниках сепсиса. Антибактериальная терапия должна быть видоизменена с учетом профиля чувствительности микроорганизма к антибиотикам в наиболее ранние сроки. Модификацию антибактериальной терапии проводят согласно результатам микробиологических исследований.</w:t>
      </w:r>
    </w:p>
    <w:p w14:paraId="6C489B06" w14:textId="29CC2C54" w:rsidR="003D210A" w:rsidRPr="00C15639" w:rsidRDefault="003D210A" w:rsidP="0091350E">
      <w:pPr>
        <w:pStyle w:val="aff"/>
        <w:numPr>
          <w:ilvl w:val="0"/>
          <w:numId w:val="96"/>
        </w:numPr>
      </w:pPr>
      <w:r w:rsidRPr="00C15639">
        <w:t>Волемическая нагрузка кристаллоидами — препаратами выбора в инфузионной терапии тяжелого сепсиса и септического шока. В инфузионной терапии сепсиса и септического шока не рекомендованы препараты гидроксиэтилкрахмала. Альбумин человека используется в инфузионной терапии тяжелого сепсиса и септического шока у пациентов, нуждающихся в значительных дозах кристаллоидов. Начальная водная нагрузка должна составлять не менее 30 мл/кг кристаллоидов (часть этой дозы можно заменить на альбумин человека). Для некоторых пациентов требуются большая доза и скорость введения. Начальной целью инфузии является ЦВД 8 мм рт. ст. (12 мм рт. ст. при проведении инвазивной вентиляции легких (ИВЛ). Часто инфузия необходима и в дальнейшем. Рекомендуется продолжать инфузию до тех пор, пока продолжается гемодинамическое улучшение (АД, ЧСС, темп диуреза, нормализация повышенного уровня лактата). Рекомендуется значительно уменьшить скорость инфузии, когда увеличение преднагрузки сердца (ЦВД) не приводит к гемодинамическому улучшению (возрастанию сердечного выброса). Таким образом, целевые значения жизненно важных параметров: ЦВД 8—12 мм рт. ст., индекс ГКДО 680 мл/м</w:t>
      </w:r>
      <w:r w:rsidRPr="00AB4AAE">
        <w:rPr>
          <w:vertAlign w:val="superscript"/>
        </w:rPr>
        <w:t>2</w:t>
      </w:r>
      <w:r w:rsidRPr="00C15639">
        <w:t xml:space="preserve">, среднее АД 65 мм рт. ст., диурез 0,5 мл/кг в час, оксигенация в смешанной венозной крови 70% или в венозной крови из верхней полой вены 65%. </w:t>
      </w:r>
    </w:p>
    <w:p w14:paraId="38701CA8" w14:textId="57BFDCA2" w:rsidR="003D210A" w:rsidRPr="00C15639" w:rsidRDefault="003D210A" w:rsidP="0091350E">
      <w:pPr>
        <w:pStyle w:val="aff"/>
        <w:numPr>
          <w:ilvl w:val="0"/>
          <w:numId w:val="96"/>
        </w:numPr>
      </w:pPr>
      <w:r w:rsidRPr="00C15639">
        <w:t>Вазопрессорная терапия должна начинаться при сохраняющемся в течение &gt; 1 часа, несмотря на инфузию адекватных объемов жидкости, систолическом АД &lt; 90 мм рт. ст. или среднем АД &lt; 65 мм рт. ст. Увеличение дозы препарата продолжается до достижения целевого уровня среднего АД ≥ 65 мм рт. ст. Норэпинефрин — препарат выбора среди вазопрессоров, его начальная доза 0,5—1 мкг/кг/мин. Эпинефрин может использоваться и в качестве второго вазопрессора и в качестве потенциальной замены норэпинефрина в случае, когда необходим дополнительный вазопрессор для поддержания адекватного артериального давления. Терлипрессин (Реместип) в дозе 1,3 мк/кг/ч может использоваться совместно с норэпинефрином как для поддержания среднего АД, так и для снижения дозы норэпинефрина. Допамин в качестве альтернативного вазопрессора должен использоваться только у строго определенных групп пациентов (например, у пациентов с низким риском тахиаритмии, у пациентов с брадикардией). Не следует использовать низкие дозы допамина для защиты почек. Инфузия добутамина в дозе до 20 мкг/кг в минуту может быть назначена или добавлена к вазопрессорам в следующих случаях: дисфункция миокарда, выражающаяся в виде роста давления наполнения и низкого сердечного выброса; сохраняющиеся симптомы гипоперфузии несмотря на достигнутый адекватный внутрисосудистый объем и нормальное среднее АД.</w:t>
      </w:r>
    </w:p>
    <w:p w14:paraId="40082D07" w14:textId="1F7F2B83" w:rsidR="003D210A" w:rsidRPr="00C15639" w:rsidRDefault="003D210A" w:rsidP="0091350E">
      <w:pPr>
        <w:pStyle w:val="aff"/>
        <w:numPr>
          <w:ilvl w:val="0"/>
          <w:numId w:val="96"/>
        </w:numPr>
      </w:pPr>
      <w:r w:rsidRPr="00C15639">
        <w:t xml:space="preserve">При развитии септического шока проводится терапия глюкокортикоидами: в первые сутки внутривенно вводится нагрузочная доза 100 мг гидрокортизона в виде болюсной короткой инфузии, а затем начинается круглосуточная инфузия препарата 200 мг/сут в виде внутривенной постоянной суточной инфузии. Гидрокортизон отменятся после прекращения использования вазопрессоров. Не используют гидрокортизон, если волемическая нагрузка и вазопрессорная терапия способны стабилизировать гемодинамику. </w:t>
      </w:r>
    </w:p>
    <w:p w14:paraId="14B430C6" w14:textId="3871B977" w:rsidR="003D210A" w:rsidRPr="00C15639" w:rsidRDefault="003D210A" w:rsidP="0091350E">
      <w:pPr>
        <w:pStyle w:val="aff"/>
        <w:numPr>
          <w:ilvl w:val="0"/>
          <w:numId w:val="96"/>
        </w:numPr>
      </w:pPr>
      <w:r w:rsidRPr="00C15639">
        <w:t>Препараты крови: показанием для трансфузии эритроцитов является снижение уровня Hb &lt; 70 г/л (целевой уровень Hb — 70—90 г/л) у взрослых. Не следует использовать эритропоэтин в качестве специфической терапии анемии, связанной с тяжелым сепсисом. Трансфузию тромбоцитов рекомендовано проводить при снижении уровня тромбоцитов менее 20х10</w:t>
      </w:r>
      <w:r w:rsidRPr="00AB4AAE">
        <w:rPr>
          <w:vertAlign w:val="superscript"/>
        </w:rPr>
        <w:t>9</w:t>
      </w:r>
      <w:r w:rsidRPr="00C15639">
        <w:t>/л либо при наличии геморрагического синдрома. Свежезамороженная плазма (СЗП) не должна применяться для коррекции лабораторных показателей при отсутствии кровотечения или планируемого инвазивного вмешательства. Трансфузия СЗП осуществляется только при развитии геморрагического синдрома.</w:t>
      </w:r>
    </w:p>
    <w:p w14:paraId="5FBFDD7E" w14:textId="57A38788" w:rsidR="003D210A" w:rsidRPr="00C15639" w:rsidRDefault="003D210A" w:rsidP="0091350E">
      <w:pPr>
        <w:pStyle w:val="aff"/>
        <w:numPr>
          <w:ilvl w:val="0"/>
          <w:numId w:val="96"/>
        </w:numPr>
      </w:pPr>
      <w:r w:rsidRPr="00C15639">
        <w:t xml:space="preserve">Нет общих данных по проведению заместительной терапии донорскими иммуноглобулинами. Однако у 67% онкогематологических больных с сепсисом выявляется гуморальный иммунодефицит (снижение уровня одного из классов иммуноглобулинов). У пациентов с сепсисом при выявлении гуморального иммунодефицита необходимо проведение заместительной терапии препаратами IgG в зависимости в дозе 0,5 г/кг дней внутривенно. При дефиците иммуноглобулина М используется пентаглобин, обогащенный IgМ. Пентаглобин может использоваться также и без выявленного дефицита IgМ для лечения септического шока в дозе 5 мг/кг/сут в течение 3 дней в/в в виде непрерывной инфузии. </w:t>
      </w:r>
    </w:p>
    <w:p w14:paraId="5EA10223" w14:textId="1313076D" w:rsidR="003D210A" w:rsidRPr="00C15639" w:rsidRDefault="003D210A" w:rsidP="0091350E">
      <w:pPr>
        <w:pStyle w:val="aff"/>
        <w:numPr>
          <w:ilvl w:val="0"/>
          <w:numId w:val="96"/>
        </w:numPr>
      </w:pPr>
      <w:r w:rsidRPr="00C15639">
        <w:t xml:space="preserve">Заместительная почечная терапия. Возможно использование как процедуры гемодиализа, так и гемодиафильтрации. При развитии острой почечной недостаточности может проводиться гемодиализ, хотя предпочтительнее использовать гемодиафильтрацию. При развитии выраженных метаболических нарушений (лактат-ацидоз, электролитные нарушения) методом выбора является круглосуточная гемодиафильтрация. </w:t>
      </w:r>
    </w:p>
    <w:p w14:paraId="61DBF0F9" w14:textId="056B5DDF" w:rsidR="003D210A" w:rsidRDefault="003D210A" w:rsidP="0091350E">
      <w:pPr>
        <w:pStyle w:val="aff"/>
        <w:numPr>
          <w:ilvl w:val="0"/>
          <w:numId w:val="96"/>
        </w:numPr>
      </w:pPr>
      <w:r w:rsidRPr="00C15639">
        <w:t>При развитии острой дыхательной недостаточности, некоррегируемой с помощью неинвазивных методов респираторной поддержки, больным интубируется трахея, и они переводятся на ИВЛ.</w:t>
      </w:r>
    </w:p>
    <w:p w14:paraId="4DB86EC0" w14:textId="77777777" w:rsidR="003D210A" w:rsidRPr="00C15639" w:rsidRDefault="003D210A" w:rsidP="003D210A">
      <w:pPr>
        <w:pStyle w:val="Number1"/>
        <w:spacing w:before="0" w:line="360" w:lineRule="auto"/>
        <w:rPr>
          <w:color w:val="auto"/>
          <w:szCs w:val="24"/>
        </w:rPr>
      </w:pPr>
    </w:p>
    <w:p w14:paraId="377DA3FA" w14:textId="77777777" w:rsidR="003D210A" w:rsidRPr="00C15639" w:rsidRDefault="003D210A" w:rsidP="003D210A">
      <w:pPr>
        <w:pStyle w:val="Number1"/>
        <w:spacing w:before="0" w:line="360" w:lineRule="auto"/>
        <w:rPr>
          <w:i/>
          <w:kern w:val="36"/>
          <w:szCs w:val="24"/>
          <w:u w:val="single"/>
        </w:rPr>
      </w:pPr>
      <w:r w:rsidRPr="00C15639">
        <w:rPr>
          <w:i/>
          <w:kern w:val="36"/>
          <w:szCs w:val="24"/>
          <w:u w:val="single"/>
        </w:rPr>
        <w:t>Острая дыхательная недостаточность у гематологических пациентов</w:t>
      </w:r>
    </w:p>
    <w:p w14:paraId="6A087AB2" w14:textId="77777777" w:rsidR="003D210A" w:rsidRPr="00C15639" w:rsidRDefault="003D210A" w:rsidP="003D210A">
      <w:pPr>
        <w:ind w:firstLine="709"/>
        <w:rPr>
          <w:szCs w:val="24"/>
        </w:rPr>
      </w:pPr>
      <w:r w:rsidRPr="00C15639">
        <w:rPr>
          <w:szCs w:val="24"/>
        </w:rPr>
        <w:t>Легочная патология и возникающая вследствие нее острая дыхательная недостаточность (ОДН) являются частыми осложнениями у гематологических пациентов. ОДН может возникнуть на любых этапах гематологического заболевания: в дебюте, при проведении индукционной химиотерапии, на стадии миелотоксического агранулоцитоза и восстановления костномозгового кроветворения, во время ремиссии или поддерживающего лечения, при возникновении рецидива и т. д. ОДН является причиной перевода в реанимационное отделение каждого четвертого пациента онкогематологическим заболеванием.</w:t>
      </w:r>
    </w:p>
    <w:p w14:paraId="6257E670" w14:textId="77777777" w:rsidR="003D210A" w:rsidRPr="004E0F49" w:rsidRDefault="003D210A" w:rsidP="003D210A">
      <w:pPr>
        <w:ind w:firstLine="709"/>
        <w:rPr>
          <w:b/>
          <w:bCs/>
        </w:rPr>
      </w:pPr>
      <w:r w:rsidRPr="004E0F49">
        <w:rPr>
          <w:b/>
          <w:bCs/>
        </w:rPr>
        <w:t>Обструктивная ОДН</w:t>
      </w:r>
    </w:p>
    <w:p w14:paraId="6130467B" w14:textId="77777777" w:rsidR="003D210A" w:rsidRPr="00C15639" w:rsidRDefault="003D210A" w:rsidP="003D210A">
      <w:pPr>
        <w:ind w:firstLine="709"/>
        <w:rPr>
          <w:szCs w:val="24"/>
        </w:rPr>
      </w:pPr>
      <w:r w:rsidRPr="00C15639">
        <w:rPr>
          <w:szCs w:val="24"/>
        </w:rPr>
        <w:t>Обструктивная ОДН выявляется у 5—7% больных гемобластозами, и может быть вызвана окклюзией просвета трахеи увеличенными подслизистыми лимфатическими узлами, обструкцией бронхов опухолевыми массами, сдавлением бронхов перибронхиальными лимфатическими узлами или сужением просвета бронхов за счет эндобронхиальной инфильтрации опухолевыми клетками лимфоме или лейкозе. Так, при лимфоме Ходжкина до начала лечения в отсутствие ОДН функциональные легочные тесты почти в половине случаев обнаруживают нарушение проходимости дыхательных путей, которое проявляется во время вдоха; при этом при КТ умеренная или тяжелая деформация трахеи выявляется лишь у трети больных. Даже при отсутствии сужения просвета дыхательных путей опухолевыми массами окружающие трахею лимфатические узлы делают ее стенки более ригидными, что не позволяет ей расширяться при отрицательном внутригрудном давлении во время вдоха и замедляет тем самым скорость потока воздуха. Другими причинами обструктивной ОДН у больных с гемобластозами являются воспалительный процесс мягких тканей лица и шеи (нома), обструкция трахеи и главных бронхов аспергиллезной мицетомой, закупорка гортани при кандидозном поражении надгортанника, гематома в полости ротоглотки или гортани.</w:t>
      </w:r>
    </w:p>
    <w:p w14:paraId="140CB6D3" w14:textId="77777777" w:rsidR="003D210A" w:rsidRPr="004E0F49" w:rsidRDefault="003D210A" w:rsidP="003D210A">
      <w:pPr>
        <w:ind w:firstLine="709"/>
        <w:rPr>
          <w:b/>
          <w:bCs/>
        </w:rPr>
      </w:pPr>
      <w:r w:rsidRPr="004E0F49">
        <w:rPr>
          <w:b/>
          <w:bCs/>
        </w:rPr>
        <w:t>Паренхиматозная ОДН</w:t>
      </w:r>
    </w:p>
    <w:p w14:paraId="46CE83D6" w14:textId="77777777" w:rsidR="003D210A" w:rsidRPr="00C15639" w:rsidRDefault="003D210A" w:rsidP="003D210A">
      <w:pPr>
        <w:ind w:firstLine="709"/>
        <w:rPr>
          <w:szCs w:val="24"/>
        </w:rPr>
      </w:pPr>
      <w:r w:rsidRPr="00C15639">
        <w:rPr>
          <w:szCs w:val="24"/>
        </w:rPr>
        <w:t>Паренхиматозные поражения легких являются основной причиной ОДН. Эта форма дыхательной недостаточности выявляется у 93—95% больных с гемобластозами. Поражение легких при гематологических заболеваниях может носить как инфекционный, так и неинфекционный характер.</w:t>
      </w:r>
    </w:p>
    <w:p w14:paraId="7BA471A5" w14:textId="77777777" w:rsidR="003D210A" w:rsidRPr="00C15639" w:rsidRDefault="003D210A" w:rsidP="003D210A">
      <w:pPr>
        <w:pStyle w:val="4"/>
        <w:numPr>
          <w:ilvl w:val="12"/>
          <w:numId w:val="0"/>
        </w:numPr>
        <w:spacing w:before="0" w:after="0"/>
        <w:ind w:firstLine="709"/>
        <w:rPr>
          <w:rFonts w:ascii="Times New Roman" w:hAnsi="Times New Roman" w:cs="Times New Roman"/>
          <w:i/>
          <w:szCs w:val="24"/>
        </w:rPr>
      </w:pPr>
      <w:r w:rsidRPr="00C15639">
        <w:rPr>
          <w:rFonts w:ascii="Times New Roman" w:hAnsi="Times New Roman" w:cs="Times New Roman"/>
          <w:szCs w:val="24"/>
        </w:rPr>
        <w:t>Инфекционные поражения легких</w:t>
      </w:r>
    </w:p>
    <w:p w14:paraId="6EA8BD07" w14:textId="77777777" w:rsidR="003D210A" w:rsidRPr="00C15639" w:rsidRDefault="003D210A" w:rsidP="003D210A">
      <w:pPr>
        <w:pStyle w:val="Number1"/>
        <w:spacing w:before="0" w:line="360" w:lineRule="auto"/>
        <w:ind w:left="0" w:firstLine="709"/>
        <w:rPr>
          <w:color w:val="auto"/>
          <w:szCs w:val="24"/>
        </w:rPr>
      </w:pPr>
      <w:r w:rsidRPr="00C15639">
        <w:rPr>
          <w:color w:val="auto"/>
          <w:szCs w:val="24"/>
        </w:rPr>
        <w:t xml:space="preserve">Пневмонии различной этиологии — наиболее частые причины ОДН. В половине случаев они вызываются </w:t>
      </w:r>
      <w:r w:rsidRPr="00C15639">
        <w:rPr>
          <w:bCs/>
          <w:color w:val="auto"/>
          <w:szCs w:val="24"/>
        </w:rPr>
        <w:t>бактериями</w:t>
      </w:r>
      <w:r w:rsidRPr="00C15639">
        <w:rPr>
          <w:color w:val="auto"/>
          <w:szCs w:val="24"/>
        </w:rPr>
        <w:t>, при этом чаще всего возбудителями являются грамотрицательные микроорганизмы</w:t>
      </w:r>
    </w:p>
    <w:p w14:paraId="5A689992" w14:textId="77777777" w:rsidR="003D210A" w:rsidRPr="00C15639" w:rsidRDefault="003D210A" w:rsidP="003D210A">
      <w:pPr>
        <w:ind w:firstLine="709"/>
        <w:rPr>
          <w:szCs w:val="24"/>
        </w:rPr>
      </w:pPr>
      <w:r w:rsidRPr="00C15639">
        <w:rPr>
          <w:szCs w:val="24"/>
        </w:rPr>
        <w:t xml:space="preserve">Основными грамотрицательными возбудителями </w:t>
      </w:r>
      <w:r w:rsidRPr="00C15639">
        <w:rPr>
          <w:b/>
          <w:szCs w:val="24"/>
        </w:rPr>
        <w:t>бактериальных пневмоний</w:t>
      </w:r>
      <w:r w:rsidRPr="00C15639">
        <w:rPr>
          <w:szCs w:val="24"/>
        </w:rPr>
        <w:t xml:space="preserve"> являются </w:t>
      </w:r>
      <w:r w:rsidRPr="00C15639">
        <w:rPr>
          <w:i/>
          <w:szCs w:val="24"/>
          <w:lang w:val="en-US"/>
        </w:rPr>
        <w:t>Pseudomonas</w:t>
      </w:r>
      <w:r w:rsidRPr="00C15639">
        <w:rPr>
          <w:i/>
          <w:szCs w:val="24"/>
        </w:rPr>
        <w:t xml:space="preserve"> </w:t>
      </w:r>
      <w:r w:rsidRPr="00C15639">
        <w:rPr>
          <w:i/>
          <w:szCs w:val="24"/>
          <w:lang w:val="en-US"/>
        </w:rPr>
        <w:t>aeruginosa</w:t>
      </w:r>
      <w:r w:rsidRPr="00C15639">
        <w:rPr>
          <w:szCs w:val="24"/>
        </w:rPr>
        <w:t xml:space="preserve">, </w:t>
      </w:r>
      <w:r w:rsidRPr="00C15639">
        <w:rPr>
          <w:i/>
          <w:szCs w:val="24"/>
          <w:lang w:val="en-US"/>
        </w:rPr>
        <w:t>Stenotrophomonas</w:t>
      </w:r>
      <w:r w:rsidRPr="00C15639">
        <w:rPr>
          <w:i/>
          <w:szCs w:val="24"/>
        </w:rPr>
        <w:t xml:space="preserve"> </w:t>
      </w:r>
      <w:r w:rsidRPr="00C15639">
        <w:rPr>
          <w:i/>
          <w:szCs w:val="24"/>
          <w:lang w:val="en-US"/>
        </w:rPr>
        <w:t>maltophilia</w:t>
      </w:r>
      <w:r w:rsidRPr="00C15639">
        <w:rPr>
          <w:i/>
          <w:szCs w:val="24"/>
        </w:rPr>
        <w:t xml:space="preserve">, </w:t>
      </w:r>
      <w:r w:rsidRPr="00C15639">
        <w:rPr>
          <w:i/>
          <w:szCs w:val="24"/>
          <w:lang w:val="en-US"/>
        </w:rPr>
        <w:t>Klebsiella</w:t>
      </w:r>
      <w:r w:rsidRPr="00C15639">
        <w:rPr>
          <w:i/>
          <w:szCs w:val="24"/>
        </w:rPr>
        <w:t xml:space="preserve"> </w:t>
      </w:r>
      <w:r w:rsidRPr="00C15639">
        <w:rPr>
          <w:i/>
          <w:szCs w:val="24"/>
          <w:lang w:val="en-US"/>
        </w:rPr>
        <w:t>pneumoniae</w:t>
      </w:r>
      <w:r w:rsidRPr="00C15639">
        <w:rPr>
          <w:i/>
          <w:szCs w:val="24"/>
        </w:rPr>
        <w:t xml:space="preserve">, </w:t>
      </w:r>
      <w:r w:rsidRPr="00C15639">
        <w:rPr>
          <w:i/>
          <w:szCs w:val="24"/>
          <w:lang w:val="en-US"/>
        </w:rPr>
        <w:t>Acinetobacter</w:t>
      </w:r>
      <w:r w:rsidRPr="00C15639">
        <w:rPr>
          <w:i/>
          <w:szCs w:val="24"/>
        </w:rPr>
        <w:t xml:space="preserve"> </w:t>
      </w:r>
      <w:r w:rsidRPr="00C15639">
        <w:rPr>
          <w:i/>
          <w:szCs w:val="24"/>
          <w:lang w:val="en-US"/>
        </w:rPr>
        <w:t>baumannii</w:t>
      </w:r>
      <w:r w:rsidRPr="00C15639">
        <w:rPr>
          <w:i/>
          <w:szCs w:val="24"/>
        </w:rPr>
        <w:t xml:space="preserve"> и </w:t>
      </w:r>
      <w:r w:rsidRPr="00C15639">
        <w:rPr>
          <w:i/>
          <w:szCs w:val="24"/>
          <w:lang w:val="en-US"/>
        </w:rPr>
        <w:t>Escherichia</w:t>
      </w:r>
      <w:r w:rsidRPr="00C15639">
        <w:rPr>
          <w:i/>
          <w:szCs w:val="24"/>
        </w:rPr>
        <w:t xml:space="preserve"> </w:t>
      </w:r>
      <w:r w:rsidRPr="00C15639">
        <w:rPr>
          <w:i/>
          <w:szCs w:val="24"/>
          <w:lang w:val="en-US"/>
        </w:rPr>
        <w:t>coli</w:t>
      </w:r>
      <w:r w:rsidRPr="00C15639">
        <w:rPr>
          <w:szCs w:val="24"/>
        </w:rPr>
        <w:t xml:space="preserve">, а также </w:t>
      </w:r>
      <w:r w:rsidRPr="00C15639">
        <w:rPr>
          <w:i/>
          <w:szCs w:val="24"/>
          <w:lang w:val="en-US"/>
        </w:rPr>
        <w:t>Legionella</w:t>
      </w:r>
      <w:r w:rsidRPr="00C15639">
        <w:rPr>
          <w:i/>
          <w:szCs w:val="24"/>
        </w:rPr>
        <w:t xml:space="preserve"> </w:t>
      </w:r>
      <w:r w:rsidRPr="00C15639">
        <w:rPr>
          <w:i/>
          <w:szCs w:val="24"/>
          <w:lang w:val="en-US"/>
        </w:rPr>
        <w:t>pneumophila</w:t>
      </w:r>
      <w:r w:rsidRPr="00C15639">
        <w:rPr>
          <w:szCs w:val="24"/>
        </w:rPr>
        <w:t xml:space="preserve">. Среди грамположительных бактерий чаще встречается </w:t>
      </w:r>
      <w:r w:rsidRPr="00C15639">
        <w:rPr>
          <w:i/>
          <w:szCs w:val="24"/>
        </w:rPr>
        <w:t>Staphylococcus aureus.</w:t>
      </w:r>
    </w:p>
    <w:p w14:paraId="79D862C2" w14:textId="77777777" w:rsidR="003D210A" w:rsidRPr="00C15639" w:rsidRDefault="003D210A" w:rsidP="003D210A">
      <w:pPr>
        <w:tabs>
          <w:tab w:val="left" w:pos="142"/>
        </w:tabs>
        <w:ind w:firstLine="709"/>
        <w:rPr>
          <w:szCs w:val="24"/>
        </w:rPr>
      </w:pPr>
      <w:r w:rsidRPr="00C15639">
        <w:rPr>
          <w:szCs w:val="24"/>
        </w:rPr>
        <w:t>Результативность исследования жидкости бронхоальвеолярного лаважа (БАЛ) зависит от продолжительности пребывания больных в ОРИТ. У пациентов, которые провели в ОРИТ 14 дней и более, чаще, чем при поступлении, диагностируется пневмония бактериальной этиологии (73% случаев против 39%). При этом увеличивается частота выявления грамотрицательных микроорганизмов при бактериальных пневмониях (с 21% при поступлении до 47% к 14 суткам). С увеличением длительности пребывания в ОРИТ чаще диагностируется также пневмония смешанной этиологии.</w:t>
      </w:r>
    </w:p>
    <w:p w14:paraId="7D519BD1" w14:textId="77777777" w:rsidR="003D210A" w:rsidRPr="00C15639" w:rsidRDefault="003D210A" w:rsidP="003D210A">
      <w:pPr>
        <w:tabs>
          <w:tab w:val="left" w:pos="142"/>
        </w:tabs>
        <w:ind w:firstLine="709"/>
        <w:rPr>
          <w:szCs w:val="24"/>
        </w:rPr>
      </w:pPr>
      <w:r w:rsidRPr="00C15639">
        <w:rPr>
          <w:szCs w:val="24"/>
        </w:rPr>
        <w:t>Грамположительные микроорганизмы в жидкости БАЛ (</w:t>
      </w:r>
      <w:r w:rsidRPr="00C15639">
        <w:rPr>
          <w:i/>
          <w:szCs w:val="24"/>
        </w:rPr>
        <w:t xml:space="preserve">S. </w:t>
      </w:r>
      <w:r w:rsidRPr="00C15639">
        <w:rPr>
          <w:i/>
          <w:szCs w:val="24"/>
          <w:lang w:val="en-US"/>
        </w:rPr>
        <w:t>a</w:t>
      </w:r>
      <w:r w:rsidRPr="00C15639">
        <w:rPr>
          <w:i/>
          <w:szCs w:val="24"/>
        </w:rPr>
        <w:t>ureus</w:t>
      </w:r>
      <w:r w:rsidRPr="00C15639">
        <w:rPr>
          <w:szCs w:val="24"/>
        </w:rPr>
        <w:t>)</w:t>
      </w:r>
      <w:r w:rsidRPr="00C15639">
        <w:rPr>
          <w:i/>
          <w:szCs w:val="24"/>
        </w:rPr>
        <w:t xml:space="preserve"> </w:t>
      </w:r>
      <w:r w:rsidRPr="00C15639">
        <w:rPr>
          <w:szCs w:val="24"/>
        </w:rPr>
        <w:t>выявляются в 21,4% случаев.</w:t>
      </w:r>
    </w:p>
    <w:p w14:paraId="3ED39E22" w14:textId="77777777" w:rsidR="003D210A" w:rsidRPr="00C15639" w:rsidRDefault="003D210A" w:rsidP="003D210A">
      <w:pPr>
        <w:ind w:firstLine="709"/>
        <w:rPr>
          <w:szCs w:val="24"/>
        </w:rPr>
      </w:pPr>
      <w:r w:rsidRPr="00C15639">
        <w:rPr>
          <w:szCs w:val="24"/>
        </w:rPr>
        <w:t xml:space="preserve">Инвазивный аспергиллез легких выявляется у 28% гематологических пациентов в ОРИТ. В двух третях случаев он диагностируется на основании положительного индекса оптической плотности в жидкости БАЛ в оставшейся трети случаев — при выявлении в ней мицелия грибов при микроскопии. Наличие одновременно антигена </w:t>
      </w:r>
      <w:r w:rsidRPr="00C15639">
        <w:rPr>
          <w:i/>
          <w:szCs w:val="24"/>
        </w:rPr>
        <w:t>Aspergillus</w:t>
      </w:r>
      <w:r w:rsidRPr="00C15639">
        <w:rPr>
          <w:szCs w:val="24"/>
        </w:rPr>
        <w:t xml:space="preserve"> и мицелия грибов наблюдается у 25% пациентов. При этом следует отметить, что лишь у 25% гематологических пациентов грибы рода </w:t>
      </w:r>
      <w:r w:rsidRPr="00C15639">
        <w:rPr>
          <w:i/>
          <w:szCs w:val="24"/>
        </w:rPr>
        <w:t>Aspergillus</w:t>
      </w:r>
      <w:r w:rsidRPr="00C15639">
        <w:rPr>
          <w:szCs w:val="24"/>
        </w:rPr>
        <w:t xml:space="preserve"> являются единственными возбудителями пневмонии; в остальных случаях в образцах жидкости БАЛ выявляются и другие патогены.</w:t>
      </w:r>
    </w:p>
    <w:p w14:paraId="576645E8" w14:textId="77777777" w:rsidR="003D210A" w:rsidRPr="00C15639" w:rsidRDefault="003D210A" w:rsidP="003D210A">
      <w:pPr>
        <w:ind w:firstLine="709"/>
        <w:rPr>
          <w:szCs w:val="24"/>
        </w:rPr>
      </w:pPr>
      <w:r w:rsidRPr="00C15639">
        <w:rPr>
          <w:szCs w:val="24"/>
        </w:rPr>
        <w:t xml:space="preserve">Диагноз </w:t>
      </w:r>
      <w:r w:rsidRPr="00C15639">
        <w:rPr>
          <w:b/>
          <w:szCs w:val="24"/>
        </w:rPr>
        <w:t>вирусной пневмонии</w:t>
      </w:r>
      <w:r w:rsidRPr="00C15639">
        <w:rPr>
          <w:szCs w:val="24"/>
        </w:rPr>
        <w:t xml:space="preserve"> устанавливается по совокупности клиническо-радиологической картины и выявлению методом ПЦР вирусной ДНК в жидкости БАЛ и в крови. </w:t>
      </w:r>
      <w:r w:rsidRPr="00C15639">
        <w:rPr>
          <w:bCs/>
          <w:szCs w:val="24"/>
        </w:rPr>
        <w:t>Вирусы</w:t>
      </w:r>
      <w:r w:rsidRPr="00C15639">
        <w:rPr>
          <w:b/>
          <w:bCs/>
          <w:szCs w:val="24"/>
        </w:rPr>
        <w:t xml:space="preserve"> </w:t>
      </w:r>
      <w:r w:rsidRPr="00C15639">
        <w:rPr>
          <w:szCs w:val="24"/>
        </w:rPr>
        <w:t>являются вторыми по частоте после бактерий возбудителями, вызывающими ОДН при гематологических заболеваниях. Наряду с цитомегаловирусом (ЦМВ) причиной поражения легких и развития ОДН у больных с гемобластозами может быть вирус Эпштейна—Барр. Последний, инфицируя человеческие фибробласты, стимулирует в них продукцию цитокинов, в частности основного фактора роста фибробластов и ИЛ-1, что приводит к пролиферации фибробластов и развитию интерстициальной пневмонии. Цитомегаловирусные пневмонии у больных с гемобластозами после высокодозной химиотерапии встречаются в 4—52% случаев. Среди пациентов, перенесших трансплантацию гемопоэтических стволовых клеток (ТГСК), цитомегаловирусная пневмония развивается в 2—36% случаев. К факторам риска цитомегаловирусной пневмонии после трансплантации относят аллогенную трансплантацию, развитие реакции «трансплантат против хозяина» и наличие антител к вирусу в сыворотке перед трансплантацией. При ОДН у больных гемобластозами цитомегаловирусная пневмония диагностируется в 29% случаев.</w:t>
      </w:r>
    </w:p>
    <w:p w14:paraId="0994C108" w14:textId="77777777" w:rsidR="003D210A" w:rsidRPr="00C15639" w:rsidRDefault="003D210A" w:rsidP="003D210A">
      <w:pPr>
        <w:ind w:firstLine="709"/>
        <w:rPr>
          <w:szCs w:val="24"/>
        </w:rPr>
      </w:pPr>
      <w:r w:rsidRPr="00C15639">
        <w:rPr>
          <w:b/>
          <w:bCs/>
          <w:szCs w:val="24"/>
        </w:rPr>
        <w:t xml:space="preserve">Пневмоцистная пневмония </w:t>
      </w:r>
      <w:r w:rsidRPr="00C15639">
        <w:rPr>
          <w:szCs w:val="24"/>
        </w:rPr>
        <w:t>является причиной ОДН у гематологических пациентов в 10% случаев. Вариант основного заболевания рассматривается как фактор риска, поскольку определяет глубину и характер иммуносупрессии. Основной иммунный дефект, способствующий пневмоцистной инфекции, — это уменьшение числа СD4-клеток (</w:t>
      </w:r>
      <w:r w:rsidRPr="00C15639">
        <w:rPr>
          <w:szCs w:val="24"/>
          <w:lang w:val="en-US"/>
        </w:rPr>
        <w:t>T</w:t>
      </w:r>
      <w:r w:rsidRPr="00C15639">
        <w:rPr>
          <w:szCs w:val="24"/>
        </w:rPr>
        <w:t xml:space="preserve">-хелперов). Поражение </w:t>
      </w:r>
      <w:r w:rsidRPr="00C15639">
        <w:rPr>
          <w:szCs w:val="24"/>
          <w:lang w:val="en-US"/>
        </w:rPr>
        <w:t>T</w:t>
      </w:r>
      <w:r w:rsidRPr="00C15639">
        <w:rPr>
          <w:szCs w:val="24"/>
        </w:rPr>
        <w:t>-клеточного звена иммунитета свойственно лимфопролиферативным заболеваниям, и при них пневмоцистная пневмония встречается наиболее часто, но она возможна при любых других гематологичесикх заболеваниях, сопровождающихся иммуносупрессией – острых лейкозах, хроническом лимфолейкозе, лимфомах, множественной миеломе и других. До начала иммуносупрессивной терапии пневмоцистная инфекция у онкогематологических пациентов встречается редко, обычно она возникает через месяц после начала специфической терапии. Риск развития пневмоцистоза особенно высок в течение первых 5—6 мес после трансплантации костного мозга, а также у пациентов с реакцией «трансплантат против хозяина».</w:t>
      </w:r>
    </w:p>
    <w:p w14:paraId="2ABE0B07" w14:textId="77777777" w:rsidR="003D210A" w:rsidRPr="00C15639" w:rsidRDefault="003D210A" w:rsidP="003D210A">
      <w:pPr>
        <w:pStyle w:val="4"/>
        <w:numPr>
          <w:ilvl w:val="12"/>
          <w:numId w:val="0"/>
        </w:numPr>
        <w:spacing w:before="0" w:after="0"/>
        <w:ind w:firstLine="709"/>
        <w:rPr>
          <w:rFonts w:ascii="Times New Roman" w:hAnsi="Times New Roman" w:cs="Times New Roman"/>
          <w:i/>
          <w:szCs w:val="24"/>
        </w:rPr>
      </w:pPr>
      <w:r w:rsidRPr="00C15639">
        <w:rPr>
          <w:rFonts w:ascii="Times New Roman" w:hAnsi="Times New Roman" w:cs="Times New Roman"/>
          <w:szCs w:val="24"/>
        </w:rPr>
        <w:t>Неинфекционные поражения легких</w:t>
      </w:r>
    </w:p>
    <w:p w14:paraId="57B9CB15" w14:textId="77777777" w:rsidR="003D210A" w:rsidRPr="00C15639" w:rsidRDefault="003D210A" w:rsidP="003D210A">
      <w:pPr>
        <w:ind w:firstLine="709"/>
        <w:rPr>
          <w:szCs w:val="24"/>
        </w:rPr>
      </w:pPr>
      <w:r w:rsidRPr="00C15639">
        <w:rPr>
          <w:b/>
          <w:bCs/>
          <w:szCs w:val="24"/>
        </w:rPr>
        <w:t xml:space="preserve">Опухолевые поражения легких </w:t>
      </w:r>
      <w:r w:rsidRPr="00C15639">
        <w:rPr>
          <w:szCs w:val="24"/>
        </w:rPr>
        <w:t>встречаются значительно чаще, чем диагностируются прижизненно. По данным гистологических исследований, частота лейкемических поражений легких колеблется от 8 до 77%. Выделяют паренхиматозные поражения, к которым относят лейкозную инфильтрацию интерстиция, и непаренхиматозные поражения, то есть инфильтрацию бронхов, сосудов и плевры, внутрисосудистые скопления лейкозных клеток (лейкостазы). Развитие ОДН до начала химиотерапии, а также наличие большого количества бластных клеток в крови косвенно свидетельствует о диффузной лейкозной инфильтрации легких. Так, на аутопсии при остром миелобластном лейкозе, когда число лейкоцитов больше 100х10</w:t>
      </w:r>
      <w:r w:rsidRPr="00C15639">
        <w:rPr>
          <w:szCs w:val="24"/>
          <w:vertAlign w:val="superscript"/>
        </w:rPr>
        <w:t>9</w:t>
      </w:r>
      <w:r w:rsidRPr="00C15639">
        <w:rPr>
          <w:szCs w:val="24"/>
        </w:rPr>
        <w:t xml:space="preserve">/л, лейкостазы в легких выявляются в 35% случаев. При миеломной болезни в легких нередко обнаруживаются плазмоклеточная и лимфоидная инфильтрация интерстициальной ткани, скопление парапротеина, отложение амилоида в альвеолах и межальвеолярных перегородках, кальцификация легких, выпот в плевральных полостях. При поражении легких лимфомой в легочной ткани может быть найдена клональная </w:t>
      </w:r>
      <w:r w:rsidRPr="00C15639">
        <w:rPr>
          <w:szCs w:val="24"/>
          <w:lang w:val="en-US"/>
        </w:rPr>
        <w:t>B</w:t>
      </w:r>
      <w:r w:rsidRPr="00C15639">
        <w:rPr>
          <w:szCs w:val="24"/>
        </w:rPr>
        <w:t>-клеточная пролиферация.</w:t>
      </w:r>
    </w:p>
    <w:p w14:paraId="0DB0BFAC" w14:textId="77777777" w:rsidR="003D210A" w:rsidRPr="00C15639" w:rsidRDefault="003D210A" w:rsidP="003D210A">
      <w:pPr>
        <w:ind w:firstLine="709"/>
        <w:rPr>
          <w:szCs w:val="24"/>
        </w:rPr>
      </w:pPr>
      <w:r w:rsidRPr="00C15639">
        <w:rPr>
          <w:b/>
          <w:bCs/>
          <w:szCs w:val="24"/>
        </w:rPr>
        <w:t xml:space="preserve">Массивный клеточный цитолиз </w:t>
      </w:r>
      <w:r w:rsidRPr="00C15639">
        <w:rPr>
          <w:szCs w:val="24"/>
        </w:rPr>
        <w:t>является причиной ОДН у больных с гемобластозами в 4,4% случаев. Цитолитический синдром развивается вследствие быстрого массивного распада опухолевых клеток под действием химиотерапии. При описании этого синдрома основное внимание уделяется острой почечной недостаточности, гиперкалиемии и гиперурикемии, меньше известно о поражении легких, в то время, как при распаде опухолевых клеток выделяется большое количество биологически активных веществ, повышающих проницаемость мембран капилляров в легочной ткани.</w:t>
      </w:r>
    </w:p>
    <w:p w14:paraId="50B5D132" w14:textId="77777777" w:rsidR="003D210A" w:rsidRPr="00C15639" w:rsidRDefault="003D210A" w:rsidP="003D210A">
      <w:pPr>
        <w:ind w:firstLine="709"/>
        <w:rPr>
          <w:szCs w:val="24"/>
        </w:rPr>
      </w:pPr>
      <w:r w:rsidRPr="00C15639">
        <w:rPr>
          <w:b/>
          <w:bCs/>
          <w:szCs w:val="24"/>
        </w:rPr>
        <w:t xml:space="preserve">Ретиноидный синдром </w:t>
      </w:r>
      <w:r w:rsidRPr="00C15639">
        <w:rPr>
          <w:szCs w:val="24"/>
        </w:rPr>
        <w:t>возникает при лечении полностью трансретиноевой кислотой (третиноин) острого промиелоцитарного лейкоза. Ретиноидный синдром регистрируется у 6% больных с гемобластозами и ОДН. Частота этого синдрома среди больных, получающих третиноин, колеблется от 13 до 68%. Он возникает спустя 2—47 дней после начала терапии. При гистологическом исследовании легких у больных, умерших от ретиноидного синдрома, выявляют внутриальвеолярные миелоидные инфильтраты, отек, экcсудацию фибрина, легочный капиллярит, диффузные альвеолярные кровоизлияния.</w:t>
      </w:r>
    </w:p>
    <w:p w14:paraId="6A274F57" w14:textId="77777777" w:rsidR="003D210A" w:rsidRPr="00C15639" w:rsidRDefault="003D210A" w:rsidP="003D210A">
      <w:pPr>
        <w:ind w:firstLine="709"/>
        <w:rPr>
          <w:szCs w:val="24"/>
        </w:rPr>
      </w:pPr>
      <w:r w:rsidRPr="00C15639">
        <w:rPr>
          <w:bCs/>
          <w:szCs w:val="24"/>
        </w:rPr>
        <w:t>На</w:t>
      </w:r>
      <w:r w:rsidRPr="00C15639">
        <w:rPr>
          <w:b/>
          <w:bCs/>
          <w:szCs w:val="24"/>
        </w:rPr>
        <w:t xml:space="preserve"> неинфекционные поражения легких после трансплантации гемопоэтических стволовых клеток </w:t>
      </w:r>
      <w:r w:rsidRPr="00C15639">
        <w:rPr>
          <w:bCs/>
          <w:szCs w:val="24"/>
        </w:rPr>
        <w:t xml:space="preserve">в структуре ОДН приходится </w:t>
      </w:r>
      <w:r w:rsidRPr="00C15639">
        <w:rPr>
          <w:szCs w:val="24"/>
        </w:rPr>
        <w:t xml:space="preserve">2%. К ним относят интерстициальный легочный фиброз, облитерирующий бронхиолит, легочную форму веноокклюзионной болезни, альвеолярные кровоизлияния, синдром повышенной проницаемости капилляров. У гематологических пациентов, перенесших ТГСК, факторами риска поражений легких являются: 1) аллогенная трансплантация, при которой легочные осложнения возникают в 24% случаев; 2) реакция «трансплантат против хозяина»; 3) назначение циклоспорина и метотрексата для профилактики «вторичной болезни», при которой ОДН возникает чаще, чем у больных, у которых с этой целью удаляли из трансплантата </w:t>
      </w:r>
      <w:r w:rsidRPr="00C15639">
        <w:rPr>
          <w:szCs w:val="24"/>
          <w:lang w:val="en-US"/>
        </w:rPr>
        <w:t>T</w:t>
      </w:r>
      <w:r w:rsidRPr="00C15639">
        <w:rPr>
          <w:szCs w:val="24"/>
        </w:rPr>
        <w:t>-лимфоциты; 4) сниженный до трансплантации более чем на 80% объем форсированного выдоха за 1-ю секунду.</w:t>
      </w:r>
    </w:p>
    <w:p w14:paraId="011BB731" w14:textId="77777777" w:rsidR="003D210A" w:rsidRPr="00C15639" w:rsidRDefault="003D210A" w:rsidP="00AB4AAE">
      <w:pPr>
        <w:ind w:firstLine="709"/>
        <w:rPr>
          <w:szCs w:val="24"/>
        </w:rPr>
      </w:pPr>
      <w:r w:rsidRPr="00C15639">
        <w:rPr>
          <w:szCs w:val="24"/>
        </w:rPr>
        <w:t>Выделяется ряд отличительных черт паренхиматозной ОДН при гематологических заболеваниях:</w:t>
      </w:r>
    </w:p>
    <w:p w14:paraId="1F4F8C93" w14:textId="77777777" w:rsidR="003D210A" w:rsidRPr="00C15639" w:rsidRDefault="003D210A" w:rsidP="0091350E">
      <w:pPr>
        <w:pStyle w:val="Numlist"/>
        <w:numPr>
          <w:ilvl w:val="0"/>
          <w:numId w:val="94"/>
        </w:numPr>
        <w:autoSpaceDE w:val="0"/>
        <w:autoSpaceDN w:val="0"/>
        <w:adjustRightInd w:val="0"/>
        <w:spacing w:line="360" w:lineRule="auto"/>
        <w:jc w:val="both"/>
      </w:pPr>
      <w:r w:rsidRPr="00C15639">
        <w:rPr>
          <w:u w:val="single"/>
        </w:rPr>
        <w:t>Полиэтиологичность.</w:t>
      </w:r>
      <w:r w:rsidRPr="00C15639">
        <w:t xml:space="preserve"> </w:t>
      </w:r>
    </w:p>
    <w:p w14:paraId="49D0989A" w14:textId="77777777" w:rsidR="003D210A" w:rsidRPr="00C15639" w:rsidRDefault="003D210A" w:rsidP="00AB4AAE">
      <w:pPr>
        <w:pStyle w:val="Numlist"/>
        <w:spacing w:line="360" w:lineRule="auto"/>
        <w:jc w:val="both"/>
      </w:pPr>
      <w:r w:rsidRPr="00C15639">
        <w:t>Причинами ОДН могут быть поражения легких как инфекционного, так и неинфекционного генеза. Более чем у 50% гематологических пациентов поражения легких, приводящие к ОДН, обусловлены сразу несколькими причинами. Выделение той или иной этиологии поражения легких нередко носит условный характер.</w:t>
      </w:r>
    </w:p>
    <w:p w14:paraId="627B2FEF" w14:textId="77777777" w:rsidR="003D210A" w:rsidRPr="00C15639" w:rsidRDefault="003D210A" w:rsidP="0091350E">
      <w:pPr>
        <w:pStyle w:val="Numlist"/>
        <w:numPr>
          <w:ilvl w:val="0"/>
          <w:numId w:val="94"/>
        </w:numPr>
        <w:autoSpaceDE w:val="0"/>
        <w:autoSpaceDN w:val="0"/>
        <w:adjustRightInd w:val="0"/>
        <w:spacing w:line="360" w:lineRule="auto"/>
        <w:jc w:val="both"/>
      </w:pPr>
      <w:r w:rsidRPr="00C15639">
        <w:rPr>
          <w:u w:val="single"/>
        </w:rPr>
        <w:t>Однообразие и гетерогенность клинических проявлений.</w:t>
      </w:r>
      <w:r w:rsidRPr="00C15639">
        <w:t xml:space="preserve"> </w:t>
      </w:r>
    </w:p>
    <w:p w14:paraId="2AEAE035" w14:textId="77777777" w:rsidR="003D210A" w:rsidRPr="00C15639" w:rsidRDefault="003D210A" w:rsidP="00AB4AAE">
      <w:pPr>
        <w:pStyle w:val="Numlist"/>
        <w:spacing w:line="360" w:lineRule="auto"/>
        <w:jc w:val="both"/>
      </w:pPr>
      <w:r w:rsidRPr="00C15639">
        <w:t>В основе поражений легких лежат различные патологические процессы, зачастую при этом имеющие внешне схожие проявления. С другой стороны, поражения легких, вызванные одной и той же причиной, у гематологических пациентов с различной степенью и формой иммуносупрессии могут протекать по-разному.</w:t>
      </w:r>
    </w:p>
    <w:p w14:paraId="0FA818D0" w14:textId="77777777" w:rsidR="003D210A" w:rsidRPr="00C15639" w:rsidRDefault="003D210A" w:rsidP="0091350E">
      <w:pPr>
        <w:pStyle w:val="Numlist"/>
        <w:numPr>
          <w:ilvl w:val="0"/>
          <w:numId w:val="94"/>
        </w:numPr>
        <w:autoSpaceDE w:val="0"/>
        <w:autoSpaceDN w:val="0"/>
        <w:adjustRightInd w:val="0"/>
        <w:spacing w:line="360" w:lineRule="auto"/>
        <w:jc w:val="both"/>
      </w:pPr>
      <w:r w:rsidRPr="00C15639">
        <w:rPr>
          <w:u w:val="single"/>
        </w:rPr>
        <w:t>Тяжесть состояния</w:t>
      </w:r>
      <w:r w:rsidRPr="00C15639">
        <w:t xml:space="preserve">. </w:t>
      </w:r>
    </w:p>
    <w:p w14:paraId="3ECCA8F2" w14:textId="77777777" w:rsidR="003D210A" w:rsidRPr="00C15639" w:rsidRDefault="003D210A" w:rsidP="00AB4AAE">
      <w:pPr>
        <w:pStyle w:val="Numlist"/>
        <w:spacing w:line="360" w:lineRule="auto"/>
        <w:jc w:val="both"/>
      </w:pPr>
      <w:r w:rsidRPr="00C15639">
        <w:t>Легочная патология при гематологических заболеваниях протекает тяжело – средняя сумма баллов по шкале АРАСНЕ II у этой категории пациентов при ОДН равна 23, а на основании отношения парциального давления кислорода в артериальной крови к фракции вдыхаемого кислорода (</w:t>
      </w:r>
      <w:r w:rsidRPr="00C15639">
        <w:rPr>
          <w:lang w:val="en-US"/>
        </w:rPr>
        <w:t>P</w:t>
      </w:r>
      <w:r w:rsidRPr="00C15639">
        <w:rPr>
          <w:vertAlign w:val="subscript"/>
          <w:lang w:val="en-US"/>
        </w:rPr>
        <w:t>a</w:t>
      </w:r>
      <w:r w:rsidRPr="00C15639">
        <w:rPr>
          <w:lang w:val="en-US"/>
        </w:rPr>
        <w:t>O</w:t>
      </w:r>
      <w:r w:rsidRPr="00C15639">
        <w:rPr>
          <w:vertAlign w:val="subscript"/>
        </w:rPr>
        <w:t>2</w:t>
      </w:r>
      <w:r w:rsidRPr="00C15639">
        <w:t>/F</w:t>
      </w:r>
      <w:r w:rsidRPr="00C15639">
        <w:rPr>
          <w:vertAlign w:val="subscript"/>
        </w:rPr>
        <w:t>I</w:t>
      </w:r>
      <w:r w:rsidRPr="00C15639">
        <w:rPr>
          <w:lang w:val="en-US"/>
        </w:rPr>
        <w:t>O</w:t>
      </w:r>
      <w:r w:rsidRPr="00C15639">
        <w:rPr>
          <w:vertAlign w:val="subscript"/>
        </w:rPr>
        <w:t>2</w:t>
      </w:r>
      <w:r w:rsidRPr="00C15639">
        <w:t>) большинству из этих больных можно поставить диагноз острого респираторного дистресс-синдрома.</w:t>
      </w:r>
    </w:p>
    <w:p w14:paraId="4C7A2D65" w14:textId="77777777" w:rsidR="003D210A" w:rsidRPr="00C15639" w:rsidRDefault="003D210A" w:rsidP="0091350E">
      <w:pPr>
        <w:pStyle w:val="Numlist"/>
        <w:numPr>
          <w:ilvl w:val="0"/>
          <w:numId w:val="94"/>
        </w:numPr>
        <w:autoSpaceDE w:val="0"/>
        <w:autoSpaceDN w:val="0"/>
        <w:adjustRightInd w:val="0"/>
        <w:spacing w:line="360" w:lineRule="auto"/>
        <w:jc w:val="both"/>
      </w:pPr>
      <w:r w:rsidRPr="00C15639">
        <w:rPr>
          <w:u w:val="single"/>
        </w:rPr>
        <w:t xml:space="preserve">Частое сочетание легочной патологии с поражениями других органов и систем. </w:t>
      </w:r>
    </w:p>
    <w:p w14:paraId="062C6199" w14:textId="77777777" w:rsidR="003D210A" w:rsidRPr="00C15639" w:rsidRDefault="003D210A" w:rsidP="00AB4AAE">
      <w:pPr>
        <w:pStyle w:val="Numlist"/>
        <w:spacing w:line="360" w:lineRule="auto"/>
        <w:jc w:val="both"/>
      </w:pPr>
      <w:r w:rsidRPr="00C15639">
        <w:t>Острая почечная недостаточность выявляется при ОДН у 42,5% гематологических пациентов, печеночная дисфункция — у 35%, левожелудочковая недостаточность — у 25%, нарушения сознания — у 25%.</w:t>
      </w:r>
    </w:p>
    <w:p w14:paraId="6FA8DF41" w14:textId="77777777" w:rsidR="003D210A" w:rsidRPr="00C15639" w:rsidRDefault="003D210A" w:rsidP="0091350E">
      <w:pPr>
        <w:pStyle w:val="Numlist"/>
        <w:numPr>
          <w:ilvl w:val="0"/>
          <w:numId w:val="94"/>
        </w:numPr>
        <w:autoSpaceDE w:val="0"/>
        <w:autoSpaceDN w:val="0"/>
        <w:adjustRightInd w:val="0"/>
        <w:spacing w:line="360" w:lineRule="auto"/>
        <w:jc w:val="both"/>
      </w:pPr>
      <w:r w:rsidRPr="00C15639">
        <w:rPr>
          <w:u w:val="single"/>
        </w:rPr>
        <w:t>Скоротечность.</w:t>
      </w:r>
      <w:r w:rsidRPr="00C15639">
        <w:t xml:space="preserve"> </w:t>
      </w:r>
    </w:p>
    <w:p w14:paraId="3C89B50D" w14:textId="77777777" w:rsidR="003D210A" w:rsidRPr="00C15639" w:rsidRDefault="003D210A" w:rsidP="00AB4AAE">
      <w:pPr>
        <w:pStyle w:val="Numlist"/>
        <w:spacing w:line="360" w:lineRule="auto"/>
        <w:ind w:firstLine="709"/>
        <w:jc w:val="both"/>
      </w:pPr>
      <w:r w:rsidRPr="00C15639">
        <w:t>От первых симптомов поражения легких до возникновения ОДН, требующей ИВЛ, проходит от нескольких часов до нескольких дней. При неблагоприятном исходе пациенты погибают в течение первой недели. Вследствие быстроты, с которое развивается легочная патология, необходимо обследовать гематологических пациентов в сжатые сроки, чтобы успеть начать эффективную этиотропную терапию.</w:t>
      </w:r>
    </w:p>
    <w:p w14:paraId="09F3980E" w14:textId="77777777" w:rsidR="003D210A" w:rsidRPr="000538D0" w:rsidRDefault="003D210A" w:rsidP="003D210A">
      <w:pPr>
        <w:ind w:firstLine="709"/>
        <w:rPr>
          <w:b/>
          <w:bCs/>
        </w:rPr>
      </w:pPr>
      <w:r w:rsidRPr="000538D0">
        <w:rPr>
          <w:b/>
          <w:bCs/>
        </w:rPr>
        <w:t xml:space="preserve">Обследование гематологических пациентов с поражениями легких </w:t>
      </w:r>
    </w:p>
    <w:p w14:paraId="611D0CE1" w14:textId="77777777" w:rsidR="003D210A" w:rsidRPr="00C15639" w:rsidRDefault="003D210A" w:rsidP="003D210A">
      <w:pPr>
        <w:ind w:firstLine="709"/>
        <w:rPr>
          <w:b/>
          <w:bCs/>
          <w:szCs w:val="24"/>
        </w:rPr>
      </w:pPr>
      <w:r w:rsidRPr="00C15639">
        <w:rPr>
          <w:b/>
          <w:bCs/>
          <w:szCs w:val="24"/>
        </w:rPr>
        <w:t>Клиническая картина</w:t>
      </w:r>
    </w:p>
    <w:p w14:paraId="3283EBA1" w14:textId="77777777" w:rsidR="003D210A" w:rsidRPr="00C15639" w:rsidRDefault="003D210A" w:rsidP="003D210A">
      <w:pPr>
        <w:ind w:firstLine="709"/>
        <w:rPr>
          <w:szCs w:val="24"/>
        </w:rPr>
      </w:pPr>
      <w:r w:rsidRPr="00C15639">
        <w:rPr>
          <w:bCs/>
          <w:szCs w:val="24"/>
        </w:rPr>
        <w:t xml:space="preserve">Жалобы </w:t>
      </w:r>
      <w:r w:rsidRPr="00C15639">
        <w:rPr>
          <w:szCs w:val="24"/>
        </w:rPr>
        <w:t>пациента, часто даже при выраженном поражении легких, скудные. Нередко первыми симптомами являются высокая лихорадка и одышка. Кашель может быть с мокротой, но чаще он сухой. При вовлечении в процесс плевры могут беспокоить боли при дыхании.</w:t>
      </w:r>
    </w:p>
    <w:p w14:paraId="09F35BCE" w14:textId="77777777" w:rsidR="003D210A" w:rsidRPr="00C15639" w:rsidRDefault="003D210A" w:rsidP="003D210A">
      <w:pPr>
        <w:ind w:firstLine="709"/>
        <w:rPr>
          <w:bCs/>
          <w:szCs w:val="24"/>
        </w:rPr>
      </w:pPr>
      <w:r w:rsidRPr="00C15639">
        <w:rPr>
          <w:bCs/>
          <w:szCs w:val="24"/>
        </w:rPr>
        <w:t>Данные анамнеза:</w:t>
      </w:r>
    </w:p>
    <w:p w14:paraId="581598EB" w14:textId="77777777" w:rsidR="003D210A" w:rsidRPr="00C15639" w:rsidRDefault="003D210A" w:rsidP="003D210A">
      <w:pPr>
        <w:ind w:firstLine="709"/>
        <w:rPr>
          <w:szCs w:val="24"/>
        </w:rPr>
      </w:pPr>
      <w:r w:rsidRPr="00C15639">
        <w:rPr>
          <w:szCs w:val="24"/>
        </w:rPr>
        <w:t xml:space="preserve">Легочная патология, возникшая в дебюте или при рецидиве гемобластоза, когда обнаруживаются гиперлейкоцитоз и большое число бластных клеток в периферической крови, может быть следствием поражения легких </w:t>
      </w:r>
      <w:r w:rsidRPr="00C15639">
        <w:rPr>
          <w:bCs/>
          <w:szCs w:val="24"/>
        </w:rPr>
        <w:t>опухолевыми клетками</w:t>
      </w:r>
      <w:r w:rsidRPr="00C15639">
        <w:rPr>
          <w:szCs w:val="24"/>
        </w:rPr>
        <w:t xml:space="preserve">. </w:t>
      </w:r>
    </w:p>
    <w:p w14:paraId="4F985A38" w14:textId="77777777" w:rsidR="003D210A" w:rsidRPr="00C15639" w:rsidRDefault="003D210A" w:rsidP="003D210A">
      <w:pPr>
        <w:ind w:firstLine="709"/>
        <w:rPr>
          <w:szCs w:val="24"/>
        </w:rPr>
      </w:pPr>
      <w:r w:rsidRPr="00C15639">
        <w:rPr>
          <w:szCs w:val="24"/>
        </w:rPr>
        <w:t xml:space="preserve">При длительной иммуносупрессивной терапии препаратами, подавляющими </w:t>
      </w:r>
      <w:r w:rsidRPr="00C15639">
        <w:rPr>
          <w:szCs w:val="24"/>
          <w:lang w:val="en-US"/>
        </w:rPr>
        <w:t>T</w:t>
      </w:r>
      <w:r w:rsidRPr="00C15639">
        <w:rPr>
          <w:szCs w:val="24"/>
        </w:rPr>
        <w:t>-клеточный иммунитет (</w:t>
      </w:r>
      <w:r w:rsidRPr="00C15639">
        <w:rPr>
          <w:bCs/>
          <w:szCs w:val="24"/>
        </w:rPr>
        <w:t>циклоспорин.</w:t>
      </w:r>
      <w:r w:rsidRPr="00C15639">
        <w:rPr>
          <w:szCs w:val="24"/>
        </w:rPr>
        <w:t xml:space="preserve"> глюкокортикоиды, флударабин и т. д.), велик риск цитомегаловирусной и/или пневмоцистной пневмонии. </w:t>
      </w:r>
    </w:p>
    <w:p w14:paraId="22C9F0EF" w14:textId="77777777" w:rsidR="003D210A" w:rsidRPr="00C15639" w:rsidRDefault="003D210A" w:rsidP="003D210A">
      <w:pPr>
        <w:ind w:firstLine="709"/>
        <w:rPr>
          <w:szCs w:val="24"/>
        </w:rPr>
      </w:pPr>
      <w:r w:rsidRPr="00C15639">
        <w:rPr>
          <w:szCs w:val="24"/>
        </w:rPr>
        <w:t xml:space="preserve">При поражении легких в период миелотоксического агранулоцитоза велика вероятность бактериальной и/или грибковой пневмонии. </w:t>
      </w:r>
    </w:p>
    <w:p w14:paraId="382CCB74" w14:textId="77777777" w:rsidR="003D210A" w:rsidRPr="00C15639" w:rsidRDefault="003D210A" w:rsidP="003D210A">
      <w:pPr>
        <w:ind w:firstLine="709"/>
        <w:rPr>
          <w:szCs w:val="24"/>
        </w:rPr>
      </w:pPr>
      <w:r w:rsidRPr="00C15639">
        <w:rPr>
          <w:szCs w:val="24"/>
        </w:rPr>
        <w:t>Если изменения в легких возникают или прогрессируют, несмотря на лечение антибиотиками, то следует исключить инвазию легочной ткани грибами.</w:t>
      </w:r>
    </w:p>
    <w:p w14:paraId="2985F7AF" w14:textId="77777777" w:rsidR="003D210A" w:rsidRPr="00C15639" w:rsidRDefault="003D210A" w:rsidP="003D210A">
      <w:pPr>
        <w:ind w:firstLine="709"/>
        <w:rPr>
          <w:szCs w:val="24"/>
        </w:rPr>
      </w:pPr>
      <w:r w:rsidRPr="00C15639">
        <w:rPr>
          <w:szCs w:val="24"/>
        </w:rPr>
        <w:t>Вариант заболевания системы крови позволяет отнести гематологического пациента с ОДН к группе риска по тем или иным факторам. Бактериальная пневмония одинаково часто встречается у пациентов с различными гематологическими заболеваниями, однако причиной ОДН она чаще всего служит у пациентов с острыми лейкозами. При хроническом лимфолейкозе пневмоцистная пневмония встречается чаще, чем при остром лейкозе, а у пациентов с лимфомами преобладает вирусная пневмония, которая у них выявляется чаще, чем поражение легких опухолевыми клетками.</w:t>
      </w:r>
    </w:p>
    <w:p w14:paraId="137BC68C" w14:textId="77777777" w:rsidR="003D210A" w:rsidRPr="00C15639" w:rsidRDefault="003D210A" w:rsidP="003D210A">
      <w:pPr>
        <w:ind w:firstLine="709"/>
        <w:rPr>
          <w:szCs w:val="24"/>
        </w:rPr>
      </w:pPr>
      <w:r w:rsidRPr="00C15639">
        <w:rPr>
          <w:szCs w:val="24"/>
        </w:rPr>
        <w:t>Возникновение легочной патологии нередко связано с предшествующим лечением. Срок от окончания химиотерапии до развития ОДН при бактериальных пневмониях значительно меньше, чем при пневмоцистных и вирусных пневмониях.</w:t>
      </w:r>
    </w:p>
    <w:p w14:paraId="0E7CB7C3" w14:textId="77777777" w:rsidR="003D210A" w:rsidRPr="00C15639" w:rsidRDefault="003D210A" w:rsidP="003D210A">
      <w:pPr>
        <w:ind w:firstLine="709"/>
        <w:rPr>
          <w:szCs w:val="24"/>
        </w:rPr>
      </w:pPr>
      <w:r w:rsidRPr="00C15639">
        <w:rPr>
          <w:bCs/>
          <w:szCs w:val="24"/>
        </w:rPr>
        <w:t>Наличие миелотоксического агранулоцитоза</w:t>
      </w:r>
      <w:r w:rsidRPr="00C15639">
        <w:rPr>
          <w:b/>
          <w:bCs/>
          <w:szCs w:val="24"/>
        </w:rPr>
        <w:t xml:space="preserve"> </w:t>
      </w:r>
      <w:r w:rsidRPr="00C15639">
        <w:rPr>
          <w:szCs w:val="24"/>
        </w:rPr>
        <w:t>является решающим фактором, влияющим на возникновение легочной патологии. У пациентов с агранулоцитозом бактериальные и грибковые пневмонии встречаются значительно чаще, чем вирусные и пневмоцистные пневмонии или опухолевое поражение легких.</w:t>
      </w:r>
    </w:p>
    <w:p w14:paraId="61A27194" w14:textId="77777777" w:rsidR="003D210A" w:rsidRPr="000538D0" w:rsidRDefault="003D210A" w:rsidP="003D210A">
      <w:pPr>
        <w:ind w:firstLine="709"/>
        <w:rPr>
          <w:b/>
          <w:bCs/>
        </w:rPr>
      </w:pPr>
      <w:r w:rsidRPr="000538D0">
        <w:rPr>
          <w:b/>
          <w:bCs/>
        </w:rPr>
        <w:t>Лабораторные исследования</w:t>
      </w:r>
    </w:p>
    <w:p w14:paraId="2FEC2E62" w14:textId="77777777" w:rsidR="003D210A" w:rsidRDefault="003D210A" w:rsidP="0091350E">
      <w:pPr>
        <w:pStyle w:val="aff"/>
        <w:numPr>
          <w:ilvl w:val="0"/>
          <w:numId w:val="95"/>
        </w:numPr>
        <w:contextualSpacing/>
        <w:rPr>
          <w:szCs w:val="24"/>
        </w:rPr>
      </w:pPr>
      <w:r w:rsidRPr="00C15639">
        <w:rPr>
          <w:szCs w:val="24"/>
        </w:rPr>
        <w:t>Рутинные общетерапевтические исследования – клинический анализ крови, биохимический анализ крови (мочевина, креатинин, билирубин (в том числе по фракциям), мочевая кислота, панкреатическая аимлаза, амилаза, липаза, альбумин, АЛТ/АСТ, КФК/КФК-МВ, глюкоза, калий, натрий, кальций ионизированный, хлор, другие параметры по показаниям), коагулограмма</w:t>
      </w:r>
      <w:r w:rsidRPr="00C15639">
        <w:rPr>
          <w:color w:val="FF0000"/>
          <w:szCs w:val="24"/>
        </w:rPr>
        <w:t xml:space="preserve"> </w:t>
      </w:r>
      <w:r w:rsidRPr="00C15639">
        <w:rPr>
          <w:szCs w:val="24"/>
        </w:rPr>
        <w:t xml:space="preserve">(АЧТВ, протромбин по Квику, тромбиновое время, фибриноген, антитромбин </w:t>
      </w:r>
      <w:r w:rsidRPr="00C15639">
        <w:rPr>
          <w:szCs w:val="24"/>
          <w:lang w:val="en-US"/>
        </w:rPr>
        <w:t>III</w:t>
      </w:r>
      <w:r w:rsidRPr="00C15639">
        <w:rPr>
          <w:szCs w:val="24"/>
        </w:rPr>
        <w:t>, другие параметры по показаниям);</w:t>
      </w:r>
    </w:p>
    <w:p w14:paraId="12BC237F" w14:textId="77777777" w:rsidR="003D210A" w:rsidRPr="000538D0" w:rsidRDefault="003D210A" w:rsidP="0091350E">
      <w:pPr>
        <w:pStyle w:val="aff"/>
        <w:numPr>
          <w:ilvl w:val="0"/>
          <w:numId w:val="95"/>
        </w:numPr>
        <w:contextualSpacing/>
        <w:rPr>
          <w:szCs w:val="24"/>
        </w:rPr>
      </w:pPr>
      <w:r w:rsidRPr="00C15639">
        <w:t xml:space="preserve">Исследование газов артериальной крови – обязательно при обследовании пациента с подозрением на ОДН. </w:t>
      </w:r>
    </w:p>
    <w:p w14:paraId="56AA73F6" w14:textId="77777777" w:rsidR="003D210A" w:rsidRPr="00C15639" w:rsidRDefault="003D210A" w:rsidP="003D210A">
      <w:pPr>
        <w:ind w:firstLine="709"/>
        <w:rPr>
          <w:b/>
          <w:bCs/>
          <w:szCs w:val="24"/>
        </w:rPr>
      </w:pPr>
      <w:r w:rsidRPr="00C15639">
        <w:rPr>
          <w:b/>
          <w:bCs/>
          <w:szCs w:val="24"/>
        </w:rPr>
        <w:t>Инструментальные исследования</w:t>
      </w:r>
    </w:p>
    <w:p w14:paraId="642F8061" w14:textId="77777777" w:rsidR="003D210A" w:rsidRPr="00C15639" w:rsidRDefault="003D210A" w:rsidP="0091350E">
      <w:pPr>
        <w:pStyle w:val="aff"/>
        <w:numPr>
          <w:ilvl w:val="0"/>
          <w:numId w:val="95"/>
        </w:numPr>
        <w:contextualSpacing/>
        <w:rPr>
          <w:szCs w:val="24"/>
        </w:rPr>
      </w:pPr>
      <w:r w:rsidRPr="00C15639">
        <w:rPr>
          <w:szCs w:val="24"/>
        </w:rPr>
        <w:t>Исследование показателей легочной вентиляции и резервов дыхания – позволяет оценить функциональную способность легких. Большое значение исследование функции внешнего дыхания имеет в диагностике облитерирующего бронхиолита, при котором на ранних стадиях выявляется уменьшение форсированного экспираторного потока, а позже — объема форсированного выдоха за 1-ю секунду и форсированной жизненной емкости легких.</w:t>
      </w:r>
    </w:p>
    <w:p w14:paraId="0D5CE52E" w14:textId="77777777" w:rsidR="003D210A" w:rsidRPr="00C15639" w:rsidRDefault="003D210A" w:rsidP="0091350E">
      <w:pPr>
        <w:pStyle w:val="aff"/>
        <w:numPr>
          <w:ilvl w:val="0"/>
          <w:numId w:val="95"/>
        </w:numPr>
        <w:contextualSpacing/>
        <w:rPr>
          <w:szCs w:val="24"/>
        </w:rPr>
      </w:pPr>
      <w:r w:rsidRPr="00C15639">
        <w:rPr>
          <w:szCs w:val="24"/>
        </w:rPr>
        <w:t>Радиологическое исследование легких – в первую очередь, СКТ, поскольку рентгенологическое исследование легких, выполняемое в условиях ОРИТ на портативных рентгеновских установках, малоинформативно и не имеет существенного диагностического значения у иммунокомпрометированных гематологических пациентов. Небольшая мощность излучения портативного аппарата приводит к тому, что для снимка требуется большее время экспозиции, а пациенты с ОДН не могут надолго задержать дыхание, поэтому высок риск артефактов, связанных с дыханием. Короткое фокусное расстояние может приводить к эффекту увеличения теней на снимках, в частности сердечной тени. При использовании портативной рентгеновской установки для повторных снимков обычно не удается воспроизвести условия съемки, поэтому рентгенограммы трудно сопоставлять между собой. С помощью рентгеновских снимков можно лишь исключить экстрапульмональные причины ОДН (пневмоторакс, пневмомедиастинум, гидроторакс и т. д.) и провести первичную оценку состояния легочной ткани, поскольку у пациентов с агранулоцитозом пневмония протекает без нейтрофильной инфильтрации легочной ткани, и при лейкопении в первые дни развития пневмонии не обнаруживаются рентгенологические изменения в легких. Сложности в диагностике легочного поражения возникают не только при агранулоцитозе, но и при гиперлейкоцитозе – в ряде случаев у пациентов с гемобластозами, протекающими с гиперлейкоцитозом и лейкостазами, даже при развитии ОДН на рентгенограмме легких не находят изменений. Скудные рентгенографические изменения выявляются и при грибковых, вирусных и пневмоцистных пневмониях. При сравнении рентгенологического заключения с данными аутопсии при лейкемических повреждениях легких полное совпадение диагнозов обнаружено лишь в 3% случаев, частичное — в 60%, расхождение — в 38% случаев. Поэтому основным методом диагностики легочного поражения у гематологических пациентов является СКТ легких, при которой значимо чаще, чем при рентгенографии, обнаруживаются усиление и деформация легочного рисунка, выпот в плевральной полости, отек легочной ткани, перивазальные и перибронхиальные инфильтраты, утолщение и инфильтрация плевры, буллезные изменения легких. Проводить СКТ рекомендуется всем гематологическим пациентам с поражениями легких, но в обязательном порядке она показана при несоответствии между клиническими проявлениями и рентгенологическими изменениями в легких, при подозрении на полостные образования, при сохраняющемся легочном поражении, несмотря на проводимую терапию.</w:t>
      </w:r>
    </w:p>
    <w:p w14:paraId="3FD0C451" w14:textId="77777777" w:rsidR="003D210A" w:rsidRPr="00C15639" w:rsidRDefault="003D210A" w:rsidP="0091350E">
      <w:pPr>
        <w:pStyle w:val="aff"/>
        <w:numPr>
          <w:ilvl w:val="0"/>
          <w:numId w:val="95"/>
        </w:numPr>
        <w:contextualSpacing/>
        <w:rPr>
          <w:szCs w:val="24"/>
        </w:rPr>
      </w:pPr>
      <w:r w:rsidRPr="00C15639">
        <w:rPr>
          <w:szCs w:val="24"/>
        </w:rPr>
        <w:t xml:space="preserve">При подозрении на ТЭЛА проводят СКТ с в/в контрастным усилением, позволяющим выявить тромб в ветвях легочной артерии. </w:t>
      </w:r>
      <w:bookmarkStart w:id="53" w:name="_Toc434240802"/>
    </w:p>
    <w:p w14:paraId="47083084" w14:textId="77777777" w:rsidR="003D210A" w:rsidRPr="00C15639" w:rsidRDefault="003D210A" w:rsidP="0091350E">
      <w:pPr>
        <w:pStyle w:val="aff"/>
        <w:numPr>
          <w:ilvl w:val="0"/>
          <w:numId w:val="95"/>
        </w:numPr>
        <w:contextualSpacing/>
        <w:rPr>
          <w:szCs w:val="24"/>
        </w:rPr>
      </w:pPr>
      <w:r w:rsidRPr="00C15639">
        <w:rPr>
          <w:szCs w:val="24"/>
        </w:rPr>
        <w:t xml:space="preserve">Ультразвуковая диагностика поражений легких и плевры </w:t>
      </w:r>
      <w:bookmarkEnd w:id="53"/>
      <w:r w:rsidRPr="00C15639">
        <w:rPr>
          <w:szCs w:val="24"/>
        </w:rPr>
        <w:t xml:space="preserve">– в последние годы в ОРИТ для выявления легочных поражений широкое применение находит ультразвуковое сканирование. Неинвазивность, быстрота выполнения, точность, доступность, мобильность, отсутствие необходимости в транспортировке больных позволяют рассматривать его как прикроватный метод диагностики. Много лет ультразвук не использовался для диагностики легочной патологии, поскольку считалось, что из-за содержащегося в них воздуха легкие не имеют акустического сопротивления. Однако при отеке легких, пневмонии, фиброзе легких содержание воздуха в легких снижается, происходит утолщение интралобулярных септ, которые находятся на поверхности висцеральной плевры, что создает акустическое сопротивление тканей легких, от них отражаются ультразвуковые волны, и на экране монитора формируется изображение. Для получения общей картины патологических изменений и визуализации глубоко расположенных объектов (например, ателектаз, долевая пневмония) применяют датчик с частотой 3—5 МГц. Для изучения поверхностных структур (плевра, мягкие ткани грудной стенки) применяют датчик с частотой 7—10 МГц. Для получения оптимального изображения объектов, находящихся в грудной полости на разной глубине, лучше иметь два разных по форме датчика с различным набором частот и, соответственно, функциональным предназначением. </w:t>
      </w:r>
      <w:bookmarkStart w:id="54" w:name="_Toc434240804"/>
    </w:p>
    <w:bookmarkEnd w:id="54"/>
    <w:p w14:paraId="203A10AC" w14:textId="77777777" w:rsidR="003D210A" w:rsidRPr="00C15639" w:rsidRDefault="003D210A" w:rsidP="0091350E">
      <w:pPr>
        <w:pStyle w:val="aff"/>
        <w:numPr>
          <w:ilvl w:val="0"/>
          <w:numId w:val="95"/>
        </w:numPr>
        <w:contextualSpacing/>
        <w:rPr>
          <w:szCs w:val="24"/>
        </w:rPr>
      </w:pPr>
      <w:r w:rsidRPr="00C15639">
        <w:rPr>
          <w:szCs w:val="24"/>
        </w:rPr>
        <w:t xml:space="preserve">Микробиологическое исследование посевов со слизистой ротоглотки и прямой кишки – бактериологическое исследование мазков со слизистых оболочек ротоглотки и прямой кишки проводится на агаризованной среде Эндо для выявления грамотрицательных бактерий и на хромогенной селективной среде CHROMagarТМESBL (CHROMagar, Франция), предназначенной для прямого выделения энтеробактерий, вырабатывающих бета-лактамазы расширенного спектра действия. Между колонизацией слизистой ротоглотки бактериями и больничной пневмонией имеется взаимосвязь. Колонизация слизистой ротоглотки A. baumannii на 2 недели опережает появление этих микроорганизмов в жидкости БАЛ. P. aeruginosa выделяют со слизистой ротоглотки на 7 дней раньше, чем в жидкости БАЛ. </w:t>
      </w:r>
    </w:p>
    <w:p w14:paraId="6E9E4C5B" w14:textId="77777777" w:rsidR="003D210A" w:rsidRPr="00C15639" w:rsidRDefault="003D210A" w:rsidP="0091350E">
      <w:pPr>
        <w:pStyle w:val="aff"/>
        <w:numPr>
          <w:ilvl w:val="0"/>
          <w:numId w:val="95"/>
        </w:numPr>
        <w:contextualSpacing/>
        <w:rPr>
          <w:szCs w:val="24"/>
        </w:rPr>
      </w:pPr>
      <w:r w:rsidRPr="00C15639">
        <w:rPr>
          <w:szCs w:val="24"/>
        </w:rPr>
        <w:t>Исследование мокроты – исследование мокроты с целью верификации этиологии легочного поражения имеет низкую диагностическую ценность из-за возможной контаминации материала микрофлорой полости рта и вследствие особенностей воспалительного процесса в условиях нейтропении. Другой метод диагностики легочной инфекции — это исследование трахеального аспирата. Метод был предложен более 30 лет назад, однако вследствие частой бактериальной колонизации трахеобронхиального дерева получаемые с помощью трахеальной аспирации результаты часто не отражают истинной причины поражения легких. С помощью исследования трахеального аспирата нельзя выявить многие внутриклеточные микроорганизмы, такие как пневмоцисты, легионеллы.</w:t>
      </w:r>
    </w:p>
    <w:p w14:paraId="49E42FE6" w14:textId="77777777" w:rsidR="003D210A" w:rsidRPr="00C15639" w:rsidRDefault="003D210A" w:rsidP="0091350E">
      <w:pPr>
        <w:pStyle w:val="aff"/>
        <w:numPr>
          <w:ilvl w:val="0"/>
          <w:numId w:val="95"/>
        </w:numPr>
        <w:contextualSpacing/>
        <w:rPr>
          <w:szCs w:val="24"/>
        </w:rPr>
      </w:pPr>
      <w:r w:rsidRPr="00C15639">
        <w:rPr>
          <w:szCs w:val="24"/>
        </w:rPr>
        <w:t>Фибробронхоскопия с БАЛ – является следующим этапом диагностики легочной патологии. Сроки проведения исследования зависят от клинической ситуации:</w:t>
      </w:r>
    </w:p>
    <w:p w14:paraId="520E79AC" w14:textId="77777777" w:rsidR="003D210A" w:rsidRPr="00C15639" w:rsidRDefault="003D210A" w:rsidP="0091350E">
      <w:pPr>
        <w:pStyle w:val="aff"/>
        <w:numPr>
          <w:ilvl w:val="1"/>
          <w:numId w:val="95"/>
        </w:numPr>
        <w:contextualSpacing/>
        <w:rPr>
          <w:szCs w:val="24"/>
        </w:rPr>
      </w:pPr>
      <w:r w:rsidRPr="00C15639">
        <w:rPr>
          <w:szCs w:val="24"/>
        </w:rPr>
        <w:t>при очаговых поражениях легких, если антибиотики не назначались и легочный процесс не имеет скоротечного характера, может быть предпринята попытка лечения антибиотиками по результатам микробиологического исследования либо попытка эмпирической антибактериальной терапии в течение 2—7 дней (при прогрессировании заболевания эти сроки можно сократить);</w:t>
      </w:r>
    </w:p>
    <w:p w14:paraId="105EA3A3" w14:textId="77777777" w:rsidR="003D210A" w:rsidRPr="00C15639" w:rsidRDefault="003D210A" w:rsidP="0091350E">
      <w:pPr>
        <w:pStyle w:val="aff"/>
        <w:numPr>
          <w:ilvl w:val="1"/>
          <w:numId w:val="95"/>
        </w:numPr>
        <w:contextualSpacing/>
        <w:rPr>
          <w:szCs w:val="24"/>
        </w:rPr>
      </w:pPr>
      <w:r w:rsidRPr="00C15639">
        <w:rPr>
          <w:szCs w:val="24"/>
        </w:rPr>
        <w:t>при ОДН БАЛ проводят сразу же, не теряя время на эмпирическую антибактериальную терапию.</w:t>
      </w:r>
    </w:p>
    <w:p w14:paraId="19B86A20" w14:textId="77777777" w:rsidR="003D210A" w:rsidRPr="00C15639" w:rsidRDefault="003D210A" w:rsidP="003D210A">
      <w:pPr>
        <w:ind w:firstLine="709"/>
        <w:rPr>
          <w:szCs w:val="24"/>
        </w:rPr>
      </w:pPr>
      <w:r w:rsidRPr="00C15639">
        <w:rPr>
          <w:szCs w:val="24"/>
        </w:rPr>
        <w:t>Процедура БАЛ выполняется под контролем ЭКГ-мониторинга и пульс-оксиметрии. Обязательным условием во время бронхоскопии и проведения лаважа является S</w:t>
      </w:r>
      <w:r w:rsidRPr="00C15639">
        <w:rPr>
          <w:szCs w:val="24"/>
          <w:vertAlign w:val="subscript"/>
        </w:rPr>
        <w:t>a</w:t>
      </w:r>
      <w:r w:rsidRPr="00C15639">
        <w:rPr>
          <w:szCs w:val="24"/>
        </w:rPr>
        <w:t>O</w:t>
      </w:r>
      <w:r w:rsidRPr="00C15639">
        <w:rPr>
          <w:szCs w:val="24"/>
          <w:vertAlign w:val="subscript"/>
        </w:rPr>
        <w:t>2</w:t>
      </w:r>
      <w:r w:rsidRPr="00C15639">
        <w:rPr>
          <w:szCs w:val="24"/>
        </w:rPr>
        <w:t xml:space="preserve"> не ниже 90%. Бронхоскопия выполняется в условиях оксигенотерапии (ингаляция кислорода через носовые катетеры, с помощью маски Вентури либо маски с резервуаром, в которой вырезано боковое отверстие для бронхоскопа). Если не удается обеспечить достаточную оксигенацию крови, бронхоскопия выполняется в условиях неинвазивной вентиляции легких. Для анестезии верхних дыхательных путей применяют 10% раствор лидокаина в виде аэрозоля. При трансназальном введении бронхоскопа анестезию слизистой носа проводят аппликационно, установив в носовой ход турунду, смоченную растворами лидокаина и адреналина. У больных с тромбоцитопенией (число тромбоцитов &lt; 30 </w:t>
      </w:r>
      <w:r w:rsidRPr="00C15639">
        <w:rPr>
          <w:szCs w:val="24"/>
        </w:rPr>
        <w:t> 10</w:t>
      </w:r>
      <w:r w:rsidRPr="00C15639">
        <w:rPr>
          <w:szCs w:val="24"/>
          <w:vertAlign w:val="superscript"/>
        </w:rPr>
        <w:t>9</w:t>
      </w:r>
      <w:r w:rsidRPr="00C15639">
        <w:rPr>
          <w:szCs w:val="24"/>
        </w:rPr>
        <w:t> л</w:t>
      </w:r>
      <w:r w:rsidRPr="00C15639">
        <w:rPr>
          <w:szCs w:val="24"/>
          <w:vertAlign w:val="superscript"/>
        </w:rPr>
        <w:t>–1</w:t>
      </w:r>
      <w:r w:rsidRPr="00C15639">
        <w:rPr>
          <w:szCs w:val="24"/>
        </w:rPr>
        <w:t>), выраженной коагулопатией и кровоточивостью бронхоскоп проводят трансорально, поскольку трансназальное введение может осложниться носовым кровотечением.</w:t>
      </w:r>
    </w:p>
    <w:p w14:paraId="52CC1328" w14:textId="77777777" w:rsidR="003D210A" w:rsidRPr="00C15639" w:rsidRDefault="003D210A" w:rsidP="003D210A">
      <w:pPr>
        <w:ind w:firstLine="709"/>
        <w:rPr>
          <w:szCs w:val="24"/>
        </w:rPr>
      </w:pPr>
      <w:r w:rsidRPr="00C15639">
        <w:rPr>
          <w:szCs w:val="24"/>
        </w:rPr>
        <w:t>Для локальной анестезии голосовых связок используют 10% раствор лидокаина, для анестезии бифуркации трахеи и шпор бронхов — 2% раствор лидокаина. Суммарная доза лидокаина за процедуру не должна превышать 600 мг. Если состояние больного тяжелое, и у него выражена ОДН, на время проведения бронхоскопии и лаважа он может быть переведен на ИВЛ. У больных на ИВЛ процедура выполняется под общей анестезией через адаптер респиратора, снабженный клапаном для бронхоскопа.</w:t>
      </w:r>
    </w:p>
    <w:p w14:paraId="7A07D4F2" w14:textId="77777777" w:rsidR="003D210A" w:rsidRPr="00C15639" w:rsidRDefault="003D210A" w:rsidP="003D210A">
      <w:pPr>
        <w:ind w:firstLine="709"/>
        <w:rPr>
          <w:szCs w:val="24"/>
        </w:rPr>
      </w:pPr>
      <w:r w:rsidRPr="00C15639">
        <w:rPr>
          <w:szCs w:val="24"/>
        </w:rPr>
        <w:t>При проведении бронхоскопа избегают отсасывания во избежание контаминации канала бронхоскопа. После осмотра трахеобронхиального дерева выполняют бронхоальвеолярный лаваж. Место проведения лаважа определяют по данным рентгенографии и КТ: либо в области наибольшего поражения, либо, при диффузном поражении легких, — в средней доле правого легкого или в язычковом сегменте левого легкого.</w:t>
      </w:r>
    </w:p>
    <w:p w14:paraId="19814BF1" w14:textId="77777777" w:rsidR="003D210A" w:rsidRPr="00C15639" w:rsidRDefault="003D210A" w:rsidP="003D210A">
      <w:pPr>
        <w:ind w:firstLine="709"/>
        <w:rPr>
          <w:szCs w:val="24"/>
        </w:rPr>
      </w:pPr>
      <w:r w:rsidRPr="00C15639">
        <w:rPr>
          <w:szCs w:val="24"/>
        </w:rPr>
        <w:t>К бронхоскопу через трехходовой краник присоединяется стерильный пластикатный мешок (как правило, мешки, используемые для забора крови, но без консерванта гемаконы). Лаваж выполняется путем введения подогретого до 37</w:t>
      </w:r>
      <w:r w:rsidRPr="00C15639">
        <w:rPr>
          <w:szCs w:val="24"/>
          <w:vertAlign w:val="superscript"/>
        </w:rPr>
        <w:t>о</w:t>
      </w:r>
      <w:r w:rsidRPr="00C15639">
        <w:rPr>
          <w:szCs w:val="24"/>
        </w:rPr>
        <w:t xml:space="preserve"> </w:t>
      </w:r>
      <w:r w:rsidRPr="00C15639">
        <w:rPr>
          <w:szCs w:val="24"/>
          <w:lang w:val="en-US"/>
        </w:rPr>
        <w:t>C</w:t>
      </w:r>
      <w:r w:rsidRPr="00C15639">
        <w:rPr>
          <w:szCs w:val="24"/>
        </w:rPr>
        <w:t xml:space="preserve"> физиологического раствора одноразовыми шприцами — 8 порций по 20 мл. Отсасывание должно быть мягким (под давлением меньше 50—80 мм рт. ст.), чтобы избежать коллапса альвеол и нарушения отсасывания жидкости. Первую порцию лаважной жидкости отделяют от остальных, поскольку она представляет собой преимущественно бронхиальный смыв и не отражает состав альвеолярной клеточной популяции. Остальную жидкость собирают в мешок. При процедуре возвращается 40—60% объема введенной жидкости. После окончания процедуры лаважная жидкость перемешивается и направляется на исследование.</w:t>
      </w:r>
    </w:p>
    <w:p w14:paraId="104B1221" w14:textId="77777777" w:rsidR="003D210A" w:rsidRPr="00C15639" w:rsidRDefault="003D210A" w:rsidP="003D210A">
      <w:pPr>
        <w:ind w:firstLine="709"/>
        <w:rPr>
          <w:szCs w:val="24"/>
        </w:rPr>
      </w:pPr>
      <w:r w:rsidRPr="00C15639">
        <w:rPr>
          <w:szCs w:val="24"/>
        </w:rPr>
        <w:t>Хотя фибробронхоскопия и лаваж считаются безопасными процедурами, их проведение у больных с геморрагическим синдромом и артериальной гипоксемией требует специальной подготовки. При глубокой тромбоцитопении (число тромбоцитов &lt; 30 </w:t>
      </w:r>
      <w:r w:rsidRPr="00C15639">
        <w:rPr>
          <w:szCs w:val="24"/>
        </w:rPr>
        <w:t>10</w:t>
      </w:r>
      <w:r w:rsidRPr="00C15639">
        <w:rPr>
          <w:szCs w:val="24"/>
          <w:vertAlign w:val="superscript"/>
        </w:rPr>
        <w:t>9</w:t>
      </w:r>
      <w:r w:rsidRPr="00C15639">
        <w:rPr>
          <w:szCs w:val="24"/>
        </w:rPr>
        <w:t> л</w:t>
      </w:r>
      <w:r w:rsidRPr="00C15639">
        <w:rPr>
          <w:szCs w:val="24"/>
          <w:vertAlign w:val="superscript"/>
        </w:rPr>
        <w:t>–1</w:t>
      </w:r>
      <w:r w:rsidRPr="00C15639">
        <w:rPr>
          <w:szCs w:val="24"/>
        </w:rPr>
        <w:t>) перед процедурой производится переливание концентрата тромбоцитов (400—500 </w:t>
      </w:r>
      <w:r w:rsidRPr="00C15639">
        <w:rPr>
          <w:szCs w:val="24"/>
        </w:rPr>
        <w:t> 10</w:t>
      </w:r>
      <w:r w:rsidRPr="00C15639">
        <w:rPr>
          <w:szCs w:val="24"/>
          <w:vertAlign w:val="superscript"/>
        </w:rPr>
        <w:t xml:space="preserve">9 </w:t>
      </w:r>
      <w:r w:rsidRPr="00C15639">
        <w:rPr>
          <w:szCs w:val="24"/>
        </w:rPr>
        <w:t xml:space="preserve">клеток) </w:t>
      </w:r>
      <w:r w:rsidRPr="00C15639">
        <w:rPr>
          <w:szCs w:val="24"/>
          <w:lang w:val="en-US"/>
        </w:rPr>
        <w:t>c</w:t>
      </w:r>
      <w:r w:rsidRPr="00C15639">
        <w:rPr>
          <w:szCs w:val="24"/>
        </w:rPr>
        <w:t xml:space="preserve"> целью повышения числа тромбоцитов до 40—50 </w:t>
      </w:r>
      <w:r w:rsidRPr="00C15639">
        <w:rPr>
          <w:szCs w:val="24"/>
        </w:rPr>
        <w:t> 10</w:t>
      </w:r>
      <w:r w:rsidRPr="00C15639">
        <w:rPr>
          <w:szCs w:val="24"/>
          <w:vertAlign w:val="superscript"/>
        </w:rPr>
        <w:t>9</w:t>
      </w:r>
      <w:r w:rsidRPr="00C15639">
        <w:rPr>
          <w:szCs w:val="24"/>
        </w:rPr>
        <w:t> л</w:t>
      </w:r>
      <w:r w:rsidRPr="00C15639">
        <w:rPr>
          <w:szCs w:val="24"/>
          <w:vertAlign w:val="superscript"/>
        </w:rPr>
        <w:t>–1</w:t>
      </w:r>
      <w:r w:rsidRPr="00C15639">
        <w:rPr>
          <w:szCs w:val="24"/>
        </w:rPr>
        <w:t xml:space="preserve"> или нормализации времени кровотечения. Если геморрагический синдром обусловлен нарушениями коагуляционного гемостаза, то подготовка к бронхоскопии осуществляется переливанием свежезамороженной плазмы (500—1000 мл), криопреципитата и факторов свертывания до достижения нормального АЧТВ и повышения уровней факторов свертывания.</w:t>
      </w:r>
    </w:p>
    <w:p w14:paraId="2B032A98" w14:textId="77777777" w:rsidR="003D210A" w:rsidRPr="00C15639" w:rsidRDefault="003D210A" w:rsidP="003D210A">
      <w:pPr>
        <w:ind w:firstLine="709"/>
        <w:rPr>
          <w:szCs w:val="24"/>
        </w:rPr>
      </w:pPr>
      <w:r w:rsidRPr="00C15639">
        <w:rPr>
          <w:szCs w:val="24"/>
        </w:rPr>
        <w:t>Цитологическое исследование лаважа может помочь в диагностике опухолевых поражений легких у пациентов с гематологическими заболеваниями, но в основном помогает выявить возбудителя легочной инфекции, в том числе, цитомегаловирусной и пневмоцистной природы (возбудители этих инфекций в ряде случаев могут быть выявлены при окраске мазка БАЛ по Романовскому—Гимзе).</w:t>
      </w:r>
    </w:p>
    <w:p w14:paraId="3385E24F" w14:textId="77777777" w:rsidR="003D210A" w:rsidRPr="00C15639" w:rsidRDefault="003D210A" w:rsidP="003D210A">
      <w:pPr>
        <w:pStyle w:val="5"/>
        <w:spacing w:before="0" w:after="0"/>
        <w:ind w:firstLine="709"/>
        <w:rPr>
          <w:rFonts w:ascii="Times New Roman" w:hAnsi="Times New Roman" w:cs="Times New Roman"/>
          <w:b w:val="0"/>
          <w:color w:val="000000" w:themeColor="text1"/>
          <w:szCs w:val="24"/>
        </w:rPr>
      </w:pPr>
      <w:r w:rsidRPr="00C15639">
        <w:rPr>
          <w:rFonts w:ascii="Times New Roman" w:hAnsi="Times New Roman" w:cs="Times New Roman"/>
          <w:color w:val="000000" w:themeColor="text1"/>
          <w:szCs w:val="24"/>
        </w:rPr>
        <w:t>Бактериоскопия</w:t>
      </w:r>
    </w:p>
    <w:p w14:paraId="3247C96A" w14:textId="77777777" w:rsidR="003D210A" w:rsidRPr="00C15639" w:rsidRDefault="003D210A" w:rsidP="003D210A">
      <w:pPr>
        <w:ind w:firstLine="709"/>
        <w:rPr>
          <w:szCs w:val="24"/>
        </w:rPr>
      </w:pPr>
      <w:r w:rsidRPr="00C15639">
        <w:rPr>
          <w:szCs w:val="24"/>
        </w:rPr>
        <w:t>При микроскопии нативного материала для выявления бактерий и грибов проводят окрашивание по Граму и Романовскому—Гимзе, для выявления грибов — окрашивание калькофлуором белым. Для выявления кислотоустойчивых микроорганизмов (микобактерий туберкулеза, нокардий) просматривают препараты, окрашенные по Цилю—Нильсену. Данные микроскопии должны быть получены в первые же сутки после выполнения лаважа.</w:t>
      </w:r>
    </w:p>
    <w:p w14:paraId="0706C3C0" w14:textId="77777777" w:rsidR="003D210A" w:rsidRPr="00C15639" w:rsidRDefault="003D210A" w:rsidP="003D210A">
      <w:pPr>
        <w:pStyle w:val="5"/>
        <w:spacing w:before="0" w:after="0"/>
        <w:ind w:firstLine="709"/>
        <w:rPr>
          <w:rFonts w:ascii="Times New Roman" w:hAnsi="Times New Roman" w:cs="Times New Roman"/>
          <w:b w:val="0"/>
          <w:color w:val="000000" w:themeColor="text1"/>
          <w:szCs w:val="24"/>
        </w:rPr>
      </w:pPr>
      <w:r w:rsidRPr="00C15639">
        <w:rPr>
          <w:rFonts w:ascii="Times New Roman" w:hAnsi="Times New Roman" w:cs="Times New Roman"/>
          <w:color w:val="000000" w:themeColor="text1"/>
          <w:szCs w:val="24"/>
        </w:rPr>
        <w:t>Посев на количественную культуру</w:t>
      </w:r>
    </w:p>
    <w:p w14:paraId="299040DE" w14:textId="77777777" w:rsidR="003D210A" w:rsidRPr="00C15639" w:rsidRDefault="003D210A" w:rsidP="003D210A">
      <w:pPr>
        <w:ind w:firstLine="709"/>
        <w:rPr>
          <w:szCs w:val="24"/>
        </w:rPr>
      </w:pPr>
      <w:r w:rsidRPr="00C15639">
        <w:rPr>
          <w:szCs w:val="24"/>
        </w:rPr>
        <w:t>При микробиологическом исследовании с целью отличить колонизацию от инвазии микроорганизмами проводится количественный анализ лаважной жидкости. Клинически значимая инфекция возникает при наличии 10</w:t>
      </w:r>
      <w:r w:rsidRPr="00C15639">
        <w:rPr>
          <w:szCs w:val="24"/>
          <w:vertAlign w:val="superscript"/>
        </w:rPr>
        <w:t>4</w:t>
      </w:r>
      <w:r w:rsidRPr="00C15639">
        <w:rPr>
          <w:szCs w:val="24"/>
        </w:rPr>
        <w:t xml:space="preserve"> КОЕ на 1 г ткани легкого или при наличии более 10</w:t>
      </w:r>
      <w:r w:rsidRPr="00C15639">
        <w:rPr>
          <w:szCs w:val="24"/>
          <w:vertAlign w:val="superscript"/>
        </w:rPr>
        <w:t>5</w:t>
      </w:r>
      <w:r w:rsidRPr="00C15639">
        <w:rPr>
          <w:szCs w:val="24"/>
        </w:rPr>
        <w:t xml:space="preserve"> бактерий в 1 мл экссудата. Поскольку при лаваже происходит разведение секрета приблизительно в 100 раз, то рост 10</w:t>
      </w:r>
      <w:r w:rsidRPr="00C15639">
        <w:rPr>
          <w:szCs w:val="24"/>
          <w:vertAlign w:val="superscript"/>
        </w:rPr>
        <w:t>3</w:t>
      </w:r>
      <w:r w:rsidRPr="00C15639">
        <w:rPr>
          <w:szCs w:val="24"/>
        </w:rPr>
        <w:t>—10</w:t>
      </w:r>
      <w:r w:rsidRPr="00C15639">
        <w:rPr>
          <w:szCs w:val="24"/>
          <w:vertAlign w:val="superscript"/>
        </w:rPr>
        <w:t>4</w:t>
      </w:r>
      <w:r w:rsidRPr="00C15639">
        <w:rPr>
          <w:szCs w:val="24"/>
        </w:rPr>
        <w:t> КОЕ/мл соответствует присутствию 10</w:t>
      </w:r>
      <w:r w:rsidRPr="00C15639">
        <w:rPr>
          <w:szCs w:val="24"/>
          <w:vertAlign w:val="superscript"/>
        </w:rPr>
        <w:t>5</w:t>
      </w:r>
      <w:r w:rsidRPr="00C15639">
        <w:rPr>
          <w:szCs w:val="24"/>
        </w:rPr>
        <w:t>—10</w:t>
      </w:r>
      <w:r w:rsidRPr="00C15639">
        <w:rPr>
          <w:szCs w:val="24"/>
          <w:vertAlign w:val="superscript"/>
        </w:rPr>
        <w:t>6</w:t>
      </w:r>
      <w:r w:rsidRPr="00C15639">
        <w:rPr>
          <w:szCs w:val="24"/>
        </w:rPr>
        <w:t xml:space="preserve"> бактерий в легочном секрете. Именно эта величина принята за диагностически значимую для БАЛ. Однако у иммунокомпрометированных больных, большинство из которых к моменту выполнения БАЛ уже получают массивную антибактериальную терапию, даже 10</w:t>
      </w:r>
      <w:r w:rsidRPr="00C15639">
        <w:rPr>
          <w:szCs w:val="24"/>
          <w:vertAlign w:val="superscript"/>
        </w:rPr>
        <w:t>3</w:t>
      </w:r>
      <w:r w:rsidRPr="00C15639">
        <w:rPr>
          <w:szCs w:val="24"/>
        </w:rPr>
        <w:t> КОЕ/мл свидетельствует об этиологической роли микроорганизмов в поражении легких.</w:t>
      </w:r>
    </w:p>
    <w:p w14:paraId="1E154D42" w14:textId="77777777" w:rsidR="003D210A" w:rsidRPr="00C15639" w:rsidRDefault="003D210A" w:rsidP="003D210A">
      <w:pPr>
        <w:ind w:firstLine="709"/>
        <w:rPr>
          <w:szCs w:val="24"/>
        </w:rPr>
      </w:pPr>
      <w:r w:rsidRPr="00C15639">
        <w:rPr>
          <w:szCs w:val="24"/>
        </w:rPr>
        <w:t xml:space="preserve">Для выявления легионеллеза исследуются образец лаважной жидкости и мочи пациента – в моче иммунохроматографическим методом выявляется растворимый липополисахаридный антиген </w:t>
      </w:r>
      <w:r w:rsidRPr="00C15639">
        <w:rPr>
          <w:szCs w:val="24"/>
          <w:lang w:val="en-US"/>
        </w:rPr>
        <w:t>Legionella</w:t>
      </w:r>
      <w:r w:rsidRPr="00C15639">
        <w:rPr>
          <w:szCs w:val="24"/>
        </w:rPr>
        <w:t xml:space="preserve"> </w:t>
      </w:r>
      <w:r w:rsidRPr="00C15639">
        <w:rPr>
          <w:szCs w:val="24"/>
          <w:lang w:val="en-US"/>
        </w:rPr>
        <w:t>pneumophila</w:t>
      </w:r>
      <w:r w:rsidRPr="00C15639">
        <w:rPr>
          <w:szCs w:val="24"/>
        </w:rPr>
        <w:t xml:space="preserve"> серогруппы 1.</w:t>
      </w:r>
    </w:p>
    <w:p w14:paraId="324190D4" w14:textId="77777777" w:rsidR="003D210A" w:rsidRPr="00C15639" w:rsidRDefault="003D210A" w:rsidP="003D210A">
      <w:pPr>
        <w:pStyle w:val="5"/>
        <w:spacing w:before="0" w:after="0"/>
        <w:ind w:firstLine="709"/>
        <w:rPr>
          <w:rFonts w:ascii="Times New Roman" w:hAnsi="Times New Roman" w:cs="Times New Roman"/>
          <w:b w:val="0"/>
          <w:szCs w:val="24"/>
        </w:rPr>
      </w:pPr>
      <w:r w:rsidRPr="00C15639">
        <w:rPr>
          <w:rFonts w:ascii="Times New Roman" w:hAnsi="Times New Roman" w:cs="Times New Roman"/>
          <w:color w:val="000000" w:themeColor="text1"/>
          <w:szCs w:val="24"/>
        </w:rPr>
        <w:t>Исследование на пневмоцистную инфекцию</w:t>
      </w:r>
    </w:p>
    <w:p w14:paraId="185DE32B" w14:textId="77777777" w:rsidR="003D210A" w:rsidRPr="00C15639" w:rsidRDefault="003D210A" w:rsidP="003D210A">
      <w:pPr>
        <w:ind w:firstLine="709"/>
        <w:rPr>
          <w:szCs w:val="24"/>
        </w:rPr>
      </w:pPr>
      <w:r w:rsidRPr="00C15639">
        <w:rPr>
          <w:szCs w:val="24"/>
        </w:rPr>
        <w:t xml:space="preserve">Наиболее доступным методом является выявление пневмоцист в мазках, окрашенных по Романовскому—Гимзе. Эта окраска позволяет выявить пневмоцисты на всех стадиях их жизненного цикла: на стадии цист, прецист, трофозоитов, — а также окрашивает экссудативный материал в виде «ячеистой пены». Недостатком метода является интенсивная окраска не только микроорганизмов, но и всего мазка, на фоне которого можно не заметить </w:t>
      </w:r>
      <w:r w:rsidRPr="00C15639">
        <w:rPr>
          <w:i/>
          <w:szCs w:val="24"/>
        </w:rPr>
        <w:t>Pneumocystis carinii</w:t>
      </w:r>
      <w:r w:rsidRPr="00C15639">
        <w:rPr>
          <w:szCs w:val="24"/>
        </w:rPr>
        <w:t xml:space="preserve">. Для выявления </w:t>
      </w:r>
      <w:r w:rsidRPr="00C15639">
        <w:rPr>
          <w:i/>
          <w:szCs w:val="24"/>
        </w:rPr>
        <w:t>P. carinii</w:t>
      </w:r>
      <w:r w:rsidRPr="00C15639">
        <w:rPr>
          <w:szCs w:val="24"/>
        </w:rPr>
        <w:t xml:space="preserve"> используется также импрегнация метенамин-серебряным нитратом по Гомори или серебром по Грокотту. Оба метода не выявляют трофозоиты и требуют для своей постановки длительного времени. В настоящее время появились наборы для модифицированной быстрой окраски серебром. Однако все эти виды окраски низкоспецифичны и могут не выявить пневмоцисты при небольшом количестве микроорганизмов в материале. Иммунофлюоресцентная окраска более чувствительна, чем окраска серебром или по Романовскому—Гимзе, что важно при малой контаминации материала пневмоцистами. Иммунофлюоресцентные методы основаны на использовании мышиных антител к пневмоцистам. Антитела могут быть специфично направлены либо только против цист, либо против трофозоитов, цист и спорозоитов и т. д. Антитела могут быть моно- и поликлональными. В последние годы показано, что характерная для пневмоцист последовательность ДНК может быть выявлена в мокроте, лаважной жидкости и легочной ткани с помощью ПЦР.</w:t>
      </w:r>
    </w:p>
    <w:p w14:paraId="64E0AD67" w14:textId="77777777" w:rsidR="003D210A" w:rsidRPr="00C15639" w:rsidRDefault="003D210A" w:rsidP="003D210A">
      <w:pPr>
        <w:pStyle w:val="5"/>
        <w:spacing w:before="0" w:after="0"/>
        <w:ind w:firstLine="709"/>
        <w:rPr>
          <w:rFonts w:ascii="Times New Roman" w:hAnsi="Times New Roman" w:cs="Times New Roman"/>
          <w:b w:val="0"/>
          <w:color w:val="000000" w:themeColor="text1"/>
          <w:szCs w:val="24"/>
        </w:rPr>
      </w:pPr>
      <w:r w:rsidRPr="00C15639">
        <w:rPr>
          <w:rFonts w:ascii="Times New Roman" w:hAnsi="Times New Roman" w:cs="Times New Roman"/>
          <w:color w:val="000000" w:themeColor="text1"/>
          <w:szCs w:val="24"/>
        </w:rPr>
        <w:t>Исследование лаважной жидкости на наличие ЦМВ</w:t>
      </w:r>
    </w:p>
    <w:p w14:paraId="1A693EE2" w14:textId="77777777" w:rsidR="003D210A" w:rsidRPr="00C15639" w:rsidRDefault="003D210A" w:rsidP="003D210A">
      <w:pPr>
        <w:ind w:firstLine="709"/>
        <w:rPr>
          <w:szCs w:val="24"/>
        </w:rPr>
      </w:pPr>
      <w:r w:rsidRPr="00C15639">
        <w:rPr>
          <w:szCs w:val="24"/>
        </w:rPr>
        <w:t xml:space="preserve">Высокочувствительным методом выявления ЦМВ является ПЦР, позволяющая обнаружить очень малые количества ДНК вируса. Интерпретация результатов исследования на цитомегаловирусную инфекцию представляет большие сложности, поскольку выявление ЦМВ в лаважной жидкости не всегда бывает признаком инфекции, а может быть проявлением носительства вируса. Диагноз цитомегаловирусной пневмонии становится вероятным при обнаружении наряду с ДНК вируса в лаважной жидкости повышенного уровня антител к ЦМВ </w:t>
      </w:r>
      <w:r w:rsidRPr="00C15639">
        <w:rPr>
          <w:bCs/>
          <w:szCs w:val="24"/>
        </w:rPr>
        <w:t>в сыворотке (</w:t>
      </w:r>
      <w:r w:rsidRPr="00C15639">
        <w:rPr>
          <w:szCs w:val="24"/>
        </w:rPr>
        <w:t xml:space="preserve">в частности IgM), антигена вируса в лейкоцитах крови, а также при положительном результате теста в культуре диплоидных фибробластов человека, свидетельствующем о репликации вируса. Однако в условиях глубокой иммуносупрессии </w:t>
      </w:r>
      <w:r w:rsidRPr="00C15639">
        <w:rPr>
          <w:bCs/>
          <w:szCs w:val="24"/>
        </w:rPr>
        <w:t>серологический</w:t>
      </w:r>
      <w:r w:rsidRPr="00C15639">
        <w:rPr>
          <w:szCs w:val="24"/>
        </w:rPr>
        <w:t xml:space="preserve"> ответ на инфекцию может отсутствовать, цитомегаловирусная пневмония не обязательно сопровождается виремией, а для проведения теста в культуре фибробластов необходим слишком длительный срок (не менее 3 нед).</w:t>
      </w:r>
    </w:p>
    <w:p w14:paraId="529E1E3F" w14:textId="77777777" w:rsidR="003D210A" w:rsidRPr="00C15639" w:rsidRDefault="003D210A" w:rsidP="003D210A">
      <w:pPr>
        <w:ind w:firstLine="709"/>
        <w:rPr>
          <w:szCs w:val="24"/>
        </w:rPr>
      </w:pPr>
      <w:r w:rsidRPr="00C15639">
        <w:rPr>
          <w:szCs w:val="24"/>
        </w:rPr>
        <w:t>В связи с этим, и со скоротечным течением поражения легких при ЦМВ-инфекции у гематологических пациентов обнаружение ЦМВ в лаважной жидкости должно рассматриваться как проявление цитомегаловирусной пневмонии и служить показанием для начала противовирусной терапии. У больных с поражением легких без ОДН (за исключением пациентов после трансплантации костного мозга, которые также относятся к группе высокого риска) может быть предпринята попытка лечения других причин легочной патологии и лишь при неэффективности последней назначают противовирусную терапию. Исследование жидкости БАЛ является важным этапом диагностики поражения легких, однако несмотря на весь комплекс исследований, в 38% случаев выявить этиологию поражения легких не удается, и в этих случаях иногда приходится прибегать к биопсии легкого.</w:t>
      </w:r>
    </w:p>
    <w:p w14:paraId="16FB2EEE" w14:textId="77777777" w:rsidR="003D210A" w:rsidRPr="000538D0" w:rsidRDefault="003D210A" w:rsidP="003D210A">
      <w:pPr>
        <w:ind w:firstLine="709"/>
        <w:rPr>
          <w:b/>
          <w:bCs/>
        </w:rPr>
      </w:pPr>
      <w:r w:rsidRPr="000538D0">
        <w:rPr>
          <w:b/>
          <w:bCs/>
        </w:rPr>
        <w:t>Биопсия легкого</w:t>
      </w:r>
    </w:p>
    <w:p w14:paraId="3D442459" w14:textId="77777777" w:rsidR="003D210A" w:rsidRPr="00C15639" w:rsidRDefault="003D210A" w:rsidP="003D210A">
      <w:pPr>
        <w:ind w:firstLine="709"/>
        <w:rPr>
          <w:szCs w:val="24"/>
        </w:rPr>
      </w:pPr>
      <w:r w:rsidRPr="00C15639">
        <w:rPr>
          <w:szCs w:val="24"/>
        </w:rPr>
        <w:t>Если проведенное исследование не выявило причины поражения легких, диагноз может быть поставлен с помощью биопсии легкого. Результаты, полученные при биопсии, можно разделить на специфические, по которым устанавливается причина поражения легких, и неспецифические — изменения, отражающие различные стадии острого повреждения легких, по которым нельзя установить</w:t>
      </w:r>
      <w:r w:rsidRPr="00C15639">
        <w:rPr>
          <w:bCs/>
          <w:szCs w:val="24"/>
        </w:rPr>
        <w:t xml:space="preserve"> его</w:t>
      </w:r>
      <w:r w:rsidRPr="00C15639">
        <w:rPr>
          <w:b/>
          <w:bCs/>
          <w:szCs w:val="24"/>
        </w:rPr>
        <w:t xml:space="preserve"> </w:t>
      </w:r>
      <w:r w:rsidRPr="00C15639">
        <w:rPr>
          <w:szCs w:val="24"/>
        </w:rPr>
        <w:t>этиологию: воспалительные изменения, фиброз, гиалиноз, хроническая пневмония и т. д.</w:t>
      </w:r>
    </w:p>
    <w:p w14:paraId="7A333389" w14:textId="77777777" w:rsidR="003D210A" w:rsidRPr="00C15639" w:rsidRDefault="003D210A" w:rsidP="003D210A">
      <w:pPr>
        <w:ind w:firstLine="709"/>
        <w:rPr>
          <w:szCs w:val="24"/>
        </w:rPr>
      </w:pPr>
      <w:r w:rsidRPr="00C15639">
        <w:rPr>
          <w:szCs w:val="24"/>
        </w:rPr>
        <w:t>Может быть выполнена трансбронхиальная, торакоскопическая либо открытая биопсия легкого.</w:t>
      </w:r>
      <w:r w:rsidRPr="00C15639">
        <w:rPr>
          <w:b/>
          <w:bCs/>
          <w:szCs w:val="24"/>
        </w:rPr>
        <w:t xml:space="preserve"> </w:t>
      </w:r>
      <w:r w:rsidRPr="00C15639">
        <w:rPr>
          <w:szCs w:val="24"/>
        </w:rPr>
        <w:t>Трансбронхиальная биопсия — наименее инвазивный метод получения легочной ткани. Однако число больных в гематологической клинике, которым может быть выполнена трансбронхиальная биопсия, невелико из-за высокой частоты осложнений, возникающих при выполнении биопсии, наиболее серьезными из которых являются пневмоторакс и кровотечение. Трансбронхиальная биопсия противопоказана больным с тромбоцитопенией, ДВС-синдромом, легочной гипертензией, уремией, глубокой анемией и больным, находящимся на ИВЛ. Точность диагностики при трансбронхиальной биопсии составляет лишь 26%. Поэтому трансбронхиальная биопсия проводится лишь у ограниченного круга больных, и ее отрицательный результат не позволяет полностью исключить причину поражения легких.</w:t>
      </w:r>
    </w:p>
    <w:p w14:paraId="194CFA5F" w14:textId="77777777" w:rsidR="003D210A" w:rsidRPr="00C15639" w:rsidRDefault="003D210A" w:rsidP="003D210A">
      <w:pPr>
        <w:ind w:firstLine="709"/>
        <w:rPr>
          <w:szCs w:val="24"/>
        </w:rPr>
      </w:pPr>
      <w:r w:rsidRPr="00C15639">
        <w:rPr>
          <w:szCs w:val="24"/>
        </w:rPr>
        <w:t>Открытую биопсию легкого называют золотым стандартом диагностики легочной патологии. В последние годы в качестве альтернативы открытой биопсии применяется торакоскопическая биопсия легкого. Эта процедура значительно менее травматична, чем открытая биопсия, и в то же время позволяет получить ткань легкого под визуальным контролем. Торакоскопическую биопсию невозможно выполнить при массивном спаечном процессе в плевральной полости, ее проведению мешает также выраженная эмфизема. Для выполнения торакоскопической биопсии биоптируемые участки должны быть доступны.</w:t>
      </w:r>
    </w:p>
    <w:p w14:paraId="392DBBB2" w14:textId="77777777" w:rsidR="003D210A" w:rsidRPr="00C15639" w:rsidRDefault="003D210A" w:rsidP="003D210A">
      <w:pPr>
        <w:ind w:firstLine="709"/>
        <w:rPr>
          <w:szCs w:val="24"/>
        </w:rPr>
      </w:pPr>
      <w:r w:rsidRPr="00C15639">
        <w:rPr>
          <w:szCs w:val="24"/>
        </w:rPr>
        <w:t>Биопсия легкого позволяет получить дополнительную информацию об этиологии поражения легких в 73% случаев. Среди видов патологии, дополнительно выявляемых при биопсии легкого, — вирусные, пневмоцистные, грибковые пневмонии, интерстициальный легочный фиброз, опухоли.</w:t>
      </w:r>
    </w:p>
    <w:p w14:paraId="2A866372" w14:textId="77777777" w:rsidR="003D210A" w:rsidRPr="00C15639" w:rsidRDefault="003D210A" w:rsidP="003D210A">
      <w:pPr>
        <w:ind w:firstLine="709"/>
        <w:rPr>
          <w:szCs w:val="24"/>
        </w:rPr>
      </w:pPr>
      <w:r w:rsidRPr="00C15639">
        <w:rPr>
          <w:szCs w:val="24"/>
        </w:rPr>
        <w:t>После биопсии легкого модификация терапии проводится у 7—77% больных с гемобластозами, однако улучшение состояния в результате этого отмечалось лишь у 18—39% больных.</w:t>
      </w:r>
    </w:p>
    <w:p w14:paraId="00A1E6B5" w14:textId="77777777" w:rsidR="003D210A" w:rsidRPr="00C15639" w:rsidRDefault="003D210A" w:rsidP="003D210A">
      <w:pPr>
        <w:ind w:firstLine="709"/>
        <w:rPr>
          <w:szCs w:val="24"/>
        </w:rPr>
      </w:pPr>
      <w:r w:rsidRPr="00C15639">
        <w:rPr>
          <w:szCs w:val="24"/>
        </w:rPr>
        <w:t>Таким образом, биопсия легкого может решить диагностические проблемы лишь при соблюдении ряда условий:</w:t>
      </w:r>
    </w:p>
    <w:p w14:paraId="5E1C5C82" w14:textId="77777777" w:rsidR="003D210A" w:rsidRPr="00C15639" w:rsidRDefault="003D210A" w:rsidP="0091350E">
      <w:pPr>
        <w:pStyle w:val="aff"/>
        <w:numPr>
          <w:ilvl w:val="0"/>
          <w:numId w:val="95"/>
        </w:numPr>
        <w:contextualSpacing/>
        <w:rPr>
          <w:szCs w:val="24"/>
        </w:rPr>
      </w:pPr>
      <w:r w:rsidRPr="00C15639">
        <w:rPr>
          <w:szCs w:val="24"/>
        </w:rPr>
        <w:t>биопсия должна проводиться после выполнения всего комплекса менее инвазивных методов обследования, включая бронхоскопию с БАЛ, и попыток эмпирической терапии предполагаемой причины поражения легких;</w:t>
      </w:r>
    </w:p>
    <w:p w14:paraId="0115CE42" w14:textId="77777777" w:rsidR="003D210A" w:rsidRPr="00C15639" w:rsidRDefault="003D210A" w:rsidP="0091350E">
      <w:pPr>
        <w:pStyle w:val="aff"/>
        <w:numPr>
          <w:ilvl w:val="0"/>
          <w:numId w:val="95"/>
        </w:numPr>
        <w:contextualSpacing/>
        <w:rPr>
          <w:szCs w:val="24"/>
        </w:rPr>
      </w:pPr>
      <w:r w:rsidRPr="00C15639">
        <w:rPr>
          <w:szCs w:val="24"/>
        </w:rPr>
        <w:t xml:space="preserve">эмпирическая терапия не должна быть длительной, а биопсия легкого не должна рассматриваться как крайняя мера, выполняемая лишь при ухудшении состояния пациента, ее необходимо проводить до развития ОДН. </w:t>
      </w:r>
    </w:p>
    <w:p w14:paraId="3C966F8D" w14:textId="77777777" w:rsidR="003D210A" w:rsidRPr="00C15639" w:rsidRDefault="003D210A" w:rsidP="0091350E">
      <w:pPr>
        <w:pStyle w:val="aff"/>
        <w:numPr>
          <w:ilvl w:val="0"/>
          <w:numId w:val="95"/>
        </w:numPr>
        <w:contextualSpacing/>
        <w:rPr>
          <w:szCs w:val="24"/>
        </w:rPr>
      </w:pPr>
      <w:r w:rsidRPr="00C15639">
        <w:rPr>
          <w:szCs w:val="24"/>
        </w:rPr>
        <w:t>исследование полученного биопсийного материала должно включать в себя кроме цитологического и гистологического (при необходимости, иммуногистохимического) исследований, также поиск всех вероятных возбудителей микробиологическими, молекулярно-биологическими и др. методами иследований.</w:t>
      </w:r>
    </w:p>
    <w:p w14:paraId="72424931" w14:textId="77777777" w:rsidR="003D210A" w:rsidRPr="000538D0" w:rsidRDefault="003D210A" w:rsidP="003D210A">
      <w:pPr>
        <w:ind w:firstLine="709"/>
        <w:rPr>
          <w:b/>
          <w:bCs/>
        </w:rPr>
      </w:pPr>
      <w:r w:rsidRPr="000538D0">
        <w:rPr>
          <w:b/>
          <w:bCs/>
        </w:rPr>
        <w:t>Интерпретация результатов</w:t>
      </w:r>
    </w:p>
    <w:p w14:paraId="73FEC15A" w14:textId="2452748A" w:rsidR="003D210A" w:rsidRPr="00C15639" w:rsidRDefault="003D210A" w:rsidP="0091350E">
      <w:pPr>
        <w:pStyle w:val="aff"/>
        <w:numPr>
          <w:ilvl w:val="0"/>
          <w:numId w:val="97"/>
        </w:numPr>
      </w:pPr>
      <w:r w:rsidRPr="00C15639">
        <w:t>Бактериальная пневмония диагностируется при выявлении в количественном посеве лаважной жидкости микроорганизмов в количестве 10</w:t>
      </w:r>
      <w:r w:rsidRPr="00FB15B2">
        <w:rPr>
          <w:vertAlign w:val="superscript"/>
        </w:rPr>
        <w:t>3</w:t>
      </w:r>
      <w:r w:rsidRPr="00C15639">
        <w:t> КОЕ/мл или выше. Выявления 10</w:t>
      </w:r>
      <w:r w:rsidRPr="00FB15B2">
        <w:rPr>
          <w:vertAlign w:val="superscript"/>
        </w:rPr>
        <w:t>1</w:t>
      </w:r>
      <w:r w:rsidRPr="00C15639">
        <w:t>—10</w:t>
      </w:r>
      <w:r w:rsidRPr="00FB15B2">
        <w:rPr>
          <w:vertAlign w:val="superscript"/>
        </w:rPr>
        <w:t>2</w:t>
      </w:r>
      <w:r w:rsidRPr="00C15639">
        <w:t> КОЕ/мл недостаточно для подтверждения бактериального характера поражения легких, однако рост в любом количестве высокопатогенных грамположительных (</w:t>
      </w:r>
      <w:r w:rsidRPr="00AB4AAE">
        <w:t>S. aureus</w:t>
      </w:r>
      <w:r w:rsidRPr="00C15639">
        <w:t>) или грамотрицательных (</w:t>
      </w:r>
      <w:r w:rsidRPr="00AB4AAE">
        <w:t>P. aeruginosa, Acinetobacter spp., S. maltophilia</w:t>
      </w:r>
      <w:r w:rsidRPr="00C15639">
        <w:t xml:space="preserve"> и др.) микроорганизмов должен учитываться при назначении антибактериальных препаратов.</w:t>
      </w:r>
    </w:p>
    <w:p w14:paraId="0F4C90E9" w14:textId="77777777" w:rsidR="003D210A" w:rsidRPr="00C15639" w:rsidRDefault="003D210A" w:rsidP="00FB15B2">
      <w:pPr>
        <w:pStyle w:val="aff"/>
      </w:pPr>
      <w:r w:rsidRPr="00C15639">
        <w:t xml:space="preserve">Исследование мочи иммунохроматографическим методом позволяет выявить растворимый антиген </w:t>
      </w:r>
      <w:r w:rsidRPr="00AB4AAE">
        <w:t>Legionella pneumophila</w:t>
      </w:r>
      <w:r w:rsidRPr="00C15639">
        <w:t>, но только серогруппы 1. Ответ может быть получен уже в течение первых суток. Положительный результат является показанием к целенаправленной антибактериальной терапии легионеллеза («респираторные» фторхинолоны, макролиды). В то же время отрицательный результат исследования мочи не исключает легионеллеза, поскольку заболевание может быть вызвано другими серотипами возбудителя. Окончательно подтвердить или отвергнуть диагноз легионеллеза можно только бактериологически (выделение легионелл на селективном буферном угольно-дрожжевом агаре), для чего требуется не менее 5—7 дней.</w:t>
      </w:r>
    </w:p>
    <w:p w14:paraId="075FEDD3" w14:textId="77777777" w:rsidR="003D210A" w:rsidRPr="00C15639" w:rsidRDefault="003D210A" w:rsidP="00FB15B2">
      <w:pPr>
        <w:pStyle w:val="aff"/>
      </w:pPr>
      <w:r w:rsidRPr="00C15639">
        <w:t xml:space="preserve">До получения результатов исследования жидкости БАЛ при назначении антибиотиков могут учитываться результаты посевов со слизистой ротоглотки и прямой кишки. Выявление на слизистой ротоглотки у больных с пневмонией </w:t>
      </w:r>
      <w:r w:rsidRPr="00AB4AAE">
        <w:t>A. baumannii</w:t>
      </w:r>
      <w:r w:rsidRPr="00C15639">
        <w:t xml:space="preserve"> или </w:t>
      </w:r>
      <w:r w:rsidRPr="00AB4AAE">
        <w:t>P. aeruginosa</w:t>
      </w:r>
      <w:r w:rsidRPr="00C15639">
        <w:t xml:space="preserve"> с большой долей вероятности указывает на то, что именно эти патогены являются возбудителями пневмонии.</w:t>
      </w:r>
    </w:p>
    <w:p w14:paraId="06336D74" w14:textId="2450BB12" w:rsidR="003D210A" w:rsidRPr="00C15639" w:rsidRDefault="003D210A" w:rsidP="0091350E">
      <w:pPr>
        <w:pStyle w:val="aff"/>
        <w:numPr>
          <w:ilvl w:val="0"/>
          <w:numId w:val="97"/>
        </w:numPr>
      </w:pPr>
      <w:r w:rsidRPr="00C15639">
        <w:t>Аспергиллез подтверждается выявлением в лаважной жидкости мицелия грибов (при микроскопии) и повышенного уровня индекса оптической плотности галактоманнана (выше 1). В то же время повышение уровня индекса оптической плотности в лаважной жидкости, даже весьма значительное (в ряде случаев до 6—7), может быть ложным. Диагноз аспергиллеза становится более достоверным при соответствующей рентгенологической картине, одновременном выявлении повышенного (выше 0,5) уровня индекса оптической плотности галактоманнана в крови, выявлении мицелия грибов при микроскопии лаважной жидкости и росте аспергиллов при бактериологическом исследовании.</w:t>
      </w:r>
    </w:p>
    <w:p w14:paraId="7DFABEA6" w14:textId="7E5CE17F" w:rsidR="003D210A" w:rsidRPr="00C15639" w:rsidRDefault="003D210A" w:rsidP="0091350E">
      <w:pPr>
        <w:pStyle w:val="aff"/>
        <w:numPr>
          <w:ilvl w:val="0"/>
          <w:numId w:val="97"/>
        </w:numPr>
      </w:pPr>
      <w:r w:rsidRPr="00C15639">
        <w:t>Туберкулез легких может быть диагностирован при выявлении микобактерий в лаважной жидкости при окраске ее по Цилю—Нильсену. При выявлении ДНК микобактерий методом ПЦР диагноз туберкулеза представляется более вероятным при наличии соответствующей клинической и рентгенологической картина и неэффективности терапии антибиотиками широкого спектра действия.</w:t>
      </w:r>
    </w:p>
    <w:p w14:paraId="1770D966" w14:textId="6E145E36" w:rsidR="003D210A" w:rsidRPr="00C15639" w:rsidRDefault="003D210A" w:rsidP="0091350E">
      <w:pPr>
        <w:pStyle w:val="aff"/>
        <w:numPr>
          <w:ilvl w:val="0"/>
          <w:numId w:val="97"/>
        </w:numPr>
      </w:pPr>
      <w:r w:rsidRPr="00C15639">
        <w:t>Пневмоцистная пневмония диагностируется при выявлении в лаважной жидкости или биоптате легкого пневмоцист одним из следующих методов: реакция иммунофлюоресценции; окраска по Романовскому—Гимзе, толуидиновым синим, гематоксилин-эозином или по Папаниколау; импрегнация метенамин-серебряным нитратом по Гомори или серебром по Грокотту. Обнаружение или отсутствие антипневмоцистных антител в сыворотке не является критерием диагноза.</w:t>
      </w:r>
    </w:p>
    <w:p w14:paraId="5F50D187" w14:textId="49CC3633" w:rsidR="003D210A" w:rsidRPr="00C15639" w:rsidRDefault="003D210A" w:rsidP="0091350E">
      <w:pPr>
        <w:pStyle w:val="aff"/>
        <w:numPr>
          <w:ilvl w:val="0"/>
          <w:numId w:val="97"/>
        </w:numPr>
      </w:pPr>
      <w:r w:rsidRPr="00C15639">
        <w:t>Диагноз цитомегаловирусной пневмонии представляется достоверным в следующих случаях: а) при наличии клинической картины интерстициальной пневмонии, развившейся у пациентов, входящих в группу риска (пациенты, перенесшие трансплантацию костного мозга, длительно получавшие иммуносупрессивную терапию, пациенты лимфопролиферативными заболеваниями и т. д.); б) при выявлении высокого титра антител к ЦМВ, относящихся к иммуноглобулинам класса М; в) при выявлении в лаважной жидкости или легочном биоптате ЦМВ; г) при положительном результате теста в культуре диплоидных фибробластов человека. В сомнительных случаях, когда в биологическом материале обнаруживается только ДНК или антиген вируса, принятие решения о начале противовирусной терапии должно исходить из конкретной клинической ситуации. Выявление ЦМВ в лаважной жидкости или биоптате легкого у пациентов с ОДН и перенесших трансплантацию костного мозга или интенсивную иммуносупрессивную и химиотерапию должно рассматриваться как проявление цитомегаловирусной пневмонии и являться показанием к началу противовирусной терапии. В остальных группах пациентов может быть предпринята попытка лечения других причин поражения легких и лишь при его неэффективности может быть назначена противовирусная терапия.</w:t>
      </w:r>
    </w:p>
    <w:p w14:paraId="3A832014" w14:textId="3A482A87" w:rsidR="003D210A" w:rsidRPr="00C15639" w:rsidRDefault="003D210A" w:rsidP="0091350E">
      <w:pPr>
        <w:pStyle w:val="aff"/>
        <w:numPr>
          <w:ilvl w:val="0"/>
          <w:numId w:val="97"/>
        </w:numPr>
      </w:pPr>
      <w:r w:rsidRPr="00C15639">
        <w:t>Выявление опухолевых клеток в лаважной жидкости свидетельствует о поражении легких опухолью при условии, что эти клетки отсутствуют в периферической крови. При одновременном выявлении опухолевых клеток в периферической крови диагноз носит вероятностный характер, поскольку возможно их попадание в лаважную жидкость из крови. Поражение легких при гематологических заболеваниях может быть подтверждено исследованием биоптата легкого.</w:t>
      </w:r>
    </w:p>
    <w:p w14:paraId="537278A7" w14:textId="08906FEA" w:rsidR="003D210A" w:rsidRPr="00C15639" w:rsidRDefault="003D210A" w:rsidP="0091350E">
      <w:pPr>
        <w:pStyle w:val="aff"/>
        <w:numPr>
          <w:ilvl w:val="0"/>
          <w:numId w:val="97"/>
        </w:numPr>
      </w:pPr>
      <w:r w:rsidRPr="00C15639">
        <w:t>При неинфекционных поражениях легких (интерстициальном легочном фиброзе, облитерирующем бронхиолите, легочных формах реакции «трансплантат против хозяина» и т. д.) для подтверждения диагноза требуются биопсия легкого и гистологическое исследование.</w:t>
      </w:r>
    </w:p>
    <w:p w14:paraId="698B9341" w14:textId="77777777" w:rsidR="003D210A" w:rsidRPr="000538D0" w:rsidRDefault="003D210A" w:rsidP="003D210A">
      <w:pPr>
        <w:ind w:firstLine="709"/>
        <w:rPr>
          <w:b/>
          <w:bCs/>
        </w:rPr>
      </w:pPr>
      <w:r w:rsidRPr="000538D0">
        <w:rPr>
          <w:b/>
          <w:bCs/>
        </w:rPr>
        <w:t>Лечение острых паренхиматозных повреждений легких</w:t>
      </w:r>
    </w:p>
    <w:p w14:paraId="2A9D16BB" w14:textId="77777777" w:rsidR="003D210A" w:rsidRPr="00C15639" w:rsidRDefault="003D210A" w:rsidP="003D210A">
      <w:pPr>
        <w:ind w:firstLine="709"/>
        <w:rPr>
          <w:szCs w:val="24"/>
        </w:rPr>
      </w:pPr>
      <w:r w:rsidRPr="00C15639">
        <w:rPr>
          <w:szCs w:val="24"/>
        </w:rPr>
        <w:t>Лечение ОДН заключается в решении двух тесно взаимосвязанных задач: устранение повреждающего фактора и компенсация ОДН. Первая задача решается посредством этиотропной терапии, вторая — с помощью оксигенотерапии или респираторной поддержки.</w:t>
      </w:r>
    </w:p>
    <w:p w14:paraId="677DCFE9" w14:textId="77777777" w:rsidR="003D210A" w:rsidRPr="00C15639" w:rsidRDefault="003D210A" w:rsidP="003D210A">
      <w:pPr>
        <w:ind w:firstLine="709"/>
        <w:rPr>
          <w:szCs w:val="24"/>
        </w:rPr>
      </w:pPr>
      <w:r w:rsidRPr="00C15639">
        <w:rPr>
          <w:szCs w:val="24"/>
        </w:rPr>
        <w:t xml:space="preserve">Антибактериальная терапия пневмоний основывается на выявленном возбудителе и его чувствительности к антибиотикам. При развитии </w:t>
      </w:r>
      <w:r w:rsidRPr="00C15639">
        <w:rPr>
          <w:b/>
          <w:bCs/>
          <w:szCs w:val="24"/>
        </w:rPr>
        <w:t>ретиноидного синдрома</w:t>
      </w:r>
      <w:r w:rsidRPr="00C15639">
        <w:rPr>
          <w:szCs w:val="24"/>
        </w:rPr>
        <w:t xml:space="preserve"> назначают дексаметазон по схеме лечения ретиноидного синдрома. </w:t>
      </w:r>
      <w:r w:rsidRPr="00C15639">
        <w:rPr>
          <w:b/>
          <w:bCs/>
          <w:szCs w:val="24"/>
        </w:rPr>
        <w:t>Специфические опухолевые поражения легких у пациентов с гемобластозами</w:t>
      </w:r>
      <w:r w:rsidRPr="00C15639">
        <w:rPr>
          <w:szCs w:val="24"/>
        </w:rPr>
        <w:t xml:space="preserve"> являются показанием к незамедлительному началу противоопухолевой терапии. При ОДН, вызванной </w:t>
      </w:r>
      <w:r w:rsidRPr="00C15639">
        <w:rPr>
          <w:b/>
          <w:bCs/>
          <w:szCs w:val="24"/>
        </w:rPr>
        <w:t>цитолитическим синдромом,</w:t>
      </w:r>
      <w:r w:rsidRPr="00C15639">
        <w:rPr>
          <w:szCs w:val="24"/>
        </w:rPr>
        <w:t xml:space="preserve"> продолжают начатую ранее химиотерапию и одновременно принимают меры для профилактики других осложнений, вызываемых цитолизом (гиперурикемии, острой почечной недостаточности и т. д.): водная нагрузка, подщелачивание, назначение аллопуринола, проведение плазмафереза, цитафереза. Разрешение патологии легких наблюдается, как правило, одновременно со снижением количества лейкоцитов крови и развитием миелотоксического агранулоцитоза. При интерстициальном легочном фиброзе и облитерирующем бронхиолите назначают глюкокортикоиды, усиливают иммуносупрессивную терапию, если данное осложнение возникло при обострении реакции «трансплантат против хозяина».</w:t>
      </w:r>
    </w:p>
    <w:p w14:paraId="609DFE86" w14:textId="77777777" w:rsidR="003D210A" w:rsidRPr="000538D0" w:rsidRDefault="003D210A" w:rsidP="003D210A">
      <w:pPr>
        <w:ind w:firstLine="709"/>
        <w:rPr>
          <w:b/>
          <w:bCs/>
        </w:rPr>
      </w:pPr>
      <w:r w:rsidRPr="000538D0">
        <w:rPr>
          <w:b/>
          <w:bCs/>
        </w:rPr>
        <w:t>Респираторная терапия острой дыхательной недостаточности</w:t>
      </w:r>
    </w:p>
    <w:p w14:paraId="283A5590" w14:textId="77777777" w:rsidR="003D210A" w:rsidRPr="00C15639" w:rsidRDefault="003D210A" w:rsidP="003D210A">
      <w:pPr>
        <w:ind w:firstLine="709"/>
        <w:rPr>
          <w:szCs w:val="24"/>
        </w:rPr>
      </w:pPr>
      <w:r w:rsidRPr="00C15639">
        <w:rPr>
          <w:szCs w:val="24"/>
        </w:rPr>
        <w:t>Стратегическим принципом терапии ОДН при заболеваниях системы крови является этапность лечения: оксигенотерапия, неинвазивная вентиляция легких, ИВЛ.</w:t>
      </w:r>
    </w:p>
    <w:p w14:paraId="60F14AF4" w14:textId="77777777" w:rsidR="003D210A" w:rsidRPr="00C15639" w:rsidRDefault="003D210A" w:rsidP="003D210A">
      <w:pPr>
        <w:ind w:firstLine="709"/>
        <w:rPr>
          <w:szCs w:val="24"/>
        </w:rPr>
      </w:pPr>
      <w:r w:rsidRPr="00C15639">
        <w:rPr>
          <w:szCs w:val="24"/>
        </w:rPr>
        <w:t>Лечение ОДН целесообразно начинать с оксигенотерапии через носовой кататер либо маску. При ее неэффективности начинают респираторную поддержку с помощью респиратора для неинвазивной вентиляции легких и лишь в случае неэффективности последней переводят больного на ИВЛ.</w:t>
      </w:r>
    </w:p>
    <w:p w14:paraId="23D56416" w14:textId="77777777" w:rsidR="003D210A" w:rsidRPr="00C15639" w:rsidRDefault="003D210A" w:rsidP="003D210A">
      <w:pPr>
        <w:pStyle w:val="4"/>
        <w:numPr>
          <w:ilvl w:val="12"/>
          <w:numId w:val="0"/>
        </w:numPr>
        <w:spacing w:before="0" w:after="0"/>
        <w:ind w:firstLine="709"/>
        <w:rPr>
          <w:rFonts w:ascii="Times New Roman" w:hAnsi="Times New Roman" w:cs="Times New Roman"/>
          <w:i/>
          <w:color w:val="000000" w:themeColor="text1"/>
          <w:szCs w:val="24"/>
        </w:rPr>
      </w:pPr>
      <w:r w:rsidRPr="00C15639">
        <w:rPr>
          <w:rFonts w:ascii="Times New Roman" w:hAnsi="Times New Roman" w:cs="Times New Roman"/>
          <w:color w:val="000000" w:themeColor="text1"/>
          <w:szCs w:val="24"/>
        </w:rPr>
        <w:t>Неинвазивная вентиляция легких в лечении острой дыхательной недостаточности</w:t>
      </w:r>
    </w:p>
    <w:p w14:paraId="4C6D539E" w14:textId="77777777" w:rsidR="003D210A" w:rsidRPr="00C15639" w:rsidRDefault="003D210A" w:rsidP="003D210A">
      <w:pPr>
        <w:ind w:firstLine="709"/>
        <w:rPr>
          <w:szCs w:val="24"/>
        </w:rPr>
      </w:pPr>
      <w:r w:rsidRPr="00C15639">
        <w:rPr>
          <w:szCs w:val="24"/>
        </w:rPr>
        <w:t>Неинвазивную вентиляцию легких необходимо рассматривать как первый этап респираторной поддержки при ОДН у гематологических пациентов. Показанием к неинвазивной вентиляции является гипоксемия (Р</w:t>
      </w:r>
      <w:r w:rsidRPr="00C15639">
        <w:rPr>
          <w:szCs w:val="24"/>
          <w:vertAlign w:val="subscript"/>
        </w:rPr>
        <w:t>а</w:t>
      </w:r>
      <w:r w:rsidRPr="00C15639">
        <w:rPr>
          <w:szCs w:val="24"/>
        </w:rPr>
        <w:t>О</w:t>
      </w:r>
      <w:r w:rsidRPr="00C15639">
        <w:rPr>
          <w:szCs w:val="24"/>
          <w:vertAlign w:val="subscript"/>
        </w:rPr>
        <w:t>2</w:t>
      </w:r>
      <w:r w:rsidRPr="00C15639">
        <w:rPr>
          <w:szCs w:val="24"/>
        </w:rPr>
        <w:t xml:space="preserve"> &lt; 60 мм рт. ст.), сохраняющаяся при ингаляции дыхательной смеси с </w:t>
      </w:r>
      <w:r w:rsidRPr="00C15639">
        <w:rPr>
          <w:szCs w:val="24"/>
          <w:lang w:val="en-US"/>
        </w:rPr>
        <w:t>F</w:t>
      </w:r>
      <w:r w:rsidRPr="00C15639">
        <w:rPr>
          <w:szCs w:val="24"/>
          <w:vertAlign w:val="subscript"/>
          <w:lang w:val="en-US"/>
        </w:rPr>
        <w:t>I</w:t>
      </w:r>
      <w:r w:rsidRPr="00C15639">
        <w:rPr>
          <w:szCs w:val="24"/>
          <w:lang w:val="en-US"/>
        </w:rPr>
        <w:t>O</w:t>
      </w:r>
      <w:r w:rsidRPr="00C15639">
        <w:rPr>
          <w:szCs w:val="24"/>
          <w:vertAlign w:val="subscript"/>
        </w:rPr>
        <w:t>2</w:t>
      </w:r>
      <w:r w:rsidRPr="00C15639">
        <w:rPr>
          <w:szCs w:val="24"/>
        </w:rPr>
        <w:t xml:space="preserve"> более 50%. По сравнению с оксигенотерапией, проводимой с помощью маски Вентури, неинвазивная вентиляция — более эффективный метод респираторной поддержки. Этот метод обеспечивает рекрутирование неаэрируемых альвеол и раздувание зон микроателектазов, в результате чего улучшаются вентиляционно-перфузионные отношения, повышается легочный комплайнс, уменьшается работа дыхательных мышц.</w:t>
      </w:r>
    </w:p>
    <w:p w14:paraId="192DB402" w14:textId="77777777" w:rsidR="003D210A" w:rsidRPr="00C15639" w:rsidRDefault="003D210A" w:rsidP="003D210A">
      <w:pPr>
        <w:ind w:firstLine="709"/>
        <w:rPr>
          <w:szCs w:val="24"/>
        </w:rPr>
      </w:pPr>
      <w:r w:rsidRPr="00C15639">
        <w:rPr>
          <w:szCs w:val="24"/>
        </w:rPr>
        <w:t>Неинвазивная вентиляции легких позволяет избежать интубации трахеи у гематологических пациентов и ОДН в 41% случаев. Именно с использованием неинвазивной вентиляции легких связаны успехи респираторной поддержки у онкогематологических пациентов.</w:t>
      </w:r>
    </w:p>
    <w:p w14:paraId="095F81E1" w14:textId="77777777" w:rsidR="003D210A" w:rsidRPr="00C15639" w:rsidRDefault="003D210A" w:rsidP="003D210A">
      <w:pPr>
        <w:ind w:firstLine="709"/>
        <w:rPr>
          <w:szCs w:val="24"/>
        </w:rPr>
      </w:pPr>
      <w:r w:rsidRPr="00C15639">
        <w:rPr>
          <w:szCs w:val="24"/>
        </w:rPr>
        <w:t>К побочным эффектам неинвазивной вентиляции легких относятся мацерация кожи, гематомы на переносице, а при тромбоцитопении — также носовые кровотечения и геморрагический стоматит. Основными причинами неэффективности неинвазивной вентиляции у этих больных являются нарастание тяжести ОДН и нарушения сознания различного генеза (вследствие энцефалита, нейролейкемии, кровоизлияния в мозг).</w:t>
      </w:r>
    </w:p>
    <w:p w14:paraId="30063D5A" w14:textId="77777777" w:rsidR="003D210A" w:rsidRPr="00C15639" w:rsidRDefault="003D210A" w:rsidP="003D210A">
      <w:pPr>
        <w:pStyle w:val="4"/>
        <w:numPr>
          <w:ilvl w:val="12"/>
          <w:numId w:val="0"/>
        </w:numPr>
        <w:spacing w:before="0" w:after="0"/>
        <w:ind w:firstLine="709"/>
        <w:rPr>
          <w:rFonts w:ascii="Times New Roman" w:hAnsi="Times New Roman" w:cs="Times New Roman"/>
          <w:i/>
          <w:color w:val="000000" w:themeColor="text1"/>
          <w:szCs w:val="24"/>
        </w:rPr>
      </w:pPr>
      <w:r w:rsidRPr="00C15639">
        <w:rPr>
          <w:rFonts w:ascii="Times New Roman" w:hAnsi="Times New Roman" w:cs="Times New Roman"/>
          <w:color w:val="000000" w:themeColor="text1"/>
          <w:szCs w:val="24"/>
        </w:rPr>
        <w:t>Искусственная вентиляция легких в лечении острой дыхательной недостаточности</w:t>
      </w:r>
    </w:p>
    <w:p w14:paraId="7A6C6A67" w14:textId="77777777" w:rsidR="003D210A" w:rsidRPr="00C15639" w:rsidRDefault="003D210A" w:rsidP="003D210A">
      <w:pPr>
        <w:ind w:firstLine="709"/>
        <w:rPr>
          <w:szCs w:val="24"/>
        </w:rPr>
      </w:pPr>
      <w:r w:rsidRPr="00C15639">
        <w:rPr>
          <w:szCs w:val="24"/>
        </w:rPr>
        <w:t>ИВЛ была и остается основным методом лечения тяжелой ОДН при заболеваниях системы крови. Проведение ИВЛ позволяет не только компенсировать ОДН у большинства больных, но и выполнять ряд лечебных и диагностических процедур (химиотерапия, бронхоскопия с БАЛ, биопсия легкого и т. д.).</w:t>
      </w:r>
    </w:p>
    <w:p w14:paraId="2C3AE0EA" w14:textId="77777777" w:rsidR="003D210A" w:rsidRPr="00C15639" w:rsidRDefault="003D210A" w:rsidP="003D210A">
      <w:pPr>
        <w:ind w:firstLine="709"/>
        <w:rPr>
          <w:szCs w:val="24"/>
        </w:rPr>
      </w:pPr>
      <w:r w:rsidRPr="00C15639">
        <w:rPr>
          <w:szCs w:val="24"/>
        </w:rPr>
        <w:t>Первым шагом при проведении ИВЛ является присоединение респиратора к дыхательным путям пациента, то есть обеспечение эндотрахеального доступа. Основные проблемы, возникающие при этом у пациентов с заболеваниями системы крови, связаны с нарушением проходимости дыхательных путей вследствие геморрагического синдрома, воспалительных изменений и отека мягких тканей или сдавлении дыхательных путей опухолевым конгломератом. В этой связи следует подчеркнуть важность выбора рациональной тактики при заведомо сложной интубации. При показаниях к экстренному переводу этих больных на ИВЛ выполняется оротрахеальная интубация. При невозможности по каким-либо причинам выполнить прямую ларингоскопию проводится интубация по фибробронхоскопу под местной анестезией при сохраненном сознании. При интубации этих больных в условиях общей анестезии с миорелаксацией велика опасность того, что не удастся добиться адекватной вентиляции с помощью маски и провести прямую ларингоскопию. При невозможности выполнить прямую ларингоскопию либо интубацию по фибробронхоскопу может быть произведена трахеостомия под местной анестезией.</w:t>
      </w:r>
    </w:p>
    <w:p w14:paraId="69D32F45" w14:textId="77777777" w:rsidR="003D210A" w:rsidRPr="00C15639" w:rsidRDefault="003D210A" w:rsidP="003D210A">
      <w:pPr>
        <w:ind w:firstLine="709"/>
        <w:rPr>
          <w:szCs w:val="24"/>
        </w:rPr>
      </w:pPr>
      <w:r w:rsidRPr="00C15639">
        <w:rPr>
          <w:szCs w:val="24"/>
        </w:rPr>
        <w:t>После интубации трахеи лишь у 15% гематологических пациентов не обнаруживается повреждений в дыхательных путях. Геморрагический трахеобронхит, кровоизлияния в слизистую и мягкие ткани трахеи и бронхов являются наиболее частыми клиническими и морфологическими формами поражения трахеобронхиального дерева: кровоизлияния в слизистую трахеи и бронхов встречаются у 67% пациентов. Тяжесть геморрагического трахеобронхита определяется не столько общим геморрагическим синдромом, сколько выраженностью местного воспаления в трахеобронхиальном дереве. В этих условиях оптимальным способом присоединения респиратора к дыхательным путям пациента является ранняя трахеостомия, выполняемая в течение первых трех суток после перевода больного на ИВЛ.</w:t>
      </w:r>
    </w:p>
    <w:p w14:paraId="65C96818" w14:textId="77777777" w:rsidR="003D210A" w:rsidRPr="00C15639" w:rsidRDefault="003D210A" w:rsidP="003D210A">
      <w:pPr>
        <w:ind w:firstLine="709"/>
        <w:rPr>
          <w:szCs w:val="24"/>
        </w:rPr>
      </w:pPr>
      <w:r w:rsidRPr="00C15639">
        <w:rPr>
          <w:szCs w:val="24"/>
        </w:rPr>
        <w:t xml:space="preserve">Трахеостомия — оптимальный метод обеспечения проходимости дыхательных путей при длительной ИВЛ. По сравнению с трансларингеальной интубацией она </w:t>
      </w:r>
      <w:r w:rsidRPr="00C15639">
        <w:rPr>
          <w:bCs/>
          <w:szCs w:val="24"/>
        </w:rPr>
        <w:t>лучше переносится больными</w:t>
      </w:r>
      <w:r w:rsidRPr="00C15639">
        <w:rPr>
          <w:szCs w:val="24"/>
        </w:rPr>
        <w:t>, позволяет уменьшить сопротивление дыхательных путей и объем мертвого пространства, облегчить туалет дыхательных путей, избежать травмы голосовых связок.</w:t>
      </w:r>
    </w:p>
    <w:p w14:paraId="7AAB4E7C" w14:textId="77777777" w:rsidR="003D210A" w:rsidRPr="00C15639" w:rsidRDefault="003D210A" w:rsidP="003D210A">
      <w:pPr>
        <w:ind w:firstLine="709"/>
        <w:rPr>
          <w:szCs w:val="24"/>
        </w:rPr>
      </w:pPr>
      <w:r w:rsidRPr="00C15639">
        <w:rPr>
          <w:szCs w:val="24"/>
        </w:rPr>
        <w:t>Обязательное условие респираторной терапии ОДН, особенно при наличии геморрагического синдрома — ежедневные санационные бронхоскопии.</w:t>
      </w:r>
    </w:p>
    <w:p w14:paraId="215C2112" w14:textId="77777777" w:rsidR="003D210A" w:rsidRPr="00C15639" w:rsidRDefault="003D210A" w:rsidP="003D210A">
      <w:pPr>
        <w:ind w:firstLine="709"/>
        <w:rPr>
          <w:szCs w:val="24"/>
        </w:rPr>
      </w:pPr>
      <w:r w:rsidRPr="00C15639">
        <w:rPr>
          <w:szCs w:val="24"/>
        </w:rPr>
        <w:t>Прогноз при ОДН гематологических пациентов зависит от характера поражения легких и выраженности нарушения их функции. Общая выживаемость больных с ОДН в палате интенсивной терапии составляет 51%, но она существенно различается в зависимости от выраженности ОДН и вида респираторной поддержки. Выживаемость пациентов, которым проводилась только оксигенотерапия, составляет 82%. Относительно высокая выживаемость (41%) достигнута среди пациентов, которым проводилась эффективная респираторная поддержка с помощью неинвазивной вентиляции легких. В то же время, несмотря на применение современных респираторов, пока не удалось добиться увеличения выживаемости пациентовх, которым проводилась ИВЛ (в настоящее время этот показатель не превышает 15%).</w:t>
      </w:r>
    </w:p>
    <w:p w14:paraId="666D6E54" w14:textId="77777777" w:rsidR="003D210A" w:rsidRPr="00C15639" w:rsidRDefault="003D210A" w:rsidP="003D210A">
      <w:pPr>
        <w:ind w:firstLine="709"/>
        <w:rPr>
          <w:szCs w:val="24"/>
        </w:rPr>
      </w:pPr>
      <w:r w:rsidRPr="00C15639">
        <w:rPr>
          <w:szCs w:val="24"/>
        </w:rPr>
        <w:t xml:space="preserve">Помимо тяжести поражения легких неблагоприятными прогностическими факторами при ОДН у больных с гемобластозами являются: а) длительно сохраняющаяся нейтропения; б) поражение нескольких органов и систем; в) резистентность гемобластоза к химиотерапии; г) сочетание ОДН с септическим шоком, ОПН. </w:t>
      </w:r>
    </w:p>
    <w:p w14:paraId="0F2E6E9A" w14:textId="77777777" w:rsidR="003D210A" w:rsidRPr="00C15639" w:rsidRDefault="003D210A" w:rsidP="003D210A">
      <w:pPr>
        <w:ind w:firstLine="709"/>
        <w:rPr>
          <w:szCs w:val="24"/>
        </w:rPr>
      </w:pPr>
      <w:r w:rsidRPr="00C15639">
        <w:rPr>
          <w:szCs w:val="24"/>
        </w:rPr>
        <w:t>Исход лечения ОДН во многом зависит от этиотропной терапии: при эмпирической терапии он будет хуже, чем при этиотропной, а выживаемость больных даже при одинаковых режимах ИВЛ будет отличаться в зависимости от поражения легких (бактериальные, вирусные и т. д.). Так, у гематологических пациентов смертность при ОДН установленной этиологии почти в два раза ниже, чем при ОДН невыясненной этиологии.</w:t>
      </w:r>
    </w:p>
    <w:p w14:paraId="0355B482" w14:textId="77777777" w:rsidR="003D210A" w:rsidRDefault="003D210A" w:rsidP="003D210A">
      <w:pPr>
        <w:ind w:firstLine="709"/>
        <w:rPr>
          <w:szCs w:val="24"/>
        </w:rPr>
      </w:pPr>
      <w:r w:rsidRPr="00C15639">
        <w:rPr>
          <w:szCs w:val="24"/>
        </w:rPr>
        <w:t>При интерстициальном легочном фиброзе и опухолевых поражениях легких прогноз чаще неблагоприятный, и значительно лучше — при пневмониях, ретиноидном и цитолитическом синдромах. Улучшить результаты интенсивной терапии при поражениях легких позволяют точная диагностика, переход от эмпирической к этиотропной терапии, перевод больного в палату интенсивной терапии, мониторинг сердечной, почечной и дыхательной функций, протезирование нарушенных функций органов и систем (ИВЛ, гемодиализ, инотропная терапия и т. д.) – рис.1.</w:t>
      </w:r>
    </w:p>
    <w:p w14:paraId="09FA994D" w14:textId="77777777" w:rsidR="003D210A" w:rsidRDefault="003D210A" w:rsidP="003D210A">
      <w:pPr>
        <w:ind w:firstLine="709"/>
        <w:rPr>
          <w:szCs w:val="24"/>
        </w:rPr>
        <w:sectPr w:rsidR="003D210A">
          <w:pgSz w:w="11906" w:h="16838"/>
          <w:pgMar w:top="1134" w:right="850" w:bottom="1134" w:left="1701" w:header="708" w:footer="708" w:gutter="0"/>
          <w:cols w:space="708"/>
          <w:docGrid w:linePitch="360"/>
        </w:sectPr>
      </w:pPr>
    </w:p>
    <w:p w14:paraId="6DD7C9AE" w14:textId="77777777" w:rsidR="003D210A" w:rsidRPr="00C15639" w:rsidRDefault="003D210A" w:rsidP="003D210A">
      <w:pPr>
        <w:ind w:firstLine="709"/>
        <w:rPr>
          <w:szCs w:val="24"/>
        </w:rPr>
      </w:pPr>
    </w:p>
    <w:p w14:paraId="0A610695" w14:textId="77777777" w:rsidR="003D210A" w:rsidRPr="00C15639" w:rsidRDefault="003D210A" w:rsidP="003D210A">
      <w:pPr>
        <w:pStyle w:val="afffff0"/>
        <w:spacing w:after="0"/>
        <w:rPr>
          <w:i w:val="0"/>
          <w:lang w:val="ru-RU"/>
        </w:rPr>
      </w:pPr>
    </w:p>
    <w:p w14:paraId="47464B09" w14:textId="77777777" w:rsidR="003D210A" w:rsidRPr="00C15639" w:rsidRDefault="003D210A" w:rsidP="003D210A">
      <w:pPr>
        <w:rPr>
          <w:szCs w:val="24"/>
        </w:rPr>
      </w:pPr>
      <w:r w:rsidRPr="00C15639">
        <w:rPr>
          <w:bCs/>
          <w:szCs w:val="24"/>
        </w:rPr>
        <w:t>Рисунок 1.</w:t>
      </w:r>
      <w:r w:rsidRPr="00C15639">
        <w:rPr>
          <w:szCs w:val="24"/>
        </w:rPr>
        <w:t xml:space="preserve"> Протокол обследования больных с ОДН. </w:t>
      </w:r>
    </w:p>
    <w:p w14:paraId="6EB967FE" w14:textId="77777777" w:rsidR="003D210A" w:rsidRPr="00C15639" w:rsidRDefault="003D210A" w:rsidP="003D210A">
      <w:pPr>
        <w:pStyle w:val="afffff0"/>
        <w:spacing w:after="0"/>
        <w:rPr>
          <w:i w:val="0"/>
          <w:lang w:val="ru-RU"/>
        </w:rPr>
      </w:pPr>
    </w:p>
    <w:tbl>
      <w:tblPr>
        <w:tblW w:w="20037" w:type="dxa"/>
        <w:tblInd w:w="-1" w:type="dxa"/>
        <w:tblLayout w:type="fixed"/>
        <w:tblCellMar>
          <w:left w:w="70" w:type="dxa"/>
          <w:right w:w="70" w:type="dxa"/>
        </w:tblCellMar>
        <w:tblLook w:val="0000" w:firstRow="0" w:lastRow="0" w:firstColumn="0" w:lastColumn="0" w:noHBand="0" w:noVBand="0"/>
      </w:tblPr>
      <w:tblGrid>
        <w:gridCol w:w="8"/>
        <w:gridCol w:w="496"/>
        <w:gridCol w:w="140"/>
        <w:gridCol w:w="134"/>
        <w:gridCol w:w="286"/>
        <w:gridCol w:w="120"/>
        <w:gridCol w:w="17"/>
        <w:gridCol w:w="146"/>
        <w:gridCol w:w="146"/>
        <w:gridCol w:w="134"/>
        <w:gridCol w:w="8"/>
        <w:gridCol w:w="141"/>
        <w:gridCol w:w="276"/>
        <w:gridCol w:w="429"/>
        <w:gridCol w:w="8"/>
        <w:gridCol w:w="130"/>
        <w:gridCol w:w="146"/>
        <w:gridCol w:w="279"/>
        <w:gridCol w:w="8"/>
        <w:gridCol w:w="134"/>
        <w:gridCol w:w="4"/>
        <w:gridCol w:w="138"/>
        <w:gridCol w:w="8"/>
        <w:gridCol w:w="191"/>
        <w:gridCol w:w="374"/>
        <w:gridCol w:w="272"/>
        <w:gridCol w:w="289"/>
        <w:gridCol w:w="410"/>
        <w:gridCol w:w="2"/>
        <w:gridCol w:w="22"/>
        <w:gridCol w:w="103"/>
        <w:gridCol w:w="144"/>
        <w:gridCol w:w="31"/>
        <w:gridCol w:w="124"/>
        <w:gridCol w:w="8"/>
        <w:gridCol w:w="94"/>
        <w:gridCol w:w="851"/>
        <w:gridCol w:w="57"/>
        <w:gridCol w:w="242"/>
        <w:gridCol w:w="171"/>
        <w:gridCol w:w="296"/>
        <w:gridCol w:w="284"/>
        <w:gridCol w:w="218"/>
        <w:gridCol w:w="12"/>
        <w:gridCol w:w="9"/>
        <w:gridCol w:w="14"/>
        <w:gridCol w:w="134"/>
        <w:gridCol w:w="108"/>
        <w:gridCol w:w="137"/>
        <w:gridCol w:w="23"/>
        <w:gridCol w:w="148"/>
        <w:gridCol w:w="32"/>
        <w:gridCol w:w="146"/>
        <w:gridCol w:w="89"/>
        <w:gridCol w:w="343"/>
        <w:gridCol w:w="2"/>
        <w:gridCol w:w="8"/>
        <w:gridCol w:w="78"/>
        <w:gridCol w:w="54"/>
        <w:gridCol w:w="252"/>
        <w:gridCol w:w="177"/>
        <w:gridCol w:w="56"/>
        <w:gridCol w:w="24"/>
        <w:gridCol w:w="62"/>
        <w:gridCol w:w="90"/>
        <w:gridCol w:w="34"/>
        <w:gridCol w:w="156"/>
        <w:gridCol w:w="113"/>
        <w:gridCol w:w="50"/>
        <w:gridCol w:w="52"/>
        <w:gridCol w:w="69"/>
        <w:gridCol w:w="170"/>
        <w:gridCol w:w="333"/>
        <w:gridCol w:w="34"/>
        <w:gridCol w:w="197"/>
        <w:gridCol w:w="24"/>
        <w:gridCol w:w="9"/>
        <w:gridCol w:w="16"/>
        <w:gridCol w:w="166"/>
        <w:gridCol w:w="26"/>
        <w:gridCol w:w="86"/>
        <w:gridCol w:w="289"/>
        <w:gridCol w:w="33"/>
        <w:gridCol w:w="170"/>
        <w:gridCol w:w="29"/>
        <w:gridCol w:w="134"/>
        <w:gridCol w:w="112"/>
        <w:gridCol w:w="99"/>
        <w:gridCol w:w="30"/>
        <w:gridCol w:w="30"/>
        <w:gridCol w:w="54"/>
        <w:gridCol w:w="107"/>
        <w:gridCol w:w="36"/>
        <w:gridCol w:w="5"/>
        <w:gridCol w:w="82"/>
        <w:gridCol w:w="34"/>
        <w:gridCol w:w="67"/>
        <w:gridCol w:w="18"/>
        <w:gridCol w:w="89"/>
        <w:gridCol w:w="132"/>
        <w:gridCol w:w="158"/>
        <w:gridCol w:w="141"/>
        <w:gridCol w:w="263"/>
        <w:gridCol w:w="178"/>
        <w:gridCol w:w="26"/>
        <w:gridCol w:w="84"/>
        <w:gridCol w:w="82"/>
        <w:gridCol w:w="64"/>
        <w:gridCol w:w="2"/>
        <w:gridCol w:w="116"/>
        <w:gridCol w:w="70"/>
        <w:gridCol w:w="102"/>
        <w:gridCol w:w="139"/>
        <w:gridCol w:w="152"/>
        <w:gridCol w:w="149"/>
        <w:gridCol w:w="438"/>
        <w:gridCol w:w="22"/>
        <w:gridCol w:w="84"/>
        <w:gridCol w:w="148"/>
        <w:gridCol w:w="1"/>
        <w:gridCol w:w="115"/>
        <w:gridCol w:w="73"/>
        <w:gridCol w:w="243"/>
        <w:gridCol w:w="217"/>
        <w:gridCol w:w="86"/>
        <w:gridCol w:w="435"/>
        <w:gridCol w:w="254"/>
        <w:gridCol w:w="188"/>
        <w:gridCol w:w="192"/>
        <w:gridCol w:w="53"/>
        <w:gridCol w:w="305"/>
        <w:gridCol w:w="432"/>
        <w:gridCol w:w="1000"/>
        <w:gridCol w:w="1423"/>
        <w:gridCol w:w="8"/>
      </w:tblGrid>
      <w:tr w:rsidR="003D210A" w:rsidRPr="00C15639" w14:paraId="68384E26" w14:textId="77777777" w:rsidTr="005A428D">
        <w:trPr>
          <w:gridBefore w:val="11"/>
          <w:gridAfter w:val="7"/>
          <w:wBefore w:w="1627" w:type="dxa"/>
          <w:wAfter w:w="3413" w:type="dxa"/>
        </w:trPr>
        <w:tc>
          <w:tcPr>
            <w:tcW w:w="7882" w:type="dxa"/>
            <w:gridSpan w:val="54"/>
            <w:tcBorders>
              <w:top w:val="single" w:sz="6" w:space="0" w:color="auto"/>
              <w:left w:val="single" w:sz="6" w:space="0" w:color="auto"/>
              <w:bottom w:val="single" w:sz="6" w:space="0" w:color="auto"/>
              <w:right w:val="single" w:sz="6" w:space="0" w:color="auto"/>
            </w:tcBorders>
          </w:tcPr>
          <w:p w14:paraId="59D75F4D" w14:textId="77777777" w:rsidR="003D210A" w:rsidRPr="00C15639" w:rsidRDefault="003D210A" w:rsidP="005A428D">
            <w:pPr>
              <w:pStyle w:val="1ff0"/>
              <w:spacing w:line="360" w:lineRule="auto"/>
              <w:jc w:val="center"/>
              <w:rPr>
                <w:sz w:val="24"/>
                <w:szCs w:val="24"/>
              </w:rPr>
            </w:pPr>
            <w:r w:rsidRPr="00C15639">
              <w:rPr>
                <w:sz w:val="24"/>
                <w:szCs w:val="24"/>
              </w:rPr>
              <w:t>Кашель, одышка, лихорадка, аускультативная картина</w:t>
            </w:r>
          </w:p>
        </w:tc>
        <w:tc>
          <w:tcPr>
            <w:tcW w:w="1423" w:type="dxa"/>
            <w:gridSpan w:val="14"/>
          </w:tcPr>
          <w:p w14:paraId="366FF9B2" w14:textId="77777777" w:rsidR="003D210A" w:rsidRPr="00C15639" w:rsidRDefault="003D210A" w:rsidP="005A428D">
            <w:pPr>
              <w:rPr>
                <w:szCs w:val="24"/>
              </w:rPr>
            </w:pPr>
          </w:p>
        </w:tc>
        <w:tc>
          <w:tcPr>
            <w:tcW w:w="1423" w:type="dxa"/>
            <w:gridSpan w:val="18"/>
          </w:tcPr>
          <w:p w14:paraId="00CAEAA6" w14:textId="77777777" w:rsidR="003D210A" w:rsidRPr="00C15639" w:rsidRDefault="003D210A" w:rsidP="005A428D">
            <w:pPr>
              <w:rPr>
                <w:szCs w:val="24"/>
              </w:rPr>
            </w:pPr>
          </w:p>
        </w:tc>
        <w:tc>
          <w:tcPr>
            <w:tcW w:w="1423" w:type="dxa"/>
            <w:gridSpan w:val="14"/>
          </w:tcPr>
          <w:p w14:paraId="039892A3" w14:textId="77777777" w:rsidR="003D210A" w:rsidRPr="00C15639" w:rsidRDefault="003D210A" w:rsidP="005A428D">
            <w:pPr>
              <w:rPr>
                <w:szCs w:val="24"/>
              </w:rPr>
            </w:pPr>
          </w:p>
        </w:tc>
        <w:tc>
          <w:tcPr>
            <w:tcW w:w="1423" w:type="dxa"/>
            <w:gridSpan w:val="11"/>
          </w:tcPr>
          <w:p w14:paraId="0F3E30C4" w14:textId="77777777" w:rsidR="003D210A" w:rsidRPr="00C15639" w:rsidRDefault="003D210A" w:rsidP="005A428D">
            <w:pPr>
              <w:rPr>
                <w:szCs w:val="24"/>
              </w:rPr>
            </w:pPr>
          </w:p>
        </w:tc>
        <w:tc>
          <w:tcPr>
            <w:tcW w:w="1423" w:type="dxa"/>
            <w:gridSpan w:val="6"/>
          </w:tcPr>
          <w:p w14:paraId="5FE17AFE" w14:textId="77777777" w:rsidR="003D210A" w:rsidRPr="00C15639" w:rsidRDefault="003D210A" w:rsidP="005A428D">
            <w:pPr>
              <w:rPr>
                <w:szCs w:val="24"/>
              </w:rPr>
            </w:pPr>
          </w:p>
        </w:tc>
      </w:tr>
      <w:tr w:rsidR="003D210A" w:rsidRPr="00C15639" w14:paraId="4A5D1E23" w14:textId="77777777" w:rsidTr="005A428D">
        <w:trPr>
          <w:gridBefore w:val="1"/>
          <w:gridAfter w:val="59"/>
          <w:wAfter w:w="9296" w:type="dxa"/>
        </w:trPr>
        <w:tc>
          <w:tcPr>
            <w:tcW w:w="1485" w:type="dxa"/>
            <w:gridSpan w:val="8"/>
          </w:tcPr>
          <w:p w14:paraId="531AFF17" w14:textId="77777777" w:rsidR="003D210A" w:rsidRPr="00C15639" w:rsidRDefault="003D210A" w:rsidP="005A428D">
            <w:pPr>
              <w:pStyle w:val="1ff0"/>
              <w:spacing w:line="360" w:lineRule="auto"/>
              <w:rPr>
                <w:sz w:val="24"/>
                <w:szCs w:val="24"/>
              </w:rPr>
            </w:pPr>
          </w:p>
        </w:tc>
        <w:tc>
          <w:tcPr>
            <w:tcW w:w="996" w:type="dxa"/>
            <w:gridSpan w:val="6"/>
          </w:tcPr>
          <w:p w14:paraId="4DB8F5CA" w14:textId="77777777" w:rsidR="003D210A" w:rsidRPr="00C15639" w:rsidRDefault="003D210A" w:rsidP="005A428D">
            <w:pPr>
              <w:pStyle w:val="1ff0"/>
              <w:spacing w:line="360" w:lineRule="auto"/>
              <w:rPr>
                <w:sz w:val="24"/>
                <w:szCs w:val="24"/>
              </w:rPr>
            </w:pPr>
          </w:p>
        </w:tc>
        <w:tc>
          <w:tcPr>
            <w:tcW w:w="2809" w:type="dxa"/>
            <w:gridSpan w:val="19"/>
            <w:tcBorders>
              <w:right w:val="single" w:sz="6" w:space="0" w:color="auto"/>
            </w:tcBorders>
          </w:tcPr>
          <w:p w14:paraId="4BBA1774" w14:textId="77777777" w:rsidR="003D210A" w:rsidRPr="00C15639" w:rsidRDefault="003D210A" w:rsidP="005A428D">
            <w:pPr>
              <w:pStyle w:val="1ff0"/>
              <w:spacing w:line="360" w:lineRule="auto"/>
              <w:jc w:val="center"/>
              <w:rPr>
                <w:sz w:val="24"/>
                <w:szCs w:val="24"/>
              </w:rPr>
            </w:pPr>
          </w:p>
        </w:tc>
        <w:tc>
          <w:tcPr>
            <w:tcW w:w="2635" w:type="dxa"/>
            <w:gridSpan w:val="15"/>
          </w:tcPr>
          <w:p w14:paraId="3D22AB83" w14:textId="77777777" w:rsidR="003D210A" w:rsidRPr="00C15639" w:rsidRDefault="003D210A" w:rsidP="005A428D">
            <w:pPr>
              <w:pStyle w:val="1ff0"/>
              <w:spacing w:line="360" w:lineRule="auto"/>
              <w:jc w:val="center"/>
              <w:rPr>
                <w:sz w:val="24"/>
                <w:szCs w:val="24"/>
              </w:rPr>
            </w:pPr>
          </w:p>
        </w:tc>
        <w:tc>
          <w:tcPr>
            <w:tcW w:w="1408" w:type="dxa"/>
            <w:gridSpan w:val="13"/>
          </w:tcPr>
          <w:p w14:paraId="761A896B" w14:textId="77777777" w:rsidR="003D210A" w:rsidRPr="00C15639" w:rsidRDefault="003D210A" w:rsidP="005A428D">
            <w:pPr>
              <w:rPr>
                <w:szCs w:val="24"/>
              </w:rPr>
            </w:pPr>
          </w:p>
        </w:tc>
        <w:tc>
          <w:tcPr>
            <w:tcW w:w="1408" w:type="dxa"/>
            <w:gridSpan w:val="14"/>
          </w:tcPr>
          <w:p w14:paraId="7316BCFD" w14:textId="77777777" w:rsidR="003D210A" w:rsidRPr="00C15639" w:rsidRDefault="003D210A" w:rsidP="005A428D">
            <w:pPr>
              <w:rPr>
                <w:szCs w:val="24"/>
              </w:rPr>
            </w:pPr>
          </w:p>
        </w:tc>
      </w:tr>
      <w:tr w:rsidR="003D210A" w:rsidRPr="00C15639" w14:paraId="1F86D849" w14:textId="77777777" w:rsidTr="005A428D">
        <w:trPr>
          <w:gridBefore w:val="1"/>
          <w:gridAfter w:val="57"/>
          <w:wAfter w:w="9271" w:type="dxa"/>
        </w:trPr>
        <w:tc>
          <w:tcPr>
            <w:tcW w:w="1485" w:type="dxa"/>
            <w:gridSpan w:val="8"/>
          </w:tcPr>
          <w:p w14:paraId="7159F1AA" w14:textId="77777777" w:rsidR="003D210A" w:rsidRPr="00C15639" w:rsidRDefault="003D210A" w:rsidP="005A428D">
            <w:pPr>
              <w:pStyle w:val="1ff0"/>
              <w:spacing w:line="360" w:lineRule="auto"/>
              <w:rPr>
                <w:sz w:val="24"/>
                <w:szCs w:val="24"/>
              </w:rPr>
            </w:pPr>
          </w:p>
        </w:tc>
        <w:tc>
          <w:tcPr>
            <w:tcW w:w="1559" w:type="dxa"/>
            <w:gridSpan w:val="10"/>
          </w:tcPr>
          <w:p w14:paraId="2298F581" w14:textId="77777777" w:rsidR="003D210A" w:rsidRPr="00C15639" w:rsidRDefault="003D210A" w:rsidP="005A428D">
            <w:pPr>
              <w:pStyle w:val="1ff0"/>
              <w:spacing w:line="360" w:lineRule="auto"/>
              <w:rPr>
                <w:sz w:val="24"/>
                <w:szCs w:val="24"/>
              </w:rPr>
            </w:pPr>
          </w:p>
        </w:tc>
        <w:tc>
          <w:tcPr>
            <w:tcW w:w="4744" w:type="dxa"/>
            <w:gridSpan w:val="29"/>
            <w:tcBorders>
              <w:top w:val="single" w:sz="6" w:space="0" w:color="auto"/>
              <w:left w:val="single" w:sz="6" w:space="0" w:color="auto"/>
              <w:bottom w:val="single" w:sz="6" w:space="0" w:color="auto"/>
              <w:right w:val="single" w:sz="6" w:space="0" w:color="auto"/>
            </w:tcBorders>
          </w:tcPr>
          <w:p w14:paraId="610F1B52" w14:textId="77777777" w:rsidR="003D210A" w:rsidRPr="00C15639" w:rsidRDefault="003D210A" w:rsidP="005A428D">
            <w:pPr>
              <w:pStyle w:val="1ff0"/>
              <w:spacing w:line="360" w:lineRule="auto"/>
              <w:jc w:val="center"/>
              <w:rPr>
                <w:sz w:val="24"/>
                <w:szCs w:val="24"/>
              </w:rPr>
            </w:pPr>
            <w:r w:rsidRPr="00C15639">
              <w:rPr>
                <w:sz w:val="24"/>
                <w:szCs w:val="24"/>
              </w:rPr>
              <w:t>Исследование газов артериальной крови</w:t>
            </w:r>
          </w:p>
        </w:tc>
        <w:tc>
          <w:tcPr>
            <w:tcW w:w="160" w:type="dxa"/>
            <w:gridSpan w:val="2"/>
          </w:tcPr>
          <w:p w14:paraId="1B98013E" w14:textId="77777777" w:rsidR="003D210A" w:rsidRPr="00C15639" w:rsidRDefault="003D210A" w:rsidP="005A428D">
            <w:pPr>
              <w:pStyle w:val="1ff0"/>
              <w:spacing w:line="360" w:lineRule="auto"/>
              <w:jc w:val="center"/>
              <w:rPr>
                <w:sz w:val="24"/>
                <w:szCs w:val="24"/>
              </w:rPr>
            </w:pPr>
          </w:p>
        </w:tc>
        <w:tc>
          <w:tcPr>
            <w:tcW w:w="1409" w:type="dxa"/>
            <w:gridSpan w:val="13"/>
          </w:tcPr>
          <w:p w14:paraId="317462F1" w14:textId="77777777" w:rsidR="003D210A" w:rsidRPr="00C15639" w:rsidRDefault="003D210A" w:rsidP="005A428D">
            <w:pPr>
              <w:rPr>
                <w:szCs w:val="24"/>
              </w:rPr>
            </w:pPr>
          </w:p>
        </w:tc>
        <w:tc>
          <w:tcPr>
            <w:tcW w:w="1409" w:type="dxa"/>
            <w:gridSpan w:val="15"/>
          </w:tcPr>
          <w:p w14:paraId="590492F6" w14:textId="77777777" w:rsidR="003D210A" w:rsidRPr="00C15639" w:rsidRDefault="003D210A" w:rsidP="005A428D">
            <w:pPr>
              <w:rPr>
                <w:szCs w:val="24"/>
              </w:rPr>
            </w:pPr>
          </w:p>
        </w:tc>
      </w:tr>
      <w:tr w:rsidR="003D210A" w:rsidRPr="00C15639" w14:paraId="5A3FD7F5" w14:textId="77777777" w:rsidTr="005A428D">
        <w:trPr>
          <w:gridBefore w:val="1"/>
          <w:gridAfter w:val="59"/>
          <w:wAfter w:w="9296" w:type="dxa"/>
        </w:trPr>
        <w:tc>
          <w:tcPr>
            <w:tcW w:w="1485" w:type="dxa"/>
            <w:gridSpan w:val="8"/>
          </w:tcPr>
          <w:p w14:paraId="13243819" w14:textId="77777777" w:rsidR="003D210A" w:rsidRPr="00C15639" w:rsidRDefault="003D210A" w:rsidP="005A428D">
            <w:pPr>
              <w:pStyle w:val="1ff0"/>
              <w:spacing w:line="360" w:lineRule="auto"/>
              <w:rPr>
                <w:sz w:val="24"/>
                <w:szCs w:val="24"/>
              </w:rPr>
            </w:pPr>
          </w:p>
        </w:tc>
        <w:tc>
          <w:tcPr>
            <w:tcW w:w="996" w:type="dxa"/>
            <w:gridSpan w:val="6"/>
          </w:tcPr>
          <w:p w14:paraId="6F88C6CF" w14:textId="77777777" w:rsidR="003D210A" w:rsidRPr="00C15639" w:rsidRDefault="003D210A" w:rsidP="005A428D">
            <w:pPr>
              <w:pStyle w:val="1ff0"/>
              <w:spacing w:line="360" w:lineRule="auto"/>
              <w:rPr>
                <w:sz w:val="24"/>
                <w:szCs w:val="24"/>
              </w:rPr>
            </w:pPr>
          </w:p>
        </w:tc>
        <w:tc>
          <w:tcPr>
            <w:tcW w:w="2809" w:type="dxa"/>
            <w:gridSpan w:val="19"/>
            <w:tcBorders>
              <w:right w:val="single" w:sz="6" w:space="0" w:color="auto"/>
            </w:tcBorders>
          </w:tcPr>
          <w:p w14:paraId="6D3FE816" w14:textId="77777777" w:rsidR="003D210A" w:rsidRPr="00C15639" w:rsidRDefault="003D210A" w:rsidP="005A428D">
            <w:pPr>
              <w:pStyle w:val="1ff0"/>
              <w:spacing w:line="360" w:lineRule="auto"/>
              <w:jc w:val="center"/>
              <w:rPr>
                <w:sz w:val="24"/>
                <w:szCs w:val="24"/>
              </w:rPr>
            </w:pPr>
          </w:p>
        </w:tc>
        <w:tc>
          <w:tcPr>
            <w:tcW w:w="2635" w:type="dxa"/>
            <w:gridSpan w:val="15"/>
          </w:tcPr>
          <w:p w14:paraId="47B77B9E" w14:textId="77777777" w:rsidR="003D210A" w:rsidRPr="00C15639" w:rsidRDefault="003D210A" w:rsidP="005A428D">
            <w:pPr>
              <w:pStyle w:val="1ff0"/>
              <w:spacing w:line="360" w:lineRule="auto"/>
              <w:jc w:val="center"/>
              <w:rPr>
                <w:sz w:val="24"/>
                <w:szCs w:val="24"/>
              </w:rPr>
            </w:pPr>
          </w:p>
        </w:tc>
        <w:tc>
          <w:tcPr>
            <w:tcW w:w="1408" w:type="dxa"/>
            <w:gridSpan w:val="13"/>
          </w:tcPr>
          <w:p w14:paraId="650E3E54" w14:textId="77777777" w:rsidR="003D210A" w:rsidRPr="00C15639" w:rsidRDefault="003D210A" w:rsidP="005A428D">
            <w:pPr>
              <w:rPr>
                <w:szCs w:val="24"/>
              </w:rPr>
            </w:pPr>
          </w:p>
        </w:tc>
        <w:tc>
          <w:tcPr>
            <w:tcW w:w="1408" w:type="dxa"/>
            <w:gridSpan w:val="14"/>
          </w:tcPr>
          <w:p w14:paraId="6E7A05DD" w14:textId="77777777" w:rsidR="003D210A" w:rsidRPr="00C15639" w:rsidRDefault="003D210A" w:rsidP="005A428D">
            <w:pPr>
              <w:rPr>
                <w:szCs w:val="24"/>
              </w:rPr>
            </w:pPr>
          </w:p>
        </w:tc>
      </w:tr>
      <w:tr w:rsidR="003D210A" w:rsidRPr="00C15639" w14:paraId="29710BF6" w14:textId="77777777" w:rsidTr="005A428D">
        <w:trPr>
          <w:gridBefore w:val="19"/>
          <w:gridAfter w:val="18"/>
          <w:wBefore w:w="3044" w:type="dxa"/>
          <w:wAfter w:w="5257" w:type="dxa"/>
          <w:cantSplit/>
        </w:trPr>
        <w:tc>
          <w:tcPr>
            <w:tcW w:w="4636" w:type="dxa"/>
            <w:gridSpan w:val="28"/>
            <w:tcBorders>
              <w:top w:val="single" w:sz="6" w:space="0" w:color="auto"/>
              <w:left w:val="single" w:sz="6" w:space="0" w:color="auto"/>
              <w:bottom w:val="single" w:sz="6" w:space="0" w:color="auto"/>
              <w:right w:val="single" w:sz="6" w:space="0" w:color="auto"/>
            </w:tcBorders>
          </w:tcPr>
          <w:p w14:paraId="5E4CC8C4" w14:textId="77777777" w:rsidR="003D210A" w:rsidRPr="00C15639" w:rsidRDefault="003D210A" w:rsidP="005A428D">
            <w:pPr>
              <w:pStyle w:val="1ff0"/>
              <w:spacing w:line="360" w:lineRule="auto"/>
              <w:jc w:val="center"/>
              <w:rPr>
                <w:sz w:val="24"/>
                <w:szCs w:val="24"/>
              </w:rPr>
            </w:pPr>
            <w:r w:rsidRPr="00C15639">
              <w:rPr>
                <w:sz w:val="24"/>
                <w:szCs w:val="24"/>
              </w:rPr>
              <w:t>Ультразвуковое исследование легких</w:t>
            </w:r>
          </w:p>
        </w:tc>
        <w:tc>
          <w:tcPr>
            <w:tcW w:w="1420" w:type="dxa"/>
            <w:gridSpan w:val="13"/>
          </w:tcPr>
          <w:p w14:paraId="42BEDD39" w14:textId="77777777" w:rsidR="003D210A" w:rsidRPr="00C15639" w:rsidRDefault="003D210A" w:rsidP="005A428D">
            <w:pPr>
              <w:rPr>
                <w:szCs w:val="24"/>
              </w:rPr>
            </w:pPr>
          </w:p>
        </w:tc>
        <w:tc>
          <w:tcPr>
            <w:tcW w:w="1420" w:type="dxa"/>
            <w:gridSpan w:val="14"/>
          </w:tcPr>
          <w:p w14:paraId="2F399B44" w14:textId="77777777" w:rsidR="003D210A" w:rsidRPr="00C15639" w:rsidRDefault="003D210A" w:rsidP="005A428D">
            <w:pPr>
              <w:rPr>
                <w:szCs w:val="24"/>
              </w:rPr>
            </w:pPr>
          </w:p>
        </w:tc>
        <w:tc>
          <w:tcPr>
            <w:tcW w:w="1420" w:type="dxa"/>
            <w:gridSpan w:val="15"/>
          </w:tcPr>
          <w:p w14:paraId="50064516" w14:textId="77777777" w:rsidR="003D210A" w:rsidRPr="00C15639" w:rsidRDefault="003D210A" w:rsidP="005A428D">
            <w:pPr>
              <w:rPr>
                <w:szCs w:val="24"/>
              </w:rPr>
            </w:pPr>
          </w:p>
        </w:tc>
        <w:tc>
          <w:tcPr>
            <w:tcW w:w="1420" w:type="dxa"/>
            <w:gridSpan w:val="16"/>
          </w:tcPr>
          <w:p w14:paraId="1B953E7A" w14:textId="77777777" w:rsidR="003D210A" w:rsidRPr="00C15639" w:rsidRDefault="003D210A" w:rsidP="005A428D">
            <w:pPr>
              <w:rPr>
                <w:szCs w:val="24"/>
              </w:rPr>
            </w:pPr>
          </w:p>
        </w:tc>
        <w:tc>
          <w:tcPr>
            <w:tcW w:w="1420" w:type="dxa"/>
            <w:gridSpan w:val="12"/>
          </w:tcPr>
          <w:p w14:paraId="478A8DDC" w14:textId="77777777" w:rsidR="003D210A" w:rsidRPr="00C15639" w:rsidRDefault="003D210A" w:rsidP="005A428D">
            <w:pPr>
              <w:rPr>
                <w:szCs w:val="24"/>
              </w:rPr>
            </w:pPr>
          </w:p>
        </w:tc>
      </w:tr>
      <w:tr w:rsidR="003D210A" w:rsidRPr="00C15639" w14:paraId="76A3E28A" w14:textId="77777777" w:rsidTr="005A428D">
        <w:trPr>
          <w:gridBefore w:val="3"/>
          <w:gridAfter w:val="37"/>
          <w:wBefore w:w="636" w:type="dxa"/>
          <w:wAfter w:w="7664" w:type="dxa"/>
          <w:cantSplit/>
        </w:trPr>
        <w:tc>
          <w:tcPr>
            <w:tcW w:w="4662" w:type="dxa"/>
            <w:gridSpan w:val="32"/>
            <w:tcBorders>
              <w:bottom w:val="single" w:sz="6" w:space="0" w:color="auto"/>
              <w:right w:val="single" w:sz="6" w:space="0" w:color="auto"/>
            </w:tcBorders>
          </w:tcPr>
          <w:p w14:paraId="70E4AA71" w14:textId="77777777" w:rsidR="003D210A" w:rsidRPr="00C15639" w:rsidRDefault="003D210A" w:rsidP="005A428D">
            <w:pPr>
              <w:pStyle w:val="1ff0"/>
              <w:spacing w:line="360" w:lineRule="auto"/>
              <w:jc w:val="center"/>
              <w:rPr>
                <w:sz w:val="24"/>
                <w:szCs w:val="24"/>
              </w:rPr>
            </w:pPr>
          </w:p>
        </w:tc>
        <w:tc>
          <w:tcPr>
            <w:tcW w:w="1415" w:type="dxa"/>
            <w:gridSpan w:val="5"/>
          </w:tcPr>
          <w:p w14:paraId="0F6B953C" w14:textId="77777777" w:rsidR="003D210A" w:rsidRPr="00C15639" w:rsidRDefault="003D210A" w:rsidP="005A428D">
            <w:pPr>
              <w:rPr>
                <w:szCs w:val="24"/>
              </w:rPr>
            </w:pPr>
          </w:p>
        </w:tc>
        <w:tc>
          <w:tcPr>
            <w:tcW w:w="1415" w:type="dxa"/>
            <w:gridSpan w:val="12"/>
          </w:tcPr>
          <w:p w14:paraId="2D48CCBB" w14:textId="77777777" w:rsidR="003D210A" w:rsidRPr="00C15639" w:rsidRDefault="003D210A" w:rsidP="005A428D">
            <w:pPr>
              <w:rPr>
                <w:szCs w:val="24"/>
              </w:rPr>
            </w:pPr>
          </w:p>
        </w:tc>
        <w:tc>
          <w:tcPr>
            <w:tcW w:w="1415" w:type="dxa"/>
            <w:gridSpan w:val="14"/>
          </w:tcPr>
          <w:p w14:paraId="5CE2E2AC" w14:textId="77777777" w:rsidR="003D210A" w:rsidRPr="00C15639" w:rsidRDefault="003D210A" w:rsidP="005A428D">
            <w:pPr>
              <w:rPr>
                <w:szCs w:val="24"/>
              </w:rPr>
            </w:pPr>
          </w:p>
        </w:tc>
        <w:tc>
          <w:tcPr>
            <w:tcW w:w="1415" w:type="dxa"/>
            <w:gridSpan w:val="14"/>
          </w:tcPr>
          <w:p w14:paraId="071EB7EE" w14:textId="77777777" w:rsidR="003D210A" w:rsidRPr="00C15639" w:rsidRDefault="003D210A" w:rsidP="005A428D">
            <w:pPr>
              <w:rPr>
                <w:szCs w:val="24"/>
              </w:rPr>
            </w:pPr>
          </w:p>
        </w:tc>
        <w:tc>
          <w:tcPr>
            <w:tcW w:w="1415" w:type="dxa"/>
            <w:gridSpan w:val="18"/>
          </w:tcPr>
          <w:p w14:paraId="4082D7F7" w14:textId="77777777" w:rsidR="003D210A" w:rsidRPr="00C15639" w:rsidRDefault="003D210A" w:rsidP="005A428D">
            <w:pPr>
              <w:rPr>
                <w:szCs w:val="24"/>
              </w:rPr>
            </w:pPr>
          </w:p>
        </w:tc>
      </w:tr>
      <w:tr w:rsidR="003D210A" w:rsidRPr="00C15639" w14:paraId="26180811" w14:textId="77777777" w:rsidTr="005A428D">
        <w:trPr>
          <w:gridBefore w:val="2"/>
          <w:wBefore w:w="496" w:type="dxa"/>
          <w:cantSplit/>
        </w:trPr>
        <w:tc>
          <w:tcPr>
            <w:tcW w:w="12397" w:type="dxa"/>
            <w:gridSpan w:val="100"/>
            <w:tcBorders>
              <w:top w:val="single" w:sz="6" w:space="0" w:color="auto"/>
              <w:left w:val="single" w:sz="6" w:space="0" w:color="auto"/>
              <w:bottom w:val="single" w:sz="6" w:space="0" w:color="auto"/>
              <w:right w:val="single" w:sz="6" w:space="0" w:color="auto"/>
            </w:tcBorders>
          </w:tcPr>
          <w:p w14:paraId="0836B0BD" w14:textId="77777777" w:rsidR="003D210A" w:rsidRPr="00C15639" w:rsidRDefault="003D210A" w:rsidP="005A428D">
            <w:pPr>
              <w:pStyle w:val="1ff0"/>
              <w:spacing w:line="360" w:lineRule="auto"/>
              <w:jc w:val="center"/>
              <w:rPr>
                <w:sz w:val="24"/>
                <w:szCs w:val="24"/>
              </w:rPr>
            </w:pPr>
            <w:r w:rsidRPr="00C15639">
              <w:rPr>
                <w:sz w:val="24"/>
                <w:szCs w:val="24"/>
              </w:rPr>
              <w:t>СКТ легких - желательна у всех больных. Абсолютные показания - наличие полостей, подозрение на поражение легких ЦМВ, пневмоцистами, грибами, опухолевыми клетками. При ОДН СКТ выполняется у всех больных</w:t>
            </w:r>
          </w:p>
        </w:tc>
        <w:tc>
          <w:tcPr>
            <w:tcW w:w="1427" w:type="dxa"/>
            <w:gridSpan w:val="13"/>
          </w:tcPr>
          <w:p w14:paraId="3526E5A7" w14:textId="77777777" w:rsidR="003D210A" w:rsidRPr="00C15639" w:rsidRDefault="003D210A" w:rsidP="005A428D">
            <w:pPr>
              <w:rPr>
                <w:szCs w:val="24"/>
              </w:rPr>
            </w:pPr>
          </w:p>
        </w:tc>
        <w:tc>
          <w:tcPr>
            <w:tcW w:w="1427" w:type="dxa"/>
            <w:gridSpan w:val="10"/>
          </w:tcPr>
          <w:p w14:paraId="30450AD7" w14:textId="77777777" w:rsidR="003D210A" w:rsidRPr="00C15639" w:rsidRDefault="003D210A" w:rsidP="005A428D">
            <w:pPr>
              <w:rPr>
                <w:szCs w:val="24"/>
              </w:rPr>
            </w:pPr>
          </w:p>
        </w:tc>
        <w:tc>
          <w:tcPr>
            <w:tcW w:w="1427" w:type="dxa"/>
            <w:gridSpan w:val="6"/>
          </w:tcPr>
          <w:p w14:paraId="63BDA568" w14:textId="77777777" w:rsidR="003D210A" w:rsidRPr="00C15639" w:rsidRDefault="003D210A" w:rsidP="005A428D">
            <w:pPr>
              <w:rPr>
                <w:szCs w:val="24"/>
              </w:rPr>
            </w:pPr>
          </w:p>
        </w:tc>
        <w:tc>
          <w:tcPr>
            <w:tcW w:w="1432" w:type="dxa"/>
            <w:gridSpan w:val="2"/>
          </w:tcPr>
          <w:p w14:paraId="7D7F75AC" w14:textId="77777777" w:rsidR="003D210A" w:rsidRPr="00C15639" w:rsidRDefault="003D210A" w:rsidP="005A428D">
            <w:pPr>
              <w:rPr>
                <w:szCs w:val="24"/>
              </w:rPr>
            </w:pPr>
          </w:p>
        </w:tc>
        <w:tc>
          <w:tcPr>
            <w:tcW w:w="1431" w:type="dxa"/>
            <w:gridSpan w:val="2"/>
          </w:tcPr>
          <w:p w14:paraId="1DD24118" w14:textId="77777777" w:rsidR="003D210A" w:rsidRPr="00C15639" w:rsidRDefault="003D210A" w:rsidP="005A428D">
            <w:pPr>
              <w:rPr>
                <w:szCs w:val="24"/>
              </w:rPr>
            </w:pPr>
          </w:p>
        </w:tc>
      </w:tr>
      <w:tr w:rsidR="003D210A" w:rsidRPr="00C15639" w14:paraId="379E16F2" w14:textId="77777777" w:rsidTr="005A428D">
        <w:trPr>
          <w:gridBefore w:val="2"/>
          <w:gridAfter w:val="21"/>
          <w:wBefore w:w="496" w:type="dxa"/>
          <w:wAfter w:w="5866" w:type="dxa"/>
          <w:cantSplit/>
          <w:trHeight w:val="240"/>
        </w:trPr>
        <w:tc>
          <w:tcPr>
            <w:tcW w:w="2832" w:type="dxa"/>
            <w:gridSpan w:val="21"/>
            <w:tcBorders>
              <w:right w:val="single" w:sz="6" w:space="0" w:color="auto"/>
            </w:tcBorders>
          </w:tcPr>
          <w:p w14:paraId="02FA3F8F" w14:textId="77777777" w:rsidR="003D210A" w:rsidRPr="00C15639" w:rsidRDefault="003D210A" w:rsidP="005A428D">
            <w:pPr>
              <w:pStyle w:val="1ff0"/>
              <w:spacing w:line="360" w:lineRule="auto"/>
              <w:jc w:val="center"/>
              <w:rPr>
                <w:sz w:val="24"/>
                <w:szCs w:val="24"/>
              </w:rPr>
            </w:pPr>
          </w:p>
        </w:tc>
        <w:tc>
          <w:tcPr>
            <w:tcW w:w="5466" w:type="dxa"/>
            <w:gridSpan w:val="35"/>
            <w:tcBorders>
              <w:left w:val="nil"/>
              <w:right w:val="single" w:sz="6" w:space="0" w:color="auto"/>
            </w:tcBorders>
          </w:tcPr>
          <w:p w14:paraId="5564FA15" w14:textId="77777777" w:rsidR="003D210A" w:rsidRPr="00C15639" w:rsidRDefault="003D210A" w:rsidP="005A428D">
            <w:pPr>
              <w:pStyle w:val="1ff0"/>
              <w:spacing w:line="360" w:lineRule="auto"/>
              <w:rPr>
                <w:sz w:val="24"/>
                <w:szCs w:val="24"/>
              </w:rPr>
            </w:pPr>
          </w:p>
        </w:tc>
        <w:tc>
          <w:tcPr>
            <w:tcW w:w="1120" w:type="dxa"/>
            <w:gridSpan w:val="12"/>
            <w:tcBorders>
              <w:top w:val="single" w:sz="6" w:space="0" w:color="auto"/>
              <w:left w:val="nil"/>
            </w:tcBorders>
          </w:tcPr>
          <w:p w14:paraId="1DDAED1F" w14:textId="77777777" w:rsidR="003D210A" w:rsidRPr="00C15639" w:rsidRDefault="003D210A" w:rsidP="005A428D">
            <w:pPr>
              <w:pStyle w:val="1ff0"/>
              <w:spacing w:line="360" w:lineRule="auto"/>
              <w:jc w:val="center"/>
              <w:rPr>
                <w:sz w:val="24"/>
                <w:szCs w:val="24"/>
              </w:rPr>
            </w:pPr>
          </w:p>
        </w:tc>
        <w:tc>
          <w:tcPr>
            <w:tcW w:w="1419" w:type="dxa"/>
            <w:gridSpan w:val="12"/>
          </w:tcPr>
          <w:p w14:paraId="72C7818B" w14:textId="77777777" w:rsidR="003D210A" w:rsidRPr="00C15639" w:rsidRDefault="003D210A" w:rsidP="005A428D">
            <w:pPr>
              <w:rPr>
                <w:szCs w:val="24"/>
              </w:rPr>
            </w:pPr>
          </w:p>
        </w:tc>
        <w:tc>
          <w:tcPr>
            <w:tcW w:w="1419" w:type="dxa"/>
            <w:gridSpan w:val="19"/>
          </w:tcPr>
          <w:p w14:paraId="6AC1B60B" w14:textId="77777777" w:rsidR="003D210A" w:rsidRPr="00C15639" w:rsidRDefault="003D210A" w:rsidP="005A428D">
            <w:pPr>
              <w:rPr>
                <w:szCs w:val="24"/>
              </w:rPr>
            </w:pPr>
          </w:p>
        </w:tc>
        <w:tc>
          <w:tcPr>
            <w:tcW w:w="1419" w:type="dxa"/>
            <w:gridSpan w:val="13"/>
          </w:tcPr>
          <w:p w14:paraId="2471AA46" w14:textId="77777777" w:rsidR="003D210A" w:rsidRPr="00C15639" w:rsidRDefault="003D210A" w:rsidP="005A428D">
            <w:pPr>
              <w:rPr>
                <w:szCs w:val="24"/>
              </w:rPr>
            </w:pPr>
          </w:p>
        </w:tc>
      </w:tr>
      <w:tr w:rsidR="003D210A" w:rsidRPr="00C15639" w14:paraId="4C4E9A73" w14:textId="77777777" w:rsidTr="005A428D">
        <w:trPr>
          <w:gridBefore w:val="3"/>
          <w:gridAfter w:val="8"/>
          <w:wBefore w:w="636" w:type="dxa"/>
          <w:wAfter w:w="3601" w:type="dxa"/>
          <w:cantSplit/>
        </w:trPr>
        <w:tc>
          <w:tcPr>
            <w:tcW w:w="4530" w:type="dxa"/>
            <w:gridSpan w:val="30"/>
            <w:tcBorders>
              <w:top w:val="single" w:sz="6" w:space="0" w:color="auto"/>
              <w:left w:val="single" w:sz="6" w:space="0" w:color="auto"/>
              <w:bottom w:val="single" w:sz="6" w:space="0" w:color="auto"/>
              <w:right w:val="single" w:sz="6" w:space="0" w:color="auto"/>
            </w:tcBorders>
          </w:tcPr>
          <w:p w14:paraId="46E321BF" w14:textId="77777777" w:rsidR="003D210A" w:rsidRPr="00C15639" w:rsidRDefault="003D210A" w:rsidP="005A428D">
            <w:pPr>
              <w:pStyle w:val="1ff0"/>
              <w:spacing w:line="360" w:lineRule="auto"/>
              <w:jc w:val="center"/>
              <w:rPr>
                <w:sz w:val="24"/>
                <w:szCs w:val="24"/>
              </w:rPr>
            </w:pPr>
            <w:r w:rsidRPr="00C15639">
              <w:rPr>
                <w:sz w:val="24"/>
                <w:szCs w:val="24"/>
              </w:rPr>
              <w:t>Диффузные изменения в легких</w:t>
            </w:r>
          </w:p>
        </w:tc>
        <w:tc>
          <w:tcPr>
            <w:tcW w:w="2380" w:type="dxa"/>
            <w:gridSpan w:val="13"/>
            <w:tcBorders>
              <w:left w:val="nil"/>
              <w:right w:val="single" w:sz="6" w:space="0" w:color="auto"/>
            </w:tcBorders>
          </w:tcPr>
          <w:p w14:paraId="12928271" w14:textId="77777777" w:rsidR="003D210A" w:rsidRPr="00C15639" w:rsidRDefault="003D210A" w:rsidP="005A428D">
            <w:pPr>
              <w:pStyle w:val="1ff0"/>
              <w:spacing w:line="360" w:lineRule="auto"/>
              <w:rPr>
                <w:sz w:val="24"/>
                <w:szCs w:val="24"/>
              </w:rPr>
            </w:pPr>
          </w:p>
        </w:tc>
        <w:tc>
          <w:tcPr>
            <w:tcW w:w="4621" w:type="dxa"/>
            <w:gridSpan w:val="47"/>
            <w:tcBorders>
              <w:top w:val="single" w:sz="6" w:space="0" w:color="auto"/>
              <w:left w:val="nil"/>
              <w:bottom w:val="single" w:sz="6" w:space="0" w:color="auto"/>
              <w:right w:val="single" w:sz="6" w:space="0" w:color="auto"/>
            </w:tcBorders>
          </w:tcPr>
          <w:p w14:paraId="19A2EBAA" w14:textId="77777777" w:rsidR="003D210A" w:rsidRPr="00C15639" w:rsidRDefault="003D210A" w:rsidP="005A428D">
            <w:pPr>
              <w:pStyle w:val="1ff0"/>
              <w:spacing w:line="360" w:lineRule="auto"/>
              <w:jc w:val="center"/>
              <w:rPr>
                <w:sz w:val="24"/>
                <w:szCs w:val="24"/>
              </w:rPr>
            </w:pPr>
            <w:r w:rsidRPr="00C15639">
              <w:rPr>
                <w:sz w:val="24"/>
                <w:szCs w:val="24"/>
              </w:rPr>
              <w:t>Очаговые изменения в легких</w:t>
            </w:r>
          </w:p>
        </w:tc>
        <w:tc>
          <w:tcPr>
            <w:tcW w:w="1423" w:type="dxa"/>
            <w:gridSpan w:val="15"/>
          </w:tcPr>
          <w:p w14:paraId="1A379E98" w14:textId="77777777" w:rsidR="003D210A" w:rsidRPr="00C15639" w:rsidRDefault="003D210A" w:rsidP="005A428D">
            <w:pPr>
              <w:rPr>
                <w:szCs w:val="24"/>
              </w:rPr>
            </w:pPr>
          </w:p>
        </w:tc>
        <w:tc>
          <w:tcPr>
            <w:tcW w:w="1423" w:type="dxa"/>
            <w:gridSpan w:val="12"/>
          </w:tcPr>
          <w:p w14:paraId="62CBEBC8" w14:textId="77777777" w:rsidR="003D210A" w:rsidRPr="00C15639" w:rsidRDefault="003D210A" w:rsidP="005A428D">
            <w:pPr>
              <w:rPr>
                <w:szCs w:val="24"/>
              </w:rPr>
            </w:pPr>
          </w:p>
        </w:tc>
        <w:tc>
          <w:tcPr>
            <w:tcW w:w="1423" w:type="dxa"/>
            <w:gridSpan w:val="7"/>
          </w:tcPr>
          <w:p w14:paraId="44214B32" w14:textId="77777777" w:rsidR="003D210A" w:rsidRPr="00C15639" w:rsidRDefault="003D210A" w:rsidP="005A428D">
            <w:pPr>
              <w:rPr>
                <w:szCs w:val="24"/>
              </w:rPr>
            </w:pPr>
          </w:p>
        </w:tc>
      </w:tr>
      <w:tr w:rsidR="003D210A" w:rsidRPr="00C15639" w14:paraId="09EDC953" w14:textId="77777777" w:rsidTr="005A428D">
        <w:trPr>
          <w:gridBefore w:val="19"/>
          <w:gridAfter w:val="21"/>
          <w:wBefore w:w="3044" w:type="dxa"/>
          <w:wAfter w:w="5866" w:type="dxa"/>
          <w:cantSplit/>
          <w:trHeight w:hRule="exact" w:val="240"/>
        </w:trPr>
        <w:tc>
          <w:tcPr>
            <w:tcW w:w="2348" w:type="dxa"/>
            <w:gridSpan w:val="17"/>
            <w:tcBorders>
              <w:left w:val="single" w:sz="6" w:space="0" w:color="auto"/>
            </w:tcBorders>
          </w:tcPr>
          <w:p w14:paraId="7E880D15" w14:textId="77777777" w:rsidR="003D210A" w:rsidRPr="00C15639" w:rsidRDefault="003D210A" w:rsidP="005A428D">
            <w:pPr>
              <w:pStyle w:val="1ff0"/>
              <w:spacing w:line="360" w:lineRule="auto"/>
              <w:jc w:val="center"/>
              <w:rPr>
                <w:sz w:val="24"/>
                <w:szCs w:val="24"/>
              </w:rPr>
            </w:pPr>
          </w:p>
        </w:tc>
        <w:tc>
          <w:tcPr>
            <w:tcW w:w="3324" w:type="dxa"/>
            <w:gridSpan w:val="21"/>
            <w:tcBorders>
              <w:left w:val="nil"/>
              <w:right w:val="single" w:sz="6" w:space="0" w:color="auto"/>
            </w:tcBorders>
          </w:tcPr>
          <w:p w14:paraId="446AE0A1" w14:textId="77777777" w:rsidR="003D210A" w:rsidRPr="00C15639" w:rsidRDefault="003D210A" w:rsidP="005A428D">
            <w:pPr>
              <w:pStyle w:val="1ff0"/>
              <w:spacing w:line="360" w:lineRule="auto"/>
              <w:rPr>
                <w:sz w:val="24"/>
                <w:szCs w:val="24"/>
              </w:rPr>
            </w:pPr>
          </w:p>
        </w:tc>
        <w:tc>
          <w:tcPr>
            <w:tcW w:w="1198" w:type="dxa"/>
            <w:gridSpan w:val="13"/>
            <w:tcBorders>
              <w:left w:val="nil"/>
            </w:tcBorders>
          </w:tcPr>
          <w:p w14:paraId="53386005" w14:textId="77777777" w:rsidR="003D210A" w:rsidRPr="00C15639" w:rsidRDefault="003D210A" w:rsidP="005A428D">
            <w:pPr>
              <w:pStyle w:val="1ff0"/>
              <w:spacing w:line="360" w:lineRule="auto"/>
              <w:jc w:val="center"/>
              <w:rPr>
                <w:sz w:val="24"/>
                <w:szCs w:val="24"/>
              </w:rPr>
            </w:pPr>
          </w:p>
        </w:tc>
        <w:tc>
          <w:tcPr>
            <w:tcW w:w="1419" w:type="dxa"/>
            <w:gridSpan w:val="12"/>
          </w:tcPr>
          <w:p w14:paraId="34C8905C" w14:textId="77777777" w:rsidR="003D210A" w:rsidRPr="00C15639" w:rsidRDefault="003D210A" w:rsidP="005A428D">
            <w:pPr>
              <w:rPr>
                <w:szCs w:val="24"/>
              </w:rPr>
            </w:pPr>
          </w:p>
        </w:tc>
        <w:tc>
          <w:tcPr>
            <w:tcW w:w="1419" w:type="dxa"/>
            <w:gridSpan w:val="19"/>
          </w:tcPr>
          <w:p w14:paraId="0D56EC85" w14:textId="77777777" w:rsidR="003D210A" w:rsidRPr="00C15639" w:rsidRDefault="003D210A" w:rsidP="005A428D">
            <w:pPr>
              <w:rPr>
                <w:szCs w:val="24"/>
              </w:rPr>
            </w:pPr>
          </w:p>
        </w:tc>
        <w:tc>
          <w:tcPr>
            <w:tcW w:w="1419" w:type="dxa"/>
            <w:gridSpan w:val="13"/>
          </w:tcPr>
          <w:p w14:paraId="5ABC6EA6" w14:textId="77777777" w:rsidR="003D210A" w:rsidRPr="00C15639" w:rsidRDefault="003D210A" w:rsidP="005A428D">
            <w:pPr>
              <w:rPr>
                <w:szCs w:val="24"/>
              </w:rPr>
            </w:pPr>
          </w:p>
        </w:tc>
      </w:tr>
      <w:tr w:rsidR="003D210A" w:rsidRPr="00C15639" w14:paraId="6DF4E9F2" w14:textId="77777777" w:rsidTr="005A428D">
        <w:trPr>
          <w:gridBefore w:val="3"/>
          <w:gridAfter w:val="21"/>
          <w:wBefore w:w="636" w:type="dxa"/>
          <w:wAfter w:w="5866" w:type="dxa"/>
          <w:cantSplit/>
        </w:trPr>
        <w:tc>
          <w:tcPr>
            <w:tcW w:w="7460" w:type="dxa"/>
            <w:gridSpan w:val="48"/>
            <w:tcBorders>
              <w:top w:val="single" w:sz="6" w:space="0" w:color="auto"/>
              <w:left w:val="single" w:sz="6" w:space="0" w:color="auto"/>
              <w:bottom w:val="single" w:sz="6" w:space="0" w:color="auto"/>
              <w:right w:val="single" w:sz="6" w:space="0" w:color="auto"/>
            </w:tcBorders>
          </w:tcPr>
          <w:p w14:paraId="025121AA" w14:textId="77777777" w:rsidR="003D210A" w:rsidRPr="00C15639" w:rsidRDefault="003D210A" w:rsidP="005A428D">
            <w:pPr>
              <w:pStyle w:val="1ff0"/>
              <w:spacing w:line="360" w:lineRule="auto"/>
              <w:jc w:val="center"/>
              <w:rPr>
                <w:sz w:val="24"/>
                <w:szCs w:val="24"/>
              </w:rPr>
            </w:pPr>
            <w:r w:rsidRPr="00C15639">
              <w:rPr>
                <w:sz w:val="24"/>
                <w:szCs w:val="24"/>
              </w:rPr>
              <w:t>Исключить сердечную недостаточность, при показаниях - диуретики</w:t>
            </w:r>
          </w:p>
        </w:tc>
        <w:tc>
          <w:tcPr>
            <w:tcW w:w="620" w:type="dxa"/>
            <w:gridSpan w:val="6"/>
            <w:tcBorders>
              <w:left w:val="nil"/>
              <w:right w:val="single" w:sz="6" w:space="0" w:color="auto"/>
            </w:tcBorders>
          </w:tcPr>
          <w:p w14:paraId="7D85262F" w14:textId="77777777" w:rsidR="003D210A" w:rsidRPr="00C15639" w:rsidRDefault="003D210A" w:rsidP="005A428D">
            <w:pPr>
              <w:pStyle w:val="1ff0"/>
              <w:spacing w:line="360" w:lineRule="auto"/>
              <w:rPr>
                <w:sz w:val="24"/>
                <w:szCs w:val="24"/>
              </w:rPr>
            </w:pPr>
          </w:p>
        </w:tc>
        <w:tc>
          <w:tcPr>
            <w:tcW w:w="1198" w:type="dxa"/>
            <w:gridSpan w:val="13"/>
            <w:tcBorders>
              <w:left w:val="nil"/>
            </w:tcBorders>
          </w:tcPr>
          <w:p w14:paraId="7816D874" w14:textId="77777777" w:rsidR="003D210A" w:rsidRPr="00C15639" w:rsidRDefault="003D210A" w:rsidP="005A428D">
            <w:pPr>
              <w:pStyle w:val="1ff0"/>
              <w:spacing w:line="360" w:lineRule="auto"/>
              <w:jc w:val="center"/>
              <w:rPr>
                <w:sz w:val="24"/>
                <w:szCs w:val="24"/>
              </w:rPr>
            </w:pPr>
          </w:p>
        </w:tc>
        <w:tc>
          <w:tcPr>
            <w:tcW w:w="1419" w:type="dxa"/>
            <w:gridSpan w:val="12"/>
          </w:tcPr>
          <w:p w14:paraId="1F7AC2F8" w14:textId="77777777" w:rsidR="003D210A" w:rsidRPr="00C15639" w:rsidRDefault="003D210A" w:rsidP="005A428D">
            <w:pPr>
              <w:rPr>
                <w:szCs w:val="24"/>
              </w:rPr>
            </w:pPr>
          </w:p>
        </w:tc>
        <w:tc>
          <w:tcPr>
            <w:tcW w:w="1419" w:type="dxa"/>
            <w:gridSpan w:val="19"/>
          </w:tcPr>
          <w:p w14:paraId="43965C11" w14:textId="77777777" w:rsidR="003D210A" w:rsidRPr="00C15639" w:rsidRDefault="003D210A" w:rsidP="005A428D">
            <w:pPr>
              <w:rPr>
                <w:szCs w:val="24"/>
              </w:rPr>
            </w:pPr>
          </w:p>
        </w:tc>
        <w:tc>
          <w:tcPr>
            <w:tcW w:w="1419" w:type="dxa"/>
            <w:gridSpan w:val="13"/>
          </w:tcPr>
          <w:p w14:paraId="7A56C5F3" w14:textId="77777777" w:rsidR="003D210A" w:rsidRPr="00C15639" w:rsidRDefault="003D210A" w:rsidP="005A428D">
            <w:pPr>
              <w:rPr>
                <w:szCs w:val="24"/>
              </w:rPr>
            </w:pPr>
          </w:p>
        </w:tc>
      </w:tr>
      <w:tr w:rsidR="003D210A" w:rsidRPr="00C15639" w14:paraId="104AB68E" w14:textId="77777777" w:rsidTr="005A428D">
        <w:trPr>
          <w:gridBefore w:val="23"/>
          <w:gridAfter w:val="6"/>
          <w:wBefore w:w="3328" w:type="dxa"/>
          <w:wAfter w:w="3221" w:type="dxa"/>
          <w:cantSplit/>
        </w:trPr>
        <w:tc>
          <w:tcPr>
            <w:tcW w:w="565" w:type="dxa"/>
            <w:gridSpan w:val="2"/>
            <w:tcBorders>
              <w:left w:val="single" w:sz="6" w:space="0" w:color="auto"/>
              <w:bottom w:val="single" w:sz="6" w:space="0" w:color="auto"/>
            </w:tcBorders>
          </w:tcPr>
          <w:p w14:paraId="67BFCDB1" w14:textId="77777777" w:rsidR="003D210A" w:rsidRPr="00C15639" w:rsidRDefault="003D210A" w:rsidP="005A428D">
            <w:pPr>
              <w:pStyle w:val="1ff0"/>
              <w:spacing w:line="360" w:lineRule="auto"/>
              <w:jc w:val="center"/>
              <w:rPr>
                <w:sz w:val="24"/>
                <w:szCs w:val="24"/>
              </w:rPr>
            </w:pPr>
          </w:p>
        </w:tc>
        <w:tc>
          <w:tcPr>
            <w:tcW w:w="4823" w:type="dxa"/>
            <w:gridSpan w:val="32"/>
            <w:tcBorders>
              <w:left w:val="nil"/>
            </w:tcBorders>
          </w:tcPr>
          <w:p w14:paraId="4442E4FB" w14:textId="77777777" w:rsidR="003D210A" w:rsidRPr="00C15639" w:rsidRDefault="003D210A" w:rsidP="005A428D">
            <w:pPr>
              <w:pStyle w:val="1ff0"/>
              <w:spacing w:line="360" w:lineRule="auto"/>
              <w:jc w:val="center"/>
              <w:rPr>
                <w:sz w:val="24"/>
                <w:szCs w:val="24"/>
              </w:rPr>
            </w:pPr>
          </w:p>
        </w:tc>
        <w:tc>
          <w:tcPr>
            <w:tcW w:w="983" w:type="dxa"/>
            <w:gridSpan w:val="10"/>
            <w:tcBorders>
              <w:left w:val="single" w:sz="6" w:space="0" w:color="auto"/>
            </w:tcBorders>
          </w:tcPr>
          <w:p w14:paraId="55573751" w14:textId="77777777" w:rsidR="003D210A" w:rsidRPr="00C15639" w:rsidRDefault="003D210A" w:rsidP="005A428D">
            <w:pPr>
              <w:pStyle w:val="1ff0"/>
              <w:spacing w:line="360" w:lineRule="auto"/>
              <w:jc w:val="center"/>
              <w:rPr>
                <w:sz w:val="24"/>
                <w:szCs w:val="24"/>
              </w:rPr>
            </w:pPr>
          </w:p>
        </w:tc>
        <w:tc>
          <w:tcPr>
            <w:tcW w:w="163" w:type="dxa"/>
            <w:gridSpan w:val="2"/>
            <w:tcBorders>
              <w:left w:val="nil"/>
            </w:tcBorders>
          </w:tcPr>
          <w:p w14:paraId="0DF1F8DE" w14:textId="77777777" w:rsidR="003D210A" w:rsidRPr="00C15639" w:rsidRDefault="003D210A" w:rsidP="005A428D">
            <w:pPr>
              <w:pStyle w:val="1ff0"/>
              <w:spacing w:line="360" w:lineRule="auto"/>
              <w:rPr>
                <w:sz w:val="24"/>
                <w:szCs w:val="24"/>
              </w:rPr>
            </w:pPr>
          </w:p>
        </w:tc>
        <w:tc>
          <w:tcPr>
            <w:tcW w:w="1504" w:type="dxa"/>
            <w:gridSpan w:val="14"/>
          </w:tcPr>
          <w:p w14:paraId="16E51958" w14:textId="77777777" w:rsidR="003D210A" w:rsidRPr="00C15639" w:rsidRDefault="003D210A" w:rsidP="005A428D">
            <w:pPr>
              <w:pStyle w:val="1ff0"/>
              <w:spacing w:line="360" w:lineRule="auto"/>
              <w:rPr>
                <w:sz w:val="24"/>
                <w:szCs w:val="24"/>
              </w:rPr>
            </w:pPr>
          </w:p>
        </w:tc>
        <w:tc>
          <w:tcPr>
            <w:tcW w:w="5450" w:type="dxa"/>
            <w:gridSpan w:val="46"/>
          </w:tcPr>
          <w:p w14:paraId="6E09FD63" w14:textId="77777777" w:rsidR="003D210A" w:rsidRPr="00C15639" w:rsidRDefault="003D210A" w:rsidP="005A428D">
            <w:pPr>
              <w:pStyle w:val="1ff0"/>
              <w:spacing w:line="360" w:lineRule="auto"/>
              <w:jc w:val="center"/>
              <w:rPr>
                <w:sz w:val="24"/>
                <w:szCs w:val="24"/>
              </w:rPr>
            </w:pPr>
          </w:p>
        </w:tc>
      </w:tr>
      <w:tr w:rsidR="003D210A" w:rsidRPr="00C15639" w14:paraId="018572C8" w14:textId="77777777" w:rsidTr="005A428D">
        <w:trPr>
          <w:gridBefore w:val="12"/>
          <w:gridAfter w:val="2"/>
          <w:wBefore w:w="1768" w:type="dxa"/>
          <w:wAfter w:w="1431" w:type="dxa"/>
          <w:cantSplit/>
        </w:trPr>
        <w:tc>
          <w:tcPr>
            <w:tcW w:w="3120" w:type="dxa"/>
            <w:gridSpan w:val="18"/>
            <w:tcBorders>
              <w:top w:val="single" w:sz="6" w:space="0" w:color="auto"/>
              <w:left w:val="single" w:sz="6" w:space="0" w:color="auto"/>
              <w:bottom w:val="single" w:sz="6" w:space="0" w:color="auto"/>
              <w:right w:val="single" w:sz="6" w:space="0" w:color="auto"/>
            </w:tcBorders>
          </w:tcPr>
          <w:p w14:paraId="1D4A152B" w14:textId="77777777" w:rsidR="003D210A" w:rsidRPr="00C15639" w:rsidRDefault="003D210A" w:rsidP="005A428D">
            <w:pPr>
              <w:pStyle w:val="1ff0"/>
              <w:spacing w:line="360" w:lineRule="auto"/>
              <w:jc w:val="center"/>
              <w:rPr>
                <w:sz w:val="24"/>
                <w:szCs w:val="24"/>
              </w:rPr>
            </w:pPr>
            <w:r w:rsidRPr="00C15639">
              <w:rPr>
                <w:sz w:val="24"/>
                <w:szCs w:val="24"/>
              </w:rPr>
              <w:t>Сохраняются изменения</w:t>
            </w:r>
          </w:p>
        </w:tc>
        <w:tc>
          <w:tcPr>
            <w:tcW w:w="3828" w:type="dxa"/>
            <w:gridSpan w:val="27"/>
            <w:tcBorders>
              <w:left w:val="single" w:sz="6" w:space="0" w:color="auto"/>
              <w:right w:val="single" w:sz="6" w:space="0" w:color="auto"/>
            </w:tcBorders>
          </w:tcPr>
          <w:p w14:paraId="3E1AD336" w14:textId="77777777" w:rsidR="003D210A" w:rsidRPr="00C15639" w:rsidRDefault="003D210A" w:rsidP="005A428D">
            <w:pPr>
              <w:pStyle w:val="1ff0"/>
              <w:spacing w:line="360" w:lineRule="auto"/>
              <w:jc w:val="center"/>
              <w:rPr>
                <w:sz w:val="24"/>
                <w:szCs w:val="24"/>
              </w:rPr>
            </w:pPr>
          </w:p>
        </w:tc>
        <w:tc>
          <w:tcPr>
            <w:tcW w:w="2650" w:type="dxa"/>
            <w:gridSpan w:val="26"/>
            <w:tcBorders>
              <w:left w:val="nil"/>
            </w:tcBorders>
          </w:tcPr>
          <w:p w14:paraId="26258820" w14:textId="77777777" w:rsidR="003D210A" w:rsidRPr="00C15639" w:rsidRDefault="003D210A" w:rsidP="005A428D">
            <w:pPr>
              <w:pStyle w:val="1ff0"/>
              <w:spacing w:line="360" w:lineRule="auto"/>
              <w:jc w:val="center"/>
              <w:rPr>
                <w:sz w:val="24"/>
                <w:szCs w:val="24"/>
              </w:rPr>
            </w:pPr>
          </w:p>
        </w:tc>
        <w:tc>
          <w:tcPr>
            <w:tcW w:w="170" w:type="dxa"/>
            <w:tcBorders>
              <w:left w:val="nil"/>
            </w:tcBorders>
          </w:tcPr>
          <w:p w14:paraId="08E3EE5F" w14:textId="77777777" w:rsidR="003D210A" w:rsidRPr="00C15639" w:rsidRDefault="003D210A" w:rsidP="005A428D">
            <w:pPr>
              <w:pStyle w:val="1ff0"/>
              <w:spacing w:line="360" w:lineRule="auto"/>
              <w:rPr>
                <w:sz w:val="24"/>
                <w:szCs w:val="24"/>
              </w:rPr>
            </w:pPr>
          </w:p>
        </w:tc>
        <w:tc>
          <w:tcPr>
            <w:tcW w:w="1620" w:type="dxa"/>
            <w:gridSpan w:val="19"/>
          </w:tcPr>
          <w:p w14:paraId="2B3C7593" w14:textId="77777777" w:rsidR="003D210A" w:rsidRPr="00C15639" w:rsidRDefault="003D210A" w:rsidP="005A428D">
            <w:pPr>
              <w:pStyle w:val="1ff0"/>
              <w:spacing w:line="360" w:lineRule="auto"/>
              <w:rPr>
                <w:sz w:val="24"/>
                <w:szCs w:val="24"/>
              </w:rPr>
            </w:pPr>
          </w:p>
        </w:tc>
        <w:tc>
          <w:tcPr>
            <w:tcW w:w="5450" w:type="dxa"/>
            <w:gridSpan w:val="30"/>
          </w:tcPr>
          <w:p w14:paraId="497751AF" w14:textId="77777777" w:rsidR="003D210A" w:rsidRPr="00C15639" w:rsidRDefault="003D210A" w:rsidP="005A428D">
            <w:pPr>
              <w:pStyle w:val="1ff0"/>
              <w:spacing w:line="360" w:lineRule="auto"/>
              <w:jc w:val="center"/>
              <w:rPr>
                <w:sz w:val="24"/>
                <w:szCs w:val="24"/>
              </w:rPr>
            </w:pPr>
          </w:p>
        </w:tc>
      </w:tr>
      <w:tr w:rsidR="003D210A" w:rsidRPr="00C15639" w14:paraId="01C1E24B" w14:textId="77777777" w:rsidTr="005A428D">
        <w:trPr>
          <w:gridAfter w:val="14"/>
          <w:wAfter w:w="4901" w:type="dxa"/>
          <w:cantSplit/>
        </w:trPr>
        <w:tc>
          <w:tcPr>
            <w:tcW w:w="4173" w:type="dxa"/>
            <w:gridSpan w:val="26"/>
            <w:tcBorders>
              <w:right w:val="single" w:sz="6" w:space="0" w:color="auto"/>
            </w:tcBorders>
          </w:tcPr>
          <w:p w14:paraId="77910BB7" w14:textId="77777777" w:rsidR="003D210A" w:rsidRPr="00C15639" w:rsidRDefault="003D210A" w:rsidP="005A428D">
            <w:pPr>
              <w:pStyle w:val="1ff0"/>
              <w:spacing w:line="360" w:lineRule="auto"/>
              <w:jc w:val="center"/>
              <w:rPr>
                <w:sz w:val="24"/>
                <w:szCs w:val="24"/>
              </w:rPr>
            </w:pPr>
          </w:p>
        </w:tc>
        <w:tc>
          <w:tcPr>
            <w:tcW w:w="826" w:type="dxa"/>
            <w:gridSpan w:val="5"/>
            <w:tcBorders>
              <w:left w:val="nil"/>
            </w:tcBorders>
          </w:tcPr>
          <w:p w14:paraId="127B5A01" w14:textId="77777777" w:rsidR="003D210A" w:rsidRPr="00C15639" w:rsidRDefault="003D210A" w:rsidP="005A428D">
            <w:pPr>
              <w:pStyle w:val="1ff0"/>
              <w:spacing w:line="360" w:lineRule="auto"/>
              <w:rPr>
                <w:sz w:val="24"/>
                <w:szCs w:val="24"/>
              </w:rPr>
            </w:pPr>
          </w:p>
        </w:tc>
        <w:tc>
          <w:tcPr>
            <w:tcW w:w="3715" w:type="dxa"/>
            <w:gridSpan w:val="24"/>
            <w:tcBorders>
              <w:right w:val="single" w:sz="6" w:space="0" w:color="auto"/>
            </w:tcBorders>
          </w:tcPr>
          <w:p w14:paraId="21389462" w14:textId="77777777" w:rsidR="003D210A" w:rsidRPr="00C15639" w:rsidRDefault="003D210A" w:rsidP="005A428D">
            <w:pPr>
              <w:pStyle w:val="1ff0"/>
              <w:spacing w:line="360" w:lineRule="auto"/>
              <w:rPr>
                <w:sz w:val="24"/>
                <w:szCs w:val="24"/>
              </w:rPr>
            </w:pPr>
          </w:p>
        </w:tc>
        <w:tc>
          <w:tcPr>
            <w:tcW w:w="3582" w:type="dxa"/>
            <w:gridSpan w:val="41"/>
            <w:tcBorders>
              <w:left w:val="nil"/>
            </w:tcBorders>
          </w:tcPr>
          <w:p w14:paraId="12A13A0A" w14:textId="77777777" w:rsidR="003D210A" w:rsidRPr="00C15639" w:rsidRDefault="003D210A" w:rsidP="005A428D">
            <w:pPr>
              <w:pStyle w:val="1ff0"/>
              <w:spacing w:line="360" w:lineRule="auto"/>
              <w:jc w:val="center"/>
              <w:rPr>
                <w:sz w:val="24"/>
                <w:szCs w:val="24"/>
              </w:rPr>
            </w:pPr>
          </w:p>
        </w:tc>
        <w:tc>
          <w:tcPr>
            <w:tcW w:w="1420" w:type="dxa"/>
            <w:gridSpan w:val="14"/>
          </w:tcPr>
          <w:p w14:paraId="4E3C3B38" w14:textId="77777777" w:rsidR="003D210A" w:rsidRPr="00C15639" w:rsidRDefault="003D210A" w:rsidP="005A428D">
            <w:pPr>
              <w:rPr>
                <w:szCs w:val="24"/>
              </w:rPr>
            </w:pPr>
          </w:p>
        </w:tc>
        <w:tc>
          <w:tcPr>
            <w:tcW w:w="1420" w:type="dxa"/>
            <w:gridSpan w:val="11"/>
          </w:tcPr>
          <w:p w14:paraId="77B8A5E9" w14:textId="77777777" w:rsidR="003D210A" w:rsidRPr="00C15639" w:rsidRDefault="003D210A" w:rsidP="005A428D">
            <w:pPr>
              <w:rPr>
                <w:szCs w:val="24"/>
              </w:rPr>
            </w:pPr>
          </w:p>
        </w:tc>
      </w:tr>
      <w:tr w:rsidR="003D210A" w:rsidRPr="00C15639" w14:paraId="5CDC8543" w14:textId="77777777" w:rsidTr="005A428D">
        <w:trPr>
          <w:gridAfter w:val="1"/>
        </w:trPr>
        <w:tc>
          <w:tcPr>
            <w:tcW w:w="3186" w:type="dxa"/>
            <w:gridSpan w:val="20"/>
          </w:tcPr>
          <w:p w14:paraId="06131A76" w14:textId="77777777" w:rsidR="003D210A" w:rsidRPr="00C15639" w:rsidRDefault="003D210A" w:rsidP="005A428D">
            <w:pPr>
              <w:pStyle w:val="1ff0"/>
              <w:spacing w:line="360" w:lineRule="auto"/>
              <w:rPr>
                <w:sz w:val="24"/>
                <w:szCs w:val="24"/>
              </w:rPr>
            </w:pPr>
          </w:p>
        </w:tc>
        <w:tc>
          <w:tcPr>
            <w:tcW w:w="9416" w:type="dxa"/>
            <w:gridSpan w:val="80"/>
            <w:tcBorders>
              <w:top w:val="single" w:sz="6" w:space="0" w:color="auto"/>
              <w:left w:val="single" w:sz="6" w:space="0" w:color="auto"/>
              <w:bottom w:val="single" w:sz="6" w:space="0" w:color="auto"/>
              <w:right w:val="single" w:sz="6" w:space="0" w:color="auto"/>
            </w:tcBorders>
          </w:tcPr>
          <w:p w14:paraId="25EAD1BA" w14:textId="77777777" w:rsidR="003D210A" w:rsidRPr="00C15639" w:rsidRDefault="003D210A" w:rsidP="005A428D">
            <w:pPr>
              <w:pStyle w:val="1ff0"/>
              <w:spacing w:line="360" w:lineRule="auto"/>
              <w:jc w:val="center"/>
              <w:rPr>
                <w:sz w:val="24"/>
                <w:szCs w:val="24"/>
              </w:rPr>
            </w:pPr>
            <w:r w:rsidRPr="00C15639">
              <w:rPr>
                <w:sz w:val="24"/>
                <w:szCs w:val="24"/>
              </w:rPr>
              <w:t>Фибробронхоскопия + бронхоальвеолярный лаваж</w:t>
            </w:r>
          </w:p>
        </w:tc>
        <w:tc>
          <w:tcPr>
            <w:tcW w:w="1425" w:type="dxa"/>
            <w:gridSpan w:val="13"/>
          </w:tcPr>
          <w:p w14:paraId="3C7C8129" w14:textId="77777777" w:rsidR="003D210A" w:rsidRPr="00C15639" w:rsidRDefault="003D210A" w:rsidP="005A428D">
            <w:pPr>
              <w:rPr>
                <w:szCs w:val="24"/>
              </w:rPr>
            </w:pPr>
          </w:p>
        </w:tc>
        <w:tc>
          <w:tcPr>
            <w:tcW w:w="1425" w:type="dxa"/>
            <w:gridSpan w:val="10"/>
          </w:tcPr>
          <w:p w14:paraId="0F73E01F" w14:textId="77777777" w:rsidR="003D210A" w:rsidRPr="00C15639" w:rsidRDefault="003D210A" w:rsidP="005A428D">
            <w:pPr>
              <w:rPr>
                <w:szCs w:val="24"/>
              </w:rPr>
            </w:pPr>
          </w:p>
        </w:tc>
        <w:tc>
          <w:tcPr>
            <w:tcW w:w="1425" w:type="dxa"/>
            <w:gridSpan w:val="7"/>
          </w:tcPr>
          <w:p w14:paraId="6B69B55D" w14:textId="77777777" w:rsidR="003D210A" w:rsidRPr="00C15639" w:rsidRDefault="003D210A" w:rsidP="005A428D">
            <w:pPr>
              <w:rPr>
                <w:szCs w:val="24"/>
              </w:rPr>
            </w:pPr>
          </w:p>
        </w:tc>
        <w:tc>
          <w:tcPr>
            <w:tcW w:w="3160" w:type="dxa"/>
            <w:gridSpan w:val="4"/>
          </w:tcPr>
          <w:p w14:paraId="515FA227" w14:textId="77777777" w:rsidR="003D210A" w:rsidRPr="00C15639" w:rsidRDefault="003D210A" w:rsidP="005A428D">
            <w:pPr>
              <w:rPr>
                <w:szCs w:val="24"/>
              </w:rPr>
            </w:pPr>
          </w:p>
        </w:tc>
      </w:tr>
      <w:tr w:rsidR="003D210A" w:rsidRPr="00C15639" w14:paraId="76B97C7D" w14:textId="77777777" w:rsidTr="005A428D">
        <w:trPr>
          <w:gridAfter w:val="50"/>
          <w:wAfter w:w="8464" w:type="dxa"/>
          <w:cantSplit/>
        </w:trPr>
        <w:tc>
          <w:tcPr>
            <w:tcW w:w="1184" w:type="dxa"/>
            <w:gridSpan w:val="6"/>
          </w:tcPr>
          <w:p w14:paraId="12F1460A" w14:textId="77777777" w:rsidR="003D210A" w:rsidRPr="00C15639" w:rsidRDefault="003D210A" w:rsidP="005A428D">
            <w:pPr>
              <w:pStyle w:val="1ff0"/>
              <w:spacing w:line="360" w:lineRule="auto"/>
              <w:rPr>
                <w:sz w:val="24"/>
                <w:szCs w:val="24"/>
              </w:rPr>
            </w:pPr>
          </w:p>
        </w:tc>
        <w:tc>
          <w:tcPr>
            <w:tcW w:w="1297" w:type="dxa"/>
            <w:gridSpan w:val="8"/>
          </w:tcPr>
          <w:p w14:paraId="4D18BA49" w14:textId="77777777" w:rsidR="003D210A" w:rsidRPr="00C15639" w:rsidRDefault="003D210A" w:rsidP="005A428D">
            <w:pPr>
              <w:pStyle w:val="1ff0"/>
              <w:spacing w:line="360" w:lineRule="auto"/>
              <w:rPr>
                <w:sz w:val="24"/>
                <w:szCs w:val="24"/>
              </w:rPr>
            </w:pPr>
          </w:p>
        </w:tc>
        <w:tc>
          <w:tcPr>
            <w:tcW w:w="3770" w:type="dxa"/>
            <w:gridSpan w:val="23"/>
            <w:tcBorders>
              <w:right w:val="single" w:sz="6" w:space="0" w:color="auto"/>
            </w:tcBorders>
          </w:tcPr>
          <w:p w14:paraId="48AF5564" w14:textId="77777777" w:rsidR="003D210A" w:rsidRPr="00C15639" w:rsidRDefault="003D210A" w:rsidP="005A428D">
            <w:pPr>
              <w:pStyle w:val="1ff0"/>
              <w:spacing w:line="360" w:lineRule="auto"/>
              <w:rPr>
                <w:sz w:val="24"/>
                <w:szCs w:val="24"/>
              </w:rPr>
            </w:pPr>
          </w:p>
        </w:tc>
        <w:tc>
          <w:tcPr>
            <w:tcW w:w="1268" w:type="dxa"/>
            <w:gridSpan w:val="6"/>
          </w:tcPr>
          <w:p w14:paraId="096BB320" w14:textId="77777777" w:rsidR="003D210A" w:rsidRPr="00C15639" w:rsidRDefault="003D210A" w:rsidP="005A428D">
            <w:pPr>
              <w:pStyle w:val="1ff0"/>
              <w:spacing w:line="360" w:lineRule="auto"/>
              <w:rPr>
                <w:sz w:val="24"/>
                <w:szCs w:val="24"/>
              </w:rPr>
            </w:pPr>
          </w:p>
        </w:tc>
        <w:tc>
          <w:tcPr>
            <w:tcW w:w="2642" w:type="dxa"/>
            <w:gridSpan w:val="29"/>
          </w:tcPr>
          <w:p w14:paraId="03C38548" w14:textId="77777777" w:rsidR="003D210A" w:rsidRPr="00C15639" w:rsidRDefault="003D210A" w:rsidP="005A428D">
            <w:pPr>
              <w:pStyle w:val="1ff0"/>
              <w:spacing w:line="360" w:lineRule="auto"/>
              <w:rPr>
                <w:sz w:val="24"/>
                <w:szCs w:val="24"/>
              </w:rPr>
            </w:pPr>
          </w:p>
        </w:tc>
        <w:tc>
          <w:tcPr>
            <w:tcW w:w="1412" w:type="dxa"/>
            <w:gridSpan w:val="13"/>
          </w:tcPr>
          <w:p w14:paraId="7EDCC689" w14:textId="77777777" w:rsidR="003D210A" w:rsidRPr="00C15639" w:rsidRDefault="003D210A" w:rsidP="005A428D">
            <w:pPr>
              <w:rPr>
                <w:szCs w:val="24"/>
              </w:rPr>
            </w:pPr>
          </w:p>
        </w:tc>
      </w:tr>
      <w:tr w:rsidR="003D210A" w:rsidRPr="00C15639" w14:paraId="5F3B831E" w14:textId="77777777" w:rsidTr="005A428D">
        <w:trPr>
          <w:gridBefore w:val="13"/>
          <w:gridAfter w:val="3"/>
          <w:wBefore w:w="2052" w:type="dxa"/>
          <w:wAfter w:w="2423" w:type="dxa"/>
          <w:cantSplit/>
        </w:trPr>
        <w:tc>
          <w:tcPr>
            <w:tcW w:w="8442" w:type="dxa"/>
            <w:gridSpan w:val="60"/>
            <w:tcBorders>
              <w:top w:val="single" w:sz="6" w:space="0" w:color="auto"/>
              <w:left w:val="single" w:sz="6" w:space="0" w:color="auto"/>
              <w:bottom w:val="single" w:sz="6" w:space="0" w:color="auto"/>
              <w:right w:val="single" w:sz="6" w:space="0" w:color="auto"/>
            </w:tcBorders>
          </w:tcPr>
          <w:p w14:paraId="44E9B807" w14:textId="77777777" w:rsidR="003D210A" w:rsidRPr="00C15639" w:rsidRDefault="003D210A" w:rsidP="005A428D">
            <w:pPr>
              <w:pStyle w:val="1ff0"/>
              <w:spacing w:line="360" w:lineRule="auto"/>
              <w:jc w:val="center"/>
              <w:rPr>
                <w:sz w:val="24"/>
                <w:szCs w:val="24"/>
              </w:rPr>
            </w:pPr>
            <w:r w:rsidRPr="00C15639">
              <w:rPr>
                <w:sz w:val="24"/>
                <w:szCs w:val="24"/>
              </w:rPr>
              <w:t>Исследование лаважной жидкости, сыворотки, мочи</w:t>
            </w:r>
          </w:p>
        </w:tc>
        <w:tc>
          <w:tcPr>
            <w:tcW w:w="1424" w:type="dxa"/>
            <w:gridSpan w:val="15"/>
          </w:tcPr>
          <w:p w14:paraId="5545BEAE" w14:textId="77777777" w:rsidR="003D210A" w:rsidRPr="00C15639" w:rsidRDefault="003D210A" w:rsidP="005A428D">
            <w:pPr>
              <w:rPr>
                <w:szCs w:val="24"/>
              </w:rPr>
            </w:pPr>
          </w:p>
        </w:tc>
        <w:tc>
          <w:tcPr>
            <w:tcW w:w="1424" w:type="dxa"/>
            <w:gridSpan w:val="16"/>
          </w:tcPr>
          <w:p w14:paraId="6FB106C1" w14:textId="77777777" w:rsidR="003D210A" w:rsidRPr="00C15639" w:rsidRDefault="003D210A" w:rsidP="005A428D">
            <w:pPr>
              <w:rPr>
                <w:szCs w:val="24"/>
              </w:rPr>
            </w:pPr>
          </w:p>
        </w:tc>
        <w:tc>
          <w:tcPr>
            <w:tcW w:w="1424" w:type="dxa"/>
            <w:gridSpan w:val="12"/>
          </w:tcPr>
          <w:p w14:paraId="755D0961" w14:textId="77777777" w:rsidR="003D210A" w:rsidRPr="00C15639" w:rsidRDefault="003D210A" w:rsidP="005A428D">
            <w:pPr>
              <w:rPr>
                <w:szCs w:val="24"/>
              </w:rPr>
            </w:pPr>
          </w:p>
        </w:tc>
        <w:tc>
          <w:tcPr>
            <w:tcW w:w="1424" w:type="dxa"/>
            <w:gridSpan w:val="10"/>
          </w:tcPr>
          <w:p w14:paraId="0D3DC467" w14:textId="77777777" w:rsidR="003D210A" w:rsidRPr="00C15639" w:rsidRDefault="003D210A" w:rsidP="005A428D">
            <w:pPr>
              <w:rPr>
                <w:szCs w:val="24"/>
              </w:rPr>
            </w:pPr>
          </w:p>
        </w:tc>
        <w:tc>
          <w:tcPr>
            <w:tcW w:w="1424" w:type="dxa"/>
            <w:gridSpan w:val="6"/>
          </w:tcPr>
          <w:p w14:paraId="15A46821" w14:textId="77777777" w:rsidR="003D210A" w:rsidRPr="00C15639" w:rsidRDefault="003D210A" w:rsidP="005A428D">
            <w:pPr>
              <w:rPr>
                <w:szCs w:val="24"/>
              </w:rPr>
            </w:pPr>
          </w:p>
        </w:tc>
      </w:tr>
      <w:tr w:rsidR="003D210A" w:rsidRPr="00C15639" w14:paraId="0B166827" w14:textId="77777777" w:rsidTr="005A428D">
        <w:trPr>
          <w:gridBefore w:val="4"/>
          <w:gridAfter w:val="28"/>
          <w:wBefore w:w="778" w:type="dxa"/>
          <w:wAfter w:w="6503" w:type="dxa"/>
          <w:cantSplit/>
        </w:trPr>
        <w:tc>
          <w:tcPr>
            <w:tcW w:w="849" w:type="dxa"/>
            <w:gridSpan w:val="6"/>
            <w:tcBorders>
              <w:top w:val="single" w:sz="6" w:space="0" w:color="auto"/>
              <w:left w:val="single" w:sz="6" w:space="0" w:color="auto"/>
              <w:bottom w:val="single" w:sz="6" w:space="0" w:color="auto"/>
            </w:tcBorders>
          </w:tcPr>
          <w:p w14:paraId="0921FA88" w14:textId="77777777" w:rsidR="003D210A" w:rsidRPr="00C15639" w:rsidRDefault="003D210A" w:rsidP="005A428D">
            <w:pPr>
              <w:pStyle w:val="1ff0"/>
              <w:spacing w:line="360" w:lineRule="auto"/>
              <w:rPr>
                <w:sz w:val="24"/>
                <w:szCs w:val="24"/>
              </w:rPr>
            </w:pPr>
          </w:p>
        </w:tc>
        <w:tc>
          <w:tcPr>
            <w:tcW w:w="1559" w:type="dxa"/>
            <w:gridSpan w:val="10"/>
            <w:tcBorders>
              <w:top w:val="single" w:sz="6" w:space="0" w:color="auto"/>
              <w:right w:val="single" w:sz="6" w:space="0" w:color="auto"/>
            </w:tcBorders>
          </w:tcPr>
          <w:p w14:paraId="7794E4B5" w14:textId="77777777" w:rsidR="003D210A" w:rsidRPr="00C15639" w:rsidRDefault="003D210A" w:rsidP="005A428D">
            <w:pPr>
              <w:pStyle w:val="1ff0"/>
              <w:spacing w:line="360" w:lineRule="auto"/>
              <w:rPr>
                <w:sz w:val="24"/>
                <w:szCs w:val="24"/>
              </w:rPr>
            </w:pPr>
          </w:p>
        </w:tc>
        <w:tc>
          <w:tcPr>
            <w:tcW w:w="1957" w:type="dxa"/>
            <w:gridSpan w:val="12"/>
            <w:tcBorders>
              <w:left w:val="single" w:sz="6" w:space="0" w:color="auto"/>
              <w:right w:val="single" w:sz="6" w:space="0" w:color="auto"/>
            </w:tcBorders>
          </w:tcPr>
          <w:p w14:paraId="2616E187" w14:textId="77777777" w:rsidR="003D210A" w:rsidRPr="00C15639" w:rsidRDefault="003D210A" w:rsidP="005A428D">
            <w:pPr>
              <w:pStyle w:val="1ff0"/>
              <w:spacing w:line="360" w:lineRule="auto"/>
              <w:rPr>
                <w:sz w:val="24"/>
                <w:szCs w:val="24"/>
              </w:rPr>
            </w:pPr>
          </w:p>
        </w:tc>
        <w:tc>
          <w:tcPr>
            <w:tcW w:w="3139" w:type="dxa"/>
            <w:gridSpan w:val="21"/>
            <w:tcBorders>
              <w:top w:val="single" w:sz="6" w:space="0" w:color="auto"/>
              <w:left w:val="single" w:sz="6" w:space="0" w:color="auto"/>
              <w:right w:val="single" w:sz="6" w:space="0" w:color="auto"/>
            </w:tcBorders>
          </w:tcPr>
          <w:p w14:paraId="56D6AF90" w14:textId="77777777" w:rsidR="003D210A" w:rsidRPr="00C15639" w:rsidRDefault="003D210A" w:rsidP="005A428D">
            <w:pPr>
              <w:pStyle w:val="1ff0"/>
              <w:spacing w:line="360" w:lineRule="auto"/>
              <w:rPr>
                <w:sz w:val="24"/>
                <w:szCs w:val="24"/>
              </w:rPr>
            </w:pPr>
          </w:p>
        </w:tc>
        <w:tc>
          <w:tcPr>
            <w:tcW w:w="3425" w:type="dxa"/>
            <w:gridSpan w:val="33"/>
            <w:tcBorders>
              <w:top w:val="single" w:sz="6" w:space="0" w:color="auto"/>
              <w:left w:val="single" w:sz="6" w:space="0" w:color="auto"/>
              <w:right w:val="single" w:sz="6" w:space="0" w:color="auto"/>
            </w:tcBorders>
          </w:tcPr>
          <w:p w14:paraId="051A1802" w14:textId="77777777" w:rsidR="003D210A" w:rsidRPr="00C15639" w:rsidRDefault="003D210A" w:rsidP="005A428D">
            <w:pPr>
              <w:pStyle w:val="1ff0"/>
              <w:spacing w:line="360" w:lineRule="auto"/>
              <w:rPr>
                <w:sz w:val="24"/>
                <w:szCs w:val="24"/>
              </w:rPr>
            </w:pPr>
          </w:p>
        </w:tc>
        <w:tc>
          <w:tcPr>
            <w:tcW w:w="1827" w:type="dxa"/>
            <w:gridSpan w:val="21"/>
            <w:tcBorders>
              <w:left w:val="single" w:sz="6" w:space="0" w:color="auto"/>
            </w:tcBorders>
          </w:tcPr>
          <w:p w14:paraId="5517BF65" w14:textId="77777777" w:rsidR="003D210A" w:rsidRPr="00C15639" w:rsidRDefault="003D210A" w:rsidP="005A428D">
            <w:pPr>
              <w:pStyle w:val="1ff0"/>
              <w:spacing w:line="360" w:lineRule="auto"/>
              <w:rPr>
                <w:sz w:val="24"/>
                <w:szCs w:val="24"/>
              </w:rPr>
            </w:pPr>
          </w:p>
        </w:tc>
      </w:tr>
      <w:tr w:rsidR="003D210A" w:rsidRPr="00C15639" w14:paraId="67BAD3B4" w14:textId="77777777" w:rsidTr="005A428D">
        <w:tblPrEx>
          <w:tblCellMar>
            <w:left w:w="71" w:type="dxa"/>
            <w:right w:w="71" w:type="dxa"/>
          </w:tblCellMar>
        </w:tblPrEx>
        <w:trPr>
          <w:gridAfter w:val="11"/>
          <w:wAfter w:w="4368" w:type="dxa"/>
          <w:cantSplit/>
        </w:trPr>
        <w:tc>
          <w:tcPr>
            <w:tcW w:w="2481" w:type="dxa"/>
            <w:gridSpan w:val="14"/>
            <w:tcBorders>
              <w:top w:val="single" w:sz="6" w:space="0" w:color="auto"/>
              <w:left w:val="single" w:sz="6" w:space="0" w:color="auto"/>
              <w:bottom w:val="single" w:sz="6" w:space="0" w:color="auto"/>
              <w:right w:val="single" w:sz="6" w:space="0" w:color="auto"/>
            </w:tcBorders>
          </w:tcPr>
          <w:p w14:paraId="75A64734" w14:textId="77777777" w:rsidR="003D210A" w:rsidRPr="00C15639" w:rsidRDefault="003D210A" w:rsidP="005A428D">
            <w:pPr>
              <w:pStyle w:val="1ff0"/>
              <w:spacing w:line="360" w:lineRule="auto"/>
              <w:rPr>
                <w:sz w:val="24"/>
                <w:szCs w:val="24"/>
              </w:rPr>
            </w:pPr>
            <w:r w:rsidRPr="00C15639">
              <w:rPr>
                <w:sz w:val="24"/>
                <w:szCs w:val="24"/>
              </w:rPr>
              <w:t>Микробиологическое исследование + исследование на легионеллез (моча, лаваж)</w:t>
            </w:r>
          </w:p>
        </w:tc>
        <w:tc>
          <w:tcPr>
            <w:tcW w:w="2391" w:type="dxa"/>
            <w:gridSpan w:val="14"/>
            <w:tcBorders>
              <w:top w:val="single" w:sz="6" w:space="0" w:color="auto"/>
              <w:left w:val="single" w:sz="6" w:space="0" w:color="auto"/>
              <w:bottom w:val="single" w:sz="6" w:space="0" w:color="auto"/>
              <w:right w:val="single" w:sz="6" w:space="0" w:color="auto"/>
            </w:tcBorders>
          </w:tcPr>
          <w:p w14:paraId="07068816" w14:textId="77777777" w:rsidR="003D210A" w:rsidRPr="00C15639" w:rsidRDefault="003D210A" w:rsidP="005A428D">
            <w:pPr>
              <w:pStyle w:val="1ff0"/>
              <w:spacing w:line="360" w:lineRule="auto"/>
              <w:jc w:val="center"/>
              <w:rPr>
                <w:sz w:val="24"/>
                <w:szCs w:val="24"/>
              </w:rPr>
            </w:pPr>
            <w:r w:rsidRPr="00C15639">
              <w:rPr>
                <w:sz w:val="24"/>
                <w:szCs w:val="24"/>
              </w:rPr>
              <w:t>Исследование на уровень галактоманнана лаважа, сыворотки.</w:t>
            </w:r>
          </w:p>
        </w:tc>
        <w:tc>
          <w:tcPr>
            <w:tcW w:w="2659" w:type="dxa"/>
            <w:gridSpan w:val="16"/>
            <w:tcBorders>
              <w:top w:val="single" w:sz="6" w:space="0" w:color="auto"/>
              <w:left w:val="single" w:sz="6" w:space="0" w:color="auto"/>
              <w:bottom w:val="single" w:sz="6" w:space="0" w:color="auto"/>
              <w:right w:val="single" w:sz="6" w:space="0" w:color="auto"/>
            </w:tcBorders>
          </w:tcPr>
          <w:p w14:paraId="209F6094" w14:textId="77777777" w:rsidR="003D210A" w:rsidRPr="00C15639" w:rsidRDefault="003D210A" w:rsidP="005A428D">
            <w:pPr>
              <w:pStyle w:val="1ff0"/>
              <w:spacing w:line="360" w:lineRule="auto"/>
              <w:jc w:val="center"/>
              <w:rPr>
                <w:sz w:val="24"/>
                <w:szCs w:val="24"/>
              </w:rPr>
            </w:pPr>
            <w:r w:rsidRPr="00C15639">
              <w:rPr>
                <w:sz w:val="24"/>
                <w:szCs w:val="24"/>
              </w:rPr>
              <w:t>Бактериоскопия: окраски по Граму, Романовскому-Гимзе, Циль-Нильсену</w:t>
            </w:r>
          </w:p>
        </w:tc>
        <w:tc>
          <w:tcPr>
            <w:tcW w:w="1896" w:type="dxa"/>
            <w:gridSpan w:val="20"/>
            <w:tcBorders>
              <w:top w:val="single" w:sz="6" w:space="0" w:color="auto"/>
              <w:left w:val="single" w:sz="6" w:space="0" w:color="auto"/>
              <w:bottom w:val="single" w:sz="6" w:space="0" w:color="auto"/>
              <w:right w:val="single" w:sz="6" w:space="0" w:color="auto"/>
            </w:tcBorders>
          </w:tcPr>
          <w:p w14:paraId="1D48C42A" w14:textId="77777777" w:rsidR="003D210A" w:rsidRPr="00C15639" w:rsidRDefault="003D210A" w:rsidP="005A428D">
            <w:pPr>
              <w:pStyle w:val="1ff0"/>
              <w:spacing w:line="360" w:lineRule="auto"/>
              <w:jc w:val="center"/>
              <w:rPr>
                <w:sz w:val="24"/>
                <w:szCs w:val="24"/>
              </w:rPr>
            </w:pPr>
            <w:r w:rsidRPr="00C15639">
              <w:rPr>
                <w:sz w:val="24"/>
                <w:szCs w:val="24"/>
              </w:rPr>
              <w:t>Цитологическое исследование: окраска по Романовскому-Гимзе</w:t>
            </w:r>
          </w:p>
        </w:tc>
        <w:tc>
          <w:tcPr>
            <w:tcW w:w="2551" w:type="dxa"/>
            <w:gridSpan w:val="26"/>
            <w:tcBorders>
              <w:top w:val="single" w:sz="6" w:space="0" w:color="auto"/>
              <w:left w:val="single" w:sz="6" w:space="0" w:color="auto"/>
              <w:bottom w:val="single" w:sz="6" w:space="0" w:color="auto"/>
              <w:right w:val="single" w:sz="6" w:space="0" w:color="auto"/>
            </w:tcBorders>
          </w:tcPr>
          <w:p w14:paraId="0B9A5428" w14:textId="77777777" w:rsidR="003D210A" w:rsidRPr="00C15639" w:rsidRDefault="003D210A" w:rsidP="005A428D">
            <w:pPr>
              <w:pStyle w:val="1ff0"/>
              <w:spacing w:line="360" w:lineRule="auto"/>
              <w:rPr>
                <w:sz w:val="24"/>
                <w:szCs w:val="24"/>
              </w:rPr>
            </w:pPr>
            <w:r w:rsidRPr="00C15639">
              <w:rPr>
                <w:sz w:val="24"/>
                <w:szCs w:val="24"/>
              </w:rPr>
              <w:t>Выявление пневмоцист в мазках по Романовскому-Гимза, РИФ</w:t>
            </w:r>
          </w:p>
        </w:tc>
        <w:tc>
          <w:tcPr>
            <w:tcW w:w="3691" w:type="dxa"/>
            <w:gridSpan w:val="34"/>
            <w:tcBorders>
              <w:top w:val="single" w:sz="6" w:space="0" w:color="auto"/>
              <w:bottom w:val="single" w:sz="6" w:space="0" w:color="auto"/>
              <w:right w:val="single" w:sz="6" w:space="0" w:color="auto"/>
            </w:tcBorders>
          </w:tcPr>
          <w:p w14:paraId="3A9B2E4A" w14:textId="77777777" w:rsidR="003D210A" w:rsidRPr="00C15639" w:rsidRDefault="003D210A" w:rsidP="005A428D">
            <w:pPr>
              <w:pStyle w:val="1ff0"/>
              <w:spacing w:line="360" w:lineRule="auto"/>
              <w:rPr>
                <w:sz w:val="24"/>
                <w:szCs w:val="24"/>
              </w:rPr>
            </w:pPr>
            <w:r w:rsidRPr="00C15639">
              <w:rPr>
                <w:sz w:val="24"/>
                <w:szCs w:val="24"/>
              </w:rPr>
              <w:t>Выявление ЦМВ методом ПЦР (кровь, лаваж), определение</w:t>
            </w:r>
          </w:p>
          <w:p w14:paraId="6E4BA9B7" w14:textId="77777777" w:rsidR="003D210A" w:rsidRPr="00C15639" w:rsidRDefault="003D210A" w:rsidP="005A428D">
            <w:pPr>
              <w:pStyle w:val="1ff0"/>
              <w:spacing w:line="360" w:lineRule="auto"/>
              <w:rPr>
                <w:sz w:val="24"/>
                <w:szCs w:val="24"/>
              </w:rPr>
            </w:pPr>
            <w:r w:rsidRPr="00C15639">
              <w:rPr>
                <w:sz w:val="24"/>
                <w:szCs w:val="24"/>
              </w:rPr>
              <w:t xml:space="preserve"> антител IgM и IgG в сыворотке</w:t>
            </w:r>
          </w:p>
        </w:tc>
      </w:tr>
      <w:tr w:rsidR="003D210A" w:rsidRPr="00C15639" w14:paraId="42491EFF" w14:textId="77777777" w:rsidTr="005A428D">
        <w:trPr>
          <w:gridAfter w:val="43"/>
          <w:wAfter w:w="7898" w:type="dxa"/>
          <w:trHeight w:val="240"/>
        </w:trPr>
        <w:tc>
          <w:tcPr>
            <w:tcW w:w="1184" w:type="dxa"/>
            <w:gridSpan w:val="6"/>
          </w:tcPr>
          <w:p w14:paraId="055894E8" w14:textId="77777777" w:rsidR="003D210A" w:rsidRPr="00C15639" w:rsidRDefault="003D210A" w:rsidP="005A428D">
            <w:pPr>
              <w:pStyle w:val="1ff0"/>
              <w:spacing w:line="360" w:lineRule="auto"/>
              <w:rPr>
                <w:sz w:val="24"/>
                <w:szCs w:val="24"/>
              </w:rPr>
            </w:pPr>
          </w:p>
        </w:tc>
        <w:tc>
          <w:tcPr>
            <w:tcW w:w="443" w:type="dxa"/>
            <w:gridSpan w:val="4"/>
            <w:tcBorders>
              <w:left w:val="single" w:sz="6" w:space="0" w:color="auto"/>
            </w:tcBorders>
          </w:tcPr>
          <w:p w14:paraId="32554D11" w14:textId="77777777" w:rsidR="003D210A" w:rsidRPr="00C15639" w:rsidRDefault="003D210A" w:rsidP="005A428D">
            <w:pPr>
              <w:pStyle w:val="1ff0"/>
              <w:spacing w:line="360" w:lineRule="auto"/>
              <w:rPr>
                <w:sz w:val="24"/>
                <w:szCs w:val="24"/>
              </w:rPr>
            </w:pPr>
          </w:p>
        </w:tc>
        <w:tc>
          <w:tcPr>
            <w:tcW w:w="425" w:type="dxa"/>
            <w:gridSpan w:val="3"/>
          </w:tcPr>
          <w:p w14:paraId="0D7A5547" w14:textId="77777777" w:rsidR="003D210A" w:rsidRPr="00C15639" w:rsidRDefault="003D210A" w:rsidP="005A428D">
            <w:pPr>
              <w:pStyle w:val="1ff0"/>
              <w:spacing w:line="360" w:lineRule="auto"/>
              <w:rPr>
                <w:sz w:val="24"/>
                <w:szCs w:val="24"/>
              </w:rPr>
            </w:pPr>
          </w:p>
        </w:tc>
        <w:tc>
          <w:tcPr>
            <w:tcW w:w="7233" w:type="dxa"/>
            <w:gridSpan w:val="48"/>
            <w:tcBorders>
              <w:right w:val="single" w:sz="6" w:space="0" w:color="auto"/>
            </w:tcBorders>
          </w:tcPr>
          <w:p w14:paraId="29263EF0" w14:textId="77777777" w:rsidR="003D210A" w:rsidRPr="00C15639" w:rsidRDefault="003D210A" w:rsidP="005A428D">
            <w:pPr>
              <w:pStyle w:val="1ff0"/>
              <w:spacing w:line="360" w:lineRule="auto"/>
              <w:rPr>
                <w:sz w:val="24"/>
                <w:szCs w:val="24"/>
              </w:rPr>
            </w:pPr>
          </w:p>
        </w:tc>
        <w:tc>
          <w:tcPr>
            <w:tcW w:w="1440" w:type="dxa"/>
            <w:gridSpan w:val="14"/>
            <w:tcBorders>
              <w:left w:val="nil"/>
            </w:tcBorders>
          </w:tcPr>
          <w:p w14:paraId="3B49553B" w14:textId="77777777" w:rsidR="003D210A" w:rsidRPr="00C15639" w:rsidRDefault="003D210A" w:rsidP="005A428D">
            <w:pPr>
              <w:pStyle w:val="1ff0"/>
              <w:spacing w:line="360" w:lineRule="auto"/>
              <w:rPr>
                <w:sz w:val="24"/>
                <w:szCs w:val="24"/>
              </w:rPr>
            </w:pPr>
          </w:p>
        </w:tc>
        <w:tc>
          <w:tcPr>
            <w:tcW w:w="1414" w:type="dxa"/>
            <w:gridSpan w:val="17"/>
          </w:tcPr>
          <w:p w14:paraId="07577C53" w14:textId="77777777" w:rsidR="003D210A" w:rsidRPr="00C15639" w:rsidRDefault="003D210A" w:rsidP="005A428D">
            <w:pPr>
              <w:rPr>
                <w:szCs w:val="24"/>
              </w:rPr>
            </w:pPr>
          </w:p>
        </w:tc>
      </w:tr>
      <w:tr w:rsidR="003D210A" w:rsidRPr="00C15639" w14:paraId="6824702A" w14:textId="77777777" w:rsidTr="005A428D">
        <w:trPr>
          <w:gridAfter w:val="17"/>
          <w:wAfter w:w="5165" w:type="dxa"/>
        </w:trPr>
        <w:tc>
          <w:tcPr>
            <w:tcW w:w="3044" w:type="dxa"/>
            <w:gridSpan w:val="18"/>
            <w:tcBorders>
              <w:top w:val="single" w:sz="6" w:space="0" w:color="auto"/>
              <w:left w:val="single" w:sz="6" w:space="0" w:color="auto"/>
              <w:bottom w:val="single" w:sz="6" w:space="0" w:color="auto"/>
              <w:right w:val="single" w:sz="6" w:space="0" w:color="auto"/>
            </w:tcBorders>
          </w:tcPr>
          <w:p w14:paraId="0A36E1E0" w14:textId="77777777" w:rsidR="003D210A" w:rsidRPr="00C15639" w:rsidRDefault="003D210A" w:rsidP="005A428D">
            <w:pPr>
              <w:pStyle w:val="1ff0"/>
              <w:spacing w:line="360" w:lineRule="auto"/>
              <w:rPr>
                <w:sz w:val="24"/>
                <w:szCs w:val="24"/>
              </w:rPr>
            </w:pPr>
            <w:r w:rsidRPr="00C15639">
              <w:rPr>
                <w:sz w:val="24"/>
                <w:szCs w:val="24"/>
              </w:rPr>
              <w:t>Диагноз установлен</w:t>
            </w:r>
          </w:p>
        </w:tc>
        <w:tc>
          <w:tcPr>
            <w:tcW w:w="4496" w:type="dxa"/>
            <w:gridSpan w:val="27"/>
            <w:tcBorders>
              <w:left w:val="nil"/>
              <w:right w:val="single" w:sz="6" w:space="0" w:color="auto"/>
            </w:tcBorders>
          </w:tcPr>
          <w:p w14:paraId="7683FB8E" w14:textId="77777777" w:rsidR="003D210A" w:rsidRPr="00C15639" w:rsidRDefault="003D210A" w:rsidP="005A428D">
            <w:pPr>
              <w:pStyle w:val="1ff0"/>
              <w:spacing w:line="360" w:lineRule="auto"/>
              <w:jc w:val="center"/>
              <w:rPr>
                <w:sz w:val="24"/>
                <w:szCs w:val="24"/>
              </w:rPr>
            </w:pPr>
          </w:p>
        </w:tc>
        <w:tc>
          <w:tcPr>
            <w:tcW w:w="4279" w:type="dxa"/>
            <w:gridSpan w:val="42"/>
            <w:tcBorders>
              <w:top w:val="single" w:sz="6" w:space="0" w:color="auto"/>
              <w:left w:val="single" w:sz="6" w:space="0" w:color="auto"/>
              <w:bottom w:val="single" w:sz="6" w:space="0" w:color="auto"/>
              <w:right w:val="single" w:sz="6" w:space="0" w:color="auto"/>
            </w:tcBorders>
          </w:tcPr>
          <w:p w14:paraId="405664BB" w14:textId="77777777" w:rsidR="003D210A" w:rsidRPr="00C15639" w:rsidRDefault="003D210A" w:rsidP="005A428D">
            <w:pPr>
              <w:pStyle w:val="1ff0"/>
              <w:spacing w:line="360" w:lineRule="auto"/>
              <w:jc w:val="center"/>
              <w:rPr>
                <w:sz w:val="24"/>
                <w:szCs w:val="24"/>
              </w:rPr>
            </w:pPr>
            <w:r w:rsidRPr="00C15639">
              <w:rPr>
                <w:sz w:val="24"/>
                <w:szCs w:val="24"/>
              </w:rPr>
              <w:t>Диагноз не установлен</w:t>
            </w:r>
          </w:p>
        </w:tc>
        <w:tc>
          <w:tcPr>
            <w:tcW w:w="213" w:type="dxa"/>
            <w:gridSpan w:val="4"/>
          </w:tcPr>
          <w:p w14:paraId="4D63345F" w14:textId="77777777" w:rsidR="003D210A" w:rsidRPr="00C15639" w:rsidRDefault="003D210A" w:rsidP="005A428D">
            <w:pPr>
              <w:pStyle w:val="1ff0"/>
              <w:spacing w:line="360" w:lineRule="auto"/>
              <w:rPr>
                <w:sz w:val="24"/>
                <w:szCs w:val="24"/>
              </w:rPr>
            </w:pPr>
          </w:p>
        </w:tc>
        <w:tc>
          <w:tcPr>
            <w:tcW w:w="1420" w:type="dxa"/>
            <w:gridSpan w:val="15"/>
          </w:tcPr>
          <w:p w14:paraId="71DD0390" w14:textId="77777777" w:rsidR="003D210A" w:rsidRPr="00C15639" w:rsidRDefault="003D210A" w:rsidP="005A428D">
            <w:pPr>
              <w:rPr>
                <w:szCs w:val="24"/>
              </w:rPr>
            </w:pPr>
          </w:p>
        </w:tc>
        <w:tc>
          <w:tcPr>
            <w:tcW w:w="1420" w:type="dxa"/>
            <w:gridSpan w:val="12"/>
          </w:tcPr>
          <w:p w14:paraId="46DEB076" w14:textId="77777777" w:rsidR="003D210A" w:rsidRPr="00C15639" w:rsidRDefault="003D210A" w:rsidP="005A428D">
            <w:pPr>
              <w:rPr>
                <w:szCs w:val="24"/>
              </w:rPr>
            </w:pPr>
          </w:p>
        </w:tc>
      </w:tr>
      <w:tr w:rsidR="003D210A" w:rsidRPr="00C15639" w14:paraId="10B2EE06" w14:textId="77777777" w:rsidTr="005A428D">
        <w:trPr>
          <w:gridAfter w:val="16"/>
          <w:wAfter w:w="5017" w:type="dxa"/>
        </w:trPr>
        <w:tc>
          <w:tcPr>
            <w:tcW w:w="1201" w:type="dxa"/>
            <w:gridSpan w:val="7"/>
            <w:tcBorders>
              <w:right w:val="single" w:sz="6" w:space="0" w:color="auto"/>
            </w:tcBorders>
          </w:tcPr>
          <w:p w14:paraId="58EFD82B" w14:textId="77777777" w:rsidR="003D210A" w:rsidRPr="00C15639" w:rsidRDefault="003D210A" w:rsidP="005A428D">
            <w:pPr>
              <w:pStyle w:val="1ff0"/>
              <w:spacing w:line="360" w:lineRule="auto"/>
              <w:rPr>
                <w:sz w:val="24"/>
                <w:szCs w:val="24"/>
              </w:rPr>
            </w:pPr>
          </w:p>
        </w:tc>
        <w:tc>
          <w:tcPr>
            <w:tcW w:w="7655" w:type="dxa"/>
            <w:gridSpan w:val="52"/>
            <w:tcBorders>
              <w:left w:val="nil"/>
              <w:right w:val="single" w:sz="6" w:space="0" w:color="auto"/>
            </w:tcBorders>
          </w:tcPr>
          <w:p w14:paraId="0444CC75" w14:textId="77777777" w:rsidR="003D210A" w:rsidRPr="00C15639" w:rsidRDefault="003D210A" w:rsidP="005A428D">
            <w:pPr>
              <w:pStyle w:val="1ff0"/>
              <w:spacing w:line="360" w:lineRule="auto"/>
              <w:jc w:val="center"/>
              <w:rPr>
                <w:sz w:val="24"/>
                <w:szCs w:val="24"/>
              </w:rPr>
            </w:pPr>
          </w:p>
        </w:tc>
        <w:tc>
          <w:tcPr>
            <w:tcW w:w="1902" w:type="dxa"/>
            <w:gridSpan w:val="18"/>
            <w:tcBorders>
              <w:left w:val="nil"/>
            </w:tcBorders>
          </w:tcPr>
          <w:p w14:paraId="5E644805" w14:textId="77777777" w:rsidR="003D210A" w:rsidRPr="00C15639" w:rsidRDefault="003D210A" w:rsidP="005A428D">
            <w:pPr>
              <w:pStyle w:val="1ff0"/>
              <w:spacing w:line="360" w:lineRule="auto"/>
              <w:rPr>
                <w:sz w:val="24"/>
                <w:szCs w:val="24"/>
              </w:rPr>
            </w:pPr>
          </w:p>
        </w:tc>
        <w:tc>
          <w:tcPr>
            <w:tcW w:w="1422" w:type="dxa"/>
            <w:gridSpan w:val="17"/>
          </w:tcPr>
          <w:p w14:paraId="482BC567" w14:textId="77777777" w:rsidR="003D210A" w:rsidRPr="00C15639" w:rsidRDefault="003D210A" w:rsidP="005A428D">
            <w:pPr>
              <w:rPr>
                <w:szCs w:val="24"/>
              </w:rPr>
            </w:pPr>
          </w:p>
        </w:tc>
        <w:tc>
          <w:tcPr>
            <w:tcW w:w="1420" w:type="dxa"/>
            <w:gridSpan w:val="15"/>
          </w:tcPr>
          <w:p w14:paraId="5240D53C" w14:textId="77777777" w:rsidR="003D210A" w:rsidRPr="00C15639" w:rsidRDefault="003D210A" w:rsidP="005A428D">
            <w:pPr>
              <w:rPr>
                <w:szCs w:val="24"/>
              </w:rPr>
            </w:pPr>
          </w:p>
        </w:tc>
        <w:tc>
          <w:tcPr>
            <w:tcW w:w="1420" w:type="dxa"/>
            <w:gridSpan w:val="10"/>
          </w:tcPr>
          <w:p w14:paraId="1C415051" w14:textId="77777777" w:rsidR="003D210A" w:rsidRPr="00C15639" w:rsidRDefault="003D210A" w:rsidP="005A428D">
            <w:pPr>
              <w:rPr>
                <w:szCs w:val="24"/>
              </w:rPr>
            </w:pPr>
          </w:p>
        </w:tc>
      </w:tr>
      <w:tr w:rsidR="003D210A" w:rsidRPr="00C15639" w14:paraId="3B2F930D" w14:textId="77777777" w:rsidTr="005A428D">
        <w:trPr>
          <w:gridAfter w:val="16"/>
          <w:wAfter w:w="5017" w:type="dxa"/>
        </w:trPr>
        <w:tc>
          <w:tcPr>
            <w:tcW w:w="3044" w:type="dxa"/>
            <w:gridSpan w:val="18"/>
            <w:tcBorders>
              <w:top w:val="single" w:sz="6" w:space="0" w:color="auto"/>
              <w:left w:val="single" w:sz="6" w:space="0" w:color="auto"/>
              <w:bottom w:val="single" w:sz="6" w:space="0" w:color="auto"/>
              <w:right w:val="single" w:sz="6" w:space="0" w:color="auto"/>
            </w:tcBorders>
          </w:tcPr>
          <w:p w14:paraId="3B62114E" w14:textId="77777777" w:rsidR="003D210A" w:rsidRPr="00C15639" w:rsidRDefault="003D210A" w:rsidP="005A428D">
            <w:pPr>
              <w:pStyle w:val="1ff0"/>
              <w:spacing w:line="360" w:lineRule="auto"/>
              <w:jc w:val="center"/>
              <w:rPr>
                <w:sz w:val="24"/>
                <w:szCs w:val="24"/>
              </w:rPr>
            </w:pPr>
            <w:r w:rsidRPr="00C15639">
              <w:rPr>
                <w:sz w:val="24"/>
                <w:szCs w:val="24"/>
              </w:rPr>
              <w:t>Лечение 3-10 дней</w:t>
            </w:r>
          </w:p>
        </w:tc>
        <w:tc>
          <w:tcPr>
            <w:tcW w:w="5812" w:type="dxa"/>
            <w:gridSpan w:val="41"/>
            <w:tcBorders>
              <w:left w:val="nil"/>
              <w:right w:val="single" w:sz="6" w:space="0" w:color="auto"/>
            </w:tcBorders>
          </w:tcPr>
          <w:p w14:paraId="3C3EAEDC" w14:textId="77777777" w:rsidR="003D210A" w:rsidRPr="00C15639" w:rsidRDefault="003D210A" w:rsidP="005A428D">
            <w:pPr>
              <w:pStyle w:val="1ff0"/>
              <w:spacing w:line="360" w:lineRule="auto"/>
              <w:jc w:val="center"/>
              <w:rPr>
                <w:sz w:val="24"/>
                <w:szCs w:val="24"/>
              </w:rPr>
            </w:pPr>
          </w:p>
        </w:tc>
        <w:tc>
          <w:tcPr>
            <w:tcW w:w="1902" w:type="dxa"/>
            <w:gridSpan w:val="18"/>
            <w:tcBorders>
              <w:left w:val="nil"/>
            </w:tcBorders>
          </w:tcPr>
          <w:p w14:paraId="4BC6F960" w14:textId="77777777" w:rsidR="003D210A" w:rsidRPr="00C15639" w:rsidRDefault="003D210A" w:rsidP="005A428D">
            <w:pPr>
              <w:pStyle w:val="1ff0"/>
              <w:spacing w:line="360" w:lineRule="auto"/>
              <w:rPr>
                <w:sz w:val="24"/>
                <w:szCs w:val="24"/>
              </w:rPr>
            </w:pPr>
          </w:p>
        </w:tc>
        <w:tc>
          <w:tcPr>
            <w:tcW w:w="1422" w:type="dxa"/>
            <w:gridSpan w:val="17"/>
          </w:tcPr>
          <w:p w14:paraId="2B59AE58" w14:textId="77777777" w:rsidR="003D210A" w:rsidRPr="00C15639" w:rsidRDefault="003D210A" w:rsidP="005A428D">
            <w:pPr>
              <w:rPr>
                <w:szCs w:val="24"/>
              </w:rPr>
            </w:pPr>
          </w:p>
        </w:tc>
        <w:tc>
          <w:tcPr>
            <w:tcW w:w="1420" w:type="dxa"/>
            <w:gridSpan w:val="15"/>
          </w:tcPr>
          <w:p w14:paraId="2A8230F9" w14:textId="77777777" w:rsidR="003D210A" w:rsidRPr="00C15639" w:rsidRDefault="003D210A" w:rsidP="005A428D">
            <w:pPr>
              <w:rPr>
                <w:szCs w:val="24"/>
              </w:rPr>
            </w:pPr>
          </w:p>
        </w:tc>
        <w:tc>
          <w:tcPr>
            <w:tcW w:w="1420" w:type="dxa"/>
            <w:gridSpan w:val="10"/>
          </w:tcPr>
          <w:p w14:paraId="5F9D937A" w14:textId="77777777" w:rsidR="003D210A" w:rsidRPr="00C15639" w:rsidRDefault="003D210A" w:rsidP="005A428D">
            <w:pPr>
              <w:rPr>
                <w:szCs w:val="24"/>
              </w:rPr>
            </w:pPr>
          </w:p>
        </w:tc>
      </w:tr>
      <w:tr w:rsidR="003D210A" w:rsidRPr="00C15639" w14:paraId="39BF3E9F" w14:textId="77777777" w:rsidTr="005A428D">
        <w:trPr>
          <w:gridAfter w:val="43"/>
          <w:wAfter w:w="7898" w:type="dxa"/>
        </w:trPr>
        <w:tc>
          <w:tcPr>
            <w:tcW w:w="1184" w:type="dxa"/>
            <w:gridSpan w:val="6"/>
          </w:tcPr>
          <w:p w14:paraId="2B292A7F" w14:textId="77777777" w:rsidR="003D210A" w:rsidRPr="00C15639" w:rsidRDefault="003D210A" w:rsidP="005A428D">
            <w:pPr>
              <w:pStyle w:val="1ff0"/>
              <w:spacing w:line="360" w:lineRule="auto"/>
              <w:rPr>
                <w:sz w:val="24"/>
                <w:szCs w:val="24"/>
              </w:rPr>
            </w:pPr>
          </w:p>
        </w:tc>
        <w:tc>
          <w:tcPr>
            <w:tcW w:w="1297" w:type="dxa"/>
            <w:gridSpan w:val="8"/>
            <w:tcBorders>
              <w:left w:val="single" w:sz="6" w:space="0" w:color="auto"/>
            </w:tcBorders>
          </w:tcPr>
          <w:p w14:paraId="65501CA1" w14:textId="77777777" w:rsidR="003D210A" w:rsidRPr="00C15639" w:rsidRDefault="003D210A" w:rsidP="005A428D">
            <w:pPr>
              <w:pStyle w:val="1ff0"/>
              <w:spacing w:line="360" w:lineRule="auto"/>
              <w:rPr>
                <w:sz w:val="24"/>
                <w:szCs w:val="24"/>
              </w:rPr>
            </w:pPr>
          </w:p>
        </w:tc>
        <w:tc>
          <w:tcPr>
            <w:tcW w:w="1981" w:type="dxa"/>
            <w:gridSpan w:val="13"/>
            <w:tcBorders>
              <w:top w:val="single" w:sz="6" w:space="0" w:color="auto"/>
              <w:right w:val="single" w:sz="6" w:space="0" w:color="auto"/>
            </w:tcBorders>
          </w:tcPr>
          <w:p w14:paraId="4D674C2A" w14:textId="77777777" w:rsidR="003D210A" w:rsidRPr="00C15639" w:rsidRDefault="003D210A" w:rsidP="005A428D">
            <w:pPr>
              <w:pStyle w:val="1ff0"/>
              <w:spacing w:line="360" w:lineRule="auto"/>
              <w:rPr>
                <w:sz w:val="24"/>
                <w:szCs w:val="24"/>
              </w:rPr>
            </w:pPr>
          </w:p>
        </w:tc>
        <w:tc>
          <w:tcPr>
            <w:tcW w:w="4394" w:type="dxa"/>
            <w:gridSpan w:val="32"/>
            <w:tcBorders>
              <w:left w:val="nil"/>
            </w:tcBorders>
          </w:tcPr>
          <w:p w14:paraId="0EE1D4E2" w14:textId="77777777" w:rsidR="003D210A" w:rsidRPr="00C15639" w:rsidRDefault="003D210A" w:rsidP="005A428D">
            <w:pPr>
              <w:pStyle w:val="1ff0"/>
              <w:spacing w:line="360" w:lineRule="auto"/>
              <w:rPr>
                <w:sz w:val="24"/>
                <w:szCs w:val="24"/>
              </w:rPr>
            </w:pPr>
          </w:p>
        </w:tc>
        <w:tc>
          <w:tcPr>
            <w:tcW w:w="1869" w:type="dxa"/>
            <w:gridSpan w:val="16"/>
            <w:tcBorders>
              <w:left w:val="single" w:sz="6" w:space="0" w:color="auto"/>
            </w:tcBorders>
          </w:tcPr>
          <w:p w14:paraId="08B08B9E" w14:textId="77777777" w:rsidR="003D210A" w:rsidRPr="00C15639" w:rsidRDefault="003D210A" w:rsidP="005A428D">
            <w:pPr>
              <w:pStyle w:val="1ff0"/>
              <w:spacing w:line="360" w:lineRule="auto"/>
              <w:rPr>
                <w:sz w:val="24"/>
                <w:szCs w:val="24"/>
              </w:rPr>
            </w:pPr>
          </w:p>
        </w:tc>
        <w:tc>
          <w:tcPr>
            <w:tcW w:w="1414" w:type="dxa"/>
            <w:gridSpan w:val="17"/>
          </w:tcPr>
          <w:p w14:paraId="77E8D1A2" w14:textId="77777777" w:rsidR="003D210A" w:rsidRPr="00C15639" w:rsidRDefault="003D210A" w:rsidP="005A428D">
            <w:pPr>
              <w:rPr>
                <w:szCs w:val="24"/>
              </w:rPr>
            </w:pPr>
          </w:p>
        </w:tc>
      </w:tr>
      <w:tr w:rsidR="003D210A" w:rsidRPr="00C15639" w14:paraId="4193B173" w14:textId="77777777" w:rsidTr="005A428D">
        <w:trPr>
          <w:gridAfter w:val="26"/>
          <w:wAfter w:w="6437" w:type="dxa"/>
        </w:trPr>
        <w:tc>
          <w:tcPr>
            <w:tcW w:w="2619" w:type="dxa"/>
            <w:gridSpan w:val="16"/>
            <w:tcBorders>
              <w:top w:val="single" w:sz="6" w:space="0" w:color="auto"/>
              <w:left w:val="single" w:sz="6" w:space="0" w:color="auto"/>
              <w:bottom w:val="single" w:sz="6" w:space="0" w:color="auto"/>
              <w:right w:val="single" w:sz="6" w:space="0" w:color="auto"/>
            </w:tcBorders>
          </w:tcPr>
          <w:p w14:paraId="78D21C85" w14:textId="77777777" w:rsidR="003D210A" w:rsidRPr="00C15639" w:rsidRDefault="003D210A" w:rsidP="005A428D">
            <w:pPr>
              <w:pStyle w:val="1ff0"/>
              <w:spacing w:line="360" w:lineRule="auto"/>
              <w:rPr>
                <w:sz w:val="24"/>
                <w:szCs w:val="24"/>
              </w:rPr>
            </w:pPr>
            <w:r w:rsidRPr="00C15639">
              <w:rPr>
                <w:sz w:val="24"/>
                <w:szCs w:val="24"/>
              </w:rPr>
              <w:t>Лечение эффективно</w:t>
            </w:r>
          </w:p>
        </w:tc>
        <w:tc>
          <w:tcPr>
            <w:tcW w:w="425" w:type="dxa"/>
            <w:gridSpan w:val="2"/>
            <w:tcBorders>
              <w:left w:val="nil"/>
            </w:tcBorders>
          </w:tcPr>
          <w:p w14:paraId="2F9D1473" w14:textId="77777777" w:rsidR="003D210A" w:rsidRPr="00C15639" w:rsidRDefault="003D210A" w:rsidP="005A428D">
            <w:pPr>
              <w:pStyle w:val="1ff0"/>
              <w:spacing w:line="360" w:lineRule="auto"/>
              <w:rPr>
                <w:sz w:val="24"/>
                <w:szCs w:val="24"/>
              </w:rPr>
            </w:pPr>
          </w:p>
        </w:tc>
        <w:tc>
          <w:tcPr>
            <w:tcW w:w="5327" w:type="dxa"/>
            <w:gridSpan w:val="36"/>
            <w:tcBorders>
              <w:top w:val="single" w:sz="6" w:space="0" w:color="auto"/>
              <w:left w:val="single" w:sz="6" w:space="0" w:color="auto"/>
              <w:bottom w:val="single" w:sz="6" w:space="0" w:color="auto"/>
              <w:right w:val="single" w:sz="6" w:space="0" w:color="auto"/>
            </w:tcBorders>
          </w:tcPr>
          <w:p w14:paraId="38265C9D" w14:textId="77777777" w:rsidR="003D210A" w:rsidRPr="00C15639" w:rsidRDefault="003D210A" w:rsidP="005A428D">
            <w:pPr>
              <w:pStyle w:val="1ff0"/>
              <w:spacing w:line="360" w:lineRule="auto"/>
              <w:jc w:val="center"/>
              <w:rPr>
                <w:sz w:val="24"/>
                <w:szCs w:val="24"/>
              </w:rPr>
            </w:pPr>
            <w:r w:rsidRPr="00C15639">
              <w:rPr>
                <w:sz w:val="24"/>
                <w:szCs w:val="24"/>
              </w:rPr>
              <w:t>Отсутствует или недостаточный эффект лечения</w:t>
            </w:r>
          </w:p>
        </w:tc>
        <w:tc>
          <w:tcPr>
            <w:tcW w:w="485" w:type="dxa"/>
            <w:gridSpan w:val="5"/>
            <w:tcBorders>
              <w:left w:val="nil"/>
            </w:tcBorders>
          </w:tcPr>
          <w:p w14:paraId="32BBCEE6" w14:textId="77777777" w:rsidR="003D210A" w:rsidRPr="00C15639" w:rsidRDefault="003D210A" w:rsidP="005A428D">
            <w:pPr>
              <w:pStyle w:val="1ff0"/>
              <w:spacing w:line="360" w:lineRule="auto"/>
              <w:rPr>
                <w:sz w:val="24"/>
                <w:szCs w:val="24"/>
              </w:rPr>
            </w:pPr>
          </w:p>
        </w:tc>
        <w:tc>
          <w:tcPr>
            <w:tcW w:w="3324" w:type="dxa"/>
            <w:gridSpan w:val="35"/>
            <w:tcBorders>
              <w:left w:val="single" w:sz="6" w:space="0" w:color="auto"/>
            </w:tcBorders>
          </w:tcPr>
          <w:p w14:paraId="69FD1B8E" w14:textId="77777777" w:rsidR="003D210A" w:rsidRPr="00C15639" w:rsidRDefault="003D210A" w:rsidP="005A428D">
            <w:pPr>
              <w:rPr>
                <w:szCs w:val="24"/>
              </w:rPr>
            </w:pPr>
          </w:p>
        </w:tc>
        <w:tc>
          <w:tcPr>
            <w:tcW w:w="1420" w:type="dxa"/>
            <w:gridSpan w:val="15"/>
          </w:tcPr>
          <w:p w14:paraId="2E16F3CC" w14:textId="77777777" w:rsidR="003D210A" w:rsidRPr="00C15639" w:rsidRDefault="003D210A" w:rsidP="005A428D">
            <w:pPr>
              <w:rPr>
                <w:szCs w:val="24"/>
              </w:rPr>
            </w:pPr>
          </w:p>
        </w:tc>
      </w:tr>
      <w:tr w:rsidR="003D210A" w:rsidRPr="00C15639" w14:paraId="14FE5250" w14:textId="77777777" w:rsidTr="005A428D">
        <w:trPr>
          <w:gridAfter w:val="43"/>
          <w:wAfter w:w="7898" w:type="dxa"/>
        </w:trPr>
        <w:tc>
          <w:tcPr>
            <w:tcW w:w="1184" w:type="dxa"/>
            <w:gridSpan w:val="6"/>
          </w:tcPr>
          <w:p w14:paraId="5A0B6889" w14:textId="77777777" w:rsidR="003D210A" w:rsidRPr="00C15639" w:rsidRDefault="003D210A" w:rsidP="005A428D">
            <w:pPr>
              <w:pStyle w:val="1ff0"/>
              <w:spacing w:line="360" w:lineRule="auto"/>
              <w:rPr>
                <w:sz w:val="24"/>
                <w:szCs w:val="24"/>
              </w:rPr>
            </w:pPr>
          </w:p>
        </w:tc>
        <w:tc>
          <w:tcPr>
            <w:tcW w:w="1297" w:type="dxa"/>
            <w:gridSpan w:val="8"/>
          </w:tcPr>
          <w:p w14:paraId="02B62EDC" w14:textId="77777777" w:rsidR="003D210A" w:rsidRPr="00C15639" w:rsidRDefault="003D210A" w:rsidP="005A428D">
            <w:pPr>
              <w:pStyle w:val="1ff0"/>
              <w:spacing w:line="360" w:lineRule="auto"/>
              <w:rPr>
                <w:sz w:val="24"/>
                <w:szCs w:val="24"/>
              </w:rPr>
            </w:pPr>
          </w:p>
        </w:tc>
        <w:tc>
          <w:tcPr>
            <w:tcW w:w="1046" w:type="dxa"/>
            <w:gridSpan w:val="10"/>
          </w:tcPr>
          <w:p w14:paraId="22304E4B" w14:textId="77777777" w:rsidR="003D210A" w:rsidRPr="00C15639" w:rsidRDefault="003D210A" w:rsidP="005A428D">
            <w:pPr>
              <w:pStyle w:val="1ff0"/>
              <w:spacing w:line="360" w:lineRule="auto"/>
              <w:rPr>
                <w:sz w:val="24"/>
                <w:szCs w:val="24"/>
              </w:rPr>
            </w:pPr>
          </w:p>
        </w:tc>
        <w:tc>
          <w:tcPr>
            <w:tcW w:w="3023" w:type="dxa"/>
            <w:gridSpan w:val="15"/>
            <w:tcBorders>
              <w:right w:val="single" w:sz="6" w:space="0" w:color="auto"/>
            </w:tcBorders>
          </w:tcPr>
          <w:p w14:paraId="323858B5" w14:textId="77777777" w:rsidR="003D210A" w:rsidRPr="00C15639" w:rsidRDefault="003D210A" w:rsidP="005A428D">
            <w:pPr>
              <w:pStyle w:val="1ff0"/>
              <w:spacing w:line="360" w:lineRule="auto"/>
              <w:rPr>
                <w:sz w:val="24"/>
                <w:szCs w:val="24"/>
              </w:rPr>
            </w:pPr>
          </w:p>
        </w:tc>
        <w:tc>
          <w:tcPr>
            <w:tcW w:w="2306" w:type="dxa"/>
            <w:gridSpan w:val="20"/>
            <w:tcBorders>
              <w:left w:val="nil"/>
              <w:right w:val="single" w:sz="6" w:space="0" w:color="auto"/>
            </w:tcBorders>
          </w:tcPr>
          <w:p w14:paraId="36AFF0D8" w14:textId="77777777" w:rsidR="003D210A" w:rsidRPr="00C15639" w:rsidRDefault="003D210A" w:rsidP="005A428D">
            <w:pPr>
              <w:pStyle w:val="1ff0"/>
              <w:spacing w:line="360" w:lineRule="auto"/>
              <w:rPr>
                <w:sz w:val="24"/>
                <w:szCs w:val="24"/>
              </w:rPr>
            </w:pPr>
          </w:p>
        </w:tc>
        <w:tc>
          <w:tcPr>
            <w:tcW w:w="3283" w:type="dxa"/>
            <w:gridSpan w:val="33"/>
            <w:tcBorders>
              <w:left w:val="nil"/>
            </w:tcBorders>
          </w:tcPr>
          <w:p w14:paraId="16B76730" w14:textId="77777777" w:rsidR="003D210A" w:rsidRPr="00C15639" w:rsidRDefault="003D210A" w:rsidP="005A428D">
            <w:pPr>
              <w:rPr>
                <w:szCs w:val="24"/>
              </w:rPr>
            </w:pPr>
          </w:p>
        </w:tc>
      </w:tr>
      <w:tr w:rsidR="003D210A" w:rsidRPr="00C15639" w14:paraId="650C6682" w14:textId="77777777" w:rsidTr="005A428D">
        <w:trPr>
          <w:gridAfter w:val="23"/>
          <w:wAfter w:w="6149" w:type="dxa"/>
        </w:trPr>
        <w:tc>
          <w:tcPr>
            <w:tcW w:w="3328" w:type="dxa"/>
            <w:gridSpan w:val="22"/>
          </w:tcPr>
          <w:p w14:paraId="7BA8918A" w14:textId="77777777" w:rsidR="003D210A" w:rsidRPr="00C15639" w:rsidRDefault="003D210A" w:rsidP="005A428D">
            <w:pPr>
              <w:pStyle w:val="1ff0"/>
              <w:spacing w:line="360" w:lineRule="auto"/>
              <w:rPr>
                <w:sz w:val="24"/>
                <w:szCs w:val="24"/>
              </w:rPr>
            </w:pPr>
          </w:p>
        </w:tc>
        <w:tc>
          <w:tcPr>
            <w:tcW w:w="6492" w:type="dxa"/>
            <w:gridSpan w:val="46"/>
            <w:tcBorders>
              <w:top w:val="single" w:sz="6" w:space="0" w:color="auto"/>
              <w:left w:val="single" w:sz="6" w:space="0" w:color="auto"/>
              <w:bottom w:val="single" w:sz="6" w:space="0" w:color="auto"/>
              <w:right w:val="single" w:sz="6" w:space="0" w:color="auto"/>
            </w:tcBorders>
          </w:tcPr>
          <w:p w14:paraId="0CE44A1B" w14:textId="77777777" w:rsidR="003D210A" w:rsidRPr="00C15639" w:rsidRDefault="003D210A" w:rsidP="005A428D">
            <w:pPr>
              <w:pStyle w:val="1ff0"/>
              <w:spacing w:line="360" w:lineRule="auto"/>
              <w:jc w:val="center"/>
              <w:rPr>
                <w:sz w:val="24"/>
                <w:szCs w:val="24"/>
              </w:rPr>
            </w:pPr>
            <w:r w:rsidRPr="00C15639">
              <w:rPr>
                <w:sz w:val="24"/>
                <w:szCs w:val="24"/>
              </w:rPr>
              <w:t xml:space="preserve">Биопсия легкого </w:t>
            </w:r>
          </w:p>
        </w:tc>
        <w:tc>
          <w:tcPr>
            <w:tcW w:w="171" w:type="dxa"/>
            <w:gridSpan w:val="3"/>
          </w:tcPr>
          <w:p w14:paraId="2CFBA1BC" w14:textId="77777777" w:rsidR="003D210A" w:rsidRPr="00C15639" w:rsidRDefault="003D210A" w:rsidP="005A428D">
            <w:pPr>
              <w:pStyle w:val="1ff0"/>
              <w:spacing w:line="360" w:lineRule="auto"/>
              <w:rPr>
                <w:sz w:val="24"/>
                <w:szCs w:val="24"/>
              </w:rPr>
            </w:pPr>
          </w:p>
        </w:tc>
        <w:tc>
          <w:tcPr>
            <w:tcW w:w="1061" w:type="dxa"/>
            <w:gridSpan w:val="10"/>
          </w:tcPr>
          <w:p w14:paraId="4C787E6A" w14:textId="77777777" w:rsidR="003D210A" w:rsidRPr="00C15639" w:rsidRDefault="003D210A" w:rsidP="005A428D">
            <w:pPr>
              <w:pStyle w:val="1ff0"/>
              <w:spacing w:line="360" w:lineRule="auto"/>
              <w:rPr>
                <w:sz w:val="24"/>
                <w:szCs w:val="24"/>
              </w:rPr>
            </w:pPr>
          </w:p>
        </w:tc>
        <w:tc>
          <w:tcPr>
            <w:tcW w:w="1418" w:type="dxa"/>
            <w:gridSpan w:val="18"/>
          </w:tcPr>
          <w:p w14:paraId="45968F89" w14:textId="77777777" w:rsidR="003D210A" w:rsidRPr="00C15639" w:rsidRDefault="003D210A" w:rsidP="005A428D">
            <w:pPr>
              <w:rPr>
                <w:szCs w:val="24"/>
              </w:rPr>
            </w:pPr>
          </w:p>
        </w:tc>
        <w:tc>
          <w:tcPr>
            <w:tcW w:w="1418" w:type="dxa"/>
            <w:gridSpan w:val="13"/>
          </w:tcPr>
          <w:p w14:paraId="3C0D4B3E" w14:textId="77777777" w:rsidR="003D210A" w:rsidRPr="00C15639" w:rsidRDefault="003D210A" w:rsidP="005A428D">
            <w:pPr>
              <w:rPr>
                <w:szCs w:val="24"/>
              </w:rPr>
            </w:pPr>
          </w:p>
        </w:tc>
      </w:tr>
      <w:tr w:rsidR="003D210A" w:rsidRPr="00C15639" w14:paraId="5AB065CE" w14:textId="77777777" w:rsidTr="005A428D">
        <w:trPr>
          <w:gridAfter w:val="40"/>
          <w:wAfter w:w="7775" w:type="dxa"/>
          <w:cantSplit/>
        </w:trPr>
        <w:tc>
          <w:tcPr>
            <w:tcW w:w="1064" w:type="dxa"/>
            <w:gridSpan w:val="5"/>
          </w:tcPr>
          <w:p w14:paraId="27C57307" w14:textId="77777777" w:rsidR="003D210A" w:rsidRPr="00C15639" w:rsidRDefault="003D210A" w:rsidP="005A428D">
            <w:pPr>
              <w:pStyle w:val="1ff0"/>
              <w:spacing w:line="360" w:lineRule="auto"/>
              <w:rPr>
                <w:sz w:val="24"/>
                <w:szCs w:val="24"/>
              </w:rPr>
            </w:pPr>
          </w:p>
        </w:tc>
        <w:tc>
          <w:tcPr>
            <w:tcW w:w="1701" w:type="dxa"/>
            <w:gridSpan w:val="12"/>
            <w:tcBorders>
              <w:top w:val="single" w:sz="6" w:space="0" w:color="auto"/>
              <w:left w:val="single" w:sz="6" w:space="0" w:color="auto"/>
            </w:tcBorders>
          </w:tcPr>
          <w:p w14:paraId="5CDA994D" w14:textId="77777777" w:rsidR="003D210A" w:rsidRPr="00C15639" w:rsidRDefault="003D210A" w:rsidP="005A428D">
            <w:pPr>
              <w:pStyle w:val="1ff0"/>
              <w:spacing w:line="360" w:lineRule="auto"/>
              <w:rPr>
                <w:sz w:val="24"/>
                <w:szCs w:val="24"/>
              </w:rPr>
            </w:pPr>
          </w:p>
        </w:tc>
        <w:tc>
          <w:tcPr>
            <w:tcW w:w="2109" w:type="dxa"/>
            <w:gridSpan w:val="12"/>
            <w:tcBorders>
              <w:top w:val="single" w:sz="6" w:space="0" w:color="auto"/>
              <w:left w:val="single" w:sz="6" w:space="0" w:color="auto"/>
              <w:bottom w:val="single" w:sz="6" w:space="0" w:color="auto"/>
              <w:right w:val="single" w:sz="6" w:space="0" w:color="auto"/>
            </w:tcBorders>
          </w:tcPr>
          <w:p w14:paraId="4937FCEF" w14:textId="77777777" w:rsidR="003D210A" w:rsidRPr="00C15639" w:rsidRDefault="003D210A" w:rsidP="005A428D">
            <w:pPr>
              <w:pStyle w:val="1ff0"/>
              <w:spacing w:line="360" w:lineRule="auto"/>
              <w:jc w:val="center"/>
              <w:rPr>
                <w:sz w:val="24"/>
                <w:szCs w:val="24"/>
              </w:rPr>
            </w:pPr>
          </w:p>
        </w:tc>
        <w:tc>
          <w:tcPr>
            <w:tcW w:w="2143" w:type="dxa"/>
            <w:gridSpan w:val="12"/>
            <w:tcBorders>
              <w:top w:val="single" w:sz="6" w:space="0" w:color="auto"/>
            </w:tcBorders>
          </w:tcPr>
          <w:p w14:paraId="03EF2E20" w14:textId="77777777" w:rsidR="003D210A" w:rsidRPr="00C15639" w:rsidRDefault="003D210A" w:rsidP="005A428D">
            <w:pPr>
              <w:pStyle w:val="1ff0"/>
              <w:spacing w:line="360" w:lineRule="auto"/>
              <w:rPr>
                <w:sz w:val="24"/>
                <w:szCs w:val="24"/>
              </w:rPr>
            </w:pPr>
          </w:p>
        </w:tc>
        <w:tc>
          <w:tcPr>
            <w:tcW w:w="1699" w:type="dxa"/>
            <w:gridSpan w:val="15"/>
            <w:tcBorders>
              <w:top w:val="single" w:sz="6" w:space="0" w:color="auto"/>
              <w:left w:val="single" w:sz="6" w:space="0" w:color="auto"/>
              <w:right w:val="single" w:sz="6" w:space="0" w:color="auto"/>
            </w:tcBorders>
          </w:tcPr>
          <w:p w14:paraId="09C9382D" w14:textId="77777777" w:rsidR="003D210A" w:rsidRPr="00C15639" w:rsidRDefault="003D210A" w:rsidP="005A428D">
            <w:pPr>
              <w:pStyle w:val="1ff0"/>
              <w:spacing w:line="360" w:lineRule="auto"/>
              <w:rPr>
                <w:sz w:val="24"/>
                <w:szCs w:val="24"/>
              </w:rPr>
            </w:pPr>
          </w:p>
        </w:tc>
        <w:tc>
          <w:tcPr>
            <w:tcW w:w="3546" w:type="dxa"/>
            <w:gridSpan w:val="39"/>
            <w:tcBorders>
              <w:top w:val="single" w:sz="6" w:space="0" w:color="auto"/>
              <w:right w:val="single" w:sz="6" w:space="0" w:color="auto"/>
            </w:tcBorders>
          </w:tcPr>
          <w:p w14:paraId="077CD2D2" w14:textId="77777777" w:rsidR="003D210A" w:rsidRPr="00C15639" w:rsidRDefault="003D210A" w:rsidP="005A428D">
            <w:pPr>
              <w:pStyle w:val="1ff0"/>
              <w:spacing w:line="360" w:lineRule="auto"/>
              <w:rPr>
                <w:sz w:val="24"/>
                <w:szCs w:val="24"/>
              </w:rPr>
            </w:pPr>
          </w:p>
        </w:tc>
      </w:tr>
      <w:tr w:rsidR="003D210A" w:rsidRPr="00C15639" w14:paraId="6D4345CB" w14:textId="77777777" w:rsidTr="005A428D">
        <w:trPr>
          <w:gridAfter w:val="1"/>
          <w:cantSplit/>
        </w:trPr>
        <w:tc>
          <w:tcPr>
            <w:tcW w:w="1347" w:type="dxa"/>
            <w:gridSpan w:val="8"/>
            <w:tcBorders>
              <w:top w:val="single" w:sz="6" w:space="0" w:color="auto"/>
              <w:left w:val="single" w:sz="6" w:space="0" w:color="auto"/>
              <w:bottom w:val="single" w:sz="6" w:space="0" w:color="auto"/>
              <w:right w:val="single" w:sz="6" w:space="0" w:color="auto"/>
            </w:tcBorders>
          </w:tcPr>
          <w:p w14:paraId="3C3E6D6C" w14:textId="77777777" w:rsidR="003D210A" w:rsidRPr="00C15639" w:rsidRDefault="003D210A" w:rsidP="005A428D">
            <w:pPr>
              <w:pStyle w:val="1ff0"/>
              <w:spacing w:line="360" w:lineRule="auto"/>
              <w:rPr>
                <w:sz w:val="24"/>
                <w:szCs w:val="24"/>
              </w:rPr>
            </w:pPr>
            <w:r w:rsidRPr="00C15639">
              <w:rPr>
                <w:sz w:val="24"/>
                <w:szCs w:val="24"/>
              </w:rPr>
              <w:t>Цитология отпечатков</w:t>
            </w:r>
          </w:p>
        </w:tc>
        <w:tc>
          <w:tcPr>
            <w:tcW w:w="1843" w:type="dxa"/>
            <w:gridSpan w:val="13"/>
            <w:tcBorders>
              <w:top w:val="single" w:sz="6" w:space="0" w:color="auto"/>
              <w:left w:val="single" w:sz="6" w:space="0" w:color="auto"/>
              <w:bottom w:val="single" w:sz="6" w:space="0" w:color="auto"/>
              <w:right w:val="single" w:sz="6" w:space="0" w:color="auto"/>
            </w:tcBorders>
          </w:tcPr>
          <w:p w14:paraId="41F89D0E" w14:textId="77777777" w:rsidR="003D210A" w:rsidRPr="00C15639" w:rsidRDefault="003D210A" w:rsidP="005A428D">
            <w:pPr>
              <w:pStyle w:val="1ff0"/>
              <w:spacing w:line="360" w:lineRule="auto"/>
              <w:jc w:val="center"/>
              <w:rPr>
                <w:sz w:val="24"/>
                <w:szCs w:val="24"/>
              </w:rPr>
            </w:pPr>
            <w:r w:rsidRPr="00C15639">
              <w:rPr>
                <w:sz w:val="24"/>
                <w:szCs w:val="24"/>
              </w:rPr>
              <w:t>Гистологическое исследование</w:t>
            </w:r>
          </w:p>
        </w:tc>
        <w:tc>
          <w:tcPr>
            <w:tcW w:w="3118" w:type="dxa"/>
            <w:gridSpan w:val="17"/>
            <w:tcBorders>
              <w:top w:val="single" w:sz="6" w:space="0" w:color="auto"/>
              <w:left w:val="single" w:sz="6" w:space="0" w:color="auto"/>
              <w:bottom w:val="single" w:sz="6" w:space="0" w:color="auto"/>
              <w:right w:val="single" w:sz="6" w:space="0" w:color="auto"/>
            </w:tcBorders>
          </w:tcPr>
          <w:p w14:paraId="79ADED3C" w14:textId="77777777" w:rsidR="003D210A" w:rsidRPr="00C15639" w:rsidRDefault="003D210A" w:rsidP="005A428D">
            <w:pPr>
              <w:pStyle w:val="1ff0"/>
              <w:spacing w:line="360" w:lineRule="auto"/>
              <w:jc w:val="center"/>
              <w:rPr>
                <w:sz w:val="24"/>
                <w:szCs w:val="24"/>
              </w:rPr>
            </w:pPr>
            <w:r w:rsidRPr="00C15639">
              <w:rPr>
                <w:sz w:val="24"/>
                <w:szCs w:val="24"/>
              </w:rPr>
              <w:t>Бактериоскопия (окраски по Романовскому-Гимзе, Граму)</w:t>
            </w:r>
          </w:p>
        </w:tc>
        <w:tc>
          <w:tcPr>
            <w:tcW w:w="993" w:type="dxa"/>
            <w:gridSpan w:val="4"/>
            <w:tcBorders>
              <w:top w:val="single" w:sz="6" w:space="0" w:color="auto"/>
              <w:left w:val="single" w:sz="6" w:space="0" w:color="auto"/>
              <w:bottom w:val="single" w:sz="6" w:space="0" w:color="auto"/>
              <w:right w:val="single" w:sz="6" w:space="0" w:color="auto"/>
            </w:tcBorders>
          </w:tcPr>
          <w:p w14:paraId="20731E1F" w14:textId="77777777" w:rsidR="003D210A" w:rsidRPr="00C15639" w:rsidRDefault="003D210A" w:rsidP="005A428D">
            <w:pPr>
              <w:pStyle w:val="1ff0"/>
              <w:spacing w:line="360" w:lineRule="auto"/>
              <w:jc w:val="center"/>
              <w:rPr>
                <w:sz w:val="24"/>
                <w:szCs w:val="24"/>
              </w:rPr>
            </w:pPr>
            <w:r w:rsidRPr="00C15639">
              <w:rPr>
                <w:sz w:val="24"/>
                <w:szCs w:val="24"/>
              </w:rPr>
              <w:t>Посев ткани</w:t>
            </w:r>
          </w:p>
        </w:tc>
        <w:tc>
          <w:tcPr>
            <w:tcW w:w="12736" w:type="dxa"/>
            <w:gridSpan w:val="92"/>
            <w:tcBorders>
              <w:top w:val="single" w:sz="6" w:space="0" w:color="auto"/>
              <w:left w:val="single" w:sz="6" w:space="0" w:color="auto"/>
              <w:bottom w:val="single" w:sz="6" w:space="0" w:color="auto"/>
              <w:right w:val="single" w:sz="6" w:space="0" w:color="auto"/>
            </w:tcBorders>
          </w:tcPr>
          <w:p w14:paraId="7B574088" w14:textId="77777777" w:rsidR="003D210A" w:rsidRPr="00C15639" w:rsidRDefault="003D210A" w:rsidP="005A428D">
            <w:pPr>
              <w:pStyle w:val="1ff0"/>
              <w:spacing w:line="360" w:lineRule="auto"/>
              <w:rPr>
                <w:sz w:val="24"/>
                <w:szCs w:val="24"/>
              </w:rPr>
            </w:pPr>
            <w:r w:rsidRPr="00C15639">
              <w:rPr>
                <w:sz w:val="24"/>
                <w:szCs w:val="24"/>
              </w:rPr>
              <w:t>Определение пневмоцист, ЦМВ, вируса Эпштейна-Барр</w:t>
            </w:r>
          </w:p>
          <w:p w14:paraId="5D53A73A" w14:textId="77777777" w:rsidR="003D210A" w:rsidRPr="00C15639" w:rsidRDefault="003D210A" w:rsidP="005A428D">
            <w:pPr>
              <w:pStyle w:val="1ff0"/>
              <w:spacing w:line="360" w:lineRule="auto"/>
              <w:rPr>
                <w:sz w:val="24"/>
                <w:szCs w:val="24"/>
              </w:rPr>
            </w:pPr>
            <w:r w:rsidRPr="00C15639">
              <w:rPr>
                <w:sz w:val="24"/>
                <w:szCs w:val="24"/>
              </w:rPr>
              <w:t>Иммуногистохимическим методом</w:t>
            </w:r>
          </w:p>
        </w:tc>
      </w:tr>
    </w:tbl>
    <w:p w14:paraId="48D961E6" w14:textId="77777777" w:rsidR="003D210A" w:rsidRPr="00C15639" w:rsidRDefault="003D210A" w:rsidP="003D210A">
      <w:pPr>
        <w:rPr>
          <w:szCs w:val="24"/>
        </w:rPr>
      </w:pPr>
      <w:r w:rsidRPr="00C15639">
        <w:rPr>
          <w:szCs w:val="24"/>
        </w:rPr>
        <w:t>СКТ — компьютерная томография; ПЦР — полимеразная цепная реакция; РИФ — реакция иммунофлюоресценции; ЦМВ — цитомегаловирус.</w:t>
      </w:r>
    </w:p>
    <w:p w14:paraId="568D96C9" w14:textId="77777777" w:rsidR="003D210A" w:rsidRDefault="003D210A" w:rsidP="003D210A">
      <w:pPr>
        <w:pStyle w:val="Number1"/>
        <w:spacing w:before="0"/>
        <w:rPr>
          <w:color w:val="auto"/>
          <w:szCs w:val="24"/>
        </w:rPr>
        <w:sectPr w:rsidR="003D210A" w:rsidSect="00C15639">
          <w:pgSz w:w="16838" w:h="11906" w:orient="landscape"/>
          <w:pgMar w:top="850" w:right="1134" w:bottom="1701" w:left="1134" w:header="708" w:footer="708" w:gutter="0"/>
          <w:cols w:space="708"/>
          <w:docGrid w:linePitch="360"/>
        </w:sectPr>
      </w:pPr>
    </w:p>
    <w:p w14:paraId="111DC64D" w14:textId="4FB3294B" w:rsidR="005267A5" w:rsidRPr="005267A5" w:rsidRDefault="00305F8C" w:rsidP="005267A5">
      <w:pPr>
        <w:pStyle w:val="2"/>
      </w:pPr>
      <w:bookmarkStart w:id="55" w:name="_Toc65104113"/>
      <w:r w:rsidRPr="005267A5">
        <w:t xml:space="preserve">7.15 </w:t>
      </w:r>
      <w:r w:rsidR="005267A5" w:rsidRPr="005267A5">
        <w:rPr>
          <w:rFonts w:eastAsia="Times New Roman"/>
          <w:color w:val="000000"/>
          <w:shd w:val="clear" w:color="auto" w:fill="FFFFFF"/>
        </w:rPr>
        <w:t>Диагностика и лечение болевого синдрома</w:t>
      </w:r>
      <w:bookmarkEnd w:id="55"/>
    </w:p>
    <w:p w14:paraId="2607CA28" w14:textId="714DD5E8" w:rsidR="005267A5" w:rsidRPr="00AF2453" w:rsidRDefault="005267A5" w:rsidP="005267A5">
      <w:pPr>
        <w:pStyle w:val="aff"/>
        <w:widowControl w:val="0"/>
        <w:autoSpaceDE w:val="0"/>
        <w:autoSpaceDN w:val="0"/>
        <w:adjustRightInd w:val="0"/>
        <w:ind w:left="0" w:firstLine="709"/>
      </w:pPr>
      <w:r w:rsidRPr="00AF2453">
        <w:t xml:space="preserve">Международная организация по изучению боли </w:t>
      </w:r>
      <w:r w:rsidRPr="00AF2453">
        <w:rPr>
          <w:lang w:val="en-US"/>
        </w:rPr>
        <w:t>IASP</w:t>
      </w:r>
      <w:r w:rsidRPr="00AF2453">
        <w:t xml:space="preserve"> определяет боль как неприятное сенсорное или эмоциональное переживание, связанное с фактическим или потенциальным повреждением тканей, или описываемое в терминах такого повреждения</w:t>
      </w:r>
      <w:r w:rsidRPr="00F0021F">
        <w:t xml:space="preserve"> </w:t>
      </w:r>
      <w:r>
        <w:fldChar w:fldCharType="begin" w:fldLock="1"/>
      </w:r>
      <w:r w:rsidR="00120F30">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[175–178]","plainTextFormattedCitation":"[175–178]","previouslyFormattedCitation":"[175–178]"},"properties":{"noteIndex":0},"schema":"https://github.com/citation-style-language/schema/raw/master/csl-citation.json"}</w:instrText>
      </w:r>
      <w:r>
        <w:fldChar w:fldCharType="separate"/>
      </w:r>
      <w:r w:rsidRPr="005267A5">
        <w:rPr>
          <w:noProof/>
        </w:rPr>
        <w:t>[175–178]</w:t>
      </w:r>
      <w:r>
        <w:fldChar w:fldCharType="end"/>
      </w:r>
      <w:r w:rsidRPr="00AF2453">
        <w:t xml:space="preserve">. Боль зачастую вызывает серьезные страдания, оказывает значительное влияние на качество жизни пациента и его семьи. </w:t>
      </w:r>
      <w:r w:rsidRPr="00AF2453">
        <w:rPr>
          <w:rFonts w:eastAsia="Times New Roman"/>
          <w:color w:val="000000"/>
        </w:rPr>
        <w:t>Боль у гематологических пациентов достаточно распространена: может являться как проявлением самого тяжелого недуга, так и осложнением лечения</w:t>
      </w:r>
      <w:r w:rsidRPr="00AF2453">
        <w:t>. Для эффективной терапии боли необходимо определение ее причины, интенсивности, вида.</w:t>
      </w:r>
    </w:p>
    <w:p w14:paraId="13E334FA" w14:textId="77777777" w:rsidR="005267A5" w:rsidRPr="00AF2453" w:rsidRDefault="005267A5" w:rsidP="005267A5">
      <w:pPr>
        <w:pStyle w:val="aff"/>
        <w:ind w:left="0" w:firstLine="709"/>
        <w:rPr>
          <w:b/>
        </w:rPr>
      </w:pPr>
    </w:p>
    <w:p w14:paraId="0E742980" w14:textId="7B32274E" w:rsidR="005267A5" w:rsidRPr="00AF2453" w:rsidRDefault="005267A5" w:rsidP="005267A5">
      <w:pPr>
        <w:widowControl w:val="0"/>
        <w:autoSpaceDE w:val="0"/>
        <w:autoSpaceDN w:val="0"/>
        <w:adjustRightInd w:val="0"/>
        <w:ind w:firstLine="709"/>
      </w:pPr>
      <w:r w:rsidRPr="00AF2453">
        <w:rPr>
          <w:b/>
        </w:rPr>
        <w:t xml:space="preserve">Основные причины болевого синдрома у </w:t>
      </w:r>
      <w:r w:rsidRPr="00AF2453">
        <w:rPr>
          <w:rFonts w:eastAsia="Times New Roman"/>
          <w:b/>
          <w:color w:val="000000"/>
        </w:rPr>
        <w:t>гематологических</w:t>
      </w:r>
      <w:r w:rsidRPr="00AF2453">
        <w:rPr>
          <w:rFonts w:eastAsia="Times New Roman"/>
          <w:color w:val="000000"/>
        </w:rPr>
        <w:t xml:space="preserve"> </w:t>
      </w:r>
      <w:r w:rsidRPr="00AF2453">
        <w:rPr>
          <w:b/>
        </w:rPr>
        <w:t>пациентов</w:t>
      </w:r>
      <w:r w:rsidRPr="003756EB">
        <w:rPr>
          <w:b/>
        </w:rPr>
        <w:t xml:space="preserve"> </w:t>
      </w:r>
      <w:r>
        <w:fldChar w:fldCharType="begin" w:fldLock="1"/>
      </w:r>
      <w:r w:rsidR="00120F30">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[175–178]","plainTextFormattedCitation":"[175–178]","previouslyFormattedCitation":"[175–178]"},"properties":{"noteIndex":0},"schema":"https://github.com/citation-style-language/schema/raw/master/csl-citation.json"}</w:instrText>
      </w:r>
      <w:r>
        <w:fldChar w:fldCharType="separate"/>
      </w:r>
      <w:r w:rsidRPr="005267A5">
        <w:rPr>
          <w:noProof/>
        </w:rPr>
        <w:t>[175–178]</w:t>
      </w:r>
      <w:r>
        <w:fldChar w:fldCharType="end"/>
      </w:r>
      <w:r w:rsidRPr="00AF2453">
        <w:t>:</w:t>
      </w:r>
    </w:p>
    <w:p w14:paraId="1968BC57" w14:textId="77777777" w:rsidR="005267A5" w:rsidRPr="00AF2453" w:rsidRDefault="005267A5" w:rsidP="0091350E">
      <w:pPr>
        <w:pStyle w:val="aff"/>
        <w:widowControl w:val="0"/>
        <w:numPr>
          <w:ilvl w:val="0"/>
          <w:numId w:val="99"/>
        </w:numPr>
        <w:autoSpaceDE w:val="0"/>
        <w:autoSpaceDN w:val="0"/>
        <w:adjustRightInd w:val="0"/>
        <w:contextualSpacing/>
      </w:pPr>
      <w:r w:rsidRPr="00AF2453">
        <w:t>Боль вследствие проявлений / осложнений гематологического заболевания (сдавление опухолью, деструкция кости, отек, воспаление, некроз, изъязвление, инфекция, тромбоз, асептический некроз и т.п.).</w:t>
      </w:r>
    </w:p>
    <w:p w14:paraId="620E08DB" w14:textId="77777777" w:rsidR="005267A5" w:rsidRDefault="005267A5" w:rsidP="0091350E">
      <w:pPr>
        <w:pStyle w:val="aff"/>
        <w:widowControl w:val="0"/>
        <w:numPr>
          <w:ilvl w:val="0"/>
          <w:numId w:val="99"/>
        </w:numPr>
        <w:autoSpaceDE w:val="0"/>
        <w:autoSpaceDN w:val="0"/>
        <w:adjustRightInd w:val="0"/>
        <w:contextualSpacing/>
      </w:pPr>
      <w:r w:rsidRPr="00AF2453">
        <w:t xml:space="preserve">Боль вследствие осложнений лечения гематологического заболевания:  </w:t>
      </w:r>
    </w:p>
    <w:p w14:paraId="4F769CB0" w14:textId="77777777" w:rsidR="005267A5" w:rsidRDefault="005267A5" w:rsidP="0091350E">
      <w:pPr>
        <w:pStyle w:val="aff"/>
        <w:widowControl w:val="0"/>
        <w:numPr>
          <w:ilvl w:val="1"/>
          <w:numId w:val="99"/>
        </w:numPr>
        <w:autoSpaceDE w:val="0"/>
        <w:autoSpaceDN w:val="0"/>
        <w:adjustRightInd w:val="0"/>
        <w:contextualSpacing/>
      </w:pPr>
      <w:r w:rsidRPr="00AF2453">
        <w:t>хирургическое лечение (послеоперационная рана, фантомная боль, спайки, рубцы, отёки);</w:t>
      </w:r>
    </w:p>
    <w:p w14:paraId="1465F1B1" w14:textId="77777777" w:rsidR="005267A5" w:rsidRDefault="005267A5" w:rsidP="0091350E">
      <w:pPr>
        <w:pStyle w:val="aff"/>
        <w:widowControl w:val="0"/>
        <w:numPr>
          <w:ilvl w:val="1"/>
          <w:numId w:val="99"/>
        </w:numPr>
        <w:autoSpaceDE w:val="0"/>
        <w:autoSpaceDN w:val="0"/>
        <w:adjustRightInd w:val="0"/>
        <w:contextualSpacing/>
      </w:pPr>
      <w:r w:rsidRPr="00AF2453">
        <w:t>химиотерапия  (мукозит, полинейропатия, миалгия, асептический некроз, артралгия и др.);</w:t>
      </w:r>
    </w:p>
    <w:p w14:paraId="25F5E067" w14:textId="77777777" w:rsidR="005267A5" w:rsidRDefault="005267A5" w:rsidP="0091350E">
      <w:pPr>
        <w:pStyle w:val="aff"/>
        <w:widowControl w:val="0"/>
        <w:numPr>
          <w:ilvl w:val="1"/>
          <w:numId w:val="99"/>
        </w:numPr>
        <w:autoSpaceDE w:val="0"/>
        <w:autoSpaceDN w:val="0"/>
        <w:adjustRightInd w:val="0"/>
        <w:contextualSpacing/>
      </w:pPr>
      <w:r w:rsidRPr="00AF2453">
        <w:t>глюкокортикостероиды  (гастрит, язвенная болезнь)</w:t>
      </w:r>
    </w:p>
    <w:p w14:paraId="64AEA5BC" w14:textId="77777777" w:rsidR="005267A5" w:rsidRDefault="005267A5" w:rsidP="0091350E">
      <w:pPr>
        <w:pStyle w:val="aff"/>
        <w:widowControl w:val="0"/>
        <w:numPr>
          <w:ilvl w:val="1"/>
          <w:numId w:val="99"/>
        </w:numPr>
        <w:autoSpaceDE w:val="0"/>
        <w:autoSpaceDN w:val="0"/>
        <w:adjustRightInd w:val="0"/>
        <w:contextualSpacing/>
      </w:pPr>
      <w:r w:rsidRPr="00AF2453">
        <w:t>введение гранулоцитарного колониестимулирующего фактора (Г-КСФ)</w:t>
      </w:r>
    </w:p>
    <w:p w14:paraId="1B1900BB" w14:textId="77777777" w:rsidR="005267A5" w:rsidRPr="00AF2453" w:rsidRDefault="005267A5" w:rsidP="0091350E">
      <w:pPr>
        <w:pStyle w:val="aff"/>
        <w:widowControl w:val="0"/>
        <w:numPr>
          <w:ilvl w:val="1"/>
          <w:numId w:val="99"/>
        </w:numPr>
        <w:autoSpaceDE w:val="0"/>
        <w:autoSpaceDN w:val="0"/>
        <w:adjustRightInd w:val="0"/>
        <w:contextualSpacing/>
      </w:pPr>
      <w:r w:rsidRPr="00AF2453">
        <w:t>лучевая терапия (лучевые/радиационные: дерматит, мукозит, некроз, фиброз, неврит, плексит, миелопатия и др.).</w:t>
      </w:r>
    </w:p>
    <w:p w14:paraId="293DBAD6" w14:textId="77777777" w:rsidR="005267A5" w:rsidRPr="00AF2453" w:rsidRDefault="005267A5" w:rsidP="0091350E">
      <w:pPr>
        <w:pStyle w:val="aff"/>
        <w:widowControl w:val="0"/>
        <w:numPr>
          <w:ilvl w:val="0"/>
          <w:numId w:val="99"/>
        </w:numPr>
        <w:autoSpaceDE w:val="0"/>
        <w:autoSpaceDN w:val="0"/>
        <w:adjustRightInd w:val="0"/>
        <w:contextualSpacing/>
      </w:pPr>
      <w:r w:rsidRPr="00AF2453">
        <w:t>Боль как проявление паранеопластического синдрома (артро-, нейро, миопатии).</w:t>
      </w:r>
    </w:p>
    <w:p w14:paraId="4035605C" w14:textId="77777777" w:rsidR="005267A5" w:rsidRPr="00AF2453" w:rsidRDefault="005267A5" w:rsidP="0091350E">
      <w:pPr>
        <w:pStyle w:val="aff"/>
        <w:widowControl w:val="0"/>
        <w:numPr>
          <w:ilvl w:val="0"/>
          <w:numId w:val="99"/>
        </w:numPr>
        <w:autoSpaceDE w:val="0"/>
        <w:autoSpaceDN w:val="0"/>
        <w:adjustRightInd w:val="0"/>
        <w:contextualSpacing/>
      </w:pPr>
      <w:r w:rsidRPr="00AF2453">
        <w:t>Боль вследствие иммобилизации пациента (пролежни, контрактуры, трофические язвы, запор).</w:t>
      </w:r>
    </w:p>
    <w:p w14:paraId="5ABE813D" w14:textId="77777777" w:rsidR="005267A5" w:rsidRDefault="005267A5" w:rsidP="005267A5">
      <w:pPr>
        <w:ind w:left="709"/>
        <w:rPr>
          <w:b/>
        </w:rPr>
      </w:pPr>
    </w:p>
    <w:p w14:paraId="5970D681" w14:textId="5D19DD97" w:rsidR="005267A5" w:rsidRPr="00C13E67" w:rsidRDefault="005267A5" w:rsidP="005267A5">
      <w:pPr>
        <w:ind w:left="709"/>
        <w:rPr>
          <w:b/>
        </w:rPr>
      </w:pPr>
      <w:r w:rsidRPr="001F1E91">
        <w:rPr>
          <w:b/>
        </w:rPr>
        <w:t>Диагностика боли</w:t>
      </w:r>
      <w:r w:rsidRPr="00E62D8C">
        <w:rPr>
          <w:b/>
        </w:rPr>
        <w:t xml:space="preserve"> </w:t>
      </w:r>
      <w:r>
        <w:fldChar w:fldCharType="begin" w:fldLock="1"/>
      </w:r>
      <w:r w:rsidR="00120F30">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[175–178]","plainTextFormattedCitation":"[175–178]","previouslyFormattedCitation":"[175–178]"},"properties":{"noteIndex":0},"schema":"https://github.com/citation-style-language/schema/raw/master/csl-citation.json"}</w:instrText>
      </w:r>
      <w:r>
        <w:fldChar w:fldCharType="separate"/>
      </w:r>
      <w:r w:rsidRPr="005267A5">
        <w:rPr>
          <w:noProof/>
        </w:rPr>
        <w:t>[175–178]</w:t>
      </w:r>
      <w:r>
        <w:fldChar w:fldCharType="end"/>
      </w:r>
      <w:r w:rsidRPr="00C13E67">
        <w:rPr>
          <w:b/>
        </w:rPr>
        <w:t>.</w:t>
      </w:r>
    </w:p>
    <w:p w14:paraId="58E1E86E" w14:textId="77777777" w:rsidR="005267A5" w:rsidRPr="00AF2453" w:rsidRDefault="005267A5" w:rsidP="005267A5">
      <w:pPr>
        <w:ind w:firstLine="709"/>
      </w:pPr>
      <w:r w:rsidRPr="00AF2453">
        <w:t xml:space="preserve">Объективизация и диагностика боли - сложная методологическая проблема, так как боль представляет собой субъективный феномен. </w:t>
      </w:r>
    </w:p>
    <w:p w14:paraId="6D9EAE6E" w14:textId="77777777" w:rsidR="005267A5" w:rsidRDefault="005267A5" w:rsidP="005267A5">
      <w:pPr>
        <w:ind w:firstLine="709"/>
        <w:rPr>
          <w:bCs/>
          <w:u w:val="single"/>
        </w:rPr>
      </w:pPr>
    </w:p>
    <w:p w14:paraId="7B96B66E" w14:textId="77777777" w:rsidR="005267A5" w:rsidRPr="001F1E91" w:rsidRDefault="005267A5" w:rsidP="005267A5">
      <w:pPr>
        <w:ind w:firstLine="709"/>
        <w:rPr>
          <w:bCs/>
          <w:u w:val="single"/>
        </w:rPr>
      </w:pPr>
      <w:r w:rsidRPr="001F1E91">
        <w:rPr>
          <w:bCs/>
          <w:u w:val="single"/>
        </w:rPr>
        <w:t xml:space="preserve">Этапы обследования пациента: </w:t>
      </w:r>
    </w:p>
    <w:p w14:paraId="5FE19F8E" w14:textId="77777777" w:rsidR="005267A5" w:rsidRPr="00AF2453" w:rsidRDefault="005267A5" w:rsidP="005267A5">
      <w:pPr>
        <w:pStyle w:val="aff"/>
        <w:ind w:left="0" w:firstLine="709"/>
      </w:pPr>
      <w:r w:rsidRPr="00AF2453">
        <w:t>1) опрос;</w:t>
      </w:r>
    </w:p>
    <w:p w14:paraId="6DB305B1" w14:textId="77777777" w:rsidR="005267A5" w:rsidRPr="00AF2453" w:rsidRDefault="005267A5" w:rsidP="005267A5">
      <w:pPr>
        <w:pStyle w:val="aff"/>
        <w:ind w:left="0" w:firstLine="709"/>
      </w:pPr>
      <w:r w:rsidRPr="00AF2453">
        <w:t xml:space="preserve">2) осмотр; </w:t>
      </w:r>
    </w:p>
    <w:p w14:paraId="07EE41DA" w14:textId="77777777" w:rsidR="005267A5" w:rsidRPr="00AF2453" w:rsidRDefault="005267A5" w:rsidP="005267A5">
      <w:pPr>
        <w:pStyle w:val="aff"/>
        <w:ind w:left="0" w:firstLine="709"/>
      </w:pPr>
      <w:r w:rsidRPr="00AF2453">
        <w:t xml:space="preserve">3) оценка боли с помощью инструментальных методов. </w:t>
      </w:r>
    </w:p>
    <w:p w14:paraId="5A61070F" w14:textId="77777777" w:rsidR="005267A5" w:rsidRPr="00AF2453" w:rsidRDefault="005267A5" w:rsidP="005267A5">
      <w:pPr>
        <w:pStyle w:val="aff"/>
        <w:ind w:left="0" w:firstLine="709"/>
        <w:rPr>
          <w:highlight w:val="yellow"/>
        </w:rPr>
      </w:pPr>
    </w:p>
    <w:p w14:paraId="5758B37F" w14:textId="77777777" w:rsidR="005267A5" w:rsidRPr="00AF2453" w:rsidRDefault="005267A5" w:rsidP="005267A5">
      <w:pPr>
        <w:pStyle w:val="aff"/>
        <w:ind w:left="0" w:firstLine="709"/>
      </w:pPr>
      <w:r w:rsidRPr="00AF2453">
        <w:rPr>
          <w:b/>
        </w:rPr>
        <w:t>Опрос</w:t>
      </w:r>
      <w:r w:rsidRPr="00AF2453">
        <w:t xml:space="preserve">. Первостепенная роль в диагностике болевых синдромов принадлежит подробному расспросу. При опросе необходимо уточнить локализацию боли, интенсивность, длительность, провоцирующие факторы, «закономерность» возникновения, влияние на сон и аппетит, оценить психологический статус, уровень физической активности, использованные ранее методы лечения и их эффективность,  побочные эффекты препаратов. Зачастую пациенты забывают сообщить о некоторых фактах своей болезни, в связи с этим, как этап опроса (но не замена ему!) используются валидированные международные опросники, посвященные  характеристикам боли и влиянию боли на другие сферы жизни (опросники PainDetect, DN4, LANSS, </w:t>
      </w:r>
      <w:r w:rsidRPr="00AF2453">
        <w:rPr>
          <w:lang w:val="en-US"/>
        </w:rPr>
        <w:t>SF</w:t>
      </w:r>
      <w:r w:rsidRPr="00AF2453">
        <w:t xml:space="preserve">36, опросник Мак Гилла, Ван Корфа, </w:t>
      </w:r>
      <w:r w:rsidRPr="00AF2453">
        <w:rPr>
          <w:lang w:val="en-US"/>
        </w:rPr>
        <w:t>WOMAC</w:t>
      </w:r>
      <w:r w:rsidRPr="00AF2453">
        <w:t xml:space="preserve">, Освестри, шкала тревоги и депрессии, опросник по оценке качества сна, шкала катастрофизации боли и другие). </w:t>
      </w:r>
    </w:p>
    <w:p w14:paraId="00EB024E" w14:textId="77777777" w:rsidR="005267A5" w:rsidRPr="00AF2453" w:rsidRDefault="005267A5" w:rsidP="005267A5">
      <w:pPr>
        <w:pStyle w:val="aff"/>
        <w:ind w:left="0" w:firstLine="709"/>
      </w:pPr>
      <w:r w:rsidRPr="00AF2453">
        <w:rPr>
          <w:b/>
        </w:rPr>
        <w:t xml:space="preserve">Осмотр </w:t>
      </w:r>
      <w:r w:rsidRPr="00AF2453">
        <w:t>пациента представляется наиважнейшим и основным методом диагностики для специалиста по боли. Патологические признаки, отмеченные врачом при осмотре, зачастую оказывают существенную роль в определении тактики оказания противоболевой помощи.</w:t>
      </w:r>
    </w:p>
    <w:p w14:paraId="52C424C7" w14:textId="77777777" w:rsidR="005267A5" w:rsidRPr="00AF2453" w:rsidRDefault="005267A5" w:rsidP="005267A5">
      <w:pPr>
        <w:pStyle w:val="aff"/>
        <w:ind w:left="0" w:firstLine="709"/>
        <w:rPr>
          <w:strike/>
        </w:rPr>
      </w:pPr>
      <w:r w:rsidRPr="00AF2453">
        <w:t xml:space="preserve">При осмотре проводится оценка физической активности пациента по шкале </w:t>
      </w:r>
      <w:r w:rsidRPr="00AF2453">
        <w:rPr>
          <w:lang w:val="en-US"/>
        </w:rPr>
        <w:t>ECOG</w:t>
      </w:r>
      <w:r w:rsidRPr="00AF2453">
        <w:t xml:space="preserve"> и качества ночного сна (хороший 6-8 ч; удовлетворительный 4-6ч; плохой &lt; 4 ч);  уточняется характер и причины боли.</w:t>
      </w:r>
    </w:p>
    <w:p w14:paraId="49C3DA35" w14:textId="77777777" w:rsidR="005267A5" w:rsidRDefault="005267A5" w:rsidP="005267A5">
      <w:pPr>
        <w:pStyle w:val="aff"/>
        <w:ind w:left="0" w:firstLine="709"/>
        <w:rPr>
          <w:rFonts w:eastAsia="Times New Roman"/>
          <w:color w:val="000000" w:themeColor="text1"/>
        </w:rPr>
      </w:pPr>
      <w:r w:rsidRPr="00AF2453">
        <w:rPr>
          <w:rFonts w:eastAsia="Times New Roman"/>
          <w:color w:val="000000" w:themeColor="text1"/>
        </w:rPr>
        <w:t xml:space="preserve">На различных этапах диагностики причин болевого синдрома у гематологических пациентов рекомендуется по показаниям использовать:  </w:t>
      </w:r>
    </w:p>
    <w:p w14:paraId="7997087B" w14:textId="2F5C1AFC" w:rsidR="005267A5" w:rsidRPr="001F1E91" w:rsidRDefault="005267A5" w:rsidP="0091350E">
      <w:pPr>
        <w:pStyle w:val="aff"/>
        <w:widowControl w:val="0"/>
        <w:numPr>
          <w:ilvl w:val="0"/>
          <w:numId w:val="99"/>
        </w:numPr>
        <w:autoSpaceDE w:val="0"/>
        <w:autoSpaceDN w:val="0"/>
        <w:adjustRightInd w:val="0"/>
        <w:contextualSpacing/>
      </w:pPr>
      <w:r w:rsidRPr="001F1E91">
        <w:t>лабораторные методы</w:t>
      </w:r>
      <w:r>
        <w:rPr>
          <w:lang w:val="en-US"/>
        </w:rPr>
        <w:t xml:space="preserve"> </w:t>
      </w:r>
      <w:r>
        <w:fldChar w:fldCharType="begin" w:fldLock="1"/>
      </w:r>
      <w:r w:rsidR="00120F30">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[175–178]","plainTextFormattedCitation":"[175–178]","previouslyFormattedCitation":"[175–178]"},"properties":{"noteIndex":0},"schema":"https://github.com/citation-style-language/schema/raw/master/csl-citation.json"}</w:instrText>
      </w:r>
      <w:r>
        <w:fldChar w:fldCharType="separate"/>
      </w:r>
      <w:r w:rsidRPr="005267A5">
        <w:rPr>
          <w:noProof/>
        </w:rPr>
        <w:t>[175–178]</w:t>
      </w:r>
      <w:r>
        <w:fldChar w:fldCharType="end"/>
      </w:r>
      <w:r w:rsidRPr="001F1E91">
        <w:t xml:space="preserve">: </w:t>
      </w:r>
    </w:p>
    <w:p w14:paraId="322D3FBC" w14:textId="77777777" w:rsidR="005267A5" w:rsidRPr="00AF2453" w:rsidRDefault="005267A5" w:rsidP="0091350E">
      <w:pPr>
        <w:pStyle w:val="aff"/>
        <w:widowControl w:val="0"/>
        <w:numPr>
          <w:ilvl w:val="1"/>
          <w:numId w:val="99"/>
        </w:numPr>
        <w:autoSpaceDE w:val="0"/>
        <w:autoSpaceDN w:val="0"/>
        <w:adjustRightInd w:val="0"/>
        <w:contextualSpacing/>
      </w:pPr>
      <w:r w:rsidRPr="00AF2453">
        <w:t>клинический анализ крови развернутый</w:t>
      </w:r>
    </w:p>
    <w:p w14:paraId="0CF2DC40" w14:textId="77777777" w:rsidR="005267A5" w:rsidRPr="00AF2453" w:rsidRDefault="005267A5" w:rsidP="0091350E">
      <w:pPr>
        <w:pStyle w:val="aff"/>
        <w:widowControl w:val="0"/>
        <w:numPr>
          <w:ilvl w:val="1"/>
          <w:numId w:val="99"/>
        </w:numPr>
        <w:autoSpaceDE w:val="0"/>
        <w:autoSpaceDN w:val="0"/>
        <w:adjustRightInd w:val="0"/>
        <w:contextualSpacing/>
      </w:pPr>
      <w:r w:rsidRPr="00AF2453">
        <w:t>биохимический анализ крови - общий белок, альбумин, глобулин, мочевая кислота, мочевина, креатинин, билирубин непрямой, билирубин прямой, калий, натрий, кальций, хлор, щелочная фосфатаза, АСТ, АЛТ, ЛДГ, ГГТ, железо, глюкоза;</w:t>
      </w:r>
    </w:p>
    <w:p w14:paraId="5BF84BA1" w14:textId="77777777" w:rsidR="005267A5" w:rsidRPr="00AF2453" w:rsidRDefault="005267A5" w:rsidP="0091350E">
      <w:pPr>
        <w:pStyle w:val="aff"/>
        <w:widowControl w:val="0"/>
        <w:numPr>
          <w:ilvl w:val="1"/>
          <w:numId w:val="99"/>
        </w:numPr>
        <w:autoSpaceDE w:val="0"/>
        <w:autoSpaceDN w:val="0"/>
        <w:adjustRightInd w:val="0"/>
        <w:contextualSpacing/>
      </w:pPr>
      <w:r w:rsidRPr="00AF2453">
        <w:t>коагулограмма</w:t>
      </w:r>
      <w:r w:rsidRPr="001F1E91">
        <w:t xml:space="preserve"> - </w:t>
      </w:r>
      <w:r w:rsidRPr="00AF2453">
        <w:t xml:space="preserve">АЧТВ, ПВ, ТВ, фибриноген, антитромбин </w:t>
      </w:r>
      <w:r w:rsidRPr="001F1E91">
        <w:t>III</w:t>
      </w:r>
      <w:r w:rsidRPr="00AF2453">
        <w:t xml:space="preserve">, протеин С (по показаниям), протеин </w:t>
      </w:r>
      <w:r w:rsidRPr="001F1E91">
        <w:t>S</w:t>
      </w:r>
      <w:r w:rsidRPr="00AF2453">
        <w:t xml:space="preserve"> (по показаниям), агрегация тромбоцитов (</w:t>
      </w:r>
      <w:r w:rsidRPr="001F1E91">
        <w:t>по показаниям</w:t>
      </w:r>
      <w:r w:rsidRPr="00AF2453">
        <w:t>), волчаночный антикоагулянт (по показаниям);</w:t>
      </w:r>
    </w:p>
    <w:p w14:paraId="5F7A4B29" w14:textId="77777777" w:rsidR="005267A5" w:rsidRPr="00AF2453" w:rsidRDefault="005267A5" w:rsidP="0091350E">
      <w:pPr>
        <w:pStyle w:val="aff"/>
        <w:widowControl w:val="0"/>
        <w:numPr>
          <w:ilvl w:val="1"/>
          <w:numId w:val="99"/>
        </w:numPr>
        <w:autoSpaceDE w:val="0"/>
        <w:autoSpaceDN w:val="0"/>
        <w:adjustRightInd w:val="0"/>
        <w:contextualSpacing/>
      </w:pPr>
      <w:r w:rsidRPr="00AF2453">
        <w:t>бактериологические методы исследования – см. глава «Инфекционные осложения»)</w:t>
      </w:r>
    </w:p>
    <w:p w14:paraId="71A23E68" w14:textId="08313D1D" w:rsidR="005267A5" w:rsidRPr="001F1E91" w:rsidRDefault="005267A5" w:rsidP="0091350E">
      <w:pPr>
        <w:pStyle w:val="aff"/>
        <w:widowControl w:val="0"/>
        <w:numPr>
          <w:ilvl w:val="0"/>
          <w:numId w:val="99"/>
        </w:numPr>
        <w:autoSpaceDE w:val="0"/>
        <w:autoSpaceDN w:val="0"/>
        <w:adjustRightInd w:val="0"/>
        <w:contextualSpacing/>
      </w:pPr>
      <w:r w:rsidRPr="001F1E91">
        <w:t>инструментальные методы</w:t>
      </w:r>
      <w:r w:rsidRPr="00E62D8C">
        <w:t xml:space="preserve"> </w:t>
      </w:r>
      <w:r>
        <w:fldChar w:fldCharType="begin" w:fldLock="1"/>
      </w:r>
      <w:r w:rsidR="00120F30">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[175–178]","plainTextFormattedCitation":"[175–178]","previouslyFormattedCitation":"[175–178]"},"properties":{"noteIndex":0},"schema":"https://github.com/citation-style-language/schema/raw/master/csl-citation.json"}</w:instrText>
      </w:r>
      <w:r>
        <w:fldChar w:fldCharType="separate"/>
      </w:r>
      <w:r w:rsidRPr="005267A5">
        <w:rPr>
          <w:noProof/>
        </w:rPr>
        <w:t>[175–178]</w:t>
      </w:r>
      <w:r>
        <w:fldChar w:fldCharType="end"/>
      </w:r>
      <w:r w:rsidRPr="003756EB">
        <w:t>:</w:t>
      </w:r>
    </w:p>
    <w:p w14:paraId="784105CD" w14:textId="77777777" w:rsidR="005267A5" w:rsidRPr="00AF2453" w:rsidRDefault="005267A5" w:rsidP="0091350E">
      <w:pPr>
        <w:pStyle w:val="aff"/>
        <w:widowControl w:val="0"/>
        <w:numPr>
          <w:ilvl w:val="1"/>
          <w:numId w:val="99"/>
        </w:numPr>
        <w:autoSpaceDE w:val="0"/>
        <w:autoSpaceDN w:val="0"/>
        <w:adjustRightInd w:val="0"/>
        <w:contextualSpacing/>
      </w:pPr>
      <w:r w:rsidRPr="00AF2453">
        <w:t>УЗИ мягких тканей, периферических лимфоузлов, брюшной полости, малого таза, артерий и вен конечностей, УЗИ других вовлеченных в болевой процесс областей, доступных для УЗИ.</w:t>
      </w:r>
    </w:p>
    <w:p w14:paraId="71888A92" w14:textId="77777777" w:rsidR="005267A5" w:rsidRPr="00AF2453" w:rsidRDefault="005267A5" w:rsidP="0091350E">
      <w:pPr>
        <w:pStyle w:val="aff"/>
        <w:widowControl w:val="0"/>
        <w:numPr>
          <w:ilvl w:val="1"/>
          <w:numId w:val="99"/>
        </w:numPr>
        <w:autoSpaceDE w:val="0"/>
        <w:autoSpaceDN w:val="0"/>
        <w:adjustRightInd w:val="0"/>
        <w:contextualSpacing/>
      </w:pPr>
      <w:r w:rsidRPr="00AF2453">
        <w:t>рентгенография грудной клетки, костей, позвоночника, других вовлеченных в болевой процесс областей, доступных для рентгенографии.</w:t>
      </w:r>
    </w:p>
    <w:p w14:paraId="1E39020B" w14:textId="77777777" w:rsidR="005267A5" w:rsidRPr="00AF2453" w:rsidRDefault="005267A5" w:rsidP="0091350E">
      <w:pPr>
        <w:pStyle w:val="aff"/>
        <w:widowControl w:val="0"/>
        <w:numPr>
          <w:ilvl w:val="1"/>
          <w:numId w:val="99"/>
        </w:numPr>
        <w:autoSpaceDE w:val="0"/>
        <w:autoSpaceDN w:val="0"/>
        <w:adjustRightInd w:val="0"/>
        <w:contextualSpacing/>
      </w:pPr>
      <w:r w:rsidRPr="00AF2453">
        <w:t>КТ головного мозга, грудной полости, брюшной полости, малого таза, позвоночника, костей,  других вовлеченных в болевой процесс областей.</w:t>
      </w:r>
    </w:p>
    <w:p w14:paraId="0C103558" w14:textId="77777777" w:rsidR="005267A5" w:rsidRPr="00AF2453" w:rsidRDefault="005267A5" w:rsidP="0091350E">
      <w:pPr>
        <w:pStyle w:val="aff"/>
        <w:widowControl w:val="0"/>
        <w:numPr>
          <w:ilvl w:val="1"/>
          <w:numId w:val="99"/>
        </w:numPr>
        <w:autoSpaceDE w:val="0"/>
        <w:autoSpaceDN w:val="0"/>
        <w:adjustRightInd w:val="0"/>
        <w:contextualSpacing/>
      </w:pPr>
      <w:r w:rsidRPr="00AF2453">
        <w:t>МРТ головного мозга, грудной полости, брюшной полости, малого таза, позвоночника, костей,  других вовлеченных в болевой процесс областей.</w:t>
      </w:r>
    </w:p>
    <w:p w14:paraId="64DB202C" w14:textId="77777777" w:rsidR="005267A5" w:rsidRPr="00AF2453" w:rsidRDefault="005267A5" w:rsidP="0091350E">
      <w:pPr>
        <w:pStyle w:val="aff"/>
        <w:widowControl w:val="0"/>
        <w:numPr>
          <w:ilvl w:val="1"/>
          <w:numId w:val="99"/>
        </w:numPr>
        <w:autoSpaceDE w:val="0"/>
        <w:autoSpaceDN w:val="0"/>
        <w:adjustRightInd w:val="0"/>
        <w:contextualSpacing/>
      </w:pPr>
      <w:r w:rsidRPr="00AF2453">
        <w:t xml:space="preserve">иные необходимые методы – электрокардиография, ангиография, бронхоскопия, эзофагогастродуоденоскопия, колоноскопия, биопсия из очага поражения с гистологическим, иммуногистохимическим, бактериологическим, иными необходимыми исследованиями, т.д. </w:t>
      </w:r>
    </w:p>
    <w:p w14:paraId="456E2275" w14:textId="60228053" w:rsidR="005267A5" w:rsidRPr="00AF2453" w:rsidRDefault="005267A5" w:rsidP="005267A5">
      <w:pPr>
        <w:pStyle w:val="aff"/>
        <w:ind w:left="0" w:firstLine="709"/>
      </w:pPr>
      <w:r w:rsidRPr="00AF2453">
        <w:t>Помимо стандартных методов, необходимых для выявления или исключения конкретной соматической или неврологической патологии, в диагностике боли при показаниях могут применяться специальные исследования, помогающие «визуализировать» и  «объективизировать» боль</w:t>
      </w:r>
      <w:r w:rsidRPr="003756EB">
        <w:t xml:space="preserve"> </w:t>
      </w:r>
      <w:r>
        <w:fldChar w:fldCharType="begin" w:fldLock="1"/>
      </w:r>
      <w:r w:rsidR="00120F30">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[175–178]","plainTextFormattedCitation":"[175–178]","previouslyFormattedCitation":"[175–178]"},"properties":{"noteIndex":0},"schema":"https://github.com/citation-style-language/schema/raw/master/csl-citation.json"}</w:instrText>
      </w:r>
      <w:r>
        <w:fldChar w:fldCharType="separate"/>
      </w:r>
      <w:r w:rsidRPr="005267A5">
        <w:rPr>
          <w:noProof/>
        </w:rPr>
        <w:t>[175–178]</w:t>
      </w:r>
      <w:r>
        <w:fldChar w:fldCharType="end"/>
      </w:r>
      <w:r w:rsidRPr="00AF2453">
        <w:t>:</w:t>
      </w:r>
    </w:p>
    <w:p w14:paraId="2D2CC09E" w14:textId="77777777" w:rsidR="005267A5" w:rsidRPr="00AF2453" w:rsidRDefault="005267A5" w:rsidP="0091350E">
      <w:pPr>
        <w:pStyle w:val="aff"/>
        <w:widowControl w:val="0"/>
        <w:numPr>
          <w:ilvl w:val="0"/>
          <w:numId w:val="99"/>
        </w:numPr>
        <w:autoSpaceDE w:val="0"/>
        <w:autoSpaceDN w:val="0"/>
        <w:adjustRightInd w:val="0"/>
        <w:contextualSpacing/>
      </w:pPr>
      <w:r w:rsidRPr="00AF2453">
        <w:t xml:space="preserve">алгометрия, </w:t>
      </w:r>
    </w:p>
    <w:p w14:paraId="28E62645" w14:textId="77777777" w:rsidR="005267A5" w:rsidRPr="00AF2453" w:rsidRDefault="005267A5" w:rsidP="0091350E">
      <w:pPr>
        <w:pStyle w:val="aff"/>
        <w:widowControl w:val="0"/>
        <w:numPr>
          <w:ilvl w:val="0"/>
          <w:numId w:val="99"/>
        </w:numPr>
        <w:autoSpaceDE w:val="0"/>
        <w:autoSpaceDN w:val="0"/>
        <w:adjustRightInd w:val="0"/>
        <w:contextualSpacing/>
      </w:pPr>
      <w:r w:rsidRPr="00AF2453">
        <w:t xml:space="preserve">методы диагностики сенсорных расстройств (например, с помощью камертона, алгометра), </w:t>
      </w:r>
    </w:p>
    <w:p w14:paraId="2056F9BD" w14:textId="77777777" w:rsidR="005267A5" w:rsidRPr="00AF2453" w:rsidRDefault="005267A5" w:rsidP="0091350E">
      <w:pPr>
        <w:pStyle w:val="aff"/>
        <w:widowControl w:val="0"/>
        <w:numPr>
          <w:ilvl w:val="0"/>
          <w:numId w:val="99"/>
        </w:numPr>
        <w:autoSpaceDE w:val="0"/>
        <w:autoSpaceDN w:val="0"/>
        <w:adjustRightInd w:val="0"/>
        <w:contextualSpacing/>
      </w:pPr>
      <w:r w:rsidRPr="00AF2453">
        <w:t>антиноцецептивный индекс (</w:t>
      </w:r>
      <w:r w:rsidRPr="00C13E67">
        <w:t>ANI</w:t>
      </w:r>
      <w:r w:rsidRPr="00AF2453">
        <w:t xml:space="preserve">), </w:t>
      </w:r>
    </w:p>
    <w:p w14:paraId="43B784E0" w14:textId="77777777" w:rsidR="005267A5" w:rsidRPr="00AF2453" w:rsidRDefault="005267A5" w:rsidP="0091350E">
      <w:pPr>
        <w:pStyle w:val="aff"/>
        <w:widowControl w:val="0"/>
        <w:numPr>
          <w:ilvl w:val="0"/>
          <w:numId w:val="99"/>
        </w:numPr>
        <w:autoSpaceDE w:val="0"/>
        <w:autoSpaceDN w:val="0"/>
        <w:adjustRightInd w:val="0"/>
        <w:contextualSpacing/>
      </w:pPr>
      <w:r w:rsidRPr="00C13E67">
        <w:t xml:space="preserve">электромиография, </w:t>
      </w:r>
    </w:p>
    <w:p w14:paraId="72716E92" w14:textId="77777777" w:rsidR="005267A5" w:rsidRPr="00AF2453" w:rsidRDefault="005267A5" w:rsidP="0091350E">
      <w:pPr>
        <w:pStyle w:val="aff"/>
        <w:widowControl w:val="0"/>
        <w:numPr>
          <w:ilvl w:val="0"/>
          <w:numId w:val="99"/>
        </w:numPr>
        <w:autoSpaceDE w:val="0"/>
        <w:autoSpaceDN w:val="0"/>
        <w:adjustRightInd w:val="0"/>
        <w:contextualSpacing/>
      </w:pPr>
      <w:r w:rsidRPr="00C13E67">
        <w:t xml:space="preserve">электроэнцефалография, </w:t>
      </w:r>
    </w:p>
    <w:p w14:paraId="04ABD825" w14:textId="77777777" w:rsidR="005267A5" w:rsidRPr="00AF2453" w:rsidRDefault="005267A5" w:rsidP="0091350E">
      <w:pPr>
        <w:pStyle w:val="aff"/>
        <w:widowControl w:val="0"/>
        <w:numPr>
          <w:ilvl w:val="0"/>
          <w:numId w:val="99"/>
        </w:numPr>
        <w:autoSpaceDE w:val="0"/>
        <w:autoSpaceDN w:val="0"/>
        <w:adjustRightInd w:val="0"/>
        <w:contextualSpacing/>
      </w:pPr>
      <w:r w:rsidRPr="00C13E67">
        <w:t xml:space="preserve">функциональная магнитно-резонансная томография (фМРТ), </w:t>
      </w:r>
    </w:p>
    <w:p w14:paraId="4F8FB5B8" w14:textId="77777777" w:rsidR="005267A5" w:rsidRPr="00AF2453" w:rsidRDefault="005267A5" w:rsidP="0091350E">
      <w:pPr>
        <w:pStyle w:val="aff"/>
        <w:widowControl w:val="0"/>
        <w:numPr>
          <w:ilvl w:val="0"/>
          <w:numId w:val="99"/>
        </w:numPr>
        <w:autoSpaceDE w:val="0"/>
        <w:autoSpaceDN w:val="0"/>
        <w:adjustRightInd w:val="0"/>
        <w:contextualSpacing/>
      </w:pPr>
      <w:r w:rsidRPr="00C13E67">
        <w:t xml:space="preserve">позитронно-эмиссионной томография, </w:t>
      </w:r>
    </w:p>
    <w:p w14:paraId="573B291C" w14:textId="77777777" w:rsidR="005267A5" w:rsidRPr="00AF2453" w:rsidRDefault="005267A5" w:rsidP="0091350E">
      <w:pPr>
        <w:pStyle w:val="aff"/>
        <w:widowControl w:val="0"/>
        <w:numPr>
          <w:ilvl w:val="0"/>
          <w:numId w:val="99"/>
        </w:numPr>
        <w:autoSpaceDE w:val="0"/>
        <w:autoSpaceDN w:val="0"/>
        <w:adjustRightInd w:val="0"/>
        <w:contextualSpacing/>
      </w:pPr>
      <w:r w:rsidRPr="00C13E67">
        <w:t xml:space="preserve">определение плазменного уровня стресс-факторов (кортизола, соматотропного гормона, глюкозы, бета-эндорфина) </w:t>
      </w:r>
    </w:p>
    <w:p w14:paraId="13A50C23" w14:textId="77777777" w:rsidR="005267A5" w:rsidRPr="00AF2453" w:rsidRDefault="005267A5" w:rsidP="0091350E">
      <w:pPr>
        <w:pStyle w:val="aff"/>
        <w:widowControl w:val="0"/>
        <w:numPr>
          <w:ilvl w:val="0"/>
          <w:numId w:val="99"/>
        </w:numPr>
        <w:autoSpaceDE w:val="0"/>
        <w:autoSpaceDN w:val="0"/>
        <w:adjustRightInd w:val="0"/>
        <w:contextualSpacing/>
      </w:pPr>
      <w:r w:rsidRPr="00C13E67">
        <w:t xml:space="preserve">другие исследования по показаниям. </w:t>
      </w:r>
    </w:p>
    <w:p w14:paraId="3DCF62F2" w14:textId="77777777" w:rsidR="005267A5" w:rsidRPr="00AF2453" w:rsidRDefault="005267A5" w:rsidP="005267A5">
      <w:pPr>
        <w:pStyle w:val="aff"/>
        <w:ind w:left="0" w:firstLine="709"/>
      </w:pPr>
      <w:r w:rsidRPr="00AF2453">
        <w:t>Совокупность названных выше этапов обследования позволяет дифференцировать различные виды боли у гематологических пациентов: ноцицептивная соматическая (глубокая или поверхностная), ноцицептивная висцеральная, нейропатическая (периферическая или центральная), смешанная нейропатическая боль и т.д.</w:t>
      </w:r>
    </w:p>
    <w:p w14:paraId="5813BBA6" w14:textId="77777777" w:rsidR="005267A5" w:rsidRDefault="005267A5" w:rsidP="005267A5">
      <w:pPr>
        <w:pStyle w:val="aff"/>
        <w:ind w:left="0" w:firstLine="709"/>
        <w:rPr>
          <w:b/>
        </w:rPr>
      </w:pPr>
    </w:p>
    <w:p w14:paraId="0812B210" w14:textId="0873C397" w:rsidR="005267A5" w:rsidRPr="00AF2453" w:rsidRDefault="005267A5" w:rsidP="005267A5">
      <w:pPr>
        <w:pStyle w:val="aff"/>
        <w:ind w:left="0" w:firstLine="709"/>
      </w:pPr>
      <w:r w:rsidRPr="00AF2453">
        <w:rPr>
          <w:b/>
        </w:rPr>
        <w:t>Оценка интенсивности боли</w:t>
      </w:r>
      <w:r w:rsidRPr="00AF2453">
        <w:t xml:space="preserve"> может проводиться с помощью визуально-аналоговой шкалы VAS (градация интенсивности боли от 0 до 100) или числовой рейтинговой шкалы NRS (градация интенсивности боли от 0 до 10). Интенсивность боли по VAS более 70, как правило, показание к терапии сильными опиоидами. Целесообразно применение шкал, построенных на разных принципах оценки боли (см.выше) для более точного отражения состояния пациента, проведения динамической оценки течения болевого синдрома, оценки эффективности терапии боли и определения прогноза</w:t>
      </w:r>
      <w:r w:rsidRPr="003756EB">
        <w:t xml:space="preserve"> </w:t>
      </w:r>
      <w:r>
        <w:fldChar w:fldCharType="begin" w:fldLock="1"/>
      </w:r>
      <w:r w:rsidR="00120F30">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[175–178]","plainTextFormattedCitation":"[175–178]","previouslyFormattedCitation":"[175–178]"},"properties":{"noteIndex":0},"schema":"https://github.com/citation-style-language/schema/raw/master/csl-citation.json"}</w:instrText>
      </w:r>
      <w:r>
        <w:fldChar w:fldCharType="separate"/>
      </w:r>
      <w:r w:rsidRPr="005267A5">
        <w:rPr>
          <w:noProof/>
        </w:rPr>
        <w:t>[175–178]</w:t>
      </w:r>
      <w:r>
        <w:fldChar w:fldCharType="end"/>
      </w:r>
      <w:r w:rsidRPr="00AF2453">
        <w:t xml:space="preserve">. </w:t>
      </w:r>
    </w:p>
    <w:p w14:paraId="5045D2B9" w14:textId="77777777" w:rsidR="005267A5" w:rsidRPr="00AF2453" w:rsidRDefault="005267A5" w:rsidP="005267A5">
      <w:pPr>
        <w:pStyle w:val="aff"/>
        <w:ind w:left="0" w:firstLine="709"/>
      </w:pPr>
    </w:p>
    <w:p w14:paraId="21B1E4EA" w14:textId="77777777" w:rsidR="005267A5" w:rsidRPr="00AF2453" w:rsidRDefault="005267A5" w:rsidP="005267A5">
      <w:pPr>
        <w:ind w:left="709"/>
        <w:rPr>
          <w:b/>
        </w:rPr>
      </w:pPr>
      <w:r w:rsidRPr="00AF2453">
        <w:rPr>
          <w:b/>
        </w:rPr>
        <w:t>Лечение боли</w:t>
      </w:r>
    </w:p>
    <w:p w14:paraId="40A7B974" w14:textId="6089C02A" w:rsidR="005267A5" w:rsidRPr="00C13E67" w:rsidRDefault="005267A5" w:rsidP="005267A5">
      <w:pPr>
        <w:ind w:firstLine="709"/>
        <w:rPr>
          <w:bCs/>
          <w:u w:val="single"/>
        </w:rPr>
      </w:pPr>
      <w:r w:rsidRPr="00C13E67">
        <w:rPr>
          <w:bCs/>
          <w:u w:val="single"/>
        </w:rPr>
        <w:t>Основные принципы лечения боли у гематологических пациентов</w:t>
      </w:r>
      <w:r w:rsidRPr="003756EB">
        <w:rPr>
          <w:bCs/>
          <w:u w:val="single"/>
        </w:rPr>
        <w:t xml:space="preserve"> </w:t>
      </w:r>
      <w:r>
        <w:fldChar w:fldCharType="begin" w:fldLock="1"/>
      </w:r>
      <w:r w:rsidR="00120F30">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[175–178]","plainTextFormattedCitation":"[175–178]","previouslyFormattedCitation":"[175–178]"},"properties":{"noteIndex":0},"schema":"https://github.com/citation-style-language/schema/raw/master/csl-citation.json"}</w:instrText>
      </w:r>
      <w:r>
        <w:fldChar w:fldCharType="separate"/>
      </w:r>
      <w:r w:rsidRPr="005267A5">
        <w:rPr>
          <w:noProof/>
        </w:rPr>
        <w:t>[175–178]</w:t>
      </w:r>
      <w:r>
        <w:fldChar w:fldCharType="end"/>
      </w:r>
      <w:r w:rsidRPr="00C13E67">
        <w:rPr>
          <w:bCs/>
          <w:u w:val="single"/>
        </w:rPr>
        <w:t xml:space="preserve">: </w:t>
      </w:r>
    </w:p>
    <w:p w14:paraId="7D8265D0" w14:textId="77777777" w:rsidR="005267A5" w:rsidRPr="00AF2453" w:rsidRDefault="005267A5" w:rsidP="0091350E">
      <w:pPr>
        <w:pStyle w:val="aff"/>
        <w:widowControl w:val="0"/>
        <w:numPr>
          <w:ilvl w:val="0"/>
          <w:numId w:val="99"/>
        </w:numPr>
        <w:autoSpaceDE w:val="0"/>
        <w:autoSpaceDN w:val="0"/>
        <w:adjustRightInd w:val="0"/>
        <w:contextualSpacing/>
      </w:pPr>
      <w:r w:rsidRPr="00AF2453">
        <w:t>применение трехступенчатой схемы обезболивания по рекомендации ВОЗ (</w:t>
      </w:r>
      <w:r w:rsidRPr="00FB48DF">
        <w:t>назначение ненаркотических анальгетиков при слабой боли, трамадола и кодеина при умеренной боли, и опиоидных анальгетиков морфинового ряда при сильной боли);</w:t>
      </w:r>
    </w:p>
    <w:p w14:paraId="0E88D221" w14:textId="77777777" w:rsidR="005267A5" w:rsidRPr="00AF2453" w:rsidRDefault="005267A5" w:rsidP="0091350E">
      <w:pPr>
        <w:pStyle w:val="aff"/>
        <w:widowControl w:val="0"/>
        <w:numPr>
          <w:ilvl w:val="0"/>
          <w:numId w:val="99"/>
        </w:numPr>
        <w:autoSpaceDE w:val="0"/>
        <w:autoSpaceDN w:val="0"/>
        <w:adjustRightInd w:val="0"/>
        <w:contextualSpacing/>
      </w:pPr>
      <w:r w:rsidRPr="00AF2453">
        <w:t>разработка индивидуальных схем обезболивания, с учетом ограничений и противопоказаний, накладываемых особенностями гематологического заболевания (например, полностью отказались в гематологии от применения метамизола, противопоказаны пациентам с гипокоагуляцией неселективные НПВП и т.д.);</w:t>
      </w:r>
    </w:p>
    <w:p w14:paraId="31F1EF51" w14:textId="77777777" w:rsidR="005267A5" w:rsidRPr="00FB48DF" w:rsidRDefault="005267A5" w:rsidP="0091350E">
      <w:pPr>
        <w:pStyle w:val="aff"/>
        <w:widowControl w:val="0"/>
        <w:numPr>
          <w:ilvl w:val="0"/>
          <w:numId w:val="99"/>
        </w:numPr>
        <w:autoSpaceDE w:val="0"/>
        <w:autoSpaceDN w:val="0"/>
        <w:adjustRightInd w:val="0"/>
        <w:contextualSpacing/>
      </w:pPr>
      <w:r w:rsidRPr="00AF2453">
        <w:t>применение мультимодальной анальгезии</w:t>
      </w:r>
      <w:r w:rsidRPr="00FB48DF">
        <w:t xml:space="preserve"> (одновременное  назначение нескольких препаратов с различными механизмами действия, ко-анальгетиков, с целью достижения максимального анальгетического эффекта, с учетом патофизиологической основы боли);</w:t>
      </w:r>
    </w:p>
    <w:p w14:paraId="2976BA2A" w14:textId="77777777" w:rsidR="005267A5" w:rsidRPr="00AF2453" w:rsidRDefault="005267A5" w:rsidP="0091350E">
      <w:pPr>
        <w:pStyle w:val="aff"/>
        <w:widowControl w:val="0"/>
        <w:numPr>
          <w:ilvl w:val="0"/>
          <w:numId w:val="99"/>
        </w:numPr>
        <w:autoSpaceDE w:val="0"/>
        <w:autoSpaceDN w:val="0"/>
        <w:adjustRightInd w:val="0"/>
        <w:contextualSpacing/>
      </w:pPr>
      <w:r w:rsidRPr="00AF2453">
        <w:t xml:space="preserve">использование превентивной анальгезии – начало базовой терапии до возникновения боли; </w:t>
      </w:r>
    </w:p>
    <w:p w14:paraId="4AD09887" w14:textId="77777777" w:rsidR="005267A5" w:rsidRPr="00AF2453" w:rsidRDefault="005267A5" w:rsidP="0091350E">
      <w:pPr>
        <w:pStyle w:val="aff"/>
        <w:widowControl w:val="0"/>
        <w:numPr>
          <w:ilvl w:val="0"/>
          <w:numId w:val="99"/>
        </w:numPr>
        <w:autoSpaceDE w:val="0"/>
        <w:autoSpaceDN w:val="0"/>
        <w:adjustRightInd w:val="0"/>
        <w:contextualSpacing/>
      </w:pPr>
      <w:r w:rsidRPr="00AF2453">
        <w:t>построение схем обезболивания с учетом предпочтительных способов введения в гематологии;</w:t>
      </w:r>
    </w:p>
    <w:p w14:paraId="3F784085" w14:textId="77777777" w:rsidR="005267A5" w:rsidRPr="00AF2453" w:rsidRDefault="005267A5" w:rsidP="0091350E">
      <w:pPr>
        <w:pStyle w:val="aff"/>
        <w:widowControl w:val="0"/>
        <w:numPr>
          <w:ilvl w:val="0"/>
          <w:numId w:val="99"/>
        </w:numPr>
        <w:autoSpaceDE w:val="0"/>
        <w:autoSpaceDN w:val="0"/>
        <w:adjustRightInd w:val="0"/>
        <w:contextualSpacing/>
      </w:pPr>
      <w:r w:rsidRPr="00AF2453">
        <w:t xml:space="preserve">контроль эффективности и переносимости анальгезирующей терапии, своевременная коррекция. </w:t>
      </w:r>
    </w:p>
    <w:p w14:paraId="0350011E" w14:textId="77777777" w:rsidR="005267A5" w:rsidRDefault="005267A5" w:rsidP="005267A5">
      <w:pPr>
        <w:widowControl w:val="0"/>
        <w:autoSpaceDE w:val="0"/>
        <w:autoSpaceDN w:val="0"/>
        <w:adjustRightInd w:val="0"/>
        <w:ind w:firstLine="709"/>
        <w:rPr>
          <w:b/>
        </w:rPr>
      </w:pPr>
    </w:p>
    <w:p w14:paraId="2F47845C" w14:textId="74DB5397" w:rsidR="005267A5" w:rsidRPr="00C13E67" w:rsidRDefault="005267A5" w:rsidP="005267A5">
      <w:pPr>
        <w:ind w:firstLine="709"/>
        <w:rPr>
          <w:bCs/>
          <w:u w:val="single"/>
        </w:rPr>
      </w:pPr>
      <w:r w:rsidRPr="00C13E67">
        <w:rPr>
          <w:bCs/>
          <w:u w:val="single"/>
        </w:rPr>
        <w:t>Основные группы препаратов, применяемых для купирования боли у гематологических пациентов</w:t>
      </w:r>
      <w:r w:rsidRPr="003756EB">
        <w:rPr>
          <w:bCs/>
          <w:u w:val="single"/>
        </w:rPr>
        <w:t xml:space="preserve"> </w:t>
      </w:r>
      <w:r>
        <w:fldChar w:fldCharType="begin" w:fldLock="1"/>
      </w:r>
      <w:r w:rsidR="00120F30">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[175–178]","plainTextFormattedCitation":"[175–178]","previouslyFormattedCitation":"[175–178]"},"properties":{"noteIndex":0},"schema":"https://github.com/citation-style-language/schema/raw/master/csl-citation.json"}</w:instrText>
      </w:r>
      <w:r>
        <w:fldChar w:fldCharType="separate"/>
      </w:r>
      <w:r w:rsidRPr="005267A5">
        <w:rPr>
          <w:noProof/>
        </w:rPr>
        <w:t>[175–178]</w:t>
      </w:r>
      <w:r>
        <w:fldChar w:fldCharType="end"/>
      </w:r>
      <w:r w:rsidRPr="00C13E67">
        <w:rPr>
          <w:bCs/>
          <w:u w:val="single"/>
        </w:rPr>
        <w:t>:</w:t>
      </w:r>
      <w:r w:rsidRPr="003756EB">
        <w:rPr>
          <w:bCs/>
          <w:u w:val="single"/>
        </w:rPr>
        <w:t xml:space="preserve"> </w:t>
      </w:r>
      <w:r w:rsidRPr="00C13E67">
        <w:rPr>
          <w:bCs/>
          <w:u w:val="single"/>
        </w:rPr>
        <w:t xml:space="preserve"> </w:t>
      </w:r>
    </w:p>
    <w:p w14:paraId="65AD9A8F" w14:textId="77777777" w:rsidR="005267A5" w:rsidRPr="00AF2453" w:rsidRDefault="005267A5" w:rsidP="0091350E">
      <w:pPr>
        <w:pStyle w:val="aff"/>
        <w:widowControl w:val="0"/>
        <w:numPr>
          <w:ilvl w:val="0"/>
          <w:numId w:val="99"/>
        </w:numPr>
        <w:autoSpaceDE w:val="0"/>
        <w:autoSpaceDN w:val="0"/>
        <w:adjustRightInd w:val="0"/>
        <w:contextualSpacing/>
      </w:pPr>
      <w:r w:rsidRPr="00AF2453">
        <w:t xml:space="preserve">Опиоидные анальгетики – морфин, фентанил, ремифентанил, тримеперидин, оксикодон, бупренорфин, дигидрокодеин, трамадол, и иные опиодные анальгетики для терапии боли онкологического профиля  </w:t>
      </w:r>
    </w:p>
    <w:p w14:paraId="500F4853" w14:textId="77777777" w:rsidR="005267A5" w:rsidRPr="00AF2453" w:rsidRDefault="005267A5" w:rsidP="0091350E">
      <w:pPr>
        <w:pStyle w:val="aff"/>
        <w:widowControl w:val="0"/>
        <w:numPr>
          <w:ilvl w:val="0"/>
          <w:numId w:val="99"/>
        </w:numPr>
        <w:autoSpaceDE w:val="0"/>
        <w:autoSpaceDN w:val="0"/>
        <w:adjustRightInd w:val="0"/>
        <w:contextualSpacing/>
      </w:pPr>
      <w:r w:rsidRPr="00AF2453">
        <w:t>Неселективные НПВП (ингибиторы ЦОГ-1, ЦОГ-2) – диклофенак, кетопрофен, декскетопрофен, ибупрофен, кеторолак, лорноксикам</w:t>
      </w:r>
    </w:p>
    <w:p w14:paraId="755672F6" w14:textId="77777777" w:rsidR="005267A5" w:rsidRPr="00AF2453" w:rsidRDefault="005267A5" w:rsidP="0091350E">
      <w:pPr>
        <w:pStyle w:val="aff"/>
        <w:widowControl w:val="0"/>
        <w:numPr>
          <w:ilvl w:val="0"/>
          <w:numId w:val="99"/>
        </w:numPr>
        <w:autoSpaceDE w:val="0"/>
        <w:autoSpaceDN w:val="0"/>
        <w:adjustRightInd w:val="0"/>
        <w:contextualSpacing/>
      </w:pPr>
      <w:r w:rsidRPr="00AF2453">
        <w:t>Селективные НПВП (ингибиторы ЦОГ-2) – нимесулид,  мелоксикам</w:t>
      </w:r>
    </w:p>
    <w:p w14:paraId="10854D44" w14:textId="77777777" w:rsidR="005267A5" w:rsidRPr="00AF2453" w:rsidRDefault="005267A5" w:rsidP="0091350E">
      <w:pPr>
        <w:pStyle w:val="aff"/>
        <w:widowControl w:val="0"/>
        <w:numPr>
          <w:ilvl w:val="0"/>
          <w:numId w:val="99"/>
        </w:numPr>
        <w:autoSpaceDE w:val="0"/>
        <w:autoSpaceDN w:val="0"/>
        <w:adjustRightInd w:val="0"/>
        <w:contextualSpacing/>
      </w:pPr>
      <w:r w:rsidRPr="00FB48DF">
        <w:t xml:space="preserve">Высокоселективные НПВП (ингибиторы ЦОГ-2) – </w:t>
      </w:r>
      <w:r w:rsidRPr="00AF2453">
        <w:t>целекоксиб, эторикоксиб, парекоксиб</w:t>
      </w:r>
    </w:p>
    <w:p w14:paraId="64F1F3F5" w14:textId="77777777" w:rsidR="005267A5" w:rsidRPr="00AF2453" w:rsidRDefault="005267A5" w:rsidP="0091350E">
      <w:pPr>
        <w:pStyle w:val="aff"/>
        <w:widowControl w:val="0"/>
        <w:numPr>
          <w:ilvl w:val="0"/>
          <w:numId w:val="99"/>
        </w:numPr>
        <w:autoSpaceDE w:val="0"/>
        <w:autoSpaceDN w:val="0"/>
        <w:adjustRightInd w:val="0"/>
        <w:contextualSpacing/>
      </w:pPr>
      <w:r w:rsidRPr="00AF2453">
        <w:t>Анилиды – парацетамол</w:t>
      </w:r>
    </w:p>
    <w:p w14:paraId="3128D812" w14:textId="77777777" w:rsidR="005267A5" w:rsidRPr="00AF2453" w:rsidRDefault="005267A5" w:rsidP="0091350E">
      <w:pPr>
        <w:pStyle w:val="aff"/>
        <w:widowControl w:val="0"/>
        <w:numPr>
          <w:ilvl w:val="0"/>
          <w:numId w:val="99"/>
        </w:numPr>
        <w:autoSpaceDE w:val="0"/>
        <w:autoSpaceDN w:val="0"/>
        <w:adjustRightInd w:val="0"/>
        <w:contextualSpacing/>
      </w:pPr>
      <w:r w:rsidRPr="00AF2453">
        <w:t>Другие неопиоидные анальгетики –  нефопам</w:t>
      </w:r>
    </w:p>
    <w:p w14:paraId="06F5EAC2" w14:textId="77777777" w:rsidR="005267A5" w:rsidRPr="00AF2453" w:rsidRDefault="005267A5" w:rsidP="0091350E">
      <w:pPr>
        <w:pStyle w:val="aff"/>
        <w:widowControl w:val="0"/>
        <w:numPr>
          <w:ilvl w:val="0"/>
          <w:numId w:val="99"/>
        </w:numPr>
        <w:autoSpaceDE w:val="0"/>
        <w:autoSpaceDN w:val="0"/>
        <w:adjustRightInd w:val="0"/>
        <w:contextualSpacing/>
      </w:pPr>
      <w:r w:rsidRPr="00AF2453">
        <w:t>Антиконвульсанты – габапентин, прегабалин</w:t>
      </w:r>
    </w:p>
    <w:p w14:paraId="233BBB24" w14:textId="77777777" w:rsidR="005267A5" w:rsidRPr="00AF2453" w:rsidRDefault="005267A5" w:rsidP="0091350E">
      <w:pPr>
        <w:pStyle w:val="aff"/>
        <w:widowControl w:val="0"/>
        <w:numPr>
          <w:ilvl w:val="0"/>
          <w:numId w:val="99"/>
        </w:numPr>
        <w:autoSpaceDE w:val="0"/>
        <w:autoSpaceDN w:val="0"/>
        <w:adjustRightInd w:val="0"/>
        <w:contextualSpacing/>
      </w:pPr>
      <w:r w:rsidRPr="00AF2453">
        <w:t>Внутривенные анестетики – кетамин</w:t>
      </w:r>
    </w:p>
    <w:p w14:paraId="4587236D" w14:textId="77777777" w:rsidR="005267A5" w:rsidRPr="00AF2453" w:rsidRDefault="005267A5" w:rsidP="0091350E">
      <w:pPr>
        <w:pStyle w:val="aff"/>
        <w:widowControl w:val="0"/>
        <w:numPr>
          <w:ilvl w:val="0"/>
          <w:numId w:val="99"/>
        </w:numPr>
        <w:autoSpaceDE w:val="0"/>
        <w:autoSpaceDN w:val="0"/>
        <w:adjustRightInd w:val="0"/>
        <w:contextualSpacing/>
      </w:pPr>
      <w:r w:rsidRPr="00AF2453">
        <w:t>Спазмолитики –  дротаверин, папаверина гидрохлорид, платифиллин и др.</w:t>
      </w:r>
    </w:p>
    <w:p w14:paraId="6C66F425" w14:textId="77777777" w:rsidR="005267A5" w:rsidRPr="00AF2453" w:rsidRDefault="005267A5" w:rsidP="0091350E">
      <w:pPr>
        <w:pStyle w:val="aff"/>
        <w:widowControl w:val="0"/>
        <w:numPr>
          <w:ilvl w:val="0"/>
          <w:numId w:val="99"/>
        </w:numPr>
        <w:autoSpaceDE w:val="0"/>
        <w:autoSpaceDN w:val="0"/>
        <w:adjustRightInd w:val="0"/>
        <w:contextualSpacing/>
      </w:pPr>
      <w:r w:rsidRPr="00AF2453">
        <w:t>Миорелаксанты центрального действия –  тизанидина гидрохлорид</w:t>
      </w:r>
    </w:p>
    <w:p w14:paraId="44B130B1" w14:textId="77777777" w:rsidR="005267A5" w:rsidRPr="00AF2453" w:rsidRDefault="005267A5" w:rsidP="0091350E">
      <w:pPr>
        <w:pStyle w:val="aff"/>
        <w:widowControl w:val="0"/>
        <w:numPr>
          <w:ilvl w:val="0"/>
          <w:numId w:val="99"/>
        </w:numPr>
        <w:autoSpaceDE w:val="0"/>
        <w:autoSpaceDN w:val="0"/>
        <w:adjustRightInd w:val="0"/>
        <w:contextualSpacing/>
      </w:pPr>
      <w:r w:rsidRPr="00FB48DF">
        <w:t>Мазь / крем для наружного применения – эбермин, декспантенол, диоксометилтетрагидропиримидин (для лечения лучевого дерматита)</w:t>
      </w:r>
    </w:p>
    <w:p w14:paraId="5CA5DCE0" w14:textId="77777777" w:rsidR="005267A5" w:rsidRPr="00AF2453" w:rsidRDefault="005267A5" w:rsidP="0091350E">
      <w:pPr>
        <w:pStyle w:val="aff"/>
        <w:widowControl w:val="0"/>
        <w:numPr>
          <w:ilvl w:val="0"/>
          <w:numId w:val="99"/>
        </w:numPr>
        <w:autoSpaceDE w:val="0"/>
        <w:autoSpaceDN w:val="0"/>
        <w:adjustRightInd w:val="0"/>
        <w:contextualSpacing/>
      </w:pPr>
      <w:r w:rsidRPr="00FB48DF">
        <w:t>Растворы для полоскания полости рта (при мукозитах) – раствор солевой гипернасыщенный  (капосол) и другие ополаскиватели для полости рта (висцид)</w:t>
      </w:r>
    </w:p>
    <w:p w14:paraId="621770C3" w14:textId="77777777" w:rsidR="005267A5" w:rsidRPr="00AF2453" w:rsidRDefault="005267A5" w:rsidP="0091350E">
      <w:pPr>
        <w:pStyle w:val="aff"/>
        <w:widowControl w:val="0"/>
        <w:numPr>
          <w:ilvl w:val="0"/>
          <w:numId w:val="99"/>
        </w:numPr>
        <w:autoSpaceDE w:val="0"/>
        <w:autoSpaceDN w:val="0"/>
        <w:adjustRightInd w:val="0"/>
        <w:contextualSpacing/>
      </w:pPr>
      <w:r w:rsidRPr="00FB48DF">
        <w:t>Увлажняющие стоматологические гели (при стоматитах)</w:t>
      </w:r>
    </w:p>
    <w:p w14:paraId="384DDE8E" w14:textId="77777777" w:rsidR="005267A5" w:rsidRDefault="005267A5" w:rsidP="005267A5">
      <w:pPr>
        <w:widowControl w:val="0"/>
        <w:autoSpaceDE w:val="0"/>
        <w:autoSpaceDN w:val="0"/>
        <w:adjustRightInd w:val="0"/>
        <w:ind w:firstLine="709"/>
        <w:rPr>
          <w:b/>
        </w:rPr>
      </w:pPr>
    </w:p>
    <w:p w14:paraId="1E5FAEC7" w14:textId="77777777" w:rsidR="005267A5" w:rsidRPr="00FB48DF" w:rsidRDefault="005267A5" w:rsidP="005267A5">
      <w:pPr>
        <w:ind w:left="709"/>
        <w:rPr>
          <w:b/>
        </w:rPr>
      </w:pPr>
      <w:r w:rsidRPr="00AF2453">
        <w:rPr>
          <w:b/>
        </w:rPr>
        <w:t>Особенности анальгезии при различных гематологических состояниях.</w:t>
      </w:r>
    </w:p>
    <w:p w14:paraId="57C0BCD1" w14:textId="77777777" w:rsidR="005267A5" w:rsidRPr="00FB48DF" w:rsidRDefault="005267A5" w:rsidP="005267A5">
      <w:pPr>
        <w:ind w:firstLine="709"/>
        <w:rPr>
          <w:bCs/>
          <w:u w:val="single"/>
        </w:rPr>
      </w:pPr>
      <w:r w:rsidRPr="00FB48DF">
        <w:rPr>
          <w:bCs/>
          <w:u w:val="single"/>
        </w:rPr>
        <w:t>Обезболивание пациентов при дефиците факторов свертывания крови.</w:t>
      </w:r>
    </w:p>
    <w:p w14:paraId="1818846E" w14:textId="77777777" w:rsidR="005267A5" w:rsidRPr="00AF2453" w:rsidRDefault="005267A5" w:rsidP="005267A5">
      <w:pPr>
        <w:shd w:val="clear" w:color="auto" w:fill="FFFFFF"/>
        <w:ind w:firstLine="709"/>
        <w:rPr>
          <w:color w:val="000000" w:themeColor="text1"/>
        </w:rPr>
      </w:pPr>
      <w:r w:rsidRPr="00AF2453">
        <w:rPr>
          <w:color w:val="000000" w:themeColor="text1"/>
        </w:rPr>
        <w:t xml:space="preserve">Рекомендуется избегать применения неселективных </w:t>
      </w:r>
      <w:r w:rsidRPr="00AF2453">
        <w:t>нестероидных противовоспалительных препаратов (</w:t>
      </w:r>
      <w:r w:rsidRPr="00AF2453">
        <w:rPr>
          <w:color w:val="000000" w:themeColor="text1"/>
        </w:rPr>
        <w:t xml:space="preserve">НПВП) </w:t>
      </w:r>
      <w:r w:rsidRPr="00AF2453">
        <w:t>при дефиците факторов свертывания крови</w:t>
      </w:r>
      <w:r w:rsidRPr="00AF2453">
        <w:rPr>
          <w:color w:val="000000" w:themeColor="text1"/>
        </w:rPr>
        <w:t xml:space="preserve"> – наиболее предпочтительными из НПВП являются ингибиторы циклооксигеназы-2 (ЦОГ-2). Существенным достоинством селективных ингибиторов ЦОГ-2 является отсутствие у них антитромбоцитарного эффекта, которое объясняется тем, что тромбоциты содержат только ЦОГ-1. </w:t>
      </w:r>
    </w:p>
    <w:p w14:paraId="7F9D3604" w14:textId="77777777" w:rsidR="005267A5" w:rsidRPr="00AF2453" w:rsidRDefault="005267A5" w:rsidP="005267A5">
      <w:pPr>
        <w:shd w:val="clear" w:color="auto" w:fill="FFFFFF"/>
        <w:ind w:firstLine="709"/>
        <w:rPr>
          <w:color w:val="000000" w:themeColor="text1"/>
        </w:rPr>
      </w:pPr>
      <w:r w:rsidRPr="00AF2453">
        <w:rPr>
          <w:color w:val="000000" w:themeColor="text1"/>
        </w:rPr>
        <w:t>Лекарственные препараты - ингибиторы ЦОГ-2:</w:t>
      </w:r>
    </w:p>
    <w:p w14:paraId="4D2E3149" w14:textId="77777777" w:rsidR="005267A5" w:rsidRPr="00FB48DF" w:rsidRDefault="005267A5" w:rsidP="0091350E">
      <w:pPr>
        <w:pStyle w:val="aff"/>
        <w:widowControl w:val="0"/>
        <w:numPr>
          <w:ilvl w:val="0"/>
          <w:numId w:val="99"/>
        </w:numPr>
        <w:autoSpaceDE w:val="0"/>
        <w:autoSpaceDN w:val="0"/>
        <w:adjustRightInd w:val="0"/>
        <w:contextualSpacing/>
      </w:pPr>
      <w:r w:rsidRPr="00FB48DF">
        <w:t>селективные ингибиторы ЦОГ-2: производные сульфонанилидов: нимесулид; производные оксикамов: мелоксикам; </w:t>
      </w:r>
    </w:p>
    <w:p w14:paraId="0025A4DA" w14:textId="77777777" w:rsidR="005267A5" w:rsidRPr="00FB48DF" w:rsidRDefault="005267A5" w:rsidP="0091350E">
      <w:pPr>
        <w:pStyle w:val="aff"/>
        <w:widowControl w:val="0"/>
        <w:numPr>
          <w:ilvl w:val="0"/>
          <w:numId w:val="99"/>
        </w:numPr>
        <w:autoSpaceDE w:val="0"/>
        <w:autoSpaceDN w:val="0"/>
        <w:adjustRightInd w:val="0"/>
        <w:contextualSpacing/>
      </w:pPr>
      <w:r w:rsidRPr="00FB48DF">
        <w:t>специфические (высокоселективные)  ингибиторы ЦОГ-2  представители коксибов: целекоксиб, валдекоксиб, эторикокосиб, парекоксиб. </w:t>
      </w:r>
    </w:p>
    <w:p w14:paraId="3F31DED1" w14:textId="77777777" w:rsidR="005267A5" w:rsidRPr="00AF2453" w:rsidRDefault="005267A5" w:rsidP="005267A5">
      <w:pPr>
        <w:shd w:val="clear" w:color="auto" w:fill="FFFFFF"/>
        <w:ind w:firstLine="709"/>
        <w:rPr>
          <w:color w:val="000000" w:themeColor="text1"/>
        </w:rPr>
      </w:pPr>
      <w:r w:rsidRPr="00AF2453">
        <w:rPr>
          <w:color w:val="000000" w:themeColor="text1"/>
        </w:rPr>
        <w:t xml:space="preserve">Ингибиторы ЦОГ-2 не превосходят традиционные неселективные НПВП по своей противовоспалительной активности, но обеспечивают большую безопасность применения у пациентов с гипокоагуляцией и заболеваниями </w:t>
      </w:r>
      <w:r w:rsidRPr="00AF2453">
        <w:t>желудочно-кишечного тракта (</w:t>
      </w:r>
      <w:r w:rsidRPr="00AF2453">
        <w:rPr>
          <w:color w:val="000000" w:themeColor="text1"/>
        </w:rPr>
        <w:t>ЖКТ).  Для профилактики развития НПВП-индуцированной гастропатии возможно проведение сопутствующей терапии</w:t>
      </w:r>
      <w:r w:rsidRPr="00FB48DF">
        <w:rPr>
          <w:color w:val="000000" w:themeColor="text1"/>
        </w:rPr>
        <w:t xml:space="preserve"> </w:t>
      </w:r>
      <w:r w:rsidRPr="00AF2453">
        <w:t xml:space="preserve">противоязвенным препаратом </w:t>
      </w:r>
      <w:r w:rsidRPr="00AF2453">
        <w:rPr>
          <w:color w:val="000000" w:themeColor="text1"/>
        </w:rPr>
        <w:t xml:space="preserve">мизопростолом  и/или омепразолом. </w:t>
      </w:r>
    </w:p>
    <w:p w14:paraId="773DC46D" w14:textId="77777777" w:rsidR="005267A5" w:rsidRPr="00AF2453" w:rsidRDefault="005267A5" w:rsidP="005267A5">
      <w:pPr>
        <w:shd w:val="clear" w:color="auto" w:fill="FFFFFF"/>
        <w:ind w:firstLine="709"/>
        <w:rPr>
          <w:color w:val="000000" w:themeColor="text1"/>
        </w:rPr>
      </w:pPr>
      <w:r w:rsidRPr="00AF2453">
        <w:rPr>
          <w:color w:val="000000" w:themeColor="text1"/>
        </w:rPr>
        <w:t xml:space="preserve">Основными побочными эффектами при применении ингибиторов ЦОГ-2 являются кардиоваскулярные осложнения. В связи с этим назначения данного класса препаратов рекомендовано избегать у пациентов с ишемической болезнью сердца, артериальной гипертензией, сахарным диабетом и т.п. </w:t>
      </w:r>
    </w:p>
    <w:p w14:paraId="17A58349" w14:textId="77777777" w:rsidR="005267A5" w:rsidRPr="00AF2453" w:rsidRDefault="005267A5" w:rsidP="005267A5">
      <w:pPr>
        <w:pStyle w:val="afd"/>
        <w:shd w:val="clear" w:color="auto" w:fill="FFFFFF"/>
        <w:spacing w:beforeAutospacing="0" w:afterAutospacing="0" w:line="360" w:lineRule="auto"/>
        <w:ind w:firstLine="709"/>
        <w:rPr>
          <w:color w:val="000000"/>
        </w:rPr>
      </w:pPr>
      <w:r w:rsidRPr="00AF2453">
        <w:rPr>
          <w:color w:val="000000"/>
        </w:rPr>
        <w:t xml:space="preserve">Допускаются к применению препараты из группы НПВП центрального действия (парацетамол). Парацетамол </w:t>
      </w:r>
      <w:r w:rsidRPr="00AF2453">
        <w:rPr>
          <w:color w:val="000000"/>
          <w:shd w:val="clear" w:color="auto" w:fill="FFFFFF"/>
        </w:rPr>
        <w:t xml:space="preserve">блокирует ЦОГ-1 и ЦОГ-2 преимущественно в ЦНС, воздействуя на центры боли и терморегуляции. В воспаленных тканях клеточные пероксидазы нейтрализуют влияние парацетамола на ЦОГ, что объясняет практически полное отсутствие противовоспалительного эффекта. </w:t>
      </w:r>
      <w:r w:rsidRPr="00AF2453">
        <w:rPr>
          <w:color w:val="000000"/>
        </w:rPr>
        <w:t>Предполагают также, что препарат селективно блокирует ЦОГ-3, которая находится только в ЦНС. Этим объясняется выраженный анальгетический и жаропонижающий эффект, отсутствие противовоспалительного действия и отрицательного влияния на слизистую оболочку</w:t>
      </w:r>
      <w:r w:rsidRPr="00AF2453">
        <w:rPr>
          <w:rStyle w:val="apple-converted-space"/>
          <w:color w:val="000000"/>
        </w:rPr>
        <w:t> </w:t>
      </w:r>
      <w:hyperlink r:id="rId10" w:tooltip="ЖКТ" w:history="1">
        <w:r w:rsidRPr="00AF2453">
          <w:rPr>
            <w:rStyle w:val="affd"/>
            <w:color w:val="000000"/>
          </w:rPr>
          <w:t>желудочно-кишечного тракта</w:t>
        </w:r>
      </w:hyperlink>
      <w:r w:rsidRPr="00AF2453">
        <w:rPr>
          <w:color w:val="000000"/>
        </w:rPr>
        <w:t>. Одним из серьезных побочных эффектов парацетамола является гепатотоксичность. Применение парацетамола у пациентов, страдающих гепатитом С, алкоголизмом, может приводить к печеночной недостаточности, однако ч</w:t>
      </w:r>
      <w:r w:rsidRPr="00AF2453">
        <w:rPr>
          <w:color w:val="000000"/>
          <w:shd w:val="clear" w:color="auto" w:fill="FFFFFF"/>
        </w:rPr>
        <w:t xml:space="preserve">астота гепатотоксичности парацетамола в терапевтических дозах до сих пор точно неизвестна. </w:t>
      </w:r>
      <w:r w:rsidRPr="00AF2453">
        <w:rPr>
          <w:color w:val="000000"/>
        </w:rPr>
        <w:t>При использовании парацетамола должны соблюдаться дозы и сроки применения,</w:t>
      </w:r>
      <w:r w:rsidRPr="00FB48DF">
        <w:rPr>
          <w:color w:val="000000"/>
        </w:rPr>
        <w:t xml:space="preserve"> </w:t>
      </w:r>
      <w:r w:rsidRPr="00AF2453">
        <w:rPr>
          <w:color w:val="000000"/>
        </w:rPr>
        <w:t>контролироваться функция печени</w:t>
      </w:r>
      <w:r w:rsidRPr="00AF2453">
        <w:rPr>
          <w:shd w:val="clear" w:color="auto" w:fill="FFFFFF"/>
        </w:rPr>
        <w:t>.</w:t>
      </w:r>
      <w:r w:rsidRPr="00AF2453">
        <w:rPr>
          <w:color w:val="000000"/>
        </w:rPr>
        <w:t xml:space="preserve"> Также необходимо учитывать нефротоксичность описанных выше препаратов особенно при длительном их использовании. </w:t>
      </w:r>
    </w:p>
    <w:p w14:paraId="43AA3A65" w14:textId="77777777" w:rsidR="005267A5" w:rsidRPr="00AF2453" w:rsidRDefault="005267A5" w:rsidP="005267A5">
      <w:pPr>
        <w:widowControl w:val="0"/>
        <w:autoSpaceDE w:val="0"/>
        <w:autoSpaceDN w:val="0"/>
        <w:adjustRightInd w:val="0"/>
        <w:ind w:firstLine="709"/>
        <w:rPr>
          <w:color w:val="000000" w:themeColor="text1"/>
        </w:rPr>
      </w:pPr>
      <w:r w:rsidRPr="00AF2453">
        <w:rPr>
          <w:color w:val="000000" w:themeColor="text1"/>
        </w:rPr>
        <w:t>При оперативном лечении пациентов эффективное снижение интенсивной боли в раннем послеоперационном периоде мультимодальной анальгезией с использованием парацетамола и опиоидного анальгетика (например, тримеперидина). Результаты исследования показателей гемостаза на фоне применения парацетамола позволяют заключить, что препарат не влияет на состояние гемостаза и может безопасно использоваться у пациентов с гипокоагуляционными состояниями.</w:t>
      </w:r>
      <w:r w:rsidRPr="00AF2453">
        <w:rPr>
          <w:bCs/>
        </w:rPr>
        <w:t xml:space="preserve"> </w:t>
      </w:r>
    </w:p>
    <w:p w14:paraId="748F1B57" w14:textId="77777777" w:rsidR="005267A5" w:rsidRDefault="005267A5" w:rsidP="005267A5">
      <w:pPr>
        <w:widowControl w:val="0"/>
        <w:autoSpaceDE w:val="0"/>
        <w:autoSpaceDN w:val="0"/>
        <w:adjustRightInd w:val="0"/>
        <w:ind w:firstLine="709"/>
        <w:rPr>
          <w:b/>
        </w:rPr>
      </w:pPr>
    </w:p>
    <w:p w14:paraId="3118D2F7" w14:textId="77777777" w:rsidR="005267A5" w:rsidRPr="00FB48DF" w:rsidRDefault="005267A5" w:rsidP="005267A5">
      <w:pPr>
        <w:ind w:firstLine="709"/>
        <w:rPr>
          <w:bCs/>
          <w:u w:val="single"/>
        </w:rPr>
      </w:pPr>
      <w:r w:rsidRPr="00FB48DF">
        <w:rPr>
          <w:bCs/>
          <w:u w:val="single"/>
        </w:rPr>
        <w:t>Обезболивание пациентов с тромбоцитопенией.</w:t>
      </w:r>
    </w:p>
    <w:p w14:paraId="20621909" w14:textId="77777777" w:rsidR="005267A5" w:rsidRPr="00AF2453" w:rsidRDefault="005267A5" w:rsidP="005267A5">
      <w:pPr>
        <w:widowControl w:val="0"/>
        <w:autoSpaceDE w:val="0"/>
        <w:autoSpaceDN w:val="0"/>
        <w:adjustRightInd w:val="0"/>
        <w:ind w:firstLine="709"/>
      </w:pPr>
      <w:r w:rsidRPr="00AF2453">
        <w:t>Одним из этапов лечения гематологических заболеваний, сопровождающихся тромбоцитопенией, в том числе при</w:t>
      </w:r>
      <w:r w:rsidRPr="00FB48DF">
        <w:t xml:space="preserve"> </w:t>
      </w:r>
      <w:r w:rsidRPr="00AF2453">
        <w:t xml:space="preserve">лимфомах и лейкозах, зачастую является спленэктомия. Хирургические вмешательства у гематологических пациентов сопряжены с высоким риском геморрагических осложнений. Анестезиологическое пособие во время операции и послеоперационное обезболивание также представляют серьезную проблему, так как многие препараты, применяемые для анестезии, угнетают функцию тромбоцитов – в большей степени галотан, вызывающий необратимую дезагрегацию тромбоцитов; в меньшей степени – закись азота и современные ингаляционные анестетики. Из препаратов для внутривенной анестезии дезагрегацию тромбоцитов вызывают пропофол и тиопентал. Наркотические анальгетики и миорелаксанты практически не влияют на систему гемостаза. Применение регионарных методов (спинально-эпидуральная анестезия, различные виды блокад) и использование НПВП в качестве «первого шага» послеоперационного обезболивания (по рекомендациям ВОЗ) противопоказаны у гематологических пациентов с нарушениями гемостаза (тромбоцитопения, тромбоцитопатия, гипокоагуляция), глубокой нейтропенией, в связи с высоким риском развития геморрагических и инфекционных осложнений. </w:t>
      </w:r>
    </w:p>
    <w:p w14:paraId="6E6736CC" w14:textId="77777777" w:rsidR="005267A5" w:rsidRPr="00AF2453" w:rsidRDefault="005267A5" w:rsidP="005267A5">
      <w:pPr>
        <w:widowControl w:val="0"/>
        <w:autoSpaceDE w:val="0"/>
        <w:autoSpaceDN w:val="0"/>
        <w:adjustRightInd w:val="0"/>
        <w:ind w:firstLine="709"/>
      </w:pPr>
      <w:r w:rsidRPr="00AF2453">
        <w:t xml:space="preserve">Наиболее часто компонентами анестезии у гематологических пациентов являются: диприван, фентанил (вводная анестезия); тракриум, листенон (миорелаксация); севоран, фентанил (поддержание анестезии дробно). </w:t>
      </w:r>
    </w:p>
    <w:p w14:paraId="08AE29B9" w14:textId="77777777" w:rsidR="005267A5" w:rsidRPr="00AF2453" w:rsidRDefault="005267A5" w:rsidP="005267A5">
      <w:pPr>
        <w:widowControl w:val="0"/>
        <w:autoSpaceDE w:val="0"/>
        <w:autoSpaceDN w:val="0"/>
        <w:adjustRightInd w:val="0"/>
        <w:ind w:firstLine="709"/>
      </w:pPr>
      <w:r w:rsidRPr="00AF2453">
        <w:t xml:space="preserve">В послеоперационном периоде применяются анальгетики, не влияющие на систему гемостаза: парацетамол, нефопам, опиоиды. При применении парацетамола особое внимание уделяется уровню тромбоцитов, т. к. известно, что в очень редких случаях препарат может вызывать тромбоцитопению. </w:t>
      </w:r>
    </w:p>
    <w:p w14:paraId="1C834A31" w14:textId="77777777" w:rsidR="005267A5" w:rsidRPr="00AF2453" w:rsidRDefault="005267A5" w:rsidP="005267A5">
      <w:pPr>
        <w:widowControl w:val="0"/>
        <w:autoSpaceDE w:val="0"/>
        <w:autoSpaceDN w:val="0"/>
        <w:adjustRightInd w:val="0"/>
        <w:ind w:firstLine="709"/>
      </w:pPr>
      <w:r w:rsidRPr="00AF2453">
        <w:t xml:space="preserve">Противопоказано применение у пациентов с тромбоцитопенией неселективных НПВП. Ацетилсалициловая кислота вызывает необратимое влияние на ЦОГ и, соответственно, функцию тромбоцитов (дезагрегация тромбоцитов сохраняется в течение всего периода жизни тромбоцитов - 6–10 дней). Остальные неселективные НПВП подавляют ЦОГ тромбоцитов временно: функция тромбоцитов возвращается к нормальным значениям через 5 периодов полураспада НПВП, но несмотря на лишь временное блокирование агрегации тромбоцитов, применение НПВП абсолютно противопоказано у пациентов с ЗСК, протекающими с гипокоагуляцией. </w:t>
      </w:r>
    </w:p>
    <w:p w14:paraId="73C2052D" w14:textId="77777777" w:rsidR="005267A5" w:rsidRPr="00AF2453" w:rsidRDefault="005267A5" w:rsidP="005267A5">
      <w:pPr>
        <w:widowControl w:val="0"/>
        <w:autoSpaceDE w:val="0"/>
        <w:autoSpaceDN w:val="0"/>
        <w:adjustRightInd w:val="0"/>
        <w:ind w:firstLine="709"/>
      </w:pPr>
      <w:r w:rsidRPr="00AF2453">
        <w:t xml:space="preserve">Применение у пациентов с тромбоцитопенией селективных НПВП – ингибиторов циклооксигеназы-2 (ЦОГ-2), не оказывающих влияния на функцию тромбоцитов и слизистую желудка, ограничено в связи с вызываемыми ими побочными эффектами в виде кардиоваскулярных осложнений (инфаркт миокарда, инсульт). </w:t>
      </w:r>
    </w:p>
    <w:p w14:paraId="754D8535" w14:textId="77777777" w:rsidR="005267A5" w:rsidRPr="00AF2453" w:rsidRDefault="005267A5" w:rsidP="005267A5">
      <w:pPr>
        <w:widowControl w:val="0"/>
        <w:autoSpaceDE w:val="0"/>
        <w:autoSpaceDN w:val="0"/>
        <w:adjustRightInd w:val="0"/>
        <w:ind w:firstLine="709"/>
      </w:pPr>
      <w:r w:rsidRPr="00AF2453">
        <w:t xml:space="preserve">Многим пациентам с тромбоцитопенией до операции проводится лечение глюкокортикостероидами (ГКС),  осложняющееся артериальной гипертензией, сахарным диабетом, гиперлипидемией (в рамках медикаментозного синдрома Иценко-Кушинга), т. е. заболеваниями, при которых следует воздерживаться от назначения селективных НПВП. Не рекомендуется прерывать использование ГКС в периоперационном периоде у пациентов длительно получающих терапию последними, учитывая ряд возможных побочных эффектов связанных с резкой отменой. В то же время возможно прогнозировать наилучшее обезболивание у больных, получающих периоперационно ГКС. Использование ГКС в схеме обезболивания парацетамол + опиоидный анальгетик значительно снижает интенсивность послеоперационной боли и уменьшает расход наркотических анальгетиков. </w:t>
      </w:r>
    </w:p>
    <w:p w14:paraId="39FC37D1" w14:textId="77777777" w:rsidR="005267A5" w:rsidRDefault="005267A5" w:rsidP="005267A5">
      <w:pPr>
        <w:ind w:firstLine="709"/>
        <w:rPr>
          <w:b/>
          <w:u w:val="single"/>
        </w:rPr>
      </w:pPr>
    </w:p>
    <w:p w14:paraId="1BF6269E" w14:textId="77777777" w:rsidR="005267A5" w:rsidRPr="003C2911" w:rsidRDefault="005267A5" w:rsidP="005267A5">
      <w:pPr>
        <w:ind w:firstLine="709"/>
        <w:rPr>
          <w:bCs/>
          <w:u w:val="single"/>
        </w:rPr>
      </w:pPr>
      <w:r w:rsidRPr="003C2911">
        <w:rPr>
          <w:bCs/>
          <w:u w:val="single"/>
        </w:rPr>
        <w:t xml:space="preserve">Основные аспекты лечения боли при гиперкоагуляционном синдроме. </w:t>
      </w:r>
    </w:p>
    <w:p w14:paraId="4D343F22" w14:textId="77777777" w:rsidR="005267A5" w:rsidRPr="00AF2453" w:rsidRDefault="005267A5" w:rsidP="005267A5">
      <w:pPr>
        <w:pStyle w:val="afd"/>
        <w:shd w:val="clear" w:color="auto" w:fill="FFFFFF"/>
        <w:spacing w:beforeAutospacing="0" w:afterAutospacing="0" w:line="360" w:lineRule="auto"/>
        <w:ind w:firstLine="709"/>
        <w:rPr>
          <w:color w:val="000000"/>
        </w:rPr>
      </w:pPr>
      <w:r w:rsidRPr="00AF2453">
        <w:rPr>
          <w:color w:val="000000" w:themeColor="text1"/>
        </w:rPr>
        <w:t xml:space="preserve">При гиперкоагуляционном синдроме различного генеза возможно рассматривать к применению неселективные НПВП (диклофенак, ибупрофен, кетопрофен). Для профилактики развития НПВП-индуцированной гастропатии должен рассматриваться вопрос о проведении сопутствующей терапии  </w:t>
      </w:r>
      <w:r w:rsidRPr="00AF2453">
        <w:t xml:space="preserve">противоязвенным препаратом </w:t>
      </w:r>
      <w:r w:rsidRPr="00AF2453">
        <w:rPr>
          <w:color w:val="000000" w:themeColor="text1"/>
        </w:rPr>
        <w:t xml:space="preserve">мизопростолом  и/или омепразолом. </w:t>
      </w:r>
      <w:r w:rsidRPr="00AF2453">
        <w:rPr>
          <w:color w:val="000000"/>
        </w:rPr>
        <w:t xml:space="preserve">Также необходимо учитывать нефротоксичность НПВП особенно при длительном их использовании. </w:t>
      </w:r>
    </w:p>
    <w:p w14:paraId="6866DCFB" w14:textId="77777777" w:rsidR="005267A5" w:rsidRDefault="005267A5" w:rsidP="005267A5">
      <w:pPr>
        <w:ind w:firstLine="709"/>
        <w:rPr>
          <w:b/>
          <w:bCs/>
        </w:rPr>
      </w:pPr>
    </w:p>
    <w:p w14:paraId="4D387D06" w14:textId="77777777" w:rsidR="005267A5" w:rsidRPr="003C2911" w:rsidRDefault="005267A5" w:rsidP="005267A5">
      <w:pPr>
        <w:ind w:firstLine="709"/>
        <w:rPr>
          <w:bCs/>
          <w:u w:val="single"/>
        </w:rPr>
      </w:pPr>
      <w:r w:rsidRPr="003C2911">
        <w:rPr>
          <w:bCs/>
          <w:u w:val="single"/>
        </w:rPr>
        <w:t>Болевой синдром при введении Г-КСФ</w:t>
      </w:r>
    </w:p>
    <w:p w14:paraId="0B2121FB" w14:textId="77777777" w:rsidR="005267A5" w:rsidRPr="00AF2453" w:rsidRDefault="005267A5" w:rsidP="005267A5">
      <w:pPr>
        <w:ind w:firstLine="709"/>
      </w:pPr>
      <w:r w:rsidRPr="00AF2453">
        <w:t>При применении Г-КСФ могут возникать боли в костях, вызванные ускоренной мобилизацией клеток крови из костного мозга.  При рутинном применении Г-КСФ во время ХТ или в послекурсовом периоде болевой синдром возникает у 5-10% пациентов, в основном купируется НПВС. При применении Г-КСФ в процессе мобилизации клеток при проведении аутологичной трансплантации костного мозга / стволовых клеток возникает существенно чаще и требует адекватного обезболивания, в том числе, при необходимости,  наркотическими аналгетиками (</w:t>
      </w:r>
      <w:hyperlink r:id="rId11" w:history="1">
        <w:r w:rsidRPr="00AF2453">
          <w:rPr>
            <w:rStyle w:val="affd"/>
          </w:rPr>
          <w:t>тримеперидин</w:t>
        </w:r>
      </w:hyperlink>
      <w:r w:rsidRPr="00AF2453">
        <w:t xml:space="preserve"> 10 мг в/в, трамадол 100 мг в/в, фентанил 25 мкг/час трансдермально).</w:t>
      </w:r>
    </w:p>
    <w:p w14:paraId="112142A6" w14:textId="77777777" w:rsidR="005267A5" w:rsidRPr="00AF2453" w:rsidRDefault="005267A5" w:rsidP="005267A5">
      <w:pPr>
        <w:ind w:firstLine="709"/>
        <w:rPr>
          <w:b/>
          <w:bCs/>
        </w:rPr>
      </w:pPr>
    </w:p>
    <w:p w14:paraId="44069114" w14:textId="2CC47244" w:rsidR="005267A5" w:rsidRPr="003C2911" w:rsidRDefault="005267A5" w:rsidP="005267A5">
      <w:pPr>
        <w:ind w:left="709"/>
        <w:rPr>
          <w:b/>
        </w:rPr>
      </w:pPr>
      <w:r w:rsidRPr="003C2911">
        <w:rPr>
          <w:b/>
        </w:rPr>
        <w:t>Нейропатическая боль (НБ)</w:t>
      </w:r>
      <w:r>
        <w:rPr>
          <w:b/>
        </w:rPr>
        <w:t xml:space="preserve"> </w:t>
      </w:r>
      <w:r>
        <w:rPr>
          <w:b/>
        </w:rPr>
        <w:fldChar w:fldCharType="begin" w:fldLock="1"/>
      </w:r>
      <w:r w:rsidR="00120F30">
        <w:rPr>
          <w:b/>
        </w:rPr>
        <w:instrText>ADDIN CSL_CITATION {"citationItems":[{"id":"ITEM-1","itemData":{"author":[{"dropping-particle":"","family":"Авыдов","given":"О.С.","non-dropping-particle":"","parse-names":false,"suffix":""},{"dropping-particle":"","family":"Яхно","given":"Н.Н.","non-dropping-particle":"","parse-names":false,"suffix":""},{"dropping-particle":"","family":"Кукушкин","given":"М.Л.","non-dropping-particle":"","parse-names":false,"suffix":""},{"dropping-particle":"","family":"Чурюканов","given":"М.В.","non-dropping-particle":"","parse-names":false,"suffix":""},{"dropping-particle":"","family":"Абузарова","given":"Г.Р.","non-dropping-particle":"","parse-names":false,"suffix":""}],"container-title":"Российский журнал боли","id":"ITEM-1","issued":{"date-parts":[["2018"]]},"page":"5-40","title":"Невропатическая боль: клинические рекомендации по диагностике и лечению Российского общества по изучению боли","type":"article-journal","volume":"4"},"uris":["http://www.mendeley.com/documents/?uuid=9cb8bcdc-6d99-4a44-a57f-bdeec156b2b9"]}],"mendeley":{"formattedCitation":"[179]","plainTextFormattedCitation":"[179]","previouslyFormattedCitation":"[179]"},"properties":{"noteIndex":0},"schema":"https://github.com/citation-style-language/schema/raw/master/csl-citation.json"}</w:instrText>
      </w:r>
      <w:r>
        <w:rPr>
          <w:b/>
        </w:rPr>
        <w:fldChar w:fldCharType="separate"/>
      </w:r>
      <w:r w:rsidRPr="005267A5">
        <w:rPr>
          <w:noProof/>
        </w:rPr>
        <w:t>[179]</w:t>
      </w:r>
      <w:r>
        <w:rPr>
          <w:b/>
        </w:rPr>
        <w:fldChar w:fldCharType="end"/>
      </w:r>
    </w:p>
    <w:p w14:paraId="4AF87DA3" w14:textId="77777777" w:rsidR="005267A5" w:rsidRPr="00AF2453" w:rsidRDefault="005267A5" w:rsidP="005267A5">
      <w:pPr>
        <w:widowControl w:val="0"/>
        <w:autoSpaceDE w:val="0"/>
        <w:autoSpaceDN w:val="0"/>
        <w:adjustRightInd w:val="0"/>
        <w:ind w:firstLine="709"/>
        <w:rPr>
          <w:b/>
        </w:rPr>
      </w:pPr>
      <w:r w:rsidRPr="00AF2453">
        <w:t>У гематологических пациентов встречаются мононейропатия, полинейропатия, постгерпетическая невралгия, постинсультная боль, опухолевые компрессии спинного мозга, остеодеструкции, других локализаций, прорастанием/сдавлением опухоли нервных стволов и мозговых структур. Тяжелые токсические полинейропатии могут являться осложнением специфической химиотерапии, например, бортезомибом, талидомидом, винкристином. Боль смешанного генеза — глубокая соматическая ноцицептивная и нейропатическая зачастую выявляются при гемофилической артропатии.</w:t>
      </w:r>
    </w:p>
    <w:p w14:paraId="39F8BA18" w14:textId="77777777" w:rsidR="005267A5" w:rsidRPr="00AF2453" w:rsidRDefault="005267A5" w:rsidP="005267A5">
      <w:pPr>
        <w:widowControl w:val="0"/>
        <w:autoSpaceDE w:val="0"/>
        <w:autoSpaceDN w:val="0"/>
        <w:adjustRightInd w:val="0"/>
        <w:ind w:firstLine="709"/>
      </w:pPr>
      <w:r w:rsidRPr="00AF2453">
        <w:t xml:space="preserve">При выявлении у гематологического пациента НБ возможно рассматривать назначение следующих препаратов: </w:t>
      </w:r>
    </w:p>
    <w:p w14:paraId="1608096E" w14:textId="77777777" w:rsidR="005267A5" w:rsidRPr="00AF2453" w:rsidRDefault="005267A5" w:rsidP="0091350E">
      <w:pPr>
        <w:pStyle w:val="aff"/>
        <w:widowControl w:val="0"/>
        <w:numPr>
          <w:ilvl w:val="0"/>
          <w:numId w:val="98"/>
        </w:numPr>
        <w:autoSpaceDE w:val="0"/>
        <w:autoSpaceDN w:val="0"/>
        <w:adjustRightInd w:val="0"/>
        <w:ind w:left="0" w:firstLine="709"/>
        <w:contextualSpacing/>
        <w:jc w:val="left"/>
      </w:pPr>
      <w:r w:rsidRPr="00AF2453">
        <w:rPr>
          <w:rFonts w:eastAsia="Times New Roman"/>
        </w:rPr>
        <w:t xml:space="preserve">первая линия терапии </w:t>
      </w:r>
    </w:p>
    <w:p w14:paraId="4D5E8B37" w14:textId="77777777" w:rsidR="005267A5" w:rsidRPr="00AF2453" w:rsidRDefault="005267A5" w:rsidP="005267A5">
      <w:pPr>
        <w:pStyle w:val="aff"/>
        <w:widowControl w:val="0"/>
        <w:autoSpaceDE w:val="0"/>
        <w:autoSpaceDN w:val="0"/>
        <w:adjustRightInd w:val="0"/>
        <w:ind w:left="0" w:firstLine="709"/>
        <w:rPr>
          <w:rFonts w:eastAsia="Times New Roman"/>
        </w:rPr>
      </w:pPr>
      <w:r w:rsidRPr="00AF2453">
        <w:rPr>
          <w:rFonts w:eastAsia="Times New Roman"/>
        </w:rPr>
        <w:t>- антидепрессанты (как трициклические антидепрессанты, так и ингибиторы обратного захвата серотонина и нор</w:t>
      </w:r>
      <w:r w:rsidRPr="00AF2453">
        <w:rPr>
          <w:rFonts w:eastAsia="Times New Roman"/>
        </w:rPr>
        <w:softHyphen/>
        <w:t>адреналина;</w:t>
      </w:r>
    </w:p>
    <w:p w14:paraId="3F0F970B" w14:textId="77777777" w:rsidR="005267A5" w:rsidRPr="00AF2453" w:rsidRDefault="005267A5" w:rsidP="005267A5">
      <w:pPr>
        <w:pStyle w:val="aff"/>
        <w:widowControl w:val="0"/>
        <w:autoSpaceDE w:val="0"/>
        <w:autoSpaceDN w:val="0"/>
        <w:adjustRightInd w:val="0"/>
        <w:ind w:left="0" w:firstLine="709"/>
      </w:pPr>
      <w:r w:rsidRPr="00AF2453">
        <w:rPr>
          <w:rFonts w:eastAsia="Times New Roman"/>
        </w:rPr>
        <w:t xml:space="preserve">- антиконвульсанты (габапентин, прегабалин, карбамазепин); </w:t>
      </w:r>
    </w:p>
    <w:p w14:paraId="54226792" w14:textId="77777777" w:rsidR="005267A5" w:rsidRPr="00AF2453" w:rsidRDefault="005267A5" w:rsidP="0091350E">
      <w:pPr>
        <w:pStyle w:val="aff"/>
        <w:widowControl w:val="0"/>
        <w:numPr>
          <w:ilvl w:val="0"/>
          <w:numId w:val="98"/>
        </w:numPr>
        <w:autoSpaceDE w:val="0"/>
        <w:autoSpaceDN w:val="0"/>
        <w:adjustRightInd w:val="0"/>
        <w:ind w:left="0" w:firstLine="709"/>
        <w:contextualSpacing/>
        <w:jc w:val="left"/>
      </w:pPr>
      <w:r w:rsidRPr="00AF2453">
        <w:rPr>
          <w:rFonts w:eastAsia="Times New Roman"/>
        </w:rPr>
        <w:t xml:space="preserve">вторая и третья линии терапии </w:t>
      </w:r>
    </w:p>
    <w:p w14:paraId="46EC3F6E" w14:textId="77777777" w:rsidR="005267A5" w:rsidRPr="00AF2453" w:rsidRDefault="005267A5" w:rsidP="005267A5">
      <w:pPr>
        <w:pStyle w:val="aff"/>
        <w:widowControl w:val="0"/>
        <w:autoSpaceDE w:val="0"/>
        <w:autoSpaceDN w:val="0"/>
        <w:adjustRightInd w:val="0"/>
        <w:ind w:left="0" w:firstLine="709"/>
        <w:rPr>
          <w:rFonts w:eastAsia="Times New Roman"/>
        </w:rPr>
      </w:pPr>
      <w:r w:rsidRPr="00AF2453">
        <w:rPr>
          <w:rFonts w:eastAsia="Times New Roman"/>
        </w:rPr>
        <w:t>- опиоидные анальгетики (трамадол, тапентадол, оксикодон, морфин);</w:t>
      </w:r>
    </w:p>
    <w:p w14:paraId="704A2E4F" w14:textId="77777777" w:rsidR="005267A5" w:rsidRPr="00AF2453" w:rsidRDefault="005267A5" w:rsidP="005267A5">
      <w:pPr>
        <w:pStyle w:val="aff"/>
        <w:widowControl w:val="0"/>
        <w:autoSpaceDE w:val="0"/>
        <w:autoSpaceDN w:val="0"/>
        <w:adjustRightInd w:val="0"/>
        <w:ind w:left="0" w:firstLine="709"/>
      </w:pPr>
      <w:r w:rsidRPr="00AF2453">
        <w:rPr>
          <w:rFonts w:eastAsia="Times New Roman"/>
        </w:rPr>
        <w:t xml:space="preserve">- препараты для местного </w:t>
      </w:r>
      <w:r w:rsidRPr="00AF2453">
        <w:rPr>
          <w:rFonts w:eastAsia="Times New Roman"/>
          <w:color w:val="000000" w:themeColor="text1"/>
        </w:rPr>
        <w:t xml:space="preserve">применения (пластыри) </w:t>
      </w:r>
      <w:r w:rsidRPr="00AF2453">
        <w:rPr>
          <w:rFonts w:eastAsia="Times New Roman"/>
        </w:rPr>
        <w:t xml:space="preserve">с 5% лидокаином или 8% капсаицином. </w:t>
      </w:r>
    </w:p>
    <w:p w14:paraId="68DF743F" w14:textId="77777777" w:rsidR="005267A5" w:rsidRDefault="005267A5" w:rsidP="005267A5">
      <w:pPr>
        <w:widowControl w:val="0"/>
        <w:autoSpaceDE w:val="0"/>
        <w:autoSpaceDN w:val="0"/>
        <w:adjustRightInd w:val="0"/>
        <w:ind w:firstLine="709"/>
        <w:rPr>
          <w:b/>
        </w:rPr>
      </w:pPr>
    </w:p>
    <w:p w14:paraId="5F7B9649" w14:textId="1238E257" w:rsidR="005267A5" w:rsidRPr="00AF2453" w:rsidRDefault="005267A5" w:rsidP="005267A5">
      <w:pPr>
        <w:ind w:left="709"/>
        <w:rPr>
          <w:b/>
        </w:rPr>
      </w:pPr>
      <w:r w:rsidRPr="00AF2453">
        <w:rPr>
          <w:b/>
        </w:rPr>
        <w:t>Особенности терапии наркотическими аналгетиками</w:t>
      </w:r>
      <w:r>
        <w:rPr>
          <w:b/>
          <w:lang w:val="en-US"/>
        </w:rPr>
        <w:t xml:space="preserve"> </w:t>
      </w:r>
      <w:r>
        <w:fldChar w:fldCharType="begin" w:fldLock="1"/>
      </w:r>
      <w:r w:rsidR="00120F30">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[175–178]","plainTextFormattedCitation":"[175–178]","previouslyFormattedCitation":"[175–178]"},"properties":{"noteIndex":0},"schema":"https://github.com/citation-style-language/schema/raw/master/csl-citation.json"}</w:instrText>
      </w:r>
      <w:r>
        <w:fldChar w:fldCharType="separate"/>
      </w:r>
      <w:r w:rsidRPr="005267A5">
        <w:rPr>
          <w:noProof/>
        </w:rPr>
        <w:t>[175–178]</w:t>
      </w:r>
      <w:r>
        <w:fldChar w:fldCharType="end"/>
      </w:r>
      <w:r w:rsidRPr="00AF2453">
        <w:rPr>
          <w:b/>
        </w:rPr>
        <w:t xml:space="preserve">. </w:t>
      </w:r>
    </w:p>
    <w:p w14:paraId="234162F6" w14:textId="77777777" w:rsidR="005267A5" w:rsidRPr="00AF2453" w:rsidRDefault="005267A5" w:rsidP="005267A5">
      <w:pPr>
        <w:widowControl w:val="0"/>
        <w:autoSpaceDE w:val="0"/>
        <w:autoSpaceDN w:val="0"/>
        <w:adjustRightInd w:val="0"/>
        <w:ind w:firstLine="709"/>
      </w:pPr>
      <w:r w:rsidRPr="00AF2453">
        <w:t>В каждой клинической ситуации необходимо тщательно отслеживать состояние пациента при проведении терапии наркотическими анальгетиками. В случае развития побочных эффектов рекомендуется снижение дозы и добавление адъювантного препарата. В ситуациях, когда это неэффективно, возможна ротация опиоида в соответствии с дозами конверсии эквивалентности. Эквивалентность морфину является установленной, но примерной величиной, так как существуют индивидуальные особенности и разная восприимчивость к веществу. При этом доза нового опиоида уменьшается на 20–25% из-за неполной перекрестной толерантности. Расчеты доз при ротации с одного опиоида на другой проводятся через пересчет на морфин пероральный. Подбор эффективной обезболивающей дозы проводится только с морфином короткого действия. После этого пациенту может быть назначен наркотический препарат пролонгированного действия. Морфин короткого действия можно использовать для купирования «прорывной» боли на фоне приема морфина пролонгированного. Индивидуальный подход в назначении опиоидов — выбор анальгетика, подбор дозы, ротация опиоидов, соблюдение последовательности назначения — играет ключевую роль в терапии наркотическими анальгетиками, так как позволяет уменьшить или нивелировать побочное действие препаратов. Помимо наиболее известных таких как сонливость, тошнота, зуд, сухость во рту, замедление перистальтики кишечника, угнетение дыхания, нестабильность гемодинамики (артериальная гипотензия, брадикардия), задержка мочеиспускания, существенное значение у гематологических пациентов имеют иммуносупрессия, эндокринологические нарушения, гипералгезия. Для купирования побочных эффектов, вызванных передозировкой наркотических анальгетиков, применяется антагонист опиоидных рецепторов налоксон.</w:t>
      </w:r>
    </w:p>
    <w:p w14:paraId="1E7E352F" w14:textId="77777777" w:rsidR="005267A5" w:rsidRDefault="005267A5" w:rsidP="005267A5">
      <w:pPr>
        <w:ind w:firstLine="709"/>
        <w:rPr>
          <w:bCs/>
          <w:u w:val="single"/>
        </w:rPr>
      </w:pPr>
    </w:p>
    <w:p w14:paraId="6ACB204B" w14:textId="296DB570" w:rsidR="005267A5" w:rsidRPr="00C15153" w:rsidRDefault="005267A5" w:rsidP="005267A5">
      <w:pPr>
        <w:ind w:left="709"/>
        <w:rPr>
          <w:b/>
        </w:rPr>
      </w:pPr>
      <w:r w:rsidRPr="00C15153">
        <w:rPr>
          <w:b/>
        </w:rPr>
        <w:t>Пути введения анальгетиков</w:t>
      </w:r>
      <w:r>
        <w:rPr>
          <w:b/>
          <w:lang w:val="en-US"/>
        </w:rPr>
        <w:t xml:space="preserve"> </w:t>
      </w:r>
      <w:r>
        <w:fldChar w:fldCharType="begin" w:fldLock="1"/>
      </w:r>
      <w:r w:rsidR="00120F30">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[175–178]","plainTextFormattedCitation":"[175–178]","previouslyFormattedCitation":"[175–178]"},"properties":{"noteIndex":0},"schema":"https://github.com/citation-style-language/schema/raw/master/csl-citation.json"}</w:instrText>
      </w:r>
      <w:r>
        <w:fldChar w:fldCharType="separate"/>
      </w:r>
      <w:r w:rsidRPr="005267A5">
        <w:rPr>
          <w:noProof/>
        </w:rPr>
        <w:t>[175–178]</w:t>
      </w:r>
      <w:r>
        <w:fldChar w:fldCharType="end"/>
      </w:r>
      <w:r w:rsidRPr="00C15153">
        <w:rPr>
          <w:b/>
        </w:rPr>
        <w:t xml:space="preserve">. </w:t>
      </w:r>
    </w:p>
    <w:p w14:paraId="0DA2BD62" w14:textId="77777777" w:rsidR="005267A5" w:rsidRPr="00AF2453" w:rsidRDefault="005267A5" w:rsidP="005267A5">
      <w:pPr>
        <w:widowControl w:val="0"/>
        <w:autoSpaceDE w:val="0"/>
        <w:autoSpaceDN w:val="0"/>
        <w:adjustRightInd w:val="0"/>
        <w:ind w:firstLine="709"/>
      </w:pPr>
      <w:r w:rsidRPr="00AF2453">
        <w:t>С учетом особенностей гематологических заболеваний, большинству пациентов противопоказано внутримышечное введение анальгетиков и применение регионарной анальгезии ввиду высокого риска геморрагических и инфекционных осложнений при нарушениях свертывания, глубокой нейтропении. Предпочтительно применение неинвазивных форм лекарственных препаратов (таблетки, суппозитории, трансдермальные системы), при необходимости инъекционного применения – подкожное или внутривенное введение.</w:t>
      </w:r>
    </w:p>
    <w:p w14:paraId="37480DE0" w14:textId="77777777" w:rsidR="005267A5" w:rsidRPr="00AF2453" w:rsidRDefault="005267A5" w:rsidP="005267A5">
      <w:pPr>
        <w:ind w:firstLine="709"/>
        <w:rPr>
          <w:rFonts w:eastAsia="Times New Roman"/>
        </w:rPr>
      </w:pPr>
      <w:r w:rsidRPr="00AF2453">
        <w:rPr>
          <w:rFonts w:eastAsia="Times New Roman"/>
        </w:rPr>
        <w:t>При применении трансдермальной терапевтической системы (ТТС) пластырь наклеивается на сухую, неповрежденную кожу туловища или плеч, в случае наличия волосяного покрова, волосы состригают (не бреют, во избежании раздражения). Перед аппликацией кожу достаточно промыть водой и вытереть насухо, без применения спирта или моющих средств. Пластырь плотно прижимают на месте аппликации и удерживают  30 секунд.  Следует убедиться, что пластырь плотно прилегает к коже, особенно по краям. ТТС рассчитана на непрерывное использование в течение 72 ч. При необходимости новая система крепится на другой участок кожи после удаления ранее наклеенного пластыря. На один и тот же участок кожи ТТС может быть наклеена только с интервалом в несколько дней. После аппликации ТТС максимум эффекта наступает через 18–24 ч, поэтому в течение первых суток необходимо сохранять прежнюю обезболивающую терапию. ТТС не рекомендовано применять для лечения боли в ургентных состояниях, при повышенной температуре тела, при обильном потоотделении и при выраженной кахексии.</w:t>
      </w:r>
    </w:p>
    <w:p w14:paraId="624929D5" w14:textId="77777777" w:rsidR="005267A5" w:rsidRPr="00AF2453" w:rsidRDefault="005267A5" w:rsidP="005267A5">
      <w:pPr>
        <w:ind w:firstLine="709"/>
      </w:pPr>
      <w:r w:rsidRPr="00AF2453">
        <w:rPr>
          <w:rFonts w:eastAsia="Times New Roman"/>
        </w:rPr>
        <w:t> </w:t>
      </w:r>
    </w:p>
    <w:p w14:paraId="2BD6B9F4" w14:textId="1C6DB8D0" w:rsidR="005267A5" w:rsidRPr="004466EE" w:rsidRDefault="005267A5" w:rsidP="005267A5">
      <w:pPr>
        <w:ind w:left="709"/>
        <w:rPr>
          <w:b/>
        </w:rPr>
      </w:pPr>
      <w:r w:rsidRPr="00AF2453">
        <w:rPr>
          <w:b/>
        </w:rPr>
        <w:t>Нефармакологические методы лечения боли у гематологических пациентов</w:t>
      </w:r>
      <w:r w:rsidRPr="004466EE">
        <w:rPr>
          <w:b/>
        </w:rPr>
        <w:t xml:space="preserve"> </w:t>
      </w:r>
      <w:r>
        <w:fldChar w:fldCharType="begin" w:fldLock="1"/>
      </w:r>
      <w:r w:rsidR="00120F30">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[175–178]","plainTextFormattedCitation":"[175–178]","previouslyFormattedCitation":"[175–178]"},"properties":{"noteIndex":0},"schema":"https://github.com/citation-style-language/schema/raw/master/csl-citation.json"}</w:instrText>
      </w:r>
      <w:r>
        <w:fldChar w:fldCharType="separate"/>
      </w:r>
      <w:r w:rsidRPr="005267A5">
        <w:rPr>
          <w:noProof/>
        </w:rPr>
        <w:t>[175–178]</w:t>
      </w:r>
      <w:r>
        <w:fldChar w:fldCharType="end"/>
      </w:r>
    </w:p>
    <w:p w14:paraId="67A89CDB" w14:textId="77777777" w:rsidR="005267A5" w:rsidRPr="00AF2453" w:rsidRDefault="005267A5" w:rsidP="005267A5">
      <w:pPr>
        <w:widowControl w:val="0"/>
        <w:autoSpaceDE w:val="0"/>
        <w:autoSpaceDN w:val="0"/>
        <w:adjustRightInd w:val="0"/>
        <w:ind w:firstLine="709"/>
        <w:rPr>
          <w:color w:val="000000" w:themeColor="text1"/>
        </w:rPr>
      </w:pPr>
      <w:r w:rsidRPr="00AF2453">
        <w:rPr>
          <w:color w:val="000000" w:themeColor="text1"/>
        </w:rPr>
        <w:t xml:space="preserve">Исследования подтверждают положительное влияние средне- и низкоинтенсивной лечебной физкультуры (ЛФК) на физическое и психическое состояние у пациентов с онкогематологическими заболеваниями в период химиотерапии и после нее. </w:t>
      </w:r>
      <w:r w:rsidRPr="00AF2453">
        <w:t>Преимуществами ЛФК являются снижение восприятия боли, улучшение сна,  увеличение мышечной силы и повышение активности, уменьшение количества травм.</w:t>
      </w:r>
      <w:r w:rsidRPr="00AF2453">
        <w:rPr>
          <w:color w:val="000000" w:themeColor="text1"/>
        </w:rPr>
        <w:t xml:space="preserve"> Необходимо составление индивидуальных программ ЛФК в зависимости от состояния пациента.</w:t>
      </w:r>
    </w:p>
    <w:p w14:paraId="4A9667E2" w14:textId="77777777" w:rsidR="005267A5" w:rsidRPr="00AF2453" w:rsidRDefault="005267A5" w:rsidP="005267A5">
      <w:pPr>
        <w:widowControl w:val="0"/>
        <w:autoSpaceDE w:val="0"/>
        <w:autoSpaceDN w:val="0"/>
        <w:adjustRightInd w:val="0"/>
        <w:ind w:firstLine="709"/>
        <w:rPr>
          <w:color w:val="000000" w:themeColor="text1"/>
        </w:rPr>
      </w:pPr>
      <w:r w:rsidRPr="00AF2453">
        <w:rPr>
          <w:color w:val="000000" w:themeColor="text1"/>
        </w:rPr>
        <w:t>С обезболивающей целью может применяться лучевая терапия на область поражения, вызывающую болевой синдром, по радикальной или паллиативной программе.</w:t>
      </w:r>
    </w:p>
    <w:p w14:paraId="071C1947" w14:textId="77777777" w:rsidR="005267A5" w:rsidRPr="00AF2453" w:rsidRDefault="005267A5" w:rsidP="005267A5">
      <w:pPr>
        <w:widowControl w:val="0"/>
        <w:autoSpaceDE w:val="0"/>
        <w:autoSpaceDN w:val="0"/>
        <w:adjustRightInd w:val="0"/>
        <w:ind w:firstLine="709"/>
      </w:pPr>
      <w:r w:rsidRPr="00AF2453">
        <w:t>Также применяется низкоинтенсивная лазеротерапия – для профилактики мукозитов полости рта на фоне химиотерапии, для лечения периферической полинейропатии, возникшей на фоне химиотерапии.</w:t>
      </w:r>
    </w:p>
    <w:p w14:paraId="5C0279E7" w14:textId="77777777" w:rsidR="005267A5" w:rsidRDefault="005267A5" w:rsidP="005267A5">
      <w:pPr>
        <w:widowControl w:val="0"/>
        <w:autoSpaceDE w:val="0"/>
        <w:autoSpaceDN w:val="0"/>
        <w:adjustRightInd w:val="0"/>
        <w:ind w:firstLine="709"/>
        <w:rPr>
          <w:b/>
        </w:rPr>
      </w:pPr>
    </w:p>
    <w:p w14:paraId="660B8D33" w14:textId="2BA1292E" w:rsidR="005267A5" w:rsidRPr="004466EE" w:rsidRDefault="005267A5" w:rsidP="005267A5">
      <w:pPr>
        <w:ind w:left="709"/>
        <w:rPr>
          <w:b/>
        </w:rPr>
      </w:pPr>
      <w:r w:rsidRPr="00AF2453">
        <w:rPr>
          <w:b/>
        </w:rPr>
        <w:t>Оценка эффективности и переносимости анальгезирующей терапии</w:t>
      </w:r>
      <w:r w:rsidRPr="004466EE">
        <w:rPr>
          <w:b/>
        </w:rPr>
        <w:t xml:space="preserve"> </w:t>
      </w:r>
      <w:r>
        <w:fldChar w:fldCharType="begin" w:fldLock="1"/>
      </w:r>
      <w:r w:rsidR="00120F30">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[175–178]","plainTextFormattedCitation":"[175–178]","previouslyFormattedCitation":"[175–178]"},"properties":{"noteIndex":0},"schema":"https://github.com/citation-style-language/schema/raw/master/csl-citation.json"}</w:instrText>
      </w:r>
      <w:r>
        <w:fldChar w:fldCharType="separate"/>
      </w:r>
      <w:r w:rsidRPr="005267A5">
        <w:rPr>
          <w:noProof/>
        </w:rPr>
        <w:t>[175–178]</w:t>
      </w:r>
      <w:r>
        <w:fldChar w:fldCharType="end"/>
      </w:r>
    </w:p>
    <w:p w14:paraId="6434C826" w14:textId="77777777" w:rsidR="005267A5" w:rsidRPr="00AF2453" w:rsidRDefault="005267A5" w:rsidP="005267A5">
      <w:pPr>
        <w:pStyle w:val="aff"/>
        <w:widowControl w:val="0"/>
        <w:autoSpaceDE w:val="0"/>
        <w:autoSpaceDN w:val="0"/>
        <w:adjustRightInd w:val="0"/>
        <w:ind w:left="0" w:firstLine="709"/>
        <w:rPr>
          <w:b/>
        </w:rPr>
      </w:pPr>
      <w:r w:rsidRPr="00AF2453">
        <w:t>Для оценки эффективности и переносимости назначенной терапии болевого синдрома проводятся регулярные опрос и осмотр пациента, контроль лабораторных и инструментальных данных. Необходимо оценивать уровень удовлетворенности пациента проводимым обезболиванием, при необходимости проводить оценку с помощью опросников и шкал, а также внимательно отслеживать возникновение побочных эффектов со своевременной адекватной коррекцией проводимой терапии.</w:t>
      </w:r>
    </w:p>
    <w:p w14:paraId="57EF45DA" w14:textId="77777777" w:rsidR="005267A5" w:rsidRDefault="005267A5" w:rsidP="005267A5">
      <w:pPr>
        <w:widowControl w:val="0"/>
        <w:autoSpaceDE w:val="0"/>
        <w:autoSpaceDN w:val="0"/>
        <w:adjustRightInd w:val="0"/>
        <w:ind w:firstLine="709"/>
        <w:rPr>
          <w:b/>
        </w:rPr>
      </w:pPr>
    </w:p>
    <w:p w14:paraId="11579331" w14:textId="5D2E18FC" w:rsidR="005267A5" w:rsidRPr="00AF2453" w:rsidRDefault="005267A5" w:rsidP="005267A5">
      <w:pPr>
        <w:ind w:left="709"/>
        <w:rPr>
          <w:b/>
        </w:rPr>
      </w:pPr>
      <w:r w:rsidRPr="00AF2453">
        <w:rPr>
          <w:b/>
        </w:rPr>
        <w:t>Методы профилактики боли</w:t>
      </w:r>
      <w:r w:rsidRPr="000804DC">
        <w:rPr>
          <w:b/>
        </w:rPr>
        <w:t xml:space="preserve"> </w:t>
      </w:r>
      <w:r>
        <w:fldChar w:fldCharType="begin" w:fldLock="1"/>
      </w:r>
      <w:r w:rsidR="00120F30">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[175–178]","plainTextFormattedCitation":"[175–178]","previouslyFormattedCitation":"[175–178]"},"properties":{"noteIndex":0},"schema":"https://github.com/citation-style-language/schema/raw/master/csl-citation.json"}</w:instrText>
      </w:r>
      <w:r>
        <w:fldChar w:fldCharType="separate"/>
      </w:r>
      <w:r w:rsidRPr="005267A5">
        <w:rPr>
          <w:noProof/>
        </w:rPr>
        <w:t>[175–178]</w:t>
      </w:r>
      <w:r>
        <w:fldChar w:fldCharType="end"/>
      </w:r>
      <w:r w:rsidRPr="00AF2453">
        <w:rPr>
          <w:b/>
        </w:rPr>
        <w:t xml:space="preserve">. </w:t>
      </w:r>
    </w:p>
    <w:p w14:paraId="67B66DDB" w14:textId="77777777" w:rsidR="005267A5" w:rsidRPr="00AF2453" w:rsidRDefault="005267A5" w:rsidP="005267A5">
      <w:pPr>
        <w:widowControl w:val="0"/>
        <w:autoSpaceDE w:val="0"/>
        <w:autoSpaceDN w:val="0"/>
        <w:adjustRightInd w:val="0"/>
        <w:ind w:firstLine="709"/>
      </w:pPr>
      <w:r w:rsidRPr="00AF2453">
        <w:t>Необходимо своевременно и адекватно проводить обезболивание, таким образом, предотвращая переход острой боли в хроническую. Анальгетики следует назначать регулярно по схеме («по часам»), не дожидаясь усиления боли.</w:t>
      </w:r>
    </w:p>
    <w:p w14:paraId="5CA14718" w14:textId="77777777" w:rsidR="005267A5" w:rsidRDefault="005267A5" w:rsidP="005267A5">
      <w:pPr>
        <w:widowControl w:val="0"/>
        <w:autoSpaceDE w:val="0"/>
        <w:autoSpaceDN w:val="0"/>
        <w:adjustRightInd w:val="0"/>
        <w:ind w:firstLine="709"/>
        <w:rPr>
          <w:b/>
          <w:bCs/>
        </w:rPr>
      </w:pPr>
    </w:p>
    <w:p w14:paraId="32314A12" w14:textId="10D5C64D" w:rsidR="005267A5" w:rsidRPr="004466EE" w:rsidRDefault="005267A5" w:rsidP="005267A5">
      <w:pPr>
        <w:ind w:left="709"/>
        <w:rPr>
          <w:b/>
        </w:rPr>
      </w:pPr>
      <w:r w:rsidRPr="00C15153">
        <w:rPr>
          <w:b/>
        </w:rPr>
        <w:t xml:space="preserve">Обезболивание гематологических пациентов в конце жизни </w:t>
      </w:r>
      <w:r>
        <w:fldChar w:fldCharType="begin" w:fldLock="1"/>
      </w:r>
      <w:r w:rsidR="00120F30">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[175–178]","plainTextFormattedCitation":"[175–178]","previouslyFormattedCitation":"[175–178]"},"properties":{"noteIndex":0},"schema":"https://github.com/citation-style-language/schema/raw/master/csl-citation.json"}</w:instrText>
      </w:r>
      <w:r>
        <w:fldChar w:fldCharType="separate"/>
      </w:r>
      <w:r w:rsidRPr="005267A5">
        <w:rPr>
          <w:noProof/>
        </w:rPr>
        <w:t>[175–178]</w:t>
      </w:r>
      <w:r>
        <w:fldChar w:fldCharType="end"/>
      </w:r>
    </w:p>
    <w:p w14:paraId="27F37307" w14:textId="77777777" w:rsidR="005267A5" w:rsidRPr="00AF2453" w:rsidRDefault="005267A5" w:rsidP="005267A5">
      <w:pPr>
        <w:widowControl w:val="0"/>
        <w:autoSpaceDE w:val="0"/>
        <w:autoSpaceDN w:val="0"/>
        <w:adjustRightInd w:val="0"/>
        <w:ind w:firstLine="709"/>
      </w:pPr>
      <w:r w:rsidRPr="00AF2453">
        <w:t xml:space="preserve">Обезболивание в последние дни жизни имеет некоторые особенности, учитывающие имеющийся социально-этический характер. Следует сохранять прием опиоидов в эффективных дозах. В случае, если принято решение отменить опиоидный анальгетик, то это следует делать путем постепенного снижения дозы, чтобы избежать «прорыва» боли и синдрома отмены. Учитывая, что боль имеет сложный механизм формирования, рекомендуется мультимодальная анальгезия с использованием препаратов с различными механизмами действия. В некоторых случаях у пациентов в конце жизни боль становится «рефрактерной» и не поддается эффективному лечению. В этой ситуации возможно рассматривать дополнительное назначение медикаментозной седации (галоперидол, мидазалам), использование средств для наркоза (кетамин, пропофол) с целью потенцирования обезболивания. </w:t>
      </w:r>
    </w:p>
    <w:p w14:paraId="419088E4" w14:textId="77777777" w:rsidR="005267A5" w:rsidRPr="00AF2453" w:rsidRDefault="005267A5" w:rsidP="005267A5">
      <w:pPr>
        <w:widowControl w:val="0"/>
        <w:tabs>
          <w:tab w:val="left" w:pos="220"/>
          <w:tab w:val="left" w:pos="720"/>
        </w:tabs>
        <w:autoSpaceDE w:val="0"/>
        <w:autoSpaceDN w:val="0"/>
        <w:adjustRightInd w:val="0"/>
        <w:ind w:firstLine="709"/>
      </w:pPr>
    </w:p>
    <w:p w14:paraId="6BE0A2AF" w14:textId="1FB9E6BA" w:rsidR="00A6105F" w:rsidRPr="00A6105F" w:rsidRDefault="000804DC" w:rsidP="00A6105F">
      <w:pPr>
        <w:pStyle w:val="2"/>
      </w:pPr>
      <w:bookmarkStart w:id="56" w:name="_Toc65104114"/>
      <w:r w:rsidRPr="005267A5">
        <w:t>7.1</w:t>
      </w:r>
      <w:r>
        <w:t xml:space="preserve">6 </w:t>
      </w:r>
      <w:r w:rsidR="00A6105F" w:rsidRPr="00FB583E">
        <w:t>Диагностика и лечение неврологических проявлений при гематологических заболеваниях</w:t>
      </w:r>
      <w:bookmarkEnd w:id="56"/>
    </w:p>
    <w:p w14:paraId="32191F37" w14:textId="77777777" w:rsidR="00A6105F" w:rsidRDefault="00A6105F" w:rsidP="00A6105F">
      <w:pPr>
        <w:ind w:firstLine="709"/>
        <w:rPr>
          <w:szCs w:val="24"/>
        </w:rPr>
      </w:pPr>
      <w:r w:rsidRPr="00FB583E">
        <w:rPr>
          <w:szCs w:val="24"/>
        </w:rPr>
        <w:t xml:space="preserve">Вовлечение центральной нервной системы (ЦНС) и периферической нервной системы может выявляться при различных гематологических заболеваниях. Неврологические проявления могут быть как проявлением специфического поражения нервной системы (опухолевое поражение ЦНС), так и проявлением осложнений гематологического заболевания и его лечения (геморрагические, тромботические, токсические поражения нервной системы). Для диагностики и лечения неврологических проявлений и осложнений гематологических заболеваний применяется комплекс неврологических исследований и терапия сообразно виду нарушения, с учетом характера основного гематологического заболевания. </w:t>
      </w:r>
    </w:p>
    <w:p w14:paraId="08CF580D" w14:textId="77777777" w:rsidR="00A6105F" w:rsidRPr="00FB583E" w:rsidRDefault="00A6105F" w:rsidP="00A6105F">
      <w:pPr>
        <w:ind w:firstLine="709"/>
        <w:rPr>
          <w:szCs w:val="24"/>
        </w:rPr>
      </w:pPr>
    </w:p>
    <w:p w14:paraId="1571A0C0" w14:textId="77777777" w:rsidR="00A6105F" w:rsidRPr="00FB583E" w:rsidRDefault="00A6105F" w:rsidP="00A6105F">
      <w:pPr>
        <w:rPr>
          <w:i/>
          <w:szCs w:val="24"/>
          <w:u w:val="single"/>
        </w:rPr>
      </w:pPr>
      <w:r w:rsidRPr="00FB583E">
        <w:rPr>
          <w:i/>
          <w:szCs w:val="24"/>
          <w:u w:val="single"/>
        </w:rPr>
        <w:t xml:space="preserve">Специфическое поражение ЦНС при гематологических заболеваниях. </w:t>
      </w:r>
    </w:p>
    <w:p w14:paraId="433097CD" w14:textId="77777777" w:rsidR="00A6105F" w:rsidRPr="00FB583E" w:rsidRDefault="00A6105F" w:rsidP="00A6105F">
      <w:pPr>
        <w:ind w:firstLine="708"/>
        <w:rPr>
          <w:szCs w:val="24"/>
        </w:rPr>
      </w:pPr>
      <w:r w:rsidRPr="00FB583E">
        <w:rPr>
          <w:szCs w:val="24"/>
        </w:rPr>
        <w:t>Специфическое опухолевое поражение ЦНС с вовлечением головного мозга, спинного мозга и оболочек может быть проявлением гематологического заболевания (лейкозы, лимфомы, парапротеинемические гемобластозы и др.). Так, на первичную лимфому ЦНС приходится около 5 - 7% от всех первичных опухолей головного мозга, 2 - 3% от всех неходжкинских лимфом, 4 - 6% от всех экстранодальных лимфом и 1% от опухолевых поражений спинного мозга.  Чаще всего опухолевое поражение ЦНС при гематологических заболеваниях локализуется в лобной доле – 50%, реже отмечается в мозолистом теле и глубинных структурах мозга (40%) мультифокальное поражение (35%), лептоменингеальное поражение (16%), изолированное поражение спинного мозга (1%). Кроме того, специфическое поражение ЦНС может развиваться по типу лейкемической инфильтрации оболочек мозга и поражения спиномозговой жидкости (нейролейкемия).</w:t>
      </w:r>
    </w:p>
    <w:p w14:paraId="3A3C7A33" w14:textId="77777777" w:rsidR="00A6105F" w:rsidRPr="00FB583E" w:rsidRDefault="00A6105F" w:rsidP="00A6105F">
      <w:pPr>
        <w:ind w:firstLine="708"/>
        <w:rPr>
          <w:b/>
          <w:szCs w:val="24"/>
        </w:rPr>
      </w:pPr>
      <w:r w:rsidRPr="00FB583E">
        <w:rPr>
          <w:b/>
          <w:szCs w:val="24"/>
        </w:rPr>
        <w:t>Диагностика поражения ЦНС при гематологических заболеваниях.</w:t>
      </w:r>
    </w:p>
    <w:p w14:paraId="3D28D17E" w14:textId="341E9A53" w:rsidR="00A6105F" w:rsidRPr="00FB583E" w:rsidRDefault="00A6105F" w:rsidP="00A6105F">
      <w:pPr>
        <w:ind w:firstLine="708"/>
        <w:rPr>
          <w:szCs w:val="24"/>
        </w:rPr>
      </w:pPr>
      <w:r w:rsidRPr="00FB583E">
        <w:rPr>
          <w:szCs w:val="24"/>
        </w:rPr>
        <w:t>Клиническая картина</w:t>
      </w:r>
      <w:r w:rsidRPr="00FB583E">
        <w:rPr>
          <w:b/>
          <w:szCs w:val="24"/>
        </w:rPr>
        <w:t xml:space="preserve"> </w:t>
      </w:r>
      <w:r w:rsidRPr="00FB583E">
        <w:rPr>
          <w:szCs w:val="24"/>
        </w:rPr>
        <w:t xml:space="preserve">зависит от локализации и объема поражения, степени выраженности гипертензионно-гидроцефального синдрома. В 70% опухолевое поражение при гематологических заболеваниях манифестирует с очаговой неврологической симптоматики, в 43% – с изменения психики, в 33% – с признаков повышения внутричерепного давления, в 14% – с эпилептических приступов. </w:t>
      </w:r>
    </w:p>
    <w:p w14:paraId="61F995E1" w14:textId="77777777" w:rsidR="00A6105F" w:rsidRPr="00FB583E" w:rsidRDefault="00A6105F" w:rsidP="00A6105F">
      <w:pPr>
        <w:ind w:firstLine="708"/>
        <w:rPr>
          <w:szCs w:val="24"/>
        </w:rPr>
      </w:pPr>
      <w:r w:rsidRPr="00FB583E">
        <w:rPr>
          <w:szCs w:val="24"/>
        </w:rPr>
        <w:t>Для первичной диагностики неврологического поражения ЦНС оценивается:</w:t>
      </w:r>
    </w:p>
    <w:p w14:paraId="3EF7C10A" w14:textId="77777777" w:rsidR="00A6105F" w:rsidRPr="00FB583E" w:rsidRDefault="00A6105F" w:rsidP="0091350E">
      <w:pPr>
        <w:pStyle w:val="aff"/>
        <w:numPr>
          <w:ilvl w:val="0"/>
          <w:numId w:val="100"/>
        </w:numPr>
        <w:contextualSpacing/>
        <w:rPr>
          <w:szCs w:val="24"/>
        </w:rPr>
      </w:pPr>
      <w:r w:rsidRPr="00FB583E">
        <w:rPr>
          <w:szCs w:val="24"/>
        </w:rPr>
        <w:t xml:space="preserve">жалобы; </w:t>
      </w:r>
    </w:p>
    <w:p w14:paraId="41B5707A" w14:textId="77777777" w:rsidR="00A6105F" w:rsidRPr="00FB583E" w:rsidRDefault="00A6105F" w:rsidP="0091350E">
      <w:pPr>
        <w:pStyle w:val="aff"/>
        <w:numPr>
          <w:ilvl w:val="0"/>
          <w:numId w:val="100"/>
        </w:numPr>
        <w:contextualSpacing/>
        <w:rPr>
          <w:szCs w:val="24"/>
        </w:rPr>
      </w:pPr>
      <w:r w:rsidRPr="00FB583E">
        <w:rPr>
          <w:szCs w:val="24"/>
        </w:rPr>
        <w:t xml:space="preserve">анамнез; </w:t>
      </w:r>
    </w:p>
    <w:p w14:paraId="68A8DBF9" w14:textId="77777777" w:rsidR="00A6105F" w:rsidRPr="00FB583E" w:rsidRDefault="00A6105F" w:rsidP="0091350E">
      <w:pPr>
        <w:pStyle w:val="aff"/>
        <w:numPr>
          <w:ilvl w:val="0"/>
          <w:numId w:val="100"/>
        </w:numPr>
        <w:contextualSpacing/>
        <w:rPr>
          <w:szCs w:val="24"/>
        </w:rPr>
      </w:pPr>
      <w:r w:rsidRPr="00FB583E">
        <w:rPr>
          <w:szCs w:val="24"/>
        </w:rPr>
        <w:t xml:space="preserve">оценка функционального статуса по шкале Карновского; </w:t>
      </w:r>
    </w:p>
    <w:p w14:paraId="310BCFA0" w14:textId="77777777" w:rsidR="00A6105F" w:rsidRPr="00FB583E" w:rsidRDefault="00A6105F" w:rsidP="0091350E">
      <w:pPr>
        <w:pStyle w:val="aff"/>
        <w:numPr>
          <w:ilvl w:val="0"/>
          <w:numId w:val="100"/>
        </w:numPr>
        <w:contextualSpacing/>
        <w:rPr>
          <w:szCs w:val="24"/>
        </w:rPr>
      </w:pPr>
      <w:r w:rsidRPr="00FB583E">
        <w:rPr>
          <w:szCs w:val="24"/>
        </w:rPr>
        <w:t xml:space="preserve">неврологический статус с оценкой общемозговой и очаговой симптоматики и интеллектуально-мнестических нарушений; </w:t>
      </w:r>
    </w:p>
    <w:p w14:paraId="2D2903BE" w14:textId="34DA41E4" w:rsidR="00A6105F" w:rsidRPr="00FB583E" w:rsidRDefault="00A6105F" w:rsidP="0091350E">
      <w:pPr>
        <w:pStyle w:val="aff"/>
        <w:numPr>
          <w:ilvl w:val="0"/>
          <w:numId w:val="100"/>
        </w:numPr>
        <w:contextualSpacing/>
        <w:rPr>
          <w:szCs w:val="24"/>
        </w:rPr>
      </w:pPr>
      <w:r w:rsidRPr="00FB583E">
        <w:rPr>
          <w:szCs w:val="24"/>
        </w:rPr>
        <w:t xml:space="preserve">оценка психического состояния; </w:t>
      </w:r>
    </w:p>
    <w:p w14:paraId="198168F7" w14:textId="77777777" w:rsidR="00A6105F" w:rsidRPr="00FB583E" w:rsidRDefault="00A6105F" w:rsidP="00A6105F">
      <w:pPr>
        <w:ind w:left="12" w:firstLine="708"/>
        <w:rPr>
          <w:b/>
          <w:szCs w:val="24"/>
        </w:rPr>
      </w:pPr>
      <w:r w:rsidRPr="00FB583E">
        <w:rPr>
          <w:b/>
          <w:szCs w:val="24"/>
        </w:rPr>
        <w:t>Лабораторная диагностика:</w:t>
      </w:r>
      <w:r w:rsidRPr="00FB583E">
        <w:rPr>
          <w:b/>
          <w:szCs w:val="24"/>
        </w:rPr>
        <w:tab/>
        <w:t xml:space="preserve"> </w:t>
      </w:r>
    </w:p>
    <w:p w14:paraId="14A49683" w14:textId="77777777" w:rsidR="00A6105F" w:rsidRPr="00FB583E" w:rsidRDefault="00A6105F" w:rsidP="0091350E">
      <w:pPr>
        <w:pStyle w:val="aff"/>
        <w:numPr>
          <w:ilvl w:val="0"/>
          <w:numId w:val="100"/>
        </w:numPr>
        <w:contextualSpacing/>
        <w:rPr>
          <w:szCs w:val="24"/>
        </w:rPr>
      </w:pPr>
      <w:r w:rsidRPr="00FB583E">
        <w:rPr>
          <w:szCs w:val="24"/>
        </w:rPr>
        <w:t>Клинический анализ крови, морфологическое исследование мазка крови</w:t>
      </w:r>
    </w:p>
    <w:p w14:paraId="092EDDB6" w14:textId="77777777" w:rsidR="00A6105F" w:rsidRPr="00FB583E" w:rsidRDefault="00A6105F" w:rsidP="0091350E">
      <w:pPr>
        <w:pStyle w:val="aff"/>
        <w:numPr>
          <w:ilvl w:val="0"/>
          <w:numId w:val="100"/>
        </w:numPr>
        <w:contextualSpacing/>
        <w:rPr>
          <w:szCs w:val="24"/>
        </w:rPr>
      </w:pPr>
      <w:r w:rsidRPr="00FB583E">
        <w:rPr>
          <w:szCs w:val="24"/>
        </w:rPr>
        <w:t>Общий анализ мочи</w:t>
      </w:r>
    </w:p>
    <w:p w14:paraId="65FC327B" w14:textId="77777777" w:rsidR="00A6105F" w:rsidRPr="00FB583E" w:rsidRDefault="00A6105F" w:rsidP="0091350E">
      <w:pPr>
        <w:pStyle w:val="aff"/>
        <w:numPr>
          <w:ilvl w:val="0"/>
          <w:numId w:val="100"/>
        </w:numPr>
        <w:contextualSpacing/>
        <w:rPr>
          <w:szCs w:val="24"/>
        </w:rPr>
      </w:pPr>
      <w:r w:rsidRPr="00FB583E">
        <w:rPr>
          <w:szCs w:val="24"/>
        </w:rPr>
        <w:t>Биохимический анализ крови – общий белок, фракции белка, креатинин, мочевина, мочевая кислота, билирубин, фракции билирубина, глюкоза, электролиты, аланиаминотрансфераза, аспартатаминотрансфераза, лактатдегидрогеназа, щелочная фосфатаза, амилаза</w:t>
      </w:r>
    </w:p>
    <w:p w14:paraId="17298EB3" w14:textId="77777777" w:rsidR="00A6105F" w:rsidRPr="00FB583E" w:rsidRDefault="00A6105F" w:rsidP="0091350E">
      <w:pPr>
        <w:pStyle w:val="aff"/>
        <w:numPr>
          <w:ilvl w:val="0"/>
          <w:numId w:val="100"/>
        </w:numPr>
        <w:contextualSpacing/>
        <w:rPr>
          <w:szCs w:val="24"/>
        </w:rPr>
      </w:pPr>
      <w:r w:rsidRPr="00FB583E">
        <w:rPr>
          <w:szCs w:val="24"/>
        </w:rPr>
        <w:t>Оценка кислотно-щелочного равновесия (по показаниям)</w:t>
      </w:r>
    </w:p>
    <w:p w14:paraId="30541FBA" w14:textId="77777777" w:rsidR="00A6105F" w:rsidRPr="00FB583E" w:rsidRDefault="00A6105F" w:rsidP="0091350E">
      <w:pPr>
        <w:pStyle w:val="aff"/>
        <w:numPr>
          <w:ilvl w:val="0"/>
          <w:numId w:val="100"/>
        </w:numPr>
        <w:contextualSpacing/>
        <w:rPr>
          <w:szCs w:val="24"/>
        </w:rPr>
      </w:pPr>
      <w:r w:rsidRPr="00FB583E">
        <w:rPr>
          <w:szCs w:val="24"/>
        </w:rPr>
        <w:t>Коагулограмма – активированное частичное тромбопластиновое время (АЧТВ), тромбиновое время (ТВ), протромбин по Квику (международное нормализованное отношение - МНО), плазменная концентрация фибриногена, а также по показаниям: плазменная концентрация антитромбина III (АТ III), XIIa-зависимый фибринолиз, агрегация тромбоцитов, индуцированная АДФ, адреналином, ристомицином, коллагеном, арахидоновой кислотой, D-димер, протеин С, протеин S.</w:t>
      </w:r>
    </w:p>
    <w:p w14:paraId="2651ECFA" w14:textId="77777777" w:rsidR="00A6105F" w:rsidRPr="00FB583E" w:rsidRDefault="00A6105F" w:rsidP="0091350E">
      <w:pPr>
        <w:pStyle w:val="aff"/>
        <w:numPr>
          <w:ilvl w:val="0"/>
          <w:numId w:val="100"/>
        </w:numPr>
        <w:contextualSpacing/>
        <w:rPr>
          <w:szCs w:val="24"/>
        </w:rPr>
      </w:pPr>
      <w:r w:rsidRPr="00FB583E">
        <w:rPr>
          <w:szCs w:val="24"/>
        </w:rPr>
        <w:t>Определение маркеров тромбофилии (по показаниям)</w:t>
      </w:r>
    </w:p>
    <w:p w14:paraId="2FFCF475" w14:textId="77777777" w:rsidR="00A6105F" w:rsidRPr="00FB583E" w:rsidRDefault="00A6105F" w:rsidP="0091350E">
      <w:pPr>
        <w:pStyle w:val="aff"/>
        <w:numPr>
          <w:ilvl w:val="0"/>
          <w:numId w:val="100"/>
        </w:numPr>
        <w:contextualSpacing/>
        <w:rPr>
          <w:szCs w:val="24"/>
        </w:rPr>
      </w:pPr>
      <w:r w:rsidRPr="00FB583E">
        <w:rPr>
          <w:szCs w:val="24"/>
        </w:rPr>
        <w:t>Иммунохимическое исследование крови и мочи, включая количество нормальных иммуноглобулинов, наличие моноклональной секреции, С-реактивный белок, бета-2-микроглобулин</w:t>
      </w:r>
    </w:p>
    <w:p w14:paraId="163B0AD7" w14:textId="77777777" w:rsidR="00A6105F" w:rsidRPr="00FB583E" w:rsidRDefault="00A6105F" w:rsidP="0091350E">
      <w:pPr>
        <w:pStyle w:val="aff"/>
        <w:numPr>
          <w:ilvl w:val="0"/>
          <w:numId w:val="100"/>
        </w:numPr>
        <w:contextualSpacing/>
        <w:rPr>
          <w:szCs w:val="24"/>
        </w:rPr>
      </w:pPr>
      <w:r w:rsidRPr="00FB583E">
        <w:rPr>
          <w:szCs w:val="24"/>
        </w:rPr>
        <w:t>Определение группы крови и резус - фактора</w:t>
      </w:r>
    </w:p>
    <w:p w14:paraId="721BA7E1" w14:textId="77777777" w:rsidR="00A6105F" w:rsidRPr="00FB583E" w:rsidRDefault="00A6105F" w:rsidP="0091350E">
      <w:pPr>
        <w:pStyle w:val="aff"/>
        <w:numPr>
          <w:ilvl w:val="0"/>
          <w:numId w:val="100"/>
        </w:numPr>
        <w:contextualSpacing/>
        <w:rPr>
          <w:szCs w:val="24"/>
        </w:rPr>
      </w:pPr>
      <w:r w:rsidRPr="00FB583E">
        <w:rPr>
          <w:szCs w:val="24"/>
        </w:rPr>
        <w:t>Исследование крови на вирусы гепатитов B и C, ВИЧ, сифилис</w:t>
      </w:r>
    </w:p>
    <w:p w14:paraId="2A045169" w14:textId="15133B78" w:rsidR="00A6105F" w:rsidRPr="00FB583E" w:rsidRDefault="00A6105F" w:rsidP="0091350E">
      <w:pPr>
        <w:pStyle w:val="aff"/>
        <w:numPr>
          <w:ilvl w:val="0"/>
          <w:numId w:val="100"/>
        </w:numPr>
        <w:contextualSpacing/>
        <w:rPr>
          <w:szCs w:val="24"/>
        </w:rPr>
      </w:pPr>
      <w:r w:rsidRPr="00FB583E">
        <w:rPr>
          <w:szCs w:val="24"/>
        </w:rPr>
        <w:t>Определение В-клеточной клональности в крови (по показаниям)</w:t>
      </w:r>
    </w:p>
    <w:p w14:paraId="02B3E790" w14:textId="77777777" w:rsidR="00A6105F" w:rsidRPr="00FB583E" w:rsidRDefault="00A6105F" w:rsidP="0091350E">
      <w:pPr>
        <w:pStyle w:val="aff"/>
        <w:numPr>
          <w:ilvl w:val="0"/>
          <w:numId w:val="100"/>
        </w:numPr>
        <w:contextualSpacing/>
        <w:rPr>
          <w:szCs w:val="24"/>
        </w:rPr>
      </w:pPr>
      <w:r w:rsidRPr="00FB583E">
        <w:rPr>
          <w:szCs w:val="24"/>
        </w:rPr>
        <w:t>Определение клиренса креатинина по формуле Кокрофта- Голта</w:t>
      </w:r>
    </w:p>
    <w:p w14:paraId="4AC73E8D" w14:textId="77777777" w:rsidR="00A6105F" w:rsidRPr="00FB583E" w:rsidRDefault="00A6105F" w:rsidP="0091350E">
      <w:pPr>
        <w:pStyle w:val="aff"/>
        <w:numPr>
          <w:ilvl w:val="0"/>
          <w:numId w:val="100"/>
        </w:numPr>
        <w:contextualSpacing/>
        <w:rPr>
          <w:szCs w:val="24"/>
        </w:rPr>
      </w:pPr>
      <w:r w:rsidRPr="00FB583E">
        <w:rPr>
          <w:szCs w:val="24"/>
        </w:rPr>
        <w:t>Исследование ликвора – цитологическое, белок, глюкоза, вирусологическое, микробиологическое, иммуноцитохимическое, иммунофенотипическое. Исследование ликвора проводится по показаниям на различных этапах диагностики, лечения и наблюдения (до, в период и после курсов полихимиотерапии) в соответствии с соответствующим протоколом диагностики и лечения.</w:t>
      </w:r>
    </w:p>
    <w:p w14:paraId="58B78CC0" w14:textId="77777777" w:rsidR="00A6105F" w:rsidRPr="00FB583E" w:rsidRDefault="00A6105F" w:rsidP="0091350E">
      <w:pPr>
        <w:pStyle w:val="aff"/>
        <w:numPr>
          <w:ilvl w:val="0"/>
          <w:numId w:val="100"/>
        </w:numPr>
        <w:contextualSpacing/>
        <w:rPr>
          <w:szCs w:val="24"/>
        </w:rPr>
      </w:pPr>
      <w:r w:rsidRPr="00FB583E">
        <w:rPr>
          <w:szCs w:val="24"/>
        </w:rPr>
        <w:t>Исследование материала биоптата опухоли ЦНС – цитологическое, гистологическое, иммуногистохимическое с необходимым набором иммуногистохимических маркеров (в том числе, CD20, CD45, CD79, MuM1, BCL2, BCL6, CD10, Ki-67), цитогенетическое исследование (стандартное и FISH, в том числе с маркерами BCL2, BCL6, c-MYC, TP53); молекулярно-биологическое исследование, в том числе, на мутации генов TP53, MYD88</w:t>
      </w:r>
    </w:p>
    <w:p w14:paraId="149F9751" w14:textId="77777777" w:rsidR="00A6105F" w:rsidRPr="00FB583E" w:rsidRDefault="00A6105F" w:rsidP="0091350E">
      <w:pPr>
        <w:pStyle w:val="aff"/>
        <w:numPr>
          <w:ilvl w:val="0"/>
          <w:numId w:val="100"/>
        </w:numPr>
        <w:contextualSpacing/>
        <w:rPr>
          <w:szCs w:val="24"/>
        </w:rPr>
      </w:pPr>
      <w:r w:rsidRPr="00FB583E">
        <w:rPr>
          <w:szCs w:val="24"/>
        </w:rPr>
        <w:t xml:space="preserve">Исследования костного мозга цитологическое, гистологическое и молекулярно-биологическое (В-клеточная клональность, другие маркеры по показаниям) </w:t>
      </w:r>
    </w:p>
    <w:p w14:paraId="497CB1AD" w14:textId="77777777" w:rsidR="00A6105F" w:rsidRPr="00FB583E" w:rsidRDefault="00A6105F" w:rsidP="00A6105F">
      <w:pPr>
        <w:ind w:firstLine="708"/>
        <w:rPr>
          <w:b/>
          <w:szCs w:val="24"/>
        </w:rPr>
      </w:pPr>
      <w:r w:rsidRPr="00FB583E">
        <w:rPr>
          <w:b/>
          <w:szCs w:val="24"/>
        </w:rPr>
        <w:t>Инструментальная диагностика:</w:t>
      </w:r>
    </w:p>
    <w:p w14:paraId="4FB91CFA" w14:textId="77777777" w:rsidR="00A6105F" w:rsidRPr="00FB583E" w:rsidRDefault="00A6105F" w:rsidP="0091350E">
      <w:pPr>
        <w:pStyle w:val="aff"/>
        <w:numPr>
          <w:ilvl w:val="0"/>
          <w:numId w:val="100"/>
        </w:numPr>
        <w:contextualSpacing/>
        <w:rPr>
          <w:szCs w:val="24"/>
        </w:rPr>
      </w:pPr>
      <w:r w:rsidRPr="00FB583E">
        <w:rPr>
          <w:szCs w:val="24"/>
        </w:rPr>
        <w:t>КТ с внутривенным контрастированием или МРТ головного мозга с внутривенным контрастированием</w:t>
      </w:r>
    </w:p>
    <w:p w14:paraId="0B998894" w14:textId="77777777" w:rsidR="00A6105F" w:rsidRPr="00FB583E" w:rsidRDefault="00A6105F" w:rsidP="0091350E">
      <w:pPr>
        <w:pStyle w:val="aff"/>
        <w:numPr>
          <w:ilvl w:val="0"/>
          <w:numId w:val="100"/>
        </w:numPr>
        <w:contextualSpacing/>
        <w:rPr>
          <w:szCs w:val="24"/>
        </w:rPr>
      </w:pPr>
      <w:r w:rsidRPr="00FB583E">
        <w:rPr>
          <w:szCs w:val="24"/>
        </w:rPr>
        <w:t>КТ/МРТ – ангиография (по показаниям)</w:t>
      </w:r>
    </w:p>
    <w:p w14:paraId="1C193C82" w14:textId="77777777" w:rsidR="00A6105F" w:rsidRPr="00FB583E" w:rsidRDefault="00A6105F" w:rsidP="0091350E">
      <w:pPr>
        <w:pStyle w:val="aff"/>
        <w:numPr>
          <w:ilvl w:val="0"/>
          <w:numId w:val="100"/>
        </w:numPr>
        <w:contextualSpacing/>
        <w:rPr>
          <w:szCs w:val="24"/>
        </w:rPr>
      </w:pPr>
      <w:r w:rsidRPr="00FB583E">
        <w:rPr>
          <w:szCs w:val="24"/>
        </w:rPr>
        <w:t>КТ брюшной полости, грудной клетки, малого таза</w:t>
      </w:r>
    </w:p>
    <w:p w14:paraId="0F32F72F" w14:textId="77777777" w:rsidR="00A6105F" w:rsidRPr="00FB583E" w:rsidRDefault="00A6105F" w:rsidP="0091350E">
      <w:pPr>
        <w:pStyle w:val="aff"/>
        <w:numPr>
          <w:ilvl w:val="0"/>
          <w:numId w:val="100"/>
        </w:numPr>
        <w:contextualSpacing/>
        <w:rPr>
          <w:szCs w:val="24"/>
        </w:rPr>
      </w:pPr>
      <w:r w:rsidRPr="00FB583E">
        <w:rPr>
          <w:szCs w:val="24"/>
        </w:rPr>
        <w:t>УЗИ брюшной полости (по показаниям)</w:t>
      </w:r>
    </w:p>
    <w:p w14:paraId="31418324" w14:textId="77777777" w:rsidR="00A6105F" w:rsidRPr="00FB583E" w:rsidRDefault="00A6105F" w:rsidP="0091350E">
      <w:pPr>
        <w:pStyle w:val="aff"/>
        <w:numPr>
          <w:ilvl w:val="0"/>
          <w:numId w:val="100"/>
        </w:numPr>
        <w:contextualSpacing/>
        <w:rPr>
          <w:szCs w:val="24"/>
        </w:rPr>
      </w:pPr>
      <w:r w:rsidRPr="00FB583E">
        <w:rPr>
          <w:szCs w:val="24"/>
        </w:rPr>
        <w:t>Электроэнцефалография (ЭЭГ) с функциональными пробами для определения функционального состояния головного мозга и исключения эпиактивности</w:t>
      </w:r>
    </w:p>
    <w:p w14:paraId="3950D757" w14:textId="77777777" w:rsidR="00A6105F" w:rsidRPr="00FB583E" w:rsidRDefault="00A6105F" w:rsidP="0091350E">
      <w:pPr>
        <w:pStyle w:val="aff"/>
        <w:numPr>
          <w:ilvl w:val="0"/>
          <w:numId w:val="100"/>
        </w:numPr>
        <w:contextualSpacing/>
        <w:rPr>
          <w:szCs w:val="24"/>
        </w:rPr>
      </w:pPr>
      <w:r w:rsidRPr="00FB583E">
        <w:rPr>
          <w:szCs w:val="24"/>
        </w:rPr>
        <w:t xml:space="preserve">ВП – вызванные потенциалы различной модальности (по показаниям): </w:t>
      </w:r>
    </w:p>
    <w:p w14:paraId="6D620795" w14:textId="77777777" w:rsidR="00A6105F" w:rsidRPr="00FB583E" w:rsidRDefault="00A6105F" w:rsidP="0091350E">
      <w:pPr>
        <w:pStyle w:val="aff"/>
        <w:numPr>
          <w:ilvl w:val="1"/>
          <w:numId w:val="100"/>
        </w:numPr>
        <w:contextualSpacing/>
        <w:rPr>
          <w:szCs w:val="24"/>
        </w:rPr>
      </w:pPr>
      <w:r w:rsidRPr="00FB583E">
        <w:rPr>
          <w:szCs w:val="24"/>
        </w:rPr>
        <w:t>ЗВП – зрительные вызванные потенциалы,</w:t>
      </w:r>
    </w:p>
    <w:p w14:paraId="64C9DD4E" w14:textId="77777777" w:rsidR="00A6105F" w:rsidRPr="00FB583E" w:rsidRDefault="00A6105F" w:rsidP="0091350E">
      <w:pPr>
        <w:pStyle w:val="aff"/>
        <w:numPr>
          <w:ilvl w:val="1"/>
          <w:numId w:val="100"/>
        </w:numPr>
        <w:contextualSpacing/>
        <w:rPr>
          <w:szCs w:val="24"/>
        </w:rPr>
      </w:pPr>
      <w:r w:rsidRPr="00FB583E">
        <w:rPr>
          <w:szCs w:val="24"/>
        </w:rPr>
        <w:t>КВП – когнитивные вызванные потенциалы,</w:t>
      </w:r>
    </w:p>
    <w:p w14:paraId="2F3BF50B" w14:textId="77777777" w:rsidR="00A6105F" w:rsidRPr="00FB583E" w:rsidRDefault="00A6105F" w:rsidP="0091350E">
      <w:pPr>
        <w:pStyle w:val="aff"/>
        <w:numPr>
          <w:ilvl w:val="1"/>
          <w:numId w:val="100"/>
        </w:numPr>
        <w:contextualSpacing/>
        <w:rPr>
          <w:szCs w:val="24"/>
        </w:rPr>
      </w:pPr>
      <w:r w:rsidRPr="00FB583E">
        <w:rPr>
          <w:szCs w:val="24"/>
        </w:rPr>
        <w:t>КАСВП – коротколатентные акустические стволовые вызванные потенциалы</w:t>
      </w:r>
    </w:p>
    <w:p w14:paraId="2A347C91" w14:textId="77777777" w:rsidR="00A6105F" w:rsidRPr="00FB583E" w:rsidRDefault="00A6105F" w:rsidP="0091350E">
      <w:pPr>
        <w:pStyle w:val="aff"/>
        <w:numPr>
          <w:ilvl w:val="1"/>
          <w:numId w:val="100"/>
        </w:numPr>
        <w:contextualSpacing/>
        <w:rPr>
          <w:szCs w:val="24"/>
        </w:rPr>
      </w:pPr>
      <w:r w:rsidRPr="00FB583E">
        <w:rPr>
          <w:szCs w:val="24"/>
        </w:rPr>
        <w:t>ССВП – соматосенсорные вызванные потенциалы</w:t>
      </w:r>
    </w:p>
    <w:p w14:paraId="3A9B8AC9" w14:textId="77777777" w:rsidR="00A6105F" w:rsidRPr="00FB583E" w:rsidRDefault="00A6105F" w:rsidP="0091350E">
      <w:pPr>
        <w:pStyle w:val="aff"/>
        <w:numPr>
          <w:ilvl w:val="0"/>
          <w:numId w:val="100"/>
        </w:numPr>
        <w:contextualSpacing/>
        <w:rPr>
          <w:szCs w:val="24"/>
        </w:rPr>
      </w:pPr>
      <w:r w:rsidRPr="00FB583E">
        <w:rPr>
          <w:szCs w:val="24"/>
        </w:rPr>
        <w:t>Транскраниальная магнитная стимуляция (ТКМС) (по показаниям)</w:t>
      </w:r>
    </w:p>
    <w:p w14:paraId="7C281F20" w14:textId="77777777" w:rsidR="00A6105F" w:rsidRPr="00FB583E" w:rsidRDefault="00A6105F" w:rsidP="0091350E">
      <w:pPr>
        <w:pStyle w:val="aff"/>
        <w:numPr>
          <w:ilvl w:val="0"/>
          <w:numId w:val="100"/>
        </w:numPr>
        <w:contextualSpacing/>
        <w:rPr>
          <w:szCs w:val="24"/>
        </w:rPr>
      </w:pPr>
      <w:r w:rsidRPr="00FB583E">
        <w:rPr>
          <w:szCs w:val="24"/>
        </w:rPr>
        <w:t>ПЭТ-КТ (по показаниям)</w:t>
      </w:r>
    </w:p>
    <w:p w14:paraId="2A3F1439" w14:textId="77777777" w:rsidR="00A6105F" w:rsidRPr="00FB583E" w:rsidRDefault="00A6105F" w:rsidP="0091350E">
      <w:pPr>
        <w:pStyle w:val="aff"/>
        <w:numPr>
          <w:ilvl w:val="0"/>
          <w:numId w:val="100"/>
        </w:numPr>
        <w:contextualSpacing/>
        <w:rPr>
          <w:szCs w:val="24"/>
        </w:rPr>
      </w:pPr>
      <w:r w:rsidRPr="00FB583E">
        <w:rPr>
          <w:szCs w:val="24"/>
        </w:rPr>
        <w:t>Ультразвуковая допплерография (УЗДГ) - брахиоцефальных артерий и вен (по показаниям)</w:t>
      </w:r>
    </w:p>
    <w:p w14:paraId="50F7A373" w14:textId="77777777" w:rsidR="00A6105F" w:rsidRPr="00FB583E" w:rsidRDefault="00A6105F" w:rsidP="0091350E">
      <w:pPr>
        <w:pStyle w:val="aff"/>
        <w:numPr>
          <w:ilvl w:val="0"/>
          <w:numId w:val="100"/>
        </w:numPr>
        <w:contextualSpacing/>
        <w:rPr>
          <w:szCs w:val="24"/>
        </w:rPr>
      </w:pPr>
      <w:r w:rsidRPr="00FB583E">
        <w:rPr>
          <w:szCs w:val="24"/>
        </w:rPr>
        <w:t>ФГДС, ФКС (биопсия по показаниям)</w:t>
      </w:r>
    </w:p>
    <w:p w14:paraId="47465D53" w14:textId="77777777" w:rsidR="00A6105F" w:rsidRPr="00FB583E" w:rsidRDefault="00A6105F" w:rsidP="0091350E">
      <w:pPr>
        <w:pStyle w:val="aff"/>
        <w:numPr>
          <w:ilvl w:val="0"/>
          <w:numId w:val="100"/>
        </w:numPr>
        <w:contextualSpacing/>
        <w:rPr>
          <w:szCs w:val="24"/>
        </w:rPr>
      </w:pPr>
      <w:r w:rsidRPr="00FB583E">
        <w:rPr>
          <w:szCs w:val="24"/>
        </w:rPr>
        <w:t>ЭКГ</w:t>
      </w:r>
    </w:p>
    <w:p w14:paraId="71771E3A" w14:textId="77777777" w:rsidR="00A6105F" w:rsidRPr="00FB583E" w:rsidRDefault="00A6105F" w:rsidP="0091350E">
      <w:pPr>
        <w:pStyle w:val="aff"/>
        <w:numPr>
          <w:ilvl w:val="0"/>
          <w:numId w:val="100"/>
        </w:numPr>
        <w:contextualSpacing/>
        <w:rPr>
          <w:szCs w:val="24"/>
        </w:rPr>
      </w:pPr>
      <w:r w:rsidRPr="00FB583E">
        <w:rPr>
          <w:szCs w:val="24"/>
        </w:rPr>
        <w:t>Эхо-КГ</w:t>
      </w:r>
    </w:p>
    <w:p w14:paraId="01CF988D" w14:textId="77777777" w:rsidR="00A6105F" w:rsidRPr="00FB583E" w:rsidRDefault="00A6105F" w:rsidP="00A6105F">
      <w:pPr>
        <w:ind w:firstLine="708"/>
        <w:rPr>
          <w:b/>
          <w:szCs w:val="24"/>
        </w:rPr>
      </w:pPr>
      <w:r w:rsidRPr="00FB583E">
        <w:rPr>
          <w:b/>
          <w:szCs w:val="24"/>
        </w:rPr>
        <w:t>Консультация специалистов:</w:t>
      </w:r>
    </w:p>
    <w:p w14:paraId="141C07E8" w14:textId="77777777" w:rsidR="00A6105F" w:rsidRPr="00FB583E" w:rsidRDefault="00A6105F" w:rsidP="0091350E">
      <w:pPr>
        <w:pStyle w:val="aff"/>
        <w:numPr>
          <w:ilvl w:val="0"/>
          <w:numId w:val="100"/>
        </w:numPr>
        <w:contextualSpacing/>
        <w:rPr>
          <w:szCs w:val="24"/>
        </w:rPr>
      </w:pPr>
      <w:r w:rsidRPr="00FB583E">
        <w:rPr>
          <w:szCs w:val="24"/>
        </w:rPr>
        <w:t>Невролог – для оценки неврологического статуса</w:t>
      </w:r>
    </w:p>
    <w:p w14:paraId="126808FB" w14:textId="77777777" w:rsidR="00A6105F" w:rsidRPr="00FB583E" w:rsidRDefault="00A6105F" w:rsidP="0091350E">
      <w:pPr>
        <w:pStyle w:val="aff"/>
        <w:numPr>
          <w:ilvl w:val="0"/>
          <w:numId w:val="100"/>
        </w:numPr>
        <w:contextualSpacing/>
        <w:rPr>
          <w:szCs w:val="24"/>
        </w:rPr>
      </w:pPr>
      <w:r w:rsidRPr="00FB583E">
        <w:rPr>
          <w:szCs w:val="24"/>
        </w:rPr>
        <w:t>Нейрохирург – для стереотаксической биопсии (СТБ) опухоли головного мозга или биопсия образования спинного мозга для верификации диагноза.</w:t>
      </w:r>
    </w:p>
    <w:p w14:paraId="3C2D4A6B" w14:textId="77777777" w:rsidR="00A6105F" w:rsidRPr="00FB583E" w:rsidRDefault="00A6105F" w:rsidP="0091350E">
      <w:pPr>
        <w:pStyle w:val="aff"/>
        <w:numPr>
          <w:ilvl w:val="0"/>
          <w:numId w:val="100"/>
        </w:numPr>
        <w:contextualSpacing/>
        <w:rPr>
          <w:szCs w:val="24"/>
        </w:rPr>
      </w:pPr>
      <w:r w:rsidRPr="00FB583E">
        <w:rPr>
          <w:szCs w:val="24"/>
        </w:rPr>
        <w:t>Офтальмолог – для оценки состояния глазного дна, определения степени внутричерепной гипертензии</w:t>
      </w:r>
    </w:p>
    <w:p w14:paraId="308CBE6B" w14:textId="77777777" w:rsidR="00A6105F" w:rsidRPr="00FB583E" w:rsidRDefault="00A6105F" w:rsidP="0091350E">
      <w:pPr>
        <w:pStyle w:val="aff"/>
        <w:numPr>
          <w:ilvl w:val="0"/>
          <w:numId w:val="100"/>
        </w:numPr>
        <w:contextualSpacing/>
        <w:rPr>
          <w:szCs w:val="24"/>
        </w:rPr>
      </w:pPr>
      <w:r w:rsidRPr="00FB583E">
        <w:rPr>
          <w:szCs w:val="24"/>
        </w:rPr>
        <w:t>По показаниям привлекаются другие специалисты:</w:t>
      </w:r>
    </w:p>
    <w:p w14:paraId="2271D6A8" w14:textId="77777777" w:rsidR="00A6105F" w:rsidRPr="00FB583E" w:rsidRDefault="00A6105F" w:rsidP="0091350E">
      <w:pPr>
        <w:pStyle w:val="aff"/>
        <w:numPr>
          <w:ilvl w:val="0"/>
          <w:numId w:val="100"/>
        </w:numPr>
        <w:contextualSpacing/>
        <w:rPr>
          <w:szCs w:val="24"/>
        </w:rPr>
      </w:pPr>
      <w:r w:rsidRPr="00FB583E">
        <w:rPr>
          <w:szCs w:val="24"/>
        </w:rPr>
        <w:t>радиолог</w:t>
      </w:r>
    </w:p>
    <w:p w14:paraId="04449EF6" w14:textId="77777777" w:rsidR="00A6105F" w:rsidRPr="00FB583E" w:rsidRDefault="00A6105F" w:rsidP="0091350E">
      <w:pPr>
        <w:pStyle w:val="aff"/>
        <w:numPr>
          <w:ilvl w:val="0"/>
          <w:numId w:val="100"/>
        </w:numPr>
        <w:contextualSpacing/>
        <w:rPr>
          <w:szCs w:val="24"/>
        </w:rPr>
      </w:pPr>
      <w:r w:rsidRPr="00FB583E">
        <w:rPr>
          <w:szCs w:val="24"/>
        </w:rPr>
        <w:t>психиатр</w:t>
      </w:r>
    </w:p>
    <w:p w14:paraId="5792F21F" w14:textId="77777777" w:rsidR="00A6105F" w:rsidRPr="00FB583E" w:rsidRDefault="00A6105F" w:rsidP="0091350E">
      <w:pPr>
        <w:pStyle w:val="aff"/>
        <w:numPr>
          <w:ilvl w:val="0"/>
          <w:numId w:val="100"/>
        </w:numPr>
        <w:contextualSpacing/>
        <w:rPr>
          <w:szCs w:val="24"/>
        </w:rPr>
      </w:pPr>
      <w:r w:rsidRPr="00FB583E">
        <w:rPr>
          <w:szCs w:val="24"/>
        </w:rPr>
        <w:t>психолог</w:t>
      </w:r>
    </w:p>
    <w:p w14:paraId="3B5F764A" w14:textId="77777777" w:rsidR="00A6105F" w:rsidRPr="00FB583E" w:rsidRDefault="00A6105F" w:rsidP="0091350E">
      <w:pPr>
        <w:pStyle w:val="aff"/>
        <w:numPr>
          <w:ilvl w:val="0"/>
          <w:numId w:val="100"/>
        </w:numPr>
        <w:contextualSpacing/>
        <w:rPr>
          <w:szCs w:val="24"/>
        </w:rPr>
      </w:pPr>
      <w:r w:rsidRPr="00FB583E">
        <w:rPr>
          <w:szCs w:val="24"/>
        </w:rPr>
        <w:t>кинезиотерапевт</w:t>
      </w:r>
    </w:p>
    <w:p w14:paraId="5849C55B" w14:textId="77777777" w:rsidR="00A6105F" w:rsidRPr="00FB583E" w:rsidRDefault="00A6105F" w:rsidP="00A6105F">
      <w:pPr>
        <w:ind w:firstLine="708"/>
        <w:rPr>
          <w:b/>
          <w:szCs w:val="24"/>
        </w:rPr>
      </w:pPr>
      <w:r w:rsidRPr="00FB583E">
        <w:rPr>
          <w:b/>
          <w:szCs w:val="24"/>
        </w:rPr>
        <w:t>Лекарственная терапия неврологических осложнений специфического поражения ЦНС при гематологических заболеваниях.</w:t>
      </w:r>
    </w:p>
    <w:p w14:paraId="2125110C" w14:textId="77777777" w:rsidR="00A6105F" w:rsidRPr="00FB583E" w:rsidRDefault="00A6105F" w:rsidP="00A6105F">
      <w:pPr>
        <w:ind w:firstLine="708"/>
        <w:rPr>
          <w:szCs w:val="24"/>
        </w:rPr>
      </w:pPr>
      <w:r w:rsidRPr="00FB583E">
        <w:rPr>
          <w:szCs w:val="24"/>
        </w:rPr>
        <w:t>Основным методом лечения вовлечения ЦНС при онкогематологических заболеваниях (лейкозы, лимфомы) является химиотерапия. Дополнительно могут применяться хирургические и радиологические (лучевая терапия) методы лечения.</w:t>
      </w:r>
    </w:p>
    <w:p w14:paraId="260BBCCC" w14:textId="77777777" w:rsidR="00A6105F" w:rsidRPr="00FB583E" w:rsidRDefault="00A6105F" w:rsidP="00A6105F">
      <w:pPr>
        <w:ind w:firstLine="708"/>
        <w:rPr>
          <w:szCs w:val="24"/>
        </w:rPr>
      </w:pPr>
      <w:r w:rsidRPr="00FB583E">
        <w:rPr>
          <w:szCs w:val="24"/>
        </w:rPr>
        <w:t>Очаговое специфическое поражение головного мозга при онкогематологических заболеваниях сопровождается перифокальным отеком или повышением внутричерепного давления и часто вызывает эпилептические приступы.  В связи с этим могут применяться следующие основные группы лекарственных препаратов:</w:t>
      </w:r>
    </w:p>
    <w:p w14:paraId="2B56A3DF" w14:textId="77777777" w:rsidR="00A6105F" w:rsidRPr="00FB583E" w:rsidRDefault="00A6105F" w:rsidP="0091350E">
      <w:pPr>
        <w:pStyle w:val="aff"/>
        <w:numPr>
          <w:ilvl w:val="0"/>
          <w:numId w:val="100"/>
        </w:numPr>
        <w:contextualSpacing/>
        <w:rPr>
          <w:szCs w:val="24"/>
        </w:rPr>
      </w:pPr>
      <w:r w:rsidRPr="00FB583E">
        <w:rPr>
          <w:szCs w:val="24"/>
        </w:rPr>
        <w:t xml:space="preserve">Противоотечные препараты – маннитол в/в, лазикс в/в, ацетазоламид (диакарб) в таб. </w:t>
      </w:r>
    </w:p>
    <w:p w14:paraId="35D9599C" w14:textId="77777777" w:rsidR="00A6105F" w:rsidRPr="00FB583E" w:rsidRDefault="00A6105F" w:rsidP="0091350E">
      <w:pPr>
        <w:pStyle w:val="aff"/>
        <w:numPr>
          <w:ilvl w:val="0"/>
          <w:numId w:val="100"/>
        </w:numPr>
        <w:contextualSpacing/>
        <w:rPr>
          <w:szCs w:val="24"/>
        </w:rPr>
      </w:pPr>
      <w:r w:rsidRPr="00FB583E">
        <w:rPr>
          <w:szCs w:val="24"/>
        </w:rPr>
        <w:t>Противорвотная терапия – ондансетрон в/в</w:t>
      </w:r>
    </w:p>
    <w:p w14:paraId="6E4F86F7" w14:textId="77777777" w:rsidR="00A6105F" w:rsidRPr="00FB583E" w:rsidRDefault="00A6105F" w:rsidP="0091350E">
      <w:pPr>
        <w:pStyle w:val="aff"/>
        <w:numPr>
          <w:ilvl w:val="0"/>
          <w:numId w:val="100"/>
        </w:numPr>
        <w:contextualSpacing/>
        <w:rPr>
          <w:szCs w:val="24"/>
        </w:rPr>
      </w:pPr>
      <w:r w:rsidRPr="00FB583E">
        <w:rPr>
          <w:szCs w:val="24"/>
        </w:rPr>
        <w:t>Противоэпилептические, противосудорожные препараты – леветирацетамв/в, табл; бензобарбитал табл; конвулекс в/в, таб; прегабалин капс; габапентин таб, клоназепам таб; фенобарбитал таб, окскарбазепин таб, ламотриджил таб, диазепам в/в, таб; карбамазепин таб; фенитоин таб;</w:t>
      </w:r>
    </w:p>
    <w:p w14:paraId="7BF9B500" w14:textId="77777777" w:rsidR="00A6105F" w:rsidRPr="00FB583E" w:rsidRDefault="00A6105F" w:rsidP="0091350E">
      <w:pPr>
        <w:pStyle w:val="aff"/>
        <w:numPr>
          <w:ilvl w:val="0"/>
          <w:numId w:val="100"/>
        </w:numPr>
        <w:contextualSpacing/>
        <w:rPr>
          <w:szCs w:val="24"/>
        </w:rPr>
      </w:pPr>
      <w:r w:rsidRPr="00FB583E">
        <w:rPr>
          <w:szCs w:val="24"/>
        </w:rPr>
        <w:t>Нейропротекторная терапия аминофенилмаслянная кислота – фенибут таб</w:t>
      </w:r>
    </w:p>
    <w:p w14:paraId="35A1CA32" w14:textId="77777777" w:rsidR="00A6105F" w:rsidRPr="00FB583E" w:rsidRDefault="00A6105F" w:rsidP="0091350E">
      <w:pPr>
        <w:pStyle w:val="aff"/>
        <w:numPr>
          <w:ilvl w:val="0"/>
          <w:numId w:val="100"/>
        </w:numPr>
        <w:contextualSpacing/>
        <w:rPr>
          <w:szCs w:val="24"/>
        </w:rPr>
      </w:pPr>
      <w:r w:rsidRPr="00FB583E">
        <w:rPr>
          <w:szCs w:val="24"/>
        </w:rPr>
        <w:t>Дофаминэргические препараты: ПК-мерц в/в, таб; наком таб; мирапекс таб; акинетон таб.</w:t>
      </w:r>
    </w:p>
    <w:p w14:paraId="1AD6AA1F" w14:textId="77777777" w:rsidR="00A6105F" w:rsidRPr="00FB583E" w:rsidRDefault="00A6105F" w:rsidP="0091350E">
      <w:pPr>
        <w:pStyle w:val="aff"/>
        <w:numPr>
          <w:ilvl w:val="0"/>
          <w:numId w:val="100"/>
        </w:numPr>
        <w:contextualSpacing/>
        <w:rPr>
          <w:szCs w:val="24"/>
        </w:rPr>
      </w:pPr>
      <w:r w:rsidRPr="00FB583E">
        <w:rPr>
          <w:szCs w:val="24"/>
        </w:rPr>
        <w:t>Витаминотерапия</w:t>
      </w:r>
      <w:r>
        <w:rPr>
          <w:szCs w:val="24"/>
        </w:rPr>
        <w:t xml:space="preserve"> –</w:t>
      </w:r>
      <w:r w:rsidRPr="00FB583E">
        <w:rPr>
          <w:szCs w:val="24"/>
        </w:rPr>
        <w:t xml:space="preserve"> церневит в/в, витамины группы В таб.</w:t>
      </w:r>
    </w:p>
    <w:p w14:paraId="38492574" w14:textId="77777777" w:rsidR="00A6105F" w:rsidRPr="00FB583E" w:rsidRDefault="00A6105F" w:rsidP="0091350E">
      <w:pPr>
        <w:pStyle w:val="aff"/>
        <w:numPr>
          <w:ilvl w:val="0"/>
          <w:numId w:val="100"/>
        </w:numPr>
        <w:contextualSpacing/>
        <w:rPr>
          <w:szCs w:val="24"/>
        </w:rPr>
      </w:pPr>
      <w:r w:rsidRPr="00FB583E">
        <w:rPr>
          <w:szCs w:val="24"/>
        </w:rPr>
        <w:t>Антиоксиданты –</w:t>
      </w:r>
      <w:r>
        <w:rPr>
          <w:szCs w:val="24"/>
        </w:rPr>
        <w:t xml:space="preserve"> </w:t>
      </w:r>
      <w:r w:rsidRPr="00FB583E">
        <w:rPr>
          <w:szCs w:val="24"/>
        </w:rPr>
        <w:t xml:space="preserve">альфа-липоевая кислота в/в, капс. </w:t>
      </w:r>
    </w:p>
    <w:p w14:paraId="692EA3D6" w14:textId="77777777" w:rsidR="00A6105F" w:rsidRPr="00FB583E" w:rsidRDefault="00A6105F" w:rsidP="0091350E">
      <w:pPr>
        <w:pStyle w:val="aff"/>
        <w:numPr>
          <w:ilvl w:val="0"/>
          <w:numId w:val="100"/>
        </w:numPr>
        <w:contextualSpacing/>
        <w:rPr>
          <w:szCs w:val="24"/>
        </w:rPr>
      </w:pPr>
      <w:r w:rsidRPr="00FB583E">
        <w:rPr>
          <w:szCs w:val="24"/>
        </w:rPr>
        <w:t xml:space="preserve">Антидепрессанты </w:t>
      </w:r>
      <w:r>
        <w:rPr>
          <w:szCs w:val="24"/>
        </w:rPr>
        <w:t>–</w:t>
      </w:r>
      <w:r w:rsidRPr="00FB583E">
        <w:rPr>
          <w:szCs w:val="24"/>
        </w:rPr>
        <w:t xml:space="preserve"> по назначению психиатра</w:t>
      </w:r>
    </w:p>
    <w:p w14:paraId="3D503AA2" w14:textId="77777777" w:rsidR="00A6105F" w:rsidRPr="00FB583E" w:rsidRDefault="00A6105F" w:rsidP="00A6105F">
      <w:pPr>
        <w:ind w:firstLine="360"/>
        <w:rPr>
          <w:szCs w:val="24"/>
        </w:rPr>
      </w:pPr>
    </w:p>
    <w:p w14:paraId="49E63649" w14:textId="77777777" w:rsidR="00A6105F" w:rsidRPr="00FB583E" w:rsidRDefault="00A6105F" w:rsidP="00A6105F">
      <w:pPr>
        <w:pStyle w:val="afd"/>
        <w:spacing w:beforeAutospacing="0" w:afterAutospacing="0" w:line="360" w:lineRule="auto"/>
        <w:rPr>
          <w:i/>
          <w:u w:val="single"/>
        </w:rPr>
      </w:pPr>
      <w:r w:rsidRPr="00FB583E">
        <w:rPr>
          <w:i/>
          <w:u w:val="single"/>
        </w:rPr>
        <w:t>Острые нарушения мозгового кровообращения по ишемическому типу при гематологических заболеваниях.</w:t>
      </w:r>
    </w:p>
    <w:p w14:paraId="1FBD7BC4" w14:textId="77777777" w:rsidR="00A6105F" w:rsidRPr="00FB583E" w:rsidRDefault="00A6105F" w:rsidP="00A6105F">
      <w:pPr>
        <w:pStyle w:val="afd"/>
        <w:spacing w:beforeAutospacing="0" w:afterAutospacing="0" w:line="360" w:lineRule="auto"/>
        <w:ind w:firstLine="709"/>
        <w:rPr>
          <w:color w:val="000000"/>
        </w:rPr>
      </w:pPr>
      <w:r w:rsidRPr="00FB583E">
        <w:rPr>
          <w:color w:val="000000"/>
        </w:rPr>
        <w:t>Примерно в 10% случаев при гематологических заболеваниях отмечается нарушение мозгового кровообращения (ОНМК) по ишемическому типу. К заболеваниям, при которых наиболее часто возникают тромбозы, относятся миелопролиферативные заболевания, миеломная болезнь, лимфопролиферативные заболевания, тромботическая микроангиопатия, в том числе атипичный гемолитико-уремический синдром, тромботическая тромбоцитопеническая пурпура. Причинами тромбозов мозговых сосудов у пациентов с гематологическими заболеваниями могут быть:</w:t>
      </w:r>
    </w:p>
    <w:p w14:paraId="4341E199" w14:textId="77777777" w:rsidR="00A6105F" w:rsidRPr="00FB583E" w:rsidRDefault="00A6105F" w:rsidP="0091350E">
      <w:pPr>
        <w:pStyle w:val="aff"/>
        <w:numPr>
          <w:ilvl w:val="0"/>
          <w:numId w:val="100"/>
        </w:numPr>
        <w:contextualSpacing/>
        <w:rPr>
          <w:szCs w:val="24"/>
        </w:rPr>
      </w:pPr>
      <w:r w:rsidRPr="00FB583E">
        <w:rPr>
          <w:szCs w:val="24"/>
        </w:rPr>
        <w:t>механические факторы (сдавление опухолью кровеносного сосуда, наличие центрального или периферического венозных катетеров, нарушение целостности эндотелия некоторыми химиопрепаратами и др.)</w:t>
      </w:r>
    </w:p>
    <w:p w14:paraId="51788ACA" w14:textId="77777777" w:rsidR="00A6105F" w:rsidRPr="00FB583E" w:rsidRDefault="00A6105F" w:rsidP="0091350E">
      <w:pPr>
        <w:pStyle w:val="aff"/>
        <w:numPr>
          <w:ilvl w:val="0"/>
          <w:numId w:val="100"/>
        </w:numPr>
        <w:contextualSpacing/>
        <w:rPr>
          <w:szCs w:val="24"/>
        </w:rPr>
      </w:pPr>
      <w:r w:rsidRPr="00FB583E">
        <w:rPr>
          <w:szCs w:val="24"/>
        </w:rPr>
        <w:t>коагулогические (повышение или снижение активности факторов свертывания крови, повышение агрегационных свойств тромбоцитов и гипертромбоцитоз) вследствие опухолевого процесса и/или его лечения</w:t>
      </w:r>
    </w:p>
    <w:p w14:paraId="187149EB" w14:textId="77777777" w:rsidR="00A6105F" w:rsidRPr="00FB583E" w:rsidRDefault="00A6105F" w:rsidP="0091350E">
      <w:pPr>
        <w:pStyle w:val="aff"/>
        <w:numPr>
          <w:ilvl w:val="0"/>
          <w:numId w:val="100"/>
        </w:numPr>
        <w:contextualSpacing/>
        <w:rPr>
          <w:szCs w:val="24"/>
        </w:rPr>
      </w:pPr>
      <w:r w:rsidRPr="00FB583E">
        <w:rPr>
          <w:szCs w:val="24"/>
        </w:rPr>
        <w:t>реологические (в том числе за счет гиперлейкоцитоза, эритроцитоза гипертромбоцитоза)</w:t>
      </w:r>
    </w:p>
    <w:p w14:paraId="4D2D6A60" w14:textId="77777777" w:rsidR="00A6105F" w:rsidRPr="00FB583E" w:rsidRDefault="00A6105F" w:rsidP="0091350E">
      <w:pPr>
        <w:pStyle w:val="aff"/>
        <w:numPr>
          <w:ilvl w:val="0"/>
          <w:numId w:val="100"/>
        </w:numPr>
        <w:contextualSpacing/>
        <w:rPr>
          <w:szCs w:val="24"/>
        </w:rPr>
      </w:pPr>
      <w:r w:rsidRPr="00FB583E">
        <w:rPr>
          <w:szCs w:val="24"/>
        </w:rPr>
        <w:t>полихимиотерапия</w:t>
      </w:r>
    </w:p>
    <w:p w14:paraId="6256D2F1" w14:textId="77777777" w:rsidR="00A6105F" w:rsidRPr="00FB583E" w:rsidRDefault="00A6105F" w:rsidP="0091350E">
      <w:pPr>
        <w:pStyle w:val="aff"/>
        <w:numPr>
          <w:ilvl w:val="0"/>
          <w:numId w:val="100"/>
        </w:numPr>
        <w:contextualSpacing/>
        <w:rPr>
          <w:szCs w:val="24"/>
        </w:rPr>
      </w:pPr>
      <w:r w:rsidRPr="00FB583E">
        <w:rPr>
          <w:szCs w:val="24"/>
        </w:rPr>
        <w:t xml:space="preserve">лучевая терапия </w:t>
      </w:r>
    </w:p>
    <w:p w14:paraId="37E7613C" w14:textId="77777777" w:rsidR="00A6105F" w:rsidRPr="00FB583E" w:rsidRDefault="00A6105F" w:rsidP="0091350E">
      <w:pPr>
        <w:pStyle w:val="aff"/>
        <w:numPr>
          <w:ilvl w:val="0"/>
          <w:numId w:val="100"/>
        </w:numPr>
        <w:contextualSpacing/>
        <w:rPr>
          <w:szCs w:val="24"/>
        </w:rPr>
      </w:pPr>
      <w:r w:rsidRPr="00FB583E">
        <w:rPr>
          <w:szCs w:val="24"/>
        </w:rPr>
        <w:t>наличие сопутствующих заболеваний – кардиологических (фибрилляция предсердий, эндокардит), эндокринологических (сахарный диабет), гипертоническая болезнь, атеросклероз</w:t>
      </w:r>
    </w:p>
    <w:p w14:paraId="428A1409" w14:textId="77777777" w:rsidR="00A6105F" w:rsidRPr="00FB583E" w:rsidRDefault="00A6105F" w:rsidP="0091350E">
      <w:pPr>
        <w:pStyle w:val="aff"/>
        <w:numPr>
          <w:ilvl w:val="0"/>
          <w:numId w:val="100"/>
        </w:numPr>
        <w:contextualSpacing/>
        <w:rPr>
          <w:szCs w:val="24"/>
        </w:rPr>
      </w:pPr>
      <w:r w:rsidRPr="00FB583E">
        <w:rPr>
          <w:szCs w:val="24"/>
        </w:rPr>
        <w:t>сочетание вышеперечисленных факторов</w:t>
      </w:r>
    </w:p>
    <w:p w14:paraId="462F83EC" w14:textId="77777777" w:rsidR="00A6105F" w:rsidRPr="00FB583E" w:rsidRDefault="00A6105F" w:rsidP="00A6105F">
      <w:pPr>
        <w:pStyle w:val="afd"/>
        <w:spacing w:beforeAutospacing="0" w:afterAutospacing="0" w:line="360" w:lineRule="auto"/>
        <w:ind w:firstLine="709"/>
        <w:rPr>
          <w:b/>
          <w:color w:val="000000"/>
        </w:rPr>
      </w:pPr>
      <w:r w:rsidRPr="00FB583E">
        <w:rPr>
          <w:b/>
          <w:color w:val="000000"/>
        </w:rPr>
        <w:t>Клинические проявления ОНМК по ишемическому типу:</w:t>
      </w:r>
    </w:p>
    <w:p w14:paraId="27E4C8BB" w14:textId="77777777" w:rsidR="00A6105F" w:rsidRPr="00FB583E" w:rsidRDefault="00A6105F" w:rsidP="00A6105F">
      <w:pPr>
        <w:pStyle w:val="afd"/>
        <w:spacing w:beforeAutospacing="0" w:afterAutospacing="0" w:line="360" w:lineRule="auto"/>
        <w:ind w:firstLine="709"/>
        <w:rPr>
          <w:color w:val="000000"/>
        </w:rPr>
      </w:pPr>
      <w:r w:rsidRPr="00FB583E">
        <w:rPr>
          <w:color w:val="000000"/>
        </w:rPr>
        <w:t xml:space="preserve">Клиническая картина при ОНМК по ишемическому типу проявляется в виде общемозговой симптоматики с нарушением сознания и осознанности, нарушением речи; очаговой симптоматикой, двигательными и чувствительными нарушениями и зависит от бассейна кровоснабжения артерии, размеров зоны ишемии и перифокального отека. </w:t>
      </w:r>
    </w:p>
    <w:p w14:paraId="0EF5792A" w14:textId="77777777" w:rsidR="00A6105F" w:rsidRPr="00FB583E" w:rsidRDefault="00A6105F" w:rsidP="00A6105F">
      <w:pPr>
        <w:pStyle w:val="afd"/>
        <w:spacing w:beforeAutospacing="0" w:afterAutospacing="0" w:line="360" w:lineRule="auto"/>
        <w:ind w:firstLine="709"/>
        <w:rPr>
          <w:color w:val="000000"/>
        </w:rPr>
      </w:pPr>
      <w:r w:rsidRPr="00FB583E">
        <w:rPr>
          <w:color w:val="000000"/>
        </w:rPr>
        <w:t xml:space="preserve">Отмечаются тромбозы венозных синусов, которые характеризуются преимущественно общемозговой симптоматикой в выраженной головной болью и эпилептическими приступами. </w:t>
      </w:r>
    </w:p>
    <w:p w14:paraId="7A3601D1" w14:textId="77777777" w:rsidR="00A6105F" w:rsidRPr="00FB583E" w:rsidRDefault="00A6105F" w:rsidP="00A6105F">
      <w:pPr>
        <w:ind w:firstLine="709"/>
        <w:rPr>
          <w:szCs w:val="24"/>
        </w:rPr>
      </w:pPr>
      <w:r w:rsidRPr="00FB583E">
        <w:rPr>
          <w:szCs w:val="24"/>
        </w:rPr>
        <w:t>Первичная диагностика включает в себя оценку жалоб, анамнеза; оценку функционального статуса по шкале Карновского, оценку неврологического статуса с характеристикой общемозговой и очаговой симптоматики, интеллектуально-мнестических нарушений, оценку психического состояния.</w:t>
      </w:r>
    </w:p>
    <w:p w14:paraId="04F0ACA9" w14:textId="77777777" w:rsidR="00A6105F" w:rsidRPr="00FB583E" w:rsidRDefault="00A6105F" w:rsidP="00A6105F">
      <w:pPr>
        <w:pStyle w:val="afd"/>
        <w:spacing w:beforeAutospacing="0" w:afterAutospacing="0" w:line="360" w:lineRule="auto"/>
        <w:ind w:firstLine="708"/>
        <w:rPr>
          <w:color w:val="000000"/>
        </w:rPr>
      </w:pPr>
      <w:r w:rsidRPr="00FB583E">
        <w:rPr>
          <w:b/>
        </w:rPr>
        <w:t>Лабораторная диагностика</w:t>
      </w:r>
      <w:r w:rsidRPr="00FB583E">
        <w:t>: см</w:t>
      </w:r>
      <w:r w:rsidRPr="00FB583E">
        <w:rPr>
          <w:color w:val="000000"/>
        </w:rPr>
        <w:t>. главу «Профилактика, диагностика и лечение тромботических осложнений при гематологических заболеваниях» в настоящем методическом руководстве.</w:t>
      </w:r>
    </w:p>
    <w:p w14:paraId="201C7B14" w14:textId="77777777" w:rsidR="00A6105F" w:rsidRPr="00FB583E" w:rsidRDefault="00A6105F" w:rsidP="00A6105F">
      <w:pPr>
        <w:ind w:firstLine="708"/>
        <w:rPr>
          <w:b/>
          <w:szCs w:val="24"/>
        </w:rPr>
      </w:pPr>
      <w:r w:rsidRPr="00FB583E">
        <w:rPr>
          <w:b/>
          <w:szCs w:val="24"/>
        </w:rPr>
        <w:t>Инструментальная диагностика:</w:t>
      </w:r>
    </w:p>
    <w:p w14:paraId="7FAA8421" w14:textId="77777777" w:rsidR="00A6105F" w:rsidRPr="00FB583E" w:rsidRDefault="00A6105F" w:rsidP="0091350E">
      <w:pPr>
        <w:pStyle w:val="aff"/>
        <w:numPr>
          <w:ilvl w:val="0"/>
          <w:numId w:val="100"/>
        </w:numPr>
        <w:contextualSpacing/>
        <w:rPr>
          <w:szCs w:val="24"/>
        </w:rPr>
      </w:pPr>
      <w:r w:rsidRPr="00FB583E">
        <w:rPr>
          <w:szCs w:val="24"/>
        </w:rPr>
        <w:t>КТ/МРТ -  головного/спинного мозга с контрастным усилением</w:t>
      </w:r>
    </w:p>
    <w:p w14:paraId="4B9BEC56" w14:textId="77777777" w:rsidR="00A6105F" w:rsidRPr="00FB583E" w:rsidRDefault="00A6105F" w:rsidP="0091350E">
      <w:pPr>
        <w:pStyle w:val="aff"/>
        <w:numPr>
          <w:ilvl w:val="0"/>
          <w:numId w:val="100"/>
        </w:numPr>
        <w:contextualSpacing/>
        <w:rPr>
          <w:szCs w:val="24"/>
        </w:rPr>
      </w:pPr>
      <w:r w:rsidRPr="00FB583E">
        <w:rPr>
          <w:szCs w:val="24"/>
        </w:rPr>
        <w:t>КТ/МРТ-ангиография (с проведением тромболизиса по показаниям)</w:t>
      </w:r>
    </w:p>
    <w:p w14:paraId="37C66CF2" w14:textId="77777777" w:rsidR="00A6105F" w:rsidRPr="00FB583E" w:rsidRDefault="00A6105F" w:rsidP="0091350E">
      <w:pPr>
        <w:pStyle w:val="aff"/>
        <w:numPr>
          <w:ilvl w:val="0"/>
          <w:numId w:val="100"/>
        </w:numPr>
        <w:contextualSpacing/>
        <w:rPr>
          <w:szCs w:val="24"/>
        </w:rPr>
      </w:pPr>
      <w:r w:rsidRPr="00FB583E">
        <w:rPr>
          <w:szCs w:val="24"/>
        </w:rPr>
        <w:t>ЭКГ</w:t>
      </w:r>
    </w:p>
    <w:p w14:paraId="524E4140" w14:textId="77777777" w:rsidR="00A6105F" w:rsidRPr="00FB583E" w:rsidRDefault="00A6105F" w:rsidP="0091350E">
      <w:pPr>
        <w:pStyle w:val="aff"/>
        <w:numPr>
          <w:ilvl w:val="0"/>
          <w:numId w:val="100"/>
        </w:numPr>
        <w:contextualSpacing/>
        <w:rPr>
          <w:szCs w:val="24"/>
        </w:rPr>
      </w:pPr>
      <w:r w:rsidRPr="00FB583E">
        <w:rPr>
          <w:szCs w:val="24"/>
        </w:rPr>
        <w:t>Эхо-КГ</w:t>
      </w:r>
    </w:p>
    <w:p w14:paraId="1F2A1D14" w14:textId="77777777" w:rsidR="00A6105F" w:rsidRPr="00FB583E" w:rsidRDefault="00A6105F" w:rsidP="0091350E">
      <w:pPr>
        <w:pStyle w:val="aff"/>
        <w:numPr>
          <w:ilvl w:val="0"/>
          <w:numId w:val="100"/>
        </w:numPr>
        <w:contextualSpacing/>
        <w:rPr>
          <w:szCs w:val="24"/>
        </w:rPr>
      </w:pPr>
      <w:r w:rsidRPr="00FB583E">
        <w:rPr>
          <w:szCs w:val="24"/>
        </w:rPr>
        <w:t xml:space="preserve"> УЗДГ брахиоцефальных артерий и вен </w:t>
      </w:r>
    </w:p>
    <w:p w14:paraId="2DAA402A" w14:textId="77777777" w:rsidR="00A6105F" w:rsidRPr="00FB583E" w:rsidRDefault="00A6105F" w:rsidP="0091350E">
      <w:pPr>
        <w:pStyle w:val="aff"/>
        <w:numPr>
          <w:ilvl w:val="0"/>
          <w:numId w:val="100"/>
        </w:numPr>
        <w:contextualSpacing/>
        <w:rPr>
          <w:szCs w:val="24"/>
        </w:rPr>
      </w:pPr>
      <w:r w:rsidRPr="00FB583E">
        <w:rPr>
          <w:szCs w:val="24"/>
        </w:rPr>
        <w:t>КТ грудной клетки</w:t>
      </w:r>
    </w:p>
    <w:p w14:paraId="776C5210" w14:textId="77777777" w:rsidR="00A6105F" w:rsidRPr="00FB583E" w:rsidRDefault="00A6105F" w:rsidP="0091350E">
      <w:pPr>
        <w:pStyle w:val="aff"/>
        <w:numPr>
          <w:ilvl w:val="0"/>
          <w:numId w:val="100"/>
        </w:numPr>
        <w:contextualSpacing/>
        <w:rPr>
          <w:szCs w:val="24"/>
        </w:rPr>
      </w:pPr>
      <w:r w:rsidRPr="00FB583E">
        <w:rPr>
          <w:szCs w:val="24"/>
        </w:rPr>
        <w:t>ЭЭГ с функциональными пробами для определения функционального состояния головного мозга и исключения эпиактивности</w:t>
      </w:r>
    </w:p>
    <w:p w14:paraId="1195229B" w14:textId="77777777" w:rsidR="00A6105F" w:rsidRPr="00FB583E" w:rsidRDefault="00A6105F" w:rsidP="0091350E">
      <w:pPr>
        <w:pStyle w:val="aff"/>
        <w:numPr>
          <w:ilvl w:val="0"/>
          <w:numId w:val="100"/>
        </w:numPr>
        <w:contextualSpacing/>
        <w:rPr>
          <w:szCs w:val="24"/>
        </w:rPr>
      </w:pPr>
      <w:r w:rsidRPr="00FB583E">
        <w:rPr>
          <w:szCs w:val="24"/>
        </w:rPr>
        <w:t>ВП различной модальности: ЗВП, КВП, КАСВП, ССВП (по показаниям)</w:t>
      </w:r>
    </w:p>
    <w:p w14:paraId="215D5247" w14:textId="77777777" w:rsidR="00A6105F" w:rsidRPr="00FB583E" w:rsidRDefault="00A6105F" w:rsidP="0091350E">
      <w:pPr>
        <w:pStyle w:val="aff"/>
        <w:numPr>
          <w:ilvl w:val="0"/>
          <w:numId w:val="100"/>
        </w:numPr>
        <w:contextualSpacing/>
        <w:rPr>
          <w:szCs w:val="24"/>
        </w:rPr>
      </w:pPr>
      <w:r w:rsidRPr="00FB583E">
        <w:rPr>
          <w:szCs w:val="24"/>
        </w:rPr>
        <w:t>ТКМС (по показаниям)</w:t>
      </w:r>
    </w:p>
    <w:p w14:paraId="142A2997" w14:textId="77777777" w:rsidR="00A6105F" w:rsidRPr="00FB583E" w:rsidRDefault="00A6105F" w:rsidP="00A6105F">
      <w:pPr>
        <w:ind w:firstLine="708"/>
        <w:rPr>
          <w:b/>
          <w:szCs w:val="24"/>
        </w:rPr>
      </w:pPr>
      <w:r w:rsidRPr="00FB583E">
        <w:rPr>
          <w:b/>
          <w:color w:val="000000"/>
          <w:szCs w:val="24"/>
        </w:rPr>
        <w:t>Консультации с</w:t>
      </w:r>
      <w:r w:rsidRPr="00FB583E">
        <w:rPr>
          <w:b/>
          <w:szCs w:val="24"/>
        </w:rPr>
        <w:t>пециалистов:</w:t>
      </w:r>
    </w:p>
    <w:p w14:paraId="308A3762" w14:textId="77777777" w:rsidR="00A6105F" w:rsidRPr="00FB583E" w:rsidRDefault="00A6105F" w:rsidP="0091350E">
      <w:pPr>
        <w:pStyle w:val="aff"/>
        <w:numPr>
          <w:ilvl w:val="0"/>
          <w:numId w:val="100"/>
        </w:numPr>
        <w:contextualSpacing/>
        <w:rPr>
          <w:szCs w:val="24"/>
        </w:rPr>
      </w:pPr>
      <w:r w:rsidRPr="00FB583E">
        <w:rPr>
          <w:szCs w:val="24"/>
        </w:rPr>
        <w:t>невролог</w:t>
      </w:r>
    </w:p>
    <w:p w14:paraId="417B86EA" w14:textId="77777777" w:rsidR="00A6105F" w:rsidRPr="00FB583E" w:rsidRDefault="00A6105F" w:rsidP="0091350E">
      <w:pPr>
        <w:pStyle w:val="aff"/>
        <w:numPr>
          <w:ilvl w:val="0"/>
          <w:numId w:val="100"/>
        </w:numPr>
        <w:contextualSpacing/>
        <w:rPr>
          <w:szCs w:val="24"/>
        </w:rPr>
      </w:pPr>
      <w:r w:rsidRPr="00FB583E">
        <w:rPr>
          <w:szCs w:val="24"/>
        </w:rPr>
        <w:t>ангиохирург</w:t>
      </w:r>
    </w:p>
    <w:p w14:paraId="3AF39075" w14:textId="77777777" w:rsidR="00A6105F" w:rsidRPr="00FB583E" w:rsidRDefault="00A6105F" w:rsidP="0091350E">
      <w:pPr>
        <w:pStyle w:val="aff"/>
        <w:numPr>
          <w:ilvl w:val="0"/>
          <w:numId w:val="100"/>
        </w:numPr>
        <w:contextualSpacing/>
        <w:rPr>
          <w:szCs w:val="24"/>
        </w:rPr>
      </w:pPr>
      <w:r w:rsidRPr="00FB583E">
        <w:rPr>
          <w:szCs w:val="24"/>
        </w:rPr>
        <w:t>офтальмолог</w:t>
      </w:r>
    </w:p>
    <w:p w14:paraId="2CF99CFD" w14:textId="77777777" w:rsidR="00A6105F" w:rsidRPr="00FB583E" w:rsidRDefault="00A6105F" w:rsidP="0091350E">
      <w:pPr>
        <w:pStyle w:val="aff"/>
        <w:numPr>
          <w:ilvl w:val="0"/>
          <w:numId w:val="100"/>
        </w:numPr>
        <w:contextualSpacing/>
        <w:rPr>
          <w:szCs w:val="24"/>
        </w:rPr>
      </w:pPr>
      <w:r w:rsidRPr="00FB583E">
        <w:rPr>
          <w:szCs w:val="24"/>
        </w:rPr>
        <w:t>кардиолог по показаниям</w:t>
      </w:r>
    </w:p>
    <w:p w14:paraId="7F08707F" w14:textId="77777777" w:rsidR="00A6105F" w:rsidRPr="00FB583E" w:rsidRDefault="00A6105F" w:rsidP="0091350E">
      <w:pPr>
        <w:pStyle w:val="aff"/>
        <w:numPr>
          <w:ilvl w:val="0"/>
          <w:numId w:val="100"/>
        </w:numPr>
        <w:contextualSpacing/>
        <w:rPr>
          <w:szCs w:val="24"/>
        </w:rPr>
      </w:pPr>
      <w:r w:rsidRPr="00FB583E">
        <w:rPr>
          <w:szCs w:val="24"/>
        </w:rPr>
        <w:t>психиатр по показаниям</w:t>
      </w:r>
    </w:p>
    <w:p w14:paraId="01D0A922" w14:textId="77777777" w:rsidR="00A6105F" w:rsidRPr="00FB583E" w:rsidRDefault="00A6105F" w:rsidP="0091350E">
      <w:pPr>
        <w:pStyle w:val="aff"/>
        <w:numPr>
          <w:ilvl w:val="0"/>
          <w:numId w:val="100"/>
        </w:numPr>
        <w:contextualSpacing/>
        <w:rPr>
          <w:szCs w:val="24"/>
        </w:rPr>
      </w:pPr>
      <w:r w:rsidRPr="00FB583E">
        <w:rPr>
          <w:szCs w:val="24"/>
        </w:rPr>
        <w:t>психолог по показаниям</w:t>
      </w:r>
    </w:p>
    <w:p w14:paraId="3CF52D88" w14:textId="77777777" w:rsidR="00A6105F" w:rsidRPr="00FB583E" w:rsidRDefault="00A6105F" w:rsidP="0091350E">
      <w:pPr>
        <w:pStyle w:val="aff"/>
        <w:numPr>
          <w:ilvl w:val="0"/>
          <w:numId w:val="100"/>
        </w:numPr>
        <w:contextualSpacing/>
        <w:rPr>
          <w:szCs w:val="24"/>
        </w:rPr>
      </w:pPr>
      <w:r w:rsidRPr="00FB583E">
        <w:rPr>
          <w:szCs w:val="24"/>
        </w:rPr>
        <w:t>кинезиотерапевт</w:t>
      </w:r>
    </w:p>
    <w:p w14:paraId="24E08C62" w14:textId="77777777" w:rsidR="00A6105F" w:rsidRPr="00FB583E" w:rsidRDefault="00A6105F" w:rsidP="00A6105F">
      <w:pPr>
        <w:ind w:firstLine="708"/>
        <w:rPr>
          <w:b/>
          <w:szCs w:val="24"/>
        </w:rPr>
      </w:pPr>
      <w:r w:rsidRPr="00FB583E">
        <w:rPr>
          <w:b/>
          <w:szCs w:val="24"/>
        </w:rPr>
        <w:t xml:space="preserve">Основные группы лекарственных препаратов, применяемых в лечении ОНМК </w:t>
      </w:r>
      <w:r w:rsidRPr="00FB583E">
        <w:rPr>
          <w:b/>
          <w:color w:val="000000"/>
          <w:szCs w:val="24"/>
        </w:rPr>
        <w:t>по ишемическому типу</w:t>
      </w:r>
      <w:r w:rsidRPr="00FB583E">
        <w:rPr>
          <w:b/>
          <w:szCs w:val="24"/>
        </w:rPr>
        <w:t>:</w:t>
      </w:r>
    </w:p>
    <w:p w14:paraId="55764B24" w14:textId="77777777" w:rsidR="00A6105F" w:rsidRPr="00FB583E" w:rsidRDefault="00A6105F" w:rsidP="0091350E">
      <w:pPr>
        <w:pStyle w:val="aff"/>
        <w:numPr>
          <w:ilvl w:val="0"/>
          <w:numId w:val="100"/>
        </w:numPr>
        <w:contextualSpacing/>
        <w:rPr>
          <w:szCs w:val="24"/>
        </w:rPr>
      </w:pPr>
      <w:r w:rsidRPr="00FB583E">
        <w:rPr>
          <w:szCs w:val="24"/>
        </w:rPr>
        <w:t xml:space="preserve">Противоотечные препараты – маннитол в/в, лазикс в/в, ацетазоламид (диакарб) в таб. </w:t>
      </w:r>
    </w:p>
    <w:p w14:paraId="362D7F1E" w14:textId="77777777" w:rsidR="00A6105F" w:rsidRPr="00FB583E" w:rsidRDefault="00A6105F" w:rsidP="0091350E">
      <w:pPr>
        <w:pStyle w:val="aff"/>
        <w:numPr>
          <w:ilvl w:val="0"/>
          <w:numId w:val="100"/>
        </w:numPr>
        <w:contextualSpacing/>
        <w:rPr>
          <w:szCs w:val="24"/>
        </w:rPr>
      </w:pPr>
      <w:r w:rsidRPr="00FB583E">
        <w:rPr>
          <w:szCs w:val="24"/>
        </w:rPr>
        <w:t>Противорвотная терапия – ондансетрон в/в</w:t>
      </w:r>
    </w:p>
    <w:p w14:paraId="0A726FFA" w14:textId="77777777" w:rsidR="00A6105F" w:rsidRPr="00FB583E" w:rsidRDefault="00A6105F" w:rsidP="0091350E">
      <w:pPr>
        <w:pStyle w:val="aff"/>
        <w:numPr>
          <w:ilvl w:val="0"/>
          <w:numId w:val="100"/>
        </w:numPr>
        <w:contextualSpacing/>
        <w:rPr>
          <w:szCs w:val="24"/>
        </w:rPr>
      </w:pPr>
      <w:r w:rsidRPr="00FB583E">
        <w:rPr>
          <w:szCs w:val="24"/>
        </w:rPr>
        <w:t>Противоэпилептические – леветирацетамв/в, табл; конвулекс в/в, таб; прегабалин капс; габапентин таб, клоназепам таб; фенобарбитал таб, окскарбазепин таб, ламотриджил таб, диазепам в/в, таб.</w:t>
      </w:r>
    </w:p>
    <w:p w14:paraId="633E87A2" w14:textId="77777777" w:rsidR="00A6105F" w:rsidRPr="00FB583E" w:rsidRDefault="00A6105F" w:rsidP="0091350E">
      <w:pPr>
        <w:pStyle w:val="aff"/>
        <w:numPr>
          <w:ilvl w:val="0"/>
          <w:numId w:val="100"/>
        </w:numPr>
        <w:contextualSpacing/>
        <w:rPr>
          <w:szCs w:val="24"/>
        </w:rPr>
      </w:pPr>
      <w:r w:rsidRPr="00FB583E">
        <w:rPr>
          <w:szCs w:val="24"/>
        </w:rPr>
        <w:t>Нейропротекторная терапия аминофенилмаслянная кислота – фенибут таб</w:t>
      </w:r>
    </w:p>
    <w:p w14:paraId="70E64C6E" w14:textId="77777777" w:rsidR="00A6105F" w:rsidRPr="00FB583E" w:rsidRDefault="00A6105F" w:rsidP="0091350E">
      <w:pPr>
        <w:pStyle w:val="aff"/>
        <w:numPr>
          <w:ilvl w:val="0"/>
          <w:numId w:val="100"/>
        </w:numPr>
        <w:contextualSpacing/>
        <w:rPr>
          <w:szCs w:val="24"/>
        </w:rPr>
      </w:pPr>
      <w:r w:rsidRPr="00FB583E">
        <w:rPr>
          <w:szCs w:val="24"/>
        </w:rPr>
        <w:t>Дофаминэргические препараты: ПК-мерц в/в, таб; наком таб; мирапекс таб; акинетон таб.</w:t>
      </w:r>
    </w:p>
    <w:p w14:paraId="4E0F1E75" w14:textId="77777777" w:rsidR="00A6105F" w:rsidRPr="00FB583E" w:rsidRDefault="00A6105F" w:rsidP="0091350E">
      <w:pPr>
        <w:pStyle w:val="aff"/>
        <w:numPr>
          <w:ilvl w:val="0"/>
          <w:numId w:val="100"/>
        </w:numPr>
        <w:contextualSpacing/>
        <w:rPr>
          <w:szCs w:val="24"/>
        </w:rPr>
      </w:pPr>
      <w:r w:rsidRPr="00FB583E">
        <w:rPr>
          <w:szCs w:val="24"/>
        </w:rPr>
        <w:t>Витаминотерапия – церневит в/в, витамины группы В таб.</w:t>
      </w:r>
    </w:p>
    <w:p w14:paraId="35104A24" w14:textId="77777777" w:rsidR="00A6105F" w:rsidRPr="00FB583E" w:rsidRDefault="00A6105F" w:rsidP="0091350E">
      <w:pPr>
        <w:pStyle w:val="aff"/>
        <w:numPr>
          <w:ilvl w:val="0"/>
          <w:numId w:val="100"/>
        </w:numPr>
        <w:contextualSpacing/>
        <w:rPr>
          <w:szCs w:val="24"/>
        </w:rPr>
      </w:pPr>
      <w:r w:rsidRPr="00FB583E">
        <w:rPr>
          <w:szCs w:val="24"/>
        </w:rPr>
        <w:t xml:space="preserve">Антиоксиданты – альфа-липоевая кислота в/в, капс. </w:t>
      </w:r>
    </w:p>
    <w:p w14:paraId="4CF92689" w14:textId="77777777" w:rsidR="00A6105F" w:rsidRPr="00FB583E" w:rsidRDefault="00A6105F" w:rsidP="0091350E">
      <w:pPr>
        <w:pStyle w:val="aff"/>
        <w:numPr>
          <w:ilvl w:val="0"/>
          <w:numId w:val="100"/>
        </w:numPr>
        <w:contextualSpacing/>
        <w:rPr>
          <w:szCs w:val="24"/>
        </w:rPr>
      </w:pPr>
      <w:r w:rsidRPr="00FB583E">
        <w:rPr>
          <w:szCs w:val="24"/>
        </w:rPr>
        <w:t>Антидепрессанты – по назначению психиатра</w:t>
      </w:r>
    </w:p>
    <w:p w14:paraId="0D483F59" w14:textId="77777777" w:rsidR="00A6105F" w:rsidRPr="00FB583E" w:rsidRDefault="00A6105F" w:rsidP="00A6105F">
      <w:pPr>
        <w:ind w:firstLine="709"/>
        <w:rPr>
          <w:color w:val="000000"/>
          <w:szCs w:val="24"/>
        </w:rPr>
      </w:pPr>
      <w:r w:rsidRPr="00FB583E">
        <w:rPr>
          <w:b/>
          <w:color w:val="000000"/>
          <w:szCs w:val="24"/>
        </w:rPr>
        <w:t xml:space="preserve">Общие принципы профилактики ОНМК по ишемическому типу у гематологических больных - </w:t>
      </w:r>
      <w:r w:rsidRPr="00FB583E">
        <w:rPr>
          <w:szCs w:val="24"/>
        </w:rPr>
        <w:t>см</w:t>
      </w:r>
      <w:r w:rsidRPr="00FB583E">
        <w:rPr>
          <w:color w:val="000000"/>
          <w:szCs w:val="24"/>
        </w:rPr>
        <w:t>. главу «Профилактика, диагностика и лечение тромботических осложнений при гематологических заболеваниях» в настоящем методическом руководстве.</w:t>
      </w:r>
    </w:p>
    <w:p w14:paraId="27B2EA30" w14:textId="77777777" w:rsidR="00A6105F" w:rsidRPr="00FB583E" w:rsidRDefault="00A6105F" w:rsidP="00A6105F">
      <w:pPr>
        <w:ind w:left="360" w:firstLine="348"/>
        <w:rPr>
          <w:szCs w:val="24"/>
        </w:rPr>
      </w:pPr>
    </w:p>
    <w:p w14:paraId="15CEF766" w14:textId="77777777" w:rsidR="00A6105F" w:rsidRPr="00FB583E" w:rsidRDefault="00A6105F" w:rsidP="00A6105F">
      <w:pPr>
        <w:rPr>
          <w:i/>
          <w:szCs w:val="24"/>
          <w:u w:val="single"/>
        </w:rPr>
      </w:pPr>
      <w:r w:rsidRPr="00FB583E">
        <w:rPr>
          <w:i/>
          <w:szCs w:val="24"/>
          <w:u w:val="single"/>
        </w:rPr>
        <w:t xml:space="preserve">Острое нарушение мозгового кровообращения по геморрагическому типу при гематологических заболеваниях. </w:t>
      </w:r>
    </w:p>
    <w:p w14:paraId="3FF5D43A" w14:textId="77777777" w:rsidR="00A6105F" w:rsidRPr="00FB583E" w:rsidRDefault="00A6105F" w:rsidP="00A6105F">
      <w:pPr>
        <w:pStyle w:val="afd"/>
        <w:spacing w:beforeAutospacing="0" w:afterAutospacing="0" w:line="360" w:lineRule="auto"/>
        <w:ind w:firstLine="708"/>
        <w:rPr>
          <w:color w:val="000000"/>
        </w:rPr>
      </w:pPr>
      <w:r w:rsidRPr="00FB583E">
        <w:rPr>
          <w:color w:val="000000"/>
        </w:rPr>
        <w:t xml:space="preserve">ОНМК по геморрагическому типу могут возникнуть у пациентов с любым гематологическим заболеванием, особенно у пациентов с тромбоцитопенией в процессе химиотерапии любых типов лейкозов, лимфом, а также при наличии коагулопатии.   </w:t>
      </w:r>
    </w:p>
    <w:p w14:paraId="54DB9C8C" w14:textId="77777777" w:rsidR="00A6105F" w:rsidRPr="00FB583E" w:rsidRDefault="00A6105F" w:rsidP="00A6105F">
      <w:pPr>
        <w:pStyle w:val="afd"/>
        <w:spacing w:beforeAutospacing="0" w:afterAutospacing="0" w:line="360" w:lineRule="auto"/>
        <w:ind w:firstLine="708"/>
        <w:rPr>
          <w:color w:val="000000"/>
        </w:rPr>
      </w:pPr>
      <w:r w:rsidRPr="00FB583E">
        <w:rPr>
          <w:color w:val="000000"/>
        </w:rPr>
        <w:t xml:space="preserve">Клиническая картина при ОНМК по геморрагическому типу проявляется в виде общемозговой с нарушением сознания и/или осознанности, выраженной головной боли, с менингеальной и очаговой симптоматикой, двигательными и чувствительными нарушениями, эпилептическими припадками. </w:t>
      </w:r>
    </w:p>
    <w:p w14:paraId="08117AC8" w14:textId="77777777" w:rsidR="00A6105F" w:rsidRPr="00FB583E" w:rsidRDefault="00A6105F" w:rsidP="00A6105F">
      <w:pPr>
        <w:ind w:firstLine="708"/>
        <w:rPr>
          <w:color w:val="000000"/>
          <w:szCs w:val="24"/>
        </w:rPr>
      </w:pPr>
      <w:r w:rsidRPr="00FB583E">
        <w:rPr>
          <w:szCs w:val="24"/>
        </w:rPr>
        <w:t xml:space="preserve">Первичная диагностика включает в себя оценку жалоб, анамнеза; оценку функционального статуса по шкале Карновского, оценку неврологического статуса с характеристикой общемозговой и очаговой симптоматики, интеллектуально-мнестических нарушений.  </w:t>
      </w:r>
    </w:p>
    <w:p w14:paraId="21A00EEB" w14:textId="77777777" w:rsidR="00A6105F" w:rsidRPr="00FB583E" w:rsidRDefault="00A6105F" w:rsidP="00A6105F">
      <w:pPr>
        <w:ind w:firstLine="708"/>
        <w:rPr>
          <w:b/>
          <w:szCs w:val="24"/>
        </w:rPr>
      </w:pPr>
      <w:r w:rsidRPr="00FB583E">
        <w:rPr>
          <w:b/>
          <w:szCs w:val="24"/>
        </w:rPr>
        <w:t>Инструментальная диагностика:</w:t>
      </w:r>
    </w:p>
    <w:p w14:paraId="1469130F" w14:textId="77777777" w:rsidR="00A6105F" w:rsidRPr="00FB583E" w:rsidRDefault="00A6105F" w:rsidP="0091350E">
      <w:pPr>
        <w:pStyle w:val="aff"/>
        <w:numPr>
          <w:ilvl w:val="0"/>
          <w:numId w:val="100"/>
        </w:numPr>
        <w:contextualSpacing/>
        <w:rPr>
          <w:szCs w:val="24"/>
        </w:rPr>
      </w:pPr>
      <w:r w:rsidRPr="00FB583E">
        <w:rPr>
          <w:szCs w:val="24"/>
        </w:rPr>
        <w:t>КТ или МРТ головного мозга (с в/в  контрастированием по показаниям)</w:t>
      </w:r>
    </w:p>
    <w:p w14:paraId="1E0CD715" w14:textId="77777777" w:rsidR="00A6105F" w:rsidRPr="00FB583E" w:rsidRDefault="00A6105F" w:rsidP="0091350E">
      <w:pPr>
        <w:pStyle w:val="aff"/>
        <w:numPr>
          <w:ilvl w:val="0"/>
          <w:numId w:val="100"/>
        </w:numPr>
        <w:contextualSpacing/>
        <w:rPr>
          <w:szCs w:val="24"/>
        </w:rPr>
      </w:pPr>
      <w:r w:rsidRPr="00FB583E">
        <w:rPr>
          <w:szCs w:val="24"/>
        </w:rPr>
        <w:t xml:space="preserve">КТ-ангиография для исключения мальформации и аневризмы </w:t>
      </w:r>
    </w:p>
    <w:p w14:paraId="6DA3EFAE" w14:textId="77777777" w:rsidR="00A6105F" w:rsidRPr="00FB583E" w:rsidRDefault="00A6105F" w:rsidP="0091350E">
      <w:pPr>
        <w:pStyle w:val="aff"/>
        <w:numPr>
          <w:ilvl w:val="0"/>
          <w:numId w:val="100"/>
        </w:numPr>
        <w:contextualSpacing/>
        <w:rPr>
          <w:szCs w:val="24"/>
        </w:rPr>
      </w:pPr>
      <w:r w:rsidRPr="00FB583E">
        <w:rPr>
          <w:szCs w:val="24"/>
        </w:rPr>
        <w:t>ЭКГ</w:t>
      </w:r>
    </w:p>
    <w:p w14:paraId="452EE91C" w14:textId="77777777" w:rsidR="00A6105F" w:rsidRPr="00FB583E" w:rsidRDefault="00A6105F" w:rsidP="0091350E">
      <w:pPr>
        <w:pStyle w:val="aff"/>
        <w:numPr>
          <w:ilvl w:val="0"/>
          <w:numId w:val="100"/>
        </w:numPr>
        <w:contextualSpacing/>
        <w:rPr>
          <w:szCs w:val="24"/>
        </w:rPr>
      </w:pPr>
      <w:r w:rsidRPr="00FB583E">
        <w:rPr>
          <w:szCs w:val="24"/>
        </w:rPr>
        <w:t>Эхо-КГ</w:t>
      </w:r>
    </w:p>
    <w:p w14:paraId="33B1BD9A" w14:textId="77777777" w:rsidR="00A6105F" w:rsidRPr="00FB583E" w:rsidRDefault="00A6105F" w:rsidP="0091350E">
      <w:pPr>
        <w:pStyle w:val="aff"/>
        <w:numPr>
          <w:ilvl w:val="0"/>
          <w:numId w:val="100"/>
        </w:numPr>
        <w:contextualSpacing/>
        <w:rPr>
          <w:szCs w:val="24"/>
        </w:rPr>
      </w:pPr>
      <w:r w:rsidRPr="00FB583E">
        <w:rPr>
          <w:szCs w:val="24"/>
        </w:rPr>
        <w:t xml:space="preserve">УЗДГ брахиоцефальных артерий и вен </w:t>
      </w:r>
    </w:p>
    <w:p w14:paraId="44C37C09" w14:textId="77777777" w:rsidR="00A6105F" w:rsidRPr="00FB583E" w:rsidRDefault="00A6105F" w:rsidP="0091350E">
      <w:pPr>
        <w:pStyle w:val="aff"/>
        <w:numPr>
          <w:ilvl w:val="0"/>
          <w:numId w:val="100"/>
        </w:numPr>
        <w:contextualSpacing/>
        <w:rPr>
          <w:szCs w:val="24"/>
        </w:rPr>
      </w:pPr>
      <w:r w:rsidRPr="00FB583E">
        <w:rPr>
          <w:szCs w:val="24"/>
        </w:rPr>
        <w:t>КТ грудной клетки</w:t>
      </w:r>
    </w:p>
    <w:p w14:paraId="1A7A3CDD" w14:textId="77777777" w:rsidR="00A6105F" w:rsidRPr="00FB583E" w:rsidRDefault="00A6105F" w:rsidP="0091350E">
      <w:pPr>
        <w:pStyle w:val="aff"/>
        <w:numPr>
          <w:ilvl w:val="0"/>
          <w:numId w:val="100"/>
        </w:numPr>
        <w:contextualSpacing/>
        <w:rPr>
          <w:szCs w:val="24"/>
        </w:rPr>
      </w:pPr>
      <w:r w:rsidRPr="00FB583E">
        <w:rPr>
          <w:szCs w:val="24"/>
        </w:rPr>
        <w:t>ЭЭГ с функциональными пробами для определения функционального состояния головного мозга и исключения эпиактивности</w:t>
      </w:r>
    </w:p>
    <w:p w14:paraId="5E7DAAB9" w14:textId="77777777" w:rsidR="00A6105F" w:rsidRPr="00FB583E" w:rsidRDefault="00A6105F" w:rsidP="0091350E">
      <w:pPr>
        <w:pStyle w:val="aff"/>
        <w:numPr>
          <w:ilvl w:val="0"/>
          <w:numId w:val="100"/>
        </w:numPr>
        <w:contextualSpacing/>
        <w:rPr>
          <w:szCs w:val="24"/>
        </w:rPr>
      </w:pPr>
      <w:r w:rsidRPr="00FB583E">
        <w:rPr>
          <w:szCs w:val="24"/>
        </w:rPr>
        <w:t>ВП различной модальности: ЗВП, КВП, КАСВП, ССВП (по показаниям)</w:t>
      </w:r>
    </w:p>
    <w:p w14:paraId="160B5D24" w14:textId="77777777" w:rsidR="00A6105F" w:rsidRPr="00FB583E" w:rsidRDefault="00A6105F" w:rsidP="0091350E">
      <w:pPr>
        <w:pStyle w:val="aff"/>
        <w:numPr>
          <w:ilvl w:val="0"/>
          <w:numId w:val="100"/>
        </w:numPr>
        <w:contextualSpacing/>
        <w:rPr>
          <w:szCs w:val="24"/>
        </w:rPr>
      </w:pPr>
      <w:r w:rsidRPr="00FB583E">
        <w:rPr>
          <w:szCs w:val="24"/>
        </w:rPr>
        <w:t>ТКМС (по показаниям)</w:t>
      </w:r>
    </w:p>
    <w:p w14:paraId="4D00F110" w14:textId="77777777" w:rsidR="00A6105F" w:rsidRPr="00FB583E" w:rsidRDefault="00A6105F" w:rsidP="00A6105F">
      <w:pPr>
        <w:ind w:firstLine="708"/>
        <w:rPr>
          <w:b/>
          <w:szCs w:val="24"/>
        </w:rPr>
      </w:pPr>
      <w:r w:rsidRPr="00FB583E">
        <w:rPr>
          <w:b/>
          <w:szCs w:val="24"/>
        </w:rPr>
        <w:t>Консультации специалистов:</w:t>
      </w:r>
    </w:p>
    <w:p w14:paraId="382CDB7D" w14:textId="77777777" w:rsidR="00A6105F" w:rsidRPr="00FB583E" w:rsidRDefault="00A6105F" w:rsidP="0091350E">
      <w:pPr>
        <w:pStyle w:val="aff"/>
        <w:numPr>
          <w:ilvl w:val="0"/>
          <w:numId w:val="100"/>
        </w:numPr>
        <w:contextualSpacing/>
        <w:rPr>
          <w:szCs w:val="24"/>
        </w:rPr>
      </w:pPr>
      <w:r w:rsidRPr="00FB583E">
        <w:rPr>
          <w:szCs w:val="24"/>
        </w:rPr>
        <w:t>нейрохирург</w:t>
      </w:r>
    </w:p>
    <w:p w14:paraId="2BED1ABC" w14:textId="77777777" w:rsidR="00A6105F" w:rsidRPr="00FB583E" w:rsidRDefault="00A6105F" w:rsidP="0091350E">
      <w:pPr>
        <w:pStyle w:val="aff"/>
        <w:numPr>
          <w:ilvl w:val="0"/>
          <w:numId w:val="100"/>
        </w:numPr>
        <w:contextualSpacing/>
        <w:rPr>
          <w:szCs w:val="24"/>
        </w:rPr>
      </w:pPr>
      <w:r w:rsidRPr="00FB583E">
        <w:rPr>
          <w:szCs w:val="24"/>
        </w:rPr>
        <w:t>невролог</w:t>
      </w:r>
    </w:p>
    <w:p w14:paraId="42276D59" w14:textId="77777777" w:rsidR="00A6105F" w:rsidRPr="00FB583E" w:rsidRDefault="00A6105F" w:rsidP="0091350E">
      <w:pPr>
        <w:pStyle w:val="aff"/>
        <w:numPr>
          <w:ilvl w:val="0"/>
          <w:numId w:val="100"/>
        </w:numPr>
        <w:contextualSpacing/>
        <w:rPr>
          <w:szCs w:val="24"/>
        </w:rPr>
      </w:pPr>
      <w:r w:rsidRPr="00FB583E">
        <w:rPr>
          <w:szCs w:val="24"/>
        </w:rPr>
        <w:t>ангиохирург</w:t>
      </w:r>
    </w:p>
    <w:p w14:paraId="7D9ABB02" w14:textId="77777777" w:rsidR="00A6105F" w:rsidRPr="00FB583E" w:rsidRDefault="00A6105F" w:rsidP="0091350E">
      <w:pPr>
        <w:pStyle w:val="aff"/>
        <w:numPr>
          <w:ilvl w:val="0"/>
          <w:numId w:val="100"/>
        </w:numPr>
        <w:contextualSpacing/>
        <w:rPr>
          <w:szCs w:val="24"/>
        </w:rPr>
      </w:pPr>
      <w:r w:rsidRPr="00FB583E">
        <w:rPr>
          <w:szCs w:val="24"/>
        </w:rPr>
        <w:t>офтальмолог</w:t>
      </w:r>
    </w:p>
    <w:p w14:paraId="3405271A" w14:textId="77777777" w:rsidR="00A6105F" w:rsidRPr="00FB583E" w:rsidRDefault="00A6105F" w:rsidP="0091350E">
      <w:pPr>
        <w:pStyle w:val="aff"/>
        <w:numPr>
          <w:ilvl w:val="0"/>
          <w:numId w:val="100"/>
        </w:numPr>
        <w:contextualSpacing/>
        <w:rPr>
          <w:szCs w:val="24"/>
        </w:rPr>
      </w:pPr>
      <w:r w:rsidRPr="00FB583E">
        <w:rPr>
          <w:szCs w:val="24"/>
        </w:rPr>
        <w:t>кардиолог по показаниям</w:t>
      </w:r>
    </w:p>
    <w:p w14:paraId="44B9CF29" w14:textId="77777777" w:rsidR="00A6105F" w:rsidRPr="00FB583E" w:rsidRDefault="00A6105F" w:rsidP="0091350E">
      <w:pPr>
        <w:pStyle w:val="aff"/>
        <w:numPr>
          <w:ilvl w:val="0"/>
          <w:numId w:val="100"/>
        </w:numPr>
        <w:contextualSpacing/>
        <w:rPr>
          <w:szCs w:val="24"/>
        </w:rPr>
      </w:pPr>
      <w:r w:rsidRPr="00FB583E">
        <w:rPr>
          <w:szCs w:val="24"/>
        </w:rPr>
        <w:t>психиатр по показаниям</w:t>
      </w:r>
    </w:p>
    <w:p w14:paraId="274D3302" w14:textId="77777777" w:rsidR="00A6105F" w:rsidRPr="00FB583E" w:rsidRDefault="00A6105F" w:rsidP="0091350E">
      <w:pPr>
        <w:pStyle w:val="aff"/>
        <w:numPr>
          <w:ilvl w:val="0"/>
          <w:numId w:val="100"/>
        </w:numPr>
        <w:contextualSpacing/>
        <w:rPr>
          <w:szCs w:val="24"/>
        </w:rPr>
      </w:pPr>
      <w:r w:rsidRPr="00FB583E">
        <w:rPr>
          <w:szCs w:val="24"/>
        </w:rPr>
        <w:t xml:space="preserve"> психолог по показаниям</w:t>
      </w:r>
    </w:p>
    <w:p w14:paraId="57AAA8C5" w14:textId="77777777" w:rsidR="00A6105F" w:rsidRPr="00FB583E" w:rsidRDefault="00A6105F" w:rsidP="0091350E">
      <w:pPr>
        <w:pStyle w:val="aff"/>
        <w:numPr>
          <w:ilvl w:val="0"/>
          <w:numId w:val="100"/>
        </w:numPr>
        <w:contextualSpacing/>
        <w:rPr>
          <w:szCs w:val="24"/>
        </w:rPr>
      </w:pPr>
      <w:r w:rsidRPr="00FB583E">
        <w:rPr>
          <w:szCs w:val="24"/>
        </w:rPr>
        <w:t>кинезиотерапевт по показаниям</w:t>
      </w:r>
    </w:p>
    <w:p w14:paraId="49196DA0" w14:textId="77777777" w:rsidR="00A6105F" w:rsidRPr="00FB583E" w:rsidRDefault="00A6105F" w:rsidP="00A6105F">
      <w:pPr>
        <w:ind w:firstLine="708"/>
        <w:rPr>
          <w:b/>
          <w:szCs w:val="24"/>
        </w:rPr>
      </w:pPr>
      <w:r w:rsidRPr="00FB583E">
        <w:rPr>
          <w:b/>
          <w:szCs w:val="24"/>
        </w:rPr>
        <w:t xml:space="preserve">Лечение ОНМК по геморрагическому типу </w:t>
      </w:r>
    </w:p>
    <w:p w14:paraId="6F8F67B7" w14:textId="2016BBED" w:rsidR="00A6105F" w:rsidRPr="00FB583E" w:rsidRDefault="00A6105F" w:rsidP="0091350E">
      <w:pPr>
        <w:pStyle w:val="aff"/>
        <w:numPr>
          <w:ilvl w:val="0"/>
          <w:numId w:val="100"/>
        </w:numPr>
        <w:contextualSpacing/>
        <w:rPr>
          <w:szCs w:val="24"/>
        </w:rPr>
      </w:pPr>
      <w:r w:rsidRPr="00FB583E">
        <w:rPr>
          <w:szCs w:val="24"/>
        </w:rPr>
        <w:t>Оперативное лечение по показаниям (тактика нейрохирургического лечения внутричерепных геморрагических осложнений – см.</w:t>
      </w:r>
      <w:r w:rsidR="007552CD">
        <w:rPr>
          <w:szCs w:val="24"/>
        </w:rPr>
        <w:t xml:space="preserve"> раздел 7.7</w:t>
      </w:r>
      <w:r w:rsidRPr="00FB583E">
        <w:rPr>
          <w:szCs w:val="24"/>
        </w:rPr>
        <w:t>).</w:t>
      </w:r>
    </w:p>
    <w:p w14:paraId="6B8ADA74" w14:textId="77777777" w:rsidR="00A6105F" w:rsidRPr="00FB583E" w:rsidRDefault="00A6105F" w:rsidP="0091350E">
      <w:pPr>
        <w:pStyle w:val="aff"/>
        <w:numPr>
          <w:ilvl w:val="0"/>
          <w:numId w:val="100"/>
        </w:numPr>
        <w:contextualSpacing/>
        <w:rPr>
          <w:szCs w:val="24"/>
        </w:rPr>
      </w:pPr>
      <w:r w:rsidRPr="00FB583E">
        <w:rPr>
          <w:szCs w:val="24"/>
        </w:rPr>
        <w:t>Наблюдение в условиях реанимационного отделения по показаниям</w:t>
      </w:r>
    </w:p>
    <w:p w14:paraId="48EB8176" w14:textId="77777777" w:rsidR="00A6105F" w:rsidRPr="00FB583E" w:rsidRDefault="00A6105F" w:rsidP="0091350E">
      <w:pPr>
        <w:pStyle w:val="aff"/>
        <w:numPr>
          <w:ilvl w:val="0"/>
          <w:numId w:val="100"/>
        </w:numPr>
        <w:contextualSpacing/>
        <w:rPr>
          <w:szCs w:val="24"/>
        </w:rPr>
      </w:pPr>
      <w:r w:rsidRPr="00FB583E">
        <w:rPr>
          <w:szCs w:val="24"/>
        </w:rPr>
        <w:t xml:space="preserve">Противоотечная терапия – маннитол в/в, фуросемид в/в </w:t>
      </w:r>
    </w:p>
    <w:p w14:paraId="0DD2664F" w14:textId="31D15700" w:rsidR="00A6105F" w:rsidRPr="00FB583E" w:rsidRDefault="00A6105F" w:rsidP="0091350E">
      <w:pPr>
        <w:pStyle w:val="aff"/>
        <w:numPr>
          <w:ilvl w:val="0"/>
          <w:numId w:val="100"/>
        </w:numPr>
        <w:contextualSpacing/>
        <w:rPr>
          <w:szCs w:val="24"/>
        </w:rPr>
      </w:pPr>
      <w:r w:rsidRPr="00FB583E">
        <w:rPr>
          <w:szCs w:val="24"/>
        </w:rPr>
        <w:t xml:space="preserve">Гемотрансфузионная терапия по показаниям </w:t>
      </w:r>
      <w:r w:rsidR="007552CD">
        <w:rPr>
          <w:szCs w:val="24"/>
        </w:rPr>
        <w:t>–</w:t>
      </w:r>
      <w:r w:rsidRPr="00FB583E">
        <w:rPr>
          <w:szCs w:val="24"/>
        </w:rPr>
        <w:t xml:space="preserve"> трансфузии тромбоконцентрата, свежезамороженной плазмы, криопреципитата, эритроцитсодержащих компонентов крови.</w:t>
      </w:r>
    </w:p>
    <w:p w14:paraId="5BABA164" w14:textId="6678DDE2" w:rsidR="00A6105F" w:rsidRPr="00FB583E" w:rsidRDefault="00A6105F" w:rsidP="0091350E">
      <w:pPr>
        <w:pStyle w:val="aff"/>
        <w:numPr>
          <w:ilvl w:val="0"/>
          <w:numId w:val="100"/>
        </w:numPr>
        <w:contextualSpacing/>
        <w:rPr>
          <w:szCs w:val="24"/>
        </w:rPr>
      </w:pPr>
      <w:r w:rsidRPr="00FB583E">
        <w:rPr>
          <w:szCs w:val="24"/>
        </w:rPr>
        <w:t>Противоэпилептические по показаниям – леветирацетамв/в, табл; конвулекс в/в, таб; прегабалин капс</w:t>
      </w:r>
      <w:r w:rsidR="007552CD">
        <w:rPr>
          <w:szCs w:val="24"/>
        </w:rPr>
        <w:t>.</w:t>
      </w:r>
      <w:r w:rsidRPr="00FB583E">
        <w:rPr>
          <w:szCs w:val="24"/>
        </w:rPr>
        <w:t>; габапентин таб</w:t>
      </w:r>
      <w:r w:rsidR="007552CD">
        <w:rPr>
          <w:szCs w:val="24"/>
        </w:rPr>
        <w:t>.</w:t>
      </w:r>
      <w:r w:rsidRPr="00FB583E">
        <w:rPr>
          <w:szCs w:val="24"/>
        </w:rPr>
        <w:t>, клоназепам таб; фенобарбитал таб, окскарбазепин таб, ламотриджил таб, диазепам в/в, таб.</w:t>
      </w:r>
    </w:p>
    <w:p w14:paraId="625B581C" w14:textId="77777777" w:rsidR="00A6105F" w:rsidRPr="00FB583E" w:rsidRDefault="00A6105F" w:rsidP="0091350E">
      <w:pPr>
        <w:pStyle w:val="aff"/>
        <w:numPr>
          <w:ilvl w:val="0"/>
          <w:numId w:val="100"/>
        </w:numPr>
        <w:contextualSpacing/>
        <w:rPr>
          <w:szCs w:val="24"/>
        </w:rPr>
      </w:pPr>
      <w:r w:rsidRPr="00FB583E">
        <w:rPr>
          <w:szCs w:val="24"/>
        </w:rPr>
        <w:t>Антидепрессанты – по назначению психиатра по показаниям</w:t>
      </w:r>
    </w:p>
    <w:p w14:paraId="655021C1" w14:textId="77777777" w:rsidR="00A6105F" w:rsidRPr="00FB583E" w:rsidRDefault="00A6105F" w:rsidP="00A6105F">
      <w:pPr>
        <w:pStyle w:val="aff"/>
        <w:rPr>
          <w:b/>
          <w:szCs w:val="24"/>
        </w:rPr>
      </w:pPr>
    </w:p>
    <w:p w14:paraId="4E2BE56B" w14:textId="77777777" w:rsidR="00A6105F" w:rsidRPr="00FB583E" w:rsidRDefault="00A6105F" w:rsidP="00A6105F">
      <w:pPr>
        <w:rPr>
          <w:i/>
          <w:szCs w:val="24"/>
          <w:u w:val="single"/>
        </w:rPr>
      </w:pPr>
      <w:r w:rsidRPr="00FB583E">
        <w:rPr>
          <w:i/>
          <w:szCs w:val="24"/>
          <w:u w:val="single"/>
        </w:rPr>
        <w:t>Полиневропатии при гематологических заболеваниях.</w:t>
      </w:r>
    </w:p>
    <w:p w14:paraId="050D20D4" w14:textId="77777777" w:rsidR="00A6105F" w:rsidRPr="00FB583E" w:rsidRDefault="00A6105F" w:rsidP="00A6105F">
      <w:pPr>
        <w:pStyle w:val="Default"/>
        <w:spacing w:line="360" w:lineRule="auto"/>
        <w:ind w:firstLine="709"/>
        <w:jc w:val="both"/>
      </w:pPr>
      <w:r w:rsidRPr="00FB583E">
        <w:t xml:space="preserve">Полиневропатии выявляются в 50-70% случаев у гематологических пациентов и характеризуются системным поражением моторных, сенсорных и вегетативных периферических нервов. По патогенетическому признаку полиневропатии разделяют на демиелинизирующие, аксональные и сочетанные. У гематологических пациентов по этиологическому фактору преобладают аутоиммунные, метаболические, инфекционные, токсические и сочетанные: </w:t>
      </w:r>
    </w:p>
    <w:p w14:paraId="63B10828" w14:textId="77777777" w:rsidR="00A6105F" w:rsidRPr="00FB583E" w:rsidRDefault="00A6105F" w:rsidP="0091350E">
      <w:pPr>
        <w:pStyle w:val="aff"/>
        <w:numPr>
          <w:ilvl w:val="0"/>
          <w:numId w:val="100"/>
        </w:numPr>
        <w:contextualSpacing/>
        <w:rPr>
          <w:szCs w:val="24"/>
        </w:rPr>
      </w:pPr>
      <w:r w:rsidRPr="00FB583E">
        <w:rPr>
          <w:szCs w:val="24"/>
        </w:rPr>
        <w:t>парапротеинемические полиневропатии</w:t>
      </w:r>
    </w:p>
    <w:p w14:paraId="1992C7A4" w14:textId="77777777" w:rsidR="00A6105F" w:rsidRPr="00FB583E" w:rsidRDefault="00A6105F" w:rsidP="0091350E">
      <w:pPr>
        <w:pStyle w:val="aff"/>
        <w:numPr>
          <w:ilvl w:val="0"/>
          <w:numId w:val="100"/>
        </w:numPr>
        <w:contextualSpacing/>
        <w:rPr>
          <w:szCs w:val="24"/>
        </w:rPr>
      </w:pPr>
      <w:r w:rsidRPr="00FB583E">
        <w:rPr>
          <w:szCs w:val="24"/>
        </w:rPr>
        <w:t xml:space="preserve">полиневропатии при нейролейкемии </w:t>
      </w:r>
    </w:p>
    <w:p w14:paraId="2F01A1A4" w14:textId="77777777" w:rsidR="00A6105F" w:rsidRPr="00FB583E" w:rsidRDefault="00A6105F" w:rsidP="0091350E">
      <w:pPr>
        <w:pStyle w:val="aff"/>
        <w:numPr>
          <w:ilvl w:val="0"/>
          <w:numId w:val="100"/>
        </w:numPr>
        <w:contextualSpacing/>
        <w:rPr>
          <w:szCs w:val="24"/>
        </w:rPr>
      </w:pPr>
      <w:r w:rsidRPr="00FB583E">
        <w:rPr>
          <w:szCs w:val="24"/>
        </w:rPr>
        <w:t>паранеопластические полиневропатии</w:t>
      </w:r>
    </w:p>
    <w:p w14:paraId="6CA2D9DB" w14:textId="77777777" w:rsidR="00A6105F" w:rsidRPr="00FB583E" w:rsidRDefault="00A6105F" w:rsidP="0091350E">
      <w:pPr>
        <w:pStyle w:val="aff"/>
        <w:numPr>
          <w:ilvl w:val="0"/>
          <w:numId w:val="100"/>
        </w:numPr>
        <w:contextualSpacing/>
        <w:rPr>
          <w:szCs w:val="24"/>
        </w:rPr>
      </w:pPr>
      <w:r w:rsidRPr="00FB583E">
        <w:rPr>
          <w:szCs w:val="24"/>
        </w:rPr>
        <w:t xml:space="preserve"> метаболические полиневропатии</w:t>
      </w:r>
    </w:p>
    <w:p w14:paraId="3E8C9920" w14:textId="77777777" w:rsidR="00A6105F" w:rsidRPr="00FB583E" w:rsidRDefault="00A6105F" w:rsidP="0091350E">
      <w:pPr>
        <w:pStyle w:val="aff"/>
        <w:numPr>
          <w:ilvl w:val="0"/>
          <w:numId w:val="100"/>
        </w:numPr>
        <w:contextualSpacing/>
        <w:rPr>
          <w:szCs w:val="24"/>
        </w:rPr>
      </w:pPr>
      <w:r w:rsidRPr="00FB583E">
        <w:rPr>
          <w:szCs w:val="24"/>
        </w:rPr>
        <w:t xml:space="preserve">диабетическая полиневропатия на фоне гормональной терапии </w:t>
      </w:r>
    </w:p>
    <w:p w14:paraId="32DB3020" w14:textId="77777777" w:rsidR="00A6105F" w:rsidRPr="00FB583E" w:rsidRDefault="00A6105F" w:rsidP="0091350E">
      <w:pPr>
        <w:pStyle w:val="aff"/>
        <w:numPr>
          <w:ilvl w:val="0"/>
          <w:numId w:val="100"/>
        </w:numPr>
        <w:contextualSpacing/>
        <w:rPr>
          <w:szCs w:val="24"/>
        </w:rPr>
      </w:pPr>
      <w:r w:rsidRPr="00FB583E">
        <w:rPr>
          <w:szCs w:val="24"/>
        </w:rPr>
        <w:t>полиневропатия при других эндокринных заболеваниях</w:t>
      </w:r>
    </w:p>
    <w:p w14:paraId="1DD20AC0" w14:textId="77777777" w:rsidR="00A6105F" w:rsidRPr="00FB583E" w:rsidRDefault="00A6105F" w:rsidP="0091350E">
      <w:pPr>
        <w:pStyle w:val="aff"/>
        <w:numPr>
          <w:ilvl w:val="0"/>
          <w:numId w:val="100"/>
        </w:numPr>
        <w:contextualSpacing/>
        <w:rPr>
          <w:szCs w:val="24"/>
        </w:rPr>
      </w:pPr>
      <w:r w:rsidRPr="00FB583E">
        <w:rPr>
          <w:szCs w:val="24"/>
        </w:rPr>
        <w:t>уремическая полиневропатия</w:t>
      </w:r>
    </w:p>
    <w:p w14:paraId="1DF33A66" w14:textId="77777777" w:rsidR="00A6105F" w:rsidRPr="00FB583E" w:rsidRDefault="00A6105F" w:rsidP="0091350E">
      <w:pPr>
        <w:pStyle w:val="aff"/>
        <w:numPr>
          <w:ilvl w:val="0"/>
          <w:numId w:val="100"/>
        </w:numPr>
        <w:contextualSpacing/>
        <w:rPr>
          <w:szCs w:val="24"/>
        </w:rPr>
      </w:pPr>
      <w:r w:rsidRPr="00FB583E">
        <w:rPr>
          <w:szCs w:val="24"/>
        </w:rPr>
        <w:t>печеночная полиневропатия</w:t>
      </w:r>
    </w:p>
    <w:p w14:paraId="17141BF2" w14:textId="77777777" w:rsidR="00A6105F" w:rsidRPr="00FB583E" w:rsidRDefault="00A6105F" w:rsidP="0091350E">
      <w:pPr>
        <w:pStyle w:val="aff"/>
        <w:numPr>
          <w:ilvl w:val="0"/>
          <w:numId w:val="100"/>
        </w:numPr>
        <w:contextualSpacing/>
        <w:rPr>
          <w:szCs w:val="24"/>
        </w:rPr>
      </w:pPr>
      <w:r w:rsidRPr="00FB583E">
        <w:rPr>
          <w:szCs w:val="24"/>
        </w:rPr>
        <w:t>полиневропатия при первичном системном амилоидозе</w:t>
      </w:r>
    </w:p>
    <w:p w14:paraId="7980D1ED" w14:textId="77777777" w:rsidR="00A6105F" w:rsidRPr="00FB583E" w:rsidRDefault="00A6105F" w:rsidP="0091350E">
      <w:pPr>
        <w:pStyle w:val="aff"/>
        <w:numPr>
          <w:ilvl w:val="0"/>
          <w:numId w:val="100"/>
        </w:numPr>
        <w:contextualSpacing/>
        <w:rPr>
          <w:szCs w:val="24"/>
        </w:rPr>
      </w:pPr>
      <w:r w:rsidRPr="00FB583E">
        <w:rPr>
          <w:szCs w:val="24"/>
        </w:rPr>
        <w:t>полиневропатии, связанные с дефицитом витаминов группы В</w:t>
      </w:r>
    </w:p>
    <w:p w14:paraId="5E026815" w14:textId="77777777" w:rsidR="00A6105F" w:rsidRPr="00FB583E" w:rsidRDefault="00A6105F" w:rsidP="0091350E">
      <w:pPr>
        <w:pStyle w:val="aff"/>
        <w:numPr>
          <w:ilvl w:val="0"/>
          <w:numId w:val="100"/>
        </w:numPr>
        <w:contextualSpacing/>
        <w:rPr>
          <w:szCs w:val="24"/>
        </w:rPr>
      </w:pPr>
      <w:r w:rsidRPr="00FB583E">
        <w:rPr>
          <w:szCs w:val="24"/>
        </w:rPr>
        <w:t>токсические полиневропатии</w:t>
      </w:r>
    </w:p>
    <w:p w14:paraId="1D5FD88E" w14:textId="77777777" w:rsidR="00A6105F" w:rsidRPr="00FB583E" w:rsidRDefault="00A6105F" w:rsidP="0091350E">
      <w:pPr>
        <w:pStyle w:val="aff"/>
        <w:numPr>
          <w:ilvl w:val="0"/>
          <w:numId w:val="100"/>
        </w:numPr>
        <w:contextualSpacing/>
        <w:rPr>
          <w:szCs w:val="24"/>
        </w:rPr>
      </w:pPr>
      <w:r w:rsidRPr="00FB583E">
        <w:rPr>
          <w:szCs w:val="24"/>
        </w:rPr>
        <w:t>лекарственные полиневропатии</w:t>
      </w:r>
    </w:p>
    <w:p w14:paraId="01037AC9" w14:textId="77777777" w:rsidR="00A6105F" w:rsidRPr="00FB583E" w:rsidRDefault="00A6105F" w:rsidP="0091350E">
      <w:pPr>
        <w:pStyle w:val="aff"/>
        <w:numPr>
          <w:ilvl w:val="0"/>
          <w:numId w:val="100"/>
        </w:numPr>
        <w:contextualSpacing/>
        <w:rPr>
          <w:szCs w:val="24"/>
        </w:rPr>
      </w:pPr>
      <w:r w:rsidRPr="00FB583E">
        <w:rPr>
          <w:szCs w:val="24"/>
        </w:rPr>
        <w:t xml:space="preserve">полиневропатии критических состояний </w:t>
      </w:r>
    </w:p>
    <w:p w14:paraId="7D8A1129" w14:textId="77777777" w:rsidR="00A6105F" w:rsidRPr="00FB583E" w:rsidRDefault="00A6105F" w:rsidP="0091350E">
      <w:pPr>
        <w:pStyle w:val="aff"/>
        <w:numPr>
          <w:ilvl w:val="0"/>
          <w:numId w:val="100"/>
        </w:numPr>
        <w:contextualSpacing/>
        <w:rPr>
          <w:szCs w:val="24"/>
        </w:rPr>
      </w:pPr>
      <w:r w:rsidRPr="00FB583E">
        <w:rPr>
          <w:szCs w:val="24"/>
        </w:rPr>
        <w:t xml:space="preserve">полиневропатии при системных заболеваниях </w:t>
      </w:r>
    </w:p>
    <w:p w14:paraId="34C14F2D" w14:textId="77777777" w:rsidR="00A6105F" w:rsidRPr="00FB583E" w:rsidRDefault="00A6105F" w:rsidP="0091350E">
      <w:pPr>
        <w:pStyle w:val="aff"/>
        <w:numPr>
          <w:ilvl w:val="0"/>
          <w:numId w:val="100"/>
        </w:numPr>
        <w:contextualSpacing/>
        <w:rPr>
          <w:szCs w:val="24"/>
        </w:rPr>
      </w:pPr>
      <w:r w:rsidRPr="00FB583E">
        <w:rPr>
          <w:szCs w:val="24"/>
        </w:rPr>
        <w:t>инфекционно-токсические полиневропатии</w:t>
      </w:r>
    </w:p>
    <w:p w14:paraId="77074B55" w14:textId="77777777" w:rsidR="00A6105F" w:rsidRPr="00FB583E" w:rsidRDefault="00A6105F" w:rsidP="00A6105F">
      <w:pPr>
        <w:ind w:firstLine="708"/>
        <w:rPr>
          <w:szCs w:val="24"/>
        </w:rPr>
      </w:pPr>
      <w:r w:rsidRPr="00FB583E">
        <w:rPr>
          <w:b/>
          <w:szCs w:val="24"/>
        </w:rPr>
        <w:t>Клиническая картина полиневропатии</w:t>
      </w:r>
      <w:r w:rsidRPr="00FB583E">
        <w:rPr>
          <w:szCs w:val="24"/>
        </w:rPr>
        <w:t xml:space="preserve"> зависит от этиологического фактора, патогенеза и степени поражения различных волокон. В неврологическом статусе могут выявляться моторные, сенсорные и вегетативные симптомы и их сочетания. </w:t>
      </w:r>
      <w:r w:rsidRPr="00FB583E">
        <w:rPr>
          <w:color w:val="000000"/>
          <w:szCs w:val="24"/>
        </w:rPr>
        <w:t>Поражение моторных волокон приводит к развитию вялых парезов с последующим развитием мышечной атрофии.</w:t>
      </w:r>
      <w:r w:rsidRPr="00FB583E">
        <w:rPr>
          <w:szCs w:val="24"/>
        </w:rPr>
        <w:t xml:space="preserve"> Сенсорные поражения характеризуются нарушением всех видов чувствительности и болевой симптоматикой. Нарушение вегетативных функций проявляется сухостью кожных покровов или гипергидрозом, нарушением регуляции сосудистого тонуса; поражением висцеральных вегетативных волокон. Отмечается также поражение черепных нервов. </w:t>
      </w:r>
    </w:p>
    <w:p w14:paraId="6DE201D9" w14:textId="77777777" w:rsidR="00A6105F" w:rsidRPr="00FB583E" w:rsidRDefault="00A6105F" w:rsidP="00A6105F">
      <w:pPr>
        <w:ind w:firstLine="708"/>
        <w:rPr>
          <w:szCs w:val="24"/>
        </w:rPr>
      </w:pPr>
      <w:r w:rsidRPr="00FB583E">
        <w:rPr>
          <w:b/>
          <w:szCs w:val="24"/>
        </w:rPr>
        <w:t>Первичная диагностика</w:t>
      </w:r>
      <w:r w:rsidRPr="00FB583E">
        <w:rPr>
          <w:szCs w:val="24"/>
        </w:rPr>
        <w:t xml:space="preserve"> включает в себя оценку жалоб, анамнеза, оценку функционального статуса по шкале Карновского, оценку неврологического статуса с характеристикой общемозговой и очаговой симптоматики, оценку степени тяжести моторных, сенсорных и вегетативных нарушений. </w:t>
      </w:r>
    </w:p>
    <w:p w14:paraId="126DD959" w14:textId="77777777" w:rsidR="00A6105F" w:rsidRPr="00FB583E" w:rsidRDefault="00A6105F" w:rsidP="00A6105F">
      <w:pPr>
        <w:pStyle w:val="aff"/>
        <w:ind w:left="0" w:firstLine="709"/>
        <w:rPr>
          <w:szCs w:val="24"/>
        </w:rPr>
      </w:pPr>
      <w:r w:rsidRPr="00FB583E">
        <w:rPr>
          <w:b/>
          <w:szCs w:val="24"/>
        </w:rPr>
        <w:t>Лабораторные исследования:</w:t>
      </w:r>
      <w:r w:rsidRPr="00FB583E">
        <w:rPr>
          <w:szCs w:val="24"/>
        </w:rPr>
        <w:t xml:space="preserve"> </w:t>
      </w:r>
    </w:p>
    <w:p w14:paraId="1B37D405" w14:textId="77777777" w:rsidR="00A6105F" w:rsidRPr="00FB583E" w:rsidRDefault="00A6105F" w:rsidP="0091350E">
      <w:pPr>
        <w:pStyle w:val="aff"/>
        <w:numPr>
          <w:ilvl w:val="0"/>
          <w:numId w:val="100"/>
        </w:numPr>
        <w:contextualSpacing/>
        <w:rPr>
          <w:szCs w:val="24"/>
        </w:rPr>
      </w:pPr>
      <w:r w:rsidRPr="00FB583E">
        <w:rPr>
          <w:szCs w:val="24"/>
        </w:rPr>
        <w:t>Клинический анализ крови, морфологическое исследование мазка крови</w:t>
      </w:r>
    </w:p>
    <w:p w14:paraId="47CD8F7E" w14:textId="77777777" w:rsidR="00A6105F" w:rsidRPr="00FB583E" w:rsidRDefault="00A6105F" w:rsidP="0091350E">
      <w:pPr>
        <w:pStyle w:val="aff"/>
        <w:numPr>
          <w:ilvl w:val="0"/>
          <w:numId w:val="100"/>
        </w:numPr>
        <w:contextualSpacing/>
        <w:rPr>
          <w:szCs w:val="24"/>
        </w:rPr>
      </w:pPr>
      <w:r w:rsidRPr="00FB583E">
        <w:rPr>
          <w:szCs w:val="24"/>
        </w:rPr>
        <w:t>Общий анализ мочи</w:t>
      </w:r>
    </w:p>
    <w:p w14:paraId="3406C026" w14:textId="77777777" w:rsidR="00A6105F" w:rsidRPr="00FB583E" w:rsidRDefault="00A6105F" w:rsidP="0091350E">
      <w:pPr>
        <w:pStyle w:val="aff"/>
        <w:numPr>
          <w:ilvl w:val="0"/>
          <w:numId w:val="100"/>
        </w:numPr>
        <w:contextualSpacing/>
        <w:rPr>
          <w:szCs w:val="24"/>
        </w:rPr>
      </w:pPr>
      <w:r w:rsidRPr="00FB583E">
        <w:rPr>
          <w:szCs w:val="24"/>
        </w:rPr>
        <w:t>Биохимический анализ крови – общий белок, фракции белка, креатинин, мочевина, мочевая кислота, билирубин, фракции билирубина, глюкоза, электролиты, АЛТ, АСТ, ЛДГ, ЩФ, амилаза, В12</w:t>
      </w:r>
    </w:p>
    <w:p w14:paraId="02063073" w14:textId="77777777" w:rsidR="00A6105F" w:rsidRPr="00FB583E" w:rsidRDefault="00A6105F" w:rsidP="0091350E">
      <w:pPr>
        <w:pStyle w:val="aff"/>
        <w:numPr>
          <w:ilvl w:val="0"/>
          <w:numId w:val="100"/>
        </w:numPr>
        <w:contextualSpacing/>
        <w:rPr>
          <w:szCs w:val="24"/>
        </w:rPr>
      </w:pPr>
      <w:r w:rsidRPr="00FB583E">
        <w:rPr>
          <w:szCs w:val="24"/>
        </w:rPr>
        <w:t>Оценка кислотно-щелочного равновесия (по показаниям)</w:t>
      </w:r>
    </w:p>
    <w:p w14:paraId="427D598F" w14:textId="77777777" w:rsidR="00A6105F" w:rsidRPr="00FB583E" w:rsidRDefault="00A6105F" w:rsidP="0091350E">
      <w:pPr>
        <w:pStyle w:val="aff"/>
        <w:numPr>
          <w:ilvl w:val="0"/>
          <w:numId w:val="100"/>
        </w:numPr>
        <w:contextualSpacing/>
        <w:rPr>
          <w:szCs w:val="24"/>
        </w:rPr>
      </w:pPr>
      <w:r w:rsidRPr="00FB583E">
        <w:rPr>
          <w:szCs w:val="24"/>
        </w:rPr>
        <w:t>Определение группы крови и резус - фактора</w:t>
      </w:r>
    </w:p>
    <w:p w14:paraId="5DE19C1D" w14:textId="77777777" w:rsidR="00A6105F" w:rsidRPr="00FB583E" w:rsidRDefault="00A6105F" w:rsidP="0091350E">
      <w:pPr>
        <w:pStyle w:val="aff"/>
        <w:numPr>
          <w:ilvl w:val="0"/>
          <w:numId w:val="100"/>
        </w:numPr>
        <w:contextualSpacing/>
        <w:rPr>
          <w:szCs w:val="24"/>
        </w:rPr>
      </w:pPr>
      <w:r w:rsidRPr="00FB583E">
        <w:rPr>
          <w:szCs w:val="24"/>
        </w:rPr>
        <w:t>Исследование крови на вирусы гепатитов B и C, ВИЧ, сифилис</w:t>
      </w:r>
    </w:p>
    <w:p w14:paraId="332EFB39" w14:textId="77777777" w:rsidR="00A6105F" w:rsidRPr="00FB583E" w:rsidRDefault="00A6105F" w:rsidP="0091350E">
      <w:pPr>
        <w:pStyle w:val="aff"/>
        <w:numPr>
          <w:ilvl w:val="0"/>
          <w:numId w:val="100"/>
        </w:numPr>
        <w:contextualSpacing/>
        <w:rPr>
          <w:szCs w:val="24"/>
        </w:rPr>
      </w:pPr>
      <w:r w:rsidRPr="00FB583E">
        <w:rPr>
          <w:szCs w:val="24"/>
        </w:rPr>
        <w:t xml:space="preserve">Иммунохимическое исследование сыворотки крови и мочи (выявление белка Бен-Джонса) </w:t>
      </w:r>
    </w:p>
    <w:p w14:paraId="2C6888C2" w14:textId="77777777" w:rsidR="00A6105F" w:rsidRPr="00FB583E" w:rsidRDefault="00A6105F" w:rsidP="0091350E">
      <w:pPr>
        <w:pStyle w:val="aff"/>
        <w:numPr>
          <w:ilvl w:val="0"/>
          <w:numId w:val="100"/>
        </w:numPr>
        <w:contextualSpacing/>
        <w:rPr>
          <w:szCs w:val="24"/>
        </w:rPr>
      </w:pPr>
      <w:r w:rsidRPr="00FB583E">
        <w:rPr>
          <w:szCs w:val="24"/>
        </w:rPr>
        <w:t>Исследование ликвора (белок, цитоз, цитология и т.д.)</w:t>
      </w:r>
    </w:p>
    <w:p w14:paraId="41534628" w14:textId="77777777" w:rsidR="00A6105F" w:rsidRPr="00FB583E" w:rsidRDefault="00A6105F" w:rsidP="0091350E">
      <w:pPr>
        <w:pStyle w:val="aff"/>
        <w:numPr>
          <w:ilvl w:val="0"/>
          <w:numId w:val="100"/>
        </w:numPr>
        <w:contextualSpacing/>
        <w:rPr>
          <w:szCs w:val="24"/>
        </w:rPr>
      </w:pPr>
      <w:r w:rsidRPr="00FB583E">
        <w:rPr>
          <w:szCs w:val="24"/>
        </w:rPr>
        <w:t>Исследование крови и ликвора для исключения вирусного поражения (в том числе с применением полимеразной цепной реакции)</w:t>
      </w:r>
    </w:p>
    <w:p w14:paraId="32B7318B" w14:textId="77777777" w:rsidR="00A6105F" w:rsidRPr="00FB583E" w:rsidRDefault="00A6105F" w:rsidP="0091350E">
      <w:pPr>
        <w:pStyle w:val="aff"/>
        <w:numPr>
          <w:ilvl w:val="0"/>
          <w:numId w:val="100"/>
        </w:numPr>
        <w:contextualSpacing/>
        <w:rPr>
          <w:szCs w:val="24"/>
        </w:rPr>
      </w:pPr>
      <w:r w:rsidRPr="00FB583E">
        <w:rPr>
          <w:szCs w:val="24"/>
        </w:rPr>
        <w:t>Иммунохимическое исследование ликвора (концентрация белка и обнаружение моноклонального IgM) по показаниям</w:t>
      </w:r>
    </w:p>
    <w:p w14:paraId="38F46023" w14:textId="77777777" w:rsidR="00A6105F" w:rsidRPr="00FB583E" w:rsidRDefault="00A6105F" w:rsidP="0091350E">
      <w:pPr>
        <w:pStyle w:val="aff"/>
        <w:numPr>
          <w:ilvl w:val="0"/>
          <w:numId w:val="100"/>
        </w:numPr>
        <w:contextualSpacing/>
        <w:rPr>
          <w:szCs w:val="24"/>
        </w:rPr>
      </w:pPr>
      <w:r w:rsidRPr="00FB583E">
        <w:rPr>
          <w:szCs w:val="24"/>
        </w:rPr>
        <w:t>Исследование ликвора на антитела к ганглиозидам GV1, GV2 по показаниям</w:t>
      </w:r>
    </w:p>
    <w:p w14:paraId="1218F2DD" w14:textId="77777777" w:rsidR="00A6105F" w:rsidRPr="00FB583E" w:rsidRDefault="00A6105F" w:rsidP="0091350E">
      <w:pPr>
        <w:pStyle w:val="aff"/>
        <w:numPr>
          <w:ilvl w:val="0"/>
          <w:numId w:val="100"/>
        </w:numPr>
        <w:contextualSpacing/>
        <w:rPr>
          <w:szCs w:val="24"/>
        </w:rPr>
      </w:pPr>
      <w:r w:rsidRPr="00FB583E">
        <w:rPr>
          <w:szCs w:val="24"/>
        </w:rPr>
        <w:t>Цитологическое и гистологическое исследования костного мозга (миелограмма и трепанобиопсия)</w:t>
      </w:r>
    </w:p>
    <w:p w14:paraId="6229BB16" w14:textId="77777777" w:rsidR="00A6105F" w:rsidRPr="00FB583E" w:rsidRDefault="00A6105F" w:rsidP="0091350E">
      <w:pPr>
        <w:pStyle w:val="aff"/>
        <w:numPr>
          <w:ilvl w:val="0"/>
          <w:numId w:val="100"/>
        </w:numPr>
        <w:contextualSpacing/>
        <w:rPr>
          <w:szCs w:val="24"/>
        </w:rPr>
      </w:pPr>
      <w:r w:rsidRPr="00FB583E">
        <w:rPr>
          <w:szCs w:val="24"/>
        </w:rPr>
        <w:t>Анализ крови на исследование антител к GM1-ганглиозидам (по показаниям)</w:t>
      </w:r>
    </w:p>
    <w:p w14:paraId="75FB1AAC" w14:textId="77777777" w:rsidR="00A6105F" w:rsidRPr="00FB583E" w:rsidRDefault="00A6105F" w:rsidP="0091350E">
      <w:pPr>
        <w:pStyle w:val="aff"/>
        <w:numPr>
          <w:ilvl w:val="0"/>
          <w:numId w:val="100"/>
        </w:numPr>
        <w:contextualSpacing/>
        <w:rPr>
          <w:szCs w:val="24"/>
        </w:rPr>
      </w:pPr>
      <w:r w:rsidRPr="00FB583E">
        <w:rPr>
          <w:szCs w:val="24"/>
        </w:rPr>
        <w:t>Анализ крови на антитела к ассоциированному с миелином гликопротеину (анти-MAG антитела) по показаниям</w:t>
      </w:r>
    </w:p>
    <w:p w14:paraId="3D3B36F7" w14:textId="77777777" w:rsidR="00A6105F" w:rsidRPr="00FB583E" w:rsidRDefault="00A6105F" w:rsidP="0091350E">
      <w:pPr>
        <w:pStyle w:val="aff"/>
        <w:numPr>
          <w:ilvl w:val="0"/>
          <w:numId w:val="100"/>
        </w:numPr>
        <w:contextualSpacing/>
        <w:rPr>
          <w:szCs w:val="24"/>
        </w:rPr>
      </w:pPr>
      <w:r w:rsidRPr="00FB583E">
        <w:rPr>
          <w:szCs w:val="24"/>
        </w:rPr>
        <w:t>Анализ крови на исследование уровня фактора роста эндотелия сосудов, интерлeйкина-6, фактора некроза опухоли α и интерлeйкина-1β (по показаниям)</w:t>
      </w:r>
    </w:p>
    <w:p w14:paraId="23B86C96" w14:textId="77777777" w:rsidR="00A6105F" w:rsidRPr="00FB583E" w:rsidRDefault="00A6105F" w:rsidP="00A6105F">
      <w:pPr>
        <w:ind w:firstLine="708"/>
        <w:rPr>
          <w:b/>
          <w:szCs w:val="24"/>
        </w:rPr>
      </w:pPr>
      <w:r w:rsidRPr="00FB583E">
        <w:rPr>
          <w:b/>
          <w:szCs w:val="24"/>
        </w:rPr>
        <w:t>Манипуляции:</w:t>
      </w:r>
    </w:p>
    <w:p w14:paraId="752A7B93" w14:textId="77777777" w:rsidR="00A6105F" w:rsidRPr="00FB583E" w:rsidRDefault="00A6105F" w:rsidP="0091350E">
      <w:pPr>
        <w:pStyle w:val="aff"/>
        <w:numPr>
          <w:ilvl w:val="0"/>
          <w:numId w:val="100"/>
        </w:numPr>
        <w:contextualSpacing/>
        <w:rPr>
          <w:szCs w:val="24"/>
        </w:rPr>
      </w:pPr>
      <w:r w:rsidRPr="00FB583E">
        <w:rPr>
          <w:szCs w:val="24"/>
        </w:rPr>
        <w:t>Люмбальная пункция (ЛП)</w:t>
      </w:r>
    </w:p>
    <w:p w14:paraId="79D3A25F" w14:textId="77777777" w:rsidR="00A6105F" w:rsidRPr="00FB583E" w:rsidRDefault="00A6105F" w:rsidP="0091350E">
      <w:pPr>
        <w:pStyle w:val="aff"/>
        <w:numPr>
          <w:ilvl w:val="0"/>
          <w:numId w:val="100"/>
        </w:numPr>
        <w:contextualSpacing/>
        <w:rPr>
          <w:szCs w:val="24"/>
        </w:rPr>
      </w:pPr>
      <w:r w:rsidRPr="00FB583E">
        <w:rPr>
          <w:szCs w:val="24"/>
        </w:rPr>
        <w:t>Стереотаксическия биопсия (СТБ)</w:t>
      </w:r>
    </w:p>
    <w:p w14:paraId="47090CF9" w14:textId="77777777" w:rsidR="00A6105F" w:rsidRPr="00FB583E" w:rsidRDefault="00A6105F" w:rsidP="0091350E">
      <w:pPr>
        <w:pStyle w:val="aff"/>
        <w:numPr>
          <w:ilvl w:val="0"/>
          <w:numId w:val="100"/>
        </w:numPr>
        <w:contextualSpacing/>
        <w:rPr>
          <w:szCs w:val="24"/>
        </w:rPr>
      </w:pPr>
      <w:r w:rsidRPr="00FB583E">
        <w:rPr>
          <w:szCs w:val="24"/>
        </w:rPr>
        <w:t>Трепанобиопсия (ТБ)</w:t>
      </w:r>
    </w:p>
    <w:p w14:paraId="41438D0A" w14:textId="77777777" w:rsidR="00A6105F" w:rsidRPr="00FB583E" w:rsidRDefault="00A6105F" w:rsidP="00A6105F">
      <w:pPr>
        <w:pStyle w:val="aff"/>
        <w:shd w:val="clear" w:color="auto" w:fill="FFFFFF"/>
        <w:rPr>
          <w:b/>
          <w:szCs w:val="24"/>
        </w:rPr>
      </w:pPr>
      <w:r w:rsidRPr="00FB583E">
        <w:rPr>
          <w:b/>
          <w:szCs w:val="24"/>
        </w:rPr>
        <w:t>Инструментальные исследования:</w:t>
      </w:r>
    </w:p>
    <w:p w14:paraId="578697A4" w14:textId="77777777" w:rsidR="00A6105F" w:rsidRPr="00FB583E" w:rsidRDefault="00A6105F" w:rsidP="0091350E">
      <w:pPr>
        <w:pStyle w:val="aff"/>
        <w:numPr>
          <w:ilvl w:val="0"/>
          <w:numId w:val="100"/>
        </w:numPr>
        <w:contextualSpacing/>
        <w:rPr>
          <w:szCs w:val="24"/>
        </w:rPr>
      </w:pPr>
      <w:r w:rsidRPr="00FB583E">
        <w:rPr>
          <w:szCs w:val="24"/>
        </w:rPr>
        <w:t>ЭКГ</w:t>
      </w:r>
    </w:p>
    <w:p w14:paraId="617454B4" w14:textId="77777777" w:rsidR="00A6105F" w:rsidRPr="00FB583E" w:rsidRDefault="00A6105F" w:rsidP="0091350E">
      <w:pPr>
        <w:pStyle w:val="aff"/>
        <w:numPr>
          <w:ilvl w:val="0"/>
          <w:numId w:val="100"/>
        </w:numPr>
        <w:contextualSpacing/>
        <w:rPr>
          <w:szCs w:val="24"/>
        </w:rPr>
      </w:pPr>
      <w:r w:rsidRPr="00FB583E">
        <w:rPr>
          <w:szCs w:val="24"/>
        </w:rPr>
        <w:t>Холтеровское мониторирование  (по показаниям)</w:t>
      </w:r>
    </w:p>
    <w:p w14:paraId="46E26D55" w14:textId="77777777" w:rsidR="00A6105F" w:rsidRPr="00FB583E" w:rsidRDefault="00A6105F" w:rsidP="0091350E">
      <w:pPr>
        <w:pStyle w:val="aff"/>
        <w:numPr>
          <w:ilvl w:val="0"/>
          <w:numId w:val="100"/>
        </w:numPr>
        <w:contextualSpacing/>
        <w:rPr>
          <w:szCs w:val="24"/>
        </w:rPr>
      </w:pPr>
      <w:r w:rsidRPr="00FB583E">
        <w:rPr>
          <w:szCs w:val="24"/>
        </w:rPr>
        <w:t>Функция внешнего дыхания</w:t>
      </w:r>
    </w:p>
    <w:p w14:paraId="77893DF4" w14:textId="77777777" w:rsidR="00A6105F" w:rsidRPr="00FB583E" w:rsidRDefault="00A6105F" w:rsidP="0091350E">
      <w:pPr>
        <w:pStyle w:val="aff"/>
        <w:numPr>
          <w:ilvl w:val="0"/>
          <w:numId w:val="100"/>
        </w:numPr>
        <w:contextualSpacing/>
        <w:rPr>
          <w:szCs w:val="24"/>
        </w:rPr>
      </w:pPr>
      <w:r w:rsidRPr="00FB583E">
        <w:rPr>
          <w:szCs w:val="24"/>
        </w:rPr>
        <w:t>ЭНМГ с исследованием двигательных и чувствительных нервов (по показаниям)</w:t>
      </w:r>
    </w:p>
    <w:p w14:paraId="671A9EF1" w14:textId="77777777" w:rsidR="00A6105F" w:rsidRPr="00FB583E" w:rsidRDefault="00A6105F" w:rsidP="0091350E">
      <w:pPr>
        <w:pStyle w:val="aff"/>
        <w:numPr>
          <w:ilvl w:val="0"/>
          <w:numId w:val="100"/>
        </w:numPr>
        <w:contextualSpacing/>
        <w:rPr>
          <w:szCs w:val="24"/>
        </w:rPr>
      </w:pPr>
      <w:r w:rsidRPr="00FB583E">
        <w:rPr>
          <w:szCs w:val="24"/>
        </w:rPr>
        <w:t>Игольчатая электромиография (по показаниям)</w:t>
      </w:r>
    </w:p>
    <w:p w14:paraId="03507393" w14:textId="77777777" w:rsidR="00A6105F" w:rsidRPr="00FB583E" w:rsidRDefault="00A6105F" w:rsidP="0091350E">
      <w:pPr>
        <w:pStyle w:val="aff"/>
        <w:numPr>
          <w:ilvl w:val="0"/>
          <w:numId w:val="100"/>
        </w:numPr>
        <w:contextualSpacing/>
        <w:rPr>
          <w:szCs w:val="24"/>
        </w:rPr>
      </w:pPr>
      <w:r w:rsidRPr="00FB583E">
        <w:rPr>
          <w:szCs w:val="24"/>
        </w:rPr>
        <w:t>ВП различной модальности ЗВП, КВП, КАСВП, ССВП (по показаниям)</w:t>
      </w:r>
    </w:p>
    <w:p w14:paraId="406E70B8" w14:textId="77777777" w:rsidR="00A6105F" w:rsidRPr="00FB583E" w:rsidRDefault="00A6105F" w:rsidP="0091350E">
      <w:pPr>
        <w:pStyle w:val="aff"/>
        <w:numPr>
          <w:ilvl w:val="0"/>
          <w:numId w:val="100"/>
        </w:numPr>
        <w:contextualSpacing/>
        <w:rPr>
          <w:szCs w:val="24"/>
        </w:rPr>
      </w:pPr>
      <w:r w:rsidRPr="00FB583E">
        <w:rPr>
          <w:szCs w:val="24"/>
        </w:rPr>
        <w:t>УЗИ нервов (по показаниям)</w:t>
      </w:r>
    </w:p>
    <w:p w14:paraId="67E72407" w14:textId="77777777" w:rsidR="00A6105F" w:rsidRPr="00FB583E" w:rsidRDefault="00A6105F" w:rsidP="00A6105F">
      <w:pPr>
        <w:ind w:firstLine="708"/>
        <w:rPr>
          <w:b/>
          <w:szCs w:val="24"/>
        </w:rPr>
      </w:pPr>
      <w:r w:rsidRPr="00FB583E">
        <w:rPr>
          <w:b/>
          <w:szCs w:val="24"/>
        </w:rPr>
        <w:t>Консультации специалистов:</w:t>
      </w:r>
    </w:p>
    <w:p w14:paraId="295E0194" w14:textId="77777777" w:rsidR="00A6105F" w:rsidRPr="00FB583E" w:rsidRDefault="00A6105F" w:rsidP="0091350E">
      <w:pPr>
        <w:pStyle w:val="aff"/>
        <w:numPr>
          <w:ilvl w:val="0"/>
          <w:numId w:val="100"/>
        </w:numPr>
        <w:contextualSpacing/>
        <w:rPr>
          <w:szCs w:val="24"/>
        </w:rPr>
      </w:pPr>
      <w:r w:rsidRPr="00FB583E">
        <w:rPr>
          <w:szCs w:val="24"/>
        </w:rPr>
        <w:t xml:space="preserve">невролог </w:t>
      </w:r>
    </w:p>
    <w:p w14:paraId="166F46DC" w14:textId="77777777" w:rsidR="00A6105F" w:rsidRPr="00FB583E" w:rsidRDefault="00A6105F" w:rsidP="0091350E">
      <w:pPr>
        <w:pStyle w:val="aff"/>
        <w:numPr>
          <w:ilvl w:val="0"/>
          <w:numId w:val="100"/>
        </w:numPr>
        <w:contextualSpacing/>
        <w:rPr>
          <w:szCs w:val="24"/>
        </w:rPr>
      </w:pPr>
      <w:r w:rsidRPr="00FB583E">
        <w:rPr>
          <w:szCs w:val="24"/>
        </w:rPr>
        <w:t>ортопед</w:t>
      </w:r>
    </w:p>
    <w:p w14:paraId="45FE3353" w14:textId="77777777" w:rsidR="00A6105F" w:rsidRPr="00FB583E" w:rsidRDefault="00A6105F" w:rsidP="0091350E">
      <w:pPr>
        <w:pStyle w:val="aff"/>
        <w:numPr>
          <w:ilvl w:val="0"/>
          <w:numId w:val="100"/>
        </w:numPr>
        <w:contextualSpacing/>
        <w:rPr>
          <w:szCs w:val="24"/>
        </w:rPr>
      </w:pPr>
      <w:r w:rsidRPr="00FB583E">
        <w:rPr>
          <w:szCs w:val="24"/>
        </w:rPr>
        <w:t>офтальмолог (оценка функции зрительных нервов)</w:t>
      </w:r>
    </w:p>
    <w:p w14:paraId="4403C2FB" w14:textId="77777777" w:rsidR="00A6105F" w:rsidRPr="00FB583E" w:rsidRDefault="00A6105F" w:rsidP="0091350E">
      <w:pPr>
        <w:pStyle w:val="aff"/>
        <w:numPr>
          <w:ilvl w:val="0"/>
          <w:numId w:val="100"/>
        </w:numPr>
        <w:contextualSpacing/>
        <w:rPr>
          <w:szCs w:val="24"/>
        </w:rPr>
      </w:pPr>
      <w:r w:rsidRPr="00FB583E">
        <w:rPr>
          <w:szCs w:val="24"/>
        </w:rPr>
        <w:t>оториноларинголог (выявление бульбарных нарушений, пареза голосовых связок)</w:t>
      </w:r>
    </w:p>
    <w:p w14:paraId="5F5BEA21" w14:textId="77777777" w:rsidR="00A6105F" w:rsidRPr="00FB583E" w:rsidRDefault="00A6105F" w:rsidP="0091350E">
      <w:pPr>
        <w:pStyle w:val="aff"/>
        <w:numPr>
          <w:ilvl w:val="0"/>
          <w:numId w:val="100"/>
        </w:numPr>
        <w:contextualSpacing/>
        <w:rPr>
          <w:szCs w:val="24"/>
        </w:rPr>
      </w:pPr>
      <w:r w:rsidRPr="00FB583E">
        <w:rPr>
          <w:szCs w:val="24"/>
        </w:rPr>
        <w:t>кинезиотерапевт по показаниям</w:t>
      </w:r>
    </w:p>
    <w:p w14:paraId="6431D0BF" w14:textId="77777777" w:rsidR="00A6105F" w:rsidRPr="00FB583E" w:rsidRDefault="00A6105F" w:rsidP="00A6105F">
      <w:pPr>
        <w:ind w:firstLine="708"/>
        <w:rPr>
          <w:b/>
          <w:szCs w:val="24"/>
        </w:rPr>
      </w:pPr>
      <w:r w:rsidRPr="00FB583E">
        <w:rPr>
          <w:b/>
          <w:szCs w:val="24"/>
        </w:rPr>
        <w:t xml:space="preserve">Лечение: </w:t>
      </w:r>
    </w:p>
    <w:p w14:paraId="66222AA4" w14:textId="77777777" w:rsidR="00A6105F" w:rsidRPr="00FB583E" w:rsidRDefault="00A6105F" w:rsidP="0091350E">
      <w:pPr>
        <w:pStyle w:val="aff"/>
        <w:numPr>
          <w:ilvl w:val="0"/>
          <w:numId w:val="100"/>
        </w:numPr>
        <w:contextualSpacing/>
        <w:rPr>
          <w:szCs w:val="24"/>
        </w:rPr>
      </w:pPr>
      <w:r w:rsidRPr="00FB583E">
        <w:rPr>
          <w:szCs w:val="24"/>
        </w:rPr>
        <w:t>Плазмаферез (по показаниям)</w:t>
      </w:r>
    </w:p>
    <w:p w14:paraId="47CACE10" w14:textId="77777777" w:rsidR="00A6105F" w:rsidRPr="00FB583E" w:rsidRDefault="00A6105F" w:rsidP="0091350E">
      <w:pPr>
        <w:pStyle w:val="aff"/>
        <w:numPr>
          <w:ilvl w:val="0"/>
          <w:numId w:val="100"/>
        </w:numPr>
        <w:contextualSpacing/>
        <w:rPr>
          <w:szCs w:val="24"/>
        </w:rPr>
      </w:pPr>
      <w:r w:rsidRPr="00FB583E">
        <w:rPr>
          <w:szCs w:val="24"/>
        </w:rPr>
        <w:t>Лечение невропатической боли – антидепрессанты, антиконсульсанты, опиодные анальгетики (см. Приложение «Диагностика и лечение болевого синдрома в гематологии")</w:t>
      </w:r>
    </w:p>
    <w:p w14:paraId="4A5018A6" w14:textId="77777777" w:rsidR="00A6105F" w:rsidRPr="00FB583E" w:rsidRDefault="00A6105F" w:rsidP="0091350E">
      <w:pPr>
        <w:pStyle w:val="aff"/>
        <w:numPr>
          <w:ilvl w:val="0"/>
          <w:numId w:val="100"/>
        </w:numPr>
        <w:contextualSpacing/>
        <w:rPr>
          <w:szCs w:val="24"/>
        </w:rPr>
      </w:pPr>
      <w:r w:rsidRPr="00FB583E">
        <w:rPr>
          <w:szCs w:val="24"/>
        </w:rPr>
        <w:t>Магнитная стимуляция (низкочастотная магнитотерапия) периферических нервов (по показаниям)</w:t>
      </w:r>
    </w:p>
    <w:p w14:paraId="7DCE742A" w14:textId="77777777" w:rsidR="00A6105F" w:rsidRPr="00FB583E" w:rsidRDefault="00A6105F" w:rsidP="0091350E">
      <w:pPr>
        <w:pStyle w:val="aff"/>
        <w:numPr>
          <w:ilvl w:val="0"/>
          <w:numId w:val="100"/>
        </w:numPr>
        <w:contextualSpacing/>
        <w:rPr>
          <w:szCs w:val="24"/>
        </w:rPr>
      </w:pPr>
      <w:r w:rsidRPr="00FB583E">
        <w:rPr>
          <w:szCs w:val="24"/>
        </w:rPr>
        <w:t>Низкоинтенсивная лазеротерапия (по показаниям)</w:t>
      </w:r>
    </w:p>
    <w:p w14:paraId="744B639E" w14:textId="77777777" w:rsidR="00A6105F" w:rsidRPr="00FB583E" w:rsidRDefault="00A6105F" w:rsidP="0091350E">
      <w:pPr>
        <w:pStyle w:val="aff"/>
        <w:numPr>
          <w:ilvl w:val="0"/>
          <w:numId w:val="100"/>
        </w:numPr>
        <w:contextualSpacing/>
        <w:rPr>
          <w:szCs w:val="24"/>
        </w:rPr>
      </w:pPr>
      <w:r w:rsidRPr="00FB583E">
        <w:rPr>
          <w:szCs w:val="24"/>
        </w:rPr>
        <w:t>Чрезкожная элктростимуляция (по показаниям)</w:t>
      </w:r>
    </w:p>
    <w:p w14:paraId="0B39A80D" w14:textId="77777777" w:rsidR="00A6105F" w:rsidRPr="00FB583E" w:rsidRDefault="00A6105F" w:rsidP="0091350E">
      <w:pPr>
        <w:pStyle w:val="aff"/>
        <w:numPr>
          <w:ilvl w:val="0"/>
          <w:numId w:val="100"/>
        </w:numPr>
        <w:contextualSpacing/>
        <w:rPr>
          <w:szCs w:val="24"/>
        </w:rPr>
      </w:pPr>
      <w:r w:rsidRPr="00FB583E">
        <w:rPr>
          <w:szCs w:val="24"/>
        </w:rPr>
        <w:t xml:space="preserve">Улучшение метаболизма нервной ткани – берлитион, витамины группы В </w:t>
      </w:r>
    </w:p>
    <w:p w14:paraId="3DF0B3BE" w14:textId="77777777" w:rsidR="00A6105F" w:rsidRPr="00FB583E" w:rsidRDefault="00A6105F" w:rsidP="0091350E">
      <w:pPr>
        <w:pStyle w:val="aff"/>
        <w:numPr>
          <w:ilvl w:val="0"/>
          <w:numId w:val="100"/>
        </w:numPr>
        <w:contextualSpacing/>
        <w:rPr>
          <w:szCs w:val="24"/>
        </w:rPr>
      </w:pPr>
      <w:r w:rsidRPr="00FB583E">
        <w:rPr>
          <w:szCs w:val="24"/>
        </w:rPr>
        <w:t>Улучшение нейромышечной передачи – ингибитор холинэстеразы ипидакрин</w:t>
      </w:r>
    </w:p>
    <w:p w14:paraId="562C62A1" w14:textId="77777777" w:rsidR="00A6105F" w:rsidRPr="00FB583E" w:rsidRDefault="00A6105F" w:rsidP="0091350E">
      <w:pPr>
        <w:pStyle w:val="aff"/>
        <w:numPr>
          <w:ilvl w:val="0"/>
          <w:numId w:val="100"/>
        </w:numPr>
        <w:contextualSpacing/>
        <w:rPr>
          <w:szCs w:val="24"/>
        </w:rPr>
      </w:pPr>
      <w:r w:rsidRPr="00FB583E">
        <w:rPr>
          <w:szCs w:val="24"/>
        </w:rPr>
        <w:t xml:space="preserve">Нейропротекторы –  холина альфосцерат–глиатилин, цитиколин  цераксон </w:t>
      </w:r>
    </w:p>
    <w:p w14:paraId="7FD095D3" w14:textId="77777777" w:rsidR="00A6105F" w:rsidRPr="00FB583E" w:rsidRDefault="00A6105F" w:rsidP="00A6105F">
      <w:pPr>
        <w:pStyle w:val="aff"/>
        <w:rPr>
          <w:b/>
          <w:i/>
          <w:color w:val="FF0000"/>
          <w:szCs w:val="24"/>
        </w:rPr>
      </w:pPr>
    </w:p>
    <w:p w14:paraId="0010A99B" w14:textId="77777777" w:rsidR="00A6105F" w:rsidRPr="00FB583E" w:rsidRDefault="00A6105F" w:rsidP="00A6105F">
      <w:pPr>
        <w:rPr>
          <w:i/>
          <w:szCs w:val="24"/>
          <w:u w:val="single"/>
        </w:rPr>
      </w:pPr>
      <w:r w:rsidRPr="00FB583E">
        <w:rPr>
          <w:i/>
          <w:szCs w:val="24"/>
          <w:u w:val="single"/>
        </w:rPr>
        <w:t>Нейроинфекции при гематологических заболеваниях</w:t>
      </w:r>
    </w:p>
    <w:p w14:paraId="1A474CCB" w14:textId="77777777" w:rsidR="00A6105F" w:rsidRPr="00FB583E" w:rsidRDefault="00A6105F" w:rsidP="00A6105F">
      <w:pPr>
        <w:pStyle w:val="Default"/>
        <w:spacing w:line="360" w:lineRule="auto"/>
        <w:ind w:firstLine="709"/>
        <w:jc w:val="both"/>
      </w:pPr>
      <w:r w:rsidRPr="00FB583E">
        <w:t xml:space="preserve">Нейроинфекционные осложнения – менингиты, энцефалиты, менингоэнцефалиты, миелиты – наблюдаются примерно у 10% гематологических больных на фоне иммуносупрессии, нейтропении, сепсиса, пневмонии и других инфекционных осложнениях при цитостатической терапии. В структуре нейроинфекционных поражений у гематологических пациентов менингиты составляют 40%, энцефалиты – 40%, грибковое поражение ЦНС (инвазивный аспергиллез, инвазивный кандидоз) –15%, токсоплазмоз –5%. </w:t>
      </w:r>
    </w:p>
    <w:p w14:paraId="3C59C50A" w14:textId="77777777" w:rsidR="00A6105F" w:rsidRPr="00FB583E" w:rsidRDefault="00A6105F" w:rsidP="00A6105F">
      <w:pPr>
        <w:pStyle w:val="Default"/>
        <w:spacing w:line="360" w:lineRule="auto"/>
        <w:ind w:firstLine="709"/>
        <w:jc w:val="both"/>
        <w:rPr>
          <w:b/>
        </w:rPr>
      </w:pPr>
      <w:r w:rsidRPr="00FB583E">
        <w:rPr>
          <w:b/>
        </w:rPr>
        <w:t>Клиническая картина:</w:t>
      </w:r>
    </w:p>
    <w:p w14:paraId="5AE8E817" w14:textId="0971F116" w:rsidR="00A6105F" w:rsidRPr="00FB583E" w:rsidRDefault="00A6105F" w:rsidP="007552CD">
      <w:pPr>
        <w:pStyle w:val="Default"/>
        <w:spacing w:line="360" w:lineRule="auto"/>
        <w:ind w:firstLine="709"/>
        <w:jc w:val="both"/>
      </w:pPr>
      <w:r w:rsidRPr="00FB583E">
        <w:t>Менингеальная симптоматика доминирует при бактериальных, серозных менингитах и инвазивном кандидозе ЦНС, в то время как общемозговая симптоматика – при вирусных энцефалитах. Клиническая картина при грибковом поражении и токсоплазмозе соответствует клинической картине объемного образования. При нейроинфекции клинические симптомы варьируют в широких пределах – от головной боли до развития тяжелых общемозговых симптомов с угнетением сознания, эпилептических припадков, выраженных очаговых и менингеальных симптомов.</w:t>
      </w:r>
    </w:p>
    <w:p w14:paraId="341CB1B8" w14:textId="77777777" w:rsidR="00A6105F" w:rsidRPr="00FB583E" w:rsidRDefault="00A6105F" w:rsidP="00A6105F">
      <w:pPr>
        <w:ind w:firstLine="709"/>
        <w:rPr>
          <w:b/>
          <w:szCs w:val="24"/>
        </w:rPr>
      </w:pPr>
      <w:r w:rsidRPr="00FB583E">
        <w:rPr>
          <w:b/>
          <w:szCs w:val="24"/>
        </w:rPr>
        <w:t>Для первичной диагностики оценивается:</w:t>
      </w:r>
    </w:p>
    <w:p w14:paraId="4BDAA0E2" w14:textId="77777777" w:rsidR="00A6105F" w:rsidRPr="00FB583E" w:rsidRDefault="00A6105F" w:rsidP="0091350E">
      <w:pPr>
        <w:pStyle w:val="aff"/>
        <w:numPr>
          <w:ilvl w:val="0"/>
          <w:numId w:val="100"/>
        </w:numPr>
        <w:contextualSpacing/>
        <w:rPr>
          <w:szCs w:val="24"/>
        </w:rPr>
      </w:pPr>
      <w:r w:rsidRPr="00FB583E">
        <w:rPr>
          <w:szCs w:val="24"/>
        </w:rPr>
        <w:t xml:space="preserve">жалобы; </w:t>
      </w:r>
    </w:p>
    <w:p w14:paraId="1D5ACB0E" w14:textId="77777777" w:rsidR="00A6105F" w:rsidRPr="00FB583E" w:rsidRDefault="00A6105F" w:rsidP="0091350E">
      <w:pPr>
        <w:pStyle w:val="aff"/>
        <w:numPr>
          <w:ilvl w:val="0"/>
          <w:numId w:val="100"/>
        </w:numPr>
        <w:contextualSpacing/>
        <w:rPr>
          <w:szCs w:val="24"/>
        </w:rPr>
      </w:pPr>
      <w:r w:rsidRPr="00FB583E">
        <w:rPr>
          <w:szCs w:val="24"/>
        </w:rPr>
        <w:t xml:space="preserve">анамнез; </w:t>
      </w:r>
    </w:p>
    <w:p w14:paraId="3F2CA078" w14:textId="77777777" w:rsidR="00A6105F" w:rsidRPr="00FB583E" w:rsidRDefault="00A6105F" w:rsidP="0091350E">
      <w:pPr>
        <w:pStyle w:val="aff"/>
        <w:numPr>
          <w:ilvl w:val="0"/>
          <w:numId w:val="100"/>
        </w:numPr>
        <w:contextualSpacing/>
        <w:rPr>
          <w:szCs w:val="24"/>
        </w:rPr>
      </w:pPr>
      <w:r w:rsidRPr="00FB583E">
        <w:rPr>
          <w:szCs w:val="24"/>
        </w:rPr>
        <w:t xml:space="preserve">оценка функционального статуса по шкале Карновского; </w:t>
      </w:r>
    </w:p>
    <w:p w14:paraId="2E14E0E7" w14:textId="77777777" w:rsidR="00A6105F" w:rsidRPr="00FB583E" w:rsidRDefault="00A6105F" w:rsidP="0091350E">
      <w:pPr>
        <w:pStyle w:val="aff"/>
        <w:numPr>
          <w:ilvl w:val="0"/>
          <w:numId w:val="100"/>
        </w:numPr>
        <w:contextualSpacing/>
        <w:rPr>
          <w:szCs w:val="24"/>
        </w:rPr>
      </w:pPr>
      <w:r w:rsidRPr="00FB583E">
        <w:rPr>
          <w:szCs w:val="24"/>
        </w:rPr>
        <w:t>оценка по шкале SOFA;</w:t>
      </w:r>
    </w:p>
    <w:p w14:paraId="7204D86E" w14:textId="77777777" w:rsidR="00A6105F" w:rsidRPr="00FB583E" w:rsidRDefault="00A6105F" w:rsidP="0091350E">
      <w:pPr>
        <w:pStyle w:val="aff"/>
        <w:numPr>
          <w:ilvl w:val="0"/>
          <w:numId w:val="100"/>
        </w:numPr>
        <w:contextualSpacing/>
        <w:rPr>
          <w:szCs w:val="24"/>
        </w:rPr>
      </w:pPr>
      <w:r w:rsidRPr="00FB583E">
        <w:rPr>
          <w:szCs w:val="24"/>
        </w:rPr>
        <w:t xml:space="preserve">неврологический статус с оценкой общемозговой, очаговой, менингеальной симптоматики и интеллектуально-мнестических нарушений; </w:t>
      </w:r>
    </w:p>
    <w:p w14:paraId="3EEFDDFC" w14:textId="77777777" w:rsidR="00A6105F" w:rsidRPr="00FB583E" w:rsidRDefault="00A6105F" w:rsidP="0091350E">
      <w:pPr>
        <w:pStyle w:val="aff"/>
        <w:numPr>
          <w:ilvl w:val="0"/>
          <w:numId w:val="100"/>
        </w:numPr>
        <w:contextualSpacing/>
        <w:rPr>
          <w:szCs w:val="24"/>
        </w:rPr>
      </w:pPr>
      <w:r w:rsidRPr="00FB583E">
        <w:rPr>
          <w:szCs w:val="24"/>
        </w:rPr>
        <w:t xml:space="preserve">оценка психического состояния; </w:t>
      </w:r>
    </w:p>
    <w:p w14:paraId="1323E74A" w14:textId="77777777" w:rsidR="00A6105F" w:rsidRPr="00FB583E" w:rsidRDefault="00A6105F" w:rsidP="00A6105F">
      <w:pPr>
        <w:ind w:left="12" w:firstLine="708"/>
        <w:rPr>
          <w:b/>
          <w:szCs w:val="24"/>
        </w:rPr>
      </w:pPr>
      <w:r w:rsidRPr="00FB583E">
        <w:rPr>
          <w:b/>
          <w:szCs w:val="24"/>
        </w:rPr>
        <w:t>Лабораторная диагностика:</w:t>
      </w:r>
      <w:r w:rsidRPr="00FB583E">
        <w:rPr>
          <w:b/>
          <w:szCs w:val="24"/>
        </w:rPr>
        <w:tab/>
        <w:t xml:space="preserve"> </w:t>
      </w:r>
    </w:p>
    <w:p w14:paraId="636CB415" w14:textId="77777777" w:rsidR="00A6105F" w:rsidRPr="00FB583E" w:rsidRDefault="00A6105F" w:rsidP="0091350E">
      <w:pPr>
        <w:pStyle w:val="aff"/>
        <w:numPr>
          <w:ilvl w:val="0"/>
          <w:numId w:val="100"/>
        </w:numPr>
        <w:contextualSpacing/>
        <w:rPr>
          <w:szCs w:val="24"/>
        </w:rPr>
      </w:pPr>
      <w:r w:rsidRPr="00FB583E">
        <w:rPr>
          <w:szCs w:val="24"/>
        </w:rPr>
        <w:t>Клинический анализ крови, морфологическое исследование мазка крови</w:t>
      </w:r>
    </w:p>
    <w:p w14:paraId="5C457E4A" w14:textId="77777777" w:rsidR="00A6105F" w:rsidRPr="00FB583E" w:rsidRDefault="00A6105F" w:rsidP="0091350E">
      <w:pPr>
        <w:pStyle w:val="aff"/>
        <w:numPr>
          <w:ilvl w:val="0"/>
          <w:numId w:val="100"/>
        </w:numPr>
        <w:contextualSpacing/>
        <w:rPr>
          <w:szCs w:val="24"/>
        </w:rPr>
      </w:pPr>
      <w:r w:rsidRPr="00FB583E">
        <w:rPr>
          <w:szCs w:val="24"/>
        </w:rPr>
        <w:t>Общий анализ мочи</w:t>
      </w:r>
    </w:p>
    <w:p w14:paraId="710AD5F7" w14:textId="77777777" w:rsidR="00A6105F" w:rsidRPr="00FB583E" w:rsidRDefault="00A6105F" w:rsidP="0091350E">
      <w:pPr>
        <w:pStyle w:val="aff"/>
        <w:numPr>
          <w:ilvl w:val="0"/>
          <w:numId w:val="100"/>
        </w:numPr>
        <w:contextualSpacing/>
        <w:rPr>
          <w:szCs w:val="24"/>
        </w:rPr>
      </w:pPr>
      <w:r w:rsidRPr="00FB583E">
        <w:rPr>
          <w:szCs w:val="24"/>
        </w:rPr>
        <w:t>Биохимический анализ крови – общий белок, фракции белка, креатинин, мочевина, мочевая кислота, билирубин, фракции билирубина, глюкоза, электролиты, аланиаминотрансфераза, аспартатаминотрансфераза, лактатдегидрогеназа, щелочная фосфатаза, амилаза</w:t>
      </w:r>
    </w:p>
    <w:p w14:paraId="47BF52F3" w14:textId="77777777" w:rsidR="00A6105F" w:rsidRPr="00FB583E" w:rsidRDefault="00A6105F" w:rsidP="0091350E">
      <w:pPr>
        <w:pStyle w:val="aff"/>
        <w:numPr>
          <w:ilvl w:val="0"/>
          <w:numId w:val="100"/>
        </w:numPr>
        <w:contextualSpacing/>
        <w:rPr>
          <w:szCs w:val="24"/>
        </w:rPr>
      </w:pPr>
      <w:r w:rsidRPr="00FB583E">
        <w:rPr>
          <w:szCs w:val="24"/>
        </w:rPr>
        <w:t>Оценка кислотно-щелочного равновесия (по показаниям)</w:t>
      </w:r>
    </w:p>
    <w:p w14:paraId="11DE159D" w14:textId="77777777" w:rsidR="00A6105F" w:rsidRPr="00FB583E" w:rsidRDefault="00A6105F" w:rsidP="0091350E">
      <w:pPr>
        <w:pStyle w:val="aff"/>
        <w:numPr>
          <w:ilvl w:val="0"/>
          <w:numId w:val="100"/>
        </w:numPr>
        <w:contextualSpacing/>
        <w:rPr>
          <w:szCs w:val="24"/>
        </w:rPr>
      </w:pPr>
      <w:r w:rsidRPr="00FB583E">
        <w:rPr>
          <w:szCs w:val="24"/>
        </w:rPr>
        <w:t xml:space="preserve">Исследование ликвора в динамике – цитологическое, белок, глюкоза. На бактерии – микроскопия, посев, определение антигенов. Микобактерии – микроскопия, определение ДНК. Вирусы – определение ДНК. Грибы- микроскопия, посев, антигены. Токсоплазмоз- определение ДНК. </w:t>
      </w:r>
    </w:p>
    <w:p w14:paraId="0FEFD9A4" w14:textId="77777777" w:rsidR="00A6105F" w:rsidRPr="00FB583E" w:rsidRDefault="00A6105F" w:rsidP="0091350E">
      <w:pPr>
        <w:pStyle w:val="aff"/>
        <w:numPr>
          <w:ilvl w:val="0"/>
          <w:numId w:val="100"/>
        </w:numPr>
        <w:contextualSpacing/>
        <w:rPr>
          <w:szCs w:val="24"/>
        </w:rPr>
      </w:pPr>
      <w:r w:rsidRPr="00FB583E">
        <w:rPr>
          <w:szCs w:val="24"/>
        </w:rPr>
        <w:t xml:space="preserve">(См. рекомендации бактериологической лаборатории). </w:t>
      </w:r>
    </w:p>
    <w:p w14:paraId="7F7D257E" w14:textId="77777777" w:rsidR="00A6105F" w:rsidRPr="00FB583E" w:rsidRDefault="00A6105F" w:rsidP="0091350E">
      <w:pPr>
        <w:pStyle w:val="aff"/>
        <w:numPr>
          <w:ilvl w:val="0"/>
          <w:numId w:val="100"/>
        </w:numPr>
        <w:contextualSpacing/>
        <w:rPr>
          <w:szCs w:val="24"/>
        </w:rPr>
      </w:pPr>
      <w:r w:rsidRPr="00FB583E">
        <w:rPr>
          <w:szCs w:val="24"/>
        </w:rPr>
        <w:t>Иммунохимическое исследование крови и мочи, включая количество нормальных иммуноглобулинов, наличие моноклональной секреции, С-реактивный белок, бета-2-микроглобулин</w:t>
      </w:r>
    </w:p>
    <w:p w14:paraId="7F144676" w14:textId="77777777" w:rsidR="00A6105F" w:rsidRPr="00FB583E" w:rsidRDefault="00A6105F" w:rsidP="0091350E">
      <w:pPr>
        <w:pStyle w:val="aff"/>
        <w:numPr>
          <w:ilvl w:val="0"/>
          <w:numId w:val="100"/>
        </w:numPr>
        <w:contextualSpacing/>
        <w:rPr>
          <w:szCs w:val="24"/>
        </w:rPr>
      </w:pPr>
      <w:r w:rsidRPr="00FB583E">
        <w:rPr>
          <w:szCs w:val="24"/>
        </w:rPr>
        <w:t>Определение группы крови и резус - фактора</w:t>
      </w:r>
    </w:p>
    <w:p w14:paraId="47E00817" w14:textId="77777777" w:rsidR="00A6105F" w:rsidRPr="00FB583E" w:rsidRDefault="00A6105F" w:rsidP="0091350E">
      <w:pPr>
        <w:pStyle w:val="aff"/>
        <w:numPr>
          <w:ilvl w:val="0"/>
          <w:numId w:val="100"/>
        </w:numPr>
        <w:contextualSpacing/>
        <w:rPr>
          <w:szCs w:val="24"/>
        </w:rPr>
      </w:pPr>
      <w:r w:rsidRPr="00FB583E">
        <w:rPr>
          <w:szCs w:val="24"/>
        </w:rPr>
        <w:t>Исследование крови на вирусы гепатитов B и C, ВИЧ, сифилис</w:t>
      </w:r>
    </w:p>
    <w:p w14:paraId="78A3317E" w14:textId="77777777" w:rsidR="00A6105F" w:rsidRPr="00FB583E" w:rsidRDefault="00A6105F" w:rsidP="0091350E">
      <w:pPr>
        <w:pStyle w:val="aff"/>
        <w:numPr>
          <w:ilvl w:val="0"/>
          <w:numId w:val="100"/>
        </w:numPr>
        <w:contextualSpacing/>
        <w:rPr>
          <w:szCs w:val="24"/>
        </w:rPr>
      </w:pPr>
      <w:r w:rsidRPr="00FB583E">
        <w:rPr>
          <w:szCs w:val="24"/>
        </w:rPr>
        <w:t>Стереотаксическая биопсия при наличии очагов в головном мозге по данным КТ/МРТ.</w:t>
      </w:r>
    </w:p>
    <w:p w14:paraId="27AEB87E" w14:textId="77777777" w:rsidR="00A6105F" w:rsidRPr="00FB583E" w:rsidRDefault="00A6105F" w:rsidP="00A6105F">
      <w:pPr>
        <w:ind w:firstLine="708"/>
        <w:rPr>
          <w:b/>
          <w:szCs w:val="24"/>
        </w:rPr>
      </w:pPr>
      <w:r w:rsidRPr="00FB583E">
        <w:rPr>
          <w:b/>
          <w:szCs w:val="24"/>
        </w:rPr>
        <w:t>Инструментальная диагностика:</w:t>
      </w:r>
    </w:p>
    <w:p w14:paraId="74E88E37" w14:textId="77777777" w:rsidR="00A6105F" w:rsidRPr="00FB583E" w:rsidRDefault="00A6105F" w:rsidP="0091350E">
      <w:pPr>
        <w:pStyle w:val="aff"/>
        <w:numPr>
          <w:ilvl w:val="0"/>
          <w:numId w:val="100"/>
        </w:numPr>
        <w:contextualSpacing/>
        <w:rPr>
          <w:szCs w:val="24"/>
        </w:rPr>
      </w:pPr>
      <w:r w:rsidRPr="00FB583E">
        <w:rPr>
          <w:szCs w:val="24"/>
        </w:rPr>
        <w:t>КТ или МРТ головного мозга (с внутривенным контрастированием – по показаниям)</w:t>
      </w:r>
    </w:p>
    <w:p w14:paraId="18A4C905" w14:textId="77777777" w:rsidR="00A6105F" w:rsidRPr="00FB583E" w:rsidRDefault="00A6105F" w:rsidP="0091350E">
      <w:pPr>
        <w:pStyle w:val="aff"/>
        <w:numPr>
          <w:ilvl w:val="0"/>
          <w:numId w:val="100"/>
        </w:numPr>
        <w:contextualSpacing/>
        <w:rPr>
          <w:szCs w:val="24"/>
        </w:rPr>
      </w:pPr>
      <w:r w:rsidRPr="00FB583E">
        <w:rPr>
          <w:szCs w:val="24"/>
        </w:rPr>
        <w:t>КТ брюшной полости, грудной клетки, малого таза</w:t>
      </w:r>
    </w:p>
    <w:p w14:paraId="04C0942B" w14:textId="77777777" w:rsidR="00A6105F" w:rsidRPr="00FB583E" w:rsidRDefault="00A6105F" w:rsidP="0091350E">
      <w:pPr>
        <w:pStyle w:val="aff"/>
        <w:numPr>
          <w:ilvl w:val="0"/>
          <w:numId w:val="100"/>
        </w:numPr>
        <w:contextualSpacing/>
        <w:rPr>
          <w:szCs w:val="24"/>
        </w:rPr>
      </w:pPr>
      <w:r w:rsidRPr="00FB583E">
        <w:rPr>
          <w:szCs w:val="24"/>
        </w:rPr>
        <w:t>Электроэнцефалография (ЭЭГ) с функциональными пробами для определения функционального состояния головного мозга и исключения эпиактивности</w:t>
      </w:r>
    </w:p>
    <w:p w14:paraId="6B00F6CE" w14:textId="77777777" w:rsidR="00A6105F" w:rsidRPr="00FB583E" w:rsidRDefault="00A6105F" w:rsidP="0091350E">
      <w:pPr>
        <w:pStyle w:val="aff"/>
        <w:numPr>
          <w:ilvl w:val="0"/>
          <w:numId w:val="100"/>
        </w:numPr>
        <w:contextualSpacing/>
        <w:rPr>
          <w:szCs w:val="24"/>
        </w:rPr>
      </w:pPr>
      <w:r w:rsidRPr="00FB583E">
        <w:rPr>
          <w:szCs w:val="24"/>
        </w:rPr>
        <w:t xml:space="preserve">ВП – вызванные потенциалы различной модальности (по показаниям): ЗВП, КВП, КАСВП, ССВП. </w:t>
      </w:r>
    </w:p>
    <w:p w14:paraId="1F093E17" w14:textId="77777777" w:rsidR="00A6105F" w:rsidRPr="00FB583E" w:rsidRDefault="00A6105F" w:rsidP="0091350E">
      <w:pPr>
        <w:pStyle w:val="aff"/>
        <w:numPr>
          <w:ilvl w:val="0"/>
          <w:numId w:val="100"/>
        </w:numPr>
        <w:contextualSpacing/>
        <w:rPr>
          <w:szCs w:val="24"/>
        </w:rPr>
      </w:pPr>
      <w:r w:rsidRPr="00FB583E">
        <w:rPr>
          <w:szCs w:val="24"/>
        </w:rPr>
        <w:t>ТКМС (по показаниям)</w:t>
      </w:r>
    </w:p>
    <w:p w14:paraId="409FB892" w14:textId="77777777" w:rsidR="00A6105F" w:rsidRPr="00FB583E" w:rsidRDefault="00A6105F" w:rsidP="0091350E">
      <w:pPr>
        <w:pStyle w:val="aff"/>
        <w:numPr>
          <w:ilvl w:val="0"/>
          <w:numId w:val="100"/>
        </w:numPr>
        <w:contextualSpacing/>
        <w:rPr>
          <w:szCs w:val="24"/>
        </w:rPr>
      </w:pPr>
      <w:r w:rsidRPr="00FB583E">
        <w:rPr>
          <w:szCs w:val="24"/>
        </w:rPr>
        <w:t>ПЭТ-КТ (по показаниям)</w:t>
      </w:r>
    </w:p>
    <w:p w14:paraId="4A788611" w14:textId="77777777" w:rsidR="00A6105F" w:rsidRPr="00FB583E" w:rsidRDefault="00A6105F" w:rsidP="0091350E">
      <w:pPr>
        <w:pStyle w:val="aff"/>
        <w:numPr>
          <w:ilvl w:val="0"/>
          <w:numId w:val="100"/>
        </w:numPr>
        <w:contextualSpacing/>
        <w:rPr>
          <w:szCs w:val="24"/>
        </w:rPr>
      </w:pPr>
      <w:r w:rsidRPr="00FB583E">
        <w:rPr>
          <w:szCs w:val="24"/>
        </w:rPr>
        <w:t>УЗДГ брахиоцефальных артерий и вен (по показаниям)</w:t>
      </w:r>
    </w:p>
    <w:p w14:paraId="0CBC0987" w14:textId="733A95D5" w:rsidR="00A6105F" w:rsidRPr="00FB583E" w:rsidRDefault="00A6105F" w:rsidP="0091350E">
      <w:pPr>
        <w:pStyle w:val="aff"/>
        <w:numPr>
          <w:ilvl w:val="0"/>
          <w:numId w:val="100"/>
        </w:numPr>
        <w:contextualSpacing/>
        <w:rPr>
          <w:szCs w:val="24"/>
        </w:rPr>
      </w:pPr>
      <w:r w:rsidRPr="00FB583E">
        <w:rPr>
          <w:szCs w:val="24"/>
        </w:rPr>
        <w:t>ФГДС (биопсия по показаниям)</w:t>
      </w:r>
    </w:p>
    <w:p w14:paraId="24C6413C" w14:textId="77777777" w:rsidR="00A6105F" w:rsidRPr="00FB583E" w:rsidRDefault="00A6105F" w:rsidP="0091350E">
      <w:pPr>
        <w:pStyle w:val="aff"/>
        <w:numPr>
          <w:ilvl w:val="0"/>
          <w:numId w:val="100"/>
        </w:numPr>
        <w:contextualSpacing/>
        <w:rPr>
          <w:szCs w:val="24"/>
        </w:rPr>
      </w:pPr>
      <w:r w:rsidRPr="00FB583E">
        <w:rPr>
          <w:szCs w:val="24"/>
        </w:rPr>
        <w:t>ЭКГ</w:t>
      </w:r>
    </w:p>
    <w:p w14:paraId="64C14F52" w14:textId="77777777" w:rsidR="00A6105F" w:rsidRPr="00FB583E" w:rsidRDefault="00A6105F" w:rsidP="0091350E">
      <w:pPr>
        <w:pStyle w:val="aff"/>
        <w:numPr>
          <w:ilvl w:val="0"/>
          <w:numId w:val="100"/>
        </w:numPr>
        <w:contextualSpacing/>
        <w:rPr>
          <w:szCs w:val="24"/>
        </w:rPr>
      </w:pPr>
      <w:r w:rsidRPr="00FB583E">
        <w:rPr>
          <w:szCs w:val="24"/>
        </w:rPr>
        <w:t>Эхо-КГ</w:t>
      </w:r>
    </w:p>
    <w:p w14:paraId="670CE34A" w14:textId="77777777" w:rsidR="00A6105F" w:rsidRPr="00FB583E" w:rsidRDefault="00A6105F" w:rsidP="00A6105F">
      <w:pPr>
        <w:ind w:firstLine="708"/>
        <w:rPr>
          <w:b/>
          <w:szCs w:val="24"/>
        </w:rPr>
      </w:pPr>
      <w:r w:rsidRPr="00FB583E">
        <w:rPr>
          <w:b/>
          <w:szCs w:val="24"/>
        </w:rPr>
        <w:t>Консультация специалистов:</w:t>
      </w:r>
    </w:p>
    <w:p w14:paraId="74787A4D" w14:textId="77777777" w:rsidR="00A6105F" w:rsidRPr="00FB583E" w:rsidRDefault="00A6105F" w:rsidP="0091350E">
      <w:pPr>
        <w:pStyle w:val="aff"/>
        <w:numPr>
          <w:ilvl w:val="0"/>
          <w:numId w:val="100"/>
        </w:numPr>
        <w:contextualSpacing/>
        <w:rPr>
          <w:szCs w:val="24"/>
        </w:rPr>
      </w:pPr>
      <w:r w:rsidRPr="00FB583E">
        <w:rPr>
          <w:szCs w:val="24"/>
        </w:rPr>
        <w:t>Невролог – для оценки неврологического статуса</w:t>
      </w:r>
    </w:p>
    <w:p w14:paraId="4CF8D5CE" w14:textId="2992F91A" w:rsidR="00A6105F" w:rsidRPr="00FB583E" w:rsidRDefault="00A6105F" w:rsidP="0091350E">
      <w:pPr>
        <w:pStyle w:val="aff"/>
        <w:numPr>
          <w:ilvl w:val="0"/>
          <w:numId w:val="100"/>
        </w:numPr>
        <w:contextualSpacing/>
        <w:rPr>
          <w:szCs w:val="24"/>
        </w:rPr>
      </w:pPr>
      <w:r w:rsidRPr="00FB583E">
        <w:rPr>
          <w:szCs w:val="24"/>
        </w:rPr>
        <w:t>Нейрохирург – для СТБ при очаговом поражении головного мозга для верификации диагноза.</w:t>
      </w:r>
    </w:p>
    <w:p w14:paraId="012F272B" w14:textId="77777777" w:rsidR="00A6105F" w:rsidRPr="00FB583E" w:rsidRDefault="00A6105F" w:rsidP="0091350E">
      <w:pPr>
        <w:pStyle w:val="aff"/>
        <w:numPr>
          <w:ilvl w:val="0"/>
          <w:numId w:val="100"/>
        </w:numPr>
        <w:contextualSpacing/>
        <w:rPr>
          <w:szCs w:val="24"/>
        </w:rPr>
      </w:pPr>
      <w:r w:rsidRPr="00FB583E">
        <w:rPr>
          <w:szCs w:val="24"/>
        </w:rPr>
        <w:t>Офтальмолог – для оценки состояния глазного дна.</w:t>
      </w:r>
    </w:p>
    <w:p w14:paraId="08FE3C3F" w14:textId="77777777" w:rsidR="00A6105F" w:rsidRPr="00FB583E" w:rsidRDefault="00A6105F" w:rsidP="0091350E">
      <w:pPr>
        <w:pStyle w:val="aff"/>
        <w:numPr>
          <w:ilvl w:val="0"/>
          <w:numId w:val="100"/>
        </w:numPr>
        <w:contextualSpacing/>
        <w:rPr>
          <w:szCs w:val="24"/>
        </w:rPr>
      </w:pPr>
      <w:r w:rsidRPr="00FB583E">
        <w:rPr>
          <w:szCs w:val="24"/>
        </w:rPr>
        <w:t>По показаниям привлекаются другие специалисты:</w:t>
      </w:r>
    </w:p>
    <w:p w14:paraId="1C59E307" w14:textId="77777777" w:rsidR="00A6105F" w:rsidRPr="00FB583E" w:rsidRDefault="00A6105F" w:rsidP="0091350E">
      <w:pPr>
        <w:pStyle w:val="aff"/>
        <w:numPr>
          <w:ilvl w:val="1"/>
          <w:numId w:val="100"/>
        </w:numPr>
        <w:contextualSpacing/>
        <w:rPr>
          <w:szCs w:val="24"/>
        </w:rPr>
      </w:pPr>
      <w:r w:rsidRPr="00FB583E">
        <w:rPr>
          <w:szCs w:val="24"/>
        </w:rPr>
        <w:t>рентгенолог</w:t>
      </w:r>
    </w:p>
    <w:p w14:paraId="3F6753FB" w14:textId="77777777" w:rsidR="00A6105F" w:rsidRPr="00FB583E" w:rsidRDefault="00A6105F" w:rsidP="0091350E">
      <w:pPr>
        <w:pStyle w:val="aff"/>
        <w:numPr>
          <w:ilvl w:val="1"/>
          <w:numId w:val="100"/>
        </w:numPr>
        <w:contextualSpacing/>
        <w:rPr>
          <w:szCs w:val="24"/>
        </w:rPr>
      </w:pPr>
      <w:r w:rsidRPr="00FB583E">
        <w:rPr>
          <w:szCs w:val="24"/>
        </w:rPr>
        <w:t>психиатр</w:t>
      </w:r>
    </w:p>
    <w:p w14:paraId="7A0D8A80" w14:textId="77777777" w:rsidR="00A6105F" w:rsidRPr="00FB583E" w:rsidRDefault="00A6105F" w:rsidP="0091350E">
      <w:pPr>
        <w:pStyle w:val="aff"/>
        <w:numPr>
          <w:ilvl w:val="1"/>
          <w:numId w:val="100"/>
        </w:numPr>
        <w:contextualSpacing/>
        <w:rPr>
          <w:szCs w:val="24"/>
        </w:rPr>
      </w:pPr>
      <w:r w:rsidRPr="00FB583E">
        <w:rPr>
          <w:szCs w:val="24"/>
        </w:rPr>
        <w:t>психолог</w:t>
      </w:r>
    </w:p>
    <w:p w14:paraId="74874F93" w14:textId="77777777" w:rsidR="00A6105F" w:rsidRPr="00FB583E" w:rsidRDefault="00A6105F" w:rsidP="0091350E">
      <w:pPr>
        <w:pStyle w:val="aff"/>
        <w:numPr>
          <w:ilvl w:val="1"/>
          <w:numId w:val="100"/>
        </w:numPr>
        <w:contextualSpacing/>
        <w:rPr>
          <w:szCs w:val="24"/>
        </w:rPr>
      </w:pPr>
      <w:r w:rsidRPr="00FB583E">
        <w:rPr>
          <w:szCs w:val="24"/>
        </w:rPr>
        <w:t>кинезиотерапевт</w:t>
      </w:r>
    </w:p>
    <w:p w14:paraId="0604BD02" w14:textId="77777777" w:rsidR="00A6105F" w:rsidRPr="00FB583E" w:rsidRDefault="00A6105F" w:rsidP="00A6105F">
      <w:pPr>
        <w:ind w:firstLine="708"/>
        <w:rPr>
          <w:b/>
          <w:szCs w:val="24"/>
        </w:rPr>
      </w:pPr>
      <w:r w:rsidRPr="00FB583E">
        <w:rPr>
          <w:b/>
          <w:szCs w:val="24"/>
        </w:rPr>
        <w:t xml:space="preserve">Лекарственная терапия </w:t>
      </w:r>
    </w:p>
    <w:p w14:paraId="7ED399EA" w14:textId="77777777" w:rsidR="00A6105F" w:rsidRPr="00FB583E" w:rsidRDefault="00A6105F" w:rsidP="0091350E">
      <w:pPr>
        <w:pStyle w:val="aff"/>
        <w:numPr>
          <w:ilvl w:val="0"/>
          <w:numId w:val="100"/>
        </w:numPr>
        <w:contextualSpacing/>
        <w:rPr>
          <w:szCs w:val="24"/>
        </w:rPr>
      </w:pPr>
      <w:r w:rsidRPr="00FB583E">
        <w:rPr>
          <w:szCs w:val="24"/>
        </w:rPr>
        <w:t>Антибактериальная, противовирусная, противогрибковая терапия согласно выявленной инфекции</w:t>
      </w:r>
    </w:p>
    <w:p w14:paraId="16C49BF3" w14:textId="77777777" w:rsidR="00A6105F" w:rsidRPr="00FB583E" w:rsidRDefault="00A6105F" w:rsidP="0091350E">
      <w:pPr>
        <w:pStyle w:val="aff"/>
        <w:numPr>
          <w:ilvl w:val="0"/>
          <w:numId w:val="100"/>
        </w:numPr>
        <w:contextualSpacing/>
        <w:rPr>
          <w:szCs w:val="24"/>
        </w:rPr>
      </w:pPr>
      <w:r w:rsidRPr="00FB583E">
        <w:rPr>
          <w:szCs w:val="24"/>
        </w:rPr>
        <w:t>Противоэпилептическая терапия, в том числе: леветирацетам в/в, табл; конвулекс в/в, таб; прегабалин капс; габапентин таб, клоназепам таб; фенобарбитал таб, окскарбазепин таб, ламотриджил таб, диазепам в/в, таб.</w:t>
      </w:r>
    </w:p>
    <w:p w14:paraId="0F9F6929" w14:textId="77777777" w:rsidR="00A6105F" w:rsidRPr="00FB583E" w:rsidRDefault="00A6105F" w:rsidP="0091350E">
      <w:pPr>
        <w:pStyle w:val="aff"/>
        <w:numPr>
          <w:ilvl w:val="0"/>
          <w:numId w:val="100"/>
        </w:numPr>
        <w:contextualSpacing/>
        <w:rPr>
          <w:szCs w:val="24"/>
        </w:rPr>
      </w:pPr>
      <w:r w:rsidRPr="00FB583E">
        <w:rPr>
          <w:szCs w:val="24"/>
        </w:rPr>
        <w:t xml:space="preserve">Противоотечные препараты – маннитол в/в, лазикс в/в, ацетазоламид (диакарб) в таб. </w:t>
      </w:r>
    </w:p>
    <w:p w14:paraId="7191FFFD" w14:textId="77777777" w:rsidR="00A6105F" w:rsidRPr="00FB583E" w:rsidRDefault="00A6105F" w:rsidP="0091350E">
      <w:pPr>
        <w:pStyle w:val="aff"/>
        <w:numPr>
          <w:ilvl w:val="0"/>
          <w:numId w:val="100"/>
        </w:numPr>
        <w:contextualSpacing/>
        <w:rPr>
          <w:szCs w:val="24"/>
        </w:rPr>
      </w:pPr>
      <w:r w:rsidRPr="00FB583E">
        <w:rPr>
          <w:szCs w:val="24"/>
        </w:rPr>
        <w:t>Противорвотная терапия – ондансетрон в/в</w:t>
      </w:r>
    </w:p>
    <w:p w14:paraId="091692A9" w14:textId="77777777" w:rsidR="00A6105F" w:rsidRPr="00FB583E" w:rsidRDefault="00A6105F" w:rsidP="0091350E">
      <w:pPr>
        <w:pStyle w:val="aff"/>
        <w:numPr>
          <w:ilvl w:val="0"/>
          <w:numId w:val="100"/>
        </w:numPr>
        <w:contextualSpacing/>
        <w:rPr>
          <w:szCs w:val="24"/>
        </w:rPr>
      </w:pPr>
      <w:r w:rsidRPr="00FB583E">
        <w:rPr>
          <w:szCs w:val="24"/>
        </w:rPr>
        <w:t>Нейропротекторная терапия – аминофенилмаслянная кислота таб.</w:t>
      </w:r>
    </w:p>
    <w:p w14:paraId="420519B6" w14:textId="77777777" w:rsidR="00A6105F" w:rsidRPr="00FB583E" w:rsidRDefault="00A6105F" w:rsidP="0091350E">
      <w:pPr>
        <w:pStyle w:val="aff"/>
        <w:numPr>
          <w:ilvl w:val="0"/>
          <w:numId w:val="100"/>
        </w:numPr>
        <w:contextualSpacing/>
        <w:rPr>
          <w:szCs w:val="24"/>
        </w:rPr>
      </w:pPr>
      <w:r w:rsidRPr="00FB583E">
        <w:rPr>
          <w:szCs w:val="24"/>
        </w:rPr>
        <w:t>Антидепрессанты –  по назначению психиатра</w:t>
      </w:r>
    </w:p>
    <w:p w14:paraId="58B83D6C" w14:textId="77777777" w:rsidR="00A6105F" w:rsidRPr="00FB583E" w:rsidRDefault="00A6105F" w:rsidP="0091350E">
      <w:pPr>
        <w:pStyle w:val="aff"/>
        <w:numPr>
          <w:ilvl w:val="0"/>
          <w:numId w:val="100"/>
        </w:numPr>
        <w:contextualSpacing/>
        <w:rPr>
          <w:szCs w:val="24"/>
        </w:rPr>
      </w:pPr>
      <w:r w:rsidRPr="00FB583E">
        <w:rPr>
          <w:szCs w:val="24"/>
        </w:rPr>
        <w:t xml:space="preserve">Витаминотерапия </w:t>
      </w:r>
    </w:p>
    <w:p w14:paraId="2F193E10" w14:textId="77777777" w:rsidR="00A6105F" w:rsidRPr="00FB583E" w:rsidRDefault="00A6105F" w:rsidP="00A6105F">
      <w:pPr>
        <w:rPr>
          <w:szCs w:val="24"/>
        </w:rPr>
      </w:pPr>
    </w:p>
    <w:p w14:paraId="766EBFE1" w14:textId="77777777" w:rsidR="00A6105F" w:rsidRPr="00FB583E" w:rsidRDefault="00A6105F" w:rsidP="00A6105F">
      <w:pPr>
        <w:rPr>
          <w:i/>
          <w:szCs w:val="24"/>
          <w:u w:val="single"/>
        </w:rPr>
      </w:pPr>
      <w:r w:rsidRPr="00FB583E">
        <w:rPr>
          <w:i/>
          <w:szCs w:val="24"/>
          <w:u w:val="single"/>
        </w:rPr>
        <w:t>Когнитивные нарушения у гематологических пациентов.</w:t>
      </w:r>
    </w:p>
    <w:p w14:paraId="11C4134D" w14:textId="77777777" w:rsidR="00A6105F" w:rsidRPr="00FB583E" w:rsidRDefault="00A6105F" w:rsidP="00A6105F">
      <w:pPr>
        <w:ind w:firstLine="708"/>
        <w:rPr>
          <w:szCs w:val="24"/>
        </w:rPr>
      </w:pPr>
      <w:r w:rsidRPr="00FB583E">
        <w:rPr>
          <w:szCs w:val="24"/>
        </w:rPr>
        <w:t>Гематологические заболевания и их терапия</w:t>
      </w:r>
      <w:r w:rsidRPr="00FB583E">
        <w:rPr>
          <w:rFonts w:eastAsia="+mj-ea"/>
          <w:bCs/>
          <w:color w:val="000000"/>
          <w:kern w:val="24"/>
          <w:szCs w:val="24"/>
        </w:rPr>
        <w:t xml:space="preserve"> иммунодепрессантами и цитотоксическими препаратами, а также высокоинтенсивная специфическая терапия, в том числе, трансплантация гемопоэтических стволовых клеток</w:t>
      </w:r>
      <w:r w:rsidRPr="00FB583E">
        <w:rPr>
          <w:szCs w:val="24"/>
        </w:rPr>
        <w:t xml:space="preserve"> могут приводить к формированию у пациентов когнитивных расстройств различной степени тяжести, которые сопровождаются изменениями нейрофизиологических показателей (ЭЭГ, ВП) и данных нейровизуализации (КТ, МРТ). Нарушение когнитивных функций усугубляет у пациента симптомы депрессии и тревоги.</w:t>
      </w:r>
    </w:p>
    <w:p w14:paraId="2A252E7E" w14:textId="77777777" w:rsidR="00A6105F" w:rsidRPr="00FB583E" w:rsidRDefault="00A6105F" w:rsidP="00A6105F">
      <w:pPr>
        <w:ind w:firstLine="708"/>
        <w:rPr>
          <w:color w:val="333333"/>
          <w:szCs w:val="24"/>
          <w:shd w:val="clear" w:color="auto" w:fill="FFFFFF"/>
        </w:rPr>
      </w:pPr>
      <w:r w:rsidRPr="00FB583E">
        <w:rPr>
          <w:b/>
          <w:szCs w:val="24"/>
        </w:rPr>
        <w:t>Клинические проявления:</w:t>
      </w:r>
      <w:r>
        <w:rPr>
          <w:b/>
          <w:szCs w:val="24"/>
        </w:rPr>
        <w:t xml:space="preserve"> </w:t>
      </w:r>
      <w:r w:rsidRPr="00FB583E">
        <w:rPr>
          <w:szCs w:val="24"/>
        </w:rPr>
        <w:t>в</w:t>
      </w:r>
      <w:r w:rsidRPr="00FB583E">
        <w:rPr>
          <w:color w:val="333333"/>
          <w:szCs w:val="24"/>
          <w:shd w:val="clear" w:color="auto" w:fill="FFFFFF"/>
        </w:rPr>
        <w:t xml:space="preserve"> соответствии с критериями </w:t>
      </w:r>
      <w:r w:rsidRPr="00FB583E">
        <w:rPr>
          <w:color w:val="333333"/>
          <w:szCs w:val="24"/>
        </w:rPr>
        <w:t>Clinical Dementia Rating,</w:t>
      </w:r>
      <w:r w:rsidRPr="00FB583E">
        <w:rPr>
          <w:color w:val="333333"/>
          <w:szCs w:val="24"/>
          <w:shd w:val="clear" w:color="auto" w:fill="FFFFFF"/>
        </w:rPr>
        <w:t xml:space="preserve"> для распознавания синдрома мягкой деменции необходимо выявление следующих признаков: постоянное умеренное снижение памяти, частичная дезориентировка во времени; нарушение абстрактного мышления; нарушение повседневной деятельности и проч. </w:t>
      </w:r>
    </w:p>
    <w:p w14:paraId="6F75501E" w14:textId="77777777" w:rsidR="00A6105F" w:rsidRPr="00FB583E" w:rsidRDefault="00A6105F" w:rsidP="00A6105F">
      <w:pPr>
        <w:ind w:firstLine="708"/>
        <w:rPr>
          <w:b/>
          <w:szCs w:val="24"/>
        </w:rPr>
      </w:pPr>
      <w:r w:rsidRPr="00FB583E">
        <w:rPr>
          <w:b/>
          <w:szCs w:val="24"/>
        </w:rPr>
        <w:t>Для первичной диагностики оценивается:</w:t>
      </w:r>
    </w:p>
    <w:p w14:paraId="028F7F85" w14:textId="77777777" w:rsidR="00A6105F" w:rsidRPr="00FB583E" w:rsidRDefault="00A6105F" w:rsidP="0091350E">
      <w:pPr>
        <w:pStyle w:val="aff"/>
        <w:numPr>
          <w:ilvl w:val="0"/>
          <w:numId w:val="100"/>
        </w:numPr>
        <w:contextualSpacing/>
        <w:rPr>
          <w:szCs w:val="24"/>
        </w:rPr>
      </w:pPr>
      <w:r w:rsidRPr="00FB583E">
        <w:rPr>
          <w:szCs w:val="24"/>
        </w:rPr>
        <w:t xml:space="preserve">жалобы; </w:t>
      </w:r>
    </w:p>
    <w:p w14:paraId="561BC517" w14:textId="77777777" w:rsidR="00A6105F" w:rsidRPr="00FB583E" w:rsidRDefault="00A6105F" w:rsidP="0091350E">
      <w:pPr>
        <w:pStyle w:val="aff"/>
        <w:numPr>
          <w:ilvl w:val="0"/>
          <w:numId w:val="100"/>
        </w:numPr>
        <w:contextualSpacing/>
        <w:rPr>
          <w:szCs w:val="24"/>
        </w:rPr>
      </w:pPr>
      <w:r w:rsidRPr="00FB583E">
        <w:rPr>
          <w:szCs w:val="24"/>
        </w:rPr>
        <w:t xml:space="preserve">анамнез; </w:t>
      </w:r>
    </w:p>
    <w:p w14:paraId="0264F0E8" w14:textId="77777777" w:rsidR="00A6105F" w:rsidRPr="00FB583E" w:rsidRDefault="00A6105F" w:rsidP="0091350E">
      <w:pPr>
        <w:pStyle w:val="aff"/>
        <w:numPr>
          <w:ilvl w:val="0"/>
          <w:numId w:val="100"/>
        </w:numPr>
        <w:contextualSpacing/>
        <w:rPr>
          <w:szCs w:val="24"/>
        </w:rPr>
      </w:pPr>
      <w:r w:rsidRPr="00FB583E">
        <w:rPr>
          <w:szCs w:val="24"/>
        </w:rPr>
        <w:t xml:space="preserve">оценка функционального статуса по шкале Карновского; </w:t>
      </w:r>
    </w:p>
    <w:p w14:paraId="757AADD3" w14:textId="77777777" w:rsidR="00A6105F" w:rsidRPr="00FB583E" w:rsidRDefault="00A6105F" w:rsidP="0091350E">
      <w:pPr>
        <w:pStyle w:val="aff"/>
        <w:numPr>
          <w:ilvl w:val="0"/>
          <w:numId w:val="100"/>
        </w:numPr>
        <w:contextualSpacing/>
        <w:rPr>
          <w:szCs w:val="24"/>
        </w:rPr>
      </w:pPr>
      <w:r w:rsidRPr="00FB583E">
        <w:rPr>
          <w:szCs w:val="24"/>
        </w:rPr>
        <w:t xml:space="preserve">неврологический статус с оценкой общемозговой, очаговой и менингеальной симптоматики; </w:t>
      </w:r>
    </w:p>
    <w:p w14:paraId="7E6B64AC" w14:textId="77777777" w:rsidR="00A6105F" w:rsidRPr="00FB583E" w:rsidRDefault="00A6105F" w:rsidP="0091350E">
      <w:pPr>
        <w:pStyle w:val="aff"/>
        <w:numPr>
          <w:ilvl w:val="0"/>
          <w:numId w:val="100"/>
        </w:numPr>
        <w:contextualSpacing/>
        <w:rPr>
          <w:szCs w:val="24"/>
        </w:rPr>
      </w:pPr>
      <w:r w:rsidRPr="00FB583E">
        <w:rPr>
          <w:szCs w:val="24"/>
        </w:rPr>
        <w:t>оценка психологического статуса с использованием психометрических и нейропсихологических инструментов: Монреальская шкала оценки когнитивных функций MoCA, Госпитальная шкала тревоги и депрессии HADS, «запоминание 10 слов», «запоминание 2 пары по 3 слова» , проба «кулак-ребро-ладонь», проба на реципрокную координацию, праксис позы пальцев, пробы Хеда, графомоторная проба, вербальная беглость (фонетическая и семантическая), таблицы Шульте, решение математических задач, счет по Крепелину, методика «от 100 по 7», пересказ рассказа;</w:t>
      </w:r>
    </w:p>
    <w:p w14:paraId="79021656" w14:textId="77777777" w:rsidR="00A6105F" w:rsidRPr="00FB583E" w:rsidRDefault="00A6105F" w:rsidP="0091350E">
      <w:pPr>
        <w:pStyle w:val="aff"/>
        <w:numPr>
          <w:ilvl w:val="0"/>
          <w:numId w:val="100"/>
        </w:numPr>
        <w:contextualSpacing/>
        <w:rPr>
          <w:szCs w:val="24"/>
        </w:rPr>
      </w:pPr>
      <w:r w:rsidRPr="00FB583E">
        <w:rPr>
          <w:szCs w:val="24"/>
        </w:rPr>
        <w:t xml:space="preserve">оценка психического состояния; </w:t>
      </w:r>
    </w:p>
    <w:p w14:paraId="601FEB2F" w14:textId="1EAC2BA0" w:rsidR="00A6105F" w:rsidRPr="00FB583E" w:rsidRDefault="00A6105F" w:rsidP="0091350E">
      <w:pPr>
        <w:pStyle w:val="aff"/>
        <w:numPr>
          <w:ilvl w:val="0"/>
          <w:numId w:val="100"/>
        </w:numPr>
        <w:contextualSpacing/>
        <w:rPr>
          <w:szCs w:val="24"/>
        </w:rPr>
      </w:pPr>
      <w:r w:rsidRPr="00FB583E">
        <w:rPr>
          <w:szCs w:val="24"/>
        </w:rPr>
        <w:t xml:space="preserve">нейрофизиологические исследования </w:t>
      </w:r>
      <w:r w:rsidR="007552CD">
        <w:rPr>
          <w:szCs w:val="24"/>
        </w:rPr>
        <w:t>–</w:t>
      </w:r>
      <w:r w:rsidRPr="00FB583E">
        <w:rPr>
          <w:szCs w:val="24"/>
        </w:rPr>
        <w:t xml:space="preserve"> ЭЭГ, КВП;</w:t>
      </w:r>
    </w:p>
    <w:p w14:paraId="438E5359" w14:textId="38C6EAA4" w:rsidR="00A6105F" w:rsidRPr="00FB583E" w:rsidRDefault="00A6105F" w:rsidP="0091350E">
      <w:pPr>
        <w:pStyle w:val="aff"/>
        <w:numPr>
          <w:ilvl w:val="0"/>
          <w:numId w:val="100"/>
        </w:numPr>
        <w:contextualSpacing/>
        <w:rPr>
          <w:szCs w:val="24"/>
        </w:rPr>
      </w:pPr>
      <w:r w:rsidRPr="00FB583E">
        <w:rPr>
          <w:szCs w:val="24"/>
        </w:rPr>
        <w:t xml:space="preserve">нейровизуализационные исследования </w:t>
      </w:r>
      <w:r w:rsidR="007552CD">
        <w:rPr>
          <w:szCs w:val="24"/>
        </w:rPr>
        <w:t>–</w:t>
      </w:r>
      <w:r w:rsidRPr="00FB583E">
        <w:rPr>
          <w:szCs w:val="24"/>
        </w:rPr>
        <w:t xml:space="preserve"> МРТ / КТ головного мозга.</w:t>
      </w:r>
    </w:p>
    <w:p w14:paraId="46205F0A" w14:textId="77777777" w:rsidR="00A6105F" w:rsidRPr="00FB583E" w:rsidRDefault="00A6105F" w:rsidP="00A6105F">
      <w:pPr>
        <w:ind w:left="12" w:firstLine="708"/>
        <w:rPr>
          <w:b/>
          <w:szCs w:val="24"/>
        </w:rPr>
      </w:pPr>
      <w:r w:rsidRPr="00FB583E">
        <w:rPr>
          <w:b/>
          <w:szCs w:val="24"/>
        </w:rPr>
        <w:t>Лабораторная диагностика:</w:t>
      </w:r>
      <w:r>
        <w:rPr>
          <w:b/>
          <w:szCs w:val="24"/>
        </w:rPr>
        <w:t xml:space="preserve"> </w:t>
      </w:r>
      <w:r w:rsidRPr="00FB583E">
        <w:rPr>
          <w:szCs w:val="24"/>
        </w:rPr>
        <w:t xml:space="preserve">по назначению гематолога. </w:t>
      </w:r>
      <w:r w:rsidRPr="00FB583E">
        <w:rPr>
          <w:b/>
          <w:szCs w:val="24"/>
        </w:rPr>
        <w:t xml:space="preserve"> </w:t>
      </w:r>
    </w:p>
    <w:p w14:paraId="62EAD713" w14:textId="77777777" w:rsidR="00A6105F" w:rsidRPr="00FB583E" w:rsidRDefault="00A6105F" w:rsidP="00A6105F">
      <w:pPr>
        <w:ind w:firstLine="708"/>
        <w:rPr>
          <w:b/>
          <w:szCs w:val="24"/>
        </w:rPr>
      </w:pPr>
      <w:r w:rsidRPr="00FB583E">
        <w:rPr>
          <w:b/>
          <w:szCs w:val="24"/>
        </w:rPr>
        <w:t>Инструментальная диагностика:</w:t>
      </w:r>
    </w:p>
    <w:p w14:paraId="6649E8F0" w14:textId="77777777" w:rsidR="00A6105F" w:rsidRPr="00FB583E" w:rsidRDefault="00A6105F" w:rsidP="0091350E">
      <w:pPr>
        <w:pStyle w:val="aff"/>
        <w:numPr>
          <w:ilvl w:val="0"/>
          <w:numId w:val="100"/>
        </w:numPr>
        <w:contextualSpacing/>
        <w:rPr>
          <w:szCs w:val="24"/>
        </w:rPr>
      </w:pPr>
      <w:r w:rsidRPr="00FB583E">
        <w:rPr>
          <w:szCs w:val="24"/>
        </w:rPr>
        <w:t xml:space="preserve">КТ с внутривенным контрастированием или МРТ головного мозга </w:t>
      </w:r>
    </w:p>
    <w:p w14:paraId="3C7A34C0" w14:textId="77777777" w:rsidR="00A6105F" w:rsidRPr="00FB583E" w:rsidRDefault="00A6105F" w:rsidP="0091350E">
      <w:pPr>
        <w:pStyle w:val="aff"/>
        <w:numPr>
          <w:ilvl w:val="0"/>
          <w:numId w:val="100"/>
        </w:numPr>
        <w:contextualSpacing/>
        <w:rPr>
          <w:szCs w:val="24"/>
        </w:rPr>
      </w:pPr>
      <w:r w:rsidRPr="00FB583E">
        <w:rPr>
          <w:szCs w:val="24"/>
        </w:rPr>
        <w:t>ЭЭГ с функциональными пробами для определения функционального состояния головного мозга и исключения эпиактивности</w:t>
      </w:r>
    </w:p>
    <w:p w14:paraId="3746835D" w14:textId="77777777" w:rsidR="00A6105F" w:rsidRPr="00FB583E" w:rsidRDefault="00A6105F" w:rsidP="0091350E">
      <w:pPr>
        <w:pStyle w:val="aff"/>
        <w:numPr>
          <w:ilvl w:val="0"/>
          <w:numId w:val="100"/>
        </w:numPr>
        <w:contextualSpacing/>
        <w:rPr>
          <w:szCs w:val="24"/>
        </w:rPr>
      </w:pPr>
      <w:r w:rsidRPr="00FB583E">
        <w:rPr>
          <w:szCs w:val="24"/>
        </w:rPr>
        <w:t>КВП</w:t>
      </w:r>
    </w:p>
    <w:p w14:paraId="272A69EB" w14:textId="77777777" w:rsidR="00A6105F" w:rsidRPr="00FB583E" w:rsidRDefault="00A6105F" w:rsidP="0091350E">
      <w:pPr>
        <w:pStyle w:val="aff"/>
        <w:numPr>
          <w:ilvl w:val="0"/>
          <w:numId w:val="100"/>
        </w:numPr>
        <w:contextualSpacing/>
        <w:rPr>
          <w:szCs w:val="24"/>
        </w:rPr>
      </w:pPr>
      <w:r w:rsidRPr="00FB583E">
        <w:rPr>
          <w:szCs w:val="24"/>
        </w:rPr>
        <w:t xml:space="preserve">ВП различной модальности (по показаниям): ЗВП, КАСВП, ССВП </w:t>
      </w:r>
    </w:p>
    <w:p w14:paraId="212E1BC3" w14:textId="77777777" w:rsidR="00A6105F" w:rsidRPr="00FB583E" w:rsidRDefault="00A6105F" w:rsidP="0091350E">
      <w:pPr>
        <w:pStyle w:val="aff"/>
        <w:numPr>
          <w:ilvl w:val="0"/>
          <w:numId w:val="100"/>
        </w:numPr>
        <w:contextualSpacing/>
        <w:rPr>
          <w:szCs w:val="24"/>
        </w:rPr>
      </w:pPr>
      <w:r w:rsidRPr="00FB583E">
        <w:rPr>
          <w:szCs w:val="24"/>
        </w:rPr>
        <w:t>ТКМС (по показаниям)</w:t>
      </w:r>
    </w:p>
    <w:p w14:paraId="00EBD4F2" w14:textId="77777777" w:rsidR="00A6105F" w:rsidRPr="00FB583E" w:rsidRDefault="00A6105F" w:rsidP="0091350E">
      <w:pPr>
        <w:pStyle w:val="aff"/>
        <w:numPr>
          <w:ilvl w:val="0"/>
          <w:numId w:val="100"/>
        </w:numPr>
        <w:contextualSpacing/>
        <w:rPr>
          <w:szCs w:val="24"/>
        </w:rPr>
      </w:pPr>
      <w:r w:rsidRPr="00FB583E">
        <w:rPr>
          <w:szCs w:val="24"/>
        </w:rPr>
        <w:t>УЗДГ брахиоцефальных артерий и вен (по показаниям)</w:t>
      </w:r>
    </w:p>
    <w:p w14:paraId="7254F7DE" w14:textId="77777777" w:rsidR="00A6105F" w:rsidRPr="00FB583E" w:rsidRDefault="00A6105F" w:rsidP="0091350E">
      <w:pPr>
        <w:pStyle w:val="aff"/>
        <w:numPr>
          <w:ilvl w:val="0"/>
          <w:numId w:val="100"/>
        </w:numPr>
        <w:contextualSpacing/>
        <w:rPr>
          <w:szCs w:val="24"/>
        </w:rPr>
      </w:pPr>
      <w:r w:rsidRPr="00FB583E">
        <w:rPr>
          <w:szCs w:val="24"/>
        </w:rPr>
        <w:t>Консультация специалистов:</w:t>
      </w:r>
    </w:p>
    <w:p w14:paraId="40B5E314" w14:textId="77777777" w:rsidR="00A6105F" w:rsidRPr="00FB583E" w:rsidRDefault="00A6105F" w:rsidP="0091350E">
      <w:pPr>
        <w:pStyle w:val="aff"/>
        <w:numPr>
          <w:ilvl w:val="0"/>
          <w:numId w:val="100"/>
        </w:numPr>
        <w:contextualSpacing/>
        <w:rPr>
          <w:szCs w:val="24"/>
        </w:rPr>
      </w:pPr>
      <w:r w:rsidRPr="00FB583E">
        <w:rPr>
          <w:szCs w:val="24"/>
        </w:rPr>
        <w:t>Невролог – для оценки неврологического статуса</w:t>
      </w:r>
    </w:p>
    <w:p w14:paraId="1CD55D25" w14:textId="77777777" w:rsidR="00A6105F" w:rsidRPr="00FB583E" w:rsidRDefault="00A6105F" w:rsidP="0091350E">
      <w:pPr>
        <w:pStyle w:val="aff"/>
        <w:numPr>
          <w:ilvl w:val="0"/>
          <w:numId w:val="100"/>
        </w:numPr>
        <w:contextualSpacing/>
        <w:rPr>
          <w:szCs w:val="24"/>
        </w:rPr>
      </w:pPr>
      <w:r w:rsidRPr="00FB583E">
        <w:rPr>
          <w:szCs w:val="24"/>
        </w:rPr>
        <w:t>Офтальмолог – для оценки состояния глазного дна</w:t>
      </w:r>
    </w:p>
    <w:p w14:paraId="406316FA" w14:textId="77777777" w:rsidR="00A6105F" w:rsidRPr="00FB583E" w:rsidRDefault="00A6105F" w:rsidP="0091350E">
      <w:pPr>
        <w:pStyle w:val="aff"/>
        <w:numPr>
          <w:ilvl w:val="0"/>
          <w:numId w:val="100"/>
        </w:numPr>
        <w:contextualSpacing/>
        <w:rPr>
          <w:szCs w:val="24"/>
        </w:rPr>
      </w:pPr>
      <w:r w:rsidRPr="00FB583E">
        <w:rPr>
          <w:szCs w:val="24"/>
        </w:rPr>
        <w:t>Психиатр</w:t>
      </w:r>
    </w:p>
    <w:p w14:paraId="34755A0D" w14:textId="77777777" w:rsidR="00A6105F" w:rsidRPr="00FB583E" w:rsidRDefault="00A6105F" w:rsidP="0091350E">
      <w:pPr>
        <w:pStyle w:val="aff"/>
        <w:numPr>
          <w:ilvl w:val="0"/>
          <w:numId w:val="100"/>
        </w:numPr>
        <w:contextualSpacing/>
        <w:rPr>
          <w:szCs w:val="24"/>
        </w:rPr>
      </w:pPr>
      <w:r w:rsidRPr="00FB583E">
        <w:rPr>
          <w:szCs w:val="24"/>
        </w:rPr>
        <w:t>Психолог</w:t>
      </w:r>
    </w:p>
    <w:p w14:paraId="150C6769" w14:textId="77777777" w:rsidR="00A6105F" w:rsidRPr="00FB583E" w:rsidRDefault="00A6105F" w:rsidP="0091350E">
      <w:pPr>
        <w:pStyle w:val="aff"/>
        <w:numPr>
          <w:ilvl w:val="0"/>
          <w:numId w:val="100"/>
        </w:numPr>
        <w:contextualSpacing/>
        <w:rPr>
          <w:szCs w:val="24"/>
        </w:rPr>
      </w:pPr>
      <w:r w:rsidRPr="00FB583E">
        <w:rPr>
          <w:szCs w:val="24"/>
        </w:rPr>
        <w:t>радиолог (по показаниям)</w:t>
      </w:r>
    </w:p>
    <w:p w14:paraId="17E7F3F3" w14:textId="77777777" w:rsidR="00A6105F" w:rsidRPr="00FB583E" w:rsidRDefault="00A6105F" w:rsidP="00A6105F">
      <w:pPr>
        <w:ind w:firstLine="708"/>
        <w:rPr>
          <w:b/>
          <w:szCs w:val="24"/>
        </w:rPr>
      </w:pPr>
      <w:r w:rsidRPr="00FB583E">
        <w:rPr>
          <w:b/>
          <w:szCs w:val="24"/>
        </w:rPr>
        <w:t xml:space="preserve">Лекарственная терапия: </w:t>
      </w:r>
      <w:r w:rsidRPr="00FB583E">
        <w:rPr>
          <w:rFonts w:eastAsia="Times New Roman"/>
          <w:bCs/>
          <w:color w:val="000000"/>
          <w:szCs w:val="24"/>
          <w:lang w:eastAsia="ar-SA"/>
        </w:rPr>
        <w:t xml:space="preserve">нейропротективные препараты </w:t>
      </w:r>
      <w:r w:rsidRPr="00FB583E">
        <w:rPr>
          <w:szCs w:val="24"/>
        </w:rPr>
        <w:t>назначаются пациентам, у которых выявляются когнитивные нарушения при отсутствии явных психопатологических расстройств (кроме астенических нарушений):</w:t>
      </w:r>
    </w:p>
    <w:p w14:paraId="38866BB9" w14:textId="77777777" w:rsidR="00A6105F" w:rsidRPr="00FB583E" w:rsidRDefault="00A6105F" w:rsidP="0091350E">
      <w:pPr>
        <w:pStyle w:val="aff"/>
        <w:numPr>
          <w:ilvl w:val="0"/>
          <w:numId w:val="100"/>
        </w:numPr>
        <w:contextualSpacing/>
        <w:rPr>
          <w:szCs w:val="24"/>
        </w:rPr>
      </w:pPr>
      <w:r w:rsidRPr="00FB583E">
        <w:rPr>
          <w:szCs w:val="24"/>
        </w:rPr>
        <w:t>Цитиколин в/в -  4 недели.</w:t>
      </w:r>
    </w:p>
    <w:p w14:paraId="17DF65C3" w14:textId="77777777" w:rsidR="00A6105F" w:rsidRPr="00FB583E" w:rsidRDefault="00A6105F" w:rsidP="0091350E">
      <w:pPr>
        <w:pStyle w:val="aff"/>
        <w:numPr>
          <w:ilvl w:val="0"/>
          <w:numId w:val="100"/>
        </w:numPr>
        <w:contextualSpacing/>
        <w:rPr>
          <w:szCs w:val="24"/>
        </w:rPr>
      </w:pPr>
      <w:r w:rsidRPr="00FB583E">
        <w:rPr>
          <w:szCs w:val="24"/>
        </w:rPr>
        <w:t>Холина альфоцерат в/в - 4 недели.</w:t>
      </w:r>
    </w:p>
    <w:p w14:paraId="704F9D3D" w14:textId="77777777" w:rsidR="00A6105F" w:rsidRDefault="00A6105F" w:rsidP="0091350E">
      <w:pPr>
        <w:pStyle w:val="aff"/>
        <w:numPr>
          <w:ilvl w:val="0"/>
          <w:numId w:val="100"/>
        </w:numPr>
        <w:contextualSpacing/>
        <w:rPr>
          <w:szCs w:val="24"/>
        </w:rPr>
      </w:pPr>
      <w:r w:rsidRPr="00FB583E">
        <w:rPr>
          <w:szCs w:val="24"/>
        </w:rPr>
        <w:t>Ипидакрин (не применятся у больных с эпилепсией) в таблетках - 4 недели (дозы препаратов в соответствии с рекомендуемым для пациентов общесоматической сети и не зависящие от тяжести соматического состояния)</w:t>
      </w:r>
    </w:p>
    <w:p w14:paraId="39501E3A" w14:textId="77777777" w:rsidR="00A6105F" w:rsidRDefault="00A6105F" w:rsidP="0091350E">
      <w:pPr>
        <w:pStyle w:val="aff"/>
        <w:numPr>
          <w:ilvl w:val="0"/>
          <w:numId w:val="100"/>
        </w:numPr>
        <w:contextualSpacing/>
        <w:rPr>
          <w:szCs w:val="24"/>
        </w:rPr>
      </w:pPr>
      <w:r w:rsidRPr="00FB583E">
        <w:rPr>
          <w:szCs w:val="24"/>
        </w:rPr>
        <w:t>При психических нарушениях по рекомендации психиатра назначаются транквилизаторы, антидепрессанты, нейролептики (см. рекомендации психиатра)</w:t>
      </w:r>
    </w:p>
    <w:p w14:paraId="51A474A8" w14:textId="77777777" w:rsidR="00A6105F" w:rsidRPr="00FB583E" w:rsidRDefault="00A6105F" w:rsidP="0091350E">
      <w:pPr>
        <w:pStyle w:val="aff"/>
        <w:numPr>
          <w:ilvl w:val="0"/>
          <w:numId w:val="100"/>
        </w:numPr>
        <w:contextualSpacing/>
        <w:rPr>
          <w:szCs w:val="24"/>
        </w:rPr>
      </w:pPr>
      <w:r w:rsidRPr="00FB583E">
        <w:rPr>
          <w:rFonts w:eastAsia="Times New Roman"/>
          <w:bCs/>
          <w:color w:val="000000"/>
          <w:szCs w:val="24"/>
          <w:lang w:eastAsia="ar-SA"/>
        </w:rPr>
        <w:t>Когнитивно-поведенческая психотерапия с элементами психообразования по рекомендации психолога</w:t>
      </w:r>
    </w:p>
    <w:p w14:paraId="2D1C25DA" w14:textId="77777777" w:rsidR="00A6105F" w:rsidRPr="00FB583E" w:rsidRDefault="00A6105F" w:rsidP="00A6105F">
      <w:pPr>
        <w:pStyle w:val="aff"/>
        <w:autoSpaceDE w:val="0"/>
        <w:autoSpaceDN w:val="0"/>
        <w:adjustRightInd w:val="0"/>
        <w:rPr>
          <w:szCs w:val="24"/>
        </w:rPr>
      </w:pPr>
    </w:p>
    <w:p w14:paraId="2E55211B" w14:textId="6671FF24" w:rsidR="00120F30" w:rsidRPr="00120F30" w:rsidRDefault="007552CD" w:rsidP="00120F30">
      <w:pPr>
        <w:pStyle w:val="2"/>
      </w:pPr>
      <w:bookmarkStart w:id="57" w:name="_Toc65104115"/>
      <w:r w:rsidRPr="005267A5">
        <w:t>7.1</w:t>
      </w:r>
      <w:r>
        <w:t xml:space="preserve">7 </w:t>
      </w:r>
      <w:r w:rsidR="00120F30" w:rsidRPr="00DE09DF">
        <w:t>Диагностика и лечение психических расстройств у пациентов с гематологическими  заболеваниями</w:t>
      </w:r>
      <w:bookmarkEnd w:id="57"/>
    </w:p>
    <w:p w14:paraId="12E3DE28" w14:textId="77777777" w:rsidR="00120F30" w:rsidRDefault="00120F30" w:rsidP="00120F30">
      <w:pPr>
        <w:pStyle w:val="1ff0"/>
        <w:spacing w:line="360" w:lineRule="auto"/>
        <w:ind w:firstLine="709"/>
        <w:jc w:val="both"/>
        <w:rPr>
          <w:sz w:val="24"/>
          <w:szCs w:val="24"/>
        </w:rPr>
      </w:pPr>
    </w:p>
    <w:p w14:paraId="4ACE53BC" w14:textId="26A1760C" w:rsidR="00120F30" w:rsidRDefault="00120F30" w:rsidP="00120F30">
      <w:pPr>
        <w:pStyle w:val="1ff0"/>
        <w:spacing w:line="360" w:lineRule="auto"/>
        <w:ind w:firstLine="709"/>
        <w:jc w:val="both"/>
        <w:rPr>
          <w:sz w:val="24"/>
          <w:szCs w:val="24"/>
        </w:rPr>
      </w:pPr>
      <w:r w:rsidRPr="00512369">
        <w:rPr>
          <w:sz w:val="24"/>
          <w:szCs w:val="24"/>
        </w:rPr>
        <w:t xml:space="preserve">Эффективное лечение заболеваний системы крови может быть достигнуто только за счет реализации в полном объеме принципов, основанных на соблюдении дозы и интенсивности химиотерапевтического воздействия, что предполагает выполнение протокола лечения в максимально полном объеме. Нарушение этого принципа неизбежно приведет к нарушению принципа лечения. Затруднять реализацию протокола могут такие факторы, как токсические, инфекционные осложнения, и в </w:t>
      </w:r>
      <w:r>
        <w:rPr>
          <w:sz w:val="24"/>
          <w:szCs w:val="24"/>
        </w:rPr>
        <w:t>том числе</w:t>
      </w:r>
      <w:r w:rsidRPr="00512369">
        <w:rPr>
          <w:sz w:val="24"/>
          <w:szCs w:val="24"/>
        </w:rPr>
        <w:t xml:space="preserve"> психические нарушения. Кроме того, последние существенно нарушают качество жизни пациентов. Следовательно, их купирование является важным не только само по себе, но и способствует реализации химиотерапевтического протокола в полном объеме, т.е. влияет на результаты лечения. Психические расстройства при заболевани</w:t>
      </w:r>
      <w:r>
        <w:rPr>
          <w:sz w:val="24"/>
          <w:szCs w:val="24"/>
        </w:rPr>
        <w:t>ях</w:t>
      </w:r>
      <w:r w:rsidRPr="00512369">
        <w:rPr>
          <w:sz w:val="24"/>
          <w:szCs w:val="24"/>
        </w:rPr>
        <w:t xml:space="preserve"> системы крови характеризуются достаточно высокой частотой встречаемости, </w:t>
      </w:r>
      <w:r>
        <w:rPr>
          <w:sz w:val="24"/>
          <w:szCs w:val="24"/>
        </w:rPr>
        <w:t>п</w:t>
      </w:r>
      <w:r w:rsidRPr="00512369">
        <w:rPr>
          <w:sz w:val="24"/>
          <w:szCs w:val="24"/>
        </w:rPr>
        <w:t>о данным различных авторов составляющей</w:t>
      </w:r>
      <w:r>
        <w:rPr>
          <w:sz w:val="24"/>
          <w:szCs w:val="24"/>
        </w:rPr>
        <w:t xml:space="preserve"> </w:t>
      </w:r>
      <w:r w:rsidRPr="00512369">
        <w:rPr>
          <w:sz w:val="24"/>
          <w:szCs w:val="24"/>
        </w:rPr>
        <w:t xml:space="preserve"> 9,6-71,3%, в зависимости от используемых критериев и методов оценки психических расстройств</w:t>
      </w:r>
      <w:r w:rsidRPr="00070BE4">
        <w:rPr>
          <w:sz w:val="24"/>
          <w:szCs w:val="24"/>
        </w:rPr>
        <w:t xml:space="preserve"> </w:t>
      </w:r>
      <w:r>
        <w:rPr>
          <w:sz w:val="24"/>
          <w:szCs w:val="24"/>
        </w:rPr>
        <w:fldChar w:fldCharType="begin" w:fldLock="1"/>
      </w:r>
      <w:r w:rsidR="00B7783A">
        <w:rPr>
          <w:sz w:val="24"/>
          <w:szCs w:val="24"/>
        </w:rPr>
        <w:instrText>ADDIN CSL_CITATION {"citationItems":[{"id":"ITEM-1","itemData":{"DOI":"10.1200/JCO.2002.07.101","ISSN":"0732183X","PMID":"11919251","abstract":"Purpose: To determine the prevalence of psychiatric disorders during hospitalization for hematopoietic stem-cell transplantation (SCT) and to estimate their impact on hospital length of stay (LOS). Patients and Methods: In a prospective inpatient study conducted from July 1994 to August 1997, 220 patients aged 16 to 65 years received SCT for hematologic cancer at a single institution. Patients received a psychiatric assessment at hospital admission and weekly during hospitalization until discharge or death, yielding a total of 1,062 psychiatric interviews performed. Psychiatric disorders were determined on the basis of the Diagnostic and Statistical Manual of Mental Disorders, Fourth Edition. Univariate and multivariate linear regression analyses were used to identify variables associated with LOS. Results: Overall psychiatric disorder prevalence was 44.1%; an adjustment disorder was diagnosed in 22.7% of patients, a mood disorder in 14.1%, an anxiety disorder in 8.2%, and delirium in 7.3%. After adjusting for admission and in-hospital risk factors, diagnosis of any mood, anxiety, or adjustment disorder (P = .022), chronic myelogenous leukemia (P = .003), Karnofsky performance score less than 90 at hospital admission (P = .025), and higher regimen-related toxicity (P &lt; .001) were associated with a longer LOS. Acute lymphoblastic leukemia (P = .009), non Hodgkin's lymphoma (P = .04), use of peripheral-blood stem cells (P &lt; .001), second year of study (P &lt; .001), and third year of study (P &lt; .001) were associated with a shorter LOS. Conclusion: Our data indicate high psychiatric morbidity and an association with longer LOS, underscoring the need for early recognition and effective treatment. © 2002 by American Society of Clinical Oncology.","author":[{"dropping-particle":"","family":"Prieto","given":"Jesús M.","non-dropping-particle":"","parse-names":false,"suffix":""},{"dropping-particle":"","family":"Blanch","given":"Jordi","non-dropping-particle":"","parse-names":false,"suffix":""},{"dropping-particle":"","family":"Atala","given":"Jorge","non-dropping-particle":"","parse-names":false,"suffix":""},{"dropping-particle":"","family":"Carreras","given":"Enric","non-dropping-particle":"","parse-names":false,"suffix":""},{"dropping-particle":"","family":"Rovira","given":"Montserrat","non-dropping-particle":"","parse-names":false,"suffix":""},{"dropping-particle":"","family":"Cirera","given":"Esteve","non-dropping-particle":"","parse-names":false,"suffix":""},{"dropping-particle":"","family":"Gastó","given":"Cristóbal","non-dropping-particle":"","parse-names":false,"suffix":""}],"container-title":"Journal of Clinical Oncology","id":"ITEM-1","issue":"7","issued":{"date-parts":[["2002","4","1"]]},"page":"1907-1917","publisher":"J Clin Oncol","title":"Psychiatric morbidity and impact on hospital length of stay among hematologic cancer patients receiving stem-cell transplantation","type":"article-journal","volume":"20"},"uris":["http://www.mendeley.com/documents/?uuid=b68ecace-88cd-3b2e-8319-91582dc057b0"]},{"id":"ITEM-2","itemData":{"DOI":"10.1016/S1470-2045(11)70002-X","ISSN":"14702045","PMID":"21251875","abstract":"Background: Substantial uncertainty exists about prevalence of mood disorders in patients with cancer, including those in oncological, haematological, and palliative-care settings. We aimed to quantitatively summarise the prevalence of depression, anxiety, and adjustments disorders in these settings. Methods: We searched Medline, PsycINFO, Embase, and Web of Knowledge for studies that examined well-defined depression, anxiety, and adjustment disorder in adults with cancer in oncological, haematological, and palliative-care settings. We restricted studies to those using psychiatric interviews. Studies were reviewed in accordance with PRISMA guidelines and a proportion meta-analysis was done. Findings: We identified 24 studies with 4007 individuals across seven countries in palliative-care settings. Meta-analytical pooled prevalence of depression defined by the Diagnostic and Statistical Manual of Mental Disorders (DSM) or International Classification of Diseases (ICD) criteria was 16·5% (95% CI 13·1-20·3), 14·3% (11·1-17·9) for DSM-defined major depression, and 9·6% (3·6-18·1) for DSM-defined minor depression. Prevalence of adjustment disorder alone was 15·4% (10·1-21·6) and of anxiety disorders 9·8% (6·8-13·2). Prevalence of all types of depression combined was of 24·6% (17·5-32·4), depression or adjustment disorder 24·7% (20·8-28·8), and all types of mood disorder 29·0% (10·1-52·9). We identified 70 studies with 10 071 individuals across 14 countries in oncological and haematological settings. Prevalence of depression by DSM or ICD criteria was 16·3% (13·4-19·5); for DSM-defined major depression it was 14·9% (12·2-17·7) and for DSM-defined minor depression 19·2% (9·1-31·9). Prevalence of adjustment disorder was 19·4% (14·5-24·8), anxiety 10·3% (5·1-17·0), and dysthymia 2·7% (1·7-4·0). Combination diagnoses were common; all types of depression occurred in 20·7% (12·9-29·8) of patients, depression or adjustment disorder in 31·6% (25·0-38·7), and any mood disorder in 38·2% (28·4-48·6). There were few consistent correlates of depression: there was no effect of age, sex, or clinical setting and inadequate data to examine cancer type and illness duration. Interpretation: Interview-defined depression and anxiety is less common in patients with cancer than previously thought, although some combination of mood disorders occurs in 30-40% of patients in hospital settings without a significant difference between palliative-care and non-palliative-care settings. Cl…","author":[{"dropping-particle":"","family":"Mitchell","given":"Alex J.","non-dropping-particle":"","parse-names":false,"suffix":""},{"dropping-particle":"","family":"Chan","given":"Melissa","non-dropping-particle":"","parse-names":false,"suffix":""},{"dropping-particle":"","family":"Bhatti","given":"Henna","non-dropping-particle":"","parse-names":false,"suffix":""},{"dropping-particle":"","family":"Halton","given":"Marie","non-dropping-particle":"","parse-names":false,"suffix":""},{"dropping-particle":"","family":"Grassi","given":"Luigi","non-dropping-particle":"","parse-names":false,"suffix":""},{"dropping-particle":"","family":"Johansen","given":"Christoffer","non-dropping-particle":"","parse-names":false,"suffix":""},{"dropping-particle":"","family":"Meader","given":"Nicholas","non-dropping-particle":"","parse-names":false,"suffix":""}],"container-title":"The Lancet Oncology","id":"ITEM-2","issue":"2","issued":{"date-parts":[["2011","2"]]},"page":"160-174","publisher":"Lancet Oncol","title":"Prevalence of depression, anxiety, and adjustment disorder in oncological, haematological, and palliative-care settings: A meta-analysis of 94 interview-based studies","type":"article-journal","volume":"12"},"uris":["http://www.mendeley.com/documents/?uuid=0f9b5be6-7f93-39b0-b12e-e53970fd252f"]}],"mendeley":{"formattedCitation":"[180,181]","plainTextFormattedCitation":"[180,181]","previouslyFormattedCitation":"[180,181]"},"properties":{"noteIndex":0},"schema":"https://github.com/citation-style-language/schema/raw/master/csl-citation.json"}</w:instrText>
      </w:r>
      <w:r>
        <w:rPr>
          <w:sz w:val="24"/>
          <w:szCs w:val="24"/>
        </w:rPr>
        <w:fldChar w:fldCharType="separate"/>
      </w:r>
      <w:r w:rsidRPr="00120F30">
        <w:rPr>
          <w:noProof/>
          <w:sz w:val="24"/>
          <w:szCs w:val="24"/>
        </w:rPr>
        <w:t>[180,181]</w:t>
      </w:r>
      <w:r>
        <w:rPr>
          <w:sz w:val="24"/>
          <w:szCs w:val="24"/>
        </w:rPr>
        <w:fldChar w:fldCharType="end"/>
      </w:r>
      <w:r w:rsidRPr="00512369">
        <w:rPr>
          <w:sz w:val="24"/>
          <w:szCs w:val="24"/>
        </w:rPr>
        <w:t>.</w:t>
      </w:r>
    </w:p>
    <w:p w14:paraId="686F3DC5" w14:textId="77777777" w:rsidR="00120F30" w:rsidRPr="00512369" w:rsidRDefault="00120F30" w:rsidP="00120F30">
      <w:pPr>
        <w:pStyle w:val="1ff0"/>
        <w:spacing w:line="360" w:lineRule="auto"/>
        <w:ind w:firstLine="709"/>
        <w:jc w:val="both"/>
        <w:rPr>
          <w:sz w:val="24"/>
          <w:szCs w:val="24"/>
        </w:rPr>
      </w:pPr>
    </w:p>
    <w:p w14:paraId="0EA18CAE" w14:textId="77777777" w:rsidR="00120F30" w:rsidRPr="00070BE4" w:rsidRDefault="00120F30" w:rsidP="00120F30">
      <w:pPr>
        <w:rPr>
          <w:i/>
          <w:szCs w:val="24"/>
          <w:u w:val="single"/>
        </w:rPr>
      </w:pPr>
      <w:r w:rsidRPr="00070BE4">
        <w:rPr>
          <w:i/>
          <w:szCs w:val="24"/>
          <w:u w:val="single"/>
        </w:rPr>
        <w:t>Клинические проявления</w:t>
      </w:r>
    </w:p>
    <w:p w14:paraId="669EA814" w14:textId="77777777" w:rsidR="00120F30" w:rsidRDefault="00120F30" w:rsidP="00120F30">
      <w:pPr>
        <w:pStyle w:val="1ff0"/>
        <w:spacing w:line="360" w:lineRule="auto"/>
        <w:ind w:firstLine="709"/>
        <w:jc w:val="both"/>
        <w:rPr>
          <w:sz w:val="24"/>
          <w:szCs w:val="24"/>
        </w:rPr>
      </w:pPr>
      <w:r w:rsidRPr="00512369">
        <w:rPr>
          <w:sz w:val="24"/>
          <w:szCs w:val="24"/>
        </w:rPr>
        <w:t xml:space="preserve">Среди психических расстройств у больных </w:t>
      </w:r>
      <w:r>
        <w:rPr>
          <w:sz w:val="24"/>
          <w:szCs w:val="24"/>
        </w:rPr>
        <w:t xml:space="preserve">с </w:t>
      </w:r>
      <w:r w:rsidRPr="003319F9">
        <w:rPr>
          <w:sz w:val="24"/>
          <w:szCs w:val="24"/>
        </w:rPr>
        <w:t>гематологическими  заболеваниями</w:t>
      </w:r>
      <w:r w:rsidRPr="00512369">
        <w:rPr>
          <w:sz w:val="24"/>
          <w:szCs w:val="24"/>
        </w:rPr>
        <w:t xml:space="preserve"> традиционно рассматриваются </w:t>
      </w:r>
      <w:r>
        <w:rPr>
          <w:sz w:val="24"/>
          <w:szCs w:val="24"/>
        </w:rPr>
        <w:t>две</w:t>
      </w:r>
      <w:r w:rsidRPr="00512369">
        <w:rPr>
          <w:sz w:val="24"/>
          <w:szCs w:val="24"/>
        </w:rPr>
        <w:t xml:space="preserve"> категории нарушений</w:t>
      </w:r>
      <w:r>
        <w:rPr>
          <w:sz w:val="24"/>
          <w:szCs w:val="24"/>
        </w:rPr>
        <w:t>:</w:t>
      </w:r>
    </w:p>
    <w:p w14:paraId="6FA3024C" w14:textId="77777777" w:rsidR="00120F30" w:rsidRDefault="00120F30" w:rsidP="0091350E">
      <w:pPr>
        <w:pStyle w:val="1ff0"/>
        <w:numPr>
          <w:ilvl w:val="0"/>
          <w:numId w:val="101"/>
        </w:numPr>
        <w:overflowPunct/>
        <w:autoSpaceDE/>
        <w:autoSpaceDN/>
        <w:adjustRightInd/>
        <w:spacing w:line="360" w:lineRule="auto"/>
        <w:jc w:val="both"/>
        <w:textAlignment w:val="auto"/>
        <w:rPr>
          <w:sz w:val="24"/>
          <w:szCs w:val="24"/>
        </w:rPr>
      </w:pPr>
      <w:r w:rsidRPr="00512369">
        <w:rPr>
          <w:sz w:val="24"/>
          <w:szCs w:val="24"/>
        </w:rPr>
        <w:t>соматогенные психозы</w:t>
      </w:r>
      <w:r>
        <w:rPr>
          <w:sz w:val="24"/>
          <w:szCs w:val="24"/>
        </w:rPr>
        <w:t>, включающие:</w:t>
      </w:r>
    </w:p>
    <w:p w14:paraId="5B9C0130" w14:textId="77777777" w:rsidR="00120F30" w:rsidRDefault="00120F30" w:rsidP="0091350E">
      <w:pPr>
        <w:pStyle w:val="1ff0"/>
        <w:numPr>
          <w:ilvl w:val="1"/>
          <w:numId w:val="101"/>
        </w:numPr>
        <w:overflowPunct/>
        <w:autoSpaceDE/>
        <w:autoSpaceDN/>
        <w:adjustRightInd/>
        <w:spacing w:line="360" w:lineRule="auto"/>
        <w:jc w:val="both"/>
        <w:textAlignment w:val="auto"/>
        <w:rPr>
          <w:sz w:val="24"/>
          <w:szCs w:val="24"/>
        </w:rPr>
      </w:pPr>
      <w:r w:rsidRPr="00512369">
        <w:rPr>
          <w:sz w:val="24"/>
          <w:szCs w:val="24"/>
        </w:rPr>
        <w:t>делирий (F05.0 Делирий не на фоне демен</w:t>
      </w:r>
      <w:r>
        <w:rPr>
          <w:sz w:val="24"/>
          <w:szCs w:val="24"/>
        </w:rPr>
        <w:t xml:space="preserve">ции, так описанный); </w:t>
      </w:r>
    </w:p>
    <w:p w14:paraId="0AE677B7" w14:textId="77777777" w:rsidR="00120F30" w:rsidRDefault="00120F30" w:rsidP="0091350E">
      <w:pPr>
        <w:pStyle w:val="1ff0"/>
        <w:numPr>
          <w:ilvl w:val="1"/>
          <w:numId w:val="101"/>
        </w:numPr>
        <w:overflowPunct/>
        <w:autoSpaceDE/>
        <w:autoSpaceDN/>
        <w:adjustRightInd/>
        <w:spacing w:line="360" w:lineRule="auto"/>
        <w:jc w:val="both"/>
        <w:textAlignment w:val="auto"/>
        <w:rPr>
          <w:sz w:val="24"/>
          <w:szCs w:val="24"/>
        </w:rPr>
      </w:pPr>
      <w:r w:rsidRPr="00512369">
        <w:rPr>
          <w:sz w:val="24"/>
          <w:szCs w:val="24"/>
        </w:rPr>
        <w:t>эндогеноморфные психозы (</w:t>
      </w:r>
      <w:r w:rsidRPr="00512369">
        <w:rPr>
          <w:bCs/>
          <w:sz w:val="24"/>
          <w:szCs w:val="24"/>
        </w:rPr>
        <w:t>F06.2 Органическое бредовое (</w:t>
      </w:r>
      <w:r>
        <w:rPr>
          <w:bCs/>
          <w:sz w:val="24"/>
          <w:szCs w:val="24"/>
        </w:rPr>
        <w:t>шизофреноподобное) расстройство</w:t>
      </w:r>
      <w:r w:rsidRPr="00512369">
        <w:rPr>
          <w:bCs/>
          <w:sz w:val="24"/>
          <w:szCs w:val="24"/>
        </w:rPr>
        <w:t xml:space="preserve">) </w:t>
      </w:r>
      <w:r>
        <w:rPr>
          <w:sz w:val="24"/>
          <w:szCs w:val="24"/>
        </w:rPr>
        <w:t xml:space="preserve">– </w:t>
      </w:r>
      <w:r w:rsidRPr="00512369">
        <w:rPr>
          <w:sz w:val="24"/>
          <w:szCs w:val="24"/>
        </w:rPr>
        <w:t xml:space="preserve">галлюцинаторно-бредовые, депрессивно-бредовые, </w:t>
      </w:r>
      <w:r>
        <w:rPr>
          <w:sz w:val="24"/>
          <w:szCs w:val="24"/>
        </w:rPr>
        <w:t>онейроидные симптомокомплексы;</w:t>
      </w:r>
    </w:p>
    <w:p w14:paraId="468B62D3" w14:textId="77777777" w:rsidR="00120F30" w:rsidRDefault="00120F30" w:rsidP="0091350E">
      <w:pPr>
        <w:pStyle w:val="1ff0"/>
        <w:numPr>
          <w:ilvl w:val="1"/>
          <w:numId w:val="101"/>
        </w:numPr>
        <w:overflowPunct/>
        <w:autoSpaceDE/>
        <w:autoSpaceDN/>
        <w:adjustRightInd/>
        <w:spacing w:line="360" w:lineRule="auto"/>
        <w:jc w:val="both"/>
        <w:textAlignment w:val="auto"/>
        <w:rPr>
          <w:sz w:val="24"/>
          <w:szCs w:val="24"/>
        </w:rPr>
      </w:pPr>
      <w:r w:rsidRPr="00512369">
        <w:rPr>
          <w:sz w:val="24"/>
          <w:szCs w:val="24"/>
        </w:rPr>
        <w:t>соматогенно провоцированные обострения шизофрении (F20.0 Параноидная шизоф</w:t>
      </w:r>
      <w:r>
        <w:rPr>
          <w:sz w:val="24"/>
          <w:szCs w:val="24"/>
        </w:rPr>
        <w:t>рения);</w:t>
      </w:r>
    </w:p>
    <w:p w14:paraId="6C5B0D18" w14:textId="77777777" w:rsidR="00120F30" w:rsidRDefault="00120F30" w:rsidP="0091350E">
      <w:pPr>
        <w:pStyle w:val="1ff0"/>
        <w:numPr>
          <w:ilvl w:val="0"/>
          <w:numId w:val="101"/>
        </w:numPr>
        <w:overflowPunct/>
        <w:autoSpaceDE/>
        <w:autoSpaceDN/>
        <w:adjustRightInd/>
        <w:spacing w:line="360" w:lineRule="auto"/>
        <w:jc w:val="both"/>
        <w:textAlignment w:val="auto"/>
        <w:rPr>
          <w:sz w:val="24"/>
          <w:szCs w:val="24"/>
        </w:rPr>
      </w:pPr>
      <w:r>
        <w:rPr>
          <w:sz w:val="24"/>
          <w:szCs w:val="24"/>
        </w:rPr>
        <w:t xml:space="preserve">нозогенные реакции, включающие </w:t>
      </w:r>
      <w:r w:rsidRPr="00512369">
        <w:rPr>
          <w:sz w:val="24"/>
          <w:szCs w:val="24"/>
        </w:rPr>
        <w:t>психогении, сопряженные с соматическим заболеванием</w:t>
      </w:r>
      <w:r>
        <w:rPr>
          <w:sz w:val="24"/>
          <w:szCs w:val="24"/>
        </w:rPr>
        <w:t xml:space="preserve"> (</w:t>
      </w:r>
      <w:r w:rsidRPr="00512369">
        <w:rPr>
          <w:sz w:val="24"/>
          <w:szCs w:val="24"/>
          <w:lang w:val="en-US"/>
        </w:rPr>
        <w:t>F</w:t>
      </w:r>
      <w:r w:rsidRPr="00512369">
        <w:rPr>
          <w:sz w:val="24"/>
          <w:szCs w:val="24"/>
        </w:rPr>
        <w:t xml:space="preserve">43.2 </w:t>
      </w:r>
      <w:r>
        <w:rPr>
          <w:sz w:val="24"/>
          <w:szCs w:val="24"/>
        </w:rPr>
        <w:t>Р</w:t>
      </w:r>
      <w:r w:rsidRPr="00512369">
        <w:rPr>
          <w:sz w:val="24"/>
          <w:szCs w:val="24"/>
        </w:rPr>
        <w:t>асстрой</w:t>
      </w:r>
      <w:r>
        <w:rPr>
          <w:sz w:val="24"/>
          <w:szCs w:val="24"/>
        </w:rPr>
        <w:t>ство приспособительных реакций</w:t>
      </w:r>
      <w:r w:rsidRPr="00512369">
        <w:rPr>
          <w:sz w:val="24"/>
          <w:szCs w:val="24"/>
        </w:rPr>
        <w:t>).</w:t>
      </w:r>
    </w:p>
    <w:p w14:paraId="7C1246C1" w14:textId="77777777" w:rsidR="00120F30" w:rsidRDefault="00120F30" w:rsidP="00120F30">
      <w:pPr>
        <w:rPr>
          <w:b/>
          <w:szCs w:val="24"/>
        </w:rPr>
      </w:pPr>
    </w:p>
    <w:p w14:paraId="64314FD3" w14:textId="77777777" w:rsidR="00120F30" w:rsidRPr="00E931A1" w:rsidRDefault="00120F30" w:rsidP="00120F30">
      <w:pPr>
        <w:rPr>
          <w:i/>
          <w:szCs w:val="24"/>
          <w:u w:val="single"/>
        </w:rPr>
      </w:pPr>
      <w:r w:rsidRPr="00E931A1">
        <w:rPr>
          <w:i/>
          <w:szCs w:val="24"/>
          <w:u w:val="single"/>
        </w:rPr>
        <w:t>Лекарственные терапия</w:t>
      </w:r>
    </w:p>
    <w:p w14:paraId="52D03947" w14:textId="77777777" w:rsidR="00120F30" w:rsidRPr="00512369" w:rsidRDefault="00120F30" w:rsidP="00120F30">
      <w:pPr>
        <w:pStyle w:val="1ff0"/>
        <w:spacing w:line="360" w:lineRule="auto"/>
        <w:ind w:firstLine="709"/>
        <w:jc w:val="both"/>
        <w:rPr>
          <w:sz w:val="24"/>
          <w:szCs w:val="24"/>
        </w:rPr>
      </w:pPr>
      <w:r w:rsidRPr="00512369">
        <w:rPr>
          <w:sz w:val="24"/>
          <w:szCs w:val="24"/>
        </w:rPr>
        <w:t xml:space="preserve">Терапия соматогенных психозов у </w:t>
      </w:r>
      <w:r>
        <w:rPr>
          <w:sz w:val="24"/>
          <w:szCs w:val="24"/>
        </w:rPr>
        <w:t>гематологических</w:t>
      </w:r>
      <w:r w:rsidRPr="00512369">
        <w:rPr>
          <w:sz w:val="24"/>
          <w:szCs w:val="24"/>
        </w:rPr>
        <w:t xml:space="preserve"> </w:t>
      </w:r>
      <w:r>
        <w:rPr>
          <w:sz w:val="24"/>
          <w:szCs w:val="24"/>
        </w:rPr>
        <w:t>пациентов</w:t>
      </w:r>
      <w:r w:rsidRPr="00512369">
        <w:rPr>
          <w:sz w:val="24"/>
          <w:szCs w:val="24"/>
        </w:rPr>
        <w:t xml:space="preserve"> носит поэтапный характер. Целью первого этапа явля</w:t>
      </w:r>
      <w:r>
        <w:rPr>
          <w:sz w:val="24"/>
          <w:szCs w:val="24"/>
        </w:rPr>
        <w:t>ется</w:t>
      </w:r>
      <w:r w:rsidRPr="00512369">
        <w:rPr>
          <w:sz w:val="24"/>
          <w:szCs w:val="24"/>
        </w:rPr>
        <w:t xml:space="preserve"> купирование психоза, второго – поддерживающее лечение, направленное на профилактику рецидива психотического расстройства.</w:t>
      </w:r>
    </w:p>
    <w:p w14:paraId="19323AA7" w14:textId="77777777" w:rsidR="00120F30" w:rsidRPr="00512369" w:rsidRDefault="00120F30" w:rsidP="00120F30">
      <w:pPr>
        <w:pStyle w:val="1ff0"/>
        <w:spacing w:line="360" w:lineRule="auto"/>
        <w:ind w:firstLine="709"/>
        <w:jc w:val="both"/>
        <w:rPr>
          <w:sz w:val="24"/>
          <w:szCs w:val="24"/>
        </w:rPr>
      </w:pPr>
      <w:r w:rsidRPr="00512369">
        <w:rPr>
          <w:sz w:val="24"/>
          <w:szCs w:val="24"/>
        </w:rPr>
        <w:t xml:space="preserve">Предпочтение отдается внутривенному введению психотропных средств (в большинстве случаев - через венозный катетер), что соответствует рекомендациям по ведению </w:t>
      </w:r>
      <w:r>
        <w:rPr>
          <w:sz w:val="24"/>
          <w:szCs w:val="24"/>
        </w:rPr>
        <w:t>пациентов</w:t>
      </w:r>
      <w:r w:rsidRPr="00512369">
        <w:rPr>
          <w:sz w:val="24"/>
          <w:szCs w:val="24"/>
        </w:rPr>
        <w:t xml:space="preserve"> с заболеваниями системы крови [</w:t>
      </w:r>
      <w:r>
        <w:rPr>
          <w:sz w:val="24"/>
          <w:szCs w:val="24"/>
        </w:rPr>
        <w:t>Воробьев</w:t>
      </w:r>
      <w:r w:rsidRPr="006E6553">
        <w:rPr>
          <w:sz w:val="24"/>
          <w:szCs w:val="24"/>
        </w:rPr>
        <w:t xml:space="preserve"> </w:t>
      </w:r>
      <w:r w:rsidRPr="00512369">
        <w:rPr>
          <w:sz w:val="24"/>
          <w:szCs w:val="24"/>
        </w:rPr>
        <w:t>А.И.,</w:t>
      </w:r>
      <w:r>
        <w:rPr>
          <w:sz w:val="24"/>
          <w:szCs w:val="24"/>
        </w:rPr>
        <w:t xml:space="preserve"> </w:t>
      </w:r>
      <w:r w:rsidRPr="00512369">
        <w:rPr>
          <w:sz w:val="24"/>
          <w:szCs w:val="24"/>
        </w:rPr>
        <w:t>2005].</w:t>
      </w:r>
    </w:p>
    <w:p w14:paraId="3700D4B0" w14:textId="77777777" w:rsidR="00120F30" w:rsidRPr="00512369" w:rsidRDefault="00120F30" w:rsidP="00120F30">
      <w:pPr>
        <w:pStyle w:val="1ff0"/>
        <w:spacing w:line="360" w:lineRule="auto"/>
        <w:ind w:firstLine="709"/>
        <w:jc w:val="both"/>
        <w:rPr>
          <w:sz w:val="24"/>
          <w:szCs w:val="24"/>
        </w:rPr>
      </w:pPr>
      <w:r w:rsidRPr="00512369">
        <w:rPr>
          <w:sz w:val="24"/>
          <w:szCs w:val="24"/>
        </w:rPr>
        <w:t>При делириозных расстройствах сознания основной объем терапевтического вмешательства концентрируется на первом этапе; лечение непродолжительно и включает применение антипсихотиков бутирофенонового ряда (галоперидол до 15 мг/сут). При необходимости быстрой седации или купирования тревожных/инсомнических расстройств в терапевтическую схему вводится диазепам (до 20 мг/сут).</w:t>
      </w:r>
    </w:p>
    <w:p w14:paraId="35EC2A5F" w14:textId="77777777" w:rsidR="00120F30" w:rsidRPr="00512369" w:rsidRDefault="00120F30" w:rsidP="00120F30">
      <w:pPr>
        <w:pStyle w:val="1ff0"/>
        <w:spacing w:line="360" w:lineRule="auto"/>
        <w:ind w:firstLine="709"/>
        <w:jc w:val="both"/>
        <w:rPr>
          <w:sz w:val="24"/>
          <w:szCs w:val="24"/>
        </w:rPr>
      </w:pPr>
      <w:r w:rsidRPr="00512369">
        <w:rPr>
          <w:sz w:val="24"/>
          <w:szCs w:val="24"/>
        </w:rPr>
        <w:t>Терапия эндогеноморфных психозов требует более интенсивных воздействий (суточные дозы антипсихотиков повышаются: галоперидол до 20-30 мг) и большей длительности (до 2 недель). При умеренном и слабо выраженном психомоторном возбуждении у некоторых больных используется трифлуоперазин (до 10 мг/сут). На втором этапе лечения эндогеноморфных психозов дозировки применяемых психотропных средств снижаются (галоперидол до 5 мг/сут, трифлуоперазин до 5 мг/сут).</w:t>
      </w:r>
    </w:p>
    <w:p w14:paraId="40224E76" w14:textId="77777777" w:rsidR="00120F30" w:rsidRDefault="00120F30" w:rsidP="00120F30">
      <w:pPr>
        <w:pStyle w:val="1ff0"/>
        <w:spacing w:line="360" w:lineRule="auto"/>
        <w:ind w:firstLine="709"/>
        <w:jc w:val="both"/>
        <w:rPr>
          <w:sz w:val="24"/>
          <w:szCs w:val="24"/>
        </w:rPr>
      </w:pPr>
      <w:r w:rsidRPr="00512369">
        <w:rPr>
          <w:sz w:val="24"/>
          <w:szCs w:val="24"/>
        </w:rPr>
        <w:t>Наиболее продолжительного (до 1,5-2 мес</w:t>
      </w:r>
      <w:r>
        <w:rPr>
          <w:sz w:val="24"/>
          <w:szCs w:val="24"/>
        </w:rPr>
        <w:t>.</w:t>
      </w:r>
      <w:r w:rsidRPr="00512369">
        <w:rPr>
          <w:sz w:val="24"/>
          <w:szCs w:val="24"/>
        </w:rPr>
        <w:t>) лечения с испо</w:t>
      </w:r>
      <w:r>
        <w:rPr>
          <w:sz w:val="24"/>
          <w:szCs w:val="24"/>
        </w:rPr>
        <w:t xml:space="preserve">льзованием указанных в </w:t>
      </w:r>
      <w:r w:rsidRPr="00E931A1">
        <w:rPr>
          <w:sz w:val="24"/>
          <w:szCs w:val="24"/>
        </w:rPr>
        <w:t>таблице 1 максимальных дозировок препаратов требуют соматогенно провоцированные приступы шизофрении. При этом назначения корректируются в соответствии с динамикой</w:t>
      </w:r>
      <w:r w:rsidRPr="00512369">
        <w:rPr>
          <w:sz w:val="24"/>
          <w:szCs w:val="24"/>
        </w:rPr>
        <w:t xml:space="preserve"> соматической патологии (снижаются при утяжелении соматического состояния).</w:t>
      </w:r>
    </w:p>
    <w:p w14:paraId="7F28D76F" w14:textId="77777777" w:rsidR="00120F30" w:rsidRDefault="00120F30" w:rsidP="00120F30">
      <w:pPr>
        <w:pStyle w:val="1ff0"/>
        <w:spacing w:line="360" w:lineRule="auto"/>
        <w:jc w:val="both"/>
        <w:rPr>
          <w:b/>
          <w:sz w:val="24"/>
          <w:szCs w:val="24"/>
        </w:rPr>
      </w:pPr>
    </w:p>
    <w:p w14:paraId="5CDDC3F8" w14:textId="77777777" w:rsidR="00120F30" w:rsidRPr="00E931A1" w:rsidRDefault="00120F30" w:rsidP="00120F30">
      <w:pPr>
        <w:pStyle w:val="1ff0"/>
        <w:spacing w:line="360" w:lineRule="auto"/>
        <w:jc w:val="both"/>
        <w:rPr>
          <w:sz w:val="24"/>
          <w:szCs w:val="24"/>
        </w:rPr>
      </w:pPr>
      <w:r w:rsidRPr="00E931A1">
        <w:rPr>
          <w:sz w:val="24"/>
          <w:szCs w:val="24"/>
        </w:rPr>
        <w:t>Таблица 1. Психотропные средства, использующиеся в терапии соматогенных психозов у больных с заболеваниями системы крови</w:t>
      </w: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7"/>
        <w:gridCol w:w="992"/>
        <w:gridCol w:w="850"/>
        <w:gridCol w:w="993"/>
        <w:gridCol w:w="1134"/>
        <w:gridCol w:w="1134"/>
        <w:gridCol w:w="850"/>
        <w:gridCol w:w="1134"/>
        <w:gridCol w:w="851"/>
        <w:gridCol w:w="992"/>
        <w:gridCol w:w="567"/>
      </w:tblGrid>
      <w:tr w:rsidR="00120F30" w:rsidRPr="00512369" w14:paraId="570324CE" w14:textId="77777777" w:rsidTr="005A428D">
        <w:trPr>
          <w:trHeight w:val="180"/>
        </w:trPr>
        <w:tc>
          <w:tcPr>
            <w:tcW w:w="1277" w:type="dxa"/>
            <w:vMerge w:val="restart"/>
          </w:tcPr>
          <w:p w14:paraId="42B3EAAB" w14:textId="77777777" w:rsidR="00120F30" w:rsidRPr="00512369" w:rsidRDefault="00120F30" w:rsidP="005A428D">
            <w:pPr>
              <w:rPr>
                <w:b/>
                <w:szCs w:val="24"/>
              </w:rPr>
            </w:pPr>
            <w:r w:rsidRPr="00512369">
              <w:rPr>
                <w:b/>
                <w:szCs w:val="24"/>
              </w:rPr>
              <w:t>Тип СП</w:t>
            </w:r>
          </w:p>
        </w:tc>
        <w:tc>
          <w:tcPr>
            <w:tcW w:w="1842" w:type="dxa"/>
            <w:gridSpan w:val="2"/>
          </w:tcPr>
          <w:p w14:paraId="0B3E7957" w14:textId="77777777" w:rsidR="00120F30" w:rsidRPr="00512369" w:rsidRDefault="00120F30" w:rsidP="005A428D">
            <w:pPr>
              <w:rPr>
                <w:szCs w:val="24"/>
              </w:rPr>
            </w:pPr>
            <w:r w:rsidRPr="00512369">
              <w:rPr>
                <w:b/>
                <w:szCs w:val="24"/>
              </w:rPr>
              <w:t>Галоперидол</w:t>
            </w:r>
          </w:p>
        </w:tc>
        <w:tc>
          <w:tcPr>
            <w:tcW w:w="2127" w:type="dxa"/>
            <w:gridSpan w:val="2"/>
          </w:tcPr>
          <w:p w14:paraId="76C1C290" w14:textId="77777777" w:rsidR="00120F30" w:rsidRPr="00512369" w:rsidRDefault="00120F30" w:rsidP="005A428D">
            <w:pPr>
              <w:rPr>
                <w:b/>
                <w:szCs w:val="24"/>
              </w:rPr>
            </w:pPr>
            <w:r w:rsidRPr="00512369">
              <w:rPr>
                <w:b/>
                <w:szCs w:val="24"/>
              </w:rPr>
              <w:t>Трифлуоперазин</w:t>
            </w:r>
          </w:p>
        </w:tc>
        <w:tc>
          <w:tcPr>
            <w:tcW w:w="1984" w:type="dxa"/>
            <w:gridSpan w:val="2"/>
          </w:tcPr>
          <w:p w14:paraId="025204DA" w14:textId="77777777" w:rsidR="00120F30" w:rsidRPr="00512369" w:rsidRDefault="00120F30" w:rsidP="005A428D">
            <w:pPr>
              <w:rPr>
                <w:b/>
                <w:szCs w:val="24"/>
              </w:rPr>
            </w:pPr>
            <w:r w:rsidRPr="00512369">
              <w:rPr>
                <w:b/>
                <w:szCs w:val="24"/>
              </w:rPr>
              <w:t>Рисперидон</w:t>
            </w:r>
          </w:p>
        </w:tc>
        <w:tc>
          <w:tcPr>
            <w:tcW w:w="1985" w:type="dxa"/>
            <w:gridSpan w:val="2"/>
          </w:tcPr>
          <w:p w14:paraId="1F90E076" w14:textId="77777777" w:rsidR="00120F30" w:rsidRPr="00512369" w:rsidRDefault="00120F30" w:rsidP="005A428D">
            <w:pPr>
              <w:rPr>
                <w:b/>
                <w:szCs w:val="24"/>
              </w:rPr>
            </w:pPr>
            <w:r w:rsidRPr="00512369">
              <w:rPr>
                <w:b/>
                <w:szCs w:val="24"/>
              </w:rPr>
              <w:t>Кветиапин</w:t>
            </w:r>
          </w:p>
        </w:tc>
        <w:tc>
          <w:tcPr>
            <w:tcW w:w="1559" w:type="dxa"/>
            <w:gridSpan w:val="2"/>
          </w:tcPr>
          <w:p w14:paraId="13FFCA5E" w14:textId="77777777" w:rsidR="00120F30" w:rsidRPr="00512369" w:rsidRDefault="00120F30" w:rsidP="005A428D">
            <w:pPr>
              <w:rPr>
                <w:b/>
                <w:szCs w:val="24"/>
              </w:rPr>
            </w:pPr>
            <w:r w:rsidRPr="00512369">
              <w:rPr>
                <w:b/>
                <w:szCs w:val="24"/>
              </w:rPr>
              <w:t>Диазепам</w:t>
            </w:r>
          </w:p>
        </w:tc>
      </w:tr>
      <w:tr w:rsidR="00120F30" w:rsidRPr="00512369" w14:paraId="6E074308" w14:textId="77777777" w:rsidTr="005A428D">
        <w:trPr>
          <w:cantSplit/>
          <w:trHeight w:val="266"/>
        </w:trPr>
        <w:tc>
          <w:tcPr>
            <w:tcW w:w="1277" w:type="dxa"/>
            <w:vMerge/>
          </w:tcPr>
          <w:p w14:paraId="2EA7D691" w14:textId="77777777" w:rsidR="00120F30" w:rsidRPr="00512369" w:rsidRDefault="00120F30" w:rsidP="005A428D">
            <w:pPr>
              <w:rPr>
                <w:b/>
                <w:szCs w:val="24"/>
              </w:rPr>
            </w:pPr>
          </w:p>
        </w:tc>
        <w:tc>
          <w:tcPr>
            <w:tcW w:w="992" w:type="dxa"/>
          </w:tcPr>
          <w:p w14:paraId="77DF4972" w14:textId="77777777" w:rsidR="00120F30" w:rsidRPr="00512369" w:rsidRDefault="00120F30" w:rsidP="005A428D">
            <w:pPr>
              <w:rPr>
                <w:szCs w:val="24"/>
              </w:rPr>
            </w:pPr>
            <w:r w:rsidRPr="00512369">
              <w:rPr>
                <w:szCs w:val="24"/>
              </w:rPr>
              <w:t>мг/сут</w:t>
            </w:r>
          </w:p>
        </w:tc>
        <w:tc>
          <w:tcPr>
            <w:tcW w:w="850" w:type="dxa"/>
          </w:tcPr>
          <w:p w14:paraId="4C119346" w14:textId="77777777" w:rsidR="00120F30" w:rsidRPr="00512369" w:rsidRDefault="00120F30" w:rsidP="005A428D">
            <w:pPr>
              <w:rPr>
                <w:szCs w:val="24"/>
              </w:rPr>
            </w:pPr>
            <w:r w:rsidRPr="00512369">
              <w:rPr>
                <w:szCs w:val="24"/>
              </w:rPr>
              <w:t>сут</w:t>
            </w:r>
          </w:p>
        </w:tc>
        <w:tc>
          <w:tcPr>
            <w:tcW w:w="993" w:type="dxa"/>
          </w:tcPr>
          <w:p w14:paraId="594BBDD1" w14:textId="77777777" w:rsidR="00120F30" w:rsidRPr="00512369" w:rsidRDefault="00120F30" w:rsidP="005A428D">
            <w:pPr>
              <w:rPr>
                <w:szCs w:val="24"/>
              </w:rPr>
            </w:pPr>
            <w:r w:rsidRPr="00512369">
              <w:rPr>
                <w:szCs w:val="24"/>
              </w:rPr>
              <w:t>мг/сут</w:t>
            </w:r>
          </w:p>
        </w:tc>
        <w:tc>
          <w:tcPr>
            <w:tcW w:w="1134" w:type="dxa"/>
          </w:tcPr>
          <w:p w14:paraId="49BDEF84" w14:textId="77777777" w:rsidR="00120F30" w:rsidRPr="00512369" w:rsidRDefault="00120F30" w:rsidP="005A428D">
            <w:pPr>
              <w:rPr>
                <w:szCs w:val="24"/>
              </w:rPr>
            </w:pPr>
            <w:r w:rsidRPr="00512369">
              <w:rPr>
                <w:szCs w:val="24"/>
              </w:rPr>
              <w:t>сут</w:t>
            </w:r>
          </w:p>
        </w:tc>
        <w:tc>
          <w:tcPr>
            <w:tcW w:w="1134" w:type="dxa"/>
          </w:tcPr>
          <w:p w14:paraId="169A66B5" w14:textId="77777777" w:rsidR="00120F30" w:rsidRPr="00512369" w:rsidRDefault="00120F30" w:rsidP="005A428D">
            <w:pPr>
              <w:rPr>
                <w:szCs w:val="24"/>
              </w:rPr>
            </w:pPr>
            <w:r w:rsidRPr="00512369">
              <w:rPr>
                <w:szCs w:val="24"/>
              </w:rPr>
              <w:t>мг/сут</w:t>
            </w:r>
          </w:p>
        </w:tc>
        <w:tc>
          <w:tcPr>
            <w:tcW w:w="850" w:type="dxa"/>
          </w:tcPr>
          <w:p w14:paraId="3C62F9BB" w14:textId="77777777" w:rsidR="00120F30" w:rsidRPr="00512369" w:rsidRDefault="00120F30" w:rsidP="005A428D">
            <w:pPr>
              <w:rPr>
                <w:szCs w:val="24"/>
              </w:rPr>
            </w:pPr>
            <w:r w:rsidRPr="00512369">
              <w:rPr>
                <w:szCs w:val="24"/>
              </w:rPr>
              <w:t>сут</w:t>
            </w:r>
          </w:p>
        </w:tc>
        <w:tc>
          <w:tcPr>
            <w:tcW w:w="1134" w:type="dxa"/>
          </w:tcPr>
          <w:p w14:paraId="3C135BD1" w14:textId="77777777" w:rsidR="00120F30" w:rsidRPr="00512369" w:rsidRDefault="00120F30" w:rsidP="005A428D">
            <w:pPr>
              <w:rPr>
                <w:szCs w:val="24"/>
              </w:rPr>
            </w:pPr>
            <w:r w:rsidRPr="00512369">
              <w:rPr>
                <w:szCs w:val="24"/>
              </w:rPr>
              <w:t>мг/сут</w:t>
            </w:r>
          </w:p>
        </w:tc>
        <w:tc>
          <w:tcPr>
            <w:tcW w:w="851" w:type="dxa"/>
          </w:tcPr>
          <w:p w14:paraId="4DB63572" w14:textId="77777777" w:rsidR="00120F30" w:rsidRPr="00512369" w:rsidRDefault="00120F30" w:rsidP="005A428D">
            <w:pPr>
              <w:rPr>
                <w:szCs w:val="24"/>
              </w:rPr>
            </w:pPr>
            <w:r w:rsidRPr="00512369">
              <w:rPr>
                <w:szCs w:val="24"/>
              </w:rPr>
              <w:t>сут</w:t>
            </w:r>
          </w:p>
        </w:tc>
        <w:tc>
          <w:tcPr>
            <w:tcW w:w="992" w:type="dxa"/>
          </w:tcPr>
          <w:p w14:paraId="622D2C0E" w14:textId="77777777" w:rsidR="00120F30" w:rsidRPr="00512369" w:rsidRDefault="00120F30" w:rsidP="005A428D">
            <w:pPr>
              <w:rPr>
                <w:szCs w:val="24"/>
              </w:rPr>
            </w:pPr>
            <w:r w:rsidRPr="00512369">
              <w:rPr>
                <w:szCs w:val="24"/>
              </w:rPr>
              <w:t>мг/сут</w:t>
            </w:r>
          </w:p>
        </w:tc>
        <w:tc>
          <w:tcPr>
            <w:tcW w:w="567" w:type="dxa"/>
          </w:tcPr>
          <w:p w14:paraId="7A000686" w14:textId="77777777" w:rsidR="00120F30" w:rsidRPr="00512369" w:rsidRDefault="00120F30" w:rsidP="005A428D">
            <w:pPr>
              <w:rPr>
                <w:szCs w:val="24"/>
              </w:rPr>
            </w:pPr>
            <w:r w:rsidRPr="00512369">
              <w:rPr>
                <w:szCs w:val="24"/>
              </w:rPr>
              <w:t>сут</w:t>
            </w:r>
          </w:p>
        </w:tc>
      </w:tr>
      <w:tr w:rsidR="00120F30" w:rsidRPr="00512369" w14:paraId="0888A98A" w14:textId="77777777" w:rsidTr="005A428D">
        <w:trPr>
          <w:trHeight w:val="303"/>
        </w:trPr>
        <w:tc>
          <w:tcPr>
            <w:tcW w:w="1277" w:type="dxa"/>
          </w:tcPr>
          <w:p w14:paraId="27A36997" w14:textId="77777777" w:rsidR="00120F30" w:rsidRPr="00512369" w:rsidRDefault="00120F30" w:rsidP="005A428D">
            <w:pPr>
              <w:rPr>
                <w:b/>
                <w:szCs w:val="24"/>
              </w:rPr>
            </w:pPr>
            <w:r w:rsidRPr="00512369">
              <w:rPr>
                <w:b/>
                <w:szCs w:val="24"/>
              </w:rPr>
              <w:t>Делирий</w:t>
            </w:r>
          </w:p>
        </w:tc>
        <w:tc>
          <w:tcPr>
            <w:tcW w:w="992" w:type="dxa"/>
          </w:tcPr>
          <w:p w14:paraId="43169E0C" w14:textId="77777777" w:rsidR="00120F30" w:rsidRPr="00512369" w:rsidRDefault="00120F30" w:rsidP="005A428D">
            <w:pPr>
              <w:rPr>
                <w:szCs w:val="24"/>
              </w:rPr>
            </w:pPr>
            <w:r w:rsidRPr="00512369">
              <w:rPr>
                <w:szCs w:val="24"/>
              </w:rPr>
              <w:t>10-15</w:t>
            </w:r>
          </w:p>
        </w:tc>
        <w:tc>
          <w:tcPr>
            <w:tcW w:w="850" w:type="dxa"/>
          </w:tcPr>
          <w:p w14:paraId="55BA042E" w14:textId="77777777" w:rsidR="00120F30" w:rsidRPr="00512369" w:rsidRDefault="00120F30" w:rsidP="005A428D">
            <w:pPr>
              <w:rPr>
                <w:szCs w:val="24"/>
              </w:rPr>
            </w:pPr>
            <w:r w:rsidRPr="00512369">
              <w:rPr>
                <w:szCs w:val="24"/>
              </w:rPr>
              <w:t>1-4</w:t>
            </w:r>
          </w:p>
        </w:tc>
        <w:tc>
          <w:tcPr>
            <w:tcW w:w="993" w:type="dxa"/>
          </w:tcPr>
          <w:p w14:paraId="5C3F4009" w14:textId="77777777" w:rsidR="00120F30" w:rsidRPr="00512369" w:rsidRDefault="00120F30" w:rsidP="005A428D">
            <w:pPr>
              <w:rPr>
                <w:szCs w:val="24"/>
              </w:rPr>
            </w:pPr>
            <w:r w:rsidRPr="00512369">
              <w:rPr>
                <w:szCs w:val="24"/>
              </w:rPr>
              <w:t>5-10</w:t>
            </w:r>
          </w:p>
        </w:tc>
        <w:tc>
          <w:tcPr>
            <w:tcW w:w="1134" w:type="dxa"/>
          </w:tcPr>
          <w:p w14:paraId="0188859F" w14:textId="77777777" w:rsidR="00120F30" w:rsidRPr="00512369" w:rsidRDefault="00120F30" w:rsidP="005A428D">
            <w:pPr>
              <w:rPr>
                <w:szCs w:val="24"/>
              </w:rPr>
            </w:pPr>
            <w:r w:rsidRPr="00512369">
              <w:rPr>
                <w:szCs w:val="24"/>
              </w:rPr>
              <w:t>1-2</w:t>
            </w:r>
          </w:p>
        </w:tc>
        <w:tc>
          <w:tcPr>
            <w:tcW w:w="1134" w:type="dxa"/>
          </w:tcPr>
          <w:p w14:paraId="6D7ACAE6" w14:textId="77777777" w:rsidR="00120F30" w:rsidRPr="00512369" w:rsidRDefault="00120F30" w:rsidP="005A428D">
            <w:pPr>
              <w:rPr>
                <w:szCs w:val="24"/>
              </w:rPr>
            </w:pPr>
            <w:r w:rsidRPr="00512369">
              <w:rPr>
                <w:szCs w:val="24"/>
              </w:rPr>
              <w:t>0,25–4,0</w:t>
            </w:r>
          </w:p>
        </w:tc>
        <w:tc>
          <w:tcPr>
            <w:tcW w:w="850" w:type="dxa"/>
          </w:tcPr>
          <w:p w14:paraId="1AC6C4DB" w14:textId="77777777" w:rsidR="00120F30" w:rsidRPr="00512369" w:rsidRDefault="00120F30" w:rsidP="005A428D">
            <w:pPr>
              <w:rPr>
                <w:szCs w:val="24"/>
              </w:rPr>
            </w:pPr>
            <w:r w:rsidRPr="00512369">
              <w:rPr>
                <w:szCs w:val="24"/>
              </w:rPr>
              <w:t>1-4</w:t>
            </w:r>
          </w:p>
        </w:tc>
        <w:tc>
          <w:tcPr>
            <w:tcW w:w="1134" w:type="dxa"/>
          </w:tcPr>
          <w:p w14:paraId="567AC8C5" w14:textId="77777777" w:rsidR="00120F30" w:rsidRPr="00512369" w:rsidRDefault="00120F30" w:rsidP="005A428D">
            <w:pPr>
              <w:rPr>
                <w:szCs w:val="24"/>
              </w:rPr>
            </w:pPr>
            <w:r w:rsidRPr="00512369">
              <w:rPr>
                <w:szCs w:val="24"/>
              </w:rPr>
              <w:t>25-50</w:t>
            </w:r>
          </w:p>
        </w:tc>
        <w:tc>
          <w:tcPr>
            <w:tcW w:w="851" w:type="dxa"/>
          </w:tcPr>
          <w:p w14:paraId="3F7504C9" w14:textId="77777777" w:rsidR="00120F30" w:rsidRPr="00512369" w:rsidRDefault="00120F30" w:rsidP="005A428D">
            <w:pPr>
              <w:rPr>
                <w:szCs w:val="24"/>
              </w:rPr>
            </w:pPr>
            <w:r w:rsidRPr="00512369">
              <w:rPr>
                <w:szCs w:val="24"/>
              </w:rPr>
              <w:t>1-4</w:t>
            </w:r>
          </w:p>
        </w:tc>
        <w:tc>
          <w:tcPr>
            <w:tcW w:w="992" w:type="dxa"/>
          </w:tcPr>
          <w:p w14:paraId="074556FC" w14:textId="77777777" w:rsidR="00120F30" w:rsidRPr="00512369" w:rsidRDefault="00120F30" w:rsidP="005A428D">
            <w:pPr>
              <w:rPr>
                <w:szCs w:val="24"/>
              </w:rPr>
            </w:pPr>
            <w:r w:rsidRPr="00512369">
              <w:rPr>
                <w:szCs w:val="24"/>
              </w:rPr>
              <w:t>10-20</w:t>
            </w:r>
          </w:p>
        </w:tc>
        <w:tc>
          <w:tcPr>
            <w:tcW w:w="567" w:type="dxa"/>
            <w:vMerge w:val="restart"/>
            <w:textDirection w:val="btLr"/>
          </w:tcPr>
          <w:p w14:paraId="0A26AB5C" w14:textId="77777777" w:rsidR="00120F30" w:rsidRPr="00325059" w:rsidRDefault="00120F30" w:rsidP="005A428D">
            <w:pPr>
              <w:rPr>
                <w:sz w:val="18"/>
                <w:szCs w:val="24"/>
              </w:rPr>
            </w:pPr>
            <w:r w:rsidRPr="00325059">
              <w:rPr>
                <w:sz w:val="18"/>
                <w:szCs w:val="24"/>
              </w:rPr>
              <w:t>При необх</w:t>
            </w:r>
            <w:r>
              <w:rPr>
                <w:sz w:val="18"/>
                <w:szCs w:val="24"/>
              </w:rPr>
              <w:t>одим</w:t>
            </w:r>
          </w:p>
        </w:tc>
      </w:tr>
      <w:tr w:rsidR="00120F30" w:rsidRPr="00512369" w14:paraId="02AB5050" w14:textId="77777777" w:rsidTr="005A428D">
        <w:tc>
          <w:tcPr>
            <w:tcW w:w="1277" w:type="dxa"/>
          </w:tcPr>
          <w:p w14:paraId="7DDCC0B0" w14:textId="77777777" w:rsidR="00120F30" w:rsidRPr="00512369" w:rsidRDefault="00120F30" w:rsidP="005A428D">
            <w:pPr>
              <w:rPr>
                <w:b/>
                <w:szCs w:val="24"/>
              </w:rPr>
            </w:pPr>
            <w:r w:rsidRPr="00512369">
              <w:rPr>
                <w:b/>
                <w:szCs w:val="24"/>
              </w:rPr>
              <w:t>ЭМП</w:t>
            </w:r>
          </w:p>
        </w:tc>
        <w:tc>
          <w:tcPr>
            <w:tcW w:w="992" w:type="dxa"/>
          </w:tcPr>
          <w:p w14:paraId="18D90A90" w14:textId="77777777" w:rsidR="00120F30" w:rsidRPr="00512369" w:rsidRDefault="00120F30" w:rsidP="005A428D">
            <w:pPr>
              <w:rPr>
                <w:szCs w:val="24"/>
              </w:rPr>
            </w:pPr>
            <w:r w:rsidRPr="00512369">
              <w:rPr>
                <w:szCs w:val="24"/>
              </w:rPr>
              <w:t>10-30</w:t>
            </w:r>
          </w:p>
        </w:tc>
        <w:tc>
          <w:tcPr>
            <w:tcW w:w="850" w:type="dxa"/>
          </w:tcPr>
          <w:p w14:paraId="5976FC12" w14:textId="77777777" w:rsidR="00120F30" w:rsidRPr="00512369" w:rsidRDefault="00120F30" w:rsidP="005A428D">
            <w:pPr>
              <w:rPr>
                <w:szCs w:val="24"/>
              </w:rPr>
            </w:pPr>
            <w:r w:rsidRPr="00512369">
              <w:rPr>
                <w:szCs w:val="24"/>
              </w:rPr>
              <w:t>5-11</w:t>
            </w:r>
          </w:p>
        </w:tc>
        <w:tc>
          <w:tcPr>
            <w:tcW w:w="993" w:type="dxa"/>
          </w:tcPr>
          <w:p w14:paraId="44B11C80" w14:textId="77777777" w:rsidR="00120F30" w:rsidRPr="00512369" w:rsidRDefault="00120F30" w:rsidP="005A428D">
            <w:pPr>
              <w:rPr>
                <w:szCs w:val="24"/>
              </w:rPr>
            </w:pPr>
            <w:r w:rsidRPr="00512369">
              <w:rPr>
                <w:szCs w:val="24"/>
              </w:rPr>
              <w:t>5-10</w:t>
            </w:r>
          </w:p>
        </w:tc>
        <w:tc>
          <w:tcPr>
            <w:tcW w:w="1134" w:type="dxa"/>
          </w:tcPr>
          <w:p w14:paraId="599F2BCC" w14:textId="77777777" w:rsidR="00120F30" w:rsidRPr="00512369" w:rsidRDefault="00120F30" w:rsidP="005A428D">
            <w:pPr>
              <w:rPr>
                <w:szCs w:val="24"/>
              </w:rPr>
            </w:pPr>
            <w:r w:rsidRPr="00512369">
              <w:rPr>
                <w:szCs w:val="24"/>
              </w:rPr>
              <w:t>4-8</w:t>
            </w:r>
          </w:p>
        </w:tc>
        <w:tc>
          <w:tcPr>
            <w:tcW w:w="1134" w:type="dxa"/>
          </w:tcPr>
          <w:p w14:paraId="4A600E05" w14:textId="77777777" w:rsidR="00120F30" w:rsidRPr="00512369" w:rsidRDefault="00120F30" w:rsidP="005A428D">
            <w:pPr>
              <w:rPr>
                <w:szCs w:val="24"/>
              </w:rPr>
            </w:pPr>
            <w:r w:rsidRPr="00512369">
              <w:rPr>
                <w:szCs w:val="24"/>
              </w:rPr>
              <w:t>0,25-6,0</w:t>
            </w:r>
          </w:p>
        </w:tc>
        <w:tc>
          <w:tcPr>
            <w:tcW w:w="850" w:type="dxa"/>
          </w:tcPr>
          <w:p w14:paraId="6206B8A5" w14:textId="77777777" w:rsidR="00120F30" w:rsidRPr="00512369" w:rsidRDefault="00120F30" w:rsidP="005A428D">
            <w:pPr>
              <w:rPr>
                <w:szCs w:val="24"/>
              </w:rPr>
            </w:pPr>
            <w:r w:rsidRPr="00512369">
              <w:rPr>
                <w:szCs w:val="24"/>
              </w:rPr>
              <w:t>5-14</w:t>
            </w:r>
          </w:p>
        </w:tc>
        <w:tc>
          <w:tcPr>
            <w:tcW w:w="1134" w:type="dxa"/>
          </w:tcPr>
          <w:p w14:paraId="36E6822F" w14:textId="77777777" w:rsidR="00120F30" w:rsidRPr="00512369" w:rsidRDefault="00120F30" w:rsidP="005A428D">
            <w:pPr>
              <w:rPr>
                <w:szCs w:val="24"/>
              </w:rPr>
            </w:pPr>
            <w:r w:rsidRPr="00512369">
              <w:rPr>
                <w:szCs w:val="24"/>
              </w:rPr>
              <w:t>12,5-100</w:t>
            </w:r>
          </w:p>
        </w:tc>
        <w:tc>
          <w:tcPr>
            <w:tcW w:w="851" w:type="dxa"/>
          </w:tcPr>
          <w:p w14:paraId="441D22A9" w14:textId="77777777" w:rsidR="00120F30" w:rsidRPr="00512369" w:rsidRDefault="00120F30" w:rsidP="005A428D">
            <w:pPr>
              <w:rPr>
                <w:szCs w:val="24"/>
              </w:rPr>
            </w:pPr>
            <w:r w:rsidRPr="00512369">
              <w:rPr>
                <w:szCs w:val="24"/>
              </w:rPr>
              <w:t>5-14</w:t>
            </w:r>
          </w:p>
        </w:tc>
        <w:tc>
          <w:tcPr>
            <w:tcW w:w="992" w:type="dxa"/>
          </w:tcPr>
          <w:p w14:paraId="2CC78237" w14:textId="77777777" w:rsidR="00120F30" w:rsidRPr="00512369" w:rsidRDefault="00120F30" w:rsidP="005A428D">
            <w:pPr>
              <w:rPr>
                <w:szCs w:val="24"/>
              </w:rPr>
            </w:pPr>
            <w:r w:rsidRPr="00512369">
              <w:rPr>
                <w:szCs w:val="24"/>
              </w:rPr>
              <w:t>10-20</w:t>
            </w:r>
          </w:p>
        </w:tc>
        <w:tc>
          <w:tcPr>
            <w:tcW w:w="567" w:type="dxa"/>
            <w:vMerge/>
          </w:tcPr>
          <w:p w14:paraId="7CDB4321" w14:textId="77777777" w:rsidR="00120F30" w:rsidRPr="00512369" w:rsidRDefault="00120F30" w:rsidP="005A428D">
            <w:pPr>
              <w:rPr>
                <w:szCs w:val="24"/>
              </w:rPr>
            </w:pPr>
          </w:p>
        </w:tc>
      </w:tr>
      <w:tr w:rsidR="00120F30" w:rsidRPr="00512369" w14:paraId="74C4F91B" w14:textId="77777777" w:rsidTr="005A428D">
        <w:tc>
          <w:tcPr>
            <w:tcW w:w="1277" w:type="dxa"/>
          </w:tcPr>
          <w:p w14:paraId="0134C257" w14:textId="77777777" w:rsidR="00120F30" w:rsidRPr="00512369" w:rsidRDefault="00120F30" w:rsidP="005A428D">
            <w:pPr>
              <w:rPr>
                <w:b/>
                <w:szCs w:val="24"/>
              </w:rPr>
            </w:pPr>
            <w:r w:rsidRPr="00512369">
              <w:rPr>
                <w:b/>
                <w:szCs w:val="24"/>
              </w:rPr>
              <w:t>ПШ</w:t>
            </w:r>
          </w:p>
        </w:tc>
        <w:tc>
          <w:tcPr>
            <w:tcW w:w="992" w:type="dxa"/>
          </w:tcPr>
          <w:p w14:paraId="60103CB4" w14:textId="77777777" w:rsidR="00120F30" w:rsidRPr="00512369" w:rsidRDefault="00120F30" w:rsidP="005A428D">
            <w:pPr>
              <w:rPr>
                <w:szCs w:val="24"/>
              </w:rPr>
            </w:pPr>
            <w:r w:rsidRPr="00512369">
              <w:rPr>
                <w:szCs w:val="24"/>
              </w:rPr>
              <w:t>10-40</w:t>
            </w:r>
          </w:p>
        </w:tc>
        <w:tc>
          <w:tcPr>
            <w:tcW w:w="850" w:type="dxa"/>
          </w:tcPr>
          <w:p w14:paraId="69F59F99" w14:textId="77777777" w:rsidR="00120F30" w:rsidRPr="00512369" w:rsidRDefault="00120F30" w:rsidP="005A428D">
            <w:pPr>
              <w:rPr>
                <w:szCs w:val="24"/>
              </w:rPr>
            </w:pPr>
            <w:r w:rsidRPr="00512369">
              <w:rPr>
                <w:szCs w:val="24"/>
              </w:rPr>
              <w:t>30-41</w:t>
            </w:r>
          </w:p>
        </w:tc>
        <w:tc>
          <w:tcPr>
            <w:tcW w:w="993" w:type="dxa"/>
          </w:tcPr>
          <w:p w14:paraId="0EF891FE" w14:textId="77777777" w:rsidR="00120F30" w:rsidRPr="00512369" w:rsidRDefault="00120F30" w:rsidP="005A428D">
            <w:pPr>
              <w:rPr>
                <w:szCs w:val="24"/>
              </w:rPr>
            </w:pPr>
            <w:r w:rsidRPr="00512369">
              <w:rPr>
                <w:szCs w:val="24"/>
              </w:rPr>
              <w:t>10-15</w:t>
            </w:r>
          </w:p>
        </w:tc>
        <w:tc>
          <w:tcPr>
            <w:tcW w:w="1134" w:type="dxa"/>
          </w:tcPr>
          <w:p w14:paraId="710575D7" w14:textId="77777777" w:rsidR="00120F30" w:rsidRPr="00512369" w:rsidRDefault="00120F30" w:rsidP="005A428D">
            <w:pPr>
              <w:rPr>
                <w:szCs w:val="24"/>
              </w:rPr>
            </w:pPr>
            <w:r w:rsidRPr="00512369">
              <w:rPr>
                <w:szCs w:val="24"/>
              </w:rPr>
              <w:t>25-36</w:t>
            </w:r>
          </w:p>
        </w:tc>
        <w:tc>
          <w:tcPr>
            <w:tcW w:w="1134" w:type="dxa"/>
          </w:tcPr>
          <w:p w14:paraId="7986BEA0" w14:textId="77777777" w:rsidR="00120F30" w:rsidRPr="00512369" w:rsidRDefault="00120F30" w:rsidP="005A428D">
            <w:pPr>
              <w:rPr>
                <w:szCs w:val="24"/>
              </w:rPr>
            </w:pPr>
            <w:r w:rsidRPr="00512369">
              <w:rPr>
                <w:szCs w:val="24"/>
              </w:rPr>
              <w:t>0,5-6,0</w:t>
            </w:r>
          </w:p>
        </w:tc>
        <w:tc>
          <w:tcPr>
            <w:tcW w:w="850" w:type="dxa"/>
          </w:tcPr>
          <w:p w14:paraId="414BF457" w14:textId="77777777" w:rsidR="00120F30" w:rsidRPr="00512369" w:rsidRDefault="00120F30" w:rsidP="005A428D">
            <w:pPr>
              <w:rPr>
                <w:szCs w:val="24"/>
              </w:rPr>
            </w:pPr>
            <w:r w:rsidRPr="00512369">
              <w:rPr>
                <w:szCs w:val="24"/>
              </w:rPr>
              <w:t>30-60</w:t>
            </w:r>
          </w:p>
        </w:tc>
        <w:tc>
          <w:tcPr>
            <w:tcW w:w="1134" w:type="dxa"/>
          </w:tcPr>
          <w:p w14:paraId="19E97CF5" w14:textId="77777777" w:rsidR="00120F30" w:rsidRPr="00512369" w:rsidRDefault="00120F30" w:rsidP="005A428D">
            <w:pPr>
              <w:rPr>
                <w:szCs w:val="24"/>
              </w:rPr>
            </w:pPr>
            <w:r w:rsidRPr="00512369">
              <w:rPr>
                <w:szCs w:val="24"/>
              </w:rPr>
              <w:t>12,5-100</w:t>
            </w:r>
          </w:p>
        </w:tc>
        <w:tc>
          <w:tcPr>
            <w:tcW w:w="851" w:type="dxa"/>
          </w:tcPr>
          <w:p w14:paraId="2D6B8431" w14:textId="77777777" w:rsidR="00120F30" w:rsidRPr="00512369" w:rsidRDefault="00120F30" w:rsidP="005A428D">
            <w:pPr>
              <w:rPr>
                <w:szCs w:val="24"/>
              </w:rPr>
            </w:pPr>
            <w:r w:rsidRPr="00512369">
              <w:rPr>
                <w:szCs w:val="24"/>
              </w:rPr>
              <w:t>30-60</w:t>
            </w:r>
          </w:p>
        </w:tc>
        <w:tc>
          <w:tcPr>
            <w:tcW w:w="992" w:type="dxa"/>
          </w:tcPr>
          <w:p w14:paraId="10BB26B1" w14:textId="77777777" w:rsidR="00120F30" w:rsidRPr="00512369" w:rsidRDefault="00120F30" w:rsidP="005A428D">
            <w:pPr>
              <w:rPr>
                <w:szCs w:val="24"/>
              </w:rPr>
            </w:pPr>
            <w:r w:rsidRPr="00512369">
              <w:rPr>
                <w:szCs w:val="24"/>
              </w:rPr>
              <w:t>20-40</w:t>
            </w:r>
          </w:p>
        </w:tc>
        <w:tc>
          <w:tcPr>
            <w:tcW w:w="567" w:type="dxa"/>
            <w:vMerge/>
          </w:tcPr>
          <w:p w14:paraId="76C81470" w14:textId="77777777" w:rsidR="00120F30" w:rsidRPr="00512369" w:rsidRDefault="00120F30" w:rsidP="005A428D">
            <w:pPr>
              <w:rPr>
                <w:szCs w:val="24"/>
              </w:rPr>
            </w:pPr>
          </w:p>
        </w:tc>
      </w:tr>
    </w:tbl>
    <w:p w14:paraId="43957AB8" w14:textId="77777777" w:rsidR="00120F30" w:rsidRPr="00512369" w:rsidRDefault="00120F30" w:rsidP="00120F30">
      <w:pPr>
        <w:rPr>
          <w:szCs w:val="24"/>
        </w:rPr>
      </w:pPr>
      <w:r w:rsidRPr="00512369">
        <w:rPr>
          <w:szCs w:val="24"/>
        </w:rPr>
        <w:t>ЭМП – эндогеноморфные психозы; ПШ – приступ шизофрении</w:t>
      </w:r>
    </w:p>
    <w:p w14:paraId="5891ACB3" w14:textId="77777777" w:rsidR="00120F30" w:rsidRDefault="00120F30" w:rsidP="00120F30">
      <w:pPr>
        <w:ind w:firstLine="708"/>
        <w:rPr>
          <w:szCs w:val="24"/>
        </w:rPr>
      </w:pPr>
    </w:p>
    <w:p w14:paraId="679B3048" w14:textId="77777777" w:rsidR="00120F30" w:rsidRPr="00E931A1" w:rsidRDefault="00120F30" w:rsidP="00120F30">
      <w:pPr>
        <w:ind w:firstLine="708"/>
        <w:rPr>
          <w:szCs w:val="24"/>
        </w:rPr>
      </w:pPr>
      <w:r w:rsidRPr="00512369">
        <w:rPr>
          <w:szCs w:val="24"/>
        </w:rPr>
        <w:t>Дозы транквилизаторов, антидепрессантов и нейролептиков при лечении нозогенных расстройств соответствуют стандартным рекомендованным средним суточным дозам. Лечение пациентов осуществляется как на стационарном, так и на амбулаторном этапах. Общая продолжительность лечения составляет в среднем 8 недель. Выбор психотропных средств, назначающихся как в виде мо</w:t>
      </w:r>
      <w:r>
        <w:rPr>
          <w:szCs w:val="24"/>
        </w:rPr>
        <w:t>н</w:t>
      </w:r>
      <w:r w:rsidRPr="00512369">
        <w:rPr>
          <w:szCs w:val="24"/>
        </w:rPr>
        <w:t xml:space="preserve">отерапии, так и комбинированной терапии, во многом определяется структурой психопатологических проявлений. Транквилизаторы (анксиолитики) назначаются при нозогенных реакциях, протекающих с преобладанием невротических расстройств (тревожно-фобические) и нарушениями сна. Антидепрессанты (тимолептики) используются при нозогенных тревожно-депрессивных реакциях. Нейролептики показаны в первую очередь при лечении шизофренических нозогенных реакций. При выраженных нарушениях сна в структуре нозогенной реакции применяется комбинированная терапия антидепрессант - </w:t>
      </w:r>
      <w:r w:rsidRPr="00E931A1">
        <w:rPr>
          <w:szCs w:val="24"/>
        </w:rPr>
        <w:t>транквилизатор (снотворное), нейролептик - транквилизатор (снотворное) в указанных дозах (см. Таблицу 2).</w:t>
      </w:r>
    </w:p>
    <w:p w14:paraId="47983184" w14:textId="77777777" w:rsidR="00120F30" w:rsidRDefault="00120F30" w:rsidP="00120F30">
      <w:pPr>
        <w:ind w:firstLine="708"/>
        <w:rPr>
          <w:szCs w:val="24"/>
        </w:rPr>
      </w:pPr>
      <w:r w:rsidRPr="00E931A1">
        <w:rPr>
          <w:szCs w:val="24"/>
        </w:rPr>
        <w:t>Выбор лекарственного препарата для лечения психиатрического растройства</w:t>
      </w:r>
      <w:r w:rsidRPr="003319F9">
        <w:rPr>
          <w:szCs w:val="24"/>
        </w:rPr>
        <w:t xml:space="preserve"> у пациентов с порфирией осуществляется с учетом особенностей нозологии (в соответствии со списком разрешенных препаратов при порфирии).</w:t>
      </w:r>
    </w:p>
    <w:p w14:paraId="34B07C5B" w14:textId="77777777" w:rsidR="00120F30" w:rsidRPr="007D5352" w:rsidRDefault="00120F30" w:rsidP="00120F30">
      <w:pPr>
        <w:ind w:firstLine="708"/>
        <w:rPr>
          <w:szCs w:val="24"/>
        </w:rPr>
      </w:pPr>
    </w:p>
    <w:p w14:paraId="719F7C02" w14:textId="77777777" w:rsidR="00120F30" w:rsidRPr="00E931A1" w:rsidRDefault="00120F30" w:rsidP="00120F30">
      <w:pPr>
        <w:rPr>
          <w:bCs/>
          <w:szCs w:val="24"/>
        </w:rPr>
      </w:pPr>
      <w:r w:rsidRPr="00E931A1">
        <w:rPr>
          <w:bCs/>
          <w:szCs w:val="24"/>
        </w:rPr>
        <w:t>Таблица 2. Дозы (максимальные, минимальные, средние) психотропных средств, использующиеся в фармакотерапии нозогенных реакций у больных гематологического стационара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3"/>
        <w:gridCol w:w="1929"/>
        <w:gridCol w:w="1895"/>
        <w:gridCol w:w="1630"/>
      </w:tblGrid>
      <w:tr w:rsidR="00120F30" w:rsidRPr="00512369" w14:paraId="1BE3BCCA" w14:textId="77777777" w:rsidTr="005A428D">
        <w:trPr>
          <w:trHeight w:val="228"/>
        </w:trPr>
        <w:tc>
          <w:tcPr>
            <w:tcW w:w="3783" w:type="dxa"/>
            <w:vMerge w:val="restart"/>
          </w:tcPr>
          <w:p w14:paraId="0E654779" w14:textId="77777777" w:rsidR="00120F30" w:rsidRDefault="00120F30" w:rsidP="005A428D">
            <w:pPr>
              <w:autoSpaceDE w:val="0"/>
              <w:autoSpaceDN w:val="0"/>
              <w:adjustRightInd w:val="0"/>
              <w:jc w:val="center"/>
              <w:rPr>
                <w:b/>
                <w:szCs w:val="24"/>
              </w:rPr>
            </w:pPr>
          </w:p>
          <w:p w14:paraId="5E73B26A" w14:textId="77777777" w:rsidR="00120F30" w:rsidRPr="00512369" w:rsidRDefault="00120F30" w:rsidP="005A428D">
            <w:pPr>
              <w:autoSpaceDE w:val="0"/>
              <w:autoSpaceDN w:val="0"/>
              <w:adjustRightInd w:val="0"/>
              <w:jc w:val="center"/>
              <w:rPr>
                <w:b/>
                <w:szCs w:val="24"/>
              </w:rPr>
            </w:pPr>
            <w:r w:rsidRPr="00512369">
              <w:rPr>
                <w:b/>
                <w:szCs w:val="24"/>
              </w:rPr>
              <w:t>Название препарата</w:t>
            </w:r>
          </w:p>
        </w:tc>
        <w:tc>
          <w:tcPr>
            <w:tcW w:w="5454" w:type="dxa"/>
            <w:gridSpan w:val="3"/>
          </w:tcPr>
          <w:p w14:paraId="179074F6" w14:textId="77777777" w:rsidR="00120F30" w:rsidRPr="00512369" w:rsidRDefault="00120F30" w:rsidP="005A428D">
            <w:pPr>
              <w:autoSpaceDE w:val="0"/>
              <w:autoSpaceDN w:val="0"/>
              <w:adjustRightInd w:val="0"/>
              <w:jc w:val="center"/>
              <w:rPr>
                <w:b/>
                <w:szCs w:val="24"/>
              </w:rPr>
            </w:pPr>
            <w:r w:rsidRPr="00512369">
              <w:rPr>
                <w:b/>
                <w:szCs w:val="24"/>
              </w:rPr>
              <w:t>Дозировка</w:t>
            </w:r>
          </w:p>
        </w:tc>
      </w:tr>
      <w:tr w:rsidR="00120F30" w:rsidRPr="00512369" w14:paraId="2520B50F" w14:textId="77777777" w:rsidTr="005A428D">
        <w:trPr>
          <w:trHeight w:val="326"/>
        </w:trPr>
        <w:tc>
          <w:tcPr>
            <w:tcW w:w="3783" w:type="dxa"/>
            <w:vMerge/>
          </w:tcPr>
          <w:p w14:paraId="0ACE4670" w14:textId="77777777" w:rsidR="00120F30" w:rsidRPr="00512369" w:rsidRDefault="00120F30" w:rsidP="005A428D">
            <w:pPr>
              <w:autoSpaceDE w:val="0"/>
              <w:autoSpaceDN w:val="0"/>
              <w:adjustRightInd w:val="0"/>
              <w:rPr>
                <w:b/>
                <w:szCs w:val="24"/>
              </w:rPr>
            </w:pPr>
          </w:p>
        </w:tc>
        <w:tc>
          <w:tcPr>
            <w:tcW w:w="1929" w:type="dxa"/>
          </w:tcPr>
          <w:p w14:paraId="2670DAE1" w14:textId="77777777" w:rsidR="00120F30" w:rsidRPr="00512369" w:rsidRDefault="00120F30" w:rsidP="005A428D">
            <w:pPr>
              <w:autoSpaceDE w:val="0"/>
              <w:autoSpaceDN w:val="0"/>
              <w:adjustRightInd w:val="0"/>
              <w:jc w:val="center"/>
              <w:rPr>
                <w:b/>
                <w:szCs w:val="24"/>
              </w:rPr>
            </w:pPr>
            <w:r>
              <w:rPr>
                <w:b/>
                <w:szCs w:val="24"/>
              </w:rPr>
              <w:t>минимальная</w:t>
            </w:r>
            <w:r w:rsidRPr="00512369">
              <w:rPr>
                <w:b/>
                <w:szCs w:val="24"/>
              </w:rPr>
              <w:t xml:space="preserve"> (мг)</w:t>
            </w:r>
          </w:p>
        </w:tc>
        <w:tc>
          <w:tcPr>
            <w:tcW w:w="1895" w:type="dxa"/>
          </w:tcPr>
          <w:p w14:paraId="5289B950" w14:textId="77777777" w:rsidR="00120F30" w:rsidRPr="00512369" w:rsidRDefault="00120F30" w:rsidP="005A428D">
            <w:pPr>
              <w:autoSpaceDE w:val="0"/>
              <w:autoSpaceDN w:val="0"/>
              <w:adjustRightInd w:val="0"/>
              <w:jc w:val="center"/>
              <w:rPr>
                <w:b/>
                <w:szCs w:val="24"/>
              </w:rPr>
            </w:pPr>
            <w:r>
              <w:rPr>
                <w:b/>
                <w:szCs w:val="24"/>
              </w:rPr>
              <w:t>максимальная</w:t>
            </w:r>
            <w:r w:rsidRPr="00512369">
              <w:rPr>
                <w:b/>
                <w:szCs w:val="24"/>
              </w:rPr>
              <w:t xml:space="preserve"> (мг)</w:t>
            </w:r>
          </w:p>
        </w:tc>
        <w:tc>
          <w:tcPr>
            <w:tcW w:w="1630" w:type="dxa"/>
          </w:tcPr>
          <w:p w14:paraId="08970829" w14:textId="77777777" w:rsidR="00120F30" w:rsidRPr="00512369" w:rsidRDefault="00120F30" w:rsidP="005A428D">
            <w:pPr>
              <w:autoSpaceDE w:val="0"/>
              <w:autoSpaceDN w:val="0"/>
              <w:adjustRightInd w:val="0"/>
              <w:jc w:val="center"/>
              <w:rPr>
                <w:b/>
                <w:szCs w:val="24"/>
              </w:rPr>
            </w:pPr>
            <w:r>
              <w:rPr>
                <w:b/>
                <w:szCs w:val="24"/>
              </w:rPr>
              <w:t>средняя</w:t>
            </w:r>
            <w:r w:rsidRPr="00512369">
              <w:rPr>
                <w:b/>
                <w:szCs w:val="24"/>
              </w:rPr>
              <w:t xml:space="preserve"> (мг)</w:t>
            </w:r>
          </w:p>
        </w:tc>
      </w:tr>
      <w:tr w:rsidR="00120F30" w:rsidRPr="00512369" w14:paraId="51C13953" w14:textId="77777777" w:rsidTr="005A428D">
        <w:trPr>
          <w:trHeight w:val="182"/>
        </w:trPr>
        <w:tc>
          <w:tcPr>
            <w:tcW w:w="3783" w:type="dxa"/>
          </w:tcPr>
          <w:p w14:paraId="72CEC1B6" w14:textId="77777777" w:rsidR="00120F30" w:rsidRPr="00512369" w:rsidRDefault="00120F30" w:rsidP="005A428D">
            <w:pPr>
              <w:autoSpaceDE w:val="0"/>
              <w:autoSpaceDN w:val="0"/>
              <w:adjustRightInd w:val="0"/>
              <w:rPr>
                <w:szCs w:val="24"/>
              </w:rPr>
            </w:pPr>
            <w:r w:rsidRPr="00512369">
              <w:rPr>
                <w:szCs w:val="24"/>
              </w:rPr>
              <w:t>кветиапин</w:t>
            </w:r>
          </w:p>
        </w:tc>
        <w:tc>
          <w:tcPr>
            <w:tcW w:w="1929" w:type="dxa"/>
          </w:tcPr>
          <w:p w14:paraId="00EA44FA" w14:textId="77777777" w:rsidR="00120F30" w:rsidRPr="00512369" w:rsidRDefault="00120F30" w:rsidP="005A428D">
            <w:pPr>
              <w:autoSpaceDE w:val="0"/>
              <w:autoSpaceDN w:val="0"/>
              <w:adjustRightInd w:val="0"/>
              <w:jc w:val="center"/>
              <w:rPr>
                <w:szCs w:val="24"/>
              </w:rPr>
            </w:pPr>
            <w:r w:rsidRPr="00512369">
              <w:rPr>
                <w:szCs w:val="24"/>
              </w:rPr>
              <w:t>25</w:t>
            </w:r>
          </w:p>
        </w:tc>
        <w:tc>
          <w:tcPr>
            <w:tcW w:w="1895" w:type="dxa"/>
          </w:tcPr>
          <w:p w14:paraId="3664E6FD" w14:textId="77777777" w:rsidR="00120F30" w:rsidRPr="00512369" w:rsidRDefault="00120F30" w:rsidP="005A428D">
            <w:pPr>
              <w:autoSpaceDE w:val="0"/>
              <w:autoSpaceDN w:val="0"/>
              <w:adjustRightInd w:val="0"/>
              <w:jc w:val="center"/>
              <w:rPr>
                <w:szCs w:val="24"/>
              </w:rPr>
            </w:pPr>
            <w:r w:rsidRPr="00512369">
              <w:rPr>
                <w:szCs w:val="24"/>
              </w:rPr>
              <w:t>600</w:t>
            </w:r>
          </w:p>
        </w:tc>
        <w:tc>
          <w:tcPr>
            <w:tcW w:w="1630" w:type="dxa"/>
          </w:tcPr>
          <w:p w14:paraId="57FE4C48" w14:textId="77777777" w:rsidR="00120F30" w:rsidRPr="00512369" w:rsidRDefault="00120F30" w:rsidP="005A428D">
            <w:pPr>
              <w:autoSpaceDE w:val="0"/>
              <w:autoSpaceDN w:val="0"/>
              <w:adjustRightInd w:val="0"/>
              <w:jc w:val="center"/>
              <w:rPr>
                <w:szCs w:val="24"/>
              </w:rPr>
            </w:pPr>
            <w:r w:rsidRPr="00512369">
              <w:rPr>
                <w:szCs w:val="24"/>
              </w:rPr>
              <w:t>300</w:t>
            </w:r>
          </w:p>
        </w:tc>
      </w:tr>
      <w:tr w:rsidR="00120F30" w:rsidRPr="00512369" w14:paraId="0B08358F" w14:textId="77777777" w:rsidTr="005A428D">
        <w:trPr>
          <w:trHeight w:val="185"/>
        </w:trPr>
        <w:tc>
          <w:tcPr>
            <w:tcW w:w="3783" w:type="dxa"/>
          </w:tcPr>
          <w:p w14:paraId="7CC116D1" w14:textId="77777777" w:rsidR="00120F30" w:rsidRPr="00512369" w:rsidRDefault="00120F30" w:rsidP="005A428D">
            <w:pPr>
              <w:autoSpaceDE w:val="0"/>
              <w:autoSpaceDN w:val="0"/>
              <w:adjustRightInd w:val="0"/>
              <w:rPr>
                <w:szCs w:val="24"/>
              </w:rPr>
            </w:pPr>
            <w:r w:rsidRPr="00512369">
              <w:rPr>
                <w:szCs w:val="24"/>
              </w:rPr>
              <w:t>сульпирид</w:t>
            </w:r>
          </w:p>
        </w:tc>
        <w:tc>
          <w:tcPr>
            <w:tcW w:w="1929" w:type="dxa"/>
          </w:tcPr>
          <w:p w14:paraId="16953ED3" w14:textId="77777777" w:rsidR="00120F30" w:rsidRPr="00512369" w:rsidRDefault="00120F30" w:rsidP="005A428D">
            <w:pPr>
              <w:autoSpaceDE w:val="0"/>
              <w:autoSpaceDN w:val="0"/>
              <w:adjustRightInd w:val="0"/>
              <w:jc w:val="center"/>
              <w:rPr>
                <w:szCs w:val="24"/>
              </w:rPr>
            </w:pPr>
            <w:r w:rsidRPr="00512369">
              <w:rPr>
                <w:szCs w:val="24"/>
              </w:rPr>
              <w:t>50</w:t>
            </w:r>
          </w:p>
        </w:tc>
        <w:tc>
          <w:tcPr>
            <w:tcW w:w="1895" w:type="dxa"/>
          </w:tcPr>
          <w:p w14:paraId="7697D188" w14:textId="77777777" w:rsidR="00120F30" w:rsidRPr="00512369" w:rsidRDefault="00120F30" w:rsidP="005A428D">
            <w:pPr>
              <w:autoSpaceDE w:val="0"/>
              <w:autoSpaceDN w:val="0"/>
              <w:adjustRightInd w:val="0"/>
              <w:jc w:val="center"/>
              <w:rPr>
                <w:szCs w:val="24"/>
              </w:rPr>
            </w:pPr>
            <w:r w:rsidRPr="00512369">
              <w:rPr>
                <w:szCs w:val="24"/>
              </w:rPr>
              <w:t>400</w:t>
            </w:r>
          </w:p>
        </w:tc>
        <w:tc>
          <w:tcPr>
            <w:tcW w:w="1630" w:type="dxa"/>
          </w:tcPr>
          <w:p w14:paraId="394E470B" w14:textId="77777777" w:rsidR="00120F30" w:rsidRPr="00512369" w:rsidRDefault="00120F30" w:rsidP="005A428D">
            <w:pPr>
              <w:autoSpaceDE w:val="0"/>
              <w:autoSpaceDN w:val="0"/>
              <w:adjustRightInd w:val="0"/>
              <w:jc w:val="center"/>
              <w:rPr>
                <w:szCs w:val="24"/>
              </w:rPr>
            </w:pPr>
            <w:r w:rsidRPr="00512369">
              <w:rPr>
                <w:szCs w:val="24"/>
              </w:rPr>
              <w:t>200</w:t>
            </w:r>
          </w:p>
        </w:tc>
      </w:tr>
      <w:tr w:rsidR="00120F30" w:rsidRPr="00512369" w14:paraId="0D002BB2" w14:textId="77777777" w:rsidTr="005A428D">
        <w:trPr>
          <w:trHeight w:val="190"/>
        </w:trPr>
        <w:tc>
          <w:tcPr>
            <w:tcW w:w="3783" w:type="dxa"/>
          </w:tcPr>
          <w:p w14:paraId="54FB6A24" w14:textId="77777777" w:rsidR="00120F30" w:rsidRPr="00512369" w:rsidRDefault="00120F30" w:rsidP="005A428D">
            <w:pPr>
              <w:autoSpaceDE w:val="0"/>
              <w:autoSpaceDN w:val="0"/>
              <w:adjustRightInd w:val="0"/>
              <w:rPr>
                <w:szCs w:val="24"/>
              </w:rPr>
            </w:pPr>
            <w:r w:rsidRPr="00512369">
              <w:rPr>
                <w:szCs w:val="24"/>
              </w:rPr>
              <w:t>галоперидол</w:t>
            </w:r>
          </w:p>
        </w:tc>
        <w:tc>
          <w:tcPr>
            <w:tcW w:w="1929" w:type="dxa"/>
          </w:tcPr>
          <w:p w14:paraId="4C23D3F3" w14:textId="77777777" w:rsidR="00120F30" w:rsidRPr="00512369" w:rsidRDefault="00120F30" w:rsidP="005A428D">
            <w:pPr>
              <w:autoSpaceDE w:val="0"/>
              <w:autoSpaceDN w:val="0"/>
              <w:adjustRightInd w:val="0"/>
              <w:jc w:val="center"/>
              <w:rPr>
                <w:szCs w:val="24"/>
              </w:rPr>
            </w:pPr>
            <w:r w:rsidRPr="00512369">
              <w:rPr>
                <w:szCs w:val="24"/>
              </w:rPr>
              <w:t>0,5</w:t>
            </w:r>
          </w:p>
        </w:tc>
        <w:tc>
          <w:tcPr>
            <w:tcW w:w="1895" w:type="dxa"/>
          </w:tcPr>
          <w:p w14:paraId="1586E832" w14:textId="77777777" w:rsidR="00120F30" w:rsidRPr="00512369" w:rsidRDefault="00120F30" w:rsidP="005A428D">
            <w:pPr>
              <w:autoSpaceDE w:val="0"/>
              <w:autoSpaceDN w:val="0"/>
              <w:adjustRightInd w:val="0"/>
              <w:jc w:val="center"/>
              <w:rPr>
                <w:szCs w:val="24"/>
              </w:rPr>
            </w:pPr>
            <w:r w:rsidRPr="00512369">
              <w:rPr>
                <w:szCs w:val="24"/>
              </w:rPr>
              <w:t>10</w:t>
            </w:r>
          </w:p>
        </w:tc>
        <w:tc>
          <w:tcPr>
            <w:tcW w:w="1630" w:type="dxa"/>
          </w:tcPr>
          <w:p w14:paraId="7386949C" w14:textId="77777777" w:rsidR="00120F30" w:rsidRPr="00512369" w:rsidRDefault="00120F30" w:rsidP="005A428D">
            <w:pPr>
              <w:autoSpaceDE w:val="0"/>
              <w:autoSpaceDN w:val="0"/>
              <w:adjustRightInd w:val="0"/>
              <w:jc w:val="center"/>
              <w:rPr>
                <w:szCs w:val="24"/>
              </w:rPr>
            </w:pPr>
            <w:r w:rsidRPr="00512369">
              <w:rPr>
                <w:szCs w:val="24"/>
              </w:rPr>
              <w:t>2,5</w:t>
            </w:r>
          </w:p>
        </w:tc>
      </w:tr>
      <w:tr w:rsidR="00120F30" w:rsidRPr="00512369" w14:paraId="3B6E0F9B" w14:textId="77777777" w:rsidTr="005A428D">
        <w:trPr>
          <w:trHeight w:val="179"/>
        </w:trPr>
        <w:tc>
          <w:tcPr>
            <w:tcW w:w="3783" w:type="dxa"/>
          </w:tcPr>
          <w:p w14:paraId="5A990B6D" w14:textId="77777777" w:rsidR="00120F30" w:rsidRPr="00512369" w:rsidRDefault="00120F30" w:rsidP="005A428D">
            <w:pPr>
              <w:autoSpaceDE w:val="0"/>
              <w:autoSpaceDN w:val="0"/>
              <w:adjustRightInd w:val="0"/>
              <w:rPr>
                <w:szCs w:val="24"/>
              </w:rPr>
            </w:pPr>
            <w:r w:rsidRPr="00512369">
              <w:rPr>
                <w:szCs w:val="24"/>
              </w:rPr>
              <w:t>рисперидон</w:t>
            </w:r>
          </w:p>
        </w:tc>
        <w:tc>
          <w:tcPr>
            <w:tcW w:w="1929" w:type="dxa"/>
          </w:tcPr>
          <w:p w14:paraId="3C58448B" w14:textId="77777777" w:rsidR="00120F30" w:rsidRPr="00512369" w:rsidRDefault="00120F30" w:rsidP="005A428D">
            <w:pPr>
              <w:autoSpaceDE w:val="0"/>
              <w:autoSpaceDN w:val="0"/>
              <w:adjustRightInd w:val="0"/>
              <w:jc w:val="center"/>
              <w:rPr>
                <w:szCs w:val="24"/>
              </w:rPr>
            </w:pPr>
            <w:r w:rsidRPr="00512369">
              <w:rPr>
                <w:szCs w:val="24"/>
              </w:rPr>
              <w:t>2</w:t>
            </w:r>
          </w:p>
        </w:tc>
        <w:tc>
          <w:tcPr>
            <w:tcW w:w="1895" w:type="dxa"/>
          </w:tcPr>
          <w:p w14:paraId="214A4A36" w14:textId="77777777" w:rsidR="00120F30" w:rsidRPr="00512369" w:rsidRDefault="00120F30" w:rsidP="005A428D">
            <w:pPr>
              <w:autoSpaceDE w:val="0"/>
              <w:autoSpaceDN w:val="0"/>
              <w:adjustRightInd w:val="0"/>
              <w:jc w:val="center"/>
              <w:rPr>
                <w:szCs w:val="24"/>
              </w:rPr>
            </w:pPr>
            <w:r w:rsidRPr="00512369">
              <w:rPr>
                <w:szCs w:val="24"/>
              </w:rPr>
              <w:t>4</w:t>
            </w:r>
          </w:p>
        </w:tc>
        <w:tc>
          <w:tcPr>
            <w:tcW w:w="1630" w:type="dxa"/>
          </w:tcPr>
          <w:p w14:paraId="3A0DB88F" w14:textId="77777777" w:rsidR="00120F30" w:rsidRPr="00512369" w:rsidRDefault="00120F30" w:rsidP="005A428D">
            <w:pPr>
              <w:autoSpaceDE w:val="0"/>
              <w:autoSpaceDN w:val="0"/>
              <w:adjustRightInd w:val="0"/>
              <w:jc w:val="center"/>
              <w:rPr>
                <w:szCs w:val="24"/>
              </w:rPr>
            </w:pPr>
            <w:r w:rsidRPr="00512369">
              <w:rPr>
                <w:szCs w:val="24"/>
              </w:rPr>
              <w:t>3</w:t>
            </w:r>
          </w:p>
        </w:tc>
      </w:tr>
      <w:tr w:rsidR="00120F30" w:rsidRPr="00512369" w14:paraId="10AB474D" w14:textId="77777777" w:rsidTr="005A428D">
        <w:trPr>
          <w:trHeight w:val="170"/>
        </w:trPr>
        <w:tc>
          <w:tcPr>
            <w:tcW w:w="3783" w:type="dxa"/>
          </w:tcPr>
          <w:p w14:paraId="085975FE" w14:textId="77777777" w:rsidR="00120F30" w:rsidRPr="00512369" w:rsidRDefault="00120F30" w:rsidP="005A428D">
            <w:pPr>
              <w:autoSpaceDE w:val="0"/>
              <w:autoSpaceDN w:val="0"/>
              <w:adjustRightInd w:val="0"/>
              <w:rPr>
                <w:szCs w:val="24"/>
              </w:rPr>
            </w:pPr>
            <w:r w:rsidRPr="00512369">
              <w:rPr>
                <w:szCs w:val="24"/>
              </w:rPr>
              <w:t>оланзапин</w:t>
            </w:r>
          </w:p>
        </w:tc>
        <w:tc>
          <w:tcPr>
            <w:tcW w:w="1929" w:type="dxa"/>
          </w:tcPr>
          <w:p w14:paraId="6B104C17" w14:textId="77777777" w:rsidR="00120F30" w:rsidRPr="00512369" w:rsidRDefault="00120F30" w:rsidP="005A428D">
            <w:pPr>
              <w:autoSpaceDE w:val="0"/>
              <w:autoSpaceDN w:val="0"/>
              <w:adjustRightInd w:val="0"/>
              <w:jc w:val="center"/>
              <w:rPr>
                <w:szCs w:val="24"/>
              </w:rPr>
            </w:pPr>
            <w:r w:rsidRPr="00512369">
              <w:rPr>
                <w:szCs w:val="24"/>
              </w:rPr>
              <w:t>5</w:t>
            </w:r>
          </w:p>
        </w:tc>
        <w:tc>
          <w:tcPr>
            <w:tcW w:w="1895" w:type="dxa"/>
          </w:tcPr>
          <w:p w14:paraId="6B43FEBF" w14:textId="77777777" w:rsidR="00120F30" w:rsidRPr="00512369" w:rsidRDefault="00120F30" w:rsidP="005A428D">
            <w:pPr>
              <w:autoSpaceDE w:val="0"/>
              <w:autoSpaceDN w:val="0"/>
              <w:adjustRightInd w:val="0"/>
              <w:jc w:val="center"/>
              <w:rPr>
                <w:szCs w:val="24"/>
              </w:rPr>
            </w:pPr>
            <w:r w:rsidRPr="00512369">
              <w:rPr>
                <w:szCs w:val="24"/>
              </w:rPr>
              <w:t>15</w:t>
            </w:r>
          </w:p>
        </w:tc>
        <w:tc>
          <w:tcPr>
            <w:tcW w:w="1630" w:type="dxa"/>
          </w:tcPr>
          <w:p w14:paraId="2A90D0E9" w14:textId="77777777" w:rsidR="00120F30" w:rsidRPr="00512369" w:rsidRDefault="00120F30" w:rsidP="005A428D">
            <w:pPr>
              <w:autoSpaceDE w:val="0"/>
              <w:autoSpaceDN w:val="0"/>
              <w:adjustRightInd w:val="0"/>
              <w:jc w:val="center"/>
              <w:rPr>
                <w:szCs w:val="24"/>
              </w:rPr>
            </w:pPr>
            <w:r w:rsidRPr="00512369">
              <w:rPr>
                <w:szCs w:val="24"/>
              </w:rPr>
              <w:t>7,5</w:t>
            </w:r>
          </w:p>
        </w:tc>
      </w:tr>
      <w:tr w:rsidR="00120F30" w:rsidRPr="00512369" w14:paraId="3FFE3C45" w14:textId="77777777" w:rsidTr="005A428D">
        <w:trPr>
          <w:trHeight w:val="173"/>
        </w:trPr>
        <w:tc>
          <w:tcPr>
            <w:tcW w:w="3783" w:type="dxa"/>
          </w:tcPr>
          <w:p w14:paraId="15DB017C" w14:textId="77777777" w:rsidR="00120F30" w:rsidRPr="00512369" w:rsidRDefault="00120F30" w:rsidP="005A428D">
            <w:pPr>
              <w:autoSpaceDE w:val="0"/>
              <w:autoSpaceDN w:val="0"/>
              <w:adjustRightInd w:val="0"/>
              <w:rPr>
                <w:szCs w:val="24"/>
              </w:rPr>
            </w:pPr>
            <w:r w:rsidRPr="00512369">
              <w:rPr>
                <w:szCs w:val="24"/>
              </w:rPr>
              <w:t>лоразепам</w:t>
            </w:r>
          </w:p>
        </w:tc>
        <w:tc>
          <w:tcPr>
            <w:tcW w:w="1929" w:type="dxa"/>
          </w:tcPr>
          <w:p w14:paraId="0DD4A17B" w14:textId="77777777" w:rsidR="00120F30" w:rsidRPr="00512369" w:rsidRDefault="00120F30" w:rsidP="005A428D">
            <w:pPr>
              <w:autoSpaceDE w:val="0"/>
              <w:autoSpaceDN w:val="0"/>
              <w:adjustRightInd w:val="0"/>
              <w:jc w:val="center"/>
              <w:rPr>
                <w:szCs w:val="24"/>
              </w:rPr>
            </w:pPr>
            <w:r w:rsidRPr="00512369">
              <w:rPr>
                <w:szCs w:val="24"/>
              </w:rPr>
              <w:t>0,5</w:t>
            </w:r>
          </w:p>
        </w:tc>
        <w:tc>
          <w:tcPr>
            <w:tcW w:w="1895" w:type="dxa"/>
          </w:tcPr>
          <w:p w14:paraId="31439E56" w14:textId="77777777" w:rsidR="00120F30" w:rsidRPr="00512369" w:rsidRDefault="00120F30" w:rsidP="005A428D">
            <w:pPr>
              <w:autoSpaceDE w:val="0"/>
              <w:autoSpaceDN w:val="0"/>
              <w:adjustRightInd w:val="0"/>
              <w:jc w:val="center"/>
              <w:rPr>
                <w:szCs w:val="24"/>
              </w:rPr>
            </w:pPr>
            <w:r w:rsidRPr="00512369">
              <w:rPr>
                <w:szCs w:val="24"/>
              </w:rPr>
              <w:t>2,5</w:t>
            </w:r>
          </w:p>
        </w:tc>
        <w:tc>
          <w:tcPr>
            <w:tcW w:w="1630" w:type="dxa"/>
          </w:tcPr>
          <w:p w14:paraId="0A1E1AFE" w14:textId="77777777" w:rsidR="00120F30" w:rsidRPr="00512369" w:rsidRDefault="00120F30" w:rsidP="005A428D">
            <w:pPr>
              <w:autoSpaceDE w:val="0"/>
              <w:autoSpaceDN w:val="0"/>
              <w:adjustRightInd w:val="0"/>
              <w:jc w:val="center"/>
              <w:rPr>
                <w:szCs w:val="24"/>
              </w:rPr>
            </w:pPr>
            <w:r w:rsidRPr="00512369">
              <w:rPr>
                <w:szCs w:val="24"/>
              </w:rPr>
              <w:t>1</w:t>
            </w:r>
          </w:p>
        </w:tc>
      </w:tr>
      <w:tr w:rsidR="00120F30" w:rsidRPr="00512369" w14:paraId="2E6D749E" w14:textId="77777777" w:rsidTr="005A428D">
        <w:trPr>
          <w:trHeight w:val="164"/>
        </w:trPr>
        <w:tc>
          <w:tcPr>
            <w:tcW w:w="3783" w:type="dxa"/>
          </w:tcPr>
          <w:p w14:paraId="175AED2C" w14:textId="77777777" w:rsidR="00120F30" w:rsidRPr="00512369" w:rsidRDefault="00120F30" w:rsidP="005A428D">
            <w:pPr>
              <w:autoSpaceDE w:val="0"/>
              <w:autoSpaceDN w:val="0"/>
              <w:adjustRightInd w:val="0"/>
              <w:rPr>
                <w:szCs w:val="24"/>
              </w:rPr>
            </w:pPr>
            <w:r w:rsidRPr="00512369">
              <w:rPr>
                <w:szCs w:val="24"/>
              </w:rPr>
              <w:t>феназепам</w:t>
            </w:r>
          </w:p>
        </w:tc>
        <w:tc>
          <w:tcPr>
            <w:tcW w:w="1929" w:type="dxa"/>
          </w:tcPr>
          <w:p w14:paraId="16497D1D" w14:textId="77777777" w:rsidR="00120F30" w:rsidRPr="00512369" w:rsidRDefault="00120F30" w:rsidP="005A428D">
            <w:pPr>
              <w:autoSpaceDE w:val="0"/>
              <w:autoSpaceDN w:val="0"/>
              <w:adjustRightInd w:val="0"/>
              <w:jc w:val="center"/>
              <w:rPr>
                <w:szCs w:val="24"/>
              </w:rPr>
            </w:pPr>
            <w:r w:rsidRPr="00512369">
              <w:rPr>
                <w:szCs w:val="24"/>
              </w:rPr>
              <w:t>0,5</w:t>
            </w:r>
          </w:p>
        </w:tc>
        <w:tc>
          <w:tcPr>
            <w:tcW w:w="1895" w:type="dxa"/>
          </w:tcPr>
          <w:p w14:paraId="1C5189FE" w14:textId="77777777" w:rsidR="00120F30" w:rsidRPr="00512369" w:rsidRDefault="00120F30" w:rsidP="005A428D">
            <w:pPr>
              <w:autoSpaceDE w:val="0"/>
              <w:autoSpaceDN w:val="0"/>
              <w:adjustRightInd w:val="0"/>
              <w:jc w:val="center"/>
              <w:rPr>
                <w:szCs w:val="24"/>
              </w:rPr>
            </w:pPr>
            <w:r w:rsidRPr="00512369">
              <w:rPr>
                <w:szCs w:val="24"/>
              </w:rPr>
              <w:t>2</w:t>
            </w:r>
          </w:p>
        </w:tc>
        <w:tc>
          <w:tcPr>
            <w:tcW w:w="1630" w:type="dxa"/>
          </w:tcPr>
          <w:p w14:paraId="7F27A18C" w14:textId="77777777" w:rsidR="00120F30" w:rsidRPr="00512369" w:rsidRDefault="00120F30" w:rsidP="005A428D">
            <w:pPr>
              <w:autoSpaceDE w:val="0"/>
              <w:autoSpaceDN w:val="0"/>
              <w:adjustRightInd w:val="0"/>
              <w:jc w:val="center"/>
              <w:rPr>
                <w:szCs w:val="24"/>
              </w:rPr>
            </w:pPr>
            <w:r w:rsidRPr="00512369">
              <w:rPr>
                <w:szCs w:val="24"/>
              </w:rPr>
              <w:t>1,5</w:t>
            </w:r>
          </w:p>
        </w:tc>
      </w:tr>
      <w:tr w:rsidR="00120F30" w:rsidRPr="00512369" w14:paraId="6C00AD7D" w14:textId="77777777" w:rsidTr="005A428D">
        <w:trPr>
          <w:trHeight w:val="167"/>
        </w:trPr>
        <w:tc>
          <w:tcPr>
            <w:tcW w:w="3783" w:type="dxa"/>
          </w:tcPr>
          <w:p w14:paraId="381F9582" w14:textId="77777777" w:rsidR="00120F30" w:rsidRPr="00512369" w:rsidRDefault="00120F30" w:rsidP="005A428D">
            <w:pPr>
              <w:autoSpaceDE w:val="0"/>
              <w:autoSpaceDN w:val="0"/>
              <w:adjustRightInd w:val="0"/>
              <w:rPr>
                <w:szCs w:val="24"/>
              </w:rPr>
            </w:pPr>
            <w:r w:rsidRPr="00512369">
              <w:rPr>
                <w:szCs w:val="24"/>
              </w:rPr>
              <w:t>сертралин</w:t>
            </w:r>
          </w:p>
        </w:tc>
        <w:tc>
          <w:tcPr>
            <w:tcW w:w="1929" w:type="dxa"/>
          </w:tcPr>
          <w:p w14:paraId="2EB77A56" w14:textId="77777777" w:rsidR="00120F30" w:rsidRPr="00512369" w:rsidRDefault="00120F30" w:rsidP="005A428D">
            <w:pPr>
              <w:autoSpaceDE w:val="0"/>
              <w:autoSpaceDN w:val="0"/>
              <w:adjustRightInd w:val="0"/>
              <w:jc w:val="center"/>
              <w:rPr>
                <w:szCs w:val="24"/>
              </w:rPr>
            </w:pPr>
            <w:r w:rsidRPr="00512369">
              <w:rPr>
                <w:szCs w:val="24"/>
              </w:rPr>
              <w:t>25</w:t>
            </w:r>
          </w:p>
        </w:tc>
        <w:tc>
          <w:tcPr>
            <w:tcW w:w="1895" w:type="dxa"/>
          </w:tcPr>
          <w:p w14:paraId="4FDD147A" w14:textId="77777777" w:rsidR="00120F30" w:rsidRPr="00512369" w:rsidRDefault="00120F30" w:rsidP="005A428D">
            <w:pPr>
              <w:autoSpaceDE w:val="0"/>
              <w:autoSpaceDN w:val="0"/>
              <w:adjustRightInd w:val="0"/>
              <w:jc w:val="center"/>
              <w:rPr>
                <w:szCs w:val="24"/>
              </w:rPr>
            </w:pPr>
            <w:r w:rsidRPr="00512369">
              <w:rPr>
                <w:szCs w:val="24"/>
              </w:rPr>
              <w:t>150</w:t>
            </w:r>
          </w:p>
        </w:tc>
        <w:tc>
          <w:tcPr>
            <w:tcW w:w="1630" w:type="dxa"/>
          </w:tcPr>
          <w:p w14:paraId="6F6760FD" w14:textId="77777777" w:rsidR="00120F30" w:rsidRPr="00512369" w:rsidRDefault="00120F30" w:rsidP="005A428D">
            <w:pPr>
              <w:autoSpaceDE w:val="0"/>
              <w:autoSpaceDN w:val="0"/>
              <w:adjustRightInd w:val="0"/>
              <w:jc w:val="center"/>
              <w:rPr>
                <w:szCs w:val="24"/>
              </w:rPr>
            </w:pPr>
            <w:r w:rsidRPr="00512369">
              <w:rPr>
                <w:szCs w:val="24"/>
              </w:rPr>
              <w:t>50</w:t>
            </w:r>
          </w:p>
        </w:tc>
      </w:tr>
      <w:tr w:rsidR="00120F30" w:rsidRPr="00512369" w14:paraId="1AD6190F" w14:textId="77777777" w:rsidTr="005A428D">
        <w:trPr>
          <w:trHeight w:val="266"/>
        </w:trPr>
        <w:tc>
          <w:tcPr>
            <w:tcW w:w="3783" w:type="dxa"/>
          </w:tcPr>
          <w:p w14:paraId="710C7DAF" w14:textId="77777777" w:rsidR="00120F30" w:rsidRPr="00512369" w:rsidRDefault="00120F30" w:rsidP="005A428D">
            <w:pPr>
              <w:autoSpaceDE w:val="0"/>
              <w:autoSpaceDN w:val="0"/>
              <w:adjustRightInd w:val="0"/>
              <w:rPr>
                <w:szCs w:val="24"/>
              </w:rPr>
            </w:pPr>
            <w:r w:rsidRPr="00512369">
              <w:rPr>
                <w:szCs w:val="24"/>
              </w:rPr>
              <w:t>пароксетин</w:t>
            </w:r>
          </w:p>
        </w:tc>
        <w:tc>
          <w:tcPr>
            <w:tcW w:w="1929" w:type="dxa"/>
          </w:tcPr>
          <w:p w14:paraId="073E845C" w14:textId="77777777" w:rsidR="00120F30" w:rsidRPr="00512369" w:rsidRDefault="00120F30" w:rsidP="005A428D">
            <w:pPr>
              <w:autoSpaceDE w:val="0"/>
              <w:autoSpaceDN w:val="0"/>
              <w:adjustRightInd w:val="0"/>
              <w:jc w:val="center"/>
              <w:rPr>
                <w:szCs w:val="24"/>
              </w:rPr>
            </w:pPr>
            <w:r w:rsidRPr="00512369">
              <w:rPr>
                <w:szCs w:val="24"/>
              </w:rPr>
              <w:t>20</w:t>
            </w:r>
          </w:p>
        </w:tc>
        <w:tc>
          <w:tcPr>
            <w:tcW w:w="1895" w:type="dxa"/>
          </w:tcPr>
          <w:p w14:paraId="0468728D" w14:textId="77777777" w:rsidR="00120F30" w:rsidRPr="00512369" w:rsidRDefault="00120F30" w:rsidP="005A428D">
            <w:pPr>
              <w:autoSpaceDE w:val="0"/>
              <w:autoSpaceDN w:val="0"/>
              <w:adjustRightInd w:val="0"/>
              <w:jc w:val="center"/>
              <w:rPr>
                <w:szCs w:val="24"/>
              </w:rPr>
            </w:pPr>
            <w:r w:rsidRPr="00512369">
              <w:rPr>
                <w:szCs w:val="24"/>
              </w:rPr>
              <w:t>40</w:t>
            </w:r>
          </w:p>
        </w:tc>
        <w:tc>
          <w:tcPr>
            <w:tcW w:w="1630" w:type="dxa"/>
          </w:tcPr>
          <w:p w14:paraId="35FF3662" w14:textId="77777777" w:rsidR="00120F30" w:rsidRPr="00512369" w:rsidRDefault="00120F30" w:rsidP="005A428D">
            <w:pPr>
              <w:autoSpaceDE w:val="0"/>
              <w:autoSpaceDN w:val="0"/>
              <w:adjustRightInd w:val="0"/>
              <w:jc w:val="center"/>
              <w:rPr>
                <w:szCs w:val="24"/>
              </w:rPr>
            </w:pPr>
            <w:r w:rsidRPr="00512369">
              <w:rPr>
                <w:szCs w:val="24"/>
              </w:rPr>
              <w:t>30</w:t>
            </w:r>
          </w:p>
        </w:tc>
      </w:tr>
      <w:tr w:rsidR="00120F30" w:rsidRPr="00512369" w14:paraId="2DB14696" w14:textId="77777777" w:rsidTr="005A428D">
        <w:trPr>
          <w:trHeight w:val="269"/>
        </w:trPr>
        <w:tc>
          <w:tcPr>
            <w:tcW w:w="3783" w:type="dxa"/>
          </w:tcPr>
          <w:p w14:paraId="228C048E" w14:textId="77777777" w:rsidR="00120F30" w:rsidRPr="00512369" w:rsidRDefault="00120F30" w:rsidP="005A428D">
            <w:pPr>
              <w:autoSpaceDE w:val="0"/>
              <w:autoSpaceDN w:val="0"/>
              <w:adjustRightInd w:val="0"/>
              <w:rPr>
                <w:szCs w:val="24"/>
              </w:rPr>
            </w:pPr>
            <w:r w:rsidRPr="00512369">
              <w:rPr>
                <w:szCs w:val="24"/>
              </w:rPr>
              <w:t>ципралекс</w:t>
            </w:r>
          </w:p>
        </w:tc>
        <w:tc>
          <w:tcPr>
            <w:tcW w:w="1929" w:type="dxa"/>
          </w:tcPr>
          <w:p w14:paraId="70978696" w14:textId="77777777" w:rsidR="00120F30" w:rsidRPr="00512369" w:rsidRDefault="00120F30" w:rsidP="005A428D">
            <w:pPr>
              <w:autoSpaceDE w:val="0"/>
              <w:autoSpaceDN w:val="0"/>
              <w:adjustRightInd w:val="0"/>
              <w:jc w:val="center"/>
              <w:rPr>
                <w:szCs w:val="24"/>
              </w:rPr>
            </w:pPr>
            <w:r w:rsidRPr="00512369">
              <w:rPr>
                <w:szCs w:val="24"/>
              </w:rPr>
              <w:t>10</w:t>
            </w:r>
          </w:p>
        </w:tc>
        <w:tc>
          <w:tcPr>
            <w:tcW w:w="1895" w:type="dxa"/>
          </w:tcPr>
          <w:p w14:paraId="001321E1" w14:textId="77777777" w:rsidR="00120F30" w:rsidRPr="00512369" w:rsidRDefault="00120F30" w:rsidP="005A428D">
            <w:pPr>
              <w:autoSpaceDE w:val="0"/>
              <w:autoSpaceDN w:val="0"/>
              <w:adjustRightInd w:val="0"/>
              <w:jc w:val="center"/>
              <w:rPr>
                <w:szCs w:val="24"/>
              </w:rPr>
            </w:pPr>
            <w:r w:rsidRPr="00512369">
              <w:rPr>
                <w:szCs w:val="24"/>
              </w:rPr>
              <w:t>20</w:t>
            </w:r>
          </w:p>
        </w:tc>
        <w:tc>
          <w:tcPr>
            <w:tcW w:w="1630" w:type="dxa"/>
          </w:tcPr>
          <w:p w14:paraId="7907721A" w14:textId="77777777" w:rsidR="00120F30" w:rsidRPr="00512369" w:rsidRDefault="00120F30" w:rsidP="005A428D">
            <w:pPr>
              <w:autoSpaceDE w:val="0"/>
              <w:autoSpaceDN w:val="0"/>
              <w:adjustRightInd w:val="0"/>
              <w:jc w:val="center"/>
              <w:rPr>
                <w:szCs w:val="24"/>
              </w:rPr>
            </w:pPr>
            <w:r w:rsidRPr="00512369">
              <w:rPr>
                <w:szCs w:val="24"/>
              </w:rPr>
              <w:t>15</w:t>
            </w:r>
          </w:p>
        </w:tc>
      </w:tr>
      <w:tr w:rsidR="00120F30" w:rsidRPr="00512369" w14:paraId="3519C5E7" w14:textId="77777777" w:rsidTr="005A428D">
        <w:trPr>
          <w:trHeight w:val="274"/>
        </w:trPr>
        <w:tc>
          <w:tcPr>
            <w:tcW w:w="3783" w:type="dxa"/>
          </w:tcPr>
          <w:p w14:paraId="04EDA26A" w14:textId="77777777" w:rsidR="00120F30" w:rsidRPr="00512369" w:rsidRDefault="00120F30" w:rsidP="005A428D">
            <w:pPr>
              <w:autoSpaceDE w:val="0"/>
              <w:autoSpaceDN w:val="0"/>
              <w:adjustRightInd w:val="0"/>
              <w:rPr>
                <w:szCs w:val="24"/>
              </w:rPr>
            </w:pPr>
            <w:r w:rsidRPr="00512369">
              <w:rPr>
                <w:szCs w:val="24"/>
              </w:rPr>
              <w:t>зопиклон</w:t>
            </w:r>
          </w:p>
        </w:tc>
        <w:tc>
          <w:tcPr>
            <w:tcW w:w="1929" w:type="dxa"/>
          </w:tcPr>
          <w:p w14:paraId="2B7C7FA5" w14:textId="77777777" w:rsidR="00120F30" w:rsidRPr="00512369" w:rsidRDefault="00120F30" w:rsidP="005A428D">
            <w:pPr>
              <w:autoSpaceDE w:val="0"/>
              <w:autoSpaceDN w:val="0"/>
              <w:adjustRightInd w:val="0"/>
              <w:jc w:val="center"/>
              <w:rPr>
                <w:szCs w:val="24"/>
              </w:rPr>
            </w:pPr>
            <w:r w:rsidRPr="00512369">
              <w:rPr>
                <w:szCs w:val="24"/>
              </w:rPr>
              <w:t>3,75</w:t>
            </w:r>
          </w:p>
        </w:tc>
        <w:tc>
          <w:tcPr>
            <w:tcW w:w="1895" w:type="dxa"/>
          </w:tcPr>
          <w:p w14:paraId="6239AD30" w14:textId="77777777" w:rsidR="00120F30" w:rsidRPr="00512369" w:rsidRDefault="00120F30" w:rsidP="005A428D">
            <w:pPr>
              <w:autoSpaceDE w:val="0"/>
              <w:autoSpaceDN w:val="0"/>
              <w:adjustRightInd w:val="0"/>
              <w:jc w:val="center"/>
              <w:rPr>
                <w:szCs w:val="24"/>
              </w:rPr>
            </w:pPr>
            <w:r w:rsidRPr="00512369">
              <w:rPr>
                <w:szCs w:val="24"/>
              </w:rPr>
              <w:t>15</w:t>
            </w:r>
          </w:p>
        </w:tc>
        <w:tc>
          <w:tcPr>
            <w:tcW w:w="1630" w:type="dxa"/>
          </w:tcPr>
          <w:p w14:paraId="59B5F8E1" w14:textId="77777777" w:rsidR="00120F30" w:rsidRPr="00512369" w:rsidRDefault="00120F30" w:rsidP="005A428D">
            <w:pPr>
              <w:autoSpaceDE w:val="0"/>
              <w:autoSpaceDN w:val="0"/>
              <w:adjustRightInd w:val="0"/>
              <w:jc w:val="center"/>
              <w:rPr>
                <w:szCs w:val="24"/>
              </w:rPr>
            </w:pPr>
            <w:r w:rsidRPr="00512369">
              <w:rPr>
                <w:szCs w:val="24"/>
              </w:rPr>
              <w:t>7,5</w:t>
            </w:r>
          </w:p>
        </w:tc>
      </w:tr>
    </w:tbl>
    <w:p w14:paraId="38C9F38E" w14:textId="77777777" w:rsidR="00120F30" w:rsidRPr="00512369" w:rsidRDefault="00120F30" w:rsidP="00120F30">
      <w:pPr>
        <w:pStyle w:val="aff"/>
        <w:ind w:left="643"/>
        <w:rPr>
          <w:szCs w:val="24"/>
        </w:rPr>
      </w:pPr>
    </w:p>
    <w:p w14:paraId="369150C0" w14:textId="77777777" w:rsidR="00120F30" w:rsidRPr="00E931A1" w:rsidRDefault="00120F30" w:rsidP="00120F30">
      <w:pPr>
        <w:rPr>
          <w:i/>
          <w:szCs w:val="24"/>
          <w:u w:val="single"/>
        </w:rPr>
      </w:pPr>
      <w:r w:rsidRPr="00E931A1">
        <w:rPr>
          <w:i/>
          <w:szCs w:val="24"/>
          <w:u w:val="single"/>
        </w:rPr>
        <w:t>Алгоритм действий врача:</w:t>
      </w:r>
    </w:p>
    <w:p w14:paraId="7FD39822" w14:textId="77777777" w:rsidR="00120F30" w:rsidRPr="00FB780E" w:rsidRDefault="00120F30" w:rsidP="00120F30">
      <w:pPr>
        <w:shd w:val="clear" w:color="auto" w:fill="FFFFFF"/>
        <w:ind w:firstLine="709"/>
        <w:textAlignment w:val="baseline"/>
        <w:rPr>
          <w:rFonts w:eastAsia="Times New Roman"/>
          <w:color w:val="333333"/>
          <w:szCs w:val="24"/>
          <w:lang w:eastAsia="ru-RU"/>
        </w:rPr>
      </w:pPr>
      <w:r w:rsidRPr="00FB780E">
        <w:rPr>
          <w:rFonts w:eastAsia="Times New Roman"/>
          <w:color w:val="333333"/>
          <w:szCs w:val="24"/>
          <w:lang w:eastAsia="ru-RU"/>
        </w:rPr>
        <w:t>Неотложные терапевтические мероприятия показаны пациентам, состояние которых представляет угрозу для себя и других лиц, в первую очередь при наличии возбуждения и агрессивности, суицидальном поведении больного, состоянии измененного сознания, при отказе пациента от приема пищи и жидкости, его неспособности к самообслуживанию.</w:t>
      </w:r>
    </w:p>
    <w:p w14:paraId="73804E01" w14:textId="77777777" w:rsidR="00120F30" w:rsidRPr="00FB780E" w:rsidRDefault="00120F30" w:rsidP="00120F30">
      <w:pPr>
        <w:shd w:val="clear" w:color="auto" w:fill="FFFFFF"/>
        <w:ind w:firstLine="709"/>
        <w:textAlignment w:val="baseline"/>
        <w:rPr>
          <w:rFonts w:eastAsia="Times New Roman"/>
          <w:color w:val="333333"/>
          <w:szCs w:val="24"/>
          <w:lang w:eastAsia="ru-RU"/>
        </w:rPr>
      </w:pPr>
      <w:r w:rsidRPr="00FB780E">
        <w:rPr>
          <w:rFonts w:eastAsia="Times New Roman"/>
          <w:color w:val="333333"/>
          <w:szCs w:val="24"/>
          <w:lang w:eastAsia="ru-RU"/>
        </w:rPr>
        <w:t xml:space="preserve">Острые расстройства психики выявляют прежде всего во время беседы с пациентом, в ходе которой определяют тактику ведения </w:t>
      </w:r>
      <w:r>
        <w:rPr>
          <w:rFonts w:eastAsia="Times New Roman"/>
          <w:color w:val="333333"/>
          <w:szCs w:val="24"/>
          <w:lang w:eastAsia="ru-RU"/>
        </w:rPr>
        <w:t>пациента</w:t>
      </w:r>
      <w:r w:rsidRPr="00FB780E">
        <w:rPr>
          <w:rFonts w:eastAsia="Times New Roman"/>
          <w:color w:val="333333"/>
          <w:szCs w:val="24"/>
          <w:lang w:eastAsia="ru-RU"/>
        </w:rPr>
        <w:t>. Основные задачи такой беседы определяют правила общения с пациентами с острыми расстройствами психики:</w:t>
      </w:r>
    </w:p>
    <w:p w14:paraId="1C3D6DBB" w14:textId="77777777" w:rsidR="00120F30" w:rsidRPr="00FB780E" w:rsidRDefault="00120F30" w:rsidP="0091350E">
      <w:pPr>
        <w:numPr>
          <w:ilvl w:val="0"/>
          <w:numId w:val="102"/>
        </w:numPr>
        <w:shd w:val="clear" w:color="auto" w:fill="FFFFFF"/>
        <w:textAlignment w:val="baseline"/>
        <w:rPr>
          <w:rFonts w:eastAsia="Times New Roman"/>
          <w:color w:val="231F20"/>
          <w:szCs w:val="24"/>
          <w:lang w:eastAsia="ru-RU"/>
        </w:rPr>
      </w:pPr>
      <w:r w:rsidRPr="00FB780E">
        <w:rPr>
          <w:rFonts w:eastAsia="Times New Roman"/>
          <w:color w:val="231F20"/>
          <w:szCs w:val="24"/>
          <w:lang w:eastAsia="ru-RU"/>
        </w:rPr>
        <w:t>установление первоначального контакта;</w:t>
      </w:r>
    </w:p>
    <w:p w14:paraId="7BA77207" w14:textId="77777777" w:rsidR="00120F30" w:rsidRPr="00FB780E" w:rsidRDefault="00120F30" w:rsidP="0091350E">
      <w:pPr>
        <w:numPr>
          <w:ilvl w:val="0"/>
          <w:numId w:val="102"/>
        </w:numPr>
        <w:shd w:val="clear" w:color="auto" w:fill="FFFFFF"/>
        <w:textAlignment w:val="baseline"/>
        <w:rPr>
          <w:rFonts w:eastAsia="Times New Roman"/>
          <w:color w:val="231F20"/>
          <w:szCs w:val="24"/>
          <w:lang w:eastAsia="ru-RU"/>
        </w:rPr>
      </w:pPr>
      <w:r w:rsidRPr="00FB780E">
        <w:rPr>
          <w:rFonts w:eastAsia="Times New Roman"/>
          <w:color w:val="231F20"/>
          <w:szCs w:val="24"/>
          <w:lang w:eastAsia="ru-RU"/>
        </w:rPr>
        <w:t>налаживание доверительных отношений между врачом и пациентом;</w:t>
      </w:r>
    </w:p>
    <w:p w14:paraId="61CE613D" w14:textId="77777777" w:rsidR="00120F30" w:rsidRPr="00FB780E" w:rsidRDefault="00120F30" w:rsidP="0091350E">
      <w:pPr>
        <w:numPr>
          <w:ilvl w:val="0"/>
          <w:numId w:val="102"/>
        </w:numPr>
        <w:shd w:val="clear" w:color="auto" w:fill="FFFFFF"/>
        <w:textAlignment w:val="baseline"/>
        <w:rPr>
          <w:rFonts w:eastAsia="Times New Roman"/>
          <w:color w:val="231F20"/>
          <w:szCs w:val="24"/>
          <w:lang w:eastAsia="ru-RU"/>
        </w:rPr>
      </w:pPr>
      <w:r w:rsidRPr="00FB780E">
        <w:rPr>
          <w:rFonts w:eastAsia="Times New Roman"/>
          <w:color w:val="231F20"/>
          <w:szCs w:val="24"/>
          <w:lang w:eastAsia="ru-RU"/>
        </w:rPr>
        <w:t>определение диагноза на синдромальном уровне;</w:t>
      </w:r>
    </w:p>
    <w:p w14:paraId="4575542D" w14:textId="77777777" w:rsidR="00120F30" w:rsidRDefault="00120F30" w:rsidP="0091350E">
      <w:pPr>
        <w:numPr>
          <w:ilvl w:val="0"/>
          <w:numId w:val="102"/>
        </w:numPr>
        <w:shd w:val="clear" w:color="auto" w:fill="FFFFFF"/>
        <w:textAlignment w:val="baseline"/>
        <w:rPr>
          <w:rFonts w:eastAsia="Times New Roman"/>
          <w:color w:val="231F20"/>
          <w:szCs w:val="24"/>
          <w:lang w:eastAsia="ru-RU"/>
        </w:rPr>
      </w:pPr>
      <w:r w:rsidRPr="00FB780E">
        <w:rPr>
          <w:rFonts w:eastAsia="Times New Roman"/>
          <w:color w:val="231F20"/>
          <w:szCs w:val="24"/>
          <w:lang w:eastAsia="ru-RU"/>
        </w:rPr>
        <w:t>разработка плана оказания медицинской помощи и дальнейшей тактики</w:t>
      </w:r>
      <w:r>
        <w:rPr>
          <w:rFonts w:eastAsia="Times New Roman"/>
          <w:color w:val="231F20"/>
          <w:szCs w:val="24"/>
          <w:lang w:eastAsia="ru-RU"/>
        </w:rPr>
        <w:t>, заключающейся, в общем плане, в изоляции пациента, при необходимости – фиксации в пределах постели и проведение терапевтических мероприятий при участии психиатра.</w:t>
      </w:r>
    </w:p>
    <w:p w14:paraId="412B1538" w14:textId="77777777" w:rsidR="00120F30" w:rsidRPr="00070BE4" w:rsidRDefault="00120F30" w:rsidP="00120F30">
      <w:pPr>
        <w:shd w:val="clear" w:color="auto" w:fill="FFFFFF"/>
        <w:ind w:firstLine="709"/>
        <w:textAlignment w:val="baseline"/>
        <w:rPr>
          <w:rFonts w:eastAsia="Times New Roman"/>
          <w:color w:val="231F20"/>
          <w:szCs w:val="24"/>
          <w:lang w:eastAsia="ru-RU"/>
        </w:rPr>
      </w:pPr>
      <w:r>
        <w:rPr>
          <w:rFonts w:eastAsia="Times New Roman"/>
          <w:color w:val="231F20"/>
          <w:szCs w:val="24"/>
          <w:lang w:eastAsia="ru-RU"/>
        </w:rPr>
        <w:t>При выявлении нозогенных реакций терапия проводится консультирующим психиатром.</w:t>
      </w:r>
    </w:p>
    <w:p w14:paraId="7D2923F3" w14:textId="77777777" w:rsidR="00120F30" w:rsidRPr="00A6105F" w:rsidRDefault="00120F30" w:rsidP="007552CD">
      <w:pPr>
        <w:pStyle w:val="2"/>
      </w:pPr>
    </w:p>
    <w:p w14:paraId="2F1D6744" w14:textId="087B1561" w:rsidR="00B7783A" w:rsidRPr="00B7783A" w:rsidRDefault="007F3C55" w:rsidP="00B7783A">
      <w:pPr>
        <w:pStyle w:val="2"/>
      </w:pPr>
      <w:bookmarkStart w:id="58" w:name="_Toc65104116"/>
      <w:r w:rsidRPr="005267A5">
        <w:t>7.1</w:t>
      </w:r>
      <w:r>
        <w:t xml:space="preserve">8 </w:t>
      </w:r>
      <w:r w:rsidR="00B7783A" w:rsidRPr="00DC46B0">
        <w:t>Кардиологическое обследование и лечение пациентов с гематологическими заболеваниями</w:t>
      </w:r>
      <w:bookmarkEnd w:id="58"/>
    </w:p>
    <w:p w14:paraId="6884F988" w14:textId="77777777" w:rsidR="00B7783A" w:rsidRPr="00DC46B0" w:rsidRDefault="00B7783A" w:rsidP="00B7783A">
      <w:pPr>
        <w:ind w:firstLine="709"/>
        <w:rPr>
          <w:szCs w:val="24"/>
        </w:rPr>
      </w:pPr>
      <w:r w:rsidRPr="00DC46B0">
        <w:rPr>
          <w:szCs w:val="24"/>
        </w:rPr>
        <w:t xml:space="preserve">Накопленный опыт длительного наблюдения и лечения пациентов с онкогематологическими заболеваниями показывает, что кардиологические проблемы не только влияют на выбор гематологической терапии и возможность ее продолжения, но и существенно влияют на качество и продолжительность жизни, поэтому вопросы сопроводительного кардиологического ведения в гематологической практике крайне актуальны и важны. </w:t>
      </w:r>
    </w:p>
    <w:p w14:paraId="5065B989" w14:textId="16E99F82" w:rsidR="00B7783A" w:rsidRPr="00DC46B0" w:rsidRDefault="00B7783A" w:rsidP="00B7783A">
      <w:pPr>
        <w:ind w:firstLine="709"/>
        <w:rPr>
          <w:szCs w:val="24"/>
        </w:rPr>
      </w:pPr>
      <w:r w:rsidRPr="00DC46B0">
        <w:rPr>
          <w:szCs w:val="24"/>
        </w:rPr>
        <w:t>Поражения сердечно-сосудистой системы, выявляемые у гематологических больных, можно разделить на несколько категорий</w:t>
      </w:r>
      <w:r>
        <w:rPr>
          <w:szCs w:val="24"/>
        </w:rPr>
        <w:t xml:space="preserve"> </w:t>
      </w:r>
      <w:r>
        <w:rPr>
          <w:szCs w:val="24"/>
        </w:rPr>
        <w:fldChar w:fldCharType="begin" w:fldLock="1"/>
      </w:r>
      <w:r w:rsidR="005A6162">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[182]","plainTextFormattedCitation":"[182]","previouslyFormattedCitation":"[182]"},"properties":{"noteIndex":0},"schema":"https://github.com/citation-style-language/schema/raw/master/csl-citation.json"}</w:instrText>
      </w:r>
      <w:r>
        <w:rPr>
          <w:szCs w:val="24"/>
        </w:rPr>
        <w:fldChar w:fldCharType="separate"/>
      </w:r>
      <w:r w:rsidRPr="00B7783A">
        <w:rPr>
          <w:noProof/>
          <w:szCs w:val="24"/>
        </w:rPr>
        <w:t>[182]</w:t>
      </w:r>
      <w:r>
        <w:rPr>
          <w:szCs w:val="24"/>
        </w:rPr>
        <w:fldChar w:fldCharType="end"/>
      </w:r>
      <w:r w:rsidRPr="00DC46B0">
        <w:rPr>
          <w:szCs w:val="24"/>
        </w:rPr>
        <w:t>:</w:t>
      </w:r>
    </w:p>
    <w:p w14:paraId="698BA285" w14:textId="77777777" w:rsidR="00B7783A" w:rsidRPr="00DC46B0" w:rsidRDefault="00B7783A" w:rsidP="0091350E">
      <w:pPr>
        <w:pStyle w:val="aff"/>
        <w:numPr>
          <w:ilvl w:val="0"/>
          <w:numId w:val="104"/>
        </w:numPr>
        <w:contextualSpacing/>
        <w:rPr>
          <w:szCs w:val="24"/>
        </w:rPr>
      </w:pPr>
      <w:r w:rsidRPr="00DC46B0">
        <w:rPr>
          <w:szCs w:val="24"/>
        </w:rPr>
        <w:t>Возникающие вследствие гематологической патологии, например:</w:t>
      </w:r>
    </w:p>
    <w:p w14:paraId="2CE6BBC8" w14:textId="77777777" w:rsidR="00B7783A" w:rsidRPr="00DC46B0" w:rsidRDefault="00B7783A" w:rsidP="0091350E">
      <w:pPr>
        <w:pStyle w:val="aff"/>
        <w:numPr>
          <w:ilvl w:val="1"/>
          <w:numId w:val="104"/>
        </w:numPr>
        <w:contextualSpacing/>
        <w:rPr>
          <w:szCs w:val="24"/>
        </w:rPr>
      </w:pPr>
      <w:r w:rsidRPr="00DC46B0">
        <w:rPr>
          <w:szCs w:val="24"/>
        </w:rPr>
        <w:t xml:space="preserve">гипертрофия миокарда (чаще при длительно существующей анемии); </w:t>
      </w:r>
    </w:p>
    <w:p w14:paraId="2ABEBDFA" w14:textId="77777777" w:rsidR="00B7783A" w:rsidRPr="00DC46B0" w:rsidRDefault="00B7783A" w:rsidP="0091350E">
      <w:pPr>
        <w:pStyle w:val="aff"/>
        <w:numPr>
          <w:ilvl w:val="1"/>
          <w:numId w:val="104"/>
        </w:numPr>
        <w:contextualSpacing/>
        <w:rPr>
          <w:szCs w:val="24"/>
        </w:rPr>
      </w:pPr>
      <w:r w:rsidRPr="00DC46B0">
        <w:rPr>
          <w:szCs w:val="24"/>
        </w:rPr>
        <w:t xml:space="preserve">кардиопатический AL-амилоидоз (чаще при множественной миеломе, реже при других лимфопролиферативных заболеваниях); </w:t>
      </w:r>
    </w:p>
    <w:p w14:paraId="728ADCE2" w14:textId="77777777" w:rsidR="00B7783A" w:rsidRPr="00DC46B0" w:rsidRDefault="00B7783A" w:rsidP="0091350E">
      <w:pPr>
        <w:pStyle w:val="aff"/>
        <w:numPr>
          <w:ilvl w:val="1"/>
          <w:numId w:val="104"/>
        </w:numPr>
        <w:contextualSpacing/>
        <w:rPr>
          <w:szCs w:val="24"/>
        </w:rPr>
      </w:pPr>
      <w:r w:rsidRPr="00DC46B0">
        <w:rPr>
          <w:szCs w:val="24"/>
        </w:rPr>
        <w:t>сдавление сердца опухолевым образованием средостения, часто с образованием выпота в перикард;</w:t>
      </w:r>
    </w:p>
    <w:p w14:paraId="5448CBBA" w14:textId="77777777" w:rsidR="00B7783A" w:rsidRPr="00DC46B0" w:rsidRDefault="00B7783A" w:rsidP="0091350E">
      <w:pPr>
        <w:pStyle w:val="aff"/>
        <w:numPr>
          <w:ilvl w:val="1"/>
          <w:numId w:val="104"/>
        </w:numPr>
        <w:contextualSpacing/>
        <w:rPr>
          <w:szCs w:val="24"/>
        </w:rPr>
      </w:pPr>
      <w:r w:rsidRPr="00DC46B0">
        <w:rPr>
          <w:szCs w:val="24"/>
        </w:rPr>
        <w:t>непосредственное опухолевое поражение миокарда и оболочек сердца (например, при лимфоме, множественной миеломе и др.).</w:t>
      </w:r>
    </w:p>
    <w:p w14:paraId="07BC81B4" w14:textId="77777777" w:rsidR="00B7783A" w:rsidRPr="00DC46B0" w:rsidRDefault="00B7783A" w:rsidP="0091350E">
      <w:pPr>
        <w:pStyle w:val="aff"/>
        <w:numPr>
          <w:ilvl w:val="0"/>
          <w:numId w:val="104"/>
        </w:numPr>
        <w:contextualSpacing/>
        <w:rPr>
          <w:szCs w:val="24"/>
        </w:rPr>
      </w:pPr>
      <w:r w:rsidRPr="00DC46B0">
        <w:rPr>
          <w:szCs w:val="24"/>
        </w:rPr>
        <w:t xml:space="preserve">Кардиотоксическое поражение сердца и сосудов в результате воздействия лекарственных препаратов (развивающиеся как в период гематологического лечения, так и после его завершения). </w:t>
      </w:r>
    </w:p>
    <w:p w14:paraId="65C895C7" w14:textId="77777777" w:rsidR="00B7783A" w:rsidRPr="00DC46B0" w:rsidRDefault="00B7783A" w:rsidP="0091350E">
      <w:pPr>
        <w:pStyle w:val="aff"/>
        <w:numPr>
          <w:ilvl w:val="0"/>
          <w:numId w:val="104"/>
        </w:numPr>
        <w:contextualSpacing/>
        <w:rPr>
          <w:szCs w:val="24"/>
        </w:rPr>
      </w:pPr>
      <w:r w:rsidRPr="00DC46B0">
        <w:rPr>
          <w:szCs w:val="24"/>
        </w:rPr>
        <w:t>Кардиотоксическое поражение сердца и сосудов в период или после проведения лучевой терапии (выпотной перикардит, острый коронарный синдром, поражения клапанов сердца, аорты, коронарных сосудов).</w:t>
      </w:r>
    </w:p>
    <w:p w14:paraId="5B26E6C2" w14:textId="77777777" w:rsidR="00B7783A" w:rsidRPr="00DC46B0" w:rsidRDefault="00B7783A" w:rsidP="0091350E">
      <w:pPr>
        <w:pStyle w:val="aff"/>
        <w:numPr>
          <w:ilvl w:val="0"/>
          <w:numId w:val="104"/>
        </w:numPr>
        <w:contextualSpacing/>
        <w:rPr>
          <w:szCs w:val="24"/>
        </w:rPr>
      </w:pPr>
      <w:r w:rsidRPr="00DC46B0">
        <w:rPr>
          <w:szCs w:val="24"/>
        </w:rPr>
        <w:t>Сопутствующая самостоятельная кардиологическая патология, не связанная с гематологическим заболеванием (артериальная гипертония, ишемическая болезнь сердца, аритмии, и др.)</w:t>
      </w:r>
    </w:p>
    <w:p w14:paraId="7E6F76CA" w14:textId="77777777" w:rsidR="00B7783A" w:rsidRDefault="00B7783A" w:rsidP="00B7783A">
      <w:pPr>
        <w:rPr>
          <w:b/>
          <w:szCs w:val="24"/>
        </w:rPr>
      </w:pPr>
    </w:p>
    <w:p w14:paraId="152D2D2E" w14:textId="77777777" w:rsidR="00B7783A" w:rsidRPr="00DC46B0" w:rsidRDefault="00B7783A" w:rsidP="00B7783A">
      <w:pPr>
        <w:rPr>
          <w:i/>
          <w:szCs w:val="24"/>
          <w:u w:val="single"/>
        </w:rPr>
      </w:pPr>
      <w:r w:rsidRPr="00DC46B0">
        <w:rPr>
          <w:i/>
          <w:szCs w:val="24"/>
          <w:u w:val="single"/>
        </w:rPr>
        <w:t>Диагностика кардиальной патологии у гематологических пациентов</w:t>
      </w:r>
    </w:p>
    <w:p w14:paraId="012AF2B0" w14:textId="36E3A81F" w:rsidR="00B7783A" w:rsidRPr="00DC46B0" w:rsidRDefault="00B7783A" w:rsidP="00B7783A">
      <w:pPr>
        <w:ind w:firstLine="708"/>
        <w:rPr>
          <w:szCs w:val="24"/>
        </w:rPr>
      </w:pPr>
      <w:r w:rsidRPr="00DC46B0">
        <w:rPr>
          <w:szCs w:val="24"/>
        </w:rPr>
        <w:t>На этапе диагностики гематологического заболевания одновременно рекомендовано обследование для уточнения/исключения возможной кардиологической патологии</w:t>
      </w:r>
      <w:r w:rsidRPr="00F11B54">
        <w:rPr>
          <w:szCs w:val="24"/>
        </w:rPr>
        <w:t xml:space="preserve"> </w:t>
      </w:r>
      <w:r>
        <w:rPr>
          <w:szCs w:val="24"/>
        </w:rPr>
        <w:fldChar w:fldCharType="begin" w:fldLock="1"/>
      </w:r>
      <w:r w:rsidR="005A6162">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[182]","plainTextFormattedCitation":"[182]","previouslyFormattedCitation":"[182]"},"properties":{"noteIndex":0},"schema":"https://github.com/citation-style-language/schema/raw/master/csl-citation.json"}</w:instrText>
      </w:r>
      <w:r>
        <w:rPr>
          <w:szCs w:val="24"/>
        </w:rPr>
        <w:fldChar w:fldCharType="separate"/>
      </w:r>
      <w:r w:rsidRPr="00B7783A">
        <w:rPr>
          <w:noProof/>
          <w:szCs w:val="24"/>
        </w:rPr>
        <w:t>[182]</w:t>
      </w:r>
      <w:r>
        <w:rPr>
          <w:szCs w:val="24"/>
        </w:rPr>
        <w:fldChar w:fldCharType="end"/>
      </w:r>
      <w:r w:rsidRPr="00DC46B0">
        <w:rPr>
          <w:szCs w:val="24"/>
        </w:rPr>
        <w:t>.</w:t>
      </w:r>
    </w:p>
    <w:p w14:paraId="67AD0D85" w14:textId="77777777" w:rsidR="00B7783A" w:rsidRPr="00DC46B0" w:rsidRDefault="00B7783A" w:rsidP="0091350E">
      <w:pPr>
        <w:pStyle w:val="aff"/>
        <w:numPr>
          <w:ilvl w:val="0"/>
          <w:numId w:val="105"/>
        </w:numPr>
        <w:contextualSpacing/>
        <w:rPr>
          <w:szCs w:val="24"/>
        </w:rPr>
      </w:pPr>
      <w:r w:rsidRPr="00DC46B0">
        <w:rPr>
          <w:szCs w:val="24"/>
        </w:rPr>
        <w:t xml:space="preserve">Осмотр (консультация) врача-гематолога с выявлением симптомов, которые могут быть обусловлены кардиальной патологией (одышка, утомляемость, плохая переносимость нагрузки, отеки нижних конечностей, и т.д.); оценкой анамнеза: наличие ишемической болезни сердца (ИБС), артериальной гипертензии (АГ), аритмии, факторов риска, семейного анамнеза;  физикальное обследование с измерением артериального давления (АД). </w:t>
      </w:r>
    </w:p>
    <w:p w14:paraId="74ECA15F" w14:textId="77777777" w:rsidR="00B7783A" w:rsidRPr="00DC46B0" w:rsidRDefault="00B7783A" w:rsidP="0091350E">
      <w:pPr>
        <w:pStyle w:val="aff"/>
        <w:numPr>
          <w:ilvl w:val="0"/>
          <w:numId w:val="105"/>
        </w:numPr>
        <w:contextualSpacing/>
        <w:rPr>
          <w:szCs w:val="24"/>
        </w:rPr>
      </w:pPr>
      <w:r w:rsidRPr="00DC46B0">
        <w:rPr>
          <w:szCs w:val="24"/>
        </w:rPr>
        <w:t>Осмотр (консультация) врача-кардиолога (по показаниям)</w:t>
      </w:r>
    </w:p>
    <w:p w14:paraId="34F7C10F" w14:textId="77777777" w:rsidR="00B7783A" w:rsidRDefault="00B7783A" w:rsidP="0091350E">
      <w:pPr>
        <w:pStyle w:val="aff"/>
        <w:numPr>
          <w:ilvl w:val="0"/>
          <w:numId w:val="105"/>
        </w:numPr>
        <w:contextualSpacing/>
        <w:rPr>
          <w:szCs w:val="24"/>
        </w:rPr>
      </w:pPr>
      <w:r w:rsidRPr="00DC46B0">
        <w:rPr>
          <w:szCs w:val="24"/>
        </w:rPr>
        <w:t xml:space="preserve">Инструментальные исследования: </w:t>
      </w:r>
    </w:p>
    <w:p w14:paraId="1FB6268E" w14:textId="77777777" w:rsidR="00B7783A" w:rsidRDefault="00B7783A" w:rsidP="0091350E">
      <w:pPr>
        <w:pStyle w:val="aff"/>
        <w:numPr>
          <w:ilvl w:val="1"/>
          <w:numId w:val="105"/>
        </w:numPr>
        <w:contextualSpacing/>
        <w:rPr>
          <w:szCs w:val="24"/>
        </w:rPr>
      </w:pPr>
      <w:r w:rsidRPr="00DC46B0">
        <w:rPr>
          <w:szCs w:val="24"/>
        </w:rPr>
        <w:t>Электрокардиография (ЭКГ) в 12 отведениях. На всех этапах диагностики первичного гематологического заболевания и рецидива, перед проведением гематологического лечения, в процессе проведения лечения, при оценке эффективности лечения и в процессе динамического наблюдения, при рефрактерном течении, п</w:t>
      </w:r>
      <w:r w:rsidRPr="00DC46B0">
        <w:rPr>
          <w:rFonts w:eastAsia="Times New Roman"/>
          <w:szCs w:val="24"/>
          <w:lang w:eastAsia="ru-RU"/>
        </w:rPr>
        <w:t>ри развитии осложнений –  т.е. на любом этапе диагностики, лечения и наблюдения</w:t>
      </w:r>
      <w:r w:rsidRPr="00DC46B0">
        <w:rPr>
          <w:szCs w:val="24"/>
        </w:rPr>
        <w:t xml:space="preserve"> всем пациентам необходимо проведение ЭКГ.</w:t>
      </w:r>
    </w:p>
    <w:p w14:paraId="29F1E1B7" w14:textId="2E800F70" w:rsidR="00B7783A" w:rsidRDefault="00B7783A" w:rsidP="0091350E">
      <w:pPr>
        <w:pStyle w:val="aff"/>
        <w:numPr>
          <w:ilvl w:val="1"/>
          <w:numId w:val="105"/>
        </w:numPr>
        <w:contextualSpacing/>
        <w:rPr>
          <w:szCs w:val="24"/>
        </w:rPr>
      </w:pPr>
      <w:r w:rsidRPr="00DC46B0">
        <w:rPr>
          <w:szCs w:val="24"/>
        </w:rPr>
        <w:t>Эхокардиография (ЭХО-КГ)</w:t>
      </w:r>
      <w:r>
        <w:rPr>
          <w:szCs w:val="24"/>
        </w:rPr>
        <w:t xml:space="preserve"> </w:t>
      </w:r>
      <w:r>
        <w:rPr>
          <w:szCs w:val="24"/>
        </w:rPr>
        <w:fldChar w:fldCharType="begin" w:fldLock="1"/>
      </w:r>
      <w:r w:rsidR="005A6162">
        <w:rPr>
          <w:szCs w:val="24"/>
        </w:rPr>
        <w:instrText>ADDIN CSL_CITATION {"citationItems":[{"id":"ITEM-1","itemData":{"author":[{"dropping-particle":"","family":"Васюк","given":"Ю.А.","non-dropping-particle":"","parse-names":false,"suffix":""},{"dropping-particle":"","family":"Несветов","given":"В.В.","non-dropping-particle":"","parse-names":false,"suffix":""},{"dropping-particle":"","family":"Школьник","given":"Е.Л.","non-dropping-particle":"","parse-names":false,"suffix":""},{"dropping-particle":"","family":"Фурсов","given":"С.А.","non-dropping-particle":"","parse-names":false,"suffix":""},{"dropping-particle":"","family":"Школьник","given":"Л.Д.","non-dropping-particle":"","parse-names":false,"suffix":""},{"dropping-particle":"","family":"Гендлин","given":"Г.Е.","non-dropping-particle":"","parse-names":false,"suffix":""},{"dropping-particle":"","family":"Емелина","given":"Е.И.","non-dropping-particle":"","parse-names":false,"suffix":""}],"container-title":"Кардиология","id":"ITEM-1","issue":"S4","issued":{"date-parts":[["2017"]]},"page":"31-17","title":"Возможности современных эхокардиографических технологий в ранней диагностике кардиотоксического действия химиотерапевтических препаратов антрациклинового ряда у онкологических больных.","type":"article-journal","volume":"57"},"uris":["http://www.mendeley.com/documents/?uuid=3fa599d7-1e0f-4994-84cd-b2b3148e9aa3"]}],"mendeley":{"formattedCitation":"[183]","plainTextFormattedCitation":"[183]","previouslyFormattedCitation":"[183]"},"properties":{"noteIndex":0},"schema":"https://github.com/citation-style-language/schema/raw/master/csl-citation.json"}</w:instrText>
      </w:r>
      <w:r>
        <w:rPr>
          <w:szCs w:val="24"/>
        </w:rPr>
        <w:fldChar w:fldCharType="separate"/>
      </w:r>
      <w:r w:rsidRPr="00B7783A">
        <w:rPr>
          <w:noProof/>
          <w:szCs w:val="24"/>
        </w:rPr>
        <w:t>[183]</w:t>
      </w:r>
      <w:r>
        <w:rPr>
          <w:szCs w:val="24"/>
        </w:rPr>
        <w:fldChar w:fldCharType="end"/>
      </w:r>
      <w:r w:rsidRPr="00DC46B0">
        <w:rPr>
          <w:szCs w:val="24"/>
        </w:rPr>
        <w:t xml:space="preserve">. При наличии клинических показаний или при проведении лечения с возможными кардиотоксическими проявлениями, на любом вышеуказанном этапе рекомендуется дополнительно проведение ЭХО-КГ.  </w:t>
      </w:r>
    </w:p>
    <w:p w14:paraId="3F6CF1F0" w14:textId="77777777" w:rsidR="00B7783A" w:rsidRDefault="00B7783A" w:rsidP="0091350E">
      <w:pPr>
        <w:pStyle w:val="aff"/>
        <w:numPr>
          <w:ilvl w:val="0"/>
          <w:numId w:val="105"/>
        </w:numPr>
        <w:contextualSpacing/>
        <w:rPr>
          <w:szCs w:val="24"/>
        </w:rPr>
      </w:pPr>
      <w:r w:rsidRPr="00DC46B0">
        <w:rPr>
          <w:szCs w:val="24"/>
        </w:rPr>
        <w:t>Лабораторные исследования:</w:t>
      </w:r>
    </w:p>
    <w:p w14:paraId="518A5077" w14:textId="77777777" w:rsidR="00B7783A" w:rsidRDefault="00B7783A" w:rsidP="0091350E">
      <w:pPr>
        <w:pStyle w:val="aff"/>
        <w:numPr>
          <w:ilvl w:val="1"/>
          <w:numId w:val="105"/>
        </w:numPr>
        <w:contextualSpacing/>
        <w:rPr>
          <w:szCs w:val="24"/>
        </w:rPr>
      </w:pPr>
      <w:r w:rsidRPr="00DC46B0">
        <w:rPr>
          <w:szCs w:val="24"/>
        </w:rPr>
        <w:t>Клинический анализ крови с определением гемоглобина, тромбоцитов, лейкоцитов, лейкоцитарной формулы, СОЭ;</w:t>
      </w:r>
    </w:p>
    <w:p w14:paraId="423DBB9F" w14:textId="77777777" w:rsidR="00B7783A" w:rsidRPr="00DC46B0" w:rsidRDefault="00B7783A" w:rsidP="0091350E">
      <w:pPr>
        <w:pStyle w:val="aff"/>
        <w:numPr>
          <w:ilvl w:val="1"/>
          <w:numId w:val="105"/>
        </w:numPr>
        <w:contextualSpacing/>
        <w:rPr>
          <w:szCs w:val="24"/>
        </w:rPr>
      </w:pPr>
      <w:r w:rsidRPr="00DC46B0">
        <w:rPr>
          <w:szCs w:val="24"/>
        </w:rPr>
        <w:t>Биохимический анализ крови с определением липидного спектра, глюкозы, креатинина, мочевины, мочевой кислоты, калия, натрия, аспартатаминотрансферазы (АСТ), аланинаминотрансферазы (АЛТ).</w:t>
      </w:r>
    </w:p>
    <w:p w14:paraId="5553AD29" w14:textId="77777777" w:rsidR="00B7783A" w:rsidRPr="00DC46B0" w:rsidRDefault="00B7783A" w:rsidP="00B7783A">
      <w:pPr>
        <w:ind w:firstLine="709"/>
        <w:rPr>
          <w:szCs w:val="24"/>
        </w:rPr>
      </w:pPr>
      <w:r w:rsidRPr="00DC46B0">
        <w:rPr>
          <w:szCs w:val="24"/>
        </w:rPr>
        <w:t>При выявлении (и/или для исключения) признаков кардиальной патологии, выявлении отклонений при первичном кардиологическом обследовании рекомендуется консультация кардиолога и проведение дополнительных исследований.</w:t>
      </w:r>
    </w:p>
    <w:p w14:paraId="0626D50A" w14:textId="77777777" w:rsidR="00B7783A" w:rsidRDefault="00B7783A" w:rsidP="00B7783A">
      <w:pPr>
        <w:rPr>
          <w:b/>
          <w:szCs w:val="24"/>
        </w:rPr>
      </w:pPr>
    </w:p>
    <w:p w14:paraId="1AC79DA1" w14:textId="066A974C" w:rsidR="00B7783A" w:rsidRPr="00DC46B0" w:rsidRDefault="00B7783A" w:rsidP="00B7783A">
      <w:pPr>
        <w:rPr>
          <w:i/>
          <w:szCs w:val="24"/>
          <w:u w:val="single"/>
        </w:rPr>
      </w:pPr>
      <w:r w:rsidRPr="00DC46B0">
        <w:rPr>
          <w:i/>
          <w:szCs w:val="24"/>
          <w:u w:val="single"/>
        </w:rPr>
        <w:t>Дополнительное кардиологическое обследование</w:t>
      </w:r>
      <w:r>
        <w:rPr>
          <w:i/>
          <w:szCs w:val="24"/>
          <w:u w:val="single"/>
        </w:rPr>
        <w:t xml:space="preserve"> </w:t>
      </w:r>
      <w:r>
        <w:rPr>
          <w:szCs w:val="24"/>
        </w:rPr>
        <w:fldChar w:fldCharType="begin" w:fldLock="1"/>
      </w:r>
      <w:r w:rsidR="005A6162">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[182]","plainTextFormattedCitation":"[182]","previouslyFormattedCitation":"[182]"},"properties":{"noteIndex":0},"schema":"https://github.com/citation-style-language/schema/raw/master/csl-citation.json"}</w:instrText>
      </w:r>
      <w:r>
        <w:rPr>
          <w:szCs w:val="24"/>
        </w:rPr>
        <w:fldChar w:fldCharType="separate"/>
      </w:r>
      <w:r w:rsidRPr="00B7783A">
        <w:rPr>
          <w:noProof/>
          <w:szCs w:val="24"/>
        </w:rPr>
        <w:t>[182]</w:t>
      </w:r>
      <w:r>
        <w:rPr>
          <w:szCs w:val="24"/>
        </w:rPr>
        <w:fldChar w:fldCharType="end"/>
      </w:r>
    </w:p>
    <w:p w14:paraId="76F6D76B" w14:textId="77777777" w:rsidR="00B7783A" w:rsidRPr="00DC46B0" w:rsidRDefault="00B7783A" w:rsidP="00B7783A">
      <w:pPr>
        <w:rPr>
          <w:szCs w:val="24"/>
          <w:u w:val="single"/>
        </w:rPr>
      </w:pPr>
      <w:r w:rsidRPr="00DC46B0">
        <w:rPr>
          <w:szCs w:val="24"/>
          <w:u w:val="single"/>
        </w:rPr>
        <w:t>Манипуляции:</w:t>
      </w:r>
    </w:p>
    <w:p w14:paraId="76B30AF8" w14:textId="77777777" w:rsidR="00B7783A" w:rsidRPr="00DC46B0" w:rsidRDefault="00B7783A" w:rsidP="0091350E">
      <w:pPr>
        <w:pStyle w:val="aff"/>
        <w:numPr>
          <w:ilvl w:val="0"/>
          <w:numId w:val="106"/>
        </w:numPr>
        <w:contextualSpacing/>
        <w:rPr>
          <w:b/>
          <w:szCs w:val="24"/>
        </w:rPr>
      </w:pPr>
      <w:r w:rsidRPr="00DC46B0">
        <w:rPr>
          <w:i/>
          <w:szCs w:val="24"/>
        </w:rPr>
        <w:t>Суточное мониторирование ЭКГ по Холтеру</w:t>
      </w:r>
      <w:r w:rsidRPr="00DC46B0">
        <w:rPr>
          <w:szCs w:val="24"/>
        </w:rPr>
        <w:t xml:space="preserve"> –</w:t>
      </w:r>
      <w:r w:rsidRPr="00DC46B0">
        <w:rPr>
          <w:b/>
          <w:szCs w:val="24"/>
        </w:rPr>
        <w:t xml:space="preserve"> </w:t>
      </w:r>
      <w:r w:rsidRPr="00DC46B0">
        <w:rPr>
          <w:szCs w:val="24"/>
        </w:rPr>
        <w:t xml:space="preserve">рекомендуется пациентам при выявлении удлинения интервала </w:t>
      </w:r>
      <w:r w:rsidRPr="00DC46B0">
        <w:rPr>
          <w:szCs w:val="24"/>
          <w:lang w:val="en-US"/>
        </w:rPr>
        <w:t>QT</w:t>
      </w:r>
      <w:r w:rsidRPr="00DC46B0">
        <w:rPr>
          <w:szCs w:val="24"/>
        </w:rPr>
        <w:t xml:space="preserve">, ишемии миокарда, нарушений ритма и проводимости; диспозицией сегмента </w:t>
      </w:r>
      <w:r w:rsidRPr="00DC46B0">
        <w:rPr>
          <w:szCs w:val="24"/>
          <w:lang w:val="en-US"/>
        </w:rPr>
        <w:t>ST</w:t>
      </w:r>
      <w:r w:rsidRPr="00DC46B0">
        <w:rPr>
          <w:szCs w:val="24"/>
        </w:rPr>
        <w:t xml:space="preserve"> на ЭКГ; синусовой бради/тахикардией, при наличии жалоб на аритмию, эпизоды внезапной слабости, головокружений. Также проведение исследования рекомендуется при проведении лечения препаратами, способными вызывать кардиотоксические эффекты. Исследование проводится на любых этапах – в период диагностики гематологического заболевания, перед проведением гематологического лечения, в процессе проведения лечения, при оценке эффективности лечения и в процессе динамического наблюдения, при рефрактерном течении, п</w:t>
      </w:r>
      <w:r w:rsidRPr="00DC46B0">
        <w:rPr>
          <w:rFonts w:eastAsia="Times New Roman"/>
          <w:szCs w:val="24"/>
          <w:lang w:eastAsia="ru-RU"/>
        </w:rPr>
        <w:t>ри развитии осложнений (по показаниям</w:t>
      </w:r>
      <w:r w:rsidRPr="00DC46B0">
        <w:rPr>
          <w:szCs w:val="24"/>
        </w:rPr>
        <w:t>).</w:t>
      </w:r>
    </w:p>
    <w:p w14:paraId="4DB8C9E6" w14:textId="77777777" w:rsidR="00B7783A" w:rsidRPr="00DC46B0" w:rsidRDefault="00B7783A" w:rsidP="0091350E">
      <w:pPr>
        <w:pStyle w:val="aff"/>
        <w:numPr>
          <w:ilvl w:val="0"/>
          <w:numId w:val="106"/>
        </w:numPr>
        <w:contextualSpacing/>
        <w:rPr>
          <w:szCs w:val="24"/>
        </w:rPr>
      </w:pPr>
      <w:r w:rsidRPr="00DC46B0">
        <w:rPr>
          <w:i/>
          <w:szCs w:val="24"/>
        </w:rPr>
        <w:t>Суточное мониторирование АД</w:t>
      </w:r>
      <w:r w:rsidRPr="00DC46B0">
        <w:rPr>
          <w:b/>
          <w:szCs w:val="24"/>
        </w:rPr>
        <w:t xml:space="preserve"> </w:t>
      </w:r>
      <w:r w:rsidRPr="00DC46B0">
        <w:rPr>
          <w:szCs w:val="24"/>
        </w:rPr>
        <w:t xml:space="preserve">– рекомендуется пациентам с артериальной гипертензией (АГ), и при назначении лекарственных препаратов, способных вызывать АГ. Исследование проводится </w:t>
      </w:r>
      <w:r w:rsidRPr="00DC46B0">
        <w:rPr>
          <w:rFonts w:eastAsia="Times New Roman"/>
          <w:szCs w:val="24"/>
          <w:lang w:eastAsia="ru-RU"/>
        </w:rPr>
        <w:t>на любом этапе диагностики, лечения и наблюдения</w:t>
      </w:r>
      <w:r w:rsidRPr="00DC46B0">
        <w:rPr>
          <w:szCs w:val="24"/>
        </w:rPr>
        <w:t xml:space="preserve"> (по показаниям).</w:t>
      </w:r>
    </w:p>
    <w:p w14:paraId="4526557F" w14:textId="77777777" w:rsidR="00B7783A" w:rsidRPr="00DC46B0" w:rsidRDefault="00B7783A" w:rsidP="0091350E">
      <w:pPr>
        <w:pStyle w:val="aff"/>
        <w:numPr>
          <w:ilvl w:val="0"/>
          <w:numId w:val="106"/>
        </w:numPr>
        <w:contextualSpacing/>
        <w:rPr>
          <w:szCs w:val="24"/>
        </w:rPr>
      </w:pPr>
      <w:r w:rsidRPr="00DC46B0">
        <w:rPr>
          <w:i/>
          <w:szCs w:val="24"/>
        </w:rPr>
        <w:t>Тредмил-тест</w:t>
      </w:r>
      <w:r w:rsidRPr="00DC46B0">
        <w:rPr>
          <w:szCs w:val="24"/>
        </w:rPr>
        <w:t xml:space="preserve"> – рекомендуется для диагностики ишемической болезни сердца (ИБС) при атипичном болевом синдроме, а также при назначении препаратов, способных вызвать ишемию миокарда. Исследование проводится </w:t>
      </w:r>
      <w:r w:rsidRPr="00DC46B0">
        <w:rPr>
          <w:rFonts w:eastAsia="Times New Roman"/>
          <w:szCs w:val="24"/>
          <w:lang w:eastAsia="ru-RU"/>
        </w:rPr>
        <w:t>на любом этапе диагностики, лечения и наблюдения</w:t>
      </w:r>
      <w:r w:rsidRPr="00DC46B0">
        <w:rPr>
          <w:szCs w:val="24"/>
        </w:rPr>
        <w:t xml:space="preserve"> (по показаниям).</w:t>
      </w:r>
    </w:p>
    <w:p w14:paraId="6AAAB3EA" w14:textId="77777777" w:rsidR="00B7783A" w:rsidRPr="00DC46B0" w:rsidRDefault="00B7783A" w:rsidP="0091350E">
      <w:pPr>
        <w:pStyle w:val="aff"/>
        <w:numPr>
          <w:ilvl w:val="0"/>
          <w:numId w:val="106"/>
        </w:numPr>
        <w:contextualSpacing/>
        <w:rPr>
          <w:szCs w:val="24"/>
        </w:rPr>
      </w:pPr>
      <w:r w:rsidRPr="00DC46B0">
        <w:rPr>
          <w:i/>
          <w:szCs w:val="24"/>
        </w:rPr>
        <w:t>МРТ сердца и сосудов (с контрастированием по показаниям)</w:t>
      </w:r>
      <w:r w:rsidRPr="00DC46B0">
        <w:rPr>
          <w:b/>
          <w:szCs w:val="24"/>
        </w:rPr>
        <w:t xml:space="preserve"> – </w:t>
      </w:r>
      <w:r w:rsidRPr="00DC46B0">
        <w:rPr>
          <w:szCs w:val="24"/>
        </w:rPr>
        <w:t xml:space="preserve">рекомендуется для диагностики патологии аорты, миокарда и оболочек сердца, выявления образований в полостях и на клапанах сердца, атеросклеротического поражения коронарных артерий. Исследование проводится </w:t>
      </w:r>
      <w:r w:rsidRPr="00DC46B0">
        <w:rPr>
          <w:rFonts w:eastAsia="Times New Roman"/>
          <w:szCs w:val="24"/>
          <w:lang w:eastAsia="ru-RU"/>
        </w:rPr>
        <w:t>на любом этапе диагностики, лечения и наблюдения</w:t>
      </w:r>
      <w:r w:rsidRPr="00DC46B0">
        <w:rPr>
          <w:szCs w:val="24"/>
        </w:rPr>
        <w:t xml:space="preserve"> (по показаниям).</w:t>
      </w:r>
    </w:p>
    <w:p w14:paraId="31C4FC7D" w14:textId="77777777" w:rsidR="00B7783A" w:rsidRPr="00DC46B0" w:rsidRDefault="00B7783A" w:rsidP="0091350E">
      <w:pPr>
        <w:pStyle w:val="aff"/>
        <w:numPr>
          <w:ilvl w:val="0"/>
          <w:numId w:val="106"/>
        </w:numPr>
        <w:contextualSpacing/>
        <w:rPr>
          <w:szCs w:val="24"/>
        </w:rPr>
      </w:pPr>
      <w:r w:rsidRPr="00DC46B0">
        <w:rPr>
          <w:szCs w:val="24"/>
        </w:rPr>
        <w:t xml:space="preserve">КТ сердца и сосудов </w:t>
      </w:r>
      <w:r w:rsidRPr="00DC46B0">
        <w:rPr>
          <w:b/>
          <w:szCs w:val="24"/>
        </w:rPr>
        <w:t xml:space="preserve">– </w:t>
      </w:r>
      <w:r w:rsidRPr="00DC46B0">
        <w:rPr>
          <w:szCs w:val="24"/>
        </w:rPr>
        <w:t xml:space="preserve">рекомендуется пациентам с притивопоказаниями к проведению МРТ (наличие водителя ритма, механических протезов, при подозрении на сдавливающий перикардит, и др). Исследование проводится </w:t>
      </w:r>
      <w:r w:rsidRPr="00DC46B0">
        <w:rPr>
          <w:rFonts w:eastAsia="Times New Roman"/>
          <w:szCs w:val="24"/>
          <w:lang w:eastAsia="ru-RU"/>
        </w:rPr>
        <w:t>на любом этапе диагностики, лечения и наблюдения</w:t>
      </w:r>
      <w:r w:rsidRPr="00DC46B0">
        <w:rPr>
          <w:szCs w:val="24"/>
        </w:rPr>
        <w:t xml:space="preserve"> (по показаниям).</w:t>
      </w:r>
    </w:p>
    <w:p w14:paraId="6D171123" w14:textId="77777777" w:rsidR="00B7783A" w:rsidRPr="00DC46B0" w:rsidRDefault="00B7783A" w:rsidP="0091350E">
      <w:pPr>
        <w:pStyle w:val="aff"/>
        <w:numPr>
          <w:ilvl w:val="0"/>
          <w:numId w:val="106"/>
        </w:numPr>
        <w:contextualSpacing/>
        <w:rPr>
          <w:szCs w:val="24"/>
        </w:rPr>
      </w:pPr>
      <w:r w:rsidRPr="00DC46B0">
        <w:rPr>
          <w:i/>
          <w:szCs w:val="24"/>
        </w:rPr>
        <w:t>Чреспищеводная эхокардиография (ЧПЭХО-КГ)</w:t>
      </w:r>
      <w:r w:rsidRPr="00DC46B0">
        <w:rPr>
          <w:b/>
          <w:szCs w:val="24"/>
        </w:rPr>
        <w:t xml:space="preserve"> – </w:t>
      </w:r>
      <w:r w:rsidRPr="00DC46B0">
        <w:rPr>
          <w:szCs w:val="24"/>
        </w:rPr>
        <w:t xml:space="preserve">рекомендуется для исключения тромбоза ушка левого предсердия; при врожденных пороках сердца; при выявлении образований на клапанах и в полостях сердца, при протезированных клапанах. Исследование проводится </w:t>
      </w:r>
      <w:r w:rsidRPr="00DC46B0">
        <w:rPr>
          <w:rFonts w:eastAsia="Times New Roman"/>
          <w:szCs w:val="24"/>
          <w:lang w:eastAsia="ru-RU"/>
        </w:rPr>
        <w:t>на любом этапе диагностики, лечения и наблюдения</w:t>
      </w:r>
      <w:r w:rsidRPr="00DC46B0">
        <w:rPr>
          <w:szCs w:val="24"/>
        </w:rPr>
        <w:t xml:space="preserve"> (по показаниям).</w:t>
      </w:r>
    </w:p>
    <w:p w14:paraId="28F961BB" w14:textId="77777777" w:rsidR="00B7783A" w:rsidRPr="00DC46B0" w:rsidRDefault="00B7783A" w:rsidP="0091350E">
      <w:pPr>
        <w:pStyle w:val="aff"/>
        <w:numPr>
          <w:ilvl w:val="0"/>
          <w:numId w:val="106"/>
        </w:numPr>
        <w:contextualSpacing/>
        <w:rPr>
          <w:szCs w:val="24"/>
        </w:rPr>
      </w:pPr>
      <w:r w:rsidRPr="00DC46B0">
        <w:rPr>
          <w:i/>
          <w:szCs w:val="24"/>
        </w:rPr>
        <w:t>Коронароангиография (КАГ)</w:t>
      </w:r>
      <w:r w:rsidRPr="00DC46B0">
        <w:rPr>
          <w:b/>
          <w:szCs w:val="24"/>
        </w:rPr>
        <w:t xml:space="preserve"> – </w:t>
      </w:r>
      <w:r w:rsidRPr="00DC46B0">
        <w:rPr>
          <w:szCs w:val="24"/>
        </w:rPr>
        <w:t xml:space="preserve">рекомендуется при назначении гематологического лечения препаратами, способными вызвать ишемию, при наличии факторов риска ИБС; при стенокардии, не поддающейся лекарственной коррекции, или с эпизодами безболевой ишемии на фоне антиангинальной терапии. Исследование проводится </w:t>
      </w:r>
      <w:r w:rsidRPr="00DC46B0">
        <w:rPr>
          <w:rFonts w:eastAsia="Times New Roman"/>
          <w:szCs w:val="24"/>
          <w:lang w:eastAsia="ru-RU"/>
        </w:rPr>
        <w:t>на любом этапе диагностики, лечения и наблюдения</w:t>
      </w:r>
      <w:r w:rsidRPr="00DC46B0">
        <w:rPr>
          <w:szCs w:val="24"/>
        </w:rPr>
        <w:t xml:space="preserve"> (по показаниям).</w:t>
      </w:r>
    </w:p>
    <w:p w14:paraId="0226F9B6" w14:textId="77777777" w:rsidR="00B7783A" w:rsidRDefault="00B7783A" w:rsidP="00B7783A">
      <w:pPr>
        <w:rPr>
          <w:b/>
          <w:szCs w:val="24"/>
        </w:rPr>
      </w:pPr>
    </w:p>
    <w:p w14:paraId="2C466621" w14:textId="77777777" w:rsidR="00B7783A" w:rsidRPr="00DC46B0" w:rsidRDefault="00B7783A" w:rsidP="00B7783A">
      <w:pPr>
        <w:rPr>
          <w:szCs w:val="24"/>
          <w:u w:val="single"/>
        </w:rPr>
      </w:pPr>
      <w:r w:rsidRPr="00DC46B0">
        <w:rPr>
          <w:szCs w:val="24"/>
          <w:u w:val="single"/>
        </w:rPr>
        <w:t xml:space="preserve">Лабораторные исследования: </w:t>
      </w:r>
    </w:p>
    <w:p w14:paraId="23C8BD82" w14:textId="77777777" w:rsidR="00B7783A" w:rsidRPr="00DC46B0" w:rsidRDefault="00B7783A" w:rsidP="0091350E">
      <w:pPr>
        <w:numPr>
          <w:ilvl w:val="0"/>
          <w:numId w:val="107"/>
        </w:numPr>
        <w:rPr>
          <w:szCs w:val="24"/>
        </w:rPr>
      </w:pPr>
      <w:r w:rsidRPr="00DC46B0">
        <w:rPr>
          <w:szCs w:val="24"/>
        </w:rPr>
        <w:t xml:space="preserve">Кардиологические маркеры: тропонин </w:t>
      </w:r>
      <w:r w:rsidRPr="00DC46B0">
        <w:rPr>
          <w:szCs w:val="24"/>
          <w:lang w:val="en-US"/>
        </w:rPr>
        <w:t>I</w:t>
      </w:r>
      <w:r w:rsidRPr="00DC46B0">
        <w:rPr>
          <w:szCs w:val="24"/>
        </w:rPr>
        <w:t xml:space="preserve">, высокочувствительный тропонин, </w:t>
      </w:r>
      <w:r w:rsidRPr="00DC46B0">
        <w:rPr>
          <w:szCs w:val="24"/>
          <w:lang w:val="en-US"/>
        </w:rPr>
        <w:t>NTproBNP</w:t>
      </w:r>
      <w:r w:rsidRPr="00DC46B0">
        <w:rPr>
          <w:szCs w:val="24"/>
        </w:rPr>
        <w:t>.</w:t>
      </w:r>
    </w:p>
    <w:p w14:paraId="671AF393" w14:textId="77777777" w:rsidR="00B7783A" w:rsidRPr="00DC46B0" w:rsidRDefault="00B7783A" w:rsidP="0091350E">
      <w:pPr>
        <w:numPr>
          <w:ilvl w:val="0"/>
          <w:numId w:val="107"/>
        </w:numPr>
        <w:rPr>
          <w:szCs w:val="24"/>
        </w:rPr>
      </w:pPr>
      <w:r w:rsidRPr="00DC46B0">
        <w:rPr>
          <w:szCs w:val="24"/>
        </w:rPr>
        <w:t>Коагулограмма: активированное частичное тромбопластиновое время (АЧТВ), протромбин, фибриноген, тромбиновое время, XII-а зависимый фибринолиз, протеины С и S, гомоцистеин, агрегация тромбоцитов, Д-димер, волчаночный антикоагулянт, антитела к бета2 гликопротеину 1, антитела к кардиолипину, мутации генов V фактор Лейден, метилентетрагидрофолат редуктазы, протромбина (по показаниям).</w:t>
      </w:r>
    </w:p>
    <w:p w14:paraId="0FFF35F5" w14:textId="77777777" w:rsidR="00B7783A" w:rsidRPr="00DC46B0" w:rsidRDefault="00B7783A" w:rsidP="0091350E">
      <w:pPr>
        <w:numPr>
          <w:ilvl w:val="0"/>
          <w:numId w:val="107"/>
        </w:numPr>
        <w:rPr>
          <w:szCs w:val="24"/>
        </w:rPr>
      </w:pPr>
      <w:r w:rsidRPr="00DC46B0">
        <w:rPr>
          <w:szCs w:val="24"/>
        </w:rPr>
        <w:t>Определение уровня калия и магния.</w:t>
      </w:r>
    </w:p>
    <w:p w14:paraId="4CC5AC87" w14:textId="77777777" w:rsidR="00B7783A" w:rsidRPr="00DC46B0" w:rsidRDefault="00B7783A" w:rsidP="0091350E">
      <w:pPr>
        <w:numPr>
          <w:ilvl w:val="0"/>
          <w:numId w:val="107"/>
        </w:numPr>
        <w:rPr>
          <w:szCs w:val="24"/>
        </w:rPr>
      </w:pPr>
      <w:r w:rsidRPr="00DC46B0">
        <w:rPr>
          <w:szCs w:val="24"/>
        </w:rPr>
        <w:t>Показатели липидного обмена: общий холестерин и фракции (липиды высокой, низкой, очень низкой плотности), триглицериды, индекс атерогенности).</w:t>
      </w:r>
    </w:p>
    <w:p w14:paraId="56789D8B" w14:textId="77777777" w:rsidR="00B7783A" w:rsidRPr="00DC46B0" w:rsidRDefault="00B7783A" w:rsidP="00B7783A">
      <w:pPr>
        <w:ind w:firstLine="709"/>
        <w:rPr>
          <w:szCs w:val="24"/>
        </w:rPr>
      </w:pPr>
      <w:r w:rsidRPr="00DC46B0">
        <w:rPr>
          <w:szCs w:val="24"/>
        </w:rPr>
        <w:t>При амбулаторном лечении пациенту необходимо самостоятельно вести дневник мониторирования АД, ЧСС, ряда симптомов, которые могут быть признаками в том числе кардиологической патологии (одышка, отеки, и др.) для своевременного дополнительного кардиологического обследования.</w:t>
      </w:r>
    </w:p>
    <w:p w14:paraId="6C40C9EA" w14:textId="77777777" w:rsidR="00B7783A" w:rsidRDefault="00B7783A" w:rsidP="00B7783A">
      <w:pPr>
        <w:ind w:firstLine="709"/>
        <w:rPr>
          <w:szCs w:val="24"/>
        </w:rPr>
      </w:pPr>
      <w:r w:rsidRPr="00DC46B0">
        <w:rPr>
          <w:szCs w:val="24"/>
        </w:rPr>
        <w:t>Сроки и объем планового кардиологического обследования</w:t>
      </w:r>
      <w:r w:rsidRPr="00DC46B0">
        <w:rPr>
          <w:b/>
          <w:szCs w:val="24"/>
        </w:rPr>
        <w:t xml:space="preserve"> </w:t>
      </w:r>
      <w:r w:rsidRPr="00DC46B0">
        <w:rPr>
          <w:szCs w:val="24"/>
        </w:rPr>
        <w:t>зависят от наличия исходной кардиальной патологии и от типа проводимого лечения. При отсутствии исходно кардиальной патологии на фоне потенциально кардиотоксического лечения кардиологическое обследование рекомендовано проводить каждые 12 недель. Если имеется / выявлена кардиальная патология до / во время проведения потенциально кардиотоксического гематологического лечения кардиологическое обследование рекомендуется перед каждым курсом лечения или не реже, чем  раз в 4 недели. После завершения кардиотоксичного лечения проведение кардиологического обследования рекомендуется не реже чем раз в 6 мес при наличии кардиальной патологии, и не реже, чем раз в 12 мес при ее отсутствии. Кардиомониторинг стандартно включает ЭКГ, ЭХО-КГ, консультацию кардиолога.</w:t>
      </w:r>
    </w:p>
    <w:p w14:paraId="0C8F0FD8" w14:textId="77777777" w:rsidR="00B7783A" w:rsidRPr="00DC46B0" w:rsidRDefault="00B7783A" w:rsidP="00B7783A">
      <w:pPr>
        <w:ind w:firstLine="709"/>
        <w:rPr>
          <w:szCs w:val="24"/>
        </w:rPr>
      </w:pPr>
    </w:p>
    <w:p w14:paraId="675F926E" w14:textId="77777777" w:rsidR="00B7783A" w:rsidRPr="00DC46B0" w:rsidRDefault="00B7783A" w:rsidP="00B7783A">
      <w:pPr>
        <w:rPr>
          <w:i/>
          <w:szCs w:val="24"/>
          <w:u w:val="single"/>
        </w:rPr>
      </w:pPr>
      <w:r w:rsidRPr="00DC46B0">
        <w:rPr>
          <w:i/>
          <w:szCs w:val="24"/>
          <w:u w:val="single"/>
        </w:rPr>
        <w:t>Кардиомониторинг гематологического пациента при проведении (потенциально) кардиотоксичного лечения.</w:t>
      </w:r>
    </w:p>
    <w:p w14:paraId="5881724E" w14:textId="29C16361" w:rsidR="00B7783A" w:rsidRPr="00DC46B0" w:rsidRDefault="00B7783A" w:rsidP="00B7783A">
      <w:pPr>
        <w:ind w:firstLine="709"/>
        <w:rPr>
          <w:szCs w:val="24"/>
        </w:rPr>
      </w:pPr>
      <w:r w:rsidRPr="00DC46B0">
        <w:rPr>
          <w:szCs w:val="24"/>
        </w:rPr>
        <w:t>Необходима настороженность в отношении возможных проявлений кардиотоксичности как в дебюте лечения, так и при его продолжении, поскольку некоторые проявления кардиотоксичности развиваются отсроченно и протекают малосимптомно, а некоторые проявления кардиотоксичности, напротив, развиваются молниеносно и требуют неотложных кардиологических мероприятий</w:t>
      </w:r>
      <w:r>
        <w:rPr>
          <w:szCs w:val="24"/>
        </w:rPr>
        <w:t xml:space="preserve"> </w:t>
      </w:r>
      <w:r>
        <w:rPr>
          <w:szCs w:val="24"/>
        </w:rPr>
        <w:fldChar w:fldCharType="begin" w:fldLock="1"/>
      </w:r>
      <w:r w:rsidR="005A6162">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[182]","plainTextFormattedCitation":"[182]","previouslyFormattedCitation":"[182]"},"properties":{"noteIndex":0},"schema":"https://github.com/citation-style-language/schema/raw/master/csl-citation.json"}</w:instrText>
      </w:r>
      <w:r>
        <w:rPr>
          <w:szCs w:val="24"/>
        </w:rPr>
        <w:fldChar w:fldCharType="separate"/>
      </w:r>
      <w:r w:rsidRPr="00B7783A">
        <w:rPr>
          <w:noProof/>
          <w:szCs w:val="24"/>
        </w:rPr>
        <w:t>[182]</w:t>
      </w:r>
      <w:r>
        <w:rPr>
          <w:szCs w:val="24"/>
        </w:rPr>
        <w:fldChar w:fldCharType="end"/>
      </w:r>
      <w:r w:rsidRPr="00DC46B0">
        <w:rPr>
          <w:szCs w:val="24"/>
        </w:rPr>
        <w:t xml:space="preserve">.  </w:t>
      </w:r>
    </w:p>
    <w:p w14:paraId="790B0D33" w14:textId="77777777" w:rsidR="00B7783A" w:rsidRPr="00DC46B0" w:rsidRDefault="00B7783A" w:rsidP="00B7783A">
      <w:pPr>
        <w:ind w:firstLine="709"/>
        <w:rPr>
          <w:b/>
          <w:szCs w:val="24"/>
        </w:rPr>
      </w:pPr>
      <w:r w:rsidRPr="00DC46B0">
        <w:rPr>
          <w:szCs w:val="24"/>
        </w:rPr>
        <w:t>Необходимо учитывать потенцирование кардиотоксических эффектов при совместном применении препаратов, а также индивидуальные реакции с развитием ранее не описанных проявлений кардиотоксичности, особенно у пациентов, имеющих заболевания сердечно-сосудистой системы в анамнезе.</w:t>
      </w:r>
      <w:r w:rsidRPr="00DC46B0">
        <w:rPr>
          <w:b/>
          <w:szCs w:val="24"/>
        </w:rPr>
        <w:t xml:space="preserve"> </w:t>
      </w:r>
      <w:r w:rsidRPr="00DC46B0">
        <w:rPr>
          <w:szCs w:val="24"/>
        </w:rPr>
        <w:t xml:space="preserve">При наличии или появлении кардиальных изменений и/или заболеваний сердечно-сосудистой системы, необходимо обсуждение с кардиологом возможности дальнейшего проведения гематологической терапии, необходимости ее коррекции, применение кардиологического лечения. </w:t>
      </w:r>
    </w:p>
    <w:p w14:paraId="380648D3" w14:textId="7879BF18" w:rsidR="00B7783A" w:rsidRPr="00DC46B0" w:rsidRDefault="00B7783A" w:rsidP="00B7783A">
      <w:pPr>
        <w:ind w:firstLine="709"/>
        <w:rPr>
          <w:szCs w:val="24"/>
        </w:rPr>
      </w:pPr>
      <w:r w:rsidRPr="00DC46B0">
        <w:rPr>
          <w:szCs w:val="24"/>
        </w:rPr>
        <w:t>При применении препаратов, обладающих кардиотоксичностью (антрациклины, алкилирующие агенты, ингибиторы протеасом, моноклональные антитела), необходимо учитывать исходную систолическую функцию левого желудочка сердца</w:t>
      </w:r>
      <w:r>
        <w:rPr>
          <w:szCs w:val="24"/>
        </w:rPr>
        <w:t xml:space="preserve"> </w:t>
      </w:r>
      <w:r>
        <w:rPr>
          <w:szCs w:val="24"/>
        </w:rPr>
        <w:fldChar w:fldCharType="begin" w:fldLock="1"/>
      </w:r>
      <w:r w:rsidR="005A6162">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[182]","plainTextFormattedCitation":"[182]","previouslyFormattedCitation":"[182]"},"properties":{"noteIndex":0},"schema":"https://github.com/citation-style-language/schema/raw/master/csl-citation.json"}</w:instrText>
      </w:r>
      <w:r>
        <w:rPr>
          <w:szCs w:val="24"/>
        </w:rPr>
        <w:fldChar w:fldCharType="separate"/>
      </w:r>
      <w:r w:rsidRPr="00B7783A">
        <w:rPr>
          <w:noProof/>
          <w:szCs w:val="24"/>
        </w:rPr>
        <w:t>[182]</w:t>
      </w:r>
      <w:r>
        <w:rPr>
          <w:szCs w:val="24"/>
        </w:rPr>
        <w:fldChar w:fldCharType="end"/>
      </w:r>
      <w:r w:rsidRPr="00DC46B0">
        <w:rPr>
          <w:szCs w:val="24"/>
        </w:rPr>
        <w:t>:</w:t>
      </w:r>
    </w:p>
    <w:p w14:paraId="6424A4AF" w14:textId="77777777" w:rsidR="00B7783A" w:rsidRPr="00DC46B0" w:rsidRDefault="00B7783A" w:rsidP="0091350E">
      <w:pPr>
        <w:pStyle w:val="aff"/>
        <w:numPr>
          <w:ilvl w:val="0"/>
          <w:numId w:val="108"/>
        </w:numPr>
        <w:contextualSpacing/>
        <w:rPr>
          <w:szCs w:val="24"/>
        </w:rPr>
      </w:pPr>
      <w:r w:rsidRPr="00DC46B0">
        <w:rPr>
          <w:szCs w:val="24"/>
        </w:rPr>
        <w:t xml:space="preserve">Кардиотоксические химиопрепараты не должны рутинно применяться  у больных  с фракцией выброса левого желудочка (ФВЛЖ) &lt; 30 %. Вопрос о назначении потенциально кардиотоксической противоопухолевой терапии в этом случае рекомендуется решать на консилиуме с участием кардиолога. </w:t>
      </w:r>
    </w:p>
    <w:p w14:paraId="6CCECC33" w14:textId="77777777" w:rsidR="00B7783A" w:rsidRPr="00DC46B0" w:rsidRDefault="00B7783A" w:rsidP="0091350E">
      <w:pPr>
        <w:pStyle w:val="aff"/>
        <w:numPr>
          <w:ilvl w:val="0"/>
          <w:numId w:val="108"/>
        </w:numPr>
        <w:contextualSpacing/>
        <w:rPr>
          <w:szCs w:val="24"/>
        </w:rPr>
      </w:pPr>
      <w:r w:rsidRPr="00DC46B0">
        <w:rPr>
          <w:szCs w:val="24"/>
        </w:rPr>
        <w:t xml:space="preserve">При ФВЛЖ 30 – 50 % необходимо оценивать функцию левого желудочка по ЭхоКГ перед каждой новой дозой антрациклинов. </w:t>
      </w:r>
    </w:p>
    <w:p w14:paraId="547CBFAE" w14:textId="77777777" w:rsidR="00B7783A" w:rsidRPr="00DC46B0" w:rsidRDefault="00B7783A" w:rsidP="0091350E">
      <w:pPr>
        <w:pStyle w:val="aff"/>
        <w:numPr>
          <w:ilvl w:val="0"/>
          <w:numId w:val="108"/>
        </w:numPr>
        <w:contextualSpacing/>
        <w:rPr>
          <w:szCs w:val="24"/>
        </w:rPr>
      </w:pPr>
      <w:r w:rsidRPr="00DC46B0">
        <w:rPr>
          <w:szCs w:val="24"/>
        </w:rPr>
        <w:t>При ФВЛЖ ≥ 50 %, необходимо оценивать функцию левого желудочка по ЭхоКГ повторно при достижении суммарной дозы кардиотоксичных химиопрепаратов 300 – 350 мг/м</w:t>
      </w:r>
      <w:r w:rsidRPr="00DC46B0">
        <w:rPr>
          <w:szCs w:val="24"/>
          <w:vertAlign w:val="superscript"/>
        </w:rPr>
        <w:t>2</w:t>
      </w:r>
      <w:r w:rsidRPr="00DC46B0">
        <w:rPr>
          <w:szCs w:val="24"/>
        </w:rPr>
        <w:t>.</w:t>
      </w:r>
    </w:p>
    <w:p w14:paraId="50D2597D" w14:textId="77777777" w:rsidR="00B7783A" w:rsidRDefault="00B7783A" w:rsidP="00B7783A">
      <w:pPr>
        <w:rPr>
          <w:szCs w:val="24"/>
          <w:u w:val="single"/>
        </w:rPr>
      </w:pPr>
    </w:p>
    <w:p w14:paraId="30C0041A" w14:textId="21991289" w:rsidR="00B7783A" w:rsidRPr="00DC46B0" w:rsidRDefault="00B7783A" w:rsidP="00B7783A">
      <w:pPr>
        <w:rPr>
          <w:szCs w:val="24"/>
        </w:rPr>
      </w:pPr>
      <w:r w:rsidRPr="00DC46B0">
        <w:rPr>
          <w:szCs w:val="24"/>
          <w:u w:val="single"/>
        </w:rPr>
        <w:t>Оценка безопасности продолжения лечения при использовании (потенциально) кардиотоксичных препаратов</w:t>
      </w:r>
      <w:r>
        <w:rPr>
          <w:szCs w:val="24"/>
          <w:u w:val="single"/>
        </w:rPr>
        <w:t xml:space="preserve"> </w:t>
      </w:r>
      <w:r>
        <w:rPr>
          <w:szCs w:val="24"/>
        </w:rPr>
        <w:fldChar w:fldCharType="begin" w:fldLock="1"/>
      </w:r>
      <w:r w:rsidR="005A6162">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[182]","plainTextFormattedCitation":"[182]","previouslyFormattedCitation":"[182]"},"properties":{"noteIndex":0},"schema":"https://github.com/citation-style-language/schema/raw/master/csl-citation.json"}</w:instrText>
      </w:r>
      <w:r>
        <w:rPr>
          <w:szCs w:val="24"/>
        </w:rPr>
        <w:fldChar w:fldCharType="separate"/>
      </w:r>
      <w:r w:rsidRPr="00B7783A">
        <w:rPr>
          <w:noProof/>
          <w:szCs w:val="24"/>
        </w:rPr>
        <w:t>[182]</w:t>
      </w:r>
      <w:r>
        <w:rPr>
          <w:szCs w:val="24"/>
        </w:rPr>
        <w:fldChar w:fldCharType="end"/>
      </w:r>
      <w:r w:rsidRPr="00DC46B0">
        <w:rPr>
          <w:szCs w:val="24"/>
        </w:rPr>
        <w:t>:</w:t>
      </w:r>
    </w:p>
    <w:p w14:paraId="516A1E4E" w14:textId="77777777" w:rsidR="00B7783A" w:rsidRPr="00DC46B0" w:rsidRDefault="00B7783A" w:rsidP="0091350E">
      <w:pPr>
        <w:numPr>
          <w:ilvl w:val="0"/>
          <w:numId w:val="107"/>
        </w:numPr>
        <w:rPr>
          <w:szCs w:val="24"/>
        </w:rPr>
      </w:pPr>
      <w:r w:rsidRPr="00DC46B0">
        <w:rPr>
          <w:szCs w:val="24"/>
        </w:rPr>
        <w:t xml:space="preserve">Продолжение лечения – при отсутствии снижения ФВЛЖ, или снижение, но при уровне ФВЛЖ  ≥ 50 %. </w:t>
      </w:r>
    </w:p>
    <w:p w14:paraId="6F196D66" w14:textId="77777777" w:rsidR="00B7783A" w:rsidRPr="00DC46B0" w:rsidRDefault="00B7783A" w:rsidP="0091350E">
      <w:pPr>
        <w:numPr>
          <w:ilvl w:val="0"/>
          <w:numId w:val="107"/>
        </w:numPr>
        <w:rPr>
          <w:szCs w:val="24"/>
        </w:rPr>
      </w:pPr>
      <w:r w:rsidRPr="00DC46B0">
        <w:rPr>
          <w:szCs w:val="24"/>
        </w:rPr>
        <w:t>Контроль через 3 недели – при снижение ФВЛЖ &lt; 50%. При сохраняющемся снижении ФВЛЖ &lt; 50% – обсудить возможность перерыва в лечении / альтернативного лечения.</w:t>
      </w:r>
    </w:p>
    <w:p w14:paraId="3D86E4CE" w14:textId="77777777" w:rsidR="00B7783A" w:rsidRPr="00DC46B0" w:rsidRDefault="00B7783A" w:rsidP="0091350E">
      <w:pPr>
        <w:numPr>
          <w:ilvl w:val="0"/>
          <w:numId w:val="107"/>
        </w:numPr>
        <w:rPr>
          <w:szCs w:val="24"/>
        </w:rPr>
      </w:pPr>
      <w:r w:rsidRPr="00DC46B0">
        <w:rPr>
          <w:szCs w:val="24"/>
        </w:rPr>
        <w:t>Прекращение лечения, обсуждение альтернативного лечения – при снижении ФВЛЖ &lt; 40%.</w:t>
      </w:r>
    </w:p>
    <w:p w14:paraId="7B048B53" w14:textId="77777777" w:rsidR="00B7783A" w:rsidRPr="00DC46B0" w:rsidRDefault="00B7783A" w:rsidP="00B7783A">
      <w:pPr>
        <w:rPr>
          <w:szCs w:val="24"/>
        </w:rPr>
      </w:pPr>
    </w:p>
    <w:p w14:paraId="7861DCD8" w14:textId="5D708E93" w:rsidR="00B7783A" w:rsidRPr="00DC46B0" w:rsidRDefault="00B7783A" w:rsidP="00B7783A">
      <w:pPr>
        <w:rPr>
          <w:szCs w:val="24"/>
          <w:u w:val="single"/>
        </w:rPr>
      </w:pPr>
      <w:r w:rsidRPr="00DC46B0">
        <w:rPr>
          <w:szCs w:val="24"/>
          <w:u w:val="single"/>
        </w:rPr>
        <w:t>Степени кардиальных осложнений (нежелательных явлений)</w:t>
      </w:r>
      <w:r>
        <w:rPr>
          <w:szCs w:val="24"/>
          <w:u w:val="single"/>
        </w:rPr>
        <w:t xml:space="preserve"> </w:t>
      </w:r>
      <w:r>
        <w:rPr>
          <w:szCs w:val="24"/>
        </w:rPr>
        <w:fldChar w:fldCharType="begin" w:fldLock="1"/>
      </w:r>
      <w:r w:rsidR="005A6162">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[182]","plainTextFormattedCitation":"[182]","previouslyFormattedCitation":"[182]"},"properties":{"noteIndex":0},"schema":"https://github.com/citation-style-language/schema/raw/master/csl-citation.json"}</w:instrText>
      </w:r>
      <w:r>
        <w:rPr>
          <w:szCs w:val="24"/>
        </w:rPr>
        <w:fldChar w:fldCharType="separate"/>
      </w:r>
      <w:r w:rsidRPr="00B7783A">
        <w:rPr>
          <w:noProof/>
          <w:szCs w:val="24"/>
        </w:rPr>
        <w:t>[182]</w:t>
      </w:r>
      <w:r>
        <w:rPr>
          <w:szCs w:val="24"/>
        </w:rPr>
        <w:fldChar w:fldCharType="end"/>
      </w:r>
      <w:r w:rsidRPr="00DC46B0">
        <w:rPr>
          <w:szCs w:val="24"/>
          <w:u w:val="single"/>
        </w:rPr>
        <w:t xml:space="preserve">: </w:t>
      </w:r>
    </w:p>
    <w:p w14:paraId="5D6247AC" w14:textId="77777777" w:rsidR="00B7783A" w:rsidRPr="00DC46B0" w:rsidRDefault="00B7783A" w:rsidP="0091350E">
      <w:pPr>
        <w:numPr>
          <w:ilvl w:val="0"/>
          <w:numId w:val="107"/>
        </w:numPr>
        <w:rPr>
          <w:szCs w:val="24"/>
        </w:rPr>
      </w:pPr>
      <w:r w:rsidRPr="00DC46B0">
        <w:rPr>
          <w:szCs w:val="24"/>
        </w:rPr>
        <w:t xml:space="preserve">Первая степень: изменения сердечно-сосудистой системы, не оказывающие влияние на ее нормальное функционирование и не влияющими на прогноз (желудочковая и наджелудочковая экстрасистолия без гемодинамических нарушений, АВ-блокада 1 степени,  полная и неполная блокада правой ножки пучка Гиса, полная блокада левой ножки пучка Гиса, блокады ветвей левой ножки пучка Гиса). Лекарственная коррекция выявленных изменений не требуется; отмена гематологического лечения не требуется; динамическое наблюдение гематолога и кардиолога. </w:t>
      </w:r>
    </w:p>
    <w:p w14:paraId="1E647F68" w14:textId="77777777" w:rsidR="00B7783A" w:rsidRPr="00DC46B0" w:rsidRDefault="00B7783A" w:rsidP="0091350E">
      <w:pPr>
        <w:numPr>
          <w:ilvl w:val="0"/>
          <w:numId w:val="107"/>
        </w:numPr>
        <w:rPr>
          <w:szCs w:val="24"/>
        </w:rPr>
      </w:pPr>
      <w:r w:rsidRPr="00DC46B0">
        <w:rPr>
          <w:szCs w:val="24"/>
        </w:rPr>
        <w:t xml:space="preserve">Вторая степень: умеренные изменения сердечно-сосудистой системы (развитие или усугубление АГ, развитие фибрилляции предсердий (ФП)). Проведение лекарственной коррекции; отмена гематологического лечения не требуется. </w:t>
      </w:r>
    </w:p>
    <w:p w14:paraId="10787E2B" w14:textId="77777777" w:rsidR="00B7783A" w:rsidRPr="00DC46B0" w:rsidRDefault="00B7783A" w:rsidP="0091350E">
      <w:pPr>
        <w:numPr>
          <w:ilvl w:val="0"/>
          <w:numId w:val="107"/>
        </w:numPr>
        <w:rPr>
          <w:szCs w:val="24"/>
        </w:rPr>
      </w:pPr>
      <w:r w:rsidRPr="00DC46B0">
        <w:rPr>
          <w:szCs w:val="24"/>
        </w:rPr>
        <w:t>Третья степень: значимые, но не жизнеурожающее изменения сердечно-сосудистой системы (инфаркт миокарда, кардиомиопатия, снижение систолической функции левого желудочка с ФВЛЖ &lt; 50 %).  Проведение лекарственной коррекции, подбор постоянной кардиальной терапии (возможно стационарно). Обсуждение вопроса об изменении/отмене гематологического лечения.</w:t>
      </w:r>
    </w:p>
    <w:p w14:paraId="798CF2BD" w14:textId="77777777" w:rsidR="00B7783A" w:rsidRPr="00DC46B0" w:rsidRDefault="00B7783A" w:rsidP="0091350E">
      <w:pPr>
        <w:numPr>
          <w:ilvl w:val="0"/>
          <w:numId w:val="107"/>
        </w:numPr>
        <w:rPr>
          <w:szCs w:val="24"/>
        </w:rPr>
      </w:pPr>
      <w:r w:rsidRPr="00DC46B0">
        <w:rPr>
          <w:szCs w:val="24"/>
        </w:rPr>
        <w:t>Четвертая степень: жизнеугрожающие изменения сердечно-сосудистой системы (кардиогенный шок,  тромбоэмболия легочной артерии, жизнеугрожающие аритмии). Показано срочная госпитализация, отмена/коррекция гематологического лечения.</w:t>
      </w:r>
    </w:p>
    <w:p w14:paraId="2F492290" w14:textId="77777777" w:rsidR="00B7783A" w:rsidRPr="00DC46B0" w:rsidRDefault="00B7783A" w:rsidP="0091350E">
      <w:pPr>
        <w:numPr>
          <w:ilvl w:val="0"/>
          <w:numId w:val="107"/>
        </w:numPr>
        <w:rPr>
          <w:szCs w:val="24"/>
        </w:rPr>
      </w:pPr>
      <w:r w:rsidRPr="00DC46B0">
        <w:rPr>
          <w:szCs w:val="24"/>
        </w:rPr>
        <w:t>Пятая степень: летальный исход, связанный с кардиальным нежелательным явлением.</w:t>
      </w:r>
    </w:p>
    <w:p w14:paraId="23BFC95A" w14:textId="77777777" w:rsidR="00B7783A" w:rsidRDefault="00B7783A" w:rsidP="00B7783A">
      <w:pPr>
        <w:rPr>
          <w:b/>
          <w:szCs w:val="24"/>
        </w:rPr>
      </w:pPr>
    </w:p>
    <w:p w14:paraId="0F9C4FC6" w14:textId="77777777" w:rsidR="00B7783A" w:rsidRPr="00DC46B0" w:rsidRDefault="00B7783A" w:rsidP="00B7783A">
      <w:pPr>
        <w:rPr>
          <w:i/>
          <w:szCs w:val="24"/>
          <w:u w:val="single"/>
        </w:rPr>
      </w:pPr>
      <w:r w:rsidRPr="00DC46B0">
        <w:rPr>
          <w:i/>
          <w:szCs w:val="24"/>
          <w:u w:val="single"/>
        </w:rPr>
        <w:t xml:space="preserve">Профилактика нежелательных кардиальных явлений при лечении в онкогематологии.  </w:t>
      </w:r>
    </w:p>
    <w:p w14:paraId="7AAD1CBE" w14:textId="7BF772D7" w:rsidR="00B7783A" w:rsidRPr="00DC46B0" w:rsidRDefault="00B7783A" w:rsidP="00B7783A">
      <w:pPr>
        <w:ind w:firstLine="709"/>
        <w:rPr>
          <w:szCs w:val="24"/>
        </w:rPr>
      </w:pPr>
      <w:r w:rsidRPr="00DC46B0">
        <w:rPr>
          <w:szCs w:val="24"/>
        </w:rPr>
        <w:t>Возникновение побочных кардиологических явлений может стать причиной прекращения гематологического лечения, ухудшения состояния пациента, сокращения продолжительность жизни при излеченном гематологическом заболевании</w:t>
      </w:r>
      <w:r>
        <w:rPr>
          <w:szCs w:val="24"/>
        </w:rPr>
        <w:t xml:space="preserve"> </w:t>
      </w:r>
      <w:r>
        <w:rPr>
          <w:szCs w:val="24"/>
        </w:rPr>
        <w:fldChar w:fldCharType="begin" w:fldLock="1"/>
      </w:r>
      <w:r w:rsidR="005A6162">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[182]","plainTextFormattedCitation":"[182]","previouslyFormattedCitation":"[182]"},"properties":{"noteIndex":0},"schema":"https://github.com/citation-style-language/schema/raw/master/csl-citation.json"}</w:instrText>
      </w:r>
      <w:r>
        <w:rPr>
          <w:szCs w:val="24"/>
        </w:rPr>
        <w:fldChar w:fldCharType="separate"/>
      </w:r>
      <w:r w:rsidRPr="00B7783A">
        <w:rPr>
          <w:noProof/>
          <w:szCs w:val="24"/>
        </w:rPr>
        <w:t>[182]</w:t>
      </w:r>
      <w:r>
        <w:rPr>
          <w:szCs w:val="24"/>
        </w:rPr>
        <w:fldChar w:fldCharType="end"/>
      </w:r>
      <w:r w:rsidRPr="00DC46B0">
        <w:rPr>
          <w:szCs w:val="24"/>
        </w:rPr>
        <w:t xml:space="preserve">. </w:t>
      </w:r>
    </w:p>
    <w:p w14:paraId="5E349F9B" w14:textId="77777777" w:rsidR="00B7783A" w:rsidRPr="00DC46B0" w:rsidRDefault="00B7783A" w:rsidP="00B7783A">
      <w:pPr>
        <w:ind w:firstLine="709"/>
        <w:rPr>
          <w:szCs w:val="24"/>
        </w:rPr>
      </w:pPr>
      <w:r w:rsidRPr="00DC46B0">
        <w:rPr>
          <w:szCs w:val="24"/>
        </w:rPr>
        <w:t>Нежелательные кардиальные явления 4</w:t>
      </w:r>
      <w:r>
        <w:rPr>
          <w:szCs w:val="24"/>
        </w:rPr>
        <w:t>-</w:t>
      </w:r>
      <w:r w:rsidRPr="00DC46B0">
        <w:rPr>
          <w:szCs w:val="24"/>
        </w:rPr>
        <w:t>5 степеней возникают достаточно редко. Возможно увеличение частоты нежелательных кардиологических явлений 1</w:t>
      </w:r>
      <w:r>
        <w:rPr>
          <w:szCs w:val="24"/>
        </w:rPr>
        <w:t>-</w:t>
      </w:r>
      <w:r w:rsidRPr="00DC46B0">
        <w:rPr>
          <w:szCs w:val="24"/>
        </w:rPr>
        <w:t>3 степени по мере увеличения количества пациентов, выздоровевших от тяжелых онкогематологических заболеваний. Стратегия Европейского кардиологического сообщества по профилактике и лечению побочных кардиологических явлений при химиотерапевтическом лечении представлена в таб.1.</w:t>
      </w:r>
    </w:p>
    <w:p w14:paraId="23DBDD72" w14:textId="77777777" w:rsidR="00B7783A" w:rsidRDefault="00B7783A" w:rsidP="00B7783A">
      <w:pPr>
        <w:rPr>
          <w:b/>
          <w:szCs w:val="24"/>
        </w:rPr>
      </w:pPr>
    </w:p>
    <w:p w14:paraId="44CB139D" w14:textId="318EE166" w:rsidR="00B7783A" w:rsidRPr="00DC46B0" w:rsidRDefault="00B7783A" w:rsidP="00B7783A">
      <w:pPr>
        <w:rPr>
          <w:szCs w:val="24"/>
        </w:rPr>
      </w:pPr>
      <w:r w:rsidRPr="00DC46B0">
        <w:rPr>
          <w:szCs w:val="24"/>
        </w:rPr>
        <w:t>Таблица 1. Стратегии, применяемые для снижения кардиотоксичности химиотерапии</w:t>
      </w:r>
      <w:r w:rsidRPr="00673F99">
        <w:rPr>
          <w:szCs w:val="24"/>
        </w:rPr>
        <w:t xml:space="preserve"> </w:t>
      </w:r>
      <w:r>
        <w:rPr>
          <w:szCs w:val="24"/>
        </w:rPr>
        <w:fldChar w:fldCharType="begin" w:fldLock="1"/>
      </w:r>
      <w:r w:rsidR="005A6162">
        <w:rPr>
          <w:szCs w:val="24"/>
        </w:rPr>
        <w:instrText>ADDIN CSL_CITATION {"citationItems":[{"id":"ITEM-1","itemData":{"DOI":"10.1093/eurheartj/ehw211","ISSN":"15229645","PMID":"27567406","author":[{"dropping-particle":"","family":"Zamorano","given":"Jose Luis","non-dropping-particle":"","parse-names":false,"suffix":""},{"dropping-particle":"","family":"Lancellotti","given":"Patrizio","non-dropping-particle":"","parse-names":false,"suffix":""},{"dropping-particle":"","family":"Rodriguez Muñoz","given":"Daniel","non-dropping-particle":"","parse-names":false,"suffix":""},{"dropping-particle":"","family":"Aboyans","given":"Victor","non-dropping-particle":"","parse-names":false,"suffix":""},{"dropping-particle":"","family":"Asteggiano","given":"Riccardo","non-dropping-particle":"","parse-names":false,"suffix":""},{"dropping-particle":"","family":"Galderisi","given":"Maurizio","non-dropping-particle":"","parse-names":false,"suffix":""},{"dropping-particle":"","family":"Habib","given":"Gilbert","non-dropping-particle":"","parse-names":false,"suffix":""},{"dropping-particle":"","family":"Lenihan","given":"Daniel J.","non-dropping-particle":"","parse-names":false,"suffix":""},{"dropping-particle":"","family":"Lip","given":"Gregory Y.H.","non-dropping-particle":"","parse-names":false,"suffix":""},{"dropping-particle":"","family":"Lyon","given":"Alexander R.","non-dropping-particle":"","parse-names":false,"suffix":""},{"dropping-particle":"","family":"Lopez Fernandez","given":"Teresa","non-dropping-particle":"","parse-names":false,"suffix":""},{"dropping-particle":"","family":"Mohty","given":"Dania","non-dropping-particle":"","parse-names":false,"suffix":""},{"dropping-particle":"","family":"Piepoli","given":"Massimo F.","non-dropping-particle":"","parse-names":false,"suffix":""},{"dropping-particle":"","family":"Tamargo","given":"Juan","non-dropping-particle":"","parse-names":false,"suffix":""},{"dropping-particle":"","family":"Torbicki","given":"Adam","non-dropping-particle":"","parse-names":false,"suffix":""},{"dropping-particle":"","family":"Suter","given":"Thomas M.","non-dropping-particle":"","parse-names":false,"suffix":""},{"dropping-particle":"","family":"Achenbach","given":"Stephan","non-dropping-particle":"","parse-names":false,"suffix":""},{"dropping-particle":"","family":"Agewall","given":"Stefan","non-dropping-particle":"","parse-names":false,"suffix":""},{"dropping-particle":"","family":"Badimon","given":"Lina","non-dropping-particle":"","parse-names":false,"suffix":""},{"dropping-particle":"","family":"Barón-Esquivias","given":"Gonzalo","non-dropping-particle":"","parse-names":false,"suffix":""},{"dropping-particle":"","family":"Baumgartner","given":"Helmut","non-dropping-particle":"","parse-names":false,"suffix":""},{"dropping-particle":"","family":"Bax","given":"Jeroen J.","non-dropping-particle":"","parse-names":false,"suffix":""},{"dropping-particle":"","family":"Bueno","given":"Héctor","non-dropping-particle":"","parse-names":false,"suffix":""},{"dropping-particle":"","family":"Carerj","given":"Scipione","non-dropping-particle":"","parse-names":false,"suffix":""},{"dropping-particle":"","family":"Dean","given":"Veronica","non-dropping-particle":"","parse-names":false,"suffix":""},{"dropping-particle":"","family":"Erol","given":"Çetin","non-dropping-particle":"","parse-names":false,"suffix":""},{"dropping-particle":"","family":"Fitzsimons","given":"Donna","non-dropping-particle":"","parse-names":false,"suffix":""},{"dropping-particle":"","family":"Gaemperli","given":"Oliver","non-dropping-particle":"","parse-names":false,"suffix":""},{"dropping-particle":"","family":"Kirchhof","given":"Paulus","non-dropping-particle":"","parse-names":false,"suffix":""},{"dropping-particle":"","family":"Kolh","given":"Philippe","non-dropping-particle":"","parse-names":false,"suffix":""},{"dropping-particle":"","family":"Nihoyannopoulos","given":"Petros","non-dropping-particle":"","parse-names":false,"suffix":""},{"dropping-particle":"","family":"Ponikowski","given":"Piotr","non-dropping-particle":"","parse-names":false,"suffix":""},{"dropping-particle":"","family":"Roffi","given":"Marco","non-dropping-particle":"","parse-names":false,"suffix":""},{"dropping-particle":"","family":"Vaz Carneiro","given":"António","non-dropping-particle":"","parse-names":false,"suffix":""},{"dropping-particle":"","family":"Windecker","given":"Stephan","non-dropping-particle":"","parse-names":false,"suffix":""},{"dropping-particle":"","family":"Minotti","given":"Giorgio","non-dropping-particle":"","parse-names":false,"suffix":""},{"dropping-particle":"","family":"Cardinale","given":"Daniela","non-dropping-particle":"","parse-names":false,"suffix":""},{"dropping-particle":"","family":"Curigliano","given":"Giuseppe","non-dropping-particle":"","parse-names":false,"suffix":""},{"dropping-particle":"","family":"Azambuja","given":"Evandro","non-dropping-particle":"De","parse-names":false,"suffix":""},{"dropping-particle":"","family":"Dent","given":"Susan","non-dropping-particle":"","parse-names":false,"suffix":""},{"dropping-particle":"","family":"Ero","given":"Cetin","non-dropping-particle":"","parse-names":false,"suffix":""},{"dropping-particle":"","family":"Ewer","given":"Michael S.","non-dropping-particle":"","parse-names":false,"suffix":""},{"dropping-particle":"","family":"Farmakis","given":"Dimitrios","non-dropping-particle":"","parse-names":false,"suffix":""},{"dropping-particle":"","family":"Fietkau","given":"Rainer","non-dropping-particle":"","parse-names":false,"suffix":""},{"dropping-particle":"","family":"Kohl","given":"Philippe","non-dropping-particle":"","parse-names":false,"suffix":""},{"dropping-particle":"","family":"McGale","given":"Paul","non-dropping-particle":"","parse-names":false,"suffix":""},{"dropping-particle":"","family":"Ringwald","given":"Juergen","non-dropping-particle":"","parse-names":false,"suffix":""},{"dropping-particle":"","family":"Schulz-Menger","given":"Jeanette","non-dropping-particle":"","parse-names":false,"suffix":""},{"dropping-particle":"","family":"Stebbing","given":"Justin","non-dropping-particle":"","parse-names":false,"suffix":""},{"dropping-particle":"","family":"Steiner","given":"Rudolf K.","non-dropping-particle":"","parse-names":false,"suffix":""},{"dropping-particle":"","family":"Szmit","given":"Sebastian","non-dropping-particle":"","parse-names":false,"suffix":""}],"container-title":"European Heart Journal","id":"ITEM-1","issue":"36","issued":{"date-parts":[["2016","9","21"]]},"page":"2768-2801","publisher":"Oxford University Press","title":"2016 ESC Position Paper on cancer treatments and cardiovascular toxicity developed under the auspices of the ESC Committee for Practice Guidelines","type":"article","volume":"37"},"uris":["http://www.mendeley.com/documents/?uuid=b14e6a9e-39a8-33b0-ba1a-2593548d6d16"]}],"mendeley":{"formattedCitation":"[184]","plainTextFormattedCitation":"[184]","previouslyFormattedCitation":"[184]"},"properties":{"noteIndex":0},"schema":"https://github.com/citation-style-language/schema/raw/master/csl-citation.json"}</w:instrText>
      </w:r>
      <w:r>
        <w:rPr>
          <w:szCs w:val="24"/>
        </w:rPr>
        <w:fldChar w:fldCharType="separate"/>
      </w:r>
      <w:r w:rsidRPr="00B7783A">
        <w:rPr>
          <w:noProof/>
          <w:szCs w:val="24"/>
        </w:rPr>
        <w:t>[184]</w:t>
      </w:r>
      <w:r>
        <w:rPr>
          <w:szCs w:val="24"/>
        </w:rPr>
        <w:fldChar w:fldCharType="end"/>
      </w:r>
      <w:r w:rsidRPr="00DC46B0">
        <w:rPr>
          <w:szCs w:val="24"/>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0"/>
        <w:gridCol w:w="5070"/>
      </w:tblGrid>
      <w:tr w:rsidR="00B7783A" w:rsidRPr="00DC46B0" w14:paraId="0EE5E9B8" w14:textId="77777777" w:rsidTr="005A428D">
        <w:tc>
          <w:tcPr>
            <w:tcW w:w="4395" w:type="dxa"/>
            <w:shd w:val="clear" w:color="auto" w:fill="auto"/>
          </w:tcPr>
          <w:p w14:paraId="3DBC4687" w14:textId="77777777" w:rsidR="00B7783A" w:rsidRPr="00DC46B0" w:rsidRDefault="00B7783A" w:rsidP="005A428D">
            <w:pPr>
              <w:rPr>
                <w:szCs w:val="24"/>
              </w:rPr>
            </w:pPr>
            <w:r w:rsidRPr="00DC46B0">
              <w:rPr>
                <w:szCs w:val="24"/>
              </w:rPr>
              <w:t>Химиотерапевтические препараты</w:t>
            </w:r>
          </w:p>
        </w:tc>
        <w:tc>
          <w:tcPr>
            <w:tcW w:w="5209" w:type="dxa"/>
            <w:shd w:val="clear" w:color="auto" w:fill="auto"/>
          </w:tcPr>
          <w:p w14:paraId="7AEA705F" w14:textId="77777777" w:rsidR="00B7783A" w:rsidRPr="00DC46B0" w:rsidRDefault="00B7783A" w:rsidP="005A428D">
            <w:pPr>
              <w:rPr>
                <w:szCs w:val="24"/>
              </w:rPr>
            </w:pPr>
            <w:r w:rsidRPr="00DC46B0">
              <w:rPr>
                <w:szCs w:val="24"/>
              </w:rPr>
              <w:t>Возможные кардиопротективные мероприятия</w:t>
            </w:r>
          </w:p>
        </w:tc>
      </w:tr>
      <w:tr w:rsidR="00B7783A" w:rsidRPr="00DC46B0" w14:paraId="5AC8B4F4" w14:textId="77777777" w:rsidTr="005A428D">
        <w:tc>
          <w:tcPr>
            <w:tcW w:w="4395" w:type="dxa"/>
            <w:vMerge w:val="restart"/>
            <w:shd w:val="clear" w:color="auto" w:fill="auto"/>
          </w:tcPr>
          <w:p w14:paraId="2543FF67" w14:textId="77777777" w:rsidR="00B7783A" w:rsidRPr="00DC46B0" w:rsidRDefault="00B7783A" w:rsidP="005A428D">
            <w:pPr>
              <w:rPr>
                <w:szCs w:val="24"/>
              </w:rPr>
            </w:pPr>
            <w:r w:rsidRPr="00DC46B0">
              <w:rPr>
                <w:szCs w:val="24"/>
              </w:rPr>
              <w:t>Любой вариант химиотерапевтического лечения</w:t>
            </w:r>
          </w:p>
        </w:tc>
        <w:tc>
          <w:tcPr>
            <w:tcW w:w="5209" w:type="dxa"/>
            <w:shd w:val="clear" w:color="auto" w:fill="auto"/>
          </w:tcPr>
          <w:p w14:paraId="3CA9D7CD" w14:textId="77777777" w:rsidR="00B7783A" w:rsidRPr="00DC46B0" w:rsidRDefault="00B7783A" w:rsidP="005A428D">
            <w:pPr>
              <w:rPr>
                <w:szCs w:val="24"/>
              </w:rPr>
            </w:pPr>
            <w:r w:rsidRPr="00DC46B0">
              <w:rPr>
                <w:szCs w:val="24"/>
              </w:rPr>
              <w:t xml:space="preserve">Перед лечением выявить факторы риска сердечно-сосудистого заболевания и провести соответствующее лечение. </w:t>
            </w:r>
          </w:p>
        </w:tc>
      </w:tr>
      <w:tr w:rsidR="00B7783A" w:rsidRPr="00DC46B0" w14:paraId="4CD712D8" w14:textId="77777777" w:rsidTr="005A428D">
        <w:tc>
          <w:tcPr>
            <w:tcW w:w="4395" w:type="dxa"/>
            <w:vMerge/>
            <w:shd w:val="clear" w:color="auto" w:fill="auto"/>
          </w:tcPr>
          <w:p w14:paraId="60D2DA8B" w14:textId="77777777" w:rsidR="00B7783A" w:rsidRPr="00DC46B0" w:rsidRDefault="00B7783A" w:rsidP="005A428D">
            <w:pPr>
              <w:rPr>
                <w:szCs w:val="24"/>
              </w:rPr>
            </w:pPr>
          </w:p>
        </w:tc>
        <w:tc>
          <w:tcPr>
            <w:tcW w:w="5209" w:type="dxa"/>
            <w:shd w:val="clear" w:color="auto" w:fill="auto"/>
          </w:tcPr>
          <w:p w14:paraId="1416E189" w14:textId="77777777" w:rsidR="00B7783A" w:rsidRPr="00DC46B0" w:rsidRDefault="00B7783A" w:rsidP="005A428D">
            <w:pPr>
              <w:rPr>
                <w:szCs w:val="24"/>
              </w:rPr>
            </w:pPr>
            <w:r w:rsidRPr="00DC46B0">
              <w:rPr>
                <w:szCs w:val="24"/>
              </w:rPr>
              <w:t>Лечить коморбидные состояния (ИБС, ХСН, АГ, БПА).</w:t>
            </w:r>
          </w:p>
        </w:tc>
      </w:tr>
      <w:tr w:rsidR="00B7783A" w:rsidRPr="00DC46B0" w14:paraId="6B1184CF" w14:textId="77777777" w:rsidTr="005A428D">
        <w:tc>
          <w:tcPr>
            <w:tcW w:w="4395" w:type="dxa"/>
            <w:vMerge/>
            <w:shd w:val="clear" w:color="auto" w:fill="auto"/>
          </w:tcPr>
          <w:p w14:paraId="71FACCA5" w14:textId="77777777" w:rsidR="00B7783A" w:rsidRPr="00DC46B0" w:rsidRDefault="00B7783A" w:rsidP="005A428D">
            <w:pPr>
              <w:rPr>
                <w:szCs w:val="24"/>
              </w:rPr>
            </w:pPr>
          </w:p>
        </w:tc>
        <w:tc>
          <w:tcPr>
            <w:tcW w:w="5209" w:type="dxa"/>
            <w:shd w:val="clear" w:color="auto" w:fill="auto"/>
          </w:tcPr>
          <w:p w14:paraId="3D89D086" w14:textId="77777777" w:rsidR="00B7783A" w:rsidRPr="00DC46B0" w:rsidRDefault="00B7783A" w:rsidP="005A428D">
            <w:pPr>
              <w:rPr>
                <w:szCs w:val="24"/>
              </w:rPr>
            </w:pPr>
            <w:r w:rsidRPr="00DC46B0">
              <w:rPr>
                <w:szCs w:val="24"/>
              </w:rPr>
              <w:t xml:space="preserve">Удлинение </w:t>
            </w:r>
            <w:r w:rsidRPr="00DC46B0">
              <w:rPr>
                <w:szCs w:val="24"/>
                <w:lang w:val="en-US"/>
              </w:rPr>
              <w:t>QTc</w:t>
            </w:r>
            <w:r w:rsidRPr="00DC46B0">
              <w:rPr>
                <w:szCs w:val="24"/>
              </w:rPr>
              <w:t xml:space="preserve"> и тахикардия типа «пируэт»: избегать препаратов, удлиняющих интервал </w:t>
            </w:r>
            <w:r w:rsidRPr="00DC46B0">
              <w:rPr>
                <w:szCs w:val="24"/>
                <w:lang w:val="en-US"/>
              </w:rPr>
              <w:t>QT</w:t>
            </w:r>
            <w:r w:rsidRPr="00DC46B0">
              <w:rPr>
                <w:szCs w:val="24"/>
              </w:rPr>
              <w:t>, коррекция электролитного дисбаланса.</w:t>
            </w:r>
          </w:p>
        </w:tc>
      </w:tr>
      <w:tr w:rsidR="00B7783A" w:rsidRPr="00DC46B0" w14:paraId="310BACF9" w14:textId="77777777" w:rsidTr="005A428D">
        <w:tc>
          <w:tcPr>
            <w:tcW w:w="4395" w:type="dxa"/>
            <w:vMerge/>
            <w:shd w:val="clear" w:color="auto" w:fill="auto"/>
          </w:tcPr>
          <w:p w14:paraId="1A20FB21" w14:textId="77777777" w:rsidR="00B7783A" w:rsidRPr="00DC46B0" w:rsidRDefault="00B7783A" w:rsidP="005A428D">
            <w:pPr>
              <w:rPr>
                <w:szCs w:val="24"/>
              </w:rPr>
            </w:pPr>
          </w:p>
        </w:tc>
        <w:tc>
          <w:tcPr>
            <w:tcW w:w="5209" w:type="dxa"/>
            <w:shd w:val="clear" w:color="auto" w:fill="auto"/>
          </w:tcPr>
          <w:p w14:paraId="7E4ED343" w14:textId="77777777" w:rsidR="00B7783A" w:rsidRPr="00DC46B0" w:rsidRDefault="00B7783A" w:rsidP="005A428D">
            <w:pPr>
              <w:rPr>
                <w:szCs w:val="24"/>
              </w:rPr>
            </w:pPr>
            <w:r w:rsidRPr="00DC46B0">
              <w:rPr>
                <w:szCs w:val="24"/>
              </w:rPr>
              <w:t>Минимизировать лучевую нагрузку на сердце.</w:t>
            </w:r>
          </w:p>
        </w:tc>
      </w:tr>
      <w:tr w:rsidR="00B7783A" w:rsidRPr="00DC46B0" w14:paraId="7A824D05" w14:textId="77777777" w:rsidTr="005A428D">
        <w:tc>
          <w:tcPr>
            <w:tcW w:w="4395" w:type="dxa"/>
            <w:vMerge w:val="restart"/>
            <w:shd w:val="clear" w:color="auto" w:fill="auto"/>
          </w:tcPr>
          <w:p w14:paraId="27F79B35" w14:textId="77777777" w:rsidR="00B7783A" w:rsidRPr="00DC46B0" w:rsidRDefault="00B7783A" w:rsidP="005A428D">
            <w:pPr>
              <w:rPr>
                <w:szCs w:val="24"/>
              </w:rPr>
            </w:pPr>
            <w:r w:rsidRPr="00DC46B0">
              <w:rPr>
                <w:szCs w:val="24"/>
              </w:rPr>
              <w:t>Антрациклины и их аналоги</w:t>
            </w:r>
          </w:p>
        </w:tc>
        <w:tc>
          <w:tcPr>
            <w:tcW w:w="5209" w:type="dxa"/>
            <w:shd w:val="clear" w:color="auto" w:fill="auto"/>
          </w:tcPr>
          <w:p w14:paraId="610A166B" w14:textId="77777777" w:rsidR="00B7783A" w:rsidRPr="00DC46B0" w:rsidRDefault="00B7783A" w:rsidP="005A428D">
            <w:pPr>
              <w:rPr>
                <w:szCs w:val="24"/>
              </w:rPr>
            </w:pPr>
            <w:r w:rsidRPr="00DC46B0">
              <w:rPr>
                <w:szCs w:val="24"/>
              </w:rPr>
              <w:t>Ограничивать суммарную дозу (мг/м</w:t>
            </w:r>
            <w:r w:rsidRPr="00DC46B0">
              <w:rPr>
                <w:szCs w:val="24"/>
                <w:vertAlign w:val="superscript"/>
              </w:rPr>
              <w:t>2</w:t>
            </w:r>
            <w:r w:rsidRPr="00DC46B0">
              <w:rPr>
                <w:szCs w:val="24"/>
              </w:rPr>
              <w:t>):</w:t>
            </w:r>
          </w:p>
          <w:p w14:paraId="5B0B02BA" w14:textId="77777777" w:rsidR="00B7783A" w:rsidRPr="00DC46B0" w:rsidRDefault="00B7783A" w:rsidP="005A428D">
            <w:pPr>
              <w:rPr>
                <w:szCs w:val="24"/>
              </w:rPr>
            </w:pPr>
            <w:r w:rsidRPr="00DC46B0">
              <w:rPr>
                <w:szCs w:val="24"/>
              </w:rPr>
              <w:t>Даунорубицин &lt; 800</w:t>
            </w:r>
          </w:p>
          <w:p w14:paraId="50747D13" w14:textId="77777777" w:rsidR="00B7783A" w:rsidRPr="00DC46B0" w:rsidRDefault="00B7783A" w:rsidP="005A428D">
            <w:pPr>
              <w:rPr>
                <w:szCs w:val="24"/>
              </w:rPr>
            </w:pPr>
            <w:r w:rsidRPr="00DC46B0">
              <w:rPr>
                <w:szCs w:val="24"/>
              </w:rPr>
              <w:t>Доксорубицин &lt; 360</w:t>
            </w:r>
          </w:p>
          <w:p w14:paraId="1FEF2423" w14:textId="77777777" w:rsidR="00B7783A" w:rsidRPr="00DC46B0" w:rsidRDefault="00B7783A" w:rsidP="005A428D">
            <w:pPr>
              <w:rPr>
                <w:szCs w:val="24"/>
              </w:rPr>
            </w:pPr>
            <w:r w:rsidRPr="00DC46B0">
              <w:rPr>
                <w:szCs w:val="24"/>
              </w:rPr>
              <w:t>Эпирубицин &lt; 720</w:t>
            </w:r>
          </w:p>
          <w:p w14:paraId="344A0B36" w14:textId="77777777" w:rsidR="00B7783A" w:rsidRPr="00DC46B0" w:rsidRDefault="00B7783A" w:rsidP="005A428D">
            <w:pPr>
              <w:rPr>
                <w:szCs w:val="24"/>
              </w:rPr>
            </w:pPr>
            <w:r w:rsidRPr="00DC46B0">
              <w:rPr>
                <w:szCs w:val="24"/>
              </w:rPr>
              <w:t>Митоксантрон &lt; 160</w:t>
            </w:r>
          </w:p>
          <w:p w14:paraId="179CEED0" w14:textId="77777777" w:rsidR="00B7783A" w:rsidRPr="00DC46B0" w:rsidRDefault="00B7783A" w:rsidP="005A428D">
            <w:pPr>
              <w:rPr>
                <w:szCs w:val="24"/>
              </w:rPr>
            </w:pPr>
            <w:r w:rsidRPr="00DC46B0">
              <w:rPr>
                <w:szCs w:val="24"/>
              </w:rPr>
              <w:t>Идарубицин &lt;150</w:t>
            </w:r>
          </w:p>
        </w:tc>
      </w:tr>
      <w:tr w:rsidR="00B7783A" w:rsidRPr="00DC46B0" w14:paraId="3B840F0C" w14:textId="77777777" w:rsidTr="005A428D">
        <w:tc>
          <w:tcPr>
            <w:tcW w:w="4395" w:type="dxa"/>
            <w:vMerge/>
            <w:shd w:val="clear" w:color="auto" w:fill="auto"/>
          </w:tcPr>
          <w:p w14:paraId="73D1A024" w14:textId="77777777" w:rsidR="00B7783A" w:rsidRPr="00DC46B0" w:rsidRDefault="00B7783A" w:rsidP="005A428D">
            <w:pPr>
              <w:rPr>
                <w:szCs w:val="24"/>
              </w:rPr>
            </w:pPr>
          </w:p>
        </w:tc>
        <w:tc>
          <w:tcPr>
            <w:tcW w:w="5209" w:type="dxa"/>
            <w:shd w:val="clear" w:color="auto" w:fill="auto"/>
          </w:tcPr>
          <w:p w14:paraId="4BF97180" w14:textId="77777777" w:rsidR="00B7783A" w:rsidRPr="00DC46B0" w:rsidRDefault="00B7783A" w:rsidP="005A428D">
            <w:pPr>
              <w:rPr>
                <w:szCs w:val="24"/>
              </w:rPr>
            </w:pPr>
            <w:r w:rsidRPr="00DC46B0">
              <w:rPr>
                <w:szCs w:val="24"/>
              </w:rPr>
              <w:t>Применить липосомальный доксорубцин или длительную инфузию.</w:t>
            </w:r>
          </w:p>
        </w:tc>
      </w:tr>
      <w:tr w:rsidR="00B7783A" w:rsidRPr="00DC46B0" w14:paraId="46184D44" w14:textId="77777777" w:rsidTr="005A428D">
        <w:tc>
          <w:tcPr>
            <w:tcW w:w="4395" w:type="dxa"/>
            <w:vMerge/>
            <w:shd w:val="clear" w:color="auto" w:fill="auto"/>
          </w:tcPr>
          <w:p w14:paraId="54420724" w14:textId="77777777" w:rsidR="00B7783A" w:rsidRPr="00DC46B0" w:rsidRDefault="00B7783A" w:rsidP="005A428D">
            <w:pPr>
              <w:rPr>
                <w:szCs w:val="24"/>
              </w:rPr>
            </w:pPr>
          </w:p>
        </w:tc>
        <w:tc>
          <w:tcPr>
            <w:tcW w:w="5209" w:type="dxa"/>
            <w:shd w:val="clear" w:color="auto" w:fill="auto"/>
          </w:tcPr>
          <w:p w14:paraId="0418CA5F" w14:textId="77777777" w:rsidR="00B7783A" w:rsidRPr="00DC46B0" w:rsidRDefault="00B7783A" w:rsidP="005A428D">
            <w:pPr>
              <w:rPr>
                <w:szCs w:val="24"/>
              </w:rPr>
            </w:pPr>
            <w:r w:rsidRPr="00DC46B0">
              <w:rPr>
                <w:szCs w:val="24"/>
              </w:rPr>
              <w:t xml:space="preserve">Назначить ингибитор АПФ или АРА </w:t>
            </w:r>
          </w:p>
        </w:tc>
      </w:tr>
      <w:tr w:rsidR="00B7783A" w:rsidRPr="00DC46B0" w14:paraId="5473C0C4" w14:textId="77777777" w:rsidTr="005A428D">
        <w:tc>
          <w:tcPr>
            <w:tcW w:w="4395" w:type="dxa"/>
            <w:vMerge/>
            <w:shd w:val="clear" w:color="auto" w:fill="auto"/>
          </w:tcPr>
          <w:p w14:paraId="2D5910BB" w14:textId="77777777" w:rsidR="00B7783A" w:rsidRPr="00DC46B0" w:rsidRDefault="00B7783A" w:rsidP="005A428D">
            <w:pPr>
              <w:rPr>
                <w:szCs w:val="24"/>
              </w:rPr>
            </w:pPr>
          </w:p>
        </w:tc>
        <w:tc>
          <w:tcPr>
            <w:tcW w:w="5209" w:type="dxa"/>
            <w:shd w:val="clear" w:color="auto" w:fill="auto"/>
          </w:tcPr>
          <w:p w14:paraId="4CE3A668" w14:textId="77777777" w:rsidR="00B7783A" w:rsidRPr="00DC46B0" w:rsidRDefault="00B7783A" w:rsidP="005A428D">
            <w:pPr>
              <w:rPr>
                <w:szCs w:val="24"/>
              </w:rPr>
            </w:pPr>
            <w:r w:rsidRPr="00DC46B0">
              <w:rPr>
                <w:szCs w:val="24"/>
              </w:rPr>
              <w:t xml:space="preserve">Назначить блокатор бета-адренергических рецепторов </w:t>
            </w:r>
          </w:p>
        </w:tc>
      </w:tr>
      <w:tr w:rsidR="00B7783A" w:rsidRPr="00DC46B0" w14:paraId="3126504C" w14:textId="77777777" w:rsidTr="005A428D">
        <w:tc>
          <w:tcPr>
            <w:tcW w:w="4395" w:type="dxa"/>
            <w:vMerge/>
            <w:shd w:val="clear" w:color="auto" w:fill="auto"/>
          </w:tcPr>
          <w:p w14:paraId="77B70900" w14:textId="77777777" w:rsidR="00B7783A" w:rsidRPr="00DC46B0" w:rsidRDefault="00B7783A" w:rsidP="005A428D">
            <w:pPr>
              <w:rPr>
                <w:szCs w:val="24"/>
              </w:rPr>
            </w:pPr>
          </w:p>
        </w:tc>
        <w:tc>
          <w:tcPr>
            <w:tcW w:w="5209" w:type="dxa"/>
            <w:shd w:val="clear" w:color="auto" w:fill="auto"/>
          </w:tcPr>
          <w:p w14:paraId="43E1311F" w14:textId="77777777" w:rsidR="00B7783A" w:rsidRPr="00DC46B0" w:rsidRDefault="00B7783A" w:rsidP="005A428D">
            <w:pPr>
              <w:rPr>
                <w:szCs w:val="24"/>
              </w:rPr>
            </w:pPr>
            <w:r w:rsidRPr="00DC46B0">
              <w:rPr>
                <w:szCs w:val="24"/>
              </w:rPr>
              <w:t>Назначить статины</w:t>
            </w:r>
          </w:p>
        </w:tc>
      </w:tr>
      <w:tr w:rsidR="00B7783A" w:rsidRPr="00DC46B0" w14:paraId="61809376" w14:textId="77777777" w:rsidTr="005A428D">
        <w:tc>
          <w:tcPr>
            <w:tcW w:w="4395" w:type="dxa"/>
            <w:vMerge/>
            <w:shd w:val="clear" w:color="auto" w:fill="auto"/>
          </w:tcPr>
          <w:p w14:paraId="25E34BE0" w14:textId="77777777" w:rsidR="00B7783A" w:rsidRPr="00DC46B0" w:rsidRDefault="00B7783A" w:rsidP="005A428D">
            <w:pPr>
              <w:rPr>
                <w:szCs w:val="24"/>
              </w:rPr>
            </w:pPr>
          </w:p>
        </w:tc>
        <w:tc>
          <w:tcPr>
            <w:tcW w:w="5209" w:type="dxa"/>
            <w:shd w:val="clear" w:color="auto" w:fill="auto"/>
          </w:tcPr>
          <w:p w14:paraId="1BE2A92B" w14:textId="77777777" w:rsidR="00B7783A" w:rsidRPr="00DC46B0" w:rsidRDefault="00B7783A" w:rsidP="005A428D">
            <w:pPr>
              <w:rPr>
                <w:szCs w:val="24"/>
              </w:rPr>
            </w:pPr>
            <w:r w:rsidRPr="00DC46B0">
              <w:rPr>
                <w:szCs w:val="24"/>
              </w:rPr>
              <w:t>Осторожно ввести аэробные упражнения.</w:t>
            </w:r>
          </w:p>
        </w:tc>
      </w:tr>
    </w:tbl>
    <w:p w14:paraId="1CA60297" w14:textId="77777777" w:rsidR="00B7783A" w:rsidRPr="00DC46B0" w:rsidRDefault="00B7783A" w:rsidP="00B7783A">
      <w:pPr>
        <w:rPr>
          <w:szCs w:val="24"/>
        </w:rPr>
      </w:pPr>
    </w:p>
    <w:p w14:paraId="27BE23D6" w14:textId="22704009" w:rsidR="00B7783A" w:rsidRPr="00DC46B0" w:rsidRDefault="00B7783A" w:rsidP="00B7783A">
      <w:pPr>
        <w:ind w:firstLine="709"/>
        <w:rPr>
          <w:szCs w:val="24"/>
        </w:rPr>
      </w:pPr>
      <w:r w:rsidRPr="00DC46B0">
        <w:rPr>
          <w:szCs w:val="24"/>
        </w:rPr>
        <w:t>Вероятность развития кардиотоксичности особенно высока у пациентов, получающие лечение анрациклин-содержащими режимами. Для оценки возможности снижения кардиотоксических эффектов необходимо учитывать факторы риска развития антрациклиновой кардиотоксичности</w:t>
      </w:r>
      <w:r>
        <w:rPr>
          <w:szCs w:val="24"/>
        </w:rPr>
        <w:t xml:space="preserve"> </w:t>
      </w:r>
      <w:r>
        <w:rPr>
          <w:szCs w:val="24"/>
        </w:rPr>
        <w:fldChar w:fldCharType="begin" w:fldLock="1"/>
      </w:r>
      <w:r w:rsidR="005A6162">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[182]","plainTextFormattedCitation":"[182]","previouslyFormattedCitation":"[182]"},"properties":{"noteIndex":0},"schema":"https://github.com/citation-style-language/schema/raw/master/csl-citation.json"}</w:instrText>
      </w:r>
      <w:r>
        <w:rPr>
          <w:szCs w:val="24"/>
        </w:rPr>
        <w:fldChar w:fldCharType="separate"/>
      </w:r>
      <w:r w:rsidRPr="00B7783A">
        <w:rPr>
          <w:noProof/>
          <w:szCs w:val="24"/>
        </w:rPr>
        <w:t>[182]</w:t>
      </w:r>
      <w:r>
        <w:rPr>
          <w:szCs w:val="24"/>
        </w:rPr>
        <w:fldChar w:fldCharType="end"/>
      </w:r>
      <w:r w:rsidRPr="00DC46B0">
        <w:rPr>
          <w:szCs w:val="24"/>
        </w:rPr>
        <w:t xml:space="preserve">: </w:t>
      </w:r>
    </w:p>
    <w:p w14:paraId="44719F6F" w14:textId="77777777" w:rsidR="00B7783A" w:rsidRPr="004F07FC" w:rsidRDefault="00B7783A" w:rsidP="0091350E">
      <w:pPr>
        <w:pStyle w:val="aff"/>
        <w:numPr>
          <w:ilvl w:val="0"/>
          <w:numId w:val="109"/>
        </w:numPr>
        <w:contextualSpacing/>
        <w:rPr>
          <w:szCs w:val="24"/>
        </w:rPr>
      </w:pPr>
      <w:r w:rsidRPr="004F07FC">
        <w:rPr>
          <w:szCs w:val="24"/>
        </w:rPr>
        <w:t>суммарная доза (для доксорубицина доза, превышающая 500 - 550 мг/м</w:t>
      </w:r>
      <w:r w:rsidRPr="004F07FC">
        <w:rPr>
          <w:szCs w:val="24"/>
          <w:vertAlign w:val="superscript"/>
        </w:rPr>
        <w:t>2</w:t>
      </w:r>
      <w:r w:rsidRPr="004F07FC">
        <w:rPr>
          <w:szCs w:val="24"/>
        </w:rPr>
        <w:t>)</w:t>
      </w:r>
    </w:p>
    <w:p w14:paraId="55FE453B" w14:textId="77777777" w:rsidR="00B7783A" w:rsidRPr="004F07FC" w:rsidRDefault="00B7783A" w:rsidP="0091350E">
      <w:pPr>
        <w:pStyle w:val="aff"/>
        <w:numPr>
          <w:ilvl w:val="0"/>
          <w:numId w:val="109"/>
        </w:numPr>
        <w:contextualSpacing/>
        <w:rPr>
          <w:szCs w:val="24"/>
        </w:rPr>
      </w:pPr>
      <w:r w:rsidRPr="004F07FC">
        <w:rPr>
          <w:szCs w:val="24"/>
        </w:rPr>
        <w:t>общая доза, введенная за день или курс химиотерапии</w:t>
      </w:r>
    </w:p>
    <w:p w14:paraId="16B2D575" w14:textId="77777777" w:rsidR="00B7783A" w:rsidRPr="004F07FC" w:rsidRDefault="00B7783A" w:rsidP="0091350E">
      <w:pPr>
        <w:pStyle w:val="aff"/>
        <w:numPr>
          <w:ilvl w:val="0"/>
          <w:numId w:val="109"/>
        </w:numPr>
        <w:contextualSpacing/>
        <w:rPr>
          <w:szCs w:val="24"/>
        </w:rPr>
      </w:pPr>
      <w:r w:rsidRPr="004F07FC">
        <w:rPr>
          <w:szCs w:val="24"/>
        </w:rPr>
        <w:t xml:space="preserve">скорость и порядок введения препаратов </w:t>
      </w:r>
    </w:p>
    <w:p w14:paraId="65B3A7FE" w14:textId="77777777" w:rsidR="00B7783A" w:rsidRPr="004F07FC" w:rsidRDefault="00B7783A" w:rsidP="0091350E">
      <w:pPr>
        <w:pStyle w:val="aff"/>
        <w:numPr>
          <w:ilvl w:val="0"/>
          <w:numId w:val="109"/>
        </w:numPr>
        <w:contextualSpacing/>
        <w:rPr>
          <w:szCs w:val="24"/>
        </w:rPr>
      </w:pPr>
      <w:r w:rsidRPr="004F07FC">
        <w:rPr>
          <w:szCs w:val="24"/>
        </w:rPr>
        <w:t>облучение средостения в анамнезе</w:t>
      </w:r>
    </w:p>
    <w:p w14:paraId="3840A7D8" w14:textId="77777777" w:rsidR="00B7783A" w:rsidRPr="004F07FC" w:rsidRDefault="00B7783A" w:rsidP="0091350E">
      <w:pPr>
        <w:pStyle w:val="aff"/>
        <w:numPr>
          <w:ilvl w:val="0"/>
          <w:numId w:val="109"/>
        </w:numPr>
        <w:contextualSpacing/>
        <w:rPr>
          <w:szCs w:val="24"/>
        </w:rPr>
      </w:pPr>
      <w:r w:rsidRPr="004F07FC">
        <w:rPr>
          <w:szCs w:val="24"/>
        </w:rPr>
        <w:t>возраст (младше 15 и старше 65 лет)</w:t>
      </w:r>
    </w:p>
    <w:p w14:paraId="2373EAE1" w14:textId="77777777" w:rsidR="00B7783A" w:rsidRPr="004F07FC" w:rsidRDefault="00B7783A" w:rsidP="0091350E">
      <w:pPr>
        <w:pStyle w:val="aff"/>
        <w:numPr>
          <w:ilvl w:val="0"/>
          <w:numId w:val="109"/>
        </w:numPr>
        <w:contextualSpacing/>
        <w:rPr>
          <w:szCs w:val="24"/>
        </w:rPr>
      </w:pPr>
      <w:r w:rsidRPr="004F07FC">
        <w:rPr>
          <w:szCs w:val="24"/>
        </w:rPr>
        <w:t>женский пол</w:t>
      </w:r>
    </w:p>
    <w:p w14:paraId="3106724F" w14:textId="77777777" w:rsidR="00B7783A" w:rsidRPr="004F07FC" w:rsidRDefault="00B7783A" w:rsidP="0091350E">
      <w:pPr>
        <w:pStyle w:val="aff"/>
        <w:numPr>
          <w:ilvl w:val="0"/>
          <w:numId w:val="109"/>
        </w:numPr>
        <w:contextualSpacing/>
        <w:rPr>
          <w:szCs w:val="24"/>
        </w:rPr>
      </w:pPr>
      <w:r w:rsidRPr="004F07FC">
        <w:rPr>
          <w:szCs w:val="24"/>
        </w:rPr>
        <w:t>одновременное введение нескольких противоопухолевых средств (антрациклино-вые антибиотики, циклофосфан, блеомицин, этопозид, цисплатин, винкристин, актиномицин, метотрексат)</w:t>
      </w:r>
    </w:p>
    <w:p w14:paraId="5F5C1FDB" w14:textId="77777777" w:rsidR="00B7783A" w:rsidRPr="004F07FC" w:rsidRDefault="00B7783A" w:rsidP="0091350E">
      <w:pPr>
        <w:pStyle w:val="aff"/>
        <w:numPr>
          <w:ilvl w:val="0"/>
          <w:numId w:val="109"/>
        </w:numPr>
        <w:contextualSpacing/>
        <w:rPr>
          <w:szCs w:val="24"/>
        </w:rPr>
      </w:pPr>
      <w:r w:rsidRPr="004F07FC">
        <w:rPr>
          <w:szCs w:val="24"/>
        </w:rPr>
        <w:t>предшествующая терапия антрациклинами</w:t>
      </w:r>
    </w:p>
    <w:p w14:paraId="6C3F089F" w14:textId="77777777" w:rsidR="00B7783A" w:rsidRPr="004F07FC" w:rsidRDefault="00B7783A" w:rsidP="0091350E">
      <w:pPr>
        <w:pStyle w:val="aff"/>
        <w:numPr>
          <w:ilvl w:val="0"/>
          <w:numId w:val="109"/>
        </w:numPr>
        <w:contextualSpacing/>
        <w:rPr>
          <w:szCs w:val="24"/>
        </w:rPr>
      </w:pPr>
      <w:r w:rsidRPr="004F07FC">
        <w:rPr>
          <w:szCs w:val="24"/>
        </w:rPr>
        <w:t xml:space="preserve">сопутствующие заболевания сердечно-сосудистой системы </w:t>
      </w:r>
    </w:p>
    <w:p w14:paraId="493AA376" w14:textId="77777777" w:rsidR="00B7783A" w:rsidRPr="004F07FC" w:rsidRDefault="00B7783A" w:rsidP="0091350E">
      <w:pPr>
        <w:pStyle w:val="aff"/>
        <w:numPr>
          <w:ilvl w:val="0"/>
          <w:numId w:val="109"/>
        </w:numPr>
        <w:contextualSpacing/>
        <w:rPr>
          <w:szCs w:val="24"/>
        </w:rPr>
      </w:pPr>
      <w:r w:rsidRPr="004F07FC">
        <w:rPr>
          <w:szCs w:val="24"/>
        </w:rPr>
        <w:t>дисбаланс электролитов (гипокалиемия, гипомагниемия).</w:t>
      </w:r>
    </w:p>
    <w:p w14:paraId="699DCEB1" w14:textId="77777777" w:rsidR="00B7783A" w:rsidRPr="00DC46B0" w:rsidRDefault="00B7783A" w:rsidP="00B7783A">
      <w:pPr>
        <w:rPr>
          <w:szCs w:val="24"/>
        </w:rPr>
      </w:pPr>
    </w:p>
    <w:p w14:paraId="660F3A8F" w14:textId="7C480A9B" w:rsidR="00B7783A" w:rsidRPr="00DC46B0" w:rsidRDefault="00B7783A" w:rsidP="00B7783A">
      <w:pPr>
        <w:ind w:firstLine="709"/>
        <w:rPr>
          <w:szCs w:val="24"/>
        </w:rPr>
      </w:pPr>
      <w:r w:rsidRPr="00DC46B0">
        <w:rPr>
          <w:szCs w:val="24"/>
        </w:rPr>
        <w:t>Основные лекарственные средства профилактики кардиотоксичности – назначаемые совместно эналаприл, карведилол и низкие дозы статинов</w:t>
      </w:r>
      <w:r>
        <w:rPr>
          <w:szCs w:val="24"/>
        </w:rPr>
        <w:t xml:space="preserve"> </w:t>
      </w:r>
      <w:r>
        <w:rPr>
          <w:szCs w:val="24"/>
        </w:rPr>
        <w:fldChar w:fldCharType="begin" w:fldLock="1"/>
      </w:r>
      <w:r w:rsidR="005A6162">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[182]","plainTextFormattedCitation":"[182]","previouslyFormattedCitation":"[182]"},"properties":{"noteIndex":0},"schema":"https://github.com/citation-style-language/schema/raw/master/csl-citation.json"}</w:instrText>
      </w:r>
      <w:r>
        <w:rPr>
          <w:szCs w:val="24"/>
        </w:rPr>
        <w:fldChar w:fldCharType="separate"/>
      </w:r>
      <w:r w:rsidRPr="00B7783A">
        <w:rPr>
          <w:noProof/>
          <w:szCs w:val="24"/>
        </w:rPr>
        <w:t>[182]</w:t>
      </w:r>
      <w:r>
        <w:rPr>
          <w:szCs w:val="24"/>
        </w:rPr>
        <w:fldChar w:fldCharType="end"/>
      </w:r>
      <w:r w:rsidRPr="00DC46B0">
        <w:rPr>
          <w:szCs w:val="24"/>
        </w:rPr>
        <w:t>. Карведилол, вероятно, обладает наибольшими защитными свойствами из-за его антиоксидантной активности, способности блокировать апоптозные сигнальные пути, предполагаемой способности восстанавливать работу Ca2+-АТФ-азы и блокировать приток кальция в кардиомиоциты.</w:t>
      </w:r>
    </w:p>
    <w:p w14:paraId="71466D1E" w14:textId="77777777" w:rsidR="00B7783A" w:rsidRPr="00DC46B0" w:rsidRDefault="00B7783A" w:rsidP="00B7783A">
      <w:pPr>
        <w:ind w:firstLine="709"/>
        <w:rPr>
          <w:szCs w:val="24"/>
        </w:rPr>
      </w:pPr>
      <w:r w:rsidRPr="00DC46B0">
        <w:rPr>
          <w:szCs w:val="24"/>
        </w:rPr>
        <w:t>Подход к профилактике кардиотоксичности пациентов, получающих лечение по поводу онкогематологического заболевания, представлен в таб.</w:t>
      </w:r>
      <w:r>
        <w:rPr>
          <w:szCs w:val="24"/>
        </w:rPr>
        <w:t xml:space="preserve"> </w:t>
      </w:r>
      <w:r w:rsidRPr="00DC46B0">
        <w:rPr>
          <w:szCs w:val="24"/>
        </w:rPr>
        <w:t xml:space="preserve">2.    </w:t>
      </w:r>
    </w:p>
    <w:p w14:paraId="35D50AB1" w14:textId="77777777" w:rsidR="00B7783A" w:rsidRDefault="00B7783A" w:rsidP="00B7783A">
      <w:pPr>
        <w:rPr>
          <w:b/>
          <w:szCs w:val="24"/>
        </w:rPr>
      </w:pPr>
    </w:p>
    <w:p w14:paraId="4907E644" w14:textId="17651D65" w:rsidR="00B7783A" w:rsidRPr="004F07FC" w:rsidRDefault="00B7783A" w:rsidP="00B7783A">
      <w:pPr>
        <w:rPr>
          <w:szCs w:val="24"/>
          <w:lang w:val="en-US"/>
        </w:rPr>
      </w:pPr>
      <w:r w:rsidRPr="004F07FC">
        <w:rPr>
          <w:szCs w:val="24"/>
        </w:rPr>
        <w:t xml:space="preserve">Таблица 2. </w:t>
      </w:r>
      <w:r w:rsidRPr="004F07FC">
        <w:rPr>
          <w:bCs/>
          <w:szCs w:val="24"/>
        </w:rPr>
        <w:t xml:space="preserve">Оценка риска кардиотоксичности при лечении опухолей </w:t>
      </w:r>
      <w:r>
        <w:rPr>
          <w:bCs/>
          <w:szCs w:val="24"/>
        </w:rPr>
        <w:fldChar w:fldCharType="begin" w:fldLock="1"/>
      </w:r>
      <w:r w:rsidR="005A6162">
        <w:rPr>
          <w:bCs/>
          <w:szCs w:val="24"/>
        </w:rPr>
        <w:instrText>ADDIN CSL_CITATION {"citationItems":[{"id":"ITEM-1","itemData":{"DOI":"10.1093/eurheartj/ehw211","ISSN":"15229645","PMID":"27567406","author":[{"dropping-particle":"","family":"Zamorano","given":"Jose Luis","non-dropping-particle":"","parse-names":false,"suffix":""},{"dropping-particle":"","family":"Lancellotti","given":"Patrizio","non-dropping-particle":"","parse-names":false,"suffix":""},{"dropping-particle":"","family":"Rodriguez Muñoz","given":"Daniel","non-dropping-particle":"","parse-names":false,"suffix":""},{"dropping-particle":"","family":"Aboyans","given":"Victor","non-dropping-particle":"","parse-names":false,"suffix":""},{"dropping-particle":"","family":"Asteggiano","given":"Riccardo","non-dropping-particle":"","parse-names":false,"suffix":""},{"dropping-particle":"","family":"Galderisi","given":"Maurizio","non-dropping-particle":"","parse-names":false,"suffix":""},{"dropping-particle":"","family":"Habib","given":"Gilbert","non-dropping-particle":"","parse-names":false,"suffix":""},{"dropping-particle":"","family":"Lenihan","given":"Daniel J.","non-dropping-particle":"","parse-names":false,"suffix":""},{"dropping-particle":"","family":"Lip","given":"Gregory Y.H.","non-dropping-particle":"","parse-names":false,"suffix":""},{"dropping-particle":"","family":"Lyon","given":"Alexander R.","non-dropping-particle":"","parse-names":false,"suffix":""},{"dropping-particle":"","family":"Lopez Fernandez","given":"Teresa","non-dropping-particle":"","parse-names":false,"suffix":""},{"dropping-particle":"","family":"Mohty","given":"Dania","non-dropping-particle":"","parse-names":false,"suffix":""},{"dropping-particle":"","family":"Piepoli","given":"Massimo F.","non-dropping-particle":"","parse-names":false,"suffix":""},{"dropping-particle":"","family":"Tamargo","given":"Juan","non-dropping-particle":"","parse-names":false,"suffix":""},{"dropping-particle":"","family":"Torbicki","given":"Adam","non-dropping-particle":"","parse-names":false,"suffix":""},{"dropping-particle":"","family":"Suter","given":"Thomas M.","non-dropping-particle":"","parse-names":false,"suffix":""},{"dropping-particle":"","family":"Achenbach","given":"Stephan","non-dropping-particle":"","parse-names":false,"suffix":""},{"dropping-particle":"","family":"Agewall","given":"Stefan","non-dropping-particle":"","parse-names":false,"suffix":""},{"dropping-particle":"","family":"Badimon","given":"Lina","non-dropping-particle":"","parse-names":false,"suffix":""},{"dropping-particle":"","family":"Barón-Esquivias","given":"Gonzalo","non-dropping-particle":"","parse-names":false,"suffix":""},{"dropping-particle":"","family":"Baumgartner","given":"Helmut","non-dropping-particle":"","parse-names":false,"suffix":""},{"dropping-particle":"","family":"Bax","given":"Jeroen J.","non-dropping-particle":"","parse-names":false,"suffix":""},{"dropping-particle":"","family":"Bueno","given":"Héctor","non-dropping-particle":"","parse-names":false,"suffix":""},{"dropping-particle":"","family":"Carerj","given":"Scipione","non-dropping-particle":"","parse-names":false,"suffix":""},{"dropping-particle":"","family":"Dean","given":"Veronica","non-dropping-particle":"","parse-names":false,"suffix":""},{"dropping-particle":"","family":"Erol","given":"Çetin","non-dropping-particle":"","parse-names":false,"suffix":""},{"dropping-particle":"","family":"Fitzsimons","given":"Donna","non-dropping-particle":"","parse-names":false,"suffix":""},{"dropping-particle":"","family":"Gaemperli","given":"Oliver","non-dropping-particle":"","parse-names":false,"suffix":""},{"dropping-particle":"","family":"Kirchhof","given":"Paulus","non-dropping-particle":"","parse-names":false,"suffix":""},{"dropping-particle":"","family":"Kolh","given":"Philippe","non-dropping-particle":"","parse-names":false,"suffix":""},{"dropping-particle":"","family":"Nihoyannopoulos","given":"Petros","non-dropping-particle":"","parse-names":false,"suffix":""},{"dropping-particle":"","family":"Ponikowski","given":"Piotr","non-dropping-particle":"","parse-names":false,"suffix":""},{"dropping-particle":"","family":"Roffi","given":"Marco","non-dropping-particle":"","parse-names":false,"suffix":""},{"dropping-particle":"","family":"Vaz Carneiro","given":"António","non-dropping-particle":"","parse-names":false,"suffix":""},{"dropping-particle":"","family":"Windecker","given":"Stephan","non-dropping-particle":"","parse-names":false,"suffix":""},{"dropping-particle":"","family":"Minotti","given":"Giorgio","non-dropping-particle":"","parse-names":false,"suffix":""},{"dropping-particle":"","family":"Cardinale","given":"Daniela","non-dropping-particle":"","parse-names":false,"suffix":""},{"dropping-particle":"","family":"Curigliano","given":"Giuseppe","non-dropping-particle":"","parse-names":false,"suffix":""},{"dropping-particle":"","family":"Azambuja","given":"Evandro","non-dropping-particle":"De","parse-names":false,"suffix":""},{"dropping-particle":"","family":"Dent","given":"Susan","non-dropping-particle":"","parse-names":false,"suffix":""},{"dropping-particle":"","family":"Ero","given":"Cetin","non-dropping-particle":"","parse-names":false,"suffix":""},{"dropping-particle":"","family":"Ewer","given":"Michael S.","non-dropping-particle":"","parse-names":false,"suffix":""},{"dropping-particle":"","family":"Farmakis","given":"Dimitrios","non-dropping-particle":"","parse-names":false,"suffix":""},{"dropping-particle":"","family":"Fietkau","given":"Rainer","non-dropping-particle":"","parse-names":false,"suffix":""},{"dropping-particle":"","family":"Kohl","given":"Philippe","non-dropping-particle":"","parse-names":false,"suffix":""},{"dropping-particle":"","family":"McGale","given":"Paul","non-dropping-particle":"","parse-names":false,"suffix":""},{"dropping-particle":"","family":"Ringwald","given":"Juergen","non-dropping-particle":"","parse-names":false,"suffix":""},{"dropping-particle":"","family":"Schulz-Menger","given":"Jeanette","non-dropping-particle":"","parse-names":false,"suffix":""},{"dropping-particle":"","family":"Stebbing","given":"Justin","non-dropping-particle":"","parse-names":false,"suffix":""},{"dropping-particle":"","family":"Steiner","given":"Rudolf K.","non-dropping-particle":"","parse-names":false,"suffix":""},{"dropping-particle":"","family":"Szmit","given":"Sebastian","non-dropping-particle":"","parse-names":false,"suffix":""}],"container-title":"European Heart Journal","id":"ITEM-1","issue":"36","issued":{"date-parts":[["2016","9","21"]]},"page":"2768-2801","publisher":"Oxford University Press","title":"2016 ESC Position Paper on cancer treatments and cardiovascular toxicity developed under the auspices of the ESC Committee for Practice Guidelines","type":"article","volume":"37"},"uris":["http://www.mendeley.com/documents/?uuid=b14e6a9e-39a8-33b0-ba1a-2593548d6d16"]},{"id":"ITEM-2","itemData":{"DOI":"10.1530/ERP-17-0013","ISSN":"20550464","abstract":"Cardio-oncology is a rapidly growing feld aimed at minimizing the effects of cardiovascular morbidity and mortality in cancer survivors. To meet this aim, patients are assessed at baseline to define their risk of cardiotoxicity and then followed closely during and after chemotherapy to assess for early signs or symptoms of cardiovascular disease. Cardiac imaging, and in particular, transthoracic echocardiography, plays an essential role in the baseline assessment and serial follow-up of cardio-oncology patients. The objectives of this paper are to review the mechanisms of cardiotoxicity of several common chemotherapeutic agents associated with an increased risk for left ventricular systolic dysfunction and to outline recommendations regarding the baseline assessment and serial follow-up of cardio-oncology patients with a focus on the role of echocardiography.","author":[{"dropping-particle":"","family":"Larsen","given":"Carolyn M.","non-dropping-particle":"","parse-names":false,"suffix":""},{"dropping-particle":"","family":"Mulvagh","given":"Sharon L.","non-dropping-particle":"","parse-names":false,"suffix":""}],"container-title":"Echo Research and Practice","id":"ITEM-2","issue":"1","issued":{"date-parts":[["2017","3","1"]]},"page":"R33-R41","publisher":"BioScientifica Ltd.","title":"Cardio-oncology: What you need to know now for clinical practice and echocardiography","type":"article","volume":"4"},"uris":["http://www.mendeley.com/documents/?uuid=8c6f1c03-ad49-3f5e-8b63-59b182a86311"]}],"mendeley":{"formattedCitation":"[184,185]","plainTextFormattedCitation":"[184,185]","previouslyFormattedCitation":"[184,185]"},"properties":{"noteIndex":0},"schema":"https://github.com/citation-style-language/schema/raw/master/csl-citation.json"}</w:instrText>
      </w:r>
      <w:r>
        <w:rPr>
          <w:bCs/>
          <w:szCs w:val="24"/>
        </w:rPr>
        <w:fldChar w:fldCharType="separate"/>
      </w:r>
      <w:r w:rsidRPr="00B7783A">
        <w:rPr>
          <w:bCs/>
          <w:noProof/>
          <w:szCs w:val="24"/>
          <w:lang w:val="en-US"/>
        </w:rPr>
        <w:t>[184,185]</w:t>
      </w:r>
      <w:r>
        <w:rPr>
          <w:bCs/>
          <w:szCs w:val="24"/>
        </w:rPr>
        <w:fldChar w:fldCharType="end"/>
      </w:r>
      <w:r w:rsidRPr="004F07FC">
        <w:rPr>
          <w:bCs/>
          <w:szCs w:val="24"/>
          <w:lang w:val="en-US"/>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7"/>
        <w:gridCol w:w="2906"/>
        <w:gridCol w:w="4694"/>
      </w:tblGrid>
      <w:tr w:rsidR="00B7783A" w:rsidRPr="00DC46B0" w14:paraId="0D8194D3" w14:textId="77777777" w:rsidTr="005A428D">
        <w:trPr>
          <w:trHeight w:val="570"/>
        </w:trPr>
        <w:tc>
          <w:tcPr>
            <w:tcW w:w="5053" w:type="dxa"/>
            <w:gridSpan w:val="2"/>
            <w:shd w:val="clear" w:color="auto" w:fill="auto"/>
            <w:hideMark/>
          </w:tcPr>
          <w:p w14:paraId="4F19A0DC" w14:textId="77777777" w:rsidR="00B7783A" w:rsidRPr="00DC46B0" w:rsidRDefault="00B7783A" w:rsidP="005A428D">
            <w:pPr>
              <w:rPr>
                <w:szCs w:val="24"/>
              </w:rPr>
            </w:pPr>
            <w:r w:rsidRPr="00DC46B0">
              <w:rPr>
                <w:bCs/>
                <w:szCs w:val="24"/>
              </w:rPr>
              <w:t xml:space="preserve">Риск, связанный с применяемым препаратом (% кардиальных осложнений препаратов) </w:t>
            </w:r>
          </w:p>
        </w:tc>
        <w:tc>
          <w:tcPr>
            <w:tcW w:w="4694" w:type="dxa"/>
            <w:shd w:val="clear" w:color="auto" w:fill="auto"/>
            <w:hideMark/>
          </w:tcPr>
          <w:p w14:paraId="253CEFD1" w14:textId="77777777" w:rsidR="00B7783A" w:rsidRPr="00DC46B0" w:rsidRDefault="00B7783A" w:rsidP="005A428D">
            <w:pPr>
              <w:rPr>
                <w:bCs/>
                <w:szCs w:val="24"/>
              </w:rPr>
            </w:pPr>
            <w:r w:rsidRPr="00DC46B0">
              <w:rPr>
                <w:bCs/>
                <w:szCs w:val="24"/>
              </w:rPr>
              <w:t xml:space="preserve">Риск, связанный с пациентом </w:t>
            </w:r>
          </w:p>
          <w:p w14:paraId="2DC8DAE0" w14:textId="77777777" w:rsidR="00B7783A" w:rsidRPr="00DC46B0" w:rsidRDefault="00B7783A" w:rsidP="005A428D">
            <w:pPr>
              <w:rPr>
                <w:szCs w:val="24"/>
              </w:rPr>
            </w:pPr>
            <w:r w:rsidRPr="00DC46B0">
              <w:rPr>
                <w:bCs/>
                <w:szCs w:val="24"/>
              </w:rPr>
              <w:t>(каждый из факторов – 1 балл)</w:t>
            </w:r>
          </w:p>
        </w:tc>
      </w:tr>
      <w:tr w:rsidR="00B7783A" w:rsidRPr="00DC46B0" w14:paraId="57ADD836" w14:textId="77777777" w:rsidTr="005A428D">
        <w:trPr>
          <w:trHeight w:val="1095"/>
        </w:trPr>
        <w:tc>
          <w:tcPr>
            <w:tcW w:w="2147" w:type="dxa"/>
            <w:shd w:val="clear" w:color="auto" w:fill="auto"/>
            <w:hideMark/>
          </w:tcPr>
          <w:p w14:paraId="3F372723" w14:textId="77777777" w:rsidR="00B7783A" w:rsidRPr="00DC46B0" w:rsidRDefault="00B7783A" w:rsidP="005A428D">
            <w:pPr>
              <w:rPr>
                <w:szCs w:val="24"/>
              </w:rPr>
            </w:pPr>
            <w:r w:rsidRPr="00DC46B0">
              <w:rPr>
                <w:bCs/>
                <w:szCs w:val="24"/>
              </w:rPr>
              <w:t xml:space="preserve">Высокий риск – </w:t>
            </w:r>
            <w:r w:rsidRPr="00DC46B0">
              <w:rPr>
                <w:szCs w:val="24"/>
              </w:rPr>
              <w:t xml:space="preserve"> </w:t>
            </w:r>
            <w:r w:rsidRPr="00DC46B0">
              <w:rPr>
                <w:bCs/>
                <w:szCs w:val="24"/>
              </w:rPr>
              <w:t xml:space="preserve">4 балла </w:t>
            </w:r>
          </w:p>
        </w:tc>
        <w:tc>
          <w:tcPr>
            <w:tcW w:w="2906" w:type="dxa"/>
            <w:shd w:val="clear" w:color="auto" w:fill="auto"/>
            <w:hideMark/>
          </w:tcPr>
          <w:p w14:paraId="41E5444E" w14:textId="77777777" w:rsidR="00B7783A" w:rsidRPr="00DC46B0" w:rsidRDefault="00B7783A" w:rsidP="005A428D">
            <w:pPr>
              <w:rPr>
                <w:bCs/>
                <w:szCs w:val="24"/>
              </w:rPr>
            </w:pPr>
            <w:r w:rsidRPr="00DC46B0">
              <w:rPr>
                <w:bCs/>
                <w:szCs w:val="24"/>
              </w:rPr>
              <w:t>Антрациклины (3 – 48%, в зависимости от суммарной дозы)</w:t>
            </w:r>
          </w:p>
          <w:p w14:paraId="137A2EF8" w14:textId="77777777" w:rsidR="00B7783A" w:rsidRPr="00DC46B0" w:rsidRDefault="00B7783A" w:rsidP="005A428D">
            <w:pPr>
              <w:rPr>
                <w:bCs/>
                <w:szCs w:val="24"/>
              </w:rPr>
            </w:pPr>
            <w:r w:rsidRPr="00DC46B0">
              <w:rPr>
                <w:bCs/>
                <w:szCs w:val="24"/>
              </w:rPr>
              <w:t>Циклофосфан (7 – 28%) Ифосфамид (до 17% в зависимости от дозы) Клофарабин (27%)</w:t>
            </w:r>
          </w:p>
          <w:p w14:paraId="51689046" w14:textId="77777777" w:rsidR="00B7783A" w:rsidRPr="00DC46B0" w:rsidRDefault="00B7783A" w:rsidP="005A428D">
            <w:pPr>
              <w:rPr>
                <w:szCs w:val="24"/>
              </w:rPr>
            </w:pPr>
            <w:r w:rsidRPr="00DC46B0">
              <w:rPr>
                <w:bCs/>
                <w:szCs w:val="24"/>
              </w:rPr>
              <w:t>Карфилзомиб (11 – 25%)</w:t>
            </w:r>
          </w:p>
        </w:tc>
        <w:tc>
          <w:tcPr>
            <w:tcW w:w="4694" w:type="dxa"/>
            <w:vMerge w:val="restart"/>
            <w:shd w:val="clear" w:color="auto" w:fill="auto"/>
            <w:hideMark/>
          </w:tcPr>
          <w:p w14:paraId="33739F67" w14:textId="77777777" w:rsidR="00B7783A" w:rsidRPr="00DC46B0" w:rsidRDefault="00B7783A" w:rsidP="0091350E">
            <w:pPr>
              <w:numPr>
                <w:ilvl w:val="0"/>
                <w:numId w:val="103"/>
              </w:numPr>
              <w:tabs>
                <w:tab w:val="clear" w:pos="720"/>
              </w:tabs>
              <w:ind w:left="0" w:firstLine="0"/>
              <w:rPr>
                <w:szCs w:val="24"/>
              </w:rPr>
            </w:pPr>
            <w:r w:rsidRPr="00DC46B0">
              <w:rPr>
                <w:bCs/>
                <w:szCs w:val="24"/>
              </w:rPr>
              <w:t>Заболевание сердца или ХСН</w:t>
            </w:r>
          </w:p>
          <w:p w14:paraId="75B70151" w14:textId="77777777" w:rsidR="00B7783A" w:rsidRPr="00DC46B0" w:rsidRDefault="00B7783A" w:rsidP="0091350E">
            <w:pPr>
              <w:numPr>
                <w:ilvl w:val="0"/>
                <w:numId w:val="103"/>
              </w:numPr>
              <w:tabs>
                <w:tab w:val="clear" w:pos="720"/>
              </w:tabs>
              <w:ind w:left="0" w:firstLine="0"/>
              <w:rPr>
                <w:szCs w:val="24"/>
              </w:rPr>
            </w:pPr>
            <w:r w:rsidRPr="00DC46B0">
              <w:rPr>
                <w:bCs/>
                <w:szCs w:val="24"/>
              </w:rPr>
              <w:t>ИБС или ее эквивалент (БПА)</w:t>
            </w:r>
          </w:p>
          <w:p w14:paraId="08BA6489" w14:textId="77777777" w:rsidR="00B7783A" w:rsidRPr="00DC46B0" w:rsidRDefault="00B7783A" w:rsidP="0091350E">
            <w:pPr>
              <w:numPr>
                <w:ilvl w:val="0"/>
                <w:numId w:val="103"/>
              </w:numPr>
              <w:tabs>
                <w:tab w:val="clear" w:pos="720"/>
              </w:tabs>
              <w:ind w:left="0" w:firstLine="0"/>
              <w:rPr>
                <w:szCs w:val="24"/>
              </w:rPr>
            </w:pPr>
            <w:r w:rsidRPr="00DC46B0">
              <w:rPr>
                <w:bCs/>
                <w:szCs w:val="24"/>
              </w:rPr>
              <w:t>АГ</w:t>
            </w:r>
          </w:p>
          <w:p w14:paraId="71AF82A8" w14:textId="77777777" w:rsidR="00B7783A" w:rsidRPr="00DC46B0" w:rsidRDefault="00B7783A" w:rsidP="0091350E">
            <w:pPr>
              <w:numPr>
                <w:ilvl w:val="0"/>
                <w:numId w:val="103"/>
              </w:numPr>
              <w:tabs>
                <w:tab w:val="clear" w:pos="720"/>
              </w:tabs>
              <w:ind w:left="0" w:firstLine="0"/>
              <w:rPr>
                <w:szCs w:val="24"/>
              </w:rPr>
            </w:pPr>
            <w:r w:rsidRPr="00DC46B0">
              <w:rPr>
                <w:bCs/>
                <w:szCs w:val="24"/>
              </w:rPr>
              <w:t>Сахарный диабет</w:t>
            </w:r>
          </w:p>
          <w:p w14:paraId="75344B48" w14:textId="77777777" w:rsidR="00B7783A" w:rsidRPr="00DC46B0" w:rsidRDefault="00B7783A" w:rsidP="0091350E">
            <w:pPr>
              <w:numPr>
                <w:ilvl w:val="0"/>
                <w:numId w:val="103"/>
              </w:numPr>
              <w:tabs>
                <w:tab w:val="clear" w:pos="720"/>
              </w:tabs>
              <w:ind w:left="0" w:firstLine="0"/>
              <w:rPr>
                <w:szCs w:val="24"/>
              </w:rPr>
            </w:pPr>
            <w:r w:rsidRPr="00DC46B0">
              <w:rPr>
                <w:bCs/>
                <w:szCs w:val="24"/>
              </w:rPr>
              <w:t>Предшествующее лечение антрациклинами</w:t>
            </w:r>
          </w:p>
          <w:p w14:paraId="72390ADB" w14:textId="77777777" w:rsidR="00B7783A" w:rsidRPr="00DC46B0" w:rsidRDefault="00B7783A" w:rsidP="0091350E">
            <w:pPr>
              <w:numPr>
                <w:ilvl w:val="0"/>
                <w:numId w:val="103"/>
              </w:numPr>
              <w:tabs>
                <w:tab w:val="clear" w:pos="720"/>
              </w:tabs>
              <w:ind w:left="0" w:firstLine="0"/>
              <w:rPr>
                <w:szCs w:val="24"/>
              </w:rPr>
            </w:pPr>
            <w:r w:rsidRPr="00DC46B0">
              <w:rPr>
                <w:bCs/>
                <w:szCs w:val="24"/>
              </w:rPr>
              <w:t xml:space="preserve">Предшествующая или совместная лучевая терапия </w:t>
            </w:r>
          </w:p>
          <w:p w14:paraId="11625D96" w14:textId="77777777" w:rsidR="00B7783A" w:rsidRPr="00DC46B0" w:rsidRDefault="00B7783A" w:rsidP="0091350E">
            <w:pPr>
              <w:numPr>
                <w:ilvl w:val="0"/>
                <w:numId w:val="103"/>
              </w:numPr>
              <w:tabs>
                <w:tab w:val="clear" w:pos="720"/>
              </w:tabs>
              <w:ind w:left="0" w:firstLine="0"/>
              <w:rPr>
                <w:szCs w:val="24"/>
              </w:rPr>
            </w:pPr>
            <w:r w:rsidRPr="00DC46B0">
              <w:rPr>
                <w:bCs/>
                <w:szCs w:val="24"/>
              </w:rPr>
              <w:t xml:space="preserve">Возраст </w:t>
            </w:r>
            <w:r w:rsidRPr="00DC46B0">
              <w:rPr>
                <w:bCs/>
                <w:szCs w:val="24"/>
                <w:lang w:val="en-US"/>
              </w:rPr>
              <w:t xml:space="preserve">&lt; </w:t>
            </w:r>
            <w:r w:rsidRPr="00DC46B0">
              <w:rPr>
                <w:bCs/>
                <w:szCs w:val="24"/>
              </w:rPr>
              <w:t xml:space="preserve">15 или </w:t>
            </w:r>
            <w:r w:rsidRPr="00DC46B0">
              <w:rPr>
                <w:bCs/>
                <w:szCs w:val="24"/>
                <w:lang w:val="en-US"/>
              </w:rPr>
              <w:t>&gt;</w:t>
            </w:r>
            <w:r w:rsidRPr="00DC46B0">
              <w:rPr>
                <w:bCs/>
                <w:szCs w:val="24"/>
              </w:rPr>
              <w:t xml:space="preserve"> 65 лет</w:t>
            </w:r>
          </w:p>
          <w:p w14:paraId="05ACF7DF" w14:textId="77777777" w:rsidR="00B7783A" w:rsidRPr="00DC46B0" w:rsidRDefault="00B7783A" w:rsidP="0091350E">
            <w:pPr>
              <w:numPr>
                <w:ilvl w:val="0"/>
                <w:numId w:val="103"/>
              </w:numPr>
              <w:tabs>
                <w:tab w:val="clear" w:pos="720"/>
              </w:tabs>
              <w:ind w:left="0" w:firstLine="0"/>
              <w:rPr>
                <w:szCs w:val="24"/>
              </w:rPr>
            </w:pPr>
            <w:r w:rsidRPr="00DC46B0">
              <w:rPr>
                <w:bCs/>
                <w:szCs w:val="24"/>
              </w:rPr>
              <w:t xml:space="preserve">Женский пол </w:t>
            </w:r>
          </w:p>
        </w:tc>
      </w:tr>
      <w:tr w:rsidR="00B7783A" w:rsidRPr="00DC46B0" w14:paraId="6A1312D3" w14:textId="77777777" w:rsidTr="005A428D">
        <w:trPr>
          <w:trHeight w:val="762"/>
        </w:trPr>
        <w:tc>
          <w:tcPr>
            <w:tcW w:w="2147" w:type="dxa"/>
            <w:shd w:val="clear" w:color="auto" w:fill="auto"/>
            <w:hideMark/>
          </w:tcPr>
          <w:p w14:paraId="434C8448" w14:textId="77777777" w:rsidR="00B7783A" w:rsidRPr="00DC46B0" w:rsidRDefault="00B7783A" w:rsidP="005A428D">
            <w:pPr>
              <w:rPr>
                <w:szCs w:val="24"/>
              </w:rPr>
            </w:pPr>
            <w:r w:rsidRPr="00DC46B0">
              <w:rPr>
                <w:bCs/>
                <w:szCs w:val="24"/>
              </w:rPr>
              <w:t xml:space="preserve">Промежуточный риск – 2 балла </w:t>
            </w:r>
          </w:p>
        </w:tc>
        <w:tc>
          <w:tcPr>
            <w:tcW w:w="2906" w:type="dxa"/>
            <w:shd w:val="clear" w:color="auto" w:fill="auto"/>
            <w:hideMark/>
          </w:tcPr>
          <w:p w14:paraId="697B90E0" w14:textId="77777777" w:rsidR="00B7783A" w:rsidRPr="00DC46B0" w:rsidRDefault="00B7783A" w:rsidP="005A428D">
            <w:pPr>
              <w:rPr>
                <w:szCs w:val="24"/>
                <w:lang w:val="en-US"/>
              </w:rPr>
            </w:pPr>
            <w:r w:rsidRPr="00DC46B0">
              <w:rPr>
                <w:szCs w:val="24"/>
              </w:rPr>
              <w:t>Бортезомиб (2 – 5%)</w:t>
            </w:r>
          </w:p>
          <w:p w14:paraId="4471CF98" w14:textId="77777777" w:rsidR="00B7783A" w:rsidRPr="00DC46B0" w:rsidRDefault="00B7783A" w:rsidP="005A428D">
            <w:pPr>
              <w:rPr>
                <w:szCs w:val="24"/>
                <w:lang w:val="en-US"/>
              </w:rPr>
            </w:pPr>
            <w:r w:rsidRPr="00DC46B0">
              <w:rPr>
                <w:bCs/>
                <w:szCs w:val="24"/>
              </w:rPr>
              <w:t xml:space="preserve">Дазатиниб (2 – 4%), </w:t>
            </w:r>
          </w:p>
          <w:p w14:paraId="5D35DB79" w14:textId="77777777" w:rsidR="00B7783A" w:rsidRPr="00DC46B0" w:rsidRDefault="00B7783A" w:rsidP="005A428D">
            <w:pPr>
              <w:rPr>
                <w:szCs w:val="24"/>
                <w:lang w:val="en-US"/>
              </w:rPr>
            </w:pPr>
            <w:r w:rsidRPr="00DC46B0">
              <w:rPr>
                <w:bCs/>
                <w:szCs w:val="24"/>
              </w:rPr>
              <w:t>Сорафениб (4 - %)</w:t>
            </w:r>
          </w:p>
        </w:tc>
        <w:tc>
          <w:tcPr>
            <w:tcW w:w="4694" w:type="dxa"/>
            <w:vMerge/>
            <w:shd w:val="clear" w:color="auto" w:fill="auto"/>
            <w:hideMark/>
          </w:tcPr>
          <w:p w14:paraId="7631A851" w14:textId="77777777" w:rsidR="00B7783A" w:rsidRPr="00DC46B0" w:rsidRDefault="00B7783A" w:rsidP="005A428D">
            <w:pPr>
              <w:rPr>
                <w:szCs w:val="24"/>
              </w:rPr>
            </w:pPr>
          </w:p>
        </w:tc>
      </w:tr>
      <w:tr w:rsidR="00B7783A" w:rsidRPr="00DC46B0" w14:paraId="3B37FCBE" w14:textId="77777777" w:rsidTr="005A428D">
        <w:trPr>
          <w:trHeight w:val="570"/>
        </w:trPr>
        <w:tc>
          <w:tcPr>
            <w:tcW w:w="2147" w:type="dxa"/>
            <w:shd w:val="clear" w:color="auto" w:fill="auto"/>
            <w:hideMark/>
          </w:tcPr>
          <w:p w14:paraId="78C61BF7" w14:textId="77777777" w:rsidR="00B7783A" w:rsidRPr="00DC46B0" w:rsidRDefault="00B7783A" w:rsidP="005A428D">
            <w:pPr>
              <w:rPr>
                <w:szCs w:val="24"/>
              </w:rPr>
            </w:pPr>
            <w:r w:rsidRPr="00DC46B0">
              <w:rPr>
                <w:bCs/>
                <w:szCs w:val="24"/>
              </w:rPr>
              <w:t xml:space="preserve">Низкий риск – 1 балл </w:t>
            </w:r>
          </w:p>
        </w:tc>
        <w:tc>
          <w:tcPr>
            <w:tcW w:w="2906" w:type="dxa"/>
            <w:shd w:val="clear" w:color="auto" w:fill="auto"/>
            <w:hideMark/>
          </w:tcPr>
          <w:p w14:paraId="632BC179" w14:textId="77777777" w:rsidR="00B7783A" w:rsidRPr="00DC46B0" w:rsidRDefault="00B7783A" w:rsidP="005A428D">
            <w:pPr>
              <w:rPr>
                <w:szCs w:val="24"/>
              </w:rPr>
            </w:pPr>
            <w:r w:rsidRPr="00DC46B0">
              <w:rPr>
                <w:bCs/>
                <w:szCs w:val="24"/>
              </w:rPr>
              <w:t>Иматиниб (0,2 – 2,7%),</w:t>
            </w:r>
            <w:r w:rsidRPr="00DC46B0">
              <w:rPr>
                <w:bCs/>
                <w:szCs w:val="24"/>
                <w:lang w:val="en-US"/>
              </w:rPr>
              <w:t xml:space="preserve"> </w:t>
            </w:r>
            <w:r w:rsidRPr="00DC46B0">
              <w:rPr>
                <w:bCs/>
                <w:szCs w:val="24"/>
              </w:rPr>
              <w:t>Нилотиниб (1%).</w:t>
            </w:r>
          </w:p>
        </w:tc>
        <w:tc>
          <w:tcPr>
            <w:tcW w:w="4694" w:type="dxa"/>
            <w:vMerge/>
            <w:shd w:val="clear" w:color="auto" w:fill="auto"/>
            <w:hideMark/>
          </w:tcPr>
          <w:p w14:paraId="20AA2AC8" w14:textId="77777777" w:rsidR="00B7783A" w:rsidRPr="00DC46B0" w:rsidRDefault="00B7783A" w:rsidP="005A428D">
            <w:pPr>
              <w:rPr>
                <w:szCs w:val="24"/>
              </w:rPr>
            </w:pPr>
          </w:p>
        </w:tc>
      </w:tr>
      <w:tr w:rsidR="00B7783A" w:rsidRPr="00DC46B0" w14:paraId="6483B193" w14:textId="77777777" w:rsidTr="005A428D">
        <w:trPr>
          <w:trHeight w:val="570"/>
        </w:trPr>
        <w:tc>
          <w:tcPr>
            <w:tcW w:w="2147" w:type="dxa"/>
            <w:shd w:val="clear" w:color="auto" w:fill="auto"/>
            <w:hideMark/>
          </w:tcPr>
          <w:p w14:paraId="6DE7E6CD" w14:textId="77777777" w:rsidR="00B7783A" w:rsidRPr="00DC46B0" w:rsidRDefault="00B7783A" w:rsidP="005A428D">
            <w:pPr>
              <w:rPr>
                <w:szCs w:val="24"/>
              </w:rPr>
            </w:pPr>
            <w:r w:rsidRPr="00DC46B0">
              <w:rPr>
                <w:bCs/>
                <w:szCs w:val="24"/>
              </w:rPr>
              <w:t xml:space="preserve">Отсутствие риска (очень низкий риск)  – 0 баллов </w:t>
            </w:r>
          </w:p>
        </w:tc>
        <w:tc>
          <w:tcPr>
            <w:tcW w:w="2906" w:type="dxa"/>
            <w:shd w:val="clear" w:color="auto" w:fill="auto"/>
            <w:hideMark/>
          </w:tcPr>
          <w:p w14:paraId="748E483F" w14:textId="77777777" w:rsidR="00B7783A" w:rsidRPr="00DC46B0" w:rsidRDefault="00B7783A" w:rsidP="005A428D">
            <w:pPr>
              <w:rPr>
                <w:bCs/>
                <w:szCs w:val="24"/>
              </w:rPr>
            </w:pPr>
            <w:r w:rsidRPr="00DC46B0">
              <w:rPr>
                <w:bCs/>
                <w:szCs w:val="24"/>
              </w:rPr>
              <w:t xml:space="preserve">Этопозид, </w:t>
            </w:r>
          </w:p>
          <w:p w14:paraId="117689CF" w14:textId="77777777" w:rsidR="00B7783A" w:rsidRPr="00DC46B0" w:rsidRDefault="00B7783A" w:rsidP="005A428D">
            <w:pPr>
              <w:rPr>
                <w:szCs w:val="24"/>
              </w:rPr>
            </w:pPr>
            <w:r w:rsidRPr="00DC46B0">
              <w:rPr>
                <w:bCs/>
                <w:szCs w:val="24"/>
              </w:rPr>
              <w:t>Ритуксимаб,</w:t>
            </w:r>
            <w:r w:rsidRPr="00DC46B0">
              <w:rPr>
                <w:szCs w:val="24"/>
              </w:rPr>
              <w:t xml:space="preserve"> </w:t>
            </w:r>
          </w:p>
          <w:p w14:paraId="0B91737D" w14:textId="77777777" w:rsidR="00B7783A" w:rsidRPr="00DC46B0" w:rsidRDefault="00B7783A" w:rsidP="005A428D">
            <w:pPr>
              <w:rPr>
                <w:szCs w:val="24"/>
              </w:rPr>
            </w:pPr>
          </w:p>
        </w:tc>
        <w:tc>
          <w:tcPr>
            <w:tcW w:w="4694" w:type="dxa"/>
            <w:vMerge/>
            <w:shd w:val="clear" w:color="auto" w:fill="auto"/>
            <w:hideMark/>
          </w:tcPr>
          <w:p w14:paraId="6608391B" w14:textId="77777777" w:rsidR="00B7783A" w:rsidRPr="00DC46B0" w:rsidRDefault="00B7783A" w:rsidP="005A428D">
            <w:pPr>
              <w:rPr>
                <w:szCs w:val="24"/>
              </w:rPr>
            </w:pPr>
          </w:p>
        </w:tc>
      </w:tr>
      <w:tr w:rsidR="00B7783A" w:rsidRPr="00DC46B0" w14:paraId="5A5A19C0" w14:textId="77777777" w:rsidTr="005A428D">
        <w:trPr>
          <w:trHeight w:val="570"/>
        </w:trPr>
        <w:tc>
          <w:tcPr>
            <w:tcW w:w="9747" w:type="dxa"/>
            <w:gridSpan w:val="3"/>
            <w:shd w:val="clear" w:color="auto" w:fill="auto"/>
            <w:hideMark/>
          </w:tcPr>
          <w:p w14:paraId="2B403C68" w14:textId="77777777" w:rsidR="00B7783A" w:rsidRPr="00DC46B0" w:rsidRDefault="00B7783A" w:rsidP="005A428D">
            <w:pPr>
              <w:rPr>
                <w:szCs w:val="24"/>
              </w:rPr>
            </w:pPr>
            <w:r w:rsidRPr="00DC46B0">
              <w:rPr>
                <w:bCs/>
                <w:szCs w:val="24"/>
              </w:rPr>
              <w:t xml:space="preserve">Уровень риска – сумма баллов лекарственных и коморбидных  рисков: &gt; 6 – очень высокий, 5 – 6 – высокий, 3 – 4 – промежуточный, 1 – 2 – низкий, 0 – очень низкий </w:t>
            </w:r>
          </w:p>
        </w:tc>
      </w:tr>
    </w:tbl>
    <w:p w14:paraId="4D9ACEE3" w14:textId="77777777" w:rsidR="00B7783A" w:rsidRPr="00DC46B0" w:rsidRDefault="00B7783A" w:rsidP="00B7783A">
      <w:pPr>
        <w:rPr>
          <w:szCs w:val="24"/>
        </w:rPr>
      </w:pPr>
      <w:r w:rsidRPr="00DC46B0">
        <w:rPr>
          <w:szCs w:val="24"/>
        </w:rPr>
        <w:t xml:space="preserve">   </w:t>
      </w:r>
    </w:p>
    <w:p w14:paraId="46FFC922" w14:textId="739DE77A" w:rsidR="00B7783A" w:rsidRPr="00DC46B0" w:rsidRDefault="00B7783A" w:rsidP="00B7783A">
      <w:pPr>
        <w:ind w:firstLine="709"/>
        <w:rPr>
          <w:szCs w:val="24"/>
        </w:rPr>
      </w:pPr>
      <w:r w:rsidRPr="00DC46B0">
        <w:rPr>
          <w:szCs w:val="24"/>
        </w:rPr>
        <w:t>Немодифицируемые факторы риска ИБС:</w:t>
      </w:r>
      <w:r w:rsidRPr="004F07FC">
        <w:rPr>
          <w:szCs w:val="24"/>
        </w:rPr>
        <w:t xml:space="preserve"> </w:t>
      </w:r>
      <w:r w:rsidRPr="00DC46B0">
        <w:rPr>
          <w:szCs w:val="24"/>
        </w:rPr>
        <w:t>возраст более 45 лет у мужчин и более 55 лет у женщин, мужской пол, наследственность (ранний атеросклероз у родственников, ранняя смерть родственников от ИБС)</w:t>
      </w:r>
      <w:r>
        <w:rPr>
          <w:szCs w:val="24"/>
        </w:rPr>
        <w:t xml:space="preserve"> </w:t>
      </w:r>
      <w:r>
        <w:rPr>
          <w:szCs w:val="24"/>
        </w:rPr>
        <w:fldChar w:fldCharType="begin" w:fldLock="1"/>
      </w:r>
      <w:r w:rsidR="005A6162">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[182]","plainTextFormattedCitation":"[182]","previouslyFormattedCitation":"[182]"},"properties":{"noteIndex":0},"schema":"https://github.com/citation-style-language/schema/raw/master/csl-citation.json"}</w:instrText>
      </w:r>
      <w:r>
        <w:rPr>
          <w:szCs w:val="24"/>
        </w:rPr>
        <w:fldChar w:fldCharType="separate"/>
      </w:r>
      <w:r w:rsidRPr="00B7783A">
        <w:rPr>
          <w:noProof/>
          <w:szCs w:val="24"/>
        </w:rPr>
        <w:t>[182]</w:t>
      </w:r>
      <w:r>
        <w:rPr>
          <w:szCs w:val="24"/>
        </w:rPr>
        <w:fldChar w:fldCharType="end"/>
      </w:r>
      <w:r w:rsidRPr="00DC46B0">
        <w:rPr>
          <w:szCs w:val="24"/>
        </w:rPr>
        <w:t>.</w:t>
      </w:r>
    </w:p>
    <w:p w14:paraId="5DD4020E" w14:textId="3907A79B" w:rsidR="00B7783A" w:rsidRPr="00DC46B0" w:rsidRDefault="00B7783A" w:rsidP="00B7783A">
      <w:pPr>
        <w:ind w:firstLine="709"/>
        <w:rPr>
          <w:szCs w:val="24"/>
        </w:rPr>
      </w:pPr>
      <w:r w:rsidRPr="00DC46B0">
        <w:rPr>
          <w:szCs w:val="24"/>
        </w:rPr>
        <w:t>Модифицируемые факторы риска ИБС:</w:t>
      </w:r>
      <w:r w:rsidRPr="004F07FC">
        <w:rPr>
          <w:szCs w:val="24"/>
        </w:rPr>
        <w:t xml:space="preserve"> </w:t>
      </w:r>
      <w:r w:rsidRPr="00DC46B0">
        <w:rPr>
          <w:szCs w:val="24"/>
        </w:rPr>
        <w:t>АГ, курение, ожирение, недостаточная физическая активность; потенциально или частично модифицируемые – дислипидемия, сахарный диабет, психоэмоциональное перенапряжение</w:t>
      </w:r>
      <w:r>
        <w:rPr>
          <w:szCs w:val="24"/>
        </w:rPr>
        <w:t xml:space="preserve"> </w:t>
      </w:r>
      <w:r>
        <w:rPr>
          <w:szCs w:val="24"/>
        </w:rPr>
        <w:fldChar w:fldCharType="begin" w:fldLock="1"/>
      </w:r>
      <w:r w:rsidR="005A6162">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[182]","plainTextFormattedCitation":"[182]","previouslyFormattedCitation":"[182]"},"properties":{"noteIndex":0},"schema":"https://github.com/citation-style-language/schema/raw/master/csl-citation.json"}</w:instrText>
      </w:r>
      <w:r>
        <w:rPr>
          <w:szCs w:val="24"/>
        </w:rPr>
        <w:fldChar w:fldCharType="separate"/>
      </w:r>
      <w:r w:rsidRPr="00B7783A">
        <w:rPr>
          <w:noProof/>
          <w:szCs w:val="24"/>
        </w:rPr>
        <w:t>[182]</w:t>
      </w:r>
      <w:r>
        <w:rPr>
          <w:szCs w:val="24"/>
        </w:rPr>
        <w:fldChar w:fldCharType="end"/>
      </w:r>
      <w:r w:rsidRPr="00DC46B0">
        <w:rPr>
          <w:szCs w:val="24"/>
        </w:rPr>
        <w:t xml:space="preserve">. </w:t>
      </w:r>
    </w:p>
    <w:p w14:paraId="295FB1B9" w14:textId="77777777" w:rsidR="00B7783A" w:rsidRPr="00DC46B0" w:rsidRDefault="00B7783A" w:rsidP="00B7783A">
      <w:pPr>
        <w:rPr>
          <w:szCs w:val="24"/>
        </w:rPr>
      </w:pPr>
      <w:r w:rsidRPr="00DC46B0">
        <w:rPr>
          <w:szCs w:val="24"/>
        </w:rPr>
        <w:t xml:space="preserve"> </w:t>
      </w:r>
      <w:r w:rsidRPr="00DC46B0">
        <w:rPr>
          <w:szCs w:val="24"/>
        </w:rPr>
        <w:tab/>
        <w:t xml:space="preserve">При выявлении дислипидемии, сахарного диабета необходимо оценить показания к проведению и назначить при необходимости гиполипидемическую и гипогликемическую терапию </w:t>
      </w:r>
    </w:p>
    <w:p w14:paraId="5731C97E" w14:textId="77777777" w:rsidR="00B7783A" w:rsidRPr="00DC46B0" w:rsidRDefault="00B7783A" w:rsidP="00B7783A">
      <w:pPr>
        <w:ind w:firstLine="709"/>
        <w:rPr>
          <w:szCs w:val="24"/>
        </w:rPr>
      </w:pPr>
      <w:r w:rsidRPr="00DC46B0">
        <w:rPr>
          <w:szCs w:val="24"/>
        </w:rPr>
        <w:t xml:space="preserve">В соответствии с риском развития поражения миокарда предлагается профилактическое лечение ингибитором ангиотензинпревращающего фермента (иАПФ) или антагонистами рецепторов ангиотензина </w:t>
      </w:r>
      <w:r w:rsidRPr="00DC46B0">
        <w:rPr>
          <w:szCs w:val="24"/>
          <w:lang w:val="en-US"/>
        </w:rPr>
        <w:t>II</w:t>
      </w:r>
      <w:r w:rsidRPr="00DC46B0">
        <w:rPr>
          <w:szCs w:val="24"/>
        </w:rPr>
        <w:t xml:space="preserve"> (АРА), карведилолом и статинами в низких дозах (таб. 3).  </w:t>
      </w:r>
    </w:p>
    <w:p w14:paraId="2C0BC4F6" w14:textId="77777777" w:rsidR="00B7783A" w:rsidRDefault="00B7783A" w:rsidP="00B7783A">
      <w:pPr>
        <w:rPr>
          <w:b/>
          <w:szCs w:val="24"/>
        </w:rPr>
      </w:pPr>
    </w:p>
    <w:p w14:paraId="5A8FD134" w14:textId="44E0DCFD" w:rsidR="00B7783A" w:rsidRPr="004F07FC" w:rsidRDefault="00B7783A" w:rsidP="00B7783A">
      <w:pPr>
        <w:rPr>
          <w:szCs w:val="24"/>
        </w:rPr>
      </w:pPr>
      <w:r w:rsidRPr="004F07FC">
        <w:rPr>
          <w:szCs w:val="24"/>
        </w:rPr>
        <w:t xml:space="preserve">Таблица 3. Профилактика кардиотоксичности в соответствии с риском поражения миокарда </w:t>
      </w:r>
      <w:r>
        <w:rPr>
          <w:szCs w:val="24"/>
          <w:lang w:val="en-US"/>
        </w:rPr>
        <w:fldChar w:fldCharType="begin" w:fldLock="1"/>
      </w:r>
      <w:r w:rsidR="005A6162">
        <w:rPr>
          <w:szCs w:val="24"/>
          <w:lang w:val="en-US"/>
        </w:rPr>
        <w:instrText>ADDIN CSL_CITATION {"citationItems":[{"id":"ITEM-1","itemData":{"DOI":"10.1530/ERP-17-0013","ISSN":"20550464","abstract":"Cardio-oncology is a rapidly growing feld aimed at minimizing the effects of cardiovascular morbidity and mortality in cancer survivors. To meet this aim, patients are assessed at baseline to define their risk of cardiotoxicity and then followed closely during and after chemotherapy to assess for early signs or symptoms of cardiovascular disease. Cardiac imaging, and in particular, transthoracic echocardiography, plays an essential role in the baseline assessment and serial follow-up of cardio-oncology patients. The objectives of this paper are to review the mechanisms of cardiotoxicity of several common chemotherapeutic agents associated with an increased risk for left ventricular systolic dysfunction and to outline recommendations regarding the baseline assessment and serial follow-up of cardio-oncology patients with a focus on the role of echocardiography.","author":[{"dropping-particle":"","family":"Larsen","given":"Carolyn M.","non-dropping-particle":"","parse-names":false,"suffix":""},{"dropping-particle":"","family":"Mulvagh","given":"Sharon L.","non-dropping-particle":"","parse-names":false,"suffix":""}],"container-title":"Echo Research and Practice","id":"ITEM-1","issue":"1","issued":{"date-parts":[["2017","3","1"]]},"page":"R33-R41","publisher":"BioScientifica Ltd.","title":"Cardio-oncology: What you need to know now for clinical practice and echocardiography","type":"article","volume":"4"},"uris":["http://www.mendeley.com/documents/?uuid=8c6f1c03-ad49-3f5e-8b63-59b182a86311"]}],"mendeley":{"formattedCitation":"[185]","plainTextFormattedCitation":"[185]","previouslyFormattedCitation":"[185]"},"properties":{"noteIndex":0},"schema":"https://github.com/citation-style-language/schema/raw/master/csl-citation.json"}</w:instrText>
      </w:r>
      <w:r>
        <w:rPr>
          <w:szCs w:val="24"/>
          <w:lang w:val="en-US"/>
        </w:rPr>
        <w:fldChar w:fldCharType="separate"/>
      </w:r>
      <w:r w:rsidRPr="00B7783A">
        <w:rPr>
          <w:noProof/>
          <w:szCs w:val="24"/>
        </w:rPr>
        <w:t>[185]</w:t>
      </w:r>
      <w:r>
        <w:rPr>
          <w:szCs w:val="24"/>
          <w:lang w:val="en-US"/>
        </w:rPr>
        <w:fldChar w:fldCharType="end"/>
      </w:r>
      <w:r w:rsidRPr="004F07FC">
        <w:rPr>
          <w:szCs w:val="24"/>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513"/>
      </w:tblGrid>
      <w:tr w:rsidR="00B7783A" w:rsidRPr="00DC46B0" w14:paraId="6AFC8546" w14:textId="77777777" w:rsidTr="005A428D">
        <w:trPr>
          <w:trHeight w:val="584"/>
        </w:trPr>
        <w:tc>
          <w:tcPr>
            <w:tcW w:w="1951" w:type="dxa"/>
            <w:shd w:val="clear" w:color="auto" w:fill="auto"/>
            <w:hideMark/>
          </w:tcPr>
          <w:p w14:paraId="5A59AECD" w14:textId="77777777" w:rsidR="00B7783A" w:rsidRPr="00DC46B0" w:rsidRDefault="00B7783A" w:rsidP="005A428D">
            <w:pPr>
              <w:rPr>
                <w:b/>
                <w:bCs/>
                <w:szCs w:val="24"/>
              </w:rPr>
            </w:pPr>
            <w:r w:rsidRPr="00DC46B0">
              <w:rPr>
                <w:b/>
                <w:bCs/>
                <w:szCs w:val="24"/>
              </w:rPr>
              <w:t>Риск</w:t>
            </w:r>
          </w:p>
        </w:tc>
        <w:tc>
          <w:tcPr>
            <w:tcW w:w="7513" w:type="dxa"/>
            <w:shd w:val="clear" w:color="auto" w:fill="auto"/>
            <w:hideMark/>
          </w:tcPr>
          <w:p w14:paraId="3D93D26D" w14:textId="77777777" w:rsidR="00B7783A" w:rsidRPr="00DC46B0" w:rsidRDefault="00B7783A" w:rsidP="005A428D">
            <w:pPr>
              <w:rPr>
                <w:b/>
                <w:bCs/>
                <w:szCs w:val="24"/>
              </w:rPr>
            </w:pPr>
            <w:r w:rsidRPr="00DC46B0">
              <w:rPr>
                <w:b/>
                <w:bCs/>
                <w:szCs w:val="24"/>
              </w:rPr>
              <w:t xml:space="preserve">                                     Рекомендации</w:t>
            </w:r>
          </w:p>
        </w:tc>
      </w:tr>
      <w:tr w:rsidR="00B7783A" w:rsidRPr="00DC46B0" w14:paraId="0C649AE7" w14:textId="77777777" w:rsidTr="005A428D">
        <w:trPr>
          <w:trHeight w:val="584"/>
        </w:trPr>
        <w:tc>
          <w:tcPr>
            <w:tcW w:w="1951" w:type="dxa"/>
            <w:shd w:val="clear" w:color="auto" w:fill="auto"/>
            <w:hideMark/>
          </w:tcPr>
          <w:p w14:paraId="7491BAEC" w14:textId="77777777" w:rsidR="00B7783A" w:rsidRPr="00DC46B0" w:rsidRDefault="00B7783A" w:rsidP="005A428D">
            <w:pPr>
              <w:rPr>
                <w:bCs/>
                <w:szCs w:val="24"/>
              </w:rPr>
            </w:pPr>
            <w:r w:rsidRPr="00DC46B0">
              <w:rPr>
                <w:bCs/>
                <w:szCs w:val="24"/>
              </w:rPr>
              <w:t xml:space="preserve">Очень высокий риск </w:t>
            </w:r>
          </w:p>
        </w:tc>
        <w:tc>
          <w:tcPr>
            <w:tcW w:w="7513" w:type="dxa"/>
            <w:shd w:val="clear" w:color="auto" w:fill="auto"/>
            <w:hideMark/>
          </w:tcPr>
          <w:p w14:paraId="15BCF08A" w14:textId="77777777" w:rsidR="00B7783A" w:rsidRPr="00DC46B0" w:rsidRDefault="00B7783A" w:rsidP="005A428D">
            <w:pPr>
              <w:rPr>
                <w:bCs/>
                <w:szCs w:val="24"/>
              </w:rPr>
            </w:pPr>
            <w:r w:rsidRPr="00DC46B0">
              <w:rPr>
                <w:bCs/>
                <w:szCs w:val="24"/>
              </w:rPr>
              <w:t>За 1 неделю до ХТ начать иАПФ/АРА, карведилол, статины в низких дозах</w:t>
            </w:r>
            <w:r w:rsidRPr="00DC46B0">
              <w:rPr>
                <w:b/>
                <w:bCs/>
                <w:szCs w:val="24"/>
              </w:rPr>
              <w:t>.</w:t>
            </w:r>
            <w:r w:rsidRPr="00DC46B0">
              <w:rPr>
                <w:bCs/>
                <w:szCs w:val="24"/>
              </w:rPr>
              <w:t xml:space="preserve">  Далее, на фоне ХТ при стабильном состоянии  титровать по переносимости. </w:t>
            </w:r>
          </w:p>
        </w:tc>
      </w:tr>
      <w:tr w:rsidR="00B7783A" w:rsidRPr="00DC46B0" w14:paraId="1270CCCB" w14:textId="77777777" w:rsidTr="005A428D">
        <w:trPr>
          <w:trHeight w:val="357"/>
        </w:trPr>
        <w:tc>
          <w:tcPr>
            <w:tcW w:w="1951" w:type="dxa"/>
            <w:shd w:val="clear" w:color="auto" w:fill="auto"/>
            <w:hideMark/>
          </w:tcPr>
          <w:p w14:paraId="0A974F50" w14:textId="77777777" w:rsidR="00B7783A" w:rsidRPr="00DC46B0" w:rsidRDefault="00B7783A" w:rsidP="005A428D">
            <w:pPr>
              <w:rPr>
                <w:bCs/>
                <w:szCs w:val="24"/>
              </w:rPr>
            </w:pPr>
            <w:r w:rsidRPr="00DC46B0">
              <w:rPr>
                <w:bCs/>
                <w:szCs w:val="24"/>
              </w:rPr>
              <w:t xml:space="preserve">Высокий риск </w:t>
            </w:r>
          </w:p>
        </w:tc>
        <w:tc>
          <w:tcPr>
            <w:tcW w:w="7513" w:type="dxa"/>
            <w:shd w:val="clear" w:color="auto" w:fill="auto"/>
            <w:hideMark/>
          </w:tcPr>
          <w:p w14:paraId="69CA56CC" w14:textId="77777777" w:rsidR="00B7783A" w:rsidRPr="00DC46B0" w:rsidRDefault="00B7783A" w:rsidP="005A428D">
            <w:pPr>
              <w:rPr>
                <w:bCs/>
                <w:szCs w:val="24"/>
              </w:rPr>
            </w:pPr>
            <w:r w:rsidRPr="00DC46B0">
              <w:rPr>
                <w:bCs/>
                <w:szCs w:val="24"/>
              </w:rPr>
              <w:t xml:space="preserve">Начать иАПФ/АРА, карведилол и/или статины.  </w:t>
            </w:r>
          </w:p>
        </w:tc>
      </w:tr>
      <w:tr w:rsidR="00B7783A" w:rsidRPr="00DC46B0" w14:paraId="2C0D13A2" w14:textId="77777777" w:rsidTr="005A428D">
        <w:trPr>
          <w:trHeight w:val="584"/>
        </w:trPr>
        <w:tc>
          <w:tcPr>
            <w:tcW w:w="1951" w:type="dxa"/>
            <w:shd w:val="clear" w:color="auto" w:fill="auto"/>
            <w:hideMark/>
          </w:tcPr>
          <w:p w14:paraId="0C6D44D1" w14:textId="77777777" w:rsidR="00B7783A" w:rsidRPr="00DC46B0" w:rsidRDefault="00B7783A" w:rsidP="005A428D">
            <w:pPr>
              <w:rPr>
                <w:bCs/>
                <w:szCs w:val="24"/>
              </w:rPr>
            </w:pPr>
            <w:r w:rsidRPr="00DC46B0">
              <w:rPr>
                <w:bCs/>
                <w:szCs w:val="24"/>
              </w:rPr>
              <w:t xml:space="preserve">Промежуточный риск </w:t>
            </w:r>
          </w:p>
        </w:tc>
        <w:tc>
          <w:tcPr>
            <w:tcW w:w="7513" w:type="dxa"/>
            <w:shd w:val="clear" w:color="auto" w:fill="auto"/>
            <w:hideMark/>
          </w:tcPr>
          <w:p w14:paraId="56F5BAD3" w14:textId="77777777" w:rsidR="00B7783A" w:rsidRPr="00DC46B0" w:rsidRDefault="00B7783A" w:rsidP="005A428D">
            <w:pPr>
              <w:rPr>
                <w:bCs/>
                <w:szCs w:val="24"/>
              </w:rPr>
            </w:pPr>
            <w:r w:rsidRPr="00DC46B0">
              <w:rPr>
                <w:bCs/>
                <w:szCs w:val="24"/>
              </w:rPr>
              <w:t>Обсудить</w:t>
            </w:r>
            <w:r w:rsidRPr="00DC46B0">
              <w:rPr>
                <w:b/>
                <w:bCs/>
                <w:i/>
                <w:szCs w:val="24"/>
              </w:rPr>
              <w:t xml:space="preserve"> </w:t>
            </w:r>
            <w:r w:rsidRPr="00DC46B0">
              <w:rPr>
                <w:bCs/>
                <w:szCs w:val="24"/>
              </w:rPr>
              <w:t xml:space="preserve">необходимость медикаментозной профилактики. </w:t>
            </w:r>
          </w:p>
        </w:tc>
      </w:tr>
      <w:tr w:rsidR="00B7783A" w:rsidRPr="00DC46B0" w14:paraId="02D918CD" w14:textId="77777777" w:rsidTr="005A428D">
        <w:trPr>
          <w:trHeight w:val="356"/>
        </w:trPr>
        <w:tc>
          <w:tcPr>
            <w:tcW w:w="1951" w:type="dxa"/>
            <w:shd w:val="clear" w:color="auto" w:fill="auto"/>
            <w:hideMark/>
          </w:tcPr>
          <w:p w14:paraId="0CB705AC" w14:textId="77777777" w:rsidR="00B7783A" w:rsidRPr="00DC46B0" w:rsidRDefault="00B7783A" w:rsidP="005A428D">
            <w:pPr>
              <w:rPr>
                <w:bCs/>
                <w:szCs w:val="24"/>
              </w:rPr>
            </w:pPr>
            <w:r w:rsidRPr="00DC46B0">
              <w:rPr>
                <w:bCs/>
                <w:szCs w:val="24"/>
              </w:rPr>
              <w:t xml:space="preserve">Низкий риск </w:t>
            </w:r>
          </w:p>
        </w:tc>
        <w:tc>
          <w:tcPr>
            <w:tcW w:w="7513" w:type="dxa"/>
            <w:shd w:val="clear" w:color="auto" w:fill="auto"/>
            <w:hideMark/>
          </w:tcPr>
          <w:p w14:paraId="64614676" w14:textId="77777777" w:rsidR="00B7783A" w:rsidRPr="00DC46B0" w:rsidRDefault="00B7783A" w:rsidP="005A428D">
            <w:pPr>
              <w:rPr>
                <w:bCs/>
                <w:szCs w:val="24"/>
              </w:rPr>
            </w:pPr>
            <w:r w:rsidRPr="00DC46B0">
              <w:rPr>
                <w:bCs/>
                <w:szCs w:val="24"/>
              </w:rPr>
              <w:t xml:space="preserve">Только мониторинг состояния. </w:t>
            </w:r>
          </w:p>
        </w:tc>
      </w:tr>
      <w:tr w:rsidR="00B7783A" w:rsidRPr="00DC46B0" w14:paraId="14F91866" w14:textId="77777777" w:rsidTr="005A428D">
        <w:trPr>
          <w:trHeight w:val="417"/>
        </w:trPr>
        <w:tc>
          <w:tcPr>
            <w:tcW w:w="1951" w:type="dxa"/>
            <w:shd w:val="clear" w:color="auto" w:fill="auto"/>
            <w:hideMark/>
          </w:tcPr>
          <w:p w14:paraId="5D993495" w14:textId="77777777" w:rsidR="00B7783A" w:rsidRPr="00DC46B0" w:rsidRDefault="00B7783A" w:rsidP="005A428D">
            <w:pPr>
              <w:rPr>
                <w:bCs/>
                <w:szCs w:val="24"/>
              </w:rPr>
            </w:pPr>
            <w:r w:rsidRPr="00DC46B0">
              <w:rPr>
                <w:bCs/>
                <w:szCs w:val="24"/>
              </w:rPr>
              <w:t xml:space="preserve">Очень низкий риск </w:t>
            </w:r>
          </w:p>
        </w:tc>
        <w:tc>
          <w:tcPr>
            <w:tcW w:w="7513" w:type="dxa"/>
            <w:shd w:val="clear" w:color="auto" w:fill="auto"/>
            <w:hideMark/>
          </w:tcPr>
          <w:p w14:paraId="5983163D" w14:textId="77777777" w:rsidR="00B7783A" w:rsidRPr="00DC46B0" w:rsidRDefault="00B7783A" w:rsidP="005A428D">
            <w:pPr>
              <w:rPr>
                <w:bCs/>
                <w:szCs w:val="24"/>
              </w:rPr>
            </w:pPr>
            <w:r w:rsidRPr="00DC46B0">
              <w:rPr>
                <w:bCs/>
                <w:szCs w:val="24"/>
              </w:rPr>
              <w:t xml:space="preserve">Только мониторинг состояния. </w:t>
            </w:r>
          </w:p>
        </w:tc>
      </w:tr>
    </w:tbl>
    <w:p w14:paraId="3329CCA9" w14:textId="77777777" w:rsidR="00B7783A" w:rsidRPr="00DC46B0" w:rsidRDefault="00B7783A" w:rsidP="00B7783A">
      <w:pPr>
        <w:rPr>
          <w:szCs w:val="24"/>
        </w:rPr>
      </w:pPr>
    </w:p>
    <w:p w14:paraId="659D2D6F" w14:textId="77777777" w:rsidR="00B7783A" w:rsidRDefault="00B7783A" w:rsidP="00B7783A">
      <w:pPr>
        <w:ind w:firstLine="709"/>
        <w:rPr>
          <w:szCs w:val="24"/>
        </w:rPr>
      </w:pPr>
      <w:r w:rsidRPr="00DC46B0">
        <w:rPr>
          <w:szCs w:val="24"/>
        </w:rPr>
        <w:t xml:space="preserve">Рекомендуется тщательный мониторинг состояния больных, получающих гематологическое противоопухолевое лечение, в том числе даже с низким и очень низким рисками развития осложнений (таб. 4). </w:t>
      </w:r>
    </w:p>
    <w:p w14:paraId="59E4E473" w14:textId="77777777" w:rsidR="00B7783A" w:rsidRPr="00DC46B0" w:rsidRDefault="00B7783A" w:rsidP="00B7783A">
      <w:pPr>
        <w:ind w:firstLine="709"/>
        <w:rPr>
          <w:szCs w:val="24"/>
        </w:rPr>
      </w:pPr>
    </w:p>
    <w:p w14:paraId="3D1CE38C" w14:textId="5E7FDA07" w:rsidR="00B7783A" w:rsidRPr="004F07FC" w:rsidRDefault="00B7783A" w:rsidP="00B7783A">
      <w:pPr>
        <w:rPr>
          <w:szCs w:val="24"/>
        </w:rPr>
      </w:pPr>
      <w:r w:rsidRPr="004F07FC">
        <w:rPr>
          <w:bCs/>
          <w:szCs w:val="24"/>
        </w:rPr>
        <w:t xml:space="preserve">Таблица 4. Мониторинг  пациентов в  зависимости  от  риска  кардиотоксичности </w:t>
      </w:r>
      <w:r>
        <w:rPr>
          <w:bCs/>
          <w:szCs w:val="24"/>
        </w:rPr>
        <w:fldChar w:fldCharType="begin" w:fldLock="1"/>
      </w:r>
      <w:r w:rsidR="005A6162">
        <w:rPr>
          <w:bCs/>
          <w:szCs w:val="24"/>
        </w:rPr>
        <w:instrText>ADDIN CSL_CITATION {"citationItems":[{"id":"ITEM-1","itemData":{"DOI":"10.1530/ERP-17-0013","ISSN":"20550464","abstract":"Cardio-oncology is a rapidly growing feld aimed at minimizing the effects of cardiovascular morbidity and mortality in cancer survivors. To meet this aim, patients are assessed at baseline to define their risk of cardiotoxicity and then followed closely during and after chemotherapy to assess for early signs or symptoms of cardiovascular disease. Cardiac imaging, and in particular, transthoracic echocardiography, plays an essential role in the baseline assessment and serial follow-up of cardio-oncology patients. The objectives of this paper are to review the mechanisms of cardiotoxicity of several common chemotherapeutic agents associated with an increased risk for left ventricular systolic dysfunction and to outline recommendations regarding the baseline assessment and serial follow-up of cardio-oncology patients with a focus on the role of echocardiography.","author":[{"dropping-particle":"","family":"Larsen","given":"Carolyn M.","non-dropping-particle":"","parse-names":false,"suffix":""},{"dropping-particle":"","family":"Mulvagh","given":"Sharon L.","non-dropping-particle":"","parse-names":false,"suffix":""}],"container-title":"Echo Research and Practice","id":"ITEM-1","issue":"1","issued":{"date-parts":[["2017","3","1"]]},"page":"R33-R41","publisher":"BioScientifica Ltd.","title":"Cardio-oncology: What you need to know now for clinical practice and echocardiography","type":"article","volume":"4"},"uris":["http://www.mendeley.com/documents/?uuid=8c6f1c03-ad49-3f5e-8b63-59b182a86311"]}],"mendeley":{"formattedCitation":"[185]","plainTextFormattedCitation":"[185]","previouslyFormattedCitation":"[185]"},"properties":{"noteIndex":0},"schema":"https://github.com/citation-style-language/schema/raw/master/csl-citation.json"}</w:instrText>
      </w:r>
      <w:r>
        <w:rPr>
          <w:bCs/>
          <w:szCs w:val="24"/>
        </w:rPr>
        <w:fldChar w:fldCharType="separate"/>
      </w:r>
      <w:r w:rsidRPr="00B7783A">
        <w:rPr>
          <w:bCs/>
          <w:noProof/>
          <w:szCs w:val="24"/>
        </w:rPr>
        <w:t>[185]</w:t>
      </w:r>
      <w:r>
        <w:rPr>
          <w:bCs/>
          <w:szCs w:val="24"/>
        </w:rPr>
        <w:fldChar w:fldCharType="end"/>
      </w:r>
      <w:r w:rsidRPr="004F07FC">
        <w:rPr>
          <w:bCs/>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395"/>
      </w:tblGrid>
      <w:tr w:rsidR="00B7783A" w:rsidRPr="00DC46B0" w14:paraId="60C975CD" w14:textId="77777777" w:rsidTr="005A428D">
        <w:tc>
          <w:tcPr>
            <w:tcW w:w="1951" w:type="dxa"/>
            <w:shd w:val="clear" w:color="auto" w:fill="auto"/>
          </w:tcPr>
          <w:p w14:paraId="18524E8C" w14:textId="77777777" w:rsidR="00B7783A" w:rsidRPr="00DC46B0" w:rsidRDefault="00B7783A" w:rsidP="005A428D">
            <w:pPr>
              <w:rPr>
                <w:b/>
                <w:bCs/>
                <w:szCs w:val="24"/>
              </w:rPr>
            </w:pPr>
            <w:r w:rsidRPr="00DC46B0">
              <w:rPr>
                <w:b/>
                <w:bCs/>
                <w:szCs w:val="24"/>
              </w:rPr>
              <w:t xml:space="preserve">      Оценка</w:t>
            </w:r>
          </w:p>
          <w:p w14:paraId="289C1EC9" w14:textId="77777777" w:rsidR="00B7783A" w:rsidRPr="00DC46B0" w:rsidRDefault="00B7783A" w:rsidP="005A428D">
            <w:pPr>
              <w:rPr>
                <w:b/>
                <w:szCs w:val="24"/>
              </w:rPr>
            </w:pPr>
            <w:r w:rsidRPr="00DC46B0">
              <w:rPr>
                <w:b/>
                <w:bCs/>
                <w:szCs w:val="24"/>
              </w:rPr>
              <w:t xml:space="preserve">       риска</w:t>
            </w:r>
          </w:p>
        </w:tc>
        <w:tc>
          <w:tcPr>
            <w:tcW w:w="7620" w:type="dxa"/>
            <w:shd w:val="clear" w:color="auto" w:fill="auto"/>
          </w:tcPr>
          <w:p w14:paraId="0855DB44" w14:textId="77777777" w:rsidR="00B7783A" w:rsidRPr="00DC46B0" w:rsidRDefault="00B7783A" w:rsidP="005A428D">
            <w:pPr>
              <w:jc w:val="center"/>
              <w:rPr>
                <w:b/>
                <w:szCs w:val="24"/>
              </w:rPr>
            </w:pPr>
            <w:r w:rsidRPr="00DC46B0">
              <w:rPr>
                <w:b/>
                <w:bCs/>
                <w:szCs w:val="24"/>
              </w:rPr>
              <w:t>Обследование</w:t>
            </w:r>
          </w:p>
        </w:tc>
      </w:tr>
      <w:tr w:rsidR="00B7783A" w:rsidRPr="00DC46B0" w14:paraId="26716299" w14:textId="77777777" w:rsidTr="005A428D">
        <w:tc>
          <w:tcPr>
            <w:tcW w:w="1951" w:type="dxa"/>
            <w:shd w:val="clear" w:color="auto" w:fill="auto"/>
          </w:tcPr>
          <w:p w14:paraId="2BB918DC" w14:textId="77777777" w:rsidR="00B7783A" w:rsidRPr="00DC46B0" w:rsidRDefault="00B7783A" w:rsidP="005A428D">
            <w:pPr>
              <w:rPr>
                <w:szCs w:val="24"/>
              </w:rPr>
            </w:pPr>
            <w:r w:rsidRPr="00DC46B0">
              <w:rPr>
                <w:bCs/>
                <w:szCs w:val="24"/>
              </w:rPr>
              <w:t>Очень высокий риск</w:t>
            </w:r>
          </w:p>
        </w:tc>
        <w:tc>
          <w:tcPr>
            <w:tcW w:w="7620" w:type="dxa"/>
            <w:shd w:val="clear" w:color="auto" w:fill="auto"/>
          </w:tcPr>
          <w:p w14:paraId="76FB6C29" w14:textId="77777777" w:rsidR="00B7783A" w:rsidRPr="00DC46B0" w:rsidRDefault="00B7783A" w:rsidP="005A428D">
            <w:pPr>
              <w:rPr>
                <w:szCs w:val="24"/>
              </w:rPr>
            </w:pPr>
            <w:r w:rsidRPr="00DC46B0">
              <w:rPr>
                <w:bCs/>
                <w:szCs w:val="24"/>
              </w:rPr>
              <w:t xml:space="preserve">ЭхоКГ с оценкой </w:t>
            </w:r>
            <w:r w:rsidRPr="00DC46B0">
              <w:rPr>
                <w:szCs w:val="24"/>
              </w:rPr>
              <w:t xml:space="preserve">глобальной продольной деформации </w:t>
            </w:r>
            <w:r w:rsidRPr="00DC46B0">
              <w:rPr>
                <w:bCs/>
                <w:szCs w:val="24"/>
              </w:rPr>
              <w:t>миокарда</w:t>
            </w:r>
            <w:r w:rsidRPr="00DC46B0">
              <w:rPr>
                <w:szCs w:val="24"/>
              </w:rPr>
              <w:t xml:space="preserve"> левого желудочка сердца</w:t>
            </w:r>
            <w:r w:rsidRPr="00DC46B0">
              <w:rPr>
                <w:bCs/>
                <w:szCs w:val="24"/>
              </w:rPr>
              <w:t xml:space="preserve"> перед началом химиотерапии, перед каждым последующим курсом, в конце лечения, на 3, 6 и 12-й месяцы после лечения. Желательно: ЭКГ, </w:t>
            </w:r>
            <w:r w:rsidRPr="00DC46B0">
              <w:rPr>
                <w:bCs/>
                <w:szCs w:val="24"/>
                <w:lang w:val="en-US"/>
              </w:rPr>
              <w:t>cTn</w:t>
            </w:r>
            <w:r w:rsidRPr="00DC46B0">
              <w:rPr>
                <w:bCs/>
                <w:szCs w:val="24"/>
              </w:rPr>
              <w:t>, ЭхоКГ во время химиотерапии.</w:t>
            </w:r>
          </w:p>
        </w:tc>
      </w:tr>
      <w:tr w:rsidR="00B7783A" w:rsidRPr="00DC46B0" w14:paraId="0E17570A" w14:textId="77777777" w:rsidTr="005A428D">
        <w:tc>
          <w:tcPr>
            <w:tcW w:w="1951" w:type="dxa"/>
            <w:shd w:val="clear" w:color="auto" w:fill="auto"/>
          </w:tcPr>
          <w:p w14:paraId="66E04B3D" w14:textId="77777777" w:rsidR="00B7783A" w:rsidRPr="00DC46B0" w:rsidRDefault="00B7783A" w:rsidP="005A428D">
            <w:pPr>
              <w:rPr>
                <w:szCs w:val="24"/>
              </w:rPr>
            </w:pPr>
            <w:r w:rsidRPr="00DC46B0">
              <w:rPr>
                <w:bCs/>
                <w:szCs w:val="24"/>
              </w:rPr>
              <w:t>Высокий риск</w:t>
            </w:r>
          </w:p>
        </w:tc>
        <w:tc>
          <w:tcPr>
            <w:tcW w:w="7620" w:type="dxa"/>
            <w:shd w:val="clear" w:color="auto" w:fill="auto"/>
          </w:tcPr>
          <w:p w14:paraId="45B36430" w14:textId="77777777" w:rsidR="00B7783A" w:rsidRPr="00DC46B0" w:rsidRDefault="00B7783A" w:rsidP="005A428D">
            <w:pPr>
              <w:rPr>
                <w:szCs w:val="24"/>
              </w:rPr>
            </w:pPr>
            <w:r w:rsidRPr="00DC46B0">
              <w:rPr>
                <w:bCs/>
                <w:szCs w:val="24"/>
              </w:rPr>
              <w:t xml:space="preserve">ЭхоКГ с оценкой </w:t>
            </w:r>
            <w:r w:rsidRPr="00DC46B0">
              <w:rPr>
                <w:szCs w:val="24"/>
              </w:rPr>
              <w:t xml:space="preserve">глобальной продольной деформации </w:t>
            </w:r>
            <w:r w:rsidRPr="00DC46B0">
              <w:rPr>
                <w:bCs/>
                <w:szCs w:val="24"/>
              </w:rPr>
              <w:t>миокарда</w:t>
            </w:r>
            <w:r w:rsidRPr="00DC46B0">
              <w:rPr>
                <w:szCs w:val="24"/>
              </w:rPr>
              <w:t xml:space="preserve"> левого желудочка сердца</w:t>
            </w:r>
            <w:r w:rsidRPr="00DC46B0">
              <w:rPr>
                <w:bCs/>
                <w:szCs w:val="24"/>
              </w:rPr>
              <w:t xml:space="preserve"> после каждого третьего курса, в конце лечения, через 3, 6 и 12 месяцев после лечения. Желательно: ЭКГ, </w:t>
            </w:r>
            <w:r w:rsidRPr="00DC46B0">
              <w:rPr>
                <w:bCs/>
                <w:szCs w:val="24"/>
                <w:lang w:val="en-US"/>
              </w:rPr>
              <w:t>cTn</w:t>
            </w:r>
            <w:r w:rsidRPr="00DC46B0">
              <w:rPr>
                <w:bCs/>
                <w:szCs w:val="24"/>
              </w:rPr>
              <w:t>, ЭхоКГ во время химиотерапии.</w:t>
            </w:r>
          </w:p>
        </w:tc>
      </w:tr>
      <w:tr w:rsidR="00B7783A" w:rsidRPr="00DC46B0" w14:paraId="4FCC19AF" w14:textId="77777777" w:rsidTr="005A428D">
        <w:tc>
          <w:tcPr>
            <w:tcW w:w="1951" w:type="dxa"/>
            <w:shd w:val="clear" w:color="auto" w:fill="auto"/>
          </w:tcPr>
          <w:p w14:paraId="3072C6B1" w14:textId="77777777" w:rsidR="00B7783A" w:rsidRPr="00DC46B0" w:rsidRDefault="00B7783A" w:rsidP="005A428D">
            <w:pPr>
              <w:rPr>
                <w:szCs w:val="24"/>
              </w:rPr>
            </w:pPr>
            <w:r w:rsidRPr="00DC46B0">
              <w:rPr>
                <w:bCs/>
                <w:szCs w:val="24"/>
              </w:rPr>
              <w:t>Промежуточный риск</w:t>
            </w:r>
          </w:p>
        </w:tc>
        <w:tc>
          <w:tcPr>
            <w:tcW w:w="7620" w:type="dxa"/>
            <w:shd w:val="clear" w:color="auto" w:fill="auto"/>
          </w:tcPr>
          <w:p w14:paraId="3E3D46A6" w14:textId="77777777" w:rsidR="00B7783A" w:rsidRPr="00DC46B0" w:rsidRDefault="00B7783A" w:rsidP="005A428D">
            <w:pPr>
              <w:rPr>
                <w:szCs w:val="24"/>
              </w:rPr>
            </w:pPr>
            <w:r w:rsidRPr="00DC46B0">
              <w:rPr>
                <w:bCs/>
                <w:szCs w:val="24"/>
              </w:rPr>
              <w:t xml:space="preserve">ЭхоКГ с оценкой </w:t>
            </w:r>
            <w:r w:rsidRPr="00DC46B0">
              <w:rPr>
                <w:szCs w:val="24"/>
              </w:rPr>
              <w:t xml:space="preserve">глобальной продольной деформации </w:t>
            </w:r>
            <w:r w:rsidRPr="00DC46B0">
              <w:rPr>
                <w:bCs/>
                <w:szCs w:val="24"/>
              </w:rPr>
              <w:t>миокарда</w:t>
            </w:r>
            <w:r w:rsidRPr="00DC46B0">
              <w:rPr>
                <w:szCs w:val="24"/>
              </w:rPr>
              <w:t xml:space="preserve"> левого желудочка сердца</w:t>
            </w:r>
            <w:r w:rsidRPr="00DC46B0">
              <w:rPr>
                <w:bCs/>
                <w:szCs w:val="24"/>
              </w:rPr>
              <w:t xml:space="preserve"> в середине и в конце лечения, через 3 и 6 месяцев после лечения. Желательно: ЭКГ, </w:t>
            </w:r>
            <w:r w:rsidRPr="00DC46B0">
              <w:rPr>
                <w:bCs/>
                <w:szCs w:val="24"/>
                <w:lang w:val="en-US"/>
              </w:rPr>
              <w:t>cTn</w:t>
            </w:r>
            <w:r w:rsidRPr="00DC46B0">
              <w:rPr>
                <w:bCs/>
                <w:szCs w:val="24"/>
              </w:rPr>
              <w:t>, ЭхоКГ во время химиотерапии.</w:t>
            </w:r>
          </w:p>
        </w:tc>
      </w:tr>
      <w:tr w:rsidR="00B7783A" w:rsidRPr="00DC46B0" w14:paraId="3A7D7531" w14:textId="77777777" w:rsidTr="005A428D">
        <w:tc>
          <w:tcPr>
            <w:tcW w:w="1951" w:type="dxa"/>
            <w:shd w:val="clear" w:color="auto" w:fill="auto"/>
          </w:tcPr>
          <w:p w14:paraId="64021E12" w14:textId="77777777" w:rsidR="00B7783A" w:rsidRPr="00DC46B0" w:rsidRDefault="00B7783A" w:rsidP="005A428D">
            <w:pPr>
              <w:rPr>
                <w:szCs w:val="24"/>
              </w:rPr>
            </w:pPr>
            <w:r w:rsidRPr="00DC46B0">
              <w:rPr>
                <w:bCs/>
                <w:szCs w:val="24"/>
              </w:rPr>
              <w:t>Низкий риск</w:t>
            </w:r>
          </w:p>
        </w:tc>
        <w:tc>
          <w:tcPr>
            <w:tcW w:w="7620" w:type="dxa"/>
            <w:shd w:val="clear" w:color="auto" w:fill="auto"/>
          </w:tcPr>
          <w:p w14:paraId="40488E07" w14:textId="77777777" w:rsidR="00B7783A" w:rsidRPr="00DC46B0" w:rsidRDefault="00B7783A" w:rsidP="005A428D">
            <w:pPr>
              <w:rPr>
                <w:szCs w:val="24"/>
              </w:rPr>
            </w:pPr>
            <w:r w:rsidRPr="00DC46B0">
              <w:rPr>
                <w:bCs/>
                <w:szCs w:val="24"/>
              </w:rPr>
              <w:t xml:space="preserve">По возможности ЭхоКГ с оценкой </w:t>
            </w:r>
            <w:r w:rsidRPr="00DC46B0">
              <w:rPr>
                <w:szCs w:val="24"/>
              </w:rPr>
              <w:t xml:space="preserve">глобальной продольной деформации </w:t>
            </w:r>
            <w:r w:rsidRPr="00DC46B0">
              <w:rPr>
                <w:bCs/>
                <w:szCs w:val="24"/>
              </w:rPr>
              <w:t>миокарда</w:t>
            </w:r>
            <w:r w:rsidRPr="00DC46B0">
              <w:rPr>
                <w:szCs w:val="24"/>
              </w:rPr>
              <w:t xml:space="preserve"> левого желудочка сердца</w:t>
            </w:r>
            <w:r w:rsidRPr="00DC46B0">
              <w:rPr>
                <w:bCs/>
                <w:szCs w:val="24"/>
              </w:rPr>
              <w:t xml:space="preserve"> и/или ЭКГ, </w:t>
            </w:r>
            <w:r w:rsidRPr="00DC46B0">
              <w:rPr>
                <w:bCs/>
                <w:szCs w:val="24"/>
                <w:lang w:val="en-US"/>
              </w:rPr>
              <w:t>cTn</w:t>
            </w:r>
            <w:r w:rsidRPr="00DC46B0">
              <w:rPr>
                <w:bCs/>
                <w:szCs w:val="24"/>
              </w:rPr>
              <w:t>, в конце химиотерапии.</w:t>
            </w:r>
          </w:p>
        </w:tc>
      </w:tr>
      <w:tr w:rsidR="00B7783A" w:rsidRPr="00DC46B0" w14:paraId="63F5261F" w14:textId="77777777" w:rsidTr="005A428D">
        <w:tc>
          <w:tcPr>
            <w:tcW w:w="1951" w:type="dxa"/>
            <w:shd w:val="clear" w:color="auto" w:fill="auto"/>
          </w:tcPr>
          <w:p w14:paraId="7A0599AF" w14:textId="77777777" w:rsidR="00B7783A" w:rsidRPr="00DC46B0" w:rsidRDefault="00B7783A" w:rsidP="005A428D">
            <w:pPr>
              <w:rPr>
                <w:szCs w:val="24"/>
              </w:rPr>
            </w:pPr>
            <w:r w:rsidRPr="00DC46B0">
              <w:rPr>
                <w:bCs/>
                <w:szCs w:val="24"/>
              </w:rPr>
              <w:t>Очень низкий риск</w:t>
            </w:r>
          </w:p>
        </w:tc>
        <w:tc>
          <w:tcPr>
            <w:tcW w:w="7620" w:type="dxa"/>
            <w:shd w:val="clear" w:color="auto" w:fill="auto"/>
          </w:tcPr>
          <w:p w14:paraId="43E5DA51" w14:textId="77777777" w:rsidR="00B7783A" w:rsidRPr="00DC46B0" w:rsidRDefault="00B7783A" w:rsidP="005A428D">
            <w:pPr>
              <w:rPr>
                <w:szCs w:val="24"/>
              </w:rPr>
            </w:pPr>
            <w:r w:rsidRPr="00DC46B0">
              <w:rPr>
                <w:bCs/>
                <w:szCs w:val="24"/>
              </w:rPr>
              <w:t xml:space="preserve">По возможности ЭхоКГ с оценкой </w:t>
            </w:r>
            <w:r w:rsidRPr="00DC46B0">
              <w:rPr>
                <w:szCs w:val="24"/>
              </w:rPr>
              <w:t xml:space="preserve">глобальной продольной деформации </w:t>
            </w:r>
            <w:r w:rsidRPr="00DC46B0">
              <w:rPr>
                <w:bCs/>
                <w:szCs w:val="24"/>
              </w:rPr>
              <w:t>миокарда</w:t>
            </w:r>
            <w:r w:rsidRPr="00DC46B0">
              <w:rPr>
                <w:szCs w:val="24"/>
              </w:rPr>
              <w:t xml:space="preserve"> левого желудочка сердца</w:t>
            </w:r>
            <w:r w:rsidRPr="00DC46B0">
              <w:rPr>
                <w:bCs/>
                <w:szCs w:val="24"/>
              </w:rPr>
              <w:t xml:space="preserve"> и/или ЭКГ, </w:t>
            </w:r>
            <w:r w:rsidRPr="00DC46B0">
              <w:rPr>
                <w:bCs/>
                <w:szCs w:val="24"/>
                <w:lang w:val="en-US"/>
              </w:rPr>
              <w:t>cTn</w:t>
            </w:r>
            <w:r w:rsidRPr="00DC46B0">
              <w:rPr>
                <w:bCs/>
                <w:szCs w:val="24"/>
              </w:rPr>
              <w:t>, в конце химиотерапии.</w:t>
            </w:r>
          </w:p>
        </w:tc>
      </w:tr>
    </w:tbl>
    <w:p w14:paraId="4EC46527" w14:textId="77777777" w:rsidR="00B7783A" w:rsidRPr="00DC46B0" w:rsidRDefault="00B7783A" w:rsidP="00B7783A">
      <w:pPr>
        <w:rPr>
          <w:szCs w:val="24"/>
        </w:rPr>
      </w:pPr>
    </w:p>
    <w:p w14:paraId="5F69669A" w14:textId="77777777" w:rsidR="00B7783A" w:rsidRPr="00DC46B0" w:rsidRDefault="00B7783A" w:rsidP="00B7783A">
      <w:pPr>
        <w:ind w:firstLine="709"/>
        <w:rPr>
          <w:szCs w:val="24"/>
        </w:rPr>
      </w:pPr>
      <w:r w:rsidRPr="00DC46B0">
        <w:rPr>
          <w:szCs w:val="24"/>
        </w:rPr>
        <w:t xml:space="preserve">Такой подход необходим для профилактики кардиотоксичности, проявляющейся тяжелой сердечной недостаточностью. Другие тяжелые осложнения – желудочковая тахикардия/фибрилляция желудочков сердца/внезапная смерть – могут развиться при введении (даже при первом) препарата антрациклинового ряда или бортезомиба, карфилзомиба,  ритуксимаба, ромидепсина. Поэтому первые введения этих препаратов желательно проводить при тщательном мониторинге, в помещении, в котором возможна электрическая дефибрилляция.  </w:t>
      </w:r>
    </w:p>
    <w:p w14:paraId="69920F30" w14:textId="77777777" w:rsidR="00B7783A" w:rsidRPr="00DC46B0" w:rsidRDefault="00B7783A" w:rsidP="00B7783A">
      <w:pPr>
        <w:ind w:firstLine="709"/>
        <w:rPr>
          <w:szCs w:val="24"/>
        </w:rPr>
      </w:pPr>
      <w:r w:rsidRPr="00DC46B0">
        <w:rPr>
          <w:szCs w:val="24"/>
        </w:rPr>
        <w:t xml:space="preserve">       Довольно многие противоопухолевые препараты удлиняют интервал QT  на ЭКГ (что способствует возникновению фибрилляции желудочков и внезапной смерти) –доксорубицин, бозутиниб, дазатиниб, нилотиниб, понатиниб, препараты триоксида мышьяка, вемурафениб и другие. Возможность удлинения интервала QT значительно увеличивается у пациентов с сердечно-сосудистыми заболеваниями или принимающих лекарства, индуцирующие удлинение электрокардиографического желудочкового комплекса. Пациенты, получающие лечение этими препаратами, должны пройти, кроме других видов обследования, суточное мониторирование ЭКГ.</w:t>
      </w:r>
    </w:p>
    <w:p w14:paraId="235D9E33" w14:textId="77777777" w:rsidR="00B7783A" w:rsidRPr="00DC46B0" w:rsidRDefault="00B7783A" w:rsidP="00B7783A">
      <w:pPr>
        <w:ind w:firstLine="709"/>
        <w:rPr>
          <w:szCs w:val="24"/>
        </w:rPr>
      </w:pPr>
      <w:r w:rsidRPr="00DC46B0">
        <w:rPr>
          <w:szCs w:val="24"/>
        </w:rPr>
        <w:t>Несколько менее тяжелые осложнения – брадикардия и атриовентрикулярная блокада 2 и 3 степеней, однако нередко требует имплантации кардиостимулятора. Препараты, которые могут вызывать брадиаритмию – антрациклины, бортезомиб, циклофосфан, ритуксимаб, ибрутиниб, талидомид. Факторы риска брадикардии, синоатриальной, атриовентрикулярной блокад – перенесенный инфаркт миокарда (особенно нижней локализации), синдромы и Ленегра, гиперкалиемия (в т.</w:t>
      </w:r>
      <w:r w:rsidRPr="004F07FC">
        <w:rPr>
          <w:szCs w:val="24"/>
        </w:rPr>
        <w:t xml:space="preserve"> </w:t>
      </w:r>
      <w:r w:rsidRPr="00DC46B0">
        <w:rPr>
          <w:szCs w:val="24"/>
        </w:rPr>
        <w:t xml:space="preserve">ч., вследствие синдрома лизиса опухоли), старческий возраст. </w:t>
      </w:r>
    </w:p>
    <w:p w14:paraId="598AC45F" w14:textId="77777777" w:rsidR="00B7783A" w:rsidRPr="00DC46B0" w:rsidRDefault="00B7783A" w:rsidP="00B7783A">
      <w:pPr>
        <w:ind w:firstLine="709"/>
        <w:rPr>
          <w:szCs w:val="24"/>
        </w:rPr>
      </w:pPr>
      <w:r w:rsidRPr="00DC46B0">
        <w:rPr>
          <w:szCs w:val="24"/>
        </w:rPr>
        <w:t>Кардиологическими нежелательными явлениями 1</w:t>
      </w:r>
      <w:r w:rsidRPr="00EB1E6B">
        <w:rPr>
          <w:szCs w:val="24"/>
        </w:rPr>
        <w:t>-</w:t>
      </w:r>
      <w:r w:rsidRPr="00DC46B0">
        <w:rPr>
          <w:szCs w:val="24"/>
        </w:rPr>
        <w:t>2 степени нередко являются АГ и ФП. ФП может возникать на фоне лечения ибрутинибом, циклофосфаном, изофосамидом, мельфаланом, антрациклинами, интерферонами, ритуксимабом, понатинибом. ФП нужно лечить совместно с кардиологом, чаще всего противоопухолевое лечение можно не прерывать. Сложность заключается в профилактике кардиоэмболического синдрома (прежде всего инсульта), возникающего при этом нарушении ритма. Профилактика состоит из назначения антикоагулянтов в соответствии со шкалой CHA</w:t>
      </w:r>
      <w:r w:rsidRPr="00DC46B0">
        <w:rPr>
          <w:szCs w:val="24"/>
          <w:vertAlign w:val="subscript"/>
        </w:rPr>
        <w:t>2</w:t>
      </w:r>
      <w:r w:rsidRPr="00DC46B0">
        <w:rPr>
          <w:szCs w:val="24"/>
        </w:rPr>
        <w:t>DS</w:t>
      </w:r>
      <w:r w:rsidRPr="00DC46B0">
        <w:rPr>
          <w:szCs w:val="24"/>
          <w:vertAlign w:val="subscript"/>
        </w:rPr>
        <w:t>2</w:t>
      </w:r>
      <w:r w:rsidRPr="00DC46B0">
        <w:rPr>
          <w:szCs w:val="24"/>
        </w:rPr>
        <w:t>Vasc. В то же время, при онкогематологических заболеваниях нередко имеется склонность к кровоточивости, а также некоторые препараты, применяемые для лечения этих больных (ибрутиниб) также индуцируют гипокоагуляцию. В таких случаях применяют новые антикоагулянты - ривароксабан, апиксабан, (некоторые авторы предпочитают их дабигатрану). АГ лечится по общим правилам гипотензивной терапии с учетом возможного взаимодействия гипотензивных средств с противоопухолевыми препаратами.</w:t>
      </w:r>
    </w:p>
    <w:p w14:paraId="3B9C530B" w14:textId="77777777" w:rsidR="00B7783A" w:rsidRDefault="00B7783A" w:rsidP="00B7783A">
      <w:pPr>
        <w:rPr>
          <w:b/>
          <w:szCs w:val="24"/>
        </w:rPr>
      </w:pPr>
    </w:p>
    <w:p w14:paraId="772AA15D" w14:textId="77777777" w:rsidR="00B7783A" w:rsidRPr="004F07FC" w:rsidRDefault="00B7783A" w:rsidP="00B7783A">
      <w:pPr>
        <w:rPr>
          <w:i/>
          <w:szCs w:val="24"/>
          <w:u w:val="single"/>
        </w:rPr>
      </w:pPr>
      <w:r w:rsidRPr="004F07FC">
        <w:rPr>
          <w:i/>
          <w:szCs w:val="24"/>
          <w:u w:val="single"/>
        </w:rPr>
        <w:t xml:space="preserve">Кардиологическое лечение гематологического пациента. </w:t>
      </w:r>
    </w:p>
    <w:p w14:paraId="397D5ADB" w14:textId="77777777" w:rsidR="00B7783A" w:rsidRPr="00DC46B0" w:rsidRDefault="00B7783A" w:rsidP="00B7783A">
      <w:pPr>
        <w:ind w:firstLine="709"/>
        <w:rPr>
          <w:szCs w:val="24"/>
        </w:rPr>
      </w:pPr>
      <w:r w:rsidRPr="00DC46B0">
        <w:rPr>
          <w:szCs w:val="24"/>
        </w:rPr>
        <w:t xml:space="preserve">Лекарственные препараты для лечения сердечно-сосудистых заболеваний у гематологических пациентов, их комбинации и дозовые режимы подбираются индивидуально в зависимости от показаний, с учетом диагностированного гематологического заболевания и планируемого гематологического лечения. </w:t>
      </w:r>
    </w:p>
    <w:p w14:paraId="191356F5" w14:textId="77777777" w:rsidR="00B7783A" w:rsidRPr="00DC46B0" w:rsidRDefault="00B7783A" w:rsidP="00B7783A">
      <w:pPr>
        <w:ind w:firstLine="709"/>
        <w:rPr>
          <w:szCs w:val="24"/>
        </w:rPr>
      </w:pPr>
      <w:r w:rsidRPr="00DC46B0">
        <w:rPr>
          <w:szCs w:val="24"/>
        </w:rPr>
        <w:t xml:space="preserve">Спектр основных применяемых сердечно-сосудистых препаратов:  </w:t>
      </w:r>
    </w:p>
    <w:p w14:paraId="15FBAEDA" w14:textId="77777777" w:rsidR="00B7783A" w:rsidRPr="004F07FC" w:rsidRDefault="00B7783A" w:rsidP="0091350E">
      <w:pPr>
        <w:pStyle w:val="aff"/>
        <w:numPr>
          <w:ilvl w:val="0"/>
          <w:numId w:val="110"/>
        </w:numPr>
        <w:contextualSpacing/>
        <w:rPr>
          <w:szCs w:val="24"/>
        </w:rPr>
      </w:pPr>
      <w:r w:rsidRPr="004F07FC">
        <w:rPr>
          <w:szCs w:val="24"/>
        </w:rPr>
        <w:t xml:space="preserve">Ингибиторы ангиотензинпревращающего фермента – Эналаприл, Периндоприл, Рамиприл,  Лизиноприл, Фозиноприл, Моэксиприл и др. </w:t>
      </w:r>
    </w:p>
    <w:p w14:paraId="736F9D5C" w14:textId="77777777" w:rsidR="00B7783A" w:rsidRPr="004F07FC" w:rsidRDefault="00B7783A" w:rsidP="0091350E">
      <w:pPr>
        <w:pStyle w:val="aff"/>
        <w:numPr>
          <w:ilvl w:val="0"/>
          <w:numId w:val="110"/>
        </w:numPr>
        <w:contextualSpacing/>
        <w:rPr>
          <w:szCs w:val="24"/>
        </w:rPr>
      </w:pPr>
      <w:r w:rsidRPr="004F07FC">
        <w:rPr>
          <w:szCs w:val="24"/>
        </w:rPr>
        <w:t>Антагонисты рецепторов ангиотензина II – Лозартан, Валсартан, Кандесартан, Телмисартан и др.</w:t>
      </w:r>
    </w:p>
    <w:p w14:paraId="1BF4CD28" w14:textId="77777777" w:rsidR="00B7783A" w:rsidRPr="004F07FC" w:rsidRDefault="00B7783A" w:rsidP="0091350E">
      <w:pPr>
        <w:pStyle w:val="aff"/>
        <w:numPr>
          <w:ilvl w:val="0"/>
          <w:numId w:val="110"/>
        </w:numPr>
        <w:contextualSpacing/>
        <w:rPr>
          <w:szCs w:val="24"/>
        </w:rPr>
      </w:pPr>
      <w:r w:rsidRPr="004F07FC">
        <w:rPr>
          <w:szCs w:val="24"/>
        </w:rPr>
        <w:t xml:space="preserve">Ингибиторы ангиотензиновых рецепторов и неприлизина – комбинированное </w:t>
      </w:r>
      <w:r w:rsidRPr="004F07FC">
        <w:rPr>
          <w:rStyle w:val="1fb"/>
          <w:szCs w:val="24"/>
        </w:rPr>
        <w:t xml:space="preserve">гипотензивное средство </w:t>
      </w:r>
      <w:r w:rsidRPr="004F07FC">
        <w:rPr>
          <w:szCs w:val="24"/>
        </w:rPr>
        <w:t>Валсартан /сакубитрил, и др.</w:t>
      </w:r>
    </w:p>
    <w:p w14:paraId="196F3F64" w14:textId="77777777" w:rsidR="00B7783A" w:rsidRPr="004F07FC" w:rsidRDefault="00B7783A" w:rsidP="0091350E">
      <w:pPr>
        <w:pStyle w:val="aff"/>
        <w:numPr>
          <w:ilvl w:val="0"/>
          <w:numId w:val="110"/>
        </w:numPr>
        <w:contextualSpacing/>
        <w:rPr>
          <w:szCs w:val="24"/>
        </w:rPr>
      </w:pPr>
      <w:r w:rsidRPr="004F07FC">
        <w:rPr>
          <w:szCs w:val="24"/>
        </w:rPr>
        <w:t>Бета-адреноблокаторы – Бисопролол, Метопролол, Карведилол, Небиволол и др.</w:t>
      </w:r>
    </w:p>
    <w:p w14:paraId="5BDF9A38" w14:textId="77777777" w:rsidR="00B7783A" w:rsidRPr="004F07FC" w:rsidRDefault="00B7783A" w:rsidP="0091350E">
      <w:pPr>
        <w:pStyle w:val="aff"/>
        <w:numPr>
          <w:ilvl w:val="0"/>
          <w:numId w:val="110"/>
        </w:numPr>
        <w:contextualSpacing/>
        <w:rPr>
          <w:szCs w:val="24"/>
        </w:rPr>
      </w:pPr>
      <w:r w:rsidRPr="004F07FC">
        <w:rPr>
          <w:szCs w:val="24"/>
        </w:rPr>
        <w:t>Антагонисты кальция (дигидропиридины) – Амлодипин, Лерканидипин, Фелодипин и др.</w:t>
      </w:r>
    </w:p>
    <w:p w14:paraId="2C2C4DB5" w14:textId="77777777" w:rsidR="00B7783A" w:rsidRPr="004F07FC" w:rsidRDefault="00B7783A" w:rsidP="0091350E">
      <w:pPr>
        <w:pStyle w:val="aff"/>
        <w:numPr>
          <w:ilvl w:val="0"/>
          <w:numId w:val="110"/>
        </w:numPr>
        <w:contextualSpacing/>
        <w:rPr>
          <w:szCs w:val="24"/>
        </w:rPr>
      </w:pPr>
      <w:r w:rsidRPr="004F07FC">
        <w:rPr>
          <w:szCs w:val="24"/>
        </w:rPr>
        <w:t>Агонисты имидазолиновых рецепторов – Моксонидин, Рилменидин и др.</w:t>
      </w:r>
    </w:p>
    <w:p w14:paraId="3AADD9CB" w14:textId="77777777" w:rsidR="00B7783A" w:rsidRPr="004F07FC" w:rsidRDefault="00B7783A" w:rsidP="0091350E">
      <w:pPr>
        <w:pStyle w:val="aff"/>
        <w:numPr>
          <w:ilvl w:val="0"/>
          <w:numId w:val="110"/>
        </w:numPr>
        <w:contextualSpacing/>
        <w:rPr>
          <w:szCs w:val="24"/>
        </w:rPr>
      </w:pPr>
      <w:r w:rsidRPr="004F07FC">
        <w:rPr>
          <w:szCs w:val="24"/>
        </w:rPr>
        <w:t>Антикоагулянты – Нефракционированный гепарин, Низкомолекулярные гепарины, витамин К-зависимые антикоагулянты (Варфарин), витамин К-независимые антикоагулянты (Апиксксабан, Ривароксабан, Дабигатран) и др.</w:t>
      </w:r>
    </w:p>
    <w:p w14:paraId="3A890DB3" w14:textId="77777777" w:rsidR="00B7783A" w:rsidRPr="004F07FC" w:rsidRDefault="00B7783A" w:rsidP="0091350E">
      <w:pPr>
        <w:pStyle w:val="aff"/>
        <w:numPr>
          <w:ilvl w:val="0"/>
          <w:numId w:val="110"/>
        </w:numPr>
        <w:contextualSpacing/>
        <w:rPr>
          <w:szCs w:val="24"/>
        </w:rPr>
      </w:pPr>
      <w:r w:rsidRPr="004F07FC">
        <w:rPr>
          <w:szCs w:val="24"/>
        </w:rPr>
        <w:t>Антиагреганты – Аспирин, Клопидогрел и др.</w:t>
      </w:r>
    </w:p>
    <w:p w14:paraId="36DF5469" w14:textId="77777777" w:rsidR="00B7783A" w:rsidRPr="004F07FC" w:rsidRDefault="00B7783A" w:rsidP="0091350E">
      <w:pPr>
        <w:pStyle w:val="aff"/>
        <w:numPr>
          <w:ilvl w:val="0"/>
          <w:numId w:val="110"/>
        </w:numPr>
        <w:contextualSpacing/>
        <w:rPr>
          <w:szCs w:val="24"/>
        </w:rPr>
      </w:pPr>
      <w:r w:rsidRPr="004F07FC">
        <w:rPr>
          <w:szCs w:val="24"/>
        </w:rPr>
        <w:t>Диуретики – калийсберегающие (Спиронолоктон, Эплеренон и др.), тиазидоподобные (Гидрохлортиазид, Хлорталидон, Клопамид, Индапамид), петлевые (Фуросемид, Торасемид, Этакриновая кислота и др.).</w:t>
      </w:r>
    </w:p>
    <w:p w14:paraId="30B60574" w14:textId="77777777" w:rsidR="00B7783A" w:rsidRPr="004F07FC" w:rsidRDefault="00B7783A" w:rsidP="0091350E">
      <w:pPr>
        <w:pStyle w:val="aff"/>
        <w:numPr>
          <w:ilvl w:val="0"/>
          <w:numId w:val="110"/>
        </w:numPr>
        <w:contextualSpacing/>
        <w:rPr>
          <w:szCs w:val="24"/>
        </w:rPr>
      </w:pPr>
      <w:r w:rsidRPr="004F07FC">
        <w:rPr>
          <w:szCs w:val="24"/>
        </w:rPr>
        <w:t>Статины – Розувастатин, Симвастатин, Аторвастатин и др.</w:t>
      </w:r>
    </w:p>
    <w:p w14:paraId="51FC0DA7" w14:textId="77777777" w:rsidR="00B7783A" w:rsidRPr="004F07FC" w:rsidRDefault="00B7783A" w:rsidP="0091350E">
      <w:pPr>
        <w:pStyle w:val="aff"/>
        <w:numPr>
          <w:ilvl w:val="0"/>
          <w:numId w:val="110"/>
        </w:numPr>
        <w:contextualSpacing/>
        <w:rPr>
          <w:szCs w:val="24"/>
        </w:rPr>
      </w:pPr>
      <w:r w:rsidRPr="004F07FC">
        <w:rPr>
          <w:szCs w:val="24"/>
        </w:rPr>
        <w:t>Антиаритмические средства – Соталол, Амиодарон, Этацизин, Новокаинамид, и др.</w:t>
      </w:r>
    </w:p>
    <w:p w14:paraId="4DA4A9B1" w14:textId="77777777" w:rsidR="00B7783A" w:rsidRPr="004F07FC" w:rsidRDefault="00B7783A" w:rsidP="0091350E">
      <w:pPr>
        <w:pStyle w:val="aff"/>
        <w:numPr>
          <w:ilvl w:val="0"/>
          <w:numId w:val="110"/>
        </w:numPr>
        <w:contextualSpacing/>
        <w:rPr>
          <w:szCs w:val="24"/>
        </w:rPr>
      </w:pPr>
      <w:r w:rsidRPr="004F07FC">
        <w:rPr>
          <w:szCs w:val="24"/>
        </w:rPr>
        <w:t>Нитровазодилататоры – Изосорбида динитрат, Изосорбида-5-мононитрат, Глицерила тринитрат, и др.</w:t>
      </w:r>
    </w:p>
    <w:p w14:paraId="410EC5F7" w14:textId="77777777" w:rsidR="00B7783A" w:rsidRPr="004F07FC" w:rsidRDefault="00B7783A" w:rsidP="0091350E">
      <w:pPr>
        <w:pStyle w:val="aff"/>
        <w:numPr>
          <w:ilvl w:val="0"/>
          <w:numId w:val="110"/>
        </w:numPr>
        <w:contextualSpacing/>
        <w:rPr>
          <w:szCs w:val="24"/>
        </w:rPr>
      </w:pPr>
      <w:r w:rsidRPr="004F07FC">
        <w:rPr>
          <w:szCs w:val="24"/>
        </w:rPr>
        <w:t>Сердечные гликозиды –Дигоксин  и др.</w:t>
      </w:r>
    </w:p>
    <w:p w14:paraId="58DB76F0" w14:textId="77777777" w:rsidR="00B7783A" w:rsidRPr="00DC46B0" w:rsidRDefault="00B7783A" w:rsidP="00B7783A">
      <w:pPr>
        <w:ind w:firstLine="709"/>
        <w:rPr>
          <w:szCs w:val="24"/>
        </w:rPr>
      </w:pPr>
      <w:r w:rsidRPr="00DC46B0">
        <w:rPr>
          <w:szCs w:val="24"/>
        </w:rPr>
        <w:t>Выбор терапии требует анализа межлекарственных взаимодействий и возможного потенцирования эффектов различных препаратов (кардиологических и гематологических). Для профилактики, диагностики и лечения кардиальной патологии у гематологического пациента необходимо своевременно и адекватно мониторировать функцию сердечно-сосудистой системы и вести пациента во взаимодействии гематолога и кардиолога.</w:t>
      </w:r>
    </w:p>
    <w:p w14:paraId="59F72B79" w14:textId="77777777" w:rsidR="00640C0A" w:rsidRDefault="00640C0A" w:rsidP="00F15197">
      <w:pPr>
        <w:pStyle w:val="2"/>
      </w:pPr>
    </w:p>
    <w:p w14:paraId="3CF9483F" w14:textId="77777777" w:rsidR="00651041" w:rsidRPr="00A33E55" w:rsidRDefault="00651041" w:rsidP="00080E0A">
      <w:pPr>
        <w:pStyle w:val="2"/>
      </w:pPr>
    </w:p>
    <w:p w14:paraId="6BDEDB32" w14:textId="77777777" w:rsidR="00080E0A" w:rsidRPr="00080E0A" w:rsidRDefault="00080E0A" w:rsidP="00080E0A">
      <w:pPr>
        <w:ind w:left="360"/>
        <w:rPr>
          <w:szCs w:val="24"/>
        </w:rPr>
      </w:pPr>
    </w:p>
    <w:p w14:paraId="6E7863E2" w14:textId="3E417D60" w:rsidR="00F20CFD" w:rsidRPr="00FC71C2" w:rsidRDefault="00051444" w:rsidP="004C69FE">
      <w:pPr>
        <w:pStyle w:val="2"/>
        <w:jc w:val="center"/>
      </w:pPr>
      <w:bookmarkStart w:id="59" w:name="_Toc26182087"/>
      <w:bookmarkEnd w:id="59"/>
      <w:r>
        <w:br w:type="page"/>
      </w:r>
      <w:bookmarkStart w:id="60" w:name="_Toc65104117"/>
      <w:r w:rsidR="00F20CFD" w:rsidRPr="004C69FE">
        <w:rPr>
          <w:sz w:val="28"/>
          <w:szCs w:val="28"/>
          <w:u w:val="none"/>
        </w:rPr>
        <w:t>Критерии оценки качества медицинской помощи</w:t>
      </w:r>
      <w:bookmarkEnd w:id="60"/>
    </w:p>
    <w:tbl>
      <w:tblPr>
        <w:tblW w:w="9600" w:type="dxa"/>
        <w:tblInd w:w="2" w:type="dxa"/>
        <w:tblCellMar>
          <w:top w:w="15" w:type="dxa"/>
          <w:left w:w="15" w:type="dxa"/>
          <w:bottom w:w="15" w:type="dxa"/>
          <w:right w:w="15" w:type="dxa"/>
        </w:tblCellMar>
        <w:tblLook w:val="00A0" w:firstRow="1" w:lastRow="0" w:firstColumn="1" w:lastColumn="0" w:noHBand="0" w:noVBand="0"/>
      </w:tblPr>
      <w:tblGrid>
        <w:gridCol w:w="968"/>
        <w:gridCol w:w="5281"/>
        <w:gridCol w:w="1607"/>
        <w:gridCol w:w="1744"/>
      </w:tblGrid>
      <w:tr w:rsidR="00F20CFD" w:rsidRPr="001E3EF7" w14:paraId="2BFC1A6A" w14:textId="77777777" w:rsidTr="00610E58">
        <w:tc>
          <w:tcPr>
            <w:tcW w:w="968" w:type="dxa"/>
            <w:tcBorders>
              <w:top w:val="single" w:sz="6" w:space="0" w:color="000000"/>
              <w:left w:val="single" w:sz="6" w:space="0" w:color="000000"/>
              <w:bottom w:val="single" w:sz="6" w:space="0" w:color="000000"/>
              <w:right w:val="single" w:sz="6" w:space="0" w:color="000000"/>
            </w:tcBorders>
            <w:vAlign w:val="center"/>
          </w:tcPr>
          <w:p w14:paraId="1B9CDA67" w14:textId="77777777" w:rsidR="00F20CFD" w:rsidRPr="008D7156" w:rsidRDefault="00F20CFD" w:rsidP="00EA7BF5">
            <w:pPr>
              <w:jc w:val="center"/>
              <w:rPr>
                <w:b/>
                <w:sz w:val="22"/>
                <w:szCs w:val="24"/>
              </w:rPr>
            </w:pPr>
            <w:r w:rsidRPr="008D7156">
              <w:rPr>
                <w:b/>
                <w:sz w:val="22"/>
                <w:szCs w:val="24"/>
              </w:rPr>
              <w:t>№</w:t>
            </w:r>
          </w:p>
        </w:tc>
        <w:tc>
          <w:tcPr>
            <w:tcW w:w="5281" w:type="dxa"/>
            <w:tcBorders>
              <w:top w:val="single" w:sz="6" w:space="0" w:color="000000"/>
              <w:left w:val="single" w:sz="6" w:space="0" w:color="000000"/>
              <w:bottom w:val="single" w:sz="6" w:space="0" w:color="000000"/>
              <w:right w:val="single" w:sz="6" w:space="0" w:color="000000"/>
            </w:tcBorders>
            <w:vAlign w:val="center"/>
          </w:tcPr>
          <w:p w14:paraId="6B735A49" w14:textId="77777777" w:rsidR="00F20CFD" w:rsidRPr="008D7156" w:rsidRDefault="00F20CFD" w:rsidP="00C74205">
            <w:pPr>
              <w:jc w:val="center"/>
              <w:rPr>
                <w:b/>
                <w:sz w:val="22"/>
                <w:szCs w:val="24"/>
              </w:rPr>
            </w:pPr>
            <w:r w:rsidRPr="008D7156">
              <w:rPr>
                <w:b/>
                <w:sz w:val="22"/>
                <w:szCs w:val="24"/>
              </w:rPr>
              <w:t>Критерии качества</w:t>
            </w:r>
          </w:p>
        </w:tc>
        <w:tc>
          <w:tcPr>
            <w:tcW w:w="1607" w:type="dxa"/>
            <w:tcBorders>
              <w:top w:val="single" w:sz="6" w:space="0" w:color="000000"/>
              <w:left w:val="single" w:sz="6" w:space="0" w:color="000000"/>
              <w:bottom w:val="single" w:sz="6" w:space="0" w:color="000000"/>
              <w:right w:val="single" w:sz="6" w:space="0" w:color="000000"/>
            </w:tcBorders>
            <w:vAlign w:val="center"/>
          </w:tcPr>
          <w:p w14:paraId="435B9D8D" w14:textId="77777777" w:rsidR="00F20CFD" w:rsidRPr="008D7156" w:rsidRDefault="00F20CFD" w:rsidP="00EA7BF5">
            <w:pPr>
              <w:jc w:val="center"/>
              <w:rPr>
                <w:b/>
                <w:sz w:val="22"/>
                <w:szCs w:val="24"/>
              </w:rPr>
            </w:pPr>
            <w:r w:rsidRPr="008D7156">
              <w:rPr>
                <w:b/>
                <w:sz w:val="22"/>
                <w:szCs w:val="24"/>
              </w:rPr>
              <w:t>Уровень достоверности доказательств</w:t>
            </w:r>
          </w:p>
        </w:tc>
        <w:tc>
          <w:tcPr>
            <w:tcW w:w="1744" w:type="dxa"/>
            <w:tcBorders>
              <w:top w:val="single" w:sz="6" w:space="0" w:color="000000"/>
              <w:left w:val="single" w:sz="6" w:space="0" w:color="000000"/>
              <w:bottom w:val="single" w:sz="6" w:space="0" w:color="000000"/>
              <w:right w:val="single" w:sz="6" w:space="0" w:color="000000"/>
            </w:tcBorders>
            <w:vAlign w:val="center"/>
          </w:tcPr>
          <w:p w14:paraId="2CB80DF4" w14:textId="77777777" w:rsidR="00F20CFD" w:rsidRPr="008D7156" w:rsidRDefault="00F20CFD" w:rsidP="00EA7BF5">
            <w:pPr>
              <w:jc w:val="center"/>
              <w:rPr>
                <w:b/>
                <w:sz w:val="22"/>
                <w:szCs w:val="24"/>
              </w:rPr>
            </w:pPr>
            <w:r w:rsidRPr="008D7156">
              <w:rPr>
                <w:b/>
                <w:sz w:val="22"/>
                <w:szCs w:val="24"/>
              </w:rPr>
              <w:t>Уровень убедительности рекомендаций</w:t>
            </w:r>
          </w:p>
        </w:tc>
      </w:tr>
      <w:tr w:rsidR="00F20CFD" w:rsidRPr="001E3EF7" w14:paraId="61D34E68" w14:textId="77777777" w:rsidTr="00610E58">
        <w:tc>
          <w:tcPr>
            <w:tcW w:w="968" w:type="dxa"/>
            <w:tcBorders>
              <w:top w:val="single" w:sz="6" w:space="0" w:color="000000"/>
              <w:left w:val="single" w:sz="6" w:space="0" w:color="000000"/>
              <w:bottom w:val="single" w:sz="6" w:space="0" w:color="000000"/>
              <w:right w:val="single" w:sz="6" w:space="0" w:color="000000"/>
            </w:tcBorders>
            <w:vAlign w:val="center"/>
          </w:tcPr>
          <w:p w14:paraId="018E2702" w14:textId="77777777" w:rsidR="00F20CFD" w:rsidRPr="008D7156" w:rsidRDefault="00F20CFD" w:rsidP="00EA7BF5">
            <w:pPr>
              <w:jc w:val="center"/>
              <w:rPr>
                <w:sz w:val="22"/>
                <w:szCs w:val="24"/>
              </w:rPr>
            </w:pPr>
            <w:r w:rsidRPr="008D7156">
              <w:rPr>
                <w:sz w:val="22"/>
                <w:szCs w:val="24"/>
              </w:rPr>
              <w:t>1</w:t>
            </w:r>
          </w:p>
        </w:tc>
        <w:tc>
          <w:tcPr>
            <w:tcW w:w="5281" w:type="dxa"/>
            <w:tcBorders>
              <w:top w:val="single" w:sz="6" w:space="0" w:color="000000"/>
              <w:left w:val="single" w:sz="6" w:space="0" w:color="000000"/>
              <w:bottom w:val="single" w:sz="6" w:space="0" w:color="000000"/>
              <w:right w:val="single" w:sz="6" w:space="0" w:color="000000"/>
            </w:tcBorders>
            <w:vAlign w:val="center"/>
          </w:tcPr>
          <w:p w14:paraId="457B2AAE" w14:textId="77777777" w:rsidR="00F20CFD" w:rsidRPr="00F57212" w:rsidRDefault="00F20CFD" w:rsidP="00EA7BF5">
            <w:pPr>
              <w:rPr>
                <w:sz w:val="22"/>
                <w:szCs w:val="24"/>
              </w:rPr>
            </w:pPr>
            <w:r w:rsidRPr="00F57212">
              <w:rPr>
                <w:sz w:val="22"/>
                <w:szCs w:val="24"/>
              </w:rPr>
              <w:t>Пациенту при подозрении на МДС, а также пациенту с установленным МДС в процессе лечения и при контрольном обследовании выполнен клинический анализ крови с подсчетом лейкоцитарной формулы не на автоматическом анализаторе, с подсчетом количества тромбоцитов и ретикулоцитов</w:t>
            </w:r>
          </w:p>
        </w:tc>
        <w:tc>
          <w:tcPr>
            <w:tcW w:w="1607" w:type="dxa"/>
            <w:tcBorders>
              <w:top w:val="single" w:sz="6" w:space="0" w:color="000000"/>
              <w:left w:val="single" w:sz="6" w:space="0" w:color="000000"/>
              <w:bottom w:val="single" w:sz="6" w:space="0" w:color="000000"/>
              <w:right w:val="single" w:sz="6" w:space="0" w:color="000000"/>
            </w:tcBorders>
            <w:vAlign w:val="center"/>
          </w:tcPr>
          <w:p w14:paraId="21211C79" w14:textId="77777777" w:rsidR="00F20CFD" w:rsidRPr="008D7156" w:rsidRDefault="00F20CFD" w:rsidP="006506C5">
            <w:pPr>
              <w:jc w:val="center"/>
              <w:rPr>
                <w:sz w:val="22"/>
                <w:szCs w:val="24"/>
              </w:rPr>
            </w:pPr>
            <w:r w:rsidRPr="008D7156">
              <w:rPr>
                <w:sz w:val="22"/>
                <w:szCs w:val="24"/>
              </w:rPr>
              <w:t>2</w:t>
            </w:r>
          </w:p>
        </w:tc>
        <w:tc>
          <w:tcPr>
            <w:tcW w:w="1744" w:type="dxa"/>
            <w:tcBorders>
              <w:top w:val="single" w:sz="6" w:space="0" w:color="000000"/>
              <w:left w:val="single" w:sz="6" w:space="0" w:color="000000"/>
              <w:bottom w:val="single" w:sz="6" w:space="0" w:color="000000"/>
              <w:right w:val="single" w:sz="6" w:space="0" w:color="000000"/>
            </w:tcBorders>
            <w:vAlign w:val="center"/>
          </w:tcPr>
          <w:p w14:paraId="0E4E02EF" w14:textId="77777777" w:rsidR="00F20CFD" w:rsidRPr="008D7156" w:rsidRDefault="00F20CFD" w:rsidP="00EA7BF5">
            <w:pPr>
              <w:ind w:firstLine="709"/>
              <w:rPr>
                <w:sz w:val="22"/>
                <w:szCs w:val="24"/>
              </w:rPr>
            </w:pPr>
            <w:r w:rsidRPr="008D7156">
              <w:rPr>
                <w:sz w:val="22"/>
                <w:szCs w:val="24"/>
              </w:rPr>
              <w:t>А</w:t>
            </w:r>
          </w:p>
        </w:tc>
      </w:tr>
      <w:tr w:rsidR="00F20CFD" w:rsidRPr="001E3EF7" w14:paraId="4657D779" w14:textId="77777777" w:rsidTr="00610E58">
        <w:tc>
          <w:tcPr>
            <w:tcW w:w="968" w:type="dxa"/>
            <w:tcBorders>
              <w:top w:val="single" w:sz="6" w:space="0" w:color="000000"/>
              <w:left w:val="single" w:sz="6" w:space="0" w:color="000000"/>
              <w:bottom w:val="single" w:sz="6" w:space="0" w:color="000000"/>
              <w:right w:val="single" w:sz="6" w:space="0" w:color="000000"/>
            </w:tcBorders>
            <w:vAlign w:val="center"/>
          </w:tcPr>
          <w:p w14:paraId="0273E5D8" w14:textId="77777777" w:rsidR="00F20CFD" w:rsidRPr="008D7156" w:rsidRDefault="00F20CFD" w:rsidP="00EA7BF5">
            <w:pPr>
              <w:jc w:val="center"/>
              <w:rPr>
                <w:sz w:val="22"/>
                <w:szCs w:val="24"/>
              </w:rPr>
            </w:pPr>
            <w:r w:rsidRPr="008D7156">
              <w:rPr>
                <w:sz w:val="22"/>
                <w:szCs w:val="24"/>
              </w:rPr>
              <w:t>2</w:t>
            </w:r>
          </w:p>
        </w:tc>
        <w:tc>
          <w:tcPr>
            <w:tcW w:w="5281" w:type="dxa"/>
            <w:tcBorders>
              <w:top w:val="single" w:sz="6" w:space="0" w:color="000000"/>
              <w:left w:val="single" w:sz="6" w:space="0" w:color="000000"/>
              <w:bottom w:val="single" w:sz="6" w:space="0" w:color="000000"/>
              <w:right w:val="single" w:sz="6" w:space="0" w:color="000000"/>
            </w:tcBorders>
            <w:vAlign w:val="center"/>
          </w:tcPr>
          <w:p w14:paraId="33453ED3" w14:textId="77777777" w:rsidR="00F20CFD" w:rsidRPr="003C7A39" w:rsidRDefault="00F20CFD" w:rsidP="000D2CA0">
            <w:pPr>
              <w:rPr>
                <w:sz w:val="22"/>
                <w:szCs w:val="24"/>
              </w:rPr>
            </w:pPr>
            <w:r w:rsidRPr="00F57212">
              <w:rPr>
                <w:sz w:val="22"/>
                <w:szCs w:val="24"/>
              </w:rPr>
              <w:t xml:space="preserve">Пациенту при подозрении на МДС, а также пациенту с установленным МДС в процессе лечения и при контрольном обследовании выполнен биохимический анализ крови с определением уровня общего белка, альбуминов и глобулинов, мочевины, креатинина, билирубина общего и прямого, активности аминотрансфераз </w:t>
            </w:r>
            <w:r w:rsidRPr="003C7A39">
              <w:rPr>
                <w:sz w:val="22"/>
                <w:szCs w:val="24"/>
              </w:rPr>
              <w:t>(АСТ, АЛТ), щелочной фосфатазы, ЛДГ, уровня холестерина, триглицеридов, глюкозы</w:t>
            </w:r>
          </w:p>
        </w:tc>
        <w:tc>
          <w:tcPr>
            <w:tcW w:w="1607" w:type="dxa"/>
            <w:tcBorders>
              <w:top w:val="single" w:sz="6" w:space="0" w:color="000000"/>
              <w:left w:val="single" w:sz="6" w:space="0" w:color="000000"/>
              <w:bottom w:val="single" w:sz="6" w:space="0" w:color="000000"/>
              <w:right w:val="single" w:sz="6" w:space="0" w:color="000000"/>
            </w:tcBorders>
            <w:vAlign w:val="center"/>
          </w:tcPr>
          <w:p w14:paraId="0287F6B5" w14:textId="77777777" w:rsidR="00F20CFD" w:rsidRPr="008D7156" w:rsidRDefault="00F20CFD" w:rsidP="00EA7BF5">
            <w:pPr>
              <w:ind w:firstLine="709"/>
              <w:rPr>
                <w:sz w:val="22"/>
                <w:szCs w:val="24"/>
              </w:rPr>
            </w:pPr>
            <w:r w:rsidRPr="008D7156">
              <w:rPr>
                <w:sz w:val="22"/>
                <w:szCs w:val="24"/>
              </w:rPr>
              <w:t>5</w:t>
            </w:r>
          </w:p>
        </w:tc>
        <w:tc>
          <w:tcPr>
            <w:tcW w:w="1744" w:type="dxa"/>
            <w:tcBorders>
              <w:top w:val="single" w:sz="6" w:space="0" w:color="000000"/>
              <w:left w:val="single" w:sz="6" w:space="0" w:color="000000"/>
              <w:bottom w:val="single" w:sz="6" w:space="0" w:color="000000"/>
              <w:right w:val="single" w:sz="6" w:space="0" w:color="000000"/>
            </w:tcBorders>
            <w:vAlign w:val="center"/>
          </w:tcPr>
          <w:p w14:paraId="35101DE6" w14:textId="77777777" w:rsidR="00F20CFD" w:rsidRPr="008D7156" w:rsidRDefault="00F20CFD" w:rsidP="00EA7BF5">
            <w:pPr>
              <w:ind w:firstLine="709"/>
              <w:rPr>
                <w:sz w:val="22"/>
                <w:szCs w:val="24"/>
              </w:rPr>
            </w:pPr>
            <w:r w:rsidRPr="008D7156">
              <w:rPr>
                <w:sz w:val="22"/>
                <w:szCs w:val="24"/>
              </w:rPr>
              <w:t>С</w:t>
            </w:r>
          </w:p>
        </w:tc>
      </w:tr>
      <w:tr w:rsidR="00F20CFD" w:rsidRPr="001E3EF7" w14:paraId="02076571" w14:textId="77777777" w:rsidTr="00610E58">
        <w:tc>
          <w:tcPr>
            <w:tcW w:w="968" w:type="dxa"/>
            <w:tcBorders>
              <w:top w:val="single" w:sz="6" w:space="0" w:color="000000"/>
              <w:left w:val="single" w:sz="6" w:space="0" w:color="000000"/>
              <w:bottom w:val="single" w:sz="6" w:space="0" w:color="000000"/>
              <w:right w:val="single" w:sz="6" w:space="0" w:color="000000"/>
            </w:tcBorders>
            <w:vAlign w:val="center"/>
          </w:tcPr>
          <w:p w14:paraId="32F22269" w14:textId="77777777" w:rsidR="00F20CFD" w:rsidRPr="008D7156" w:rsidRDefault="00F20CFD" w:rsidP="00EA7BF5">
            <w:pPr>
              <w:jc w:val="center"/>
              <w:rPr>
                <w:sz w:val="22"/>
                <w:szCs w:val="24"/>
              </w:rPr>
            </w:pPr>
            <w:r w:rsidRPr="008D7156">
              <w:rPr>
                <w:sz w:val="22"/>
                <w:szCs w:val="24"/>
              </w:rPr>
              <w:t>3</w:t>
            </w:r>
          </w:p>
        </w:tc>
        <w:tc>
          <w:tcPr>
            <w:tcW w:w="5281" w:type="dxa"/>
            <w:tcBorders>
              <w:top w:val="single" w:sz="6" w:space="0" w:color="000000"/>
              <w:left w:val="single" w:sz="6" w:space="0" w:color="000000"/>
              <w:bottom w:val="single" w:sz="6" w:space="0" w:color="000000"/>
              <w:right w:val="single" w:sz="6" w:space="0" w:color="000000"/>
            </w:tcBorders>
            <w:vAlign w:val="center"/>
          </w:tcPr>
          <w:p w14:paraId="0E1EEDBD" w14:textId="77777777" w:rsidR="00F20CFD" w:rsidRPr="00F57212" w:rsidRDefault="00F20CFD" w:rsidP="00EA7BF5">
            <w:pPr>
              <w:rPr>
                <w:sz w:val="22"/>
                <w:szCs w:val="24"/>
              </w:rPr>
            </w:pPr>
            <w:r w:rsidRPr="00F57212">
              <w:rPr>
                <w:sz w:val="22"/>
                <w:szCs w:val="24"/>
              </w:rPr>
              <w:t>Пациенту при подозрении на МДС, а также пациенту с установленным МДС в процессе лечения, перед инвазивными вмешательствами и при контрольном обследовании выполнено исследование коагулограммы (АЧТВ, протромбин, фибриноген, агрегация тромбоцитов)</w:t>
            </w:r>
          </w:p>
        </w:tc>
        <w:tc>
          <w:tcPr>
            <w:tcW w:w="1607" w:type="dxa"/>
            <w:tcBorders>
              <w:top w:val="single" w:sz="6" w:space="0" w:color="000000"/>
              <w:left w:val="single" w:sz="6" w:space="0" w:color="000000"/>
              <w:bottom w:val="single" w:sz="6" w:space="0" w:color="000000"/>
              <w:right w:val="single" w:sz="6" w:space="0" w:color="000000"/>
            </w:tcBorders>
            <w:vAlign w:val="center"/>
          </w:tcPr>
          <w:p w14:paraId="53932C19" w14:textId="77777777" w:rsidR="00F20CFD" w:rsidRPr="008D7156" w:rsidRDefault="00F20CFD" w:rsidP="00EA7BF5">
            <w:pPr>
              <w:ind w:firstLine="709"/>
              <w:rPr>
                <w:sz w:val="22"/>
                <w:szCs w:val="24"/>
              </w:rPr>
            </w:pPr>
            <w:r w:rsidRPr="008D7156">
              <w:rPr>
                <w:sz w:val="22"/>
                <w:szCs w:val="24"/>
              </w:rPr>
              <w:t>5</w:t>
            </w:r>
          </w:p>
        </w:tc>
        <w:tc>
          <w:tcPr>
            <w:tcW w:w="1744" w:type="dxa"/>
            <w:tcBorders>
              <w:top w:val="single" w:sz="6" w:space="0" w:color="000000"/>
              <w:left w:val="single" w:sz="6" w:space="0" w:color="000000"/>
              <w:bottom w:val="single" w:sz="6" w:space="0" w:color="000000"/>
              <w:right w:val="single" w:sz="6" w:space="0" w:color="000000"/>
            </w:tcBorders>
            <w:vAlign w:val="center"/>
          </w:tcPr>
          <w:p w14:paraId="500F9D03" w14:textId="77777777" w:rsidR="00F20CFD" w:rsidRPr="008D7156" w:rsidRDefault="00F20CFD" w:rsidP="00EA7BF5">
            <w:pPr>
              <w:ind w:firstLine="709"/>
              <w:rPr>
                <w:sz w:val="22"/>
                <w:szCs w:val="24"/>
              </w:rPr>
            </w:pPr>
            <w:r w:rsidRPr="008D7156">
              <w:rPr>
                <w:sz w:val="22"/>
                <w:szCs w:val="24"/>
              </w:rPr>
              <w:t>С</w:t>
            </w:r>
          </w:p>
        </w:tc>
      </w:tr>
      <w:tr w:rsidR="00F20CFD" w:rsidRPr="001E3EF7" w14:paraId="2E6CCA4D" w14:textId="77777777" w:rsidTr="00610E58">
        <w:tc>
          <w:tcPr>
            <w:tcW w:w="968" w:type="dxa"/>
            <w:tcBorders>
              <w:top w:val="single" w:sz="6" w:space="0" w:color="000000"/>
              <w:left w:val="single" w:sz="6" w:space="0" w:color="000000"/>
              <w:bottom w:val="single" w:sz="6" w:space="0" w:color="000000"/>
              <w:right w:val="single" w:sz="6" w:space="0" w:color="000000"/>
            </w:tcBorders>
            <w:vAlign w:val="center"/>
          </w:tcPr>
          <w:p w14:paraId="70CB625C" w14:textId="77777777" w:rsidR="00F20CFD" w:rsidRPr="008D7156" w:rsidRDefault="00F20CFD" w:rsidP="00EA7BF5">
            <w:pPr>
              <w:jc w:val="center"/>
              <w:rPr>
                <w:sz w:val="22"/>
                <w:szCs w:val="24"/>
              </w:rPr>
            </w:pPr>
            <w:r w:rsidRPr="008D7156">
              <w:rPr>
                <w:sz w:val="22"/>
                <w:szCs w:val="24"/>
              </w:rPr>
              <w:t>4</w:t>
            </w:r>
          </w:p>
        </w:tc>
        <w:tc>
          <w:tcPr>
            <w:tcW w:w="5281" w:type="dxa"/>
            <w:tcBorders>
              <w:top w:val="single" w:sz="6" w:space="0" w:color="000000"/>
              <w:left w:val="single" w:sz="6" w:space="0" w:color="000000"/>
              <w:bottom w:val="single" w:sz="6" w:space="0" w:color="000000"/>
              <w:right w:val="single" w:sz="6" w:space="0" w:color="000000"/>
            </w:tcBorders>
            <w:vAlign w:val="center"/>
          </w:tcPr>
          <w:p w14:paraId="45895A1C" w14:textId="77777777" w:rsidR="00F20CFD" w:rsidRPr="00F57212" w:rsidRDefault="00F20CFD" w:rsidP="00EA7BF5">
            <w:pPr>
              <w:rPr>
                <w:sz w:val="22"/>
                <w:szCs w:val="24"/>
              </w:rPr>
            </w:pPr>
            <w:r w:rsidRPr="00F57212">
              <w:rPr>
                <w:sz w:val="22"/>
                <w:szCs w:val="24"/>
              </w:rPr>
              <w:t>Пациенту при верификации диагноза МДС из группы низкого риска выполнено исследование показателя эндогенного ЭПО</w:t>
            </w:r>
          </w:p>
        </w:tc>
        <w:tc>
          <w:tcPr>
            <w:tcW w:w="1607" w:type="dxa"/>
            <w:tcBorders>
              <w:top w:val="single" w:sz="6" w:space="0" w:color="000000"/>
              <w:left w:val="single" w:sz="6" w:space="0" w:color="000000"/>
              <w:bottom w:val="single" w:sz="6" w:space="0" w:color="000000"/>
              <w:right w:val="single" w:sz="6" w:space="0" w:color="000000"/>
            </w:tcBorders>
            <w:vAlign w:val="center"/>
          </w:tcPr>
          <w:p w14:paraId="4152CA4D" w14:textId="77777777" w:rsidR="00F20CFD" w:rsidRPr="008D7156" w:rsidRDefault="00BA3C25" w:rsidP="00EA7BF5">
            <w:pPr>
              <w:ind w:firstLine="709"/>
              <w:rPr>
                <w:sz w:val="22"/>
                <w:szCs w:val="24"/>
              </w:rPr>
            </w:pPr>
            <w:r>
              <w:rPr>
                <w:sz w:val="22"/>
                <w:szCs w:val="24"/>
              </w:rPr>
              <w:t>2</w:t>
            </w:r>
          </w:p>
        </w:tc>
        <w:tc>
          <w:tcPr>
            <w:tcW w:w="1744" w:type="dxa"/>
            <w:tcBorders>
              <w:top w:val="single" w:sz="6" w:space="0" w:color="000000"/>
              <w:left w:val="single" w:sz="6" w:space="0" w:color="000000"/>
              <w:bottom w:val="single" w:sz="6" w:space="0" w:color="000000"/>
              <w:right w:val="single" w:sz="6" w:space="0" w:color="000000"/>
            </w:tcBorders>
            <w:vAlign w:val="center"/>
          </w:tcPr>
          <w:p w14:paraId="2027B58E" w14:textId="77777777" w:rsidR="00F20CFD" w:rsidRPr="008D7156" w:rsidRDefault="00F20CFD" w:rsidP="00EA7BF5">
            <w:pPr>
              <w:ind w:firstLine="709"/>
              <w:rPr>
                <w:sz w:val="22"/>
                <w:szCs w:val="24"/>
              </w:rPr>
            </w:pPr>
            <w:r w:rsidRPr="008D7156">
              <w:rPr>
                <w:sz w:val="22"/>
                <w:szCs w:val="24"/>
              </w:rPr>
              <w:t>А</w:t>
            </w:r>
          </w:p>
        </w:tc>
      </w:tr>
      <w:tr w:rsidR="00F20CFD" w:rsidRPr="001E3EF7" w14:paraId="50E7780A" w14:textId="77777777" w:rsidTr="00610E58">
        <w:tc>
          <w:tcPr>
            <w:tcW w:w="968" w:type="dxa"/>
            <w:tcBorders>
              <w:top w:val="single" w:sz="6" w:space="0" w:color="000000"/>
              <w:left w:val="single" w:sz="6" w:space="0" w:color="000000"/>
              <w:bottom w:val="single" w:sz="6" w:space="0" w:color="000000"/>
              <w:right w:val="single" w:sz="6" w:space="0" w:color="000000"/>
            </w:tcBorders>
            <w:vAlign w:val="center"/>
          </w:tcPr>
          <w:p w14:paraId="1E99AAEA" w14:textId="77777777" w:rsidR="00F20CFD" w:rsidRPr="008D7156" w:rsidRDefault="00F20CFD" w:rsidP="00EA7BF5">
            <w:pPr>
              <w:jc w:val="center"/>
              <w:rPr>
                <w:sz w:val="22"/>
                <w:szCs w:val="24"/>
              </w:rPr>
            </w:pPr>
            <w:r w:rsidRPr="008D7156">
              <w:rPr>
                <w:sz w:val="22"/>
                <w:szCs w:val="24"/>
              </w:rPr>
              <w:t>5</w:t>
            </w:r>
          </w:p>
        </w:tc>
        <w:tc>
          <w:tcPr>
            <w:tcW w:w="5281" w:type="dxa"/>
            <w:tcBorders>
              <w:top w:val="single" w:sz="6" w:space="0" w:color="000000"/>
              <w:left w:val="single" w:sz="6" w:space="0" w:color="000000"/>
              <w:bottom w:val="single" w:sz="6" w:space="0" w:color="000000"/>
              <w:right w:val="single" w:sz="6" w:space="0" w:color="000000"/>
            </w:tcBorders>
            <w:vAlign w:val="center"/>
          </w:tcPr>
          <w:p w14:paraId="083E9CAB" w14:textId="77777777" w:rsidR="00F20CFD" w:rsidRPr="003C7A39" w:rsidRDefault="00F20CFD" w:rsidP="00EA7BF5">
            <w:pPr>
              <w:rPr>
                <w:sz w:val="22"/>
                <w:szCs w:val="24"/>
              </w:rPr>
            </w:pPr>
            <w:r w:rsidRPr="00F57212">
              <w:rPr>
                <w:sz w:val="22"/>
                <w:szCs w:val="24"/>
              </w:rPr>
              <w:t>Пациенту при подозрении на МДС, а также пациенту с установленным МДС в процессе лечения выполнено исследование сывороточных показателей метаболизма железа (железо, общая железосвязывающая способность сыворотки, ферритин, трансферрин, насыщение трансферрина железом)</w:t>
            </w:r>
          </w:p>
        </w:tc>
        <w:tc>
          <w:tcPr>
            <w:tcW w:w="1607" w:type="dxa"/>
            <w:tcBorders>
              <w:top w:val="single" w:sz="6" w:space="0" w:color="000000"/>
              <w:left w:val="single" w:sz="6" w:space="0" w:color="000000"/>
              <w:bottom w:val="single" w:sz="6" w:space="0" w:color="000000"/>
              <w:right w:val="single" w:sz="6" w:space="0" w:color="000000"/>
            </w:tcBorders>
            <w:vAlign w:val="center"/>
          </w:tcPr>
          <w:p w14:paraId="650CEE70" w14:textId="77777777" w:rsidR="00F20CFD" w:rsidRPr="008D7156" w:rsidRDefault="00F20CFD" w:rsidP="00EA7BF5">
            <w:pPr>
              <w:ind w:firstLine="709"/>
              <w:rPr>
                <w:sz w:val="22"/>
                <w:szCs w:val="24"/>
              </w:rPr>
            </w:pPr>
            <w:r w:rsidRPr="008D7156">
              <w:rPr>
                <w:sz w:val="22"/>
                <w:szCs w:val="24"/>
              </w:rPr>
              <w:t>5</w:t>
            </w:r>
          </w:p>
        </w:tc>
        <w:tc>
          <w:tcPr>
            <w:tcW w:w="1744" w:type="dxa"/>
            <w:tcBorders>
              <w:top w:val="single" w:sz="6" w:space="0" w:color="000000"/>
              <w:left w:val="single" w:sz="6" w:space="0" w:color="000000"/>
              <w:bottom w:val="single" w:sz="6" w:space="0" w:color="000000"/>
              <w:right w:val="single" w:sz="6" w:space="0" w:color="000000"/>
            </w:tcBorders>
            <w:vAlign w:val="center"/>
          </w:tcPr>
          <w:p w14:paraId="3C241FDF" w14:textId="77777777" w:rsidR="00F20CFD" w:rsidRPr="008D7156" w:rsidRDefault="00F20CFD" w:rsidP="00EA7BF5">
            <w:pPr>
              <w:ind w:firstLine="709"/>
              <w:rPr>
                <w:sz w:val="22"/>
                <w:szCs w:val="24"/>
              </w:rPr>
            </w:pPr>
            <w:r w:rsidRPr="008D7156">
              <w:rPr>
                <w:sz w:val="22"/>
                <w:szCs w:val="24"/>
              </w:rPr>
              <w:t>С</w:t>
            </w:r>
          </w:p>
        </w:tc>
      </w:tr>
      <w:tr w:rsidR="00F20CFD" w:rsidRPr="001E3EF7" w14:paraId="4F5BAC91" w14:textId="77777777" w:rsidTr="00610E58">
        <w:tc>
          <w:tcPr>
            <w:tcW w:w="968" w:type="dxa"/>
            <w:tcBorders>
              <w:top w:val="single" w:sz="6" w:space="0" w:color="000000"/>
              <w:left w:val="single" w:sz="6" w:space="0" w:color="000000"/>
              <w:bottom w:val="single" w:sz="6" w:space="0" w:color="000000"/>
              <w:right w:val="single" w:sz="6" w:space="0" w:color="000000"/>
            </w:tcBorders>
            <w:vAlign w:val="center"/>
          </w:tcPr>
          <w:p w14:paraId="5AF50327" w14:textId="77777777" w:rsidR="00F20CFD" w:rsidRPr="008D7156" w:rsidRDefault="00F20CFD" w:rsidP="00EA7BF5">
            <w:pPr>
              <w:jc w:val="center"/>
              <w:rPr>
                <w:sz w:val="22"/>
                <w:szCs w:val="24"/>
              </w:rPr>
            </w:pPr>
            <w:r w:rsidRPr="008D7156">
              <w:rPr>
                <w:sz w:val="22"/>
                <w:szCs w:val="24"/>
              </w:rPr>
              <w:t>6</w:t>
            </w:r>
          </w:p>
        </w:tc>
        <w:tc>
          <w:tcPr>
            <w:tcW w:w="5281" w:type="dxa"/>
            <w:tcBorders>
              <w:top w:val="single" w:sz="6" w:space="0" w:color="000000"/>
              <w:left w:val="single" w:sz="6" w:space="0" w:color="000000"/>
              <w:bottom w:val="single" w:sz="6" w:space="0" w:color="000000"/>
              <w:right w:val="single" w:sz="6" w:space="0" w:color="000000"/>
            </w:tcBorders>
            <w:vAlign w:val="center"/>
          </w:tcPr>
          <w:p w14:paraId="0486E21D" w14:textId="77777777" w:rsidR="00F20CFD" w:rsidRPr="00F57212" w:rsidRDefault="00F20CFD" w:rsidP="000D2CA0">
            <w:pPr>
              <w:rPr>
                <w:sz w:val="22"/>
                <w:szCs w:val="24"/>
              </w:rPr>
            </w:pPr>
            <w:r w:rsidRPr="00F57212">
              <w:rPr>
                <w:sz w:val="22"/>
                <w:szCs w:val="24"/>
              </w:rPr>
              <w:t>Пациенту при подозрении на МДС, а также пациенту с установленным МДС в процессе лечения выполнено исследование содержания витамина В</w:t>
            </w:r>
            <w:r w:rsidRPr="003C7A39">
              <w:rPr>
                <w:sz w:val="22"/>
                <w:szCs w:val="24"/>
                <w:vertAlign w:val="subscript"/>
              </w:rPr>
              <w:t>12</w:t>
            </w:r>
            <w:r w:rsidRPr="003C7A39">
              <w:rPr>
                <w:sz w:val="22"/>
                <w:szCs w:val="24"/>
              </w:rPr>
              <w:t xml:space="preserve"> и фолатов в сыворотке</w:t>
            </w:r>
          </w:p>
        </w:tc>
        <w:tc>
          <w:tcPr>
            <w:tcW w:w="1607" w:type="dxa"/>
            <w:tcBorders>
              <w:top w:val="single" w:sz="6" w:space="0" w:color="000000"/>
              <w:left w:val="single" w:sz="6" w:space="0" w:color="000000"/>
              <w:bottom w:val="single" w:sz="6" w:space="0" w:color="000000"/>
              <w:right w:val="single" w:sz="6" w:space="0" w:color="000000"/>
            </w:tcBorders>
            <w:vAlign w:val="center"/>
          </w:tcPr>
          <w:p w14:paraId="459D1813" w14:textId="77777777" w:rsidR="00F20CFD" w:rsidRPr="008D7156" w:rsidRDefault="00F20CFD" w:rsidP="00EA7BF5">
            <w:pPr>
              <w:ind w:firstLine="709"/>
              <w:rPr>
                <w:sz w:val="22"/>
                <w:szCs w:val="24"/>
              </w:rPr>
            </w:pPr>
            <w:r w:rsidRPr="008D7156">
              <w:rPr>
                <w:sz w:val="22"/>
                <w:szCs w:val="24"/>
              </w:rPr>
              <w:t>5</w:t>
            </w:r>
          </w:p>
        </w:tc>
        <w:tc>
          <w:tcPr>
            <w:tcW w:w="1744" w:type="dxa"/>
            <w:tcBorders>
              <w:top w:val="single" w:sz="6" w:space="0" w:color="000000"/>
              <w:left w:val="single" w:sz="6" w:space="0" w:color="000000"/>
              <w:bottom w:val="single" w:sz="6" w:space="0" w:color="000000"/>
              <w:right w:val="single" w:sz="6" w:space="0" w:color="000000"/>
            </w:tcBorders>
            <w:vAlign w:val="center"/>
          </w:tcPr>
          <w:p w14:paraId="36B16AD1" w14:textId="77777777" w:rsidR="00F20CFD" w:rsidRPr="008D7156" w:rsidRDefault="00F20CFD" w:rsidP="00EA7BF5">
            <w:pPr>
              <w:ind w:firstLine="709"/>
              <w:rPr>
                <w:sz w:val="22"/>
                <w:szCs w:val="24"/>
              </w:rPr>
            </w:pPr>
            <w:r w:rsidRPr="008D7156">
              <w:rPr>
                <w:sz w:val="22"/>
                <w:szCs w:val="24"/>
              </w:rPr>
              <w:t>С</w:t>
            </w:r>
          </w:p>
        </w:tc>
      </w:tr>
      <w:tr w:rsidR="00F20CFD" w:rsidRPr="001E3EF7" w14:paraId="01AB94F5" w14:textId="77777777" w:rsidTr="00610E58">
        <w:tc>
          <w:tcPr>
            <w:tcW w:w="968" w:type="dxa"/>
            <w:tcBorders>
              <w:top w:val="single" w:sz="6" w:space="0" w:color="000000"/>
              <w:left w:val="single" w:sz="6" w:space="0" w:color="000000"/>
              <w:bottom w:val="single" w:sz="6" w:space="0" w:color="000000"/>
              <w:right w:val="single" w:sz="6" w:space="0" w:color="000000"/>
            </w:tcBorders>
            <w:vAlign w:val="center"/>
          </w:tcPr>
          <w:p w14:paraId="0AF80BF3" w14:textId="77777777" w:rsidR="00F20CFD" w:rsidRPr="008D7156" w:rsidRDefault="00F20CFD" w:rsidP="00EA7BF5">
            <w:pPr>
              <w:jc w:val="center"/>
              <w:rPr>
                <w:sz w:val="22"/>
                <w:szCs w:val="24"/>
              </w:rPr>
            </w:pPr>
            <w:r w:rsidRPr="008D7156">
              <w:rPr>
                <w:sz w:val="22"/>
                <w:szCs w:val="24"/>
              </w:rPr>
              <w:t>7</w:t>
            </w:r>
          </w:p>
        </w:tc>
        <w:tc>
          <w:tcPr>
            <w:tcW w:w="5281" w:type="dxa"/>
            <w:tcBorders>
              <w:top w:val="single" w:sz="6" w:space="0" w:color="000000"/>
              <w:left w:val="single" w:sz="6" w:space="0" w:color="000000"/>
              <w:bottom w:val="single" w:sz="6" w:space="0" w:color="000000"/>
              <w:right w:val="single" w:sz="6" w:space="0" w:color="000000"/>
            </w:tcBorders>
            <w:vAlign w:val="center"/>
          </w:tcPr>
          <w:p w14:paraId="68EF1183" w14:textId="77777777" w:rsidR="00F20CFD" w:rsidRPr="003C7A39" w:rsidRDefault="00F20CFD" w:rsidP="00EA7BF5">
            <w:pPr>
              <w:rPr>
                <w:sz w:val="22"/>
                <w:szCs w:val="24"/>
              </w:rPr>
            </w:pPr>
            <w:r w:rsidRPr="00F57212">
              <w:rPr>
                <w:sz w:val="22"/>
                <w:szCs w:val="24"/>
              </w:rPr>
              <w:t>Пациенту при подозрении на МДС, а также пациенту с установленным МДС с клинико-лабораторной картиной гемолитической анемии выполнена проба Кумбса</w:t>
            </w:r>
          </w:p>
        </w:tc>
        <w:tc>
          <w:tcPr>
            <w:tcW w:w="1607" w:type="dxa"/>
            <w:tcBorders>
              <w:top w:val="single" w:sz="6" w:space="0" w:color="000000"/>
              <w:left w:val="single" w:sz="6" w:space="0" w:color="000000"/>
              <w:bottom w:val="single" w:sz="6" w:space="0" w:color="000000"/>
              <w:right w:val="single" w:sz="6" w:space="0" w:color="000000"/>
            </w:tcBorders>
            <w:vAlign w:val="center"/>
          </w:tcPr>
          <w:p w14:paraId="367FBD2F" w14:textId="77777777" w:rsidR="00F20CFD" w:rsidRPr="008D7156" w:rsidRDefault="00F20CFD" w:rsidP="00EA7BF5">
            <w:pPr>
              <w:ind w:firstLine="709"/>
              <w:rPr>
                <w:sz w:val="22"/>
                <w:szCs w:val="24"/>
              </w:rPr>
            </w:pPr>
            <w:r w:rsidRPr="008D7156">
              <w:rPr>
                <w:sz w:val="22"/>
                <w:szCs w:val="24"/>
              </w:rPr>
              <w:t>3</w:t>
            </w:r>
          </w:p>
        </w:tc>
        <w:tc>
          <w:tcPr>
            <w:tcW w:w="1744" w:type="dxa"/>
            <w:tcBorders>
              <w:top w:val="single" w:sz="6" w:space="0" w:color="000000"/>
              <w:left w:val="single" w:sz="6" w:space="0" w:color="000000"/>
              <w:bottom w:val="single" w:sz="6" w:space="0" w:color="000000"/>
              <w:right w:val="single" w:sz="6" w:space="0" w:color="000000"/>
            </w:tcBorders>
            <w:vAlign w:val="center"/>
          </w:tcPr>
          <w:p w14:paraId="5D8991CF" w14:textId="77777777" w:rsidR="00F20CFD" w:rsidRPr="008D7156" w:rsidRDefault="00F20CFD" w:rsidP="00EA7BF5">
            <w:pPr>
              <w:ind w:firstLine="709"/>
              <w:rPr>
                <w:sz w:val="22"/>
                <w:szCs w:val="24"/>
              </w:rPr>
            </w:pPr>
            <w:r w:rsidRPr="008D7156">
              <w:rPr>
                <w:sz w:val="22"/>
                <w:szCs w:val="24"/>
              </w:rPr>
              <w:t>В</w:t>
            </w:r>
          </w:p>
        </w:tc>
      </w:tr>
      <w:tr w:rsidR="00F20CFD" w:rsidRPr="001E3EF7" w14:paraId="02CA0891" w14:textId="77777777" w:rsidTr="00610E58">
        <w:tc>
          <w:tcPr>
            <w:tcW w:w="968" w:type="dxa"/>
            <w:tcBorders>
              <w:top w:val="single" w:sz="6" w:space="0" w:color="000000"/>
              <w:left w:val="single" w:sz="6" w:space="0" w:color="000000"/>
              <w:bottom w:val="single" w:sz="6" w:space="0" w:color="000000"/>
              <w:right w:val="single" w:sz="6" w:space="0" w:color="000000"/>
            </w:tcBorders>
            <w:vAlign w:val="center"/>
          </w:tcPr>
          <w:p w14:paraId="2E7E3DEB" w14:textId="77777777" w:rsidR="00F20CFD" w:rsidRPr="008D7156" w:rsidRDefault="00F20CFD" w:rsidP="00EA7BF5">
            <w:pPr>
              <w:jc w:val="center"/>
              <w:rPr>
                <w:sz w:val="22"/>
                <w:szCs w:val="24"/>
              </w:rPr>
            </w:pPr>
            <w:r w:rsidRPr="008D7156">
              <w:rPr>
                <w:sz w:val="22"/>
                <w:szCs w:val="24"/>
              </w:rPr>
              <w:t>8</w:t>
            </w:r>
          </w:p>
        </w:tc>
        <w:tc>
          <w:tcPr>
            <w:tcW w:w="5281" w:type="dxa"/>
            <w:tcBorders>
              <w:top w:val="single" w:sz="6" w:space="0" w:color="000000"/>
              <w:left w:val="single" w:sz="6" w:space="0" w:color="000000"/>
              <w:bottom w:val="single" w:sz="6" w:space="0" w:color="000000"/>
              <w:right w:val="single" w:sz="6" w:space="0" w:color="000000"/>
            </w:tcBorders>
            <w:vAlign w:val="center"/>
          </w:tcPr>
          <w:p w14:paraId="3C1A1BB8" w14:textId="77777777" w:rsidR="00F20CFD" w:rsidRPr="00F57212" w:rsidRDefault="00F20CFD" w:rsidP="00EA7BF5">
            <w:pPr>
              <w:rPr>
                <w:sz w:val="22"/>
                <w:szCs w:val="24"/>
              </w:rPr>
            </w:pPr>
            <w:r w:rsidRPr="00F57212">
              <w:rPr>
                <w:sz w:val="22"/>
                <w:szCs w:val="24"/>
              </w:rPr>
              <w:t>Пациенту с цитопеническим синдромом при подозрении на МДС или с установленным МДС выполнено исследование гормонов щитовидной железы</w:t>
            </w:r>
          </w:p>
        </w:tc>
        <w:tc>
          <w:tcPr>
            <w:tcW w:w="1607" w:type="dxa"/>
            <w:tcBorders>
              <w:top w:val="single" w:sz="6" w:space="0" w:color="000000"/>
              <w:left w:val="single" w:sz="6" w:space="0" w:color="000000"/>
              <w:bottom w:val="single" w:sz="6" w:space="0" w:color="000000"/>
              <w:right w:val="single" w:sz="6" w:space="0" w:color="000000"/>
            </w:tcBorders>
            <w:vAlign w:val="center"/>
          </w:tcPr>
          <w:p w14:paraId="50A626ED" w14:textId="4CBB15BC" w:rsidR="00F20CFD" w:rsidRPr="008D7156" w:rsidRDefault="00AE1E12" w:rsidP="00EA7BF5">
            <w:pPr>
              <w:ind w:firstLine="709"/>
              <w:rPr>
                <w:sz w:val="22"/>
                <w:szCs w:val="24"/>
              </w:rPr>
            </w:pPr>
            <w:r>
              <w:rPr>
                <w:sz w:val="22"/>
                <w:szCs w:val="24"/>
              </w:rPr>
              <w:t>3</w:t>
            </w:r>
          </w:p>
        </w:tc>
        <w:tc>
          <w:tcPr>
            <w:tcW w:w="1744" w:type="dxa"/>
            <w:tcBorders>
              <w:top w:val="single" w:sz="6" w:space="0" w:color="000000"/>
              <w:left w:val="single" w:sz="6" w:space="0" w:color="000000"/>
              <w:bottom w:val="single" w:sz="6" w:space="0" w:color="000000"/>
              <w:right w:val="single" w:sz="6" w:space="0" w:color="000000"/>
            </w:tcBorders>
            <w:vAlign w:val="center"/>
          </w:tcPr>
          <w:p w14:paraId="11303E13" w14:textId="403DBA8B" w:rsidR="00F20CFD" w:rsidRPr="008D7156" w:rsidRDefault="00AE1E12" w:rsidP="00EA7BF5">
            <w:pPr>
              <w:ind w:firstLine="709"/>
              <w:rPr>
                <w:sz w:val="22"/>
                <w:szCs w:val="24"/>
              </w:rPr>
            </w:pPr>
            <w:r>
              <w:rPr>
                <w:sz w:val="22"/>
                <w:szCs w:val="24"/>
              </w:rPr>
              <w:t>В</w:t>
            </w:r>
          </w:p>
        </w:tc>
      </w:tr>
      <w:tr w:rsidR="00F20CFD" w:rsidRPr="001E3EF7" w14:paraId="28F8F47F" w14:textId="77777777" w:rsidTr="00610E58">
        <w:tc>
          <w:tcPr>
            <w:tcW w:w="968" w:type="dxa"/>
            <w:tcBorders>
              <w:top w:val="single" w:sz="6" w:space="0" w:color="000000"/>
              <w:left w:val="single" w:sz="6" w:space="0" w:color="000000"/>
              <w:bottom w:val="single" w:sz="6" w:space="0" w:color="000000"/>
              <w:right w:val="single" w:sz="6" w:space="0" w:color="000000"/>
            </w:tcBorders>
            <w:vAlign w:val="center"/>
          </w:tcPr>
          <w:p w14:paraId="1BB755DB" w14:textId="77777777" w:rsidR="00F20CFD" w:rsidRPr="008D7156" w:rsidRDefault="00F20CFD" w:rsidP="00EA7BF5">
            <w:pPr>
              <w:jc w:val="center"/>
              <w:rPr>
                <w:sz w:val="22"/>
                <w:szCs w:val="24"/>
              </w:rPr>
            </w:pPr>
            <w:r w:rsidRPr="008D7156">
              <w:rPr>
                <w:sz w:val="22"/>
                <w:szCs w:val="24"/>
              </w:rPr>
              <w:t>9</w:t>
            </w:r>
          </w:p>
        </w:tc>
        <w:tc>
          <w:tcPr>
            <w:tcW w:w="5281" w:type="dxa"/>
            <w:tcBorders>
              <w:top w:val="single" w:sz="6" w:space="0" w:color="000000"/>
              <w:left w:val="single" w:sz="6" w:space="0" w:color="000000"/>
              <w:bottom w:val="single" w:sz="6" w:space="0" w:color="000000"/>
              <w:right w:val="single" w:sz="6" w:space="0" w:color="000000"/>
            </w:tcBorders>
            <w:vAlign w:val="center"/>
          </w:tcPr>
          <w:p w14:paraId="6365685C" w14:textId="77777777" w:rsidR="00F20CFD" w:rsidRPr="003C7A39" w:rsidRDefault="00F20CFD" w:rsidP="00EA7BF5">
            <w:pPr>
              <w:rPr>
                <w:sz w:val="22"/>
                <w:szCs w:val="24"/>
              </w:rPr>
            </w:pPr>
            <w:r w:rsidRPr="00F57212">
              <w:rPr>
                <w:sz w:val="22"/>
                <w:szCs w:val="24"/>
              </w:rPr>
              <w:t>Пациенту при подозрении на МДС, а также пациенту с установленным МДС в процессе терапии выполнено цитологическое исследование КМ</w:t>
            </w:r>
            <w:r w:rsidRPr="003C7A39">
              <w:rPr>
                <w:sz w:val="22"/>
                <w:szCs w:val="24"/>
              </w:rPr>
              <w:t xml:space="preserve"> </w:t>
            </w:r>
          </w:p>
        </w:tc>
        <w:tc>
          <w:tcPr>
            <w:tcW w:w="1607" w:type="dxa"/>
            <w:tcBorders>
              <w:top w:val="single" w:sz="6" w:space="0" w:color="000000"/>
              <w:left w:val="single" w:sz="6" w:space="0" w:color="000000"/>
              <w:bottom w:val="single" w:sz="6" w:space="0" w:color="000000"/>
              <w:right w:val="single" w:sz="6" w:space="0" w:color="000000"/>
            </w:tcBorders>
            <w:vAlign w:val="center"/>
          </w:tcPr>
          <w:p w14:paraId="44616BEF" w14:textId="1B2A39E5" w:rsidR="00F20CFD" w:rsidRPr="008D7156" w:rsidRDefault="00AE1E12" w:rsidP="00EA7BF5">
            <w:pPr>
              <w:ind w:firstLine="709"/>
              <w:rPr>
                <w:sz w:val="22"/>
                <w:szCs w:val="24"/>
              </w:rPr>
            </w:pPr>
            <w:r>
              <w:rPr>
                <w:sz w:val="22"/>
                <w:szCs w:val="24"/>
              </w:rPr>
              <w:t>5</w:t>
            </w:r>
          </w:p>
        </w:tc>
        <w:tc>
          <w:tcPr>
            <w:tcW w:w="1744" w:type="dxa"/>
            <w:tcBorders>
              <w:top w:val="single" w:sz="6" w:space="0" w:color="000000"/>
              <w:left w:val="single" w:sz="6" w:space="0" w:color="000000"/>
              <w:bottom w:val="single" w:sz="6" w:space="0" w:color="000000"/>
              <w:right w:val="single" w:sz="6" w:space="0" w:color="000000"/>
            </w:tcBorders>
            <w:vAlign w:val="center"/>
          </w:tcPr>
          <w:p w14:paraId="687699D8" w14:textId="77777777" w:rsidR="00F20CFD" w:rsidRPr="008D7156" w:rsidRDefault="00BA3C25" w:rsidP="00EA7BF5">
            <w:pPr>
              <w:ind w:firstLine="709"/>
              <w:rPr>
                <w:sz w:val="22"/>
                <w:szCs w:val="24"/>
              </w:rPr>
            </w:pPr>
            <w:r>
              <w:rPr>
                <w:sz w:val="22"/>
                <w:szCs w:val="24"/>
              </w:rPr>
              <w:t>С</w:t>
            </w:r>
          </w:p>
        </w:tc>
      </w:tr>
      <w:tr w:rsidR="00F20CFD" w:rsidRPr="001E3EF7" w14:paraId="0614BB37" w14:textId="77777777" w:rsidTr="00610E58">
        <w:tc>
          <w:tcPr>
            <w:tcW w:w="968" w:type="dxa"/>
            <w:tcBorders>
              <w:top w:val="single" w:sz="6" w:space="0" w:color="000000"/>
              <w:left w:val="single" w:sz="6" w:space="0" w:color="000000"/>
              <w:bottom w:val="single" w:sz="6" w:space="0" w:color="000000"/>
              <w:right w:val="single" w:sz="6" w:space="0" w:color="000000"/>
            </w:tcBorders>
            <w:vAlign w:val="center"/>
          </w:tcPr>
          <w:p w14:paraId="71C87DBB" w14:textId="77777777" w:rsidR="00F20CFD" w:rsidRPr="008D7156" w:rsidRDefault="00F20CFD" w:rsidP="00EA7BF5">
            <w:pPr>
              <w:jc w:val="center"/>
              <w:rPr>
                <w:sz w:val="22"/>
                <w:szCs w:val="24"/>
              </w:rPr>
            </w:pPr>
            <w:r w:rsidRPr="008D7156">
              <w:rPr>
                <w:sz w:val="22"/>
                <w:szCs w:val="24"/>
              </w:rPr>
              <w:t>10</w:t>
            </w:r>
          </w:p>
        </w:tc>
        <w:tc>
          <w:tcPr>
            <w:tcW w:w="5281" w:type="dxa"/>
            <w:tcBorders>
              <w:top w:val="single" w:sz="6" w:space="0" w:color="000000"/>
              <w:left w:val="single" w:sz="6" w:space="0" w:color="000000"/>
              <w:bottom w:val="single" w:sz="6" w:space="0" w:color="000000"/>
              <w:right w:val="single" w:sz="6" w:space="0" w:color="000000"/>
            </w:tcBorders>
            <w:vAlign w:val="center"/>
          </w:tcPr>
          <w:p w14:paraId="338C67B8" w14:textId="77777777" w:rsidR="00F20CFD" w:rsidRPr="00F57212" w:rsidRDefault="00F20CFD" w:rsidP="00EA7BF5">
            <w:pPr>
              <w:rPr>
                <w:sz w:val="22"/>
                <w:szCs w:val="24"/>
              </w:rPr>
            </w:pPr>
            <w:r w:rsidRPr="00F57212">
              <w:rPr>
                <w:sz w:val="22"/>
                <w:szCs w:val="24"/>
              </w:rPr>
              <w:t>Пациенту при подозрении на МДС, а также пациенту с установленным МДС выполнено цитохимическое исследование клеток красного ряда с берлинской лазурью</w:t>
            </w:r>
          </w:p>
        </w:tc>
        <w:tc>
          <w:tcPr>
            <w:tcW w:w="1607" w:type="dxa"/>
            <w:tcBorders>
              <w:top w:val="single" w:sz="6" w:space="0" w:color="000000"/>
              <w:left w:val="single" w:sz="6" w:space="0" w:color="000000"/>
              <w:bottom w:val="single" w:sz="6" w:space="0" w:color="000000"/>
              <w:right w:val="single" w:sz="6" w:space="0" w:color="000000"/>
            </w:tcBorders>
            <w:vAlign w:val="center"/>
          </w:tcPr>
          <w:p w14:paraId="2C73D031" w14:textId="77777777" w:rsidR="00F20CFD" w:rsidRPr="008D7156" w:rsidRDefault="00F20CFD" w:rsidP="00EA7BF5">
            <w:pPr>
              <w:ind w:firstLine="709"/>
              <w:rPr>
                <w:sz w:val="22"/>
                <w:szCs w:val="24"/>
              </w:rPr>
            </w:pPr>
            <w:r w:rsidRPr="008D7156">
              <w:rPr>
                <w:sz w:val="22"/>
                <w:szCs w:val="24"/>
              </w:rPr>
              <w:t>5</w:t>
            </w:r>
          </w:p>
        </w:tc>
        <w:tc>
          <w:tcPr>
            <w:tcW w:w="1744" w:type="dxa"/>
            <w:tcBorders>
              <w:top w:val="single" w:sz="6" w:space="0" w:color="000000"/>
              <w:left w:val="single" w:sz="6" w:space="0" w:color="000000"/>
              <w:bottom w:val="single" w:sz="6" w:space="0" w:color="000000"/>
              <w:right w:val="single" w:sz="6" w:space="0" w:color="000000"/>
            </w:tcBorders>
            <w:vAlign w:val="center"/>
          </w:tcPr>
          <w:p w14:paraId="7206B32D" w14:textId="77777777" w:rsidR="00F20CFD" w:rsidRPr="008D7156" w:rsidRDefault="00F20CFD" w:rsidP="00EA7BF5">
            <w:pPr>
              <w:ind w:firstLine="709"/>
              <w:rPr>
                <w:sz w:val="22"/>
                <w:szCs w:val="24"/>
              </w:rPr>
            </w:pPr>
            <w:r w:rsidRPr="008D7156">
              <w:rPr>
                <w:sz w:val="22"/>
                <w:szCs w:val="24"/>
              </w:rPr>
              <w:t>С</w:t>
            </w:r>
          </w:p>
        </w:tc>
      </w:tr>
      <w:tr w:rsidR="00F20CFD" w:rsidRPr="001E3EF7" w14:paraId="52012AD2" w14:textId="77777777" w:rsidTr="00610E58">
        <w:tc>
          <w:tcPr>
            <w:tcW w:w="968" w:type="dxa"/>
            <w:tcBorders>
              <w:top w:val="single" w:sz="6" w:space="0" w:color="000000"/>
              <w:left w:val="single" w:sz="6" w:space="0" w:color="000000"/>
              <w:bottom w:val="single" w:sz="6" w:space="0" w:color="000000"/>
              <w:right w:val="single" w:sz="6" w:space="0" w:color="000000"/>
            </w:tcBorders>
            <w:vAlign w:val="center"/>
          </w:tcPr>
          <w:p w14:paraId="645ED5D1" w14:textId="77777777" w:rsidR="00F20CFD" w:rsidRPr="008D7156" w:rsidRDefault="00F20CFD" w:rsidP="00EA7BF5">
            <w:pPr>
              <w:jc w:val="center"/>
              <w:rPr>
                <w:sz w:val="22"/>
                <w:szCs w:val="24"/>
              </w:rPr>
            </w:pPr>
            <w:r w:rsidRPr="008D7156">
              <w:rPr>
                <w:sz w:val="22"/>
                <w:szCs w:val="24"/>
              </w:rPr>
              <w:t>11</w:t>
            </w:r>
          </w:p>
        </w:tc>
        <w:tc>
          <w:tcPr>
            <w:tcW w:w="5281" w:type="dxa"/>
            <w:tcBorders>
              <w:top w:val="single" w:sz="6" w:space="0" w:color="000000"/>
              <w:left w:val="single" w:sz="6" w:space="0" w:color="000000"/>
              <w:bottom w:val="single" w:sz="6" w:space="0" w:color="000000"/>
              <w:right w:val="single" w:sz="6" w:space="0" w:color="000000"/>
            </w:tcBorders>
            <w:vAlign w:val="center"/>
          </w:tcPr>
          <w:p w14:paraId="253D8C8B" w14:textId="77777777" w:rsidR="00F20CFD" w:rsidRPr="00F57212" w:rsidRDefault="00F20CFD" w:rsidP="00EA7BF5">
            <w:pPr>
              <w:rPr>
                <w:sz w:val="22"/>
                <w:szCs w:val="24"/>
              </w:rPr>
            </w:pPr>
            <w:r w:rsidRPr="00F57212">
              <w:rPr>
                <w:sz w:val="22"/>
                <w:szCs w:val="24"/>
              </w:rPr>
              <w:t>Пациенту при диагностике МДС выполнено цитогенетическое исследование КМ</w:t>
            </w:r>
          </w:p>
        </w:tc>
        <w:tc>
          <w:tcPr>
            <w:tcW w:w="1607" w:type="dxa"/>
            <w:tcBorders>
              <w:top w:val="single" w:sz="6" w:space="0" w:color="000000"/>
              <w:left w:val="single" w:sz="6" w:space="0" w:color="000000"/>
              <w:bottom w:val="single" w:sz="6" w:space="0" w:color="000000"/>
              <w:right w:val="single" w:sz="6" w:space="0" w:color="000000"/>
            </w:tcBorders>
            <w:vAlign w:val="center"/>
          </w:tcPr>
          <w:p w14:paraId="45456D43" w14:textId="77777777" w:rsidR="00F20CFD" w:rsidRPr="008D7156" w:rsidRDefault="00BA3C25" w:rsidP="00EA7BF5">
            <w:pPr>
              <w:ind w:firstLine="709"/>
              <w:rPr>
                <w:sz w:val="22"/>
                <w:szCs w:val="24"/>
              </w:rPr>
            </w:pPr>
            <w:r>
              <w:rPr>
                <w:sz w:val="22"/>
                <w:szCs w:val="24"/>
              </w:rPr>
              <w:t>4</w:t>
            </w:r>
          </w:p>
        </w:tc>
        <w:tc>
          <w:tcPr>
            <w:tcW w:w="1744" w:type="dxa"/>
            <w:tcBorders>
              <w:top w:val="single" w:sz="6" w:space="0" w:color="000000"/>
              <w:left w:val="single" w:sz="6" w:space="0" w:color="000000"/>
              <w:bottom w:val="single" w:sz="6" w:space="0" w:color="000000"/>
              <w:right w:val="single" w:sz="6" w:space="0" w:color="000000"/>
            </w:tcBorders>
            <w:vAlign w:val="center"/>
          </w:tcPr>
          <w:p w14:paraId="137D8918" w14:textId="77777777" w:rsidR="00F20CFD" w:rsidRPr="008D7156" w:rsidRDefault="00F20CFD" w:rsidP="00EA7BF5">
            <w:pPr>
              <w:ind w:firstLine="709"/>
              <w:rPr>
                <w:sz w:val="22"/>
                <w:szCs w:val="24"/>
              </w:rPr>
            </w:pPr>
            <w:r w:rsidRPr="008D7156">
              <w:rPr>
                <w:sz w:val="22"/>
                <w:szCs w:val="24"/>
              </w:rPr>
              <w:t>С</w:t>
            </w:r>
          </w:p>
        </w:tc>
      </w:tr>
      <w:tr w:rsidR="00F20CFD" w:rsidRPr="001E3EF7" w14:paraId="2B92FA4C" w14:textId="77777777" w:rsidTr="00610E58">
        <w:tc>
          <w:tcPr>
            <w:tcW w:w="968" w:type="dxa"/>
            <w:tcBorders>
              <w:top w:val="single" w:sz="6" w:space="0" w:color="000000"/>
              <w:left w:val="single" w:sz="6" w:space="0" w:color="000000"/>
              <w:bottom w:val="single" w:sz="6" w:space="0" w:color="000000"/>
              <w:right w:val="single" w:sz="6" w:space="0" w:color="000000"/>
            </w:tcBorders>
            <w:vAlign w:val="center"/>
          </w:tcPr>
          <w:p w14:paraId="11D4909C" w14:textId="77777777" w:rsidR="00F20CFD" w:rsidRPr="008D7156" w:rsidRDefault="00F20CFD" w:rsidP="00EA7BF5">
            <w:pPr>
              <w:jc w:val="center"/>
              <w:rPr>
                <w:sz w:val="22"/>
                <w:szCs w:val="24"/>
              </w:rPr>
            </w:pPr>
            <w:r w:rsidRPr="008D7156">
              <w:rPr>
                <w:sz w:val="22"/>
                <w:szCs w:val="24"/>
              </w:rPr>
              <w:t>12</w:t>
            </w:r>
          </w:p>
        </w:tc>
        <w:tc>
          <w:tcPr>
            <w:tcW w:w="5281" w:type="dxa"/>
            <w:tcBorders>
              <w:top w:val="single" w:sz="6" w:space="0" w:color="000000"/>
              <w:left w:val="single" w:sz="6" w:space="0" w:color="000000"/>
              <w:bottom w:val="single" w:sz="6" w:space="0" w:color="000000"/>
              <w:right w:val="single" w:sz="6" w:space="0" w:color="000000"/>
            </w:tcBorders>
            <w:vAlign w:val="center"/>
          </w:tcPr>
          <w:p w14:paraId="22BC6DBE" w14:textId="77777777" w:rsidR="00F20CFD" w:rsidRPr="00F57212" w:rsidRDefault="00F20CFD" w:rsidP="00EA7BF5">
            <w:pPr>
              <w:rPr>
                <w:sz w:val="22"/>
                <w:szCs w:val="24"/>
              </w:rPr>
            </w:pPr>
            <w:r w:rsidRPr="00F57212">
              <w:rPr>
                <w:sz w:val="22"/>
                <w:szCs w:val="24"/>
              </w:rPr>
              <w:t>Пациенту при подозрении на МДС выполнено гистологическое исследование КМ (трепанобиопсия)</w:t>
            </w:r>
          </w:p>
        </w:tc>
        <w:tc>
          <w:tcPr>
            <w:tcW w:w="1607" w:type="dxa"/>
            <w:tcBorders>
              <w:top w:val="single" w:sz="6" w:space="0" w:color="000000"/>
              <w:left w:val="single" w:sz="6" w:space="0" w:color="000000"/>
              <w:bottom w:val="single" w:sz="6" w:space="0" w:color="000000"/>
              <w:right w:val="single" w:sz="6" w:space="0" w:color="000000"/>
            </w:tcBorders>
            <w:vAlign w:val="center"/>
          </w:tcPr>
          <w:p w14:paraId="31CAC6ED" w14:textId="77777777" w:rsidR="00F20CFD" w:rsidRPr="008D7156" w:rsidRDefault="00BA3C25" w:rsidP="00EA7BF5">
            <w:pPr>
              <w:ind w:firstLine="709"/>
              <w:rPr>
                <w:sz w:val="22"/>
                <w:szCs w:val="24"/>
              </w:rPr>
            </w:pPr>
            <w:r>
              <w:rPr>
                <w:sz w:val="22"/>
                <w:szCs w:val="24"/>
              </w:rPr>
              <w:t>4</w:t>
            </w:r>
          </w:p>
        </w:tc>
        <w:tc>
          <w:tcPr>
            <w:tcW w:w="1744" w:type="dxa"/>
            <w:tcBorders>
              <w:top w:val="single" w:sz="6" w:space="0" w:color="000000"/>
              <w:left w:val="single" w:sz="6" w:space="0" w:color="000000"/>
              <w:bottom w:val="single" w:sz="6" w:space="0" w:color="000000"/>
              <w:right w:val="single" w:sz="6" w:space="0" w:color="000000"/>
            </w:tcBorders>
            <w:vAlign w:val="center"/>
          </w:tcPr>
          <w:p w14:paraId="4B3E2EB7" w14:textId="77777777" w:rsidR="00F20CFD" w:rsidRPr="008D7156" w:rsidRDefault="00F20CFD" w:rsidP="00EA7BF5">
            <w:pPr>
              <w:ind w:firstLine="709"/>
              <w:rPr>
                <w:sz w:val="22"/>
                <w:szCs w:val="24"/>
              </w:rPr>
            </w:pPr>
            <w:r w:rsidRPr="008D7156">
              <w:rPr>
                <w:sz w:val="22"/>
                <w:szCs w:val="24"/>
              </w:rPr>
              <w:t>С</w:t>
            </w:r>
          </w:p>
        </w:tc>
      </w:tr>
      <w:tr w:rsidR="00F20CFD" w:rsidRPr="001E3EF7" w14:paraId="54AEB672" w14:textId="77777777" w:rsidTr="00610E58">
        <w:tc>
          <w:tcPr>
            <w:tcW w:w="968" w:type="dxa"/>
            <w:tcBorders>
              <w:top w:val="single" w:sz="6" w:space="0" w:color="000000"/>
              <w:left w:val="single" w:sz="6" w:space="0" w:color="000000"/>
              <w:bottom w:val="single" w:sz="6" w:space="0" w:color="000000"/>
              <w:right w:val="single" w:sz="6" w:space="0" w:color="000000"/>
            </w:tcBorders>
            <w:vAlign w:val="center"/>
          </w:tcPr>
          <w:p w14:paraId="40990AF4" w14:textId="77777777" w:rsidR="00F20CFD" w:rsidRPr="008D7156" w:rsidRDefault="00F20CFD" w:rsidP="00EA7BF5">
            <w:pPr>
              <w:jc w:val="center"/>
              <w:rPr>
                <w:sz w:val="22"/>
                <w:szCs w:val="24"/>
              </w:rPr>
            </w:pPr>
            <w:r w:rsidRPr="008D7156">
              <w:rPr>
                <w:sz w:val="22"/>
                <w:szCs w:val="24"/>
              </w:rPr>
              <w:t>13</w:t>
            </w:r>
          </w:p>
        </w:tc>
        <w:tc>
          <w:tcPr>
            <w:tcW w:w="5281" w:type="dxa"/>
            <w:tcBorders>
              <w:top w:val="single" w:sz="6" w:space="0" w:color="000000"/>
              <w:left w:val="single" w:sz="6" w:space="0" w:color="000000"/>
              <w:bottom w:val="single" w:sz="6" w:space="0" w:color="000000"/>
              <w:right w:val="single" w:sz="6" w:space="0" w:color="000000"/>
            </w:tcBorders>
            <w:vAlign w:val="center"/>
          </w:tcPr>
          <w:p w14:paraId="4A460835" w14:textId="77777777" w:rsidR="00F20CFD" w:rsidRPr="003C7A39" w:rsidRDefault="00F20CFD" w:rsidP="000D2CA0">
            <w:pPr>
              <w:rPr>
                <w:sz w:val="22"/>
                <w:szCs w:val="24"/>
              </w:rPr>
            </w:pPr>
            <w:r w:rsidRPr="00F57212">
              <w:rPr>
                <w:sz w:val="22"/>
                <w:szCs w:val="24"/>
              </w:rPr>
              <w:t>Пациенту с подозрением на МДС выполнено УЗИ брюшной полости и забрюшинного пространства, УЗИ щитовидной железы, УЗИ органов малого таза у женщин и предстательной железы у мужчин</w:t>
            </w:r>
          </w:p>
        </w:tc>
        <w:tc>
          <w:tcPr>
            <w:tcW w:w="1607" w:type="dxa"/>
            <w:tcBorders>
              <w:top w:val="single" w:sz="6" w:space="0" w:color="000000"/>
              <w:left w:val="single" w:sz="6" w:space="0" w:color="000000"/>
              <w:bottom w:val="single" w:sz="6" w:space="0" w:color="000000"/>
              <w:right w:val="single" w:sz="6" w:space="0" w:color="000000"/>
            </w:tcBorders>
            <w:vAlign w:val="center"/>
          </w:tcPr>
          <w:p w14:paraId="7BB5C3B9" w14:textId="77777777" w:rsidR="00F20CFD" w:rsidRPr="008D7156" w:rsidRDefault="00F20CFD" w:rsidP="00EA7BF5">
            <w:pPr>
              <w:ind w:firstLine="709"/>
              <w:rPr>
                <w:sz w:val="22"/>
                <w:szCs w:val="24"/>
                <w:lang w:val="en-US"/>
              </w:rPr>
            </w:pPr>
            <w:r w:rsidRPr="008D7156">
              <w:rPr>
                <w:sz w:val="22"/>
                <w:szCs w:val="24"/>
                <w:lang w:val="en-US"/>
              </w:rPr>
              <w:t>5</w:t>
            </w:r>
          </w:p>
        </w:tc>
        <w:tc>
          <w:tcPr>
            <w:tcW w:w="1744" w:type="dxa"/>
            <w:tcBorders>
              <w:top w:val="single" w:sz="6" w:space="0" w:color="000000"/>
              <w:left w:val="single" w:sz="6" w:space="0" w:color="000000"/>
              <w:bottom w:val="single" w:sz="6" w:space="0" w:color="000000"/>
              <w:right w:val="single" w:sz="6" w:space="0" w:color="000000"/>
            </w:tcBorders>
            <w:vAlign w:val="center"/>
          </w:tcPr>
          <w:p w14:paraId="072294AF" w14:textId="77777777" w:rsidR="00F20CFD" w:rsidRPr="008D7156" w:rsidRDefault="00F20CFD" w:rsidP="00EA7BF5">
            <w:pPr>
              <w:ind w:firstLine="709"/>
              <w:rPr>
                <w:sz w:val="22"/>
                <w:szCs w:val="24"/>
                <w:lang w:val="en-US"/>
              </w:rPr>
            </w:pPr>
            <w:r w:rsidRPr="008D7156">
              <w:rPr>
                <w:sz w:val="22"/>
                <w:szCs w:val="24"/>
                <w:lang w:val="en-US"/>
              </w:rPr>
              <w:t>C</w:t>
            </w:r>
          </w:p>
        </w:tc>
      </w:tr>
      <w:tr w:rsidR="00F20CFD" w:rsidRPr="001E3EF7" w14:paraId="0DB43B62" w14:textId="77777777" w:rsidTr="00610E58">
        <w:tc>
          <w:tcPr>
            <w:tcW w:w="968" w:type="dxa"/>
            <w:tcBorders>
              <w:top w:val="single" w:sz="6" w:space="0" w:color="000000"/>
              <w:left w:val="single" w:sz="6" w:space="0" w:color="000000"/>
              <w:bottom w:val="single" w:sz="6" w:space="0" w:color="000000"/>
              <w:right w:val="single" w:sz="6" w:space="0" w:color="000000"/>
            </w:tcBorders>
            <w:vAlign w:val="center"/>
          </w:tcPr>
          <w:p w14:paraId="4D9A0815" w14:textId="77777777" w:rsidR="00F20CFD" w:rsidRPr="008D7156" w:rsidRDefault="00F20CFD" w:rsidP="00EA7BF5">
            <w:pPr>
              <w:jc w:val="center"/>
              <w:rPr>
                <w:sz w:val="22"/>
                <w:szCs w:val="24"/>
              </w:rPr>
            </w:pPr>
            <w:r w:rsidRPr="008D7156">
              <w:rPr>
                <w:sz w:val="22"/>
                <w:szCs w:val="24"/>
              </w:rPr>
              <w:t>14</w:t>
            </w:r>
          </w:p>
        </w:tc>
        <w:tc>
          <w:tcPr>
            <w:tcW w:w="5281" w:type="dxa"/>
            <w:tcBorders>
              <w:top w:val="single" w:sz="6" w:space="0" w:color="000000"/>
              <w:left w:val="single" w:sz="6" w:space="0" w:color="000000"/>
              <w:bottom w:val="single" w:sz="6" w:space="0" w:color="000000"/>
              <w:right w:val="single" w:sz="6" w:space="0" w:color="000000"/>
            </w:tcBorders>
            <w:vAlign w:val="center"/>
          </w:tcPr>
          <w:p w14:paraId="2934F136" w14:textId="77777777" w:rsidR="00F20CFD" w:rsidRPr="00F57212" w:rsidRDefault="00F20CFD" w:rsidP="000D2CA0">
            <w:pPr>
              <w:rPr>
                <w:sz w:val="22"/>
                <w:szCs w:val="24"/>
              </w:rPr>
            </w:pPr>
            <w:r w:rsidRPr="00F57212">
              <w:rPr>
                <w:sz w:val="22"/>
                <w:szCs w:val="24"/>
              </w:rPr>
              <w:t>Пациенту с подозрением на МДС выполнена рентгенография или КТ органов грудной клетки.</w:t>
            </w:r>
          </w:p>
        </w:tc>
        <w:tc>
          <w:tcPr>
            <w:tcW w:w="1607" w:type="dxa"/>
            <w:tcBorders>
              <w:top w:val="single" w:sz="6" w:space="0" w:color="000000"/>
              <w:left w:val="single" w:sz="6" w:space="0" w:color="000000"/>
              <w:bottom w:val="single" w:sz="6" w:space="0" w:color="000000"/>
              <w:right w:val="single" w:sz="6" w:space="0" w:color="000000"/>
            </w:tcBorders>
            <w:vAlign w:val="center"/>
          </w:tcPr>
          <w:p w14:paraId="6F166773" w14:textId="77777777" w:rsidR="00F20CFD" w:rsidRPr="008D7156" w:rsidRDefault="00F20CFD" w:rsidP="00EA7BF5">
            <w:pPr>
              <w:ind w:firstLine="709"/>
              <w:rPr>
                <w:sz w:val="22"/>
                <w:szCs w:val="24"/>
              </w:rPr>
            </w:pPr>
            <w:r w:rsidRPr="008D7156">
              <w:rPr>
                <w:sz w:val="22"/>
                <w:szCs w:val="24"/>
              </w:rPr>
              <w:t>5</w:t>
            </w:r>
          </w:p>
        </w:tc>
        <w:tc>
          <w:tcPr>
            <w:tcW w:w="1744" w:type="dxa"/>
            <w:tcBorders>
              <w:top w:val="single" w:sz="6" w:space="0" w:color="000000"/>
              <w:left w:val="single" w:sz="6" w:space="0" w:color="000000"/>
              <w:bottom w:val="single" w:sz="6" w:space="0" w:color="000000"/>
              <w:right w:val="single" w:sz="6" w:space="0" w:color="000000"/>
            </w:tcBorders>
            <w:vAlign w:val="center"/>
          </w:tcPr>
          <w:p w14:paraId="498BA7E1" w14:textId="77777777" w:rsidR="00F20CFD" w:rsidRPr="008D7156" w:rsidRDefault="00F20CFD" w:rsidP="00EA7BF5">
            <w:pPr>
              <w:ind w:firstLine="709"/>
              <w:rPr>
                <w:sz w:val="22"/>
                <w:szCs w:val="24"/>
              </w:rPr>
            </w:pPr>
            <w:r w:rsidRPr="008D7156">
              <w:rPr>
                <w:sz w:val="22"/>
                <w:szCs w:val="24"/>
              </w:rPr>
              <w:t>С</w:t>
            </w:r>
          </w:p>
        </w:tc>
      </w:tr>
      <w:tr w:rsidR="00F20CFD" w:rsidRPr="001E3EF7" w14:paraId="23E88B85" w14:textId="77777777" w:rsidTr="00610E58">
        <w:tc>
          <w:tcPr>
            <w:tcW w:w="968" w:type="dxa"/>
            <w:tcBorders>
              <w:top w:val="single" w:sz="6" w:space="0" w:color="000000"/>
              <w:left w:val="single" w:sz="6" w:space="0" w:color="000000"/>
              <w:bottom w:val="single" w:sz="6" w:space="0" w:color="000000"/>
              <w:right w:val="single" w:sz="6" w:space="0" w:color="000000"/>
            </w:tcBorders>
            <w:vAlign w:val="center"/>
          </w:tcPr>
          <w:p w14:paraId="5656CD81" w14:textId="77777777" w:rsidR="00F20CFD" w:rsidRPr="008D7156" w:rsidRDefault="00F20CFD" w:rsidP="00EA7BF5">
            <w:pPr>
              <w:jc w:val="center"/>
              <w:rPr>
                <w:sz w:val="22"/>
                <w:szCs w:val="24"/>
              </w:rPr>
            </w:pPr>
            <w:r w:rsidRPr="008D7156">
              <w:rPr>
                <w:sz w:val="22"/>
                <w:szCs w:val="24"/>
              </w:rPr>
              <w:t>15</w:t>
            </w:r>
          </w:p>
        </w:tc>
        <w:tc>
          <w:tcPr>
            <w:tcW w:w="5281" w:type="dxa"/>
            <w:tcBorders>
              <w:top w:val="single" w:sz="6" w:space="0" w:color="000000"/>
              <w:left w:val="single" w:sz="6" w:space="0" w:color="000000"/>
              <w:bottom w:val="single" w:sz="6" w:space="0" w:color="000000"/>
              <w:right w:val="single" w:sz="6" w:space="0" w:color="000000"/>
            </w:tcBorders>
            <w:vAlign w:val="center"/>
          </w:tcPr>
          <w:p w14:paraId="5B16C2D3" w14:textId="77777777" w:rsidR="00F20CFD" w:rsidRPr="008D7156" w:rsidRDefault="00F20CFD" w:rsidP="00EA7BF5">
            <w:pPr>
              <w:rPr>
                <w:sz w:val="22"/>
                <w:szCs w:val="24"/>
              </w:rPr>
            </w:pPr>
            <w:r w:rsidRPr="008D7156">
              <w:rPr>
                <w:sz w:val="22"/>
                <w:szCs w:val="24"/>
              </w:rPr>
              <w:t>Пациенту с подозрением на МДС выполнена КТ или МРТ</w:t>
            </w:r>
            <w:r w:rsidR="00ED6675" w:rsidRPr="00ED6675">
              <w:rPr>
                <w:sz w:val="22"/>
                <w:szCs w:val="24"/>
              </w:rPr>
              <w:t xml:space="preserve"> головы</w:t>
            </w:r>
            <w:r w:rsidRPr="008D7156">
              <w:rPr>
                <w:sz w:val="22"/>
                <w:szCs w:val="24"/>
              </w:rPr>
              <w:t xml:space="preserve"> </w:t>
            </w:r>
          </w:p>
        </w:tc>
        <w:tc>
          <w:tcPr>
            <w:tcW w:w="1607" w:type="dxa"/>
            <w:tcBorders>
              <w:top w:val="single" w:sz="6" w:space="0" w:color="000000"/>
              <w:left w:val="single" w:sz="6" w:space="0" w:color="000000"/>
              <w:bottom w:val="single" w:sz="6" w:space="0" w:color="000000"/>
              <w:right w:val="single" w:sz="6" w:space="0" w:color="000000"/>
            </w:tcBorders>
            <w:vAlign w:val="center"/>
          </w:tcPr>
          <w:p w14:paraId="133D0740" w14:textId="77777777" w:rsidR="00F20CFD" w:rsidRPr="008D7156" w:rsidRDefault="00F20CFD" w:rsidP="00EA7BF5">
            <w:pPr>
              <w:ind w:firstLine="709"/>
              <w:rPr>
                <w:sz w:val="22"/>
                <w:szCs w:val="24"/>
              </w:rPr>
            </w:pPr>
            <w:r w:rsidRPr="008D7156">
              <w:rPr>
                <w:sz w:val="22"/>
                <w:szCs w:val="24"/>
              </w:rPr>
              <w:t>5</w:t>
            </w:r>
          </w:p>
        </w:tc>
        <w:tc>
          <w:tcPr>
            <w:tcW w:w="1744" w:type="dxa"/>
            <w:tcBorders>
              <w:top w:val="single" w:sz="6" w:space="0" w:color="000000"/>
              <w:left w:val="single" w:sz="6" w:space="0" w:color="000000"/>
              <w:bottom w:val="single" w:sz="6" w:space="0" w:color="000000"/>
              <w:right w:val="single" w:sz="6" w:space="0" w:color="000000"/>
            </w:tcBorders>
            <w:vAlign w:val="center"/>
          </w:tcPr>
          <w:p w14:paraId="274BD9A0" w14:textId="77777777" w:rsidR="00F20CFD" w:rsidRPr="008D7156" w:rsidRDefault="00F20CFD" w:rsidP="00EA7BF5">
            <w:pPr>
              <w:ind w:firstLine="709"/>
              <w:rPr>
                <w:sz w:val="22"/>
                <w:szCs w:val="24"/>
              </w:rPr>
            </w:pPr>
            <w:r w:rsidRPr="008D7156">
              <w:rPr>
                <w:sz w:val="22"/>
                <w:szCs w:val="24"/>
              </w:rPr>
              <w:t>С</w:t>
            </w:r>
          </w:p>
        </w:tc>
      </w:tr>
      <w:tr w:rsidR="00F20CFD" w:rsidRPr="001E3EF7" w14:paraId="61BB0F71" w14:textId="77777777" w:rsidTr="00610E58">
        <w:tc>
          <w:tcPr>
            <w:tcW w:w="968" w:type="dxa"/>
            <w:tcBorders>
              <w:top w:val="single" w:sz="6" w:space="0" w:color="000000"/>
              <w:left w:val="single" w:sz="6" w:space="0" w:color="000000"/>
              <w:bottom w:val="single" w:sz="6" w:space="0" w:color="000000"/>
              <w:right w:val="single" w:sz="6" w:space="0" w:color="000000"/>
            </w:tcBorders>
            <w:vAlign w:val="center"/>
          </w:tcPr>
          <w:p w14:paraId="2B3D303B" w14:textId="77777777" w:rsidR="00F20CFD" w:rsidRPr="008D7156" w:rsidRDefault="00F20CFD" w:rsidP="00EA7BF5">
            <w:pPr>
              <w:jc w:val="center"/>
              <w:rPr>
                <w:sz w:val="22"/>
                <w:szCs w:val="24"/>
              </w:rPr>
            </w:pPr>
            <w:r w:rsidRPr="008D7156">
              <w:rPr>
                <w:sz w:val="22"/>
                <w:szCs w:val="24"/>
              </w:rPr>
              <w:t>16</w:t>
            </w:r>
          </w:p>
        </w:tc>
        <w:tc>
          <w:tcPr>
            <w:tcW w:w="5281" w:type="dxa"/>
            <w:tcBorders>
              <w:top w:val="single" w:sz="6" w:space="0" w:color="000000"/>
              <w:left w:val="single" w:sz="6" w:space="0" w:color="000000"/>
              <w:bottom w:val="single" w:sz="6" w:space="0" w:color="000000"/>
              <w:right w:val="single" w:sz="6" w:space="0" w:color="000000"/>
            </w:tcBorders>
            <w:vAlign w:val="center"/>
          </w:tcPr>
          <w:p w14:paraId="657002C6" w14:textId="77777777" w:rsidR="00F20CFD" w:rsidRPr="003C7A39" w:rsidRDefault="00F20CFD" w:rsidP="00203FEF">
            <w:pPr>
              <w:rPr>
                <w:sz w:val="22"/>
                <w:szCs w:val="24"/>
              </w:rPr>
            </w:pPr>
            <w:r w:rsidRPr="00F57212">
              <w:rPr>
                <w:sz w:val="22"/>
                <w:szCs w:val="24"/>
              </w:rPr>
              <w:t xml:space="preserve">Пациенту с подозрением на МДС </w:t>
            </w:r>
            <w:r w:rsidRPr="003C7A39">
              <w:rPr>
                <w:sz w:val="22"/>
                <w:szCs w:val="24"/>
              </w:rPr>
              <w:t>выполнена ЭГДС</w:t>
            </w:r>
          </w:p>
        </w:tc>
        <w:tc>
          <w:tcPr>
            <w:tcW w:w="1607" w:type="dxa"/>
            <w:tcBorders>
              <w:top w:val="single" w:sz="6" w:space="0" w:color="000000"/>
              <w:left w:val="single" w:sz="6" w:space="0" w:color="000000"/>
              <w:bottom w:val="single" w:sz="6" w:space="0" w:color="000000"/>
              <w:right w:val="single" w:sz="6" w:space="0" w:color="000000"/>
            </w:tcBorders>
            <w:vAlign w:val="center"/>
          </w:tcPr>
          <w:p w14:paraId="152760BD" w14:textId="77777777" w:rsidR="00F20CFD" w:rsidRPr="008D7156" w:rsidRDefault="00F20CFD" w:rsidP="00EA7BF5">
            <w:pPr>
              <w:ind w:firstLine="709"/>
              <w:rPr>
                <w:sz w:val="22"/>
                <w:szCs w:val="24"/>
              </w:rPr>
            </w:pPr>
            <w:r w:rsidRPr="008D7156">
              <w:rPr>
                <w:sz w:val="22"/>
                <w:szCs w:val="24"/>
              </w:rPr>
              <w:t>5</w:t>
            </w:r>
          </w:p>
        </w:tc>
        <w:tc>
          <w:tcPr>
            <w:tcW w:w="1744" w:type="dxa"/>
            <w:tcBorders>
              <w:top w:val="single" w:sz="6" w:space="0" w:color="000000"/>
              <w:left w:val="single" w:sz="6" w:space="0" w:color="000000"/>
              <w:bottom w:val="single" w:sz="6" w:space="0" w:color="000000"/>
              <w:right w:val="single" w:sz="6" w:space="0" w:color="000000"/>
            </w:tcBorders>
            <w:vAlign w:val="center"/>
          </w:tcPr>
          <w:p w14:paraId="22B70156" w14:textId="77777777" w:rsidR="00F20CFD" w:rsidRPr="008D7156" w:rsidRDefault="00F20CFD" w:rsidP="00EA7BF5">
            <w:pPr>
              <w:ind w:firstLine="709"/>
              <w:rPr>
                <w:sz w:val="22"/>
                <w:szCs w:val="24"/>
              </w:rPr>
            </w:pPr>
            <w:r w:rsidRPr="008D7156">
              <w:rPr>
                <w:sz w:val="22"/>
                <w:szCs w:val="24"/>
              </w:rPr>
              <w:t>С</w:t>
            </w:r>
          </w:p>
        </w:tc>
      </w:tr>
      <w:tr w:rsidR="00F20CFD" w:rsidRPr="001E3EF7" w14:paraId="254769BC" w14:textId="77777777" w:rsidTr="00610E58">
        <w:tc>
          <w:tcPr>
            <w:tcW w:w="968" w:type="dxa"/>
            <w:tcBorders>
              <w:top w:val="single" w:sz="6" w:space="0" w:color="000000"/>
              <w:left w:val="single" w:sz="6" w:space="0" w:color="000000"/>
              <w:bottom w:val="single" w:sz="6" w:space="0" w:color="000000"/>
              <w:right w:val="single" w:sz="6" w:space="0" w:color="000000"/>
            </w:tcBorders>
            <w:vAlign w:val="center"/>
          </w:tcPr>
          <w:p w14:paraId="604C3BAA" w14:textId="77777777" w:rsidR="00F20CFD" w:rsidRPr="008D7156" w:rsidRDefault="00F20CFD" w:rsidP="00EA7BF5">
            <w:pPr>
              <w:jc w:val="center"/>
              <w:rPr>
                <w:sz w:val="22"/>
                <w:szCs w:val="24"/>
              </w:rPr>
            </w:pPr>
            <w:r w:rsidRPr="008D7156">
              <w:rPr>
                <w:sz w:val="22"/>
                <w:szCs w:val="24"/>
              </w:rPr>
              <w:t>17</w:t>
            </w:r>
          </w:p>
        </w:tc>
        <w:tc>
          <w:tcPr>
            <w:tcW w:w="5281" w:type="dxa"/>
            <w:tcBorders>
              <w:top w:val="single" w:sz="6" w:space="0" w:color="000000"/>
              <w:left w:val="single" w:sz="6" w:space="0" w:color="000000"/>
              <w:bottom w:val="single" w:sz="6" w:space="0" w:color="000000"/>
              <w:right w:val="single" w:sz="6" w:space="0" w:color="000000"/>
            </w:tcBorders>
            <w:vAlign w:val="center"/>
          </w:tcPr>
          <w:p w14:paraId="6799CBE3" w14:textId="77777777" w:rsidR="00F20CFD" w:rsidRPr="00F57212" w:rsidRDefault="00F20CFD" w:rsidP="00EA7BF5">
            <w:pPr>
              <w:rPr>
                <w:sz w:val="22"/>
                <w:szCs w:val="24"/>
              </w:rPr>
            </w:pPr>
            <w:r w:rsidRPr="00F57212">
              <w:rPr>
                <w:sz w:val="22"/>
                <w:szCs w:val="24"/>
              </w:rPr>
              <w:t>Пациенту с подозрением на МДС из группы низкого риска выполнена колоноскопия</w:t>
            </w:r>
          </w:p>
        </w:tc>
        <w:tc>
          <w:tcPr>
            <w:tcW w:w="1607" w:type="dxa"/>
            <w:tcBorders>
              <w:top w:val="single" w:sz="6" w:space="0" w:color="000000"/>
              <w:left w:val="single" w:sz="6" w:space="0" w:color="000000"/>
              <w:bottom w:val="single" w:sz="6" w:space="0" w:color="000000"/>
              <w:right w:val="single" w:sz="6" w:space="0" w:color="000000"/>
            </w:tcBorders>
            <w:vAlign w:val="center"/>
          </w:tcPr>
          <w:p w14:paraId="122FA938" w14:textId="77777777" w:rsidR="00F20CFD" w:rsidRPr="008D7156" w:rsidRDefault="00F20CFD" w:rsidP="00EA7BF5">
            <w:pPr>
              <w:ind w:firstLine="709"/>
              <w:rPr>
                <w:sz w:val="22"/>
                <w:szCs w:val="24"/>
              </w:rPr>
            </w:pPr>
            <w:r w:rsidRPr="008D7156">
              <w:rPr>
                <w:sz w:val="22"/>
                <w:szCs w:val="24"/>
              </w:rPr>
              <w:t>5</w:t>
            </w:r>
          </w:p>
        </w:tc>
        <w:tc>
          <w:tcPr>
            <w:tcW w:w="1744" w:type="dxa"/>
            <w:tcBorders>
              <w:top w:val="single" w:sz="6" w:space="0" w:color="000000"/>
              <w:left w:val="single" w:sz="6" w:space="0" w:color="000000"/>
              <w:bottom w:val="single" w:sz="6" w:space="0" w:color="000000"/>
              <w:right w:val="single" w:sz="6" w:space="0" w:color="000000"/>
            </w:tcBorders>
            <w:vAlign w:val="center"/>
          </w:tcPr>
          <w:p w14:paraId="497B9672" w14:textId="77777777" w:rsidR="00F20CFD" w:rsidRPr="008D7156" w:rsidRDefault="00F20CFD" w:rsidP="00EA7BF5">
            <w:pPr>
              <w:ind w:firstLine="709"/>
              <w:rPr>
                <w:sz w:val="22"/>
                <w:szCs w:val="24"/>
              </w:rPr>
            </w:pPr>
            <w:r w:rsidRPr="008D7156">
              <w:rPr>
                <w:sz w:val="22"/>
                <w:szCs w:val="24"/>
              </w:rPr>
              <w:t>С</w:t>
            </w:r>
          </w:p>
        </w:tc>
      </w:tr>
      <w:tr w:rsidR="00F20CFD" w:rsidRPr="001E3EF7" w14:paraId="4D1F8D94" w14:textId="77777777" w:rsidTr="00610E58">
        <w:tc>
          <w:tcPr>
            <w:tcW w:w="968" w:type="dxa"/>
            <w:tcBorders>
              <w:top w:val="single" w:sz="6" w:space="0" w:color="000000"/>
              <w:left w:val="single" w:sz="6" w:space="0" w:color="000000"/>
              <w:bottom w:val="single" w:sz="6" w:space="0" w:color="000000"/>
              <w:right w:val="single" w:sz="6" w:space="0" w:color="000000"/>
            </w:tcBorders>
            <w:vAlign w:val="center"/>
          </w:tcPr>
          <w:p w14:paraId="3FB00E5D" w14:textId="77777777" w:rsidR="00F20CFD" w:rsidRPr="008D7156" w:rsidRDefault="00F20CFD" w:rsidP="00EA7BF5">
            <w:pPr>
              <w:jc w:val="center"/>
              <w:rPr>
                <w:sz w:val="22"/>
                <w:szCs w:val="24"/>
              </w:rPr>
            </w:pPr>
            <w:r w:rsidRPr="008D7156">
              <w:rPr>
                <w:sz w:val="22"/>
                <w:szCs w:val="24"/>
              </w:rPr>
              <w:t>18</w:t>
            </w:r>
          </w:p>
        </w:tc>
        <w:tc>
          <w:tcPr>
            <w:tcW w:w="5281" w:type="dxa"/>
            <w:tcBorders>
              <w:top w:val="single" w:sz="6" w:space="0" w:color="000000"/>
              <w:left w:val="single" w:sz="6" w:space="0" w:color="000000"/>
              <w:bottom w:val="single" w:sz="6" w:space="0" w:color="000000"/>
              <w:right w:val="single" w:sz="6" w:space="0" w:color="000000"/>
            </w:tcBorders>
            <w:vAlign w:val="center"/>
          </w:tcPr>
          <w:p w14:paraId="6023E10C" w14:textId="77777777" w:rsidR="00F20CFD" w:rsidRPr="00F57212" w:rsidRDefault="00F20CFD" w:rsidP="00EA7BF5">
            <w:pPr>
              <w:rPr>
                <w:sz w:val="22"/>
                <w:szCs w:val="24"/>
              </w:rPr>
            </w:pPr>
            <w:r w:rsidRPr="00F57212">
              <w:rPr>
                <w:sz w:val="22"/>
                <w:szCs w:val="24"/>
              </w:rPr>
              <w:t>Пациенту при подозрении на МДС, а также пациенту с установленным МДС в процессе терапии выполнена ЭКГ</w:t>
            </w:r>
          </w:p>
        </w:tc>
        <w:tc>
          <w:tcPr>
            <w:tcW w:w="1607" w:type="dxa"/>
            <w:tcBorders>
              <w:top w:val="single" w:sz="6" w:space="0" w:color="000000"/>
              <w:left w:val="single" w:sz="6" w:space="0" w:color="000000"/>
              <w:bottom w:val="single" w:sz="6" w:space="0" w:color="000000"/>
              <w:right w:val="single" w:sz="6" w:space="0" w:color="000000"/>
            </w:tcBorders>
            <w:vAlign w:val="center"/>
          </w:tcPr>
          <w:p w14:paraId="5B7D6C57" w14:textId="77777777" w:rsidR="00F20CFD" w:rsidRPr="008D7156" w:rsidRDefault="00F20CFD" w:rsidP="00EA7BF5">
            <w:pPr>
              <w:ind w:firstLine="709"/>
              <w:rPr>
                <w:sz w:val="22"/>
                <w:szCs w:val="24"/>
              </w:rPr>
            </w:pPr>
            <w:r w:rsidRPr="008D7156">
              <w:rPr>
                <w:sz w:val="22"/>
                <w:szCs w:val="24"/>
              </w:rPr>
              <w:t>5</w:t>
            </w:r>
          </w:p>
        </w:tc>
        <w:tc>
          <w:tcPr>
            <w:tcW w:w="1744" w:type="dxa"/>
            <w:tcBorders>
              <w:top w:val="single" w:sz="6" w:space="0" w:color="000000"/>
              <w:left w:val="single" w:sz="6" w:space="0" w:color="000000"/>
              <w:bottom w:val="single" w:sz="6" w:space="0" w:color="000000"/>
              <w:right w:val="single" w:sz="6" w:space="0" w:color="000000"/>
            </w:tcBorders>
            <w:vAlign w:val="center"/>
          </w:tcPr>
          <w:p w14:paraId="75B21D6B" w14:textId="77777777" w:rsidR="00F20CFD" w:rsidRPr="008D7156" w:rsidRDefault="00F20CFD" w:rsidP="00EA7BF5">
            <w:pPr>
              <w:ind w:firstLine="709"/>
              <w:rPr>
                <w:sz w:val="22"/>
                <w:szCs w:val="24"/>
              </w:rPr>
            </w:pPr>
            <w:r w:rsidRPr="008D7156">
              <w:rPr>
                <w:sz w:val="22"/>
                <w:szCs w:val="24"/>
              </w:rPr>
              <w:t>С</w:t>
            </w:r>
          </w:p>
        </w:tc>
      </w:tr>
      <w:tr w:rsidR="00F20CFD" w:rsidRPr="001E3EF7" w14:paraId="3A592DBD" w14:textId="77777777" w:rsidTr="00610E58">
        <w:tc>
          <w:tcPr>
            <w:tcW w:w="968" w:type="dxa"/>
            <w:tcBorders>
              <w:top w:val="single" w:sz="6" w:space="0" w:color="000000"/>
              <w:left w:val="single" w:sz="6" w:space="0" w:color="000000"/>
              <w:bottom w:val="single" w:sz="6" w:space="0" w:color="000000"/>
              <w:right w:val="single" w:sz="6" w:space="0" w:color="000000"/>
            </w:tcBorders>
            <w:vAlign w:val="center"/>
          </w:tcPr>
          <w:p w14:paraId="51FFF5BD" w14:textId="3BD535BB" w:rsidR="00F20CFD" w:rsidRPr="008D7156" w:rsidRDefault="00AE1E12" w:rsidP="00EA7BF5">
            <w:pPr>
              <w:jc w:val="center"/>
              <w:rPr>
                <w:sz w:val="22"/>
                <w:szCs w:val="24"/>
              </w:rPr>
            </w:pPr>
            <w:r>
              <w:rPr>
                <w:sz w:val="22"/>
                <w:szCs w:val="24"/>
              </w:rPr>
              <w:t>19</w:t>
            </w:r>
          </w:p>
        </w:tc>
        <w:tc>
          <w:tcPr>
            <w:tcW w:w="5281" w:type="dxa"/>
            <w:tcBorders>
              <w:top w:val="single" w:sz="6" w:space="0" w:color="000000"/>
              <w:left w:val="single" w:sz="6" w:space="0" w:color="000000"/>
              <w:bottom w:val="single" w:sz="6" w:space="0" w:color="000000"/>
              <w:right w:val="single" w:sz="6" w:space="0" w:color="000000"/>
            </w:tcBorders>
            <w:vAlign w:val="center"/>
          </w:tcPr>
          <w:p w14:paraId="63833EBB" w14:textId="77777777" w:rsidR="00F20CFD" w:rsidRPr="003C7A39" w:rsidRDefault="00F20CFD" w:rsidP="00EA7BF5">
            <w:pPr>
              <w:rPr>
                <w:sz w:val="22"/>
                <w:szCs w:val="24"/>
              </w:rPr>
            </w:pPr>
            <w:r w:rsidRPr="00F57212">
              <w:rPr>
                <w:sz w:val="22"/>
                <w:szCs w:val="24"/>
              </w:rPr>
              <w:t xml:space="preserve">Пациенту с верифицированным МДС низкого или промежуточного-1 риска по </w:t>
            </w:r>
            <w:r w:rsidRPr="00F57212">
              <w:rPr>
                <w:sz w:val="22"/>
                <w:szCs w:val="24"/>
                <w:lang w:val="en-US"/>
              </w:rPr>
              <w:t>IPSS</w:t>
            </w:r>
            <w:r w:rsidRPr="00F57212">
              <w:rPr>
                <w:sz w:val="22"/>
                <w:szCs w:val="24"/>
              </w:rPr>
              <w:t xml:space="preserve"> с ЭПО &lt;500 Ед/мл с частотой трансфузий концентрата эритроцитов &lt;2 проведена терапия ЭПСП</w:t>
            </w:r>
          </w:p>
        </w:tc>
        <w:tc>
          <w:tcPr>
            <w:tcW w:w="1607" w:type="dxa"/>
            <w:tcBorders>
              <w:top w:val="single" w:sz="6" w:space="0" w:color="000000"/>
              <w:left w:val="single" w:sz="6" w:space="0" w:color="000000"/>
              <w:bottom w:val="single" w:sz="6" w:space="0" w:color="000000"/>
              <w:right w:val="single" w:sz="6" w:space="0" w:color="000000"/>
            </w:tcBorders>
            <w:vAlign w:val="center"/>
          </w:tcPr>
          <w:p w14:paraId="3D0A7B6D" w14:textId="77777777" w:rsidR="00F20CFD" w:rsidRPr="008D7156" w:rsidRDefault="00BA3C25" w:rsidP="00EA7BF5">
            <w:pPr>
              <w:ind w:firstLine="709"/>
              <w:rPr>
                <w:sz w:val="22"/>
                <w:szCs w:val="24"/>
              </w:rPr>
            </w:pPr>
            <w:r>
              <w:rPr>
                <w:sz w:val="22"/>
                <w:szCs w:val="24"/>
              </w:rPr>
              <w:t>2</w:t>
            </w:r>
          </w:p>
        </w:tc>
        <w:tc>
          <w:tcPr>
            <w:tcW w:w="1744" w:type="dxa"/>
            <w:tcBorders>
              <w:top w:val="single" w:sz="6" w:space="0" w:color="000000"/>
              <w:left w:val="single" w:sz="6" w:space="0" w:color="000000"/>
              <w:bottom w:val="single" w:sz="6" w:space="0" w:color="000000"/>
              <w:right w:val="single" w:sz="6" w:space="0" w:color="000000"/>
            </w:tcBorders>
            <w:vAlign w:val="center"/>
          </w:tcPr>
          <w:p w14:paraId="562DE93A" w14:textId="3DFBC009" w:rsidR="00F20CFD" w:rsidRPr="008D7156" w:rsidRDefault="00AE1E12" w:rsidP="00EA7BF5">
            <w:pPr>
              <w:ind w:firstLine="709"/>
              <w:rPr>
                <w:sz w:val="22"/>
                <w:szCs w:val="24"/>
              </w:rPr>
            </w:pPr>
            <w:r>
              <w:rPr>
                <w:sz w:val="22"/>
                <w:szCs w:val="24"/>
              </w:rPr>
              <w:t>В</w:t>
            </w:r>
            <w:r w:rsidR="00F20CFD" w:rsidRPr="008D7156">
              <w:rPr>
                <w:sz w:val="22"/>
                <w:szCs w:val="24"/>
              </w:rPr>
              <w:t xml:space="preserve"> </w:t>
            </w:r>
          </w:p>
        </w:tc>
      </w:tr>
      <w:tr w:rsidR="00F20CFD" w:rsidRPr="001E3EF7" w14:paraId="66E4D76C" w14:textId="77777777" w:rsidTr="00610E58">
        <w:tc>
          <w:tcPr>
            <w:tcW w:w="968" w:type="dxa"/>
            <w:tcBorders>
              <w:top w:val="single" w:sz="6" w:space="0" w:color="000000"/>
              <w:left w:val="single" w:sz="6" w:space="0" w:color="000000"/>
              <w:bottom w:val="single" w:sz="6" w:space="0" w:color="000000"/>
              <w:right w:val="single" w:sz="6" w:space="0" w:color="000000"/>
            </w:tcBorders>
            <w:vAlign w:val="center"/>
          </w:tcPr>
          <w:p w14:paraId="0A3C7312" w14:textId="7E02FBCC" w:rsidR="00F20CFD" w:rsidRPr="008D7156" w:rsidRDefault="00AE1E12" w:rsidP="00EA7BF5">
            <w:pPr>
              <w:jc w:val="center"/>
              <w:rPr>
                <w:sz w:val="22"/>
                <w:szCs w:val="24"/>
              </w:rPr>
            </w:pPr>
            <w:r>
              <w:rPr>
                <w:sz w:val="22"/>
                <w:szCs w:val="24"/>
              </w:rPr>
              <w:t>20</w:t>
            </w:r>
          </w:p>
        </w:tc>
        <w:tc>
          <w:tcPr>
            <w:tcW w:w="5281" w:type="dxa"/>
            <w:tcBorders>
              <w:top w:val="single" w:sz="6" w:space="0" w:color="000000"/>
              <w:left w:val="single" w:sz="6" w:space="0" w:color="000000"/>
              <w:bottom w:val="single" w:sz="6" w:space="0" w:color="000000"/>
              <w:right w:val="single" w:sz="6" w:space="0" w:color="000000"/>
            </w:tcBorders>
            <w:vAlign w:val="center"/>
          </w:tcPr>
          <w:p w14:paraId="4C1730FC" w14:textId="77777777" w:rsidR="00F20CFD" w:rsidRPr="00F57212" w:rsidRDefault="00F20CFD" w:rsidP="00EA7BF5">
            <w:pPr>
              <w:rPr>
                <w:sz w:val="22"/>
                <w:szCs w:val="24"/>
              </w:rPr>
            </w:pPr>
            <w:r w:rsidRPr="00F57212">
              <w:rPr>
                <w:sz w:val="22"/>
                <w:szCs w:val="24"/>
              </w:rPr>
              <w:t>Пациенту с МДС из группы низкого и промежуточ</w:t>
            </w:r>
            <w:r w:rsidRPr="003C7A39">
              <w:rPr>
                <w:sz w:val="22"/>
                <w:szCs w:val="24"/>
              </w:rPr>
              <w:t xml:space="preserve">ного-1 риска по шкале </w:t>
            </w:r>
            <w:r w:rsidRPr="003C7A39">
              <w:rPr>
                <w:sz w:val="22"/>
                <w:szCs w:val="24"/>
                <w:lang w:val="en-US"/>
              </w:rPr>
              <w:t>IPSS</w:t>
            </w:r>
            <w:r w:rsidRPr="003C7A39">
              <w:rPr>
                <w:sz w:val="22"/>
                <w:szCs w:val="24"/>
              </w:rPr>
              <w:t xml:space="preserve"> и пациенту с МДС из группы низкого и промежуточного риска по шкале </w:t>
            </w:r>
            <w:r w:rsidRPr="00F57212">
              <w:rPr>
                <w:sz w:val="22"/>
                <w:szCs w:val="24"/>
                <w:lang w:val="en-US"/>
              </w:rPr>
              <w:t>IPSS</w:t>
            </w:r>
            <w:r w:rsidRPr="00F57212">
              <w:rPr>
                <w:sz w:val="22"/>
                <w:szCs w:val="24"/>
              </w:rPr>
              <w:t>-</w:t>
            </w:r>
            <w:r w:rsidRPr="00F57212">
              <w:rPr>
                <w:sz w:val="22"/>
                <w:szCs w:val="24"/>
                <w:lang w:val="en-US"/>
              </w:rPr>
              <w:t>R</w:t>
            </w:r>
            <w:r w:rsidRPr="00F57212">
              <w:rPr>
                <w:sz w:val="22"/>
                <w:szCs w:val="24"/>
              </w:rPr>
              <w:t xml:space="preserve"> с гипоплазией кроветворения, нормальным кариотипом, аномалиями хорошего или промежуточного риска, за исключением 7</w:t>
            </w:r>
            <w:r w:rsidRPr="00F57212">
              <w:rPr>
                <w:sz w:val="22"/>
                <w:szCs w:val="24"/>
                <w:lang w:val="en-US"/>
              </w:rPr>
              <w:t>q</w:t>
            </w:r>
            <w:r w:rsidRPr="00F57212">
              <w:rPr>
                <w:sz w:val="22"/>
                <w:szCs w:val="24"/>
              </w:rPr>
              <w:t xml:space="preserve">-, </w:t>
            </w:r>
            <w:r w:rsidRPr="00F57212">
              <w:rPr>
                <w:sz w:val="22"/>
                <w:szCs w:val="24"/>
                <w:lang w:val="en-US"/>
              </w:rPr>
              <w:t>iso</w:t>
            </w:r>
            <w:r w:rsidRPr="00F57212">
              <w:rPr>
                <w:sz w:val="22"/>
                <w:szCs w:val="24"/>
              </w:rPr>
              <w:t>(17</w:t>
            </w:r>
            <w:r w:rsidRPr="00F57212">
              <w:rPr>
                <w:sz w:val="22"/>
                <w:szCs w:val="24"/>
                <w:lang w:val="en-US"/>
              </w:rPr>
              <w:t>q</w:t>
            </w:r>
            <w:r w:rsidRPr="00F57212">
              <w:rPr>
                <w:sz w:val="22"/>
                <w:szCs w:val="24"/>
              </w:rPr>
              <w:t>), проведена ИСТ</w:t>
            </w:r>
          </w:p>
        </w:tc>
        <w:tc>
          <w:tcPr>
            <w:tcW w:w="1607" w:type="dxa"/>
            <w:tcBorders>
              <w:top w:val="single" w:sz="6" w:space="0" w:color="000000"/>
              <w:left w:val="single" w:sz="6" w:space="0" w:color="000000"/>
              <w:bottom w:val="single" w:sz="6" w:space="0" w:color="000000"/>
              <w:right w:val="single" w:sz="6" w:space="0" w:color="000000"/>
            </w:tcBorders>
            <w:vAlign w:val="center"/>
          </w:tcPr>
          <w:p w14:paraId="30BF1D46" w14:textId="77777777" w:rsidR="00F20CFD" w:rsidRPr="008D7156" w:rsidRDefault="00BA3C25" w:rsidP="00EA7BF5">
            <w:pPr>
              <w:ind w:firstLine="709"/>
              <w:rPr>
                <w:sz w:val="22"/>
                <w:szCs w:val="24"/>
              </w:rPr>
            </w:pPr>
            <w:r>
              <w:rPr>
                <w:sz w:val="22"/>
                <w:szCs w:val="24"/>
              </w:rPr>
              <w:t>2</w:t>
            </w:r>
          </w:p>
        </w:tc>
        <w:tc>
          <w:tcPr>
            <w:tcW w:w="1744" w:type="dxa"/>
            <w:tcBorders>
              <w:top w:val="single" w:sz="6" w:space="0" w:color="000000"/>
              <w:left w:val="single" w:sz="6" w:space="0" w:color="000000"/>
              <w:bottom w:val="single" w:sz="6" w:space="0" w:color="000000"/>
              <w:right w:val="single" w:sz="6" w:space="0" w:color="000000"/>
            </w:tcBorders>
            <w:vAlign w:val="center"/>
          </w:tcPr>
          <w:p w14:paraId="2ED2C539" w14:textId="77777777" w:rsidR="00F20CFD" w:rsidRPr="008D7156" w:rsidRDefault="00BA3C25" w:rsidP="00EA7BF5">
            <w:pPr>
              <w:ind w:firstLine="709"/>
              <w:rPr>
                <w:sz w:val="22"/>
                <w:szCs w:val="24"/>
              </w:rPr>
            </w:pPr>
            <w:r>
              <w:rPr>
                <w:sz w:val="22"/>
                <w:szCs w:val="24"/>
              </w:rPr>
              <w:t>В</w:t>
            </w:r>
            <w:r w:rsidR="00F20CFD" w:rsidRPr="008D7156">
              <w:rPr>
                <w:sz w:val="22"/>
                <w:szCs w:val="24"/>
              </w:rPr>
              <w:t xml:space="preserve"> </w:t>
            </w:r>
          </w:p>
        </w:tc>
      </w:tr>
      <w:tr w:rsidR="00F20CFD" w:rsidRPr="001E3EF7" w14:paraId="7282510F" w14:textId="77777777" w:rsidTr="00610E58">
        <w:tc>
          <w:tcPr>
            <w:tcW w:w="968" w:type="dxa"/>
            <w:tcBorders>
              <w:top w:val="single" w:sz="6" w:space="0" w:color="000000"/>
              <w:left w:val="single" w:sz="6" w:space="0" w:color="000000"/>
              <w:bottom w:val="single" w:sz="6" w:space="0" w:color="000000"/>
              <w:right w:val="single" w:sz="6" w:space="0" w:color="000000"/>
            </w:tcBorders>
            <w:vAlign w:val="center"/>
          </w:tcPr>
          <w:p w14:paraId="74294184" w14:textId="371AA399" w:rsidR="00F20CFD" w:rsidRPr="008D7156" w:rsidRDefault="00F20CFD" w:rsidP="00EA7BF5">
            <w:pPr>
              <w:jc w:val="center"/>
              <w:rPr>
                <w:sz w:val="22"/>
                <w:szCs w:val="24"/>
              </w:rPr>
            </w:pPr>
            <w:r w:rsidRPr="008D7156">
              <w:rPr>
                <w:sz w:val="22"/>
                <w:szCs w:val="24"/>
              </w:rPr>
              <w:t>2</w:t>
            </w:r>
            <w:r w:rsidR="00AE1E12">
              <w:rPr>
                <w:sz w:val="22"/>
                <w:szCs w:val="24"/>
              </w:rPr>
              <w:t>1</w:t>
            </w:r>
          </w:p>
        </w:tc>
        <w:tc>
          <w:tcPr>
            <w:tcW w:w="5281" w:type="dxa"/>
            <w:tcBorders>
              <w:top w:val="single" w:sz="6" w:space="0" w:color="000000"/>
              <w:left w:val="single" w:sz="6" w:space="0" w:color="000000"/>
              <w:bottom w:val="single" w:sz="6" w:space="0" w:color="000000"/>
              <w:right w:val="single" w:sz="6" w:space="0" w:color="000000"/>
            </w:tcBorders>
            <w:vAlign w:val="center"/>
          </w:tcPr>
          <w:p w14:paraId="6DC36BBF" w14:textId="77777777" w:rsidR="00F20CFD" w:rsidRPr="00F57212" w:rsidRDefault="00F20CFD" w:rsidP="00FE4C98">
            <w:pPr>
              <w:rPr>
                <w:sz w:val="22"/>
                <w:szCs w:val="24"/>
              </w:rPr>
            </w:pPr>
            <w:r w:rsidRPr="00F57212">
              <w:rPr>
                <w:sz w:val="22"/>
                <w:szCs w:val="24"/>
              </w:rPr>
              <w:t xml:space="preserve">Пациенту с МДС из группы низкого и промежуточного-1 риска по шкале </w:t>
            </w:r>
            <w:r w:rsidRPr="003C7A39">
              <w:rPr>
                <w:sz w:val="22"/>
                <w:szCs w:val="24"/>
                <w:lang w:val="en-US"/>
              </w:rPr>
              <w:t>IPSS</w:t>
            </w:r>
            <w:r w:rsidRPr="003C7A39">
              <w:rPr>
                <w:sz w:val="22"/>
                <w:szCs w:val="24"/>
              </w:rPr>
              <w:t xml:space="preserve"> и пациенту с МДС из группы очень низкого, низкого и промежуточного риска по шкале </w:t>
            </w:r>
            <w:r w:rsidRPr="00F57212">
              <w:rPr>
                <w:sz w:val="22"/>
                <w:szCs w:val="24"/>
                <w:lang w:val="en-US"/>
              </w:rPr>
              <w:t>IPSS</w:t>
            </w:r>
            <w:r w:rsidRPr="00F57212">
              <w:rPr>
                <w:sz w:val="22"/>
                <w:szCs w:val="24"/>
              </w:rPr>
              <w:t>-</w:t>
            </w:r>
            <w:r w:rsidRPr="00F57212">
              <w:rPr>
                <w:sz w:val="22"/>
                <w:szCs w:val="24"/>
                <w:lang w:val="en-US"/>
              </w:rPr>
              <w:t>R</w:t>
            </w:r>
            <w:r w:rsidRPr="00F57212">
              <w:rPr>
                <w:sz w:val="22"/>
                <w:szCs w:val="24"/>
              </w:rPr>
              <w:t>; либо пациенту с МДС-кандидату на проведение алло-ТГСК после трансфузии 10</w:t>
            </w:r>
            <w:r w:rsidRPr="00F57212">
              <w:rPr>
                <w:i/>
                <w:sz w:val="22"/>
                <w:szCs w:val="24"/>
              </w:rPr>
              <w:t>–</w:t>
            </w:r>
            <w:r w:rsidRPr="00F57212">
              <w:rPr>
                <w:sz w:val="22"/>
                <w:szCs w:val="24"/>
              </w:rPr>
              <w:t>20 доз донорских эритроцитов, при повышении сывороточного ферритина более 1000</w:t>
            </w:r>
            <w:r w:rsidRPr="00F57212">
              <w:rPr>
                <w:i/>
                <w:sz w:val="22"/>
                <w:szCs w:val="24"/>
              </w:rPr>
              <w:t>–</w:t>
            </w:r>
            <w:r w:rsidRPr="00F57212">
              <w:rPr>
                <w:sz w:val="22"/>
                <w:szCs w:val="24"/>
              </w:rPr>
              <w:t>нг/мл проведена хелаторная терапия</w:t>
            </w:r>
          </w:p>
        </w:tc>
        <w:tc>
          <w:tcPr>
            <w:tcW w:w="1607" w:type="dxa"/>
            <w:tcBorders>
              <w:top w:val="single" w:sz="6" w:space="0" w:color="000000"/>
              <w:left w:val="single" w:sz="6" w:space="0" w:color="000000"/>
              <w:bottom w:val="single" w:sz="6" w:space="0" w:color="000000"/>
              <w:right w:val="single" w:sz="6" w:space="0" w:color="000000"/>
            </w:tcBorders>
            <w:vAlign w:val="center"/>
          </w:tcPr>
          <w:p w14:paraId="7D0975E5" w14:textId="77777777" w:rsidR="00F20CFD" w:rsidRPr="008D7156" w:rsidRDefault="00F20CFD" w:rsidP="00EA7BF5">
            <w:pPr>
              <w:ind w:firstLine="709"/>
              <w:rPr>
                <w:sz w:val="22"/>
                <w:szCs w:val="24"/>
              </w:rPr>
            </w:pPr>
            <w:r w:rsidRPr="008D7156">
              <w:rPr>
                <w:sz w:val="22"/>
                <w:szCs w:val="24"/>
              </w:rPr>
              <w:t>2</w:t>
            </w:r>
          </w:p>
        </w:tc>
        <w:tc>
          <w:tcPr>
            <w:tcW w:w="1744" w:type="dxa"/>
            <w:tcBorders>
              <w:top w:val="single" w:sz="6" w:space="0" w:color="000000"/>
              <w:left w:val="single" w:sz="6" w:space="0" w:color="000000"/>
              <w:bottom w:val="single" w:sz="6" w:space="0" w:color="000000"/>
              <w:right w:val="single" w:sz="6" w:space="0" w:color="000000"/>
            </w:tcBorders>
            <w:vAlign w:val="center"/>
          </w:tcPr>
          <w:p w14:paraId="6EFCC79A" w14:textId="77777777" w:rsidR="00F20CFD" w:rsidRPr="008D7156" w:rsidRDefault="00F20CFD" w:rsidP="00EA7BF5">
            <w:pPr>
              <w:ind w:firstLine="709"/>
              <w:rPr>
                <w:sz w:val="22"/>
                <w:szCs w:val="24"/>
              </w:rPr>
            </w:pPr>
            <w:r w:rsidRPr="008D7156">
              <w:rPr>
                <w:sz w:val="22"/>
                <w:szCs w:val="24"/>
              </w:rPr>
              <w:t>В</w:t>
            </w:r>
          </w:p>
        </w:tc>
      </w:tr>
      <w:tr w:rsidR="00F20CFD" w:rsidRPr="001E3EF7" w14:paraId="4E95F858" w14:textId="77777777" w:rsidTr="00610E58">
        <w:tc>
          <w:tcPr>
            <w:tcW w:w="968" w:type="dxa"/>
            <w:tcBorders>
              <w:top w:val="single" w:sz="6" w:space="0" w:color="000000"/>
              <w:left w:val="single" w:sz="6" w:space="0" w:color="000000"/>
              <w:bottom w:val="single" w:sz="6" w:space="0" w:color="000000"/>
              <w:right w:val="single" w:sz="6" w:space="0" w:color="000000"/>
            </w:tcBorders>
            <w:vAlign w:val="center"/>
          </w:tcPr>
          <w:p w14:paraId="0C6C9EDE" w14:textId="5382BBD7" w:rsidR="00F20CFD" w:rsidRPr="008D7156" w:rsidRDefault="00F20CFD" w:rsidP="00EA7BF5">
            <w:pPr>
              <w:jc w:val="center"/>
              <w:rPr>
                <w:sz w:val="22"/>
                <w:szCs w:val="24"/>
              </w:rPr>
            </w:pPr>
            <w:r w:rsidRPr="008D7156">
              <w:rPr>
                <w:sz w:val="22"/>
                <w:szCs w:val="24"/>
              </w:rPr>
              <w:t>2</w:t>
            </w:r>
            <w:r w:rsidR="00AE1E12">
              <w:rPr>
                <w:sz w:val="22"/>
                <w:szCs w:val="24"/>
              </w:rPr>
              <w:t>2</w:t>
            </w:r>
          </w:p>
        </w:tc>
        <w:tc>
          <w:tcPr>
            <w:tcW w:w="5281" w:type="dxa"/>
            <w:tcBorders>
              <w:top w:val="single" w:sz="6" w:space="0" w:color="000000"/>
              <w:left w:val="single" w:sz="6" w:space="0" w:color="000000"/>
              <w:bottom w:val="single" w:sz="6" w:space="0" w:color="000000"/>
              <w:right w:val="single" w:sz="6" w:space="0" w:color="000000"/>
            </w:tcBorders>
            <w:vAlign w:val="center"/>
          </w:tcPr>
          <w:p w14:paraId="3E176C36" w14:textId="77777777" w:rsidR="00F20CFD" w:rsidRPr="00F57212" w:rsidRDefault="00F20CFD" w:rsidP="000D2CA0">
            <w:pPr>
              <w:rPr>
                <w:sz w:val="22"/>
                <w:szCs w:val="24"/>
              </w:rPr>
            </w:pPr>
            <w:r w:rsidRPr="00F57212">
              <w:rPr>
                <w:sz w:val="22"/>
                <w:szCs w:val="24"/>
              </w:rPr>
              <w:t>Пациенту с МДС в возрасте &lt;60</w:t>
            </w:r>
            <w:r w:rsidRPr="00F57212">
              <w:rPr>
                <w:i/>
                <w:sz w:val="22"/>
                <w:szCs w:val="24"/>
              </w:rPr>
              <w:t>–</w:t>
            </w:r>
            <w:r w:rsidRPr="00F57212">
              <w:rPr>
                <w:sz w:val="22"/>
                <w:szCs w:val="24"/>
              </w:rPr>
              <w:t>65 лет без тяжелых сопутствующих заболеваний из группы промежуточного-1 риска при наличии неблагоприятных аномалий кариотип</w:t>
            </w:r>
            <w:r w:rsidRPr="003C7A39">
              <w:rPr>
                <w:sz w:val="22"/>
                <w:szCs w:val="24"/>
              </w:rPr>
              <w:t xml:space="preserve">а, или из группы промежуточного-2 или высокого риска по шкале </w:t>
            </w:r>
            <w:r w:rsidRPr="003C7A39">
              <w:rPr>
                <w:sz w:val="22"/>
                <w:szCs w:val="24"/>
                <w:lang w:val="en-US"/>
              </w:rPr>
              <w:t>IPSS</w:t>
            </w:r>
            <w:r w:rsidRPr="003C7A39">
              <w:rPr>
                <w:sz w:val="22"/>
                <w:szCs w:val="24"/>
              </w:rPr>
              <w:t xml:space="preserve">, или из группы промежуточного, высокого и очень высокого риска по шкале </w:t>
            </w:r>
            <w:r w:rsidRPr="00F57212">
              <w:rPr>
                <w:sz w:val="22"/>
                <w:szCs w:val="24"/>
                <w:lang w:val="en-US"/>
              </w:rPr>
              <w:t>IPSS</w:t>
            </w:r>
            <w:r w:rsidRPr="00F57212">
              <w:rPr>
                <w:sz w:val="22"/>
                <w:szCs w:val="24"/>
              </w:rPr>
              <w:t>-</w:t>
            </w:r>
            <w:r w:rsidRPr="00F57212">
              <w:rPr>
                <w:sz w:val="22"/>
                <w:szCs w:val="24"/>
                <w:lang w:val="en-US"/>
              </w:rPr>
              <w:t>R</w:t>
            </w:r>
            <w:r w:rsidRPr="00F57212">
              <w:rPr>
                <w:sz w:val="22"/>
                <w:szCs w:val="24"/>
              </w:rPr>
              <w:t xml:space="preserve">, а также пациенту с МДС, моложе 40–50 лет, без избытка бластов из группы промежуточного-1 риска по шкале </w:t>
            </w:r>
            <w:r w:rsidRPr="00F57212">
              <w:rPr>
                <w:sz w:val="22"/>
                <w:szCs w:val="24"/>
                <w:lang w:val="en-US"/>
              </w:rPr>
              <w:t>IPSS</w:t>
            </w:r>
            <w:r w:rsidRPr="00F57212">
              <w:rPr>
                <w:sz w:val="22"/>
                <w:szCs w:val="24"/>
              </w:rPr>
              <w:t xml:space="preserve"> и промежуточного риска по шкале </w:t>
            </w:r>
            <w:r w:rsidRPr="00F57212">
              <w:rPr>
                <w:sz w:val="22"/>
                <w:szCs w:val="24"/>
                <w:lang w:val="en-US"/>
              </w:rPr>
              <w:t>IPSS</w:t>
            </w:r>
            <w:r w:rsidRPr="00F57212">
              <w:rPr>
                <w:sz w:val="22"/>
                <w:szCs w:val="24"/>
              </w:rPr>
              <w:t>-</w:t>
            </w:r>
            <w:r w:rsidRPr="00F57212">
              <w:rPr>
                <w:sz w:val="22"/>
                <w:szCs w:val="24"/>
                <w:lang w:val="en-US"/>
              </w:rPr>
              <w:t>R</w:t>
            </w:r>
            <w:r w:rsidRPr="00F57212">
              <w:rPr>
                <w:sz w:val="22"/>
                <w:szCs w:val="24"/>
              </w:rPr>
              <w:t>, резистентному к проводимой терапии, с выраженной зависимостью от трансфузий компонентами крови проведено HLA-типирование и принято решение вопроса о возможности алло-ТГСК</w:t>
            </w:r>
          </w:p>
        </w:tc>
        <w:tc>
          <w:tcPr>
            <w:tcW w:w="1607" w:type="dxa"/>
            <w:tcBorders>
              <w:top w:val="single" w:sz="6" w:space="0" w:color="000000"/>
              <w:left w:val="single" w:sz="6" w:space="0" w:color="000000"/>
              <w:bottom w:val="single" w:sz="6" w:space="0" w:color="000000"/>
              <w:right w:val="single" w:sz="6" w:space="0" w:color="000000"/>
            </w:tcBorders>
            <w:vAlign w:val="center"/>
          </w:tcPr>
          <w:p w14:paraId="239F2AFC" w14:textId="596D1553" w:rsidR="00F20CFD" w:rsidRPr="00F860F1" w:rsidRDefault="00AE1E12" w:rsidP="00EA7BF5">
            <w:pPr>
              <w:ind w:firstLine="709"/>
              <w:rPr>
                <w:sz w:val="22"/>
                <w:szCs w:val="24"/>
                <w:lang w:val="en-US"/>
              </w:rPr>
            </w:pPr>
            <w:r>
              <w:rPr>
                <w:sz w:val="22"/>
                <w:szCs w:val="24"/>
                <w:lang w:val="en-US"/>
              </w:rPr>
              <w:t>5</w:t>
            </w:r>
          </w:p>
        </w:tc>
        <w:tc>
          <w:tcPr>
            <w:tcW w:w="1744" w:type="dxa"/>
            <w:tcBorders>
              <w:top w:val="single" w:sz="6" w:space="0" w:color="000000"/>
              <w:left w:val="single" w:sz="6" w:space="0" w:color="000000"/>
              <w:bottom w:val="single" w:sz="6" w:space="0" w:color="000000"/>
              <w:right w:val="single" w:sz="6" w:space="0" w:color="000000"/>
            </w:tcBorders>
            <w:vAlign w:val="center"/>
          </w:tcPr>
          <w:p w14:paraId="2C40D772" w14:textId="48D7F269" w:rsidR="00F20CFD" w:rsidRPr="00F860F1" w:rsidRDefault="00AE1E12" w:rsidP="00EA7BF5">
            <w:pPr>
              <w:ind w:firstLine="709"/>
              <w:rPr>
                <w:sz w:val="22"/>
                <w:szCs w:val="24"/>
                <w:lang w:val="en-US"/>
              </w:rPr>
            </w:pPr>
            <w:r>
              <w:rPr>
                <w:sz w:val="22"/>
                <w:szCs w:val="24"/>
                <w:lang w:val="en-US"/>
              </w:rPr>
              <w:t>C</w:t>
            </w:r>
          </w:p>
        </w:tc>
      </w:tr>
      <w:tr w:rsidR="00F20CFD" w:rsidRPr="001E3EF7" w14:paraId="2F80B88B" w14:textId="77777777" w:rsidTr="00610E58">
        <w:tc>
          <w:tcPr>
            <w:tcW w:w="968" w:type="dxa"/>
            <w:tcBorders>
              <w:top w:val="single" w:sz="6" w:space="0" w:color="000000"/>
              <w:left w:val="single" w:sz="6" w:space="0" w:color="000000"/>
              <w:bottom w:val="single" w:sz="6" w:space="0" w:color="000000"/>
              <w:right w:val="single" w:sz="6" w:space="0" w:color="000000"/>
            </w:tcBorders>
            <w:vAlign w:val="center"/>
          </w:tcPr>
          <w:p w14:paraId="6A653031" w14:textId="1F7B7725" w:rsidR="00F20CFD" w:rsidRPr="008D7156" w:rsidRDefault="00F20CFD" w:rsidP="00EA7BF5">
            <w:pPr>
              <w:jc w:val="center"/>
              <w:rPr>
                <w:sz w:val="22"/>
                <w:szCs w:val="24"/>
              </w:rPr>
            </w:pPr>
            <w:r w:rsidRPr="008D7156">
              <w:rPr>
                <w:sz w:val="22"/>
                <w:szCs w:val="24"/>
              </w:rPr>
              <w:t>2</w:t>
            </w:r>
            <w:r w:rsidR="00AE1E12">
              <w:rPr>
                <w:sz w:val="22"/>
                <w:szCs w:val="24"/>
              </w:rPr>
              <w:t>3</w:t>
            </w:r>
          </w:p>
        </w:tc>
        <w:tc>
          <w:tcPr>
            <w:tcW w:w="5281" w:type="dxa"/>
            <w:tcBorders>
              <w:top w:val="single" w:sz="6" w:space="0" w:color="000000"/>
              <w:left w:val="single" w:sz="6" w:space="0" w:color="000000"/>
              <w:bottom w:val="single" w:sz="6" w:space="0" w:color="000000"/>
              <w:right w:val="single" w:sz="6" w:space="0" w:color="000000"/>
            </w:tcBorders>
            <w:vAlign w:val="center"/>
          </w:tcPr>
          <w:p w14:paraId="46F6BB0A" w14:textId="77777777" w:rsidR="00F20CFD" w:rsidRPr="008D7156" w:rsidRDefault="00F20CFD" w:rsidP="00EA7BF5">
            <w:pPr>
              <w:rPr>
                <w:sz w:val="22"/>
                <w:szCs w:val="24"/>
              </w:rPr>
            </w:pPr>
            <w:r w:rsidRPr="008D7156">
              <w:rPr>
                <w:sz w:val="22"/>
                <w:szCs w:val="24"/>
              </w:rPr>
              <w:t xml:space="preserve">Пациенту с МДС из группы промежуточного-2 и высокого риска по шкале </w:t>
            </w:r>
            <w:r w:rsidRPr="008D7156">
              <w:rPr>
                <w:sz w:val="22"/>
                <w:szCs w:val="24"/>
                <w:lang w:val="en-US"/>
              </w:rPr>
              <w:t>IPSS</w:t>
            </w:r>
            <w:r w:rsidRPr="008D7156">
              <w:rPr>
                <w:sz w:val="22"/>
                <w:szCs w:val="24"/>
              </w:rPr>
              <w:t xml:space="preserve"> и пациенту с МДС из группы промежуточного, высокого и очень высокого риска по шкале </w:t>
            </w:r>
            <w:r w:rsidRPr="008D7156">
              <w:rPr>
                <w:sz w:val="22"/>
                <w:szCs w:val="24"/>
                <w:lang w:val="en-US"/>
              </w:rPr>
              <w:t>IPSS</w:t>
            </w:r>
            <w:r w:rsidRPr="008D7156">
              <w:rPr>
                <w:sz w:val="22"/>
                <w:szCs w:val="24"/>
              </w:rPr>
              <w:t>-</w:t>
            </w:r>
            <w:r w:rsidRPr="008D7156">
              <w:rPr>
                <w:sz w:val="22"/>
                <w:szCs w:val="24"/>
                <w:lang w:val="en-US"/>
              </w:rPr>
              <w:t>R</w:t>
            </w:r>
            <w:r w:rsidRPr="008D7156">
              <w:rPr>
                <w:sz w:val="22"/>
                <w:szCs w:val="24"/>
              </w:rPr>
              <w:t xml:space="preserve"> проведена ХТ или терапия гипометилирующими препаратами</w:t>
            </w:r>
          </w:p>
        </w:tc>
        <w:tc>
          <w:tcPr>
            <w:tcW w:w="1607" w:type="dxa"/>
            <w:tcBorders>
              <w:top w:val="single" w:sz="6" w:space="0" w:color="000000"/>
              <w:left w:val="single" w:sz="6" w:space="0" w:color="000000"/>
              <w:bottom w:val="single" w:sz="6" w:space="0" w:color="000000"/>
              <w:right w:val="single" w:sz="6" w:space="0" w:color="000000"/>
            </w:tcBorders>
            <w:vAlign w:val="center"/>
          </w:tcPr>
          <w:p w14:paraId="0272566A" w14:textId="5E96877A" w:rsidR="00F20CFD" w:rsidRPr="008D7156" w:rsidRDefault="00AE1E12" w:rsidP="00EA7BF5">
            <w:pPr>
              <w:ind w:firstLine="709"/>
              <w:rPr>
                <w:sz w:val="22"/>
                <w:szCs w:val="24"/>
              </w:rPr>
            </w:pPr>
            <w:r>
              <w:rPr>
                <w:sz w:val="22"/>
                <w:szCs w:val="24"/>
                <w:lang w:val="en-US"/>
              </w:rPr>
              <w:t>4</w:t>
            </w:r>
          </w:p>
        </w:tc>
        <w:tc>
          <w:tcPr>
            <w:tcW w:w="1744" w:type="dxa"/>
            <w:tcBorders>
              <w:top w:val="single" w:sz="6" w:space="0" w:color="000000"/>
              <w:left w:val="single" w:sz="6" w:space="0" w:color="000000"/>
              <w:bottom w:val="single" w:sz="6" w:space="0" w:color="000000"/>
              <w:right w:val="single" w:sz="6" w:space="0" w:color="000000"/>
            </w:tcBorders>
            <w:vAlign w:val="center"/>
          </w:tcPr>
          <w:p w14:paraId="7769C392" w14:textId="4FD846A2" w:rsidR="00F20CFD" w:rsidRPr="00F860F1" w:rsidRDefault="00AE1E12" w:rsidP="00EA7BF5">
            <w:pPr>
              <w:ind w:firstLine="709"/>
              <w:rPr>
                <w:sz w:val="22"/>
                <w:szCs w:val="24"/>
                <w:lang w:val="en-US"/>
              </w:rPr>
            </w:pPr>
            <w:r>
              <w:rPr>
                <w:sz w:val="22"/>
                <w:szCs w:val="24"/>
                <w:lang w:val="en-US"/>
              </w:rPr>
              <w:t>C</w:t>
            </w:r>
          </w:p>
        </w:tc>
      </w:tr>
    </w:tbl>
    <w:p w14:paraId="78348AAE" w14:textId="77777777" w:rsidR="00F20CFD" w:rsidRPr="006A377C" w:rsidRDefault="00F20CFD" w:rsidP="00EA7BF5">
      <w:pPr>
        <w:ind w:firstLine="709"/>
        <w:rPr>
          <w:szCs w:val="24"/>
        </w:rPr>
      </w:pPr>
    </w:p>
    <w:p w14:paraId="12B91B6B" w14:textId="77777777" w:rsidR="00F20CFD" w:rsidRDefault="00F20CFD" w:rsidP="004C69FE">
      <w:pPr>
        <w:spacing w:line="240" w:lineRule="auto"/>
        <w:jc w:val="center"/>
        <w:rPr>
          <w:b/>
          <w:sz w:val="28"/>
          <w:szCs w:val="28"/>
        </w:rPr>
      </w:pPr>
      <w:r w:rsidRPr="006A377C">
        <w:rPr>
          <w:szCs w:val="24"/>
        </w:rPr>
        <w:br w:type="page"/>
      </w:r>
      <w:r w:rsidRPr="006A377C">
        <w:rPr>
          <w:b/>
          <w:sz w:val="28"/>
          <w:szCs w:val="28"/>
        </w:rPr>
        <w:t>Список литературы</w:t>
      </w:r>
    </w:p>
    <w:p w14:paraId="625D820E" w14:textId="77777777" w:rsidR="00F20CFD" w:rsidRPr="006A377C" w:rsidRDefault="00F20CFD" w:rsidP="00373918">
      <w:pPr>
        <w:jc w:val="center"/>
        <w:rPr>
          <w:b/>
          <w:sz w:val="28"/>
          <w:szCs w:val="28"/>
        </w:rPr>
      </w:pPr>
    </w:p>
    <w:p w14:paraId="26E29CFB" w14:textId="3F6BB454" w:rsidR="008143D9" w:rsidRPr="008143D9" w:rsidRDefault="00F20CFD" w:rsidP="008143D9">
      <w:pPr>
        <w:widowControl w:val="0"/>
        <w:autoSpaceDE w:val="0"/>
        <w:autoSpaceDN w:val="0"/>
        <w:adjustRightInd w:val="0"/>
        <w:ind w:left="640" w:hanging="640"/>
        <w:rPr>
          <w:noProof/>
        </w:rPr>
      </w:pPr>
      <w:r w:rsidRPr="006A377C">
        <w:rPr>
          <w:lang w:val="fr-FR"/>
        </w:rPr>
        <w:fldChar w:fldCharType="begin" w:fldLock="1"/>
      </w:r>
      <w:r w:rsidRPr="006A377C">
        <w:rPr>
          <w:lang w:val="fr-FR"/>
        </w:rPr>
        <w:instrText xml:space="preserve">ADDIN Mendeley Bibliography CSL_BIBLIOGRAPHY </w:instrText>
      </w:r>
      <w:r w:rsidRPr="006A377C">
        <w:rPr>
          <w:lang w:val="fr-FR"/>
        </w:rPr>
        <w:fldChar w:fldCharType="separate"/>
      </w:r>
      <w:r w:rsidR="008143D9" w:rsidRPr="008143D9">
        <w:rPr>
          <w:noProof/>
        </w:rPr>
        <w:t>1.</w:t>
      </w:r>
      <w:r w:rsidR="008143D9" w:rsidRPr="008143D9">
        <w:rPr>
          <w:noProof/>
        </w:rPr>
        <w:tab/>
        <w:t>Кохно А.В. et al. Миелодиспластические синдромы и апластическая анемия // Программное лечение заболеваний крови, под ред. Савченко В.Г. 2012. P. 83–150.</w:t>
      </w:r>
    </w:p>
    <w:p w14:paraId="5EAD1BC1" w14:textId="77777777" w:rsidR="008143D9" w:rsidRPr="008143D9" w:rsidRDefault="008143D9" w:rsidP="008143D9">
      <w:pPr>
        <w:widowControl w:val="0"/>
        <w:autoSpaceDE w:val="0"/>
        <w:autoSpaceDN w:val="0"/>
        <w:adjustRightInd w:val="0"/>
        <w:ind w:left="640" w:hanging="640"/>
        <w:rPr>
          <w:noProof/>
        </w:rPr>
      </w:pPr>
      <w:r w:rsidRPr="008143D9">
        <w:rPr>
          <w:noProof/>
        </w:rPr>
        <w:t>2.</w:t>
      </w:r>
      <w:r w:rsidRPr="008143D9">
        <w:rPr>
          <w:noProof/>
        </w:rPr>
        <w:tab/>
        <w:t>Ширин А.Д., Френкель М.А. Миелодиспластические синдромы // Клиническая онкогематология: руководство для врачей. Под ред. Волковой М.А.. 2-е изд., перераб. и доп. 2007. P. 502–551.</w:t>
      </w:r>
    </w:p>
    <w:p w14:paraId="320E9B66" w14:textId="77777777" w:rsidR="008143D9" w:rsidRPr="008143D9" w:rsidRDefault="008143D9" w:rsidP="008143D9">
      <w:pPr>
        <w:widowControl w:val="0"/>
        <w:autoSpaceDE w:val="0"/>
        <w:autoSpaceDN w:val="0"/>
        <w:adjustRightInd w:val="0"/>
        <w:ind w:left="640" w:hanging="640"/>
        <w:rPr>
          <w:noProof/>
        </w:rPr>
      </w:pPr>
      <w:r w:rsidRPr="008143D9">
        <w:rPr>
          <w:noProof/>
        </w:rPr>
        <w:t>3.</w:t>
      </w:r>
      <w:r w:rsidRPr="008143D9">
        <w:rPr>
          <w:noProof/>
        </w:rPr>
        <w:tab/>
        <w:t>Garcia-Manero G. Myelodysplastic syndromes: 2015 Update on diagnosis, risk-stratification and management. // Am. J. Hematol. 2015. Vol. 90, № 9. P. 831–841.</w:t>
      </w:r>
    </w:p>
    <w:p w14:paraId="756C5B30" w14:textId="77777777" w:rsidR="008143D9" w:rsidRPr="008143D9" w:rsidRDefault="008143D9" w:rsidP="008143D9">
      <w:pPr>
        <w:widowControl w:val="0"/>
        <w:autoSpaceDE w:val="0"/>
        <w:autoSpaceDN w:val="0"/>
        <w:adjustRightInd w:val="0"/>
        <w:ind w:left="640" w:hanging="640"/>
        <w:rPr>
          <w:noProof/>
        </w:rPr>
      </w:pPr>
      <w:r w:rsidRPr="008143D9">
        <w:rPr>
          <w:noProof/>
        </w:rPr>
        <w:t>4.</w:t>
      </w:r>
      <w:r w:rsidRPr="008143D9">
        <w:rPr>
          <w:noProof/>
        </w:rPr>
        <w:tab/>
        <w:t>Malcovati L. et al. Diagnosis and treatment of primary myelodysplastic syndromes in adults: recommendations from the European LeukemiaNet. // Blood. 2013. Vol. 122, № 17. P. 2943–2964.</w:t>
      </w:r>
    </w:p>
    <w:p w14:paraId="58F3370C" w14:textId="77777777" w:rsidR="008143D9" w:rsidRPr="008143D9" w:rsidRDefault="008143D9" w:rsidP="008143D9">
      <w:pPr>
        <w:widowControl w:val="0"/>
        <w:autoSpaceDE w:val="0"/>
        <w:autoSpaceDN w:val="0"/>
        <w:adjustRightInd w:val="0"/>
        <w:ind w:left="640" w:hanging="640"/>
        <w:rPr>
          <w:noProof/>
        </w:rPr>
      </w:pPr>
      <w:r w:rsidRPr="008143D9">
        <w:rPr>
          <w:noProof/>
        </w:rPr>
        <w:t>5.</w:t>
      </w:r>
      <w:r w:rsidRPr="008143D9">
        <w:rPr>
          <w:noProof/>
        </w:rPr>
        <w:tab/>
        <w:t>Greenberg P.L. et al. NCCN Clinical Practice Guidelines in Oncology. Myelodysplastic syndromes. 2019.</w:t>
      </w:r>
    </w:p>
    <w:p w14:paraId="0593B5E2" w14:textId="77777777" w:rsidR="008143D9" w:rsidRPr="008143D9" w:rsidRDefault="008143D9" w:rsidP="008143D9">
      <w:pPr>
        <w:widowControl w:val="0"/>
        <w:autoSpaceDE w:val="0"/>
        <w:autoSpaceDN w:val="0"/>
        <w:adjustRightInd w:val="0"/>
        <w:ind w:left="640" w:hanging="640"/>
        <w:rPr>
          <w:noProof/>
        </w:rPr>
      </w:pPr>
      <w:r w:rsidRPr="008143D9">
        <w:rPr>
          <w:noProof/>
        </w:rPr>
        <w:t>6.</w:t>
      </w:r>
      <w:r w:rsidRPr="008143D9">
        <w:rPr>
          <w:noProof/>
        </w:rPr>
        <w:tab/>
        <w:t>Goldberg S.L. et al. Incidence and clinical complications of myelodysplastic syndromes among United States Medicare beneficiaries. // J. Clin. Oncol. 2010. Vol. 28, № 17. P. 2847–2852.</w:t>
      </w:r>
    </w:p>
    <w:p w14:paraId="0EB54F82" w14:textId="77777777" w:rsidR="008143D9" w:rsidRPr="008143D9" w:rsidRDefault="008143D9" w:rsidP="008143D9">
      <w:pPr>
        <w:widowControl w:val="0"/>
        <w:autoSpaceDE w:val="0"/>
        <w:autoSpaceDN w:val="0"/>
        <w:adjustRightInd w:val="0"/>
        <w:ind w:left="640" w:hanging="640"/>
        <w:rPr>
          <w:noProof/>
        </w:rPr>
      </w:pPr>
      <w:r w:rsidRPr="008143D9">
        <w:rPr>
          <w:noProof/>
        </w:rPr>
        <w:t>7.</w:t>
      </w:r>
      <w:r w:rsidRPr="008143D9">
        <w:rPr>
          <w:noProof/>
        </w:rPr>
        <w:tab/>
        <w:t>Swerdlow S.H. et al. WHO classification of tumours of haematopoietic and lymphoid tissues. International Agency for Research on Cancer, 2008. 439 p.</w:t>
      </w:r>
    </w:p>
    <w:p w14:paraId="5CB7EEBD" w14:textId="77777777" w:rsidR="008143D9" w:rsidRPr="008143D9" w:rsidRDefault="008143D9" w:rsidP="008143D9">
      <w:pPr>
        <w:widowControl w:val="0"/>
        <w:autoSpaceDE w:val="0"/>
        <w:autoSpaceDN w:val="0"/>
        <w:adjustRightInd w:val="0"/>
        <w:ind w:left="640" w:hanging="640"/>
        <w:rPr>
          <w:noProof/>
        </w:rPr>
      </w:pPr>
      <w:r w:rsidRPr="008143D9">
        <w:rPr>
          <w:noProof/>
        </w:rPr>
        <w:t>8.</w:t>
      </w:r>
      <w:r w:rsidRPr="008143D9">
        <w:rPr>
          <w:noProof/>
        </w:rPr>
        <w:tab/>
        <w:t>Swerdlow S.H. et al. WHO classification of tumours of haematopoietic and lymphoid tissues. Revised 4th ed. Lyon, France: International Agency for Research in Cancer (IARC) / ed. Swerdlow SH, Campo E, Harris NL, Jaffe ES, Pileri SA, Stein H T.J. 2017. 585 p.</w:t>
      </w:r>
    </w:p>
    <w:p w14:paraId="174EB190" w14:textId="77777777" w:rsidR="008143D9" w:rsidRPr="008143D9" w:rsidRDefault="008143D9" w:rsidP="008143D9">
      <w:pPr>
        <w:widowControl w:val="0"/>
        <w:autoSpaceDE w:val="0"/>
        <w:autoSpaceDN w:val="0"/>
        <w:adjustRightInd w:val="0"/>
        <w:ind w:left="640" w:hanging="640"/>
        <w:rPr>
          <w:noProof/>
        </w:rPr>
      </w:pPr>
      <w:r w:rsidRPr="008143D9">
        <w:rPr>
          <w:noProof/>
        </w:rPr>
        <w:t>9.</w:t>
      </w:r>
      <w:r w:rsidRPr="008143D9">
        <w:rPr>
          <w:noProof/>
        </w:rPr>
        <w:tab/>
        <w:t>Valent P. et al. Proposed minimal diagnostic criteria for myelodysplastic syndromes (MDS) and potential pre-MDS conditions // Oncotarget. Impact Journals, LLC, 2017. Vol. 8, № 43.</w:t>
      </w:r>
    </w:p>
    <w:p w14:paraId="40FEA02D" w14:textId="77777777" w:rsidR="008143D9" w:rsidRPr="008143D9" w:rsidRDefault="008143D9" w:rsidP="008143D9">
      <w:pPr>
        <w:widowControl w:val="0"/>
        <w:autoSpaceDE w:val="0"/>
        <w:autoSpaceDN w:val="0"/>
        <w:adjustRightInd w:val="0"/>
        <w:ind w:left="640" w:hanging="640"/>
        <w:rPr>
          <w:noProof/>
        </w:rPr>
      </w:pPr>
      <w:r w:rsidRPr="008143D9">
        <w:rPr>
          <w:noProof/>
        </w:rPr>
        <w:t>10.</w:t>
      </w:r>
      <w:r w:rsidRPr="008143D9">
        <w:rPr>
          <w:noProof/>
        </w:rPr>
        <w:tab/>
        <w:t>Gregg X.T., Reddy V., Prchal J.T. Copper deficiency masquerading as myelodysplastic syndrome. // Blood. 2002. Vol. 100, № 4. P. 1493–1495.</w:t>
      </w:r>
    </w:p>
    <w:p w14:paraId="0353C767" w14:textId="77777777" w:rsidR="008143D9" w:rsidRPr="008143D9" w:rsidRDefault="008143D9" w:rsidP="008143D9">
      <w:pPr>
        <w:widowControl w:val="0"/>
        <w:autoSpaceDE w:val="0"/>
        <w:autoSpaceDN w:val="0"/>
        <w:adjustRightInd w:val="0"/>
        <w:ind w:left="640" w:hanging="640"/>
        <w:rPr>
          <w:noProof/>
        </w:rPr>
      </w:pPr>
      <w:r w:rsidRPr="008143D9">
        <w:rPr>
          <w:noProof/>
        </w:rPr>
        <w:t>11.</w:t>
      </w:r>
      <w:r w:rsidRPr="008143D9">
        <w:rPr>
          <w:noProof/>
        </w:rPr>
        <w:tab/>
        <w:t>Irving J.A. et al. Element of caution: a case of reversible cytopenias associated with excessive zinc supplementation. // CMAJ. 2003. Vol. 169, № 2. P. 129–131.</w:t>
      </w:r>
    </w:p>
    <w:p w14:paraId="401560DB" w14:textId="77777777" w:rsidR="008143D9" w:rsidRPr="008143D9" w:rsidRDefault="008143D9" w:rsidP="008143D9">
      <w:pPr>
        <w:widowControl w:val="0"/>
        <w:autoSpaceDE w:val="0"/>
        <w:autoSpaceDN w:val="0"/>
        <w:adjustRightInd w:val="0"/>
        <w:ind w:left="640" w:hanging="640"/>
        <w:rPr>
          <w:noProof/>
        </w:rPr>
      </w:pPr>
      <w:r w:rsidRPr="008143D9">
        <w:rPr>
          <w:noProof/>
        </w:rPr>
        <w:t>12.</w:t>
      </w:r>
      <w:r w:rsidRPr="008143D9">
        <w:rPr>
          <w:noProof/>
        </w:rPr>
        <w:tab/>
        <w:t>Amin H.M. et al. Having a higher blast percentage in circulation than bone marrow: Clinical implications in myelodysplastic syndrome and acute lymphoid and myeloid leukemias // Leukemia. Nature Publishing Group, 2005. Vol. 19, № 9. P. 1567–1572.</w:t>
      </w:r>
    </w:p>
    <w:p w14:paraId="0F31925F" w14:textId="77777777" w:rsidR="008143D9" w:rsidRPr="008143D9" w:rsidRDefault="008143D9" w:rsidP="008143D9">
      <w:pPr>
        <w:widowControl w:val="0"/>
        <w:autoSpaceDE w:val="0"/>
        <w:autoSpaceDN w:val="0"/>
        <w:adjustRightInd w:val="0"/>
        <w:ind w:left="640" w:hanging="640"/>
        <w:rPr>
          <w:noProof/>
        </w:rPr>
      </w:pPr>
      <w:r w:rsidRPr="008143D9">
        <w:rPr>
          <w:noProof/>
        </w:rPr>
        <w:t>13.</w:t>
      </w:r>
      <w:r w:rsidRPr="008143D9">
        <w:rPr>
          <w:noProof/>
        </w:rPr>
        <w:tab/>
        <w:t>Hellström-Lindberg E. et al. Erythroid response to treatment with G-CSF plus erythropoietin for the anaemia of patients with myelodysplastic syndromes: proposal for a predictive model. // Br. J. Haematol. 1997. Vol. 99, № 2. P. 344–351.</w:t>
      </w:r>
    </w:p>
    <w:p w14:paraId="7BC904B3" w14:textId="77777777" w:rsidR="008143D9" w:rsidRPr="008143D9" w:rsidRDefault="008143D9" w:rsidP="008143D9">
      <w:pPr>
        <w:widowControl w:val="0"/>
        <w:autoSpaceDE w:val="0"/>
        <w:autoSpaceDN w:val="0"/>
        <w:adjustRightInd w:val="0"/>
        <w:ind w:left="640" w:hanging="640"/>
        <w:rPr>
          <w:noProof/>
        </w:rPr>
      </w:pPr>
      <w:r w:rsidRPr="008143D9">
        <w:rPr>
          <w:noProof/>
        </w:rPr>
        <w:t>14.</w:t>
      </w:r>
      <w:r w:rsidRPr="008143D9">
        <w:rPr>
          <w:noProof/>
        </w:rPr>
        <w:tab/>
        <w:t>Seguier J. et al. Autoimmune diseases in myelodysplastic syndrome favors patients survival: A case control study and literature review. // Autoimmun. Rev. 2019. Vol. 18, № 1. P. 36–42.</w:t>
      </w:r>
    </w:p>
    <w:p w14:paraId="69C63E16" w14:textId="77777777" w:rsidR="008143D9" w:rsidRPr="008143D9" w:rsidRDefault="008143D9" w:rsidP="008143D9">
      <w:pPr>
        <w:widowControl w:val="0"/>
        <w:autoSpaceDE w:val="0"/>
        <w:autoSpaceDN w:val="0"/>
        <w:adjustRightInd w:val="0"/>
        <w:ind w:left="640" w:hanging="640"/>
        <w:rPr>
          <w:noProof/>
        </w:rPr>
      </w:pPr>
      <w:r w:rsidRPr="008143D9">
        <w:rPr>
          <w:noProof/>
        </w:rPr>
        <w:t>15.</w:t>
      </w:r>
      <w:r w:rsidRPr="008143D9">
        <w:rPr>
          <w:noProof/>
        </w:rPr>
        <w:tab/>
        <w:t>Wang H. et al. Clinical significance of a minor population of paroxysmal nocturnal hemoglobinuria-type cells in bone marrow failure syndrome // Blood. 2002. Vol. 100, № 12. P. 3897–3902.</w:t>
      </w:r>
    </w:p>
    <w:p w14:paraId="7548C3F5" w14:textId="77777777" w:rsidR="008143D9" w:rsidRPr="008143D9" w:rsidRDefault="008143D9" w:rsidP="008143D9">
      <w:pPr>
        <w:widowControl w:val="0"/>
        <w:autoSpaceDE w:val="0"/>
        <w:autoSpaceDN w:val="0"/>
        <w:adjustRightInd w:val="0"/>
        <w:ind w:left="640" w:hanging="640"/>
        <w:rPr>
          <w:noProof/>
        </w:rPr>
      </w:pPr>
      <w:r w:rsidRPr="008143D9">
        <w:rPr>
          <w:noProof/>
        </w:rPr>
        <w:t>16.</w:t>
      </w:r>
      <w:r w:rsidRPr="008143D9">
        <w:rPr>
          <w:noProof/>
        </w:rPr>
        <w:tab/>
        <w:t>Yoshida Y. et al. Co-occurrence of monoclonal gammopathy and myelodysplasia: a retrospective study of fourteen cases. // Int. J. Hematol. 2014. Vol. 99, № 6. P. 721–725.</w:t>
      </w:r>
    </w:p>
    <w:p w14:paraId="03927269" w14:textId="77777777" w:rsidR="008143D9" w:rsidRPr="008143D9" w:rsidRDefault="008143D9" w:rsidP="008143D9">
      <w:pPr>
        <w:widowControl w:val="0"/>
        <w:autoSpaceDE w:val="0"/>
        <w:autoSpaceDN w:val="0"/>
        <w:adjustRightInd w:val="0"/>
        <w:ind w:left="640" w:hanging="640"/>
        <w:rPr>
          <w:noProof/>
        </w:rPr>
      </w:pPr>
      <w:r w:rsidRPr="008143D9">
        <w:rPr>
          <w:noProof/>
        </w:rPr>
        <w:t>17.</w:t>
      </w:r>
      <w:r w:rsidRPr="008143D9">
        <w:rPr>
          <w:noProof/>
        </w:rPr>
        <w:tab/>
        <w:t>Mufti G.J. et al. Immunological abnormalities in myelodysplastic syndromes I. SERUM IMMUNOGLOBULINS AND AUTOANTIBODIES // Br. J. Haematol. 1986. Vol. 63, № 1. P. 143–147.</w:t>
      </w:r>
    </w:p>
    <w:p w14:paraId="243BE8E8" w14:textId="77777777" w:rsidR="008143D9" w:rsidRPr="008143D9" w:rsidRDefault="008143D9" w:rsidP="008143D9">
      <w:pPr>
        <w:widowControl w:val="0"/>
        <w:autoSpaceDE w:val="0"/>
        <w:autoSpaceDN w:val="0"/>
        <w:adjustRightInd w:val="0"/>
        <w:ind w:left="640" w:hanging="640"/>
        <w:rPr>
          <w:noProof/>
        </w:rPr>
      </w:pPr>
      <w:r w:rsidRPr="008143D9">
        <w:rPr>
          <w:noProof/>
        </w:rPr>
        <w:t>18.</w:t>
      </w:r>
      <w:r w:rsidRPr="008143D9">
        <w:rPr>
          <w:noProof/>
        </w:rPr>
        <w:tab/>
        <w:t>De Hollanda A. et al. Systemic and immune manifestations in myelodysplasia: A multicenter retrospective study // Arthritis Care Res. 2011. Vol. 63, № 8. P. 1188–1194.</w:t>
      </w:r>
    </w:p>
    <w:p w14:paraId="2962E00E" w14:textId="77777777" w:rsidR="008143D9" w:rsidRPr="008143D9" w:rsidRDefault="008143D9" w:rsidP="008143D9">
      <w:pPr>
        <w:widowControl w:val="0"/>
        <w:autoSpaceDE w:val="0"/>
        <w:autoSpaceDN w:val="0"/>
        <w:adjustRightInd w:val="0"/>
        <w:ind w:left="640" w:hanging="640"/>
        <w:rPr>
          <w:noProof/>
        </w:rPr>
      </w:pPr>
      <w:r w:rsidRPr="008143D9">
        <w:rPr>
          <w:noProof/>
        </w:rPr>
        <w:t>19.</w:t>
      </w:r>
      <w:r w:rsidRPr="008143D9">
        <w:rPr>
          <w:noProof/>
        </w:rPr>
        <w:tab/>
        <w:t>Wolach O., Stone R. Autoimmunity and Inflammation in Myelodysplastic Syndromes // Acta Haematol. 2016. Vol. 136, № 2. P. 108–117.</w:t>
      </w:r>
    </w:p>
    <w:p w14:paraId="513A2F69" w14:textId="77777777" w:rsidR="008143D9" w:rsidRPr="008143D9" w:rsidRDefault="008143D9" w:rsidP="008143D9">
      <w:pPr>
        <w:widowControl w:val="0"/>
        <w:autoSpaceDE w:val="0"/>
        <w:autoSpaceDN w:val="0"/>
        <w:adjustRightInd w:val="0"/>
        <w:ind w:left="640" w:hanging="640"/>
        <w:rPr>
          <w:noProof/>
        </w:rPr>
      </w:pPr>
      <w:r w:rsidRPr="008143D9">
        <w:rPr>
          <w:noProof/>
        </w:rPr>
        <w:t>20.</w:t>
      </w:r>
      <w:r w:rsidRPr="008143D9">
        <w:rPr>
          <w:noProof/>
        </w:rPr>
        <w:tab/>
        <w:t>Yarali N. et al. Parvovirus B19 infection reminiscent of myelodysplastic syndrome in three children with chronic hemolytic anemia // Pediatr. Hematol. Oncol. Taylor and Francis Inc., 2000. Vol. 17, № 6. P. 475–482.</w:t>
      </w:r>
    </w:p>
    <w:p w14:paraId="40399D12" w14:textId="77777777" w:rsidR="008143D9" w:rsidRPr="008143D9" w:rsidRDefault="008143D9" w:rsidP="008143D9">
      <w:pPr>
        <w:widowControl w:val="0"/>
        <w:autoSpaceDE w:val="0"/>
        <w:autoSpaceDN w:val="0"/>
        <w:adjustRightInd w:val="0"/>
        <w:ind w:left="640" w:hanging="640"/>
        <w:rPr>
          <w:noProof/>
        </w:rPr>
      </w:pPr>
      <w:r w:rsidRPr="008143D9">
        <w:rPr>
          <w:noProof/>
        </w:rPr>
        <w:t>21.</w:t>
      </w:r>
      <w:r w:rsidRPr="008143D9">
        <w:rPr>
          <w:noProof/>
        </w:rPr>
        <w:tab/>
        <w:t>Wajcman H., Moradkhani K. Abnormal haemoglobins: Detection &amp; characterization // Indian Journal of Medical Research. 2011. Vol. 134, № 10. P. 538–546.</w:t>
      </w:r>
    </w:p>
    <w:p w14:paraId="7D4B91C7" w14:textId="77777777" w:rsidR="008143D9" w:rsidRPr="008143D9" w:rsidRDefault="008143D9" w:rsidP="008143D9">
      <w:pPr>
        <w:widowControl w:val="0"/>
        <w:autoSpaceDE w:val="0"/>
        <w:autoSpaceDN w:val="0"/>
        <w:adjustRightInd w:val="0"/>
        <w:ind w:left="640" w:hanging="640"/>
        <w:rPr>
          <w:noProof/>
        </w:rPr>
      </w:pPr>
      <w:r w:rsidRPr="008143D9">
        <w:rPr>
          <w:noProof/>
        </w:rPr>
        <w:t>22.</w:t>
      </w:r>
      <w:r w:rsidRPr="008143D9">
        <w:rPr>
          <w:noProof/>
        </w:rPr>
        <w:tab/>
        <w:t>Fong T. et al. Copper deficiency: An important consideration in the differential diagnosis of myelodysplastic syndrome // Haematologica. 2007. Vol. 92, № 10. P. 1429–1430.</w:t>
      </w:r>
    </w:p>
    <w:p w14:paraId="5724821E" w14:textId="77777777" w:rsidR="008143D9" w:rsidRPr="008143D9" w:rsidRDefault="008143D9" w:rsidP="008143D9">
      <w:pPr>
        <w:widowControl w:val="0"/>
        <w:autoSpaceDE w:val="0"/>
        <w:autoSpaceDN w:val="0"/>
        <w:adjustRightInd w:val="0"/>
        <w:ind w:left="640" w:hanging="640"/>
        <w:rPr>
          <w:noProof/>
        </w:rPr>
      </w:pPr>
      <w:r w:rsidRPr="008143D9">
        <w:rPr>
          <w:noProof/>
        </w:rPr>
        <w:t>23.</w:t>
      </w:r>
      <w:r w:rsidRPr="008143D9">
        <w:rPr>
          <w:noProof/>
        </w:rPr>
        <w:tab/>
        <w:t>Thakral B., Saluja K., Eldibany M. Zinc-induced copper deficiency: a diagnostic pitfall of myelodysplastic syndrome. // Pathology. 2014. Vol. 46, № 3. P. 246–248.</w:t>
      </w:r>
    </w:p>
    <w:p w14:paraId="2EA0986F" w14:textId="77777777" w:rsidR="008143D9" w:rsidRPr="008143D9" w:rsidRDefault="008143D9" w:rsidP="008143D9">
      <w:pPr>
        <w:widowControl w:val="0"/>
        <w:autoSpaceDE w:val="0"/>
        <w:autoSpaceDN w:val="0"/>
        <w:adjustRightInd w:val="0"/>
        <w:ind w:left="640" w:hanging="640"/>
        <w:rPr>
          <w:noProof/>
        </w:rPr>
      </w:pPr>
      <w:r w:rsidRPr="008143D9">
        <w:rPr>
          <w:noProof/>
        </w:rPr>
        <w:t>24.</w:t>
      </w:r>
      <w:r w:rsidRPr="008143D9">
        <w:rPr>
          <w:noProof/>
        </w:rPr>
        <w:tab/>
        <w:t>Dorgalaleh A. et al. Effect of thyroid dysfunctions on blood cell count and red blood cell indice. // Iran. J. Pediatr. Hematol. Oncol. 2013. Vol. 3, № 2. P. 73–77.</w:t>
      </w:r>
    </w:p>
    <w:p w14:paraId="6204A480" w14:textId="77777777" w:rsidR="008143D9" w:rsidRPr="008143D9" w:rsidRDefault="008143D9" w:rsidP="008143D9">
      <w:pPr>
        <w:widowControl w:val="0"/>
        <w:autoSpaceDE w:val="0"/>
        <w:autoSpaceDN w:val="0"/>
        <w:adjustRightInd w:val="0"/>
        <w:ind w:left="640" w:hanging="640"/>
        <w:rPr>
          <w:noProof/>
        </w:rPr>
      </w:pPr>
      <w:r w:rsidRPr="008143D9">
        <w:rPr>
          <w:noProof/>
        </w:rPr>
        <w:t>25.</w:t>
      </w:r>
      <w:r w:rsidRPr="008143D9">
        <w:rPr>
          <w:noProof/>
        </w:rPr>
        <w:tab/>
        <w:t>Bennett J.M., Orazi A. Diagnostic criteria to distinguish hypocellular acute myeloid leukemia from hypocellular myelodysplastic syndromes and aplastic anemia: Recommendations for a standardized approach // Haematologica. 2009. Vol. 94, № 2. P. 264–268.</w:t>
      </w:r>
    </w:p>
    <w:p w14:paraId="6727BBF5" w14:textId="77777777" w:rsidR="008143D9" w:rsidRPr="008143D9" w:rsidRDefault="008143D9" w:rsidP="008143D9">
      <w:pPr>
        <w:widowControl w:val="0"/>
        <w:autoSpaceDE w:val="0"/>
        <w:autoSpaceDN w:val="0"/>
        <w:adjustRightInd w:val="0"/>
        <w:ind w:left="640" w:hanging="640"/>
        <w:rPr>
          <w:noProof/>
        </w:rPr>
      </w:pPr>
      <w:r w:rsidRPr="008143D9">
        <w:rPr>
          <w:noProof/>
        </w:rPr>
        <w:t>26.</w:t>
      </w:r>
      <w:r w:rsidRPr="008143D9">
        <w:rPr>
          <w:noProof/>
        </w:rPr>
        <w:tab/>
        <w:t>Goasguen J.E. et al. Quality control initiative on the evaluation of the dysmegakaryopoiesis in myeloid neoplasms: Difficulties in the assessment of dysplasia. // Leuk. Res. 2016. Vol. 45. P. 75–81.</w:t>
      </w:r>
    </w:p>
    <w:p w14:paraId="7A6290B3" w14:textId="77777777" w:rsidR="008143D9" w:rsidRPr="008143D9" w:rsidRDefault="008143D9" w:rsidP="008143D9">
      <w:pPr>
        <w:widowControl w:val="0"/>
        <w:autoSpaceDE w:val="0"/>
        <w:autoSpaceDN w:val="0"/>
        <w:adjustRightInd w:val="0"/>
        <w:ind w:left="640" w:hanging="640"/>
        <w:rPr>
          <w:noProof/>
        </w:rPr>
      </w:pPr>
      <w:r w:rsidRPr="008143D9">
        <w:rPr>
          <w:noProof/>
        </w:rPr>
        <w:t>27.</w:t>
      </w:r>
      <w:r w:rsidRPr="008143D9">
        <w:rPr>
          <w:noProof/>
        </w:rPr>
        <w:tab/>
        <w:t>Mufti G.J. et al. Diagnosis and classification of myelodysplastic syndrome: International Working Group on Morphology of myelodysplastic syndrome (IWGM-MDS) consensus proposals for the definition and enumeration of myeloblasts and ring sideroblasts. // Haematologica. 2008. Vol. 93, № 11. P. 1712–1717.</w:t>
      </w:r>
    </w:p>
    <w:p w14:paraId="3256160B" w14:textId="77777777" w:rsidR="008143D9" w:rsidRPr="008143D9" w:rsidRDefault="008143D9" w:rsidP="008143D9">
      <w:pPr>
        <w:widowControl w:val="0"/>
        <w:autoSpaceDE w:val="0"/>
        <w:autoSpaceDN w:val="0"/>
        <w:adjustRightInd w:val="0"/>
        <w:ind w:left="640" w:hanging="640"/>
        <w:rPr>
          <w:noProof/>
        </w:rPr>
      </w:pPr>
      <w:r w:rsidRPr="008143D9">
        <w:rPr>
          <w:noProof/>
        </w:rPr>
        <w:t>28.</w:t>
      </w:r>
      <w:r w:rsidRPr="008143D9">
        <w:rPr>
          <w:noProof/>
        </w:rPr>
        <w:tab/>
        <w:t>Patnaik M.M., Tefferi A. Refractory anemia with ring sideroblasts and RARS with thrombocytosis. // Am. J. Hematol. 2015. Vol. 90, № 6. P. 549–559.</w:t>
      </w:r>
    </w:p>
    <w:p w14:paraId="2B9876F1" w14:textId="77777777" w:rsidR="008143D9" w:rsidRPr="008143D9" w:rsidRDefault="008143D9" w:rsidP="008143D9">
      <w:pPr>
        <w:widowControl w:val="0"/>
        <w:autoSpaceDE w:val="0"/>
        <w:autoSpaceDN w:val="0"/>
        <w:adjustRightInd w:val="0"/>
        <w:ind w:left="640" w:hanging="640"/>
        <w:rPr>
          <w:noProof/>
        </w:rPr>
      </w:pPr>
      <w:r w:rsidRPr="008143D9">
        <w:rPr>
          <w:noProof/>
        </w:rPr>
        <w:t>29.</w:t>
      </w:r>
      <w:r w:rsidRPr="008143D9">
        <w:rPr>
          <w:noProof/>
        </w:rPr>
        <w:tab/>
        <w:t>Della Porta M.G. et al. Mitochondrial Ferritin Expression and Clonality of Hematopoiesis in Patients with Refractory Anemia with Ringed Sideroblasts. // Blood. 2005. Vol. 106, № 11. P. 3444.</w:t>
      </w:r>
    </w:p>
    <w:p w14:paraId="1317D851" w14:textId="77777777" w:rsidR="008143D9" w:rsidRPr="008143D9" w:rsidRDefault="008143D9" w:rsidP="008143D9">
      <w:pPr>
        <w:widowControl w:val="0"/>
        <w:autoSpaceDE w:val="0"/>
        <w:autoSpaceDN w:val="0"/>
        <w:adjustRightInd w:val="0"/>
        <w:ind w:left="640" w:hanging="640"/>
        <w:rPr>
          <w:noProof/>
        </w:rPr>
      </w:pPr>
      <w:r w:rsidRPr="008143D9">
        <w:rPr>
          <w:noProof/>
        </w:rPr>
        <w:t>30.</w:t>
      </w:r>
      <w:r w:rsidRPr="008143D9">
        <w:rPr>
          <w:noProof/>
        </w:rPr>
        <w:tab/>
        <w:t>Greenberg P.L. et al. Revised international prognostic scoring system for myelodysplastic syndromes // Blood. 2012. Vol. 120, № 12. P. 2454–2465.</w:t>
      </w:r>
    </w:p>
    <w:p w14:paraId="14D249F6" w14:textId="77777777" w:rsidR="008143D9" w:rsidRPr="008143D9" w:rsidRDefault="008143D9" w:rsidP="008143D9">
      <w:pPr>
        <w:widowControl w:val="0"/>
        <w:autoSpaceDE w:val="0"/>
        <w:autoSpaceDN w:val="0"/>
        <w:adjustRightInd w:val="0"/>
        <w:ind w:left="640" w:hanging="640"/>
        <w:rPr>
          <w:noProof/>
        </w:rPr>
      </w:pPr>
      <w:r w:rsidRPr="008143D9">
        <w:rPr>
          <w:noProof/>
        </w:rPr>
        <w:t>31.</w:t>
      </w:r>
      <w:r w:rsidRPr="008143D9">
        <w:rPr>
          <w:noProof/>
        </w:rPr>
        <w:tab/>
        <w:t>Gupta R. et al. Myelodysplastic syndrome with isolated deletion of chromosome 20q: an indolent disease with minimal morphological dysplasia and frequent thrombocytopenic presentation. // Br. J. Haematol. 2007. Vol. 139, № 2. P. 265–268.</w:t>
      </w:r>
    </w:p>
    <w:p w14:paraId="626C0E20" w14:textId="77777777" w:rsidR="008143D9" w:rsidRPr="008143D9" w:rsidRDefault="008143D9" w:rsidP="008143D9">
      <w:pPr>
        <w:widowControl w:val="0"/>
        <w:autoSpaceDE w:val="0"/>
        <w:autoSpaceDN w:val="0"/>
        <w:adjustRightInd w:val="0"/>
        <w:ind w:left="640" w:hanging="640"/>
        <w:rPr>
          <w:noProof/>
        </w:rPr>
      </w:pPr>
      <w:r w:rsidRPr="008143D9">
        <w:rPr>
          <w:noProof/>
        </w:rPr>
        <w:t>32.</w:t>
      </w:r>
      <w:r w:rsidRPr="008143D9">
        <w:rPr>
          <w:noProof/>
        </w:rPr>
        <w:tab/>
        <w:t>Gyan E., Dreyfus F., Fenaux P. Refractory thrombocytopenia and neutropenia: a diagnostic challenge. // Mediterr. J. Hematol. Infect. Dis. 2015. Vol. 7, № 1. P. e2015018.</w:t>
      </w:r>
    </w:p>
    <w:p w14:paraId="6666BE76" w14:textId="77777777" w:rsidR="008143D9" w:rsidRPr="008143D9" w:rsidRDefault="008143D9" w:rsidP="008143D9">
      <w:pPr>
        <w:widowControl w:val="0"/>
        <w:autoSpaceDE w:val="0"/>
        <w:autoSpaceDN w:val="0"/>
        <w:adjustRightInd w:val="0"/>
        <w:ind w:left="640" w:hanging="640"/>
        <w:rPr>
          <w:noProof/>
        </w:rPr>
      </w:pPr>
      <w:r w:rsidRPr="008143D9">
        <w:rPr>
          <w:noProof/>
        </w:rPr>
        <w:t>33.</w:t>
      </w:r>
      <w:r w:rsidRPr="008143D9">
        <w:rPr>
          <w:noProof/>
        </w:rPr>
        <w:tab/>
        <w:t>Mallo M. et al. Impact of adjunct cytogenetic abnormalities for prognostic stratification in patients with myelodysplastic syndrome and deletion 5q. // Leukemia. 2011. Vol. 25, № 1. P. 110–120.</w:t>
      </w:r>
    </w:p>
    <w:p w14:paraId="0EA590BC" w14:textId="77777777" w:rsidR="008143D9" w:rsidRPr="008143D9" w:rsidRDefault="008143D9" w:rsidP="008143D9">
      <w:pPr>
        <w:widowControl w:val="0"/>
        <w:autoSpaceDE w:val="0"/>
        <w:autoSpaceDN w:val="0"/>
        <w:adjustRightInd w:val="0"/>
        <w:ind w:left="640" w:hanging="640"/>
        <w:rPr>
          <w:noProof/>
        </w:rPr>
      </w:pPr>
      <w:r w:rsidRPr="008143D9">
        <w:rPr>
          <w:noProof/>
        </w:rPr>
        <w:t>34.</w:t>
      </w:r>
      <w:r w:rsidRPr="008143D9">
        <w:rPr>
          <w:noProof/>
        </w:rPr>
        <w:tab/>
        <w:t>Olney H.J., Le Beau M.M. Evaluation of recurring cytogenetic abnormalities in the treatment of myelodysplastic syndromes. // Leuk. Res. 2007. Vol. 31, № 4. P. 427–434.</w:t>
      </w:r>
    </w:p>
    <w:p w14:paraId="00AE23F0" w14:textId="77777777" w:rsidR="008143D9" w:rsidRPr="008143D9" w:rsidRDefault="008143D9" w:rsidP="008143D9">
      <w:pPr>
        <w:widowControl w:val="0"/>
        <w:autoSpaceDE w:val="0"/>
        <w:autoSpaceDN w:val="0"/>
        <w:adjustRightInd w:val="0"/>
        <w:ind w:left="640" w:hanging="640"/>
        <w:rPr>
          <w:noProof/>
        </w:rPr>
      </w:pPr>
      <w:r w:rsidRPr="008143D9">
        <w:rPr>
          <w:noProof/>
        </w:rPr>
        <w:t>35.</w:t>
      </w:r>
      <w:r w:rsidRPr="008143D9">
        <w:rPr>
          <w:noProof/>
        </w:rPr>
        <w:tab/>
        <w:t>Rogers H.J. et al. Complex or monosomal karyotype and not blast percentage is associated with poor survival in acute myeloid leukemia and myelodysplastic syndrome patients with inv(3)(q21q26.2)/t(3;3)(q21;q26.2): a Bone Marrow Pathology Group study. // Haematologica. 2014. Vol. 99, № 5. P. 821–829.</w:t>
      </w:r>
    </w:p>
    <w:p w14:paraId="33A56509" w14:textId="77777777" w:rsidR="008143D9" w:rsidRPr="008143D9" w:rsidRDefault="008143D9" w:rsidP="008143D9">
      <w:pPr>
        <w:widowControl w:val="0"/>
        <w:autoSpaceDE w:val="0"/>
        <w:autoSpaceDN w:val="0"/>
        <w:adjustRightInd w:val="0"/>
        <w:ind w:left="640" w:hanging="640"/>
        <w:rPr>
          <w:noProof/>
        </w:rPr>
      </w:pPr>
      <w:r w:rsidRPr="008143D9">
        <w:rPr>
          <w:noProof/>
        </w:rPr>
        <w:t>36.</w:t>
      </w:r>
      <w:r w:rsidRPr="008143D9">
        <w:rPr>
          <w:noProof/>
        </w:rPr>
        <w:tab/>
        <w:t>Schanz J. et al. New comprehensive cytogenetic scoring system for MDS and oligoblastic AML after MDS // J. Clin. Oncol. 2012. Vol. 30, № 8. P. 820–829.</w:t>
      </w:r>
    </w:p>
    <w:p w14:paraId="6B21E29C" w14:textId="77777777" w:rsidR="008143D9" w:rsidRPr="008143D9" w:rsidRDefault="008143D9" w:rsidP="008143D9">
      <w:pPr>
        <w:widowControl w:val="0"/>
        <w:autoSpaceDE w:val="0"/>
        <w:autoSpaceDN w:val="0"/>
        <w:adjustRightInd w:val="0"/>
        <w:ind w:left="640" w:hanging="640"/>
        <w:rPr>
          <w:noProof/>
        </w:rPr>
      </w:pPr>
      <w:r w:rsidRPr="008143D9">
        <w:rPr>
          <w:noProof/>
        </w:rPr>
        <w:t>37.</w:t>
      </w:r>
      <w:r w:rsidRPr="008143D9">
        <w:rPr>
          <w:noProof/>
        </w:rPr>
        <w:tab/>
        <w:t>Steensma D.P. et al. Clonal cytogenetic abnormalities in bone marrow specimens without clear morphologic evidence of dysplasia: a form fruste of myelodysplasia? // Leuk. Res. 2003. Vol. 27, № 3. P. 235–242.</w:t>
      </w:r>
    </w:p>
    <w:p w14:paraId="0DFF65EF" w14:textId="77777777" w:rsidR="008143D9" w:rsidRPr="008143D9" w:rsidRDefault="008143D9" w:rsidP="008143D9">
      <w:pPr>
        <w:widowControl w:val="0"/>
        <w:autoSpaceDE w:val="0"/>
        <w:autoSpaceDN w:val="0"/>
        <w:adjustRightInd w:val="0"/>
        <w:ind w:left="640" w:hanging="640"/>
        <w:rPr>
          <w:noProof/>
        </w:rPr>
      </w:pPr>
      <w:r w:rsidRPr="008143D9">
        <w:rPr>
          <w:noProof/>
        </w:rPr>
        <w:t>38.</w:t>
      </w:r>
      <w:r w:rsidRPr="008143D9">
        <w:rPr>
          <w:noProof/>
        </w:rPr>
        <w:tab/>
        <w:t>Paulsson K., Johansson B. Trisomy 8 as the sole chromosomal aberration in acute myeloid leukemia and myelodysplastic syndromes. // Pathol. Biol. (Paris). 2007. Vol. 55, № 1. P. 37–48.</w:t>
      </w:r>
    </w:p>
    <w:p w14:paraId="19F6493C" w14:textId="77777777" w:rsidR="008143D9" w:rsidRPr="008143D9" w:rsidRDefault="008143D9" w:rsidP="008143D9">
      <w:pPr>
        <w:widowControl w:val="0"/>
        <w:autoSpaceDE w:val="0"/>
        <w:autoSpaceDN w:val="0"/>
        <w:adjustRightInd w:val="0"/>
        <w:ind w:left="640" w:hanging="640"/>
        <w:rPr>
          <w:noProof/>
        </w:rPr>
      </w:pPr>
      <w:r w:rsidRPr="008143D9">
        <w:rPr>
          <w:noProof/>
        </w:rPr>
        <w:t>39.</w:t>
      </w:r>
      <w:r w:rsidRPr="008143D9">
        <w:rPr>
          <w:noProof/>
        </w:rPr>
        <w:tab/>
        <w:t>Bigoni R. et al. Multilineage involvement in the 5q- syndrome: a fluorescent in situ hybridization study on bone marrow smears. // Haematologica. 2001. Vol. 86, № 4. P. 375–381.</w:t>
      </w:r>
    </w:p>
    <w:p w14:paraId="18643A3F" w14:textId="77777777" w:rsidR="008143D9" w:rsidRPr="008143D9" w:rsidRDefault="008143D9" w:rsidP="008143D9">
      <w:pPr>
        <w:widowControl w:val="0"/>
        <w:autoSpaceDE w:val="0"/>
        <w:autoSpaceDN w:val="0"/>
        <w:adjustRightInd w:val="0"/>
        <w:ind w:left="640" w:hanging="640"/>
        <w:rPr>
          <w:noProof/>
        </w:rPr>
      </w:pPr>
      <w:r w:rsidRPr="008143D9">
        <w:rPr>
          <w:noProof/>
        </w:rPr>
        <w:t>40.</w:t>
      </w:r>
      <w:r w:rsidRPr="008143D9">
        <w:rPr>
          <w:noProof/>
        </w:rPr>
        <w:tab/>
        <w:t>Fu B. et al. Bone marrow fibrosis in patients with primary myelodysplastic syndromes has prognostic value using current therapies and new risk stratification systems. // Mod. Pathol. 2014. Vol. 27, № 5. P. 681–689.</w:t>
      </w:r>
    </w:p>
    <w:p w14:paraId="581B463F" w14:textId="77777777" w:rsidR="008143D9" w:rsidRPr="008143D9" w:rsidRDefault="008143D9" w:rsidP="008143D9">
      <w:pPr>
        <w:widowControl w:val="0"/>
        <w:autoSpaceDE w:val="0"/>
        <w:autoSpaceDN w:val="0"/>
        <w:adjustRightInd w:val="0"/>
        <w:ind w:left="640" w:hanging="640"/>
        <w:rPr>
          <w:noProof/>
        </w:rPr>
      </w:pPr>
      <w:r w:rsidRPr="008143D9">
        <w:rPr>
          <w:noProof/>
        </w:rPr>
        <w:t>41.</w:t>
      </w:r>
      <w:r w:rsidRPr="008143D9">
        <w:rPr>
          <w:noProof/>
        </w:rPr>
        <w:tab/>
        <w:t>Huang T.C. et al. Comparison of hypoplastic myelodysplastic syndrome (MDS) with normo-/hypercellular MDS by International Prognostic Scoring System, cytogenetic and genetic studies // Leukemia. Nature Publishing Group, 2008. Vol. 22, № 3. P. 544–550.</w:t>
      </w:r>
    </w:p>
    <w:p w14:paraId="2962C40B" w14:textId="77777777" w:rsidR="008143D9" w:rsidRPr="008143D9" w:rsidRDefault="008143D9" w:rsidP="008143D9">
      <w:pPr>
        <w:widowControl w:val="0"/>
        <w:autoSpaceDE w:val="0"/>
        <w:autoSpaceDN w:val="0"/>
        <w:adjustRightInd w:val="0"/>
        <w:ind w:left="640" w:hanging="640"/>
        <w:rPr>
          <w:noProof/>
        </w:rPr>
      </w:pPr>
      <w:r w:rsidRPr="008143D9">
        <w:rPr>
          <w:noProof/>
        </w:rPr>
        <w:t>42.</w:t>
      </w:r>
      <w:r w:rsidRPr="008143D9">
        <w:rPr>
          <w:noProof/>
        </w:rPr>
        <w:tab/>
        <w:t>Maschek H. et al. Myelofibrosis in primary myelodysplastic syndromes: a retrospective study of 352 patients. // Eur. J. Haematol. 1992. Vol. 48, № 4. P. 208–214.</w:t>
      </w:r>
    </w:p>
    <w:p w14:paraId="4D0795B7" w14:textId="77777777" w:rsidR="008143D9" w:rsidRPr="008143D9" w:rsidRDefault="008143D9" w:rsidP="008143D9">
      <w:pPr>
        <w:widowControl w:val="0"/>
        <w:autoSpaceDE w:val="0"/>
        <w:autoSpaceDN w:val="0"/>
        <w:adjustRightInd w:val="0"/>
        <w:ind w:left="640" w:hanging="640"/>
        <w:rPr>
          <w:noProof/>
        </w:rPr>
      </w:pPr>
      <w:r w:rsidRPr="008143D9">
        <w:rPr>
          <w:noProof/>
        </w:rPr>
        <w:t>43.</w:t>
      </w:r>
      <w:r w:rsidRPr="008143D9">
        <w:rPr>
          <w:noProof/>
        </w:rPr>
        <w:tab/>
        <w:t>Orazi A. Histopathology in the diagnosis and classification of acute myeloid leukemia, myelodysplastic syndromes, and myelodysplastic/myeloproliferative diseases // Pathobiology. 2007. Vol. 74, № 2. P. 97–114.</w:t>
      </w:r>
    </w:p>
    <w:p w14:paraId="37075E67" w14:textId="77777777" w:rsidR="008143D9" w:rsidRPr="008143D9" w:rsidRDefault="008143D9" w:rsidP="008143D9">
      <w:pPr>
        <w:widowControl w:val="0"/>
        <w:autoSpaceDE w:val="0"/>
        <w:autoSpaceDN w:val="0"/>
        <w:adjustRightInd w:val="0"/>
        <w:ind w:left="640" w:hanging="640"/>
        <w:rPr>
          <w:noProof/>
        </w:rPr>
      </w:pPr>
      <w:r w:rsidRPr="008143D9">
        <w:rPr>
          <w:noProof/>
        </w:rPr>
        <w:t>44.</w:t>
      </w:r>
      <w:r w:rsidRPr="008143D9">
        <w:rPr>
          <w:noProof/>
        </w:rPr>
        <w:tab/>
        <w:t>Yue G. et al. Hypocellularity in myelodysplastic syndrome is an independent factor which predicts a favorable outcome. // Leuk. Res. 2008. Vol. 32, № 4. P. 553–558.</w:t>
      </w:r>
    </w:p>
    <w:p w14:paraId="30BD75DA" w14:textId="77777777" w:rsidR="008143D9" w:rsidRPr="008143D9" w:rsidRDefault="008143D9" w:rsidP="008143D9">
      <w:pPr>
        <w:widowControl w:val="0"/>
        <w:autoSpaceDE w:val="0"/>
        <w:autoSpaceDN w:val="0"/>
        <w:adjustRightInd w:val="0"/>
        <w:ind w:left="640" w:hanging="640"/>
        <w:rPr>
          <w:noProof/>
        </w:rPr>
      </w:pPr>
      <w:r w:rsidRPr="008143D9">
        <w:rPr>
          <w:noProof/>
        </w:rPr>
        <w:t>45.</w:t>
      </w:r>
      <w:r w:rsidRPr="008143D9">
        <w:rPr>
          <w:noProof/>
        </w:rPr>
        <w:tab/>
        <w:t>Della Porta M.G. et al. Clinical relevance of bone marrow fibrosis and CD34-positive cell clusters in primary myelodysplastic syndromes. // J. Clin. Oncol. 2009. Vol. 27, № 5. P. 754–762.</w:t>
      </w:r>
    </w:p>
    <w:p w14:paraId="6F5EFD44" w14:textId="77777777" w:rsidR="008143D9" w:rsidRPr="008143D9" w:rsidRDefault="008143D9" w:rsidP="008143D9">
      <w:pPr>
        <w:widowControl w:val="0"/>
        <w:autoSpaceDE w:val="0"/>
        <w:autoSpaceDN w:val="0"/>
        <w:adjustRightInd w:val="0"/>
        <w:ind w:left="640" w:hanging="640"/>
        <w:rPr>
          <w:noProof/>
        </w:rPr>
      </w:pPr>
      <w:r w:rsidRPr="008143D9">
        <w:rPr>
          <w:noProof/>
        </w:rPr>
        <w:t>46.</w:t>
      </w:r>
      <w:r w:rsidRPr="008143D9">
        <w:rPr>
          <w:noProof/>
        </w:rPr>
        <w:tab/>
        <w:t>Orazi A. et al. Hypoplastic myelodysplastic syndromes can be distinguished from acquired aplastic anemia by CD34 and PCNA immunostaining of bone marrow biopsy specimens. // Am. J. Clin. Pathol. 1997. Vol. 107, № 3. P. 268–274.</w:t>
      </w:r>
    </w:p>
    <w:p w14:paraId="2A270813" w14:textId="77777777" w:rsidR="008143D9" w:rsidRPr="008143D9" w:rsidRDefault="008143D9" w:rsidP="008143D9">
      <w:pPr>
        <w:widowControl w:val="0"/>
        <w:autoSpaceDE w:val="0"/>
        <w:autoSpaceDN w:val="0"/>
        <w:adjustRightInd w:val="0"/>
        <w:ind w:left="640" w:hanging="640"/>
        <w:rPr>
          <w:noProof/>
        </w:rPr>
      </w:pPr>
      <w:r w:rsidRPr="008143D9">
        <w:rPr>
          <w:noProof/>
        </w:rPr>
        <w:t>47.</w:t>
      </w:r>
      <w:r w:rsidRPr="008143D9">
        <w:rPr>
          <w:noProof/>
        </w:rPr>
        <w:tab/>
        <w:t>Verburgh E. et al. Additional prognostic value of bone marrow histology in patients subclassified according to the International Prognostic Scoring System for myelodysplastic syndromes. // J. Clin. Oncol. 2003. Vol. 21, № 2. P. 273–282.</w:t>
      </w:r>
    </w:p>
    <w:p w14:paraId="366D89CF" w14:textId="77777777" w:rsidR="008143D9" w:rsidRPr="008143D9" w:rsidRDefault="008143D9" w:rsidP="008143D9">
      <w:pPr>
        <w:widowControl w:val="0"/>
        <w:autoSpaceDE w:val="0"/>
        <w:autoSpaceDN w:val="0"/>
        <w:adjustRightInd w:val="0"/>
        <w:ind w:left="640" w:hanging="640"/>
        <w:rPr>
          <w:noProof/>
        </w:rPr>
      </w:pPr>
      <w:r w:rsidRPr="008143D9">
        <w:rPr>
          <w:noProof/>
        </w:rPr>
        <w:t>48.</w:t>
      </w:r>
      <w:r w:rsidRPr="008143D9">
        <w:rPr>
          <w:noProof/>
        </w:rPr>
        <w:tab/>
        <w:t>Alhan C. et al. High flow cytometric scores identify adverse prognostic subgroups within the revised international prognostic scoring system for myelodysplastic syndromes. // Br. J. Haematol. 2014. Vol. 167, № 1. P. 100–109.</w:t>
      </w:r>
    </w:p>
    <w:p w14:paraId="234C99ED" w14:textId="77777777" w:rsidR="008143D9" w:rsidRPr="008143D9" w:rsidRDefault="008143D9" w:rsidP="008143D9">
      <w:pPr>
        <w:widowControl w:val="0"/>
        <w:autoSpaceDE w:val="0"/>
        <w:autoSpaceDN w:val="0"/>
        <w:adjustRightInd w:val="0"/>
        <w:ind w:left="640" w:hanging="640"/>
        <w:rPr>
          <w:noProof/>
        </w:rPr>
      </w:pPr>
      <w:r w:rsidRPr="008143D9">
        <w:rPr>
          <w:noProof/>
        </w:rPr>
        <w:t>49.</w:t>
      </w:r>
      <w:r w:rsidRPr="008143D9">
        <w:rPr>
          <w:noProof/>
        </w:rPr>
        <w:tab/>
        <w:t>Alhan C. et al. Absence of aberrant myeloid progenitors by flow cytometry is associated with favorable response to azacitidine in higher risk myelodysplastic syndromes // Cytom. Part B - Clin. Cytom. Wiley-Liss Inc., 2014. Vol. 86, № 3. P. 207–215.</w:t>
      </w:r>
    </w:p>
    <w:p w14:paraId="4CB9D6C3" w14:textId="77777777" w:rsidR="008143D9" w:rsidRPr="008143D9" w:rsidRDefault="008143D9" w:rsidP="008143D9">
      <w:pPr>
        <w:widowControl w:val="0"/>
        <w:autoSpaceDE w:val="0"/>
        <w:autoSpaceDN w:val="0"/>
        <w:adjustRightInd w:val="0"/>
        <w:ind w:left="640" w:hanging="640"/>
        <w:rPr>
          <w:noProof/>
        </w:rPr>
      </w:pPr>
      <w:r w:rsidRPr="008143D9">
        <w:rPr>
          <w:noProof/>
        </w:rPr>
        <w:t>50.</w:t>
      </w:r>
      <w:r w:rsidRPr="008143D9">
        <w:rPr>
          <w:noProof/>
        </w:rPr>
        <w:tab/>
        <w:t>Bardet V. et al. Multicentric study underlining the interest of adding CD5, CD7 and CD56 expression assessment to the flow cytometric Ogata score in myelodysplastic syndromes and myelodysplastic/myeloproliferative neoplasms. // Haematologica. 2015. Vol. 100, № 4. P. 472–478.</w:t>
      </w:r>
    </w:p>
    <w:p w14:paraId="1070E37D" w14:textId="77777777" w:rsidR="008143D9" w:rsidRPr="008143D9" w:rsidRDefault="008143D9" w:rsidP="008143D9">
      <w:pPr>
        <w:widowControl w:val="0"/>
        <w:autoSpaceDE w:val="0"/>
        <w:autoSpaceDN w:val="0"/>
        <w:adjustRightInd w:val="0"/>
        <w:ind w:left="640" w:hanging="640"/>
        <w:rPr>
          <w:noProof/>
        </w:rPr>
      </w:pPr>
      <w:r w:rsidRPr="008143D9">
        <w:rPr>
          <w:noProof/>
        </w:rPr>
        <w:t>51.</w:t>
      </w:r>
      <w:r w:rsidRPr="008143D9">
        <w:rPr>
          <w:noProof/>
        </w:rPr>
        <w:tab/>
        <w:t>Porta M.G.D. et al. Multicenter validation of a reproducible flow cytometric score for the diagnosis of low-grade myelodysplastic syndromes: Results of a European LeukemiaNET study // Haematologica. 2012. Vol. 97, № 8. P. 1209–1217.</w:t>
      </w:r>
    </w:p>
    <w:p w14:paraId="55D3F46C" w14:textId="77777777" w:rsidR="008143D9" w:rsidRPr="008143D9" w:rsidRDefault="008143D9" w:rsidP="008143D9">
      <w:pPr>
        <w:widowControl w:val="0"/>
        <w:autoSpaceDE w:val="0"/>
        <w:autoSpaceDN w:val="0"/>
        <w:adjustRightInd w:val="0"/>
        <w:ind w:left="640" w:hanging="640"/>
        <w:rPr>
          <w:noProof/>
        </w:rPr>
      </w:pPr>
      <w:r w:rsidRPr="008143D9">
        <w:rPr>
          <w:noProof/>
        </w:rPr>
        <w:t>52.</w:t>
      </w:r>
      <w:r w:rsidRPr="008143D9">
        <w:rPr>
          <w:noProof/>
        </w:rPr>
        <w:tab/>
        <w:t>Della Porta M.G. et al. Prognostic significance of reproducible immunophenotypic markers of marrow dysplasia. // Haematologica. 2014. Vol. 99, № 1. P. e8-10.</w:t>
      </w:r>
    </w:p>
    <w:p w14:paraId="3F54AE0C" w14:textId="77777777" w:rsidR="008143D9" w:rsidRPr="008143D9" w:rsidRDefault="008143D9" w:rsidP="008143D9">
      <w:pPr>
        <w:widowControl w:val="0"/>
        <w:autoSpaceDE w:val="0"/>
        <w:autoSpaceDN w:val="0"/>
        <w:adjustRightInd w:val="0"/>
        <w:ind w:left="640" w:hanging="640"/>
        <w:rPr>
          <w:noProof/>
        </w:rPr>
      </w:pPr>
      <w:r w:rsidRPr="008143D9">
        <w:rPr>
          <w:noProof/>
        </w:rPr>
        <w:t>53.</w:t>
      </w:r>
      <w:r w:rsidRPr="008143D9">
        <w:rPr>
          <w:noProof/>
        </w:rPr>
        <w:tab/>
        <w:t>Kern W. et al. Clinical utility of multiparameter flow cytometry in the diagnosis of 1013 patients with suspected myelodysplastic syndrome: correlation to cytomorphology, cytogenetics, and clinical data. // Cancer. 2010. Vol. 116, № 19. P. 4549–4563.</w:t>
      </w:r>
    </w:p>
    <w:p w14:paraId="2EA5E1E5" w14:textId="77777777" w:rsidR="008143D9" w:rsidRPr="008143D9" w:rsidRDefault="008143D9" w:rsidP="008143D9">
      <w:pPr>
        <w:widowControl w:val="0"/>
        <w:autoSpaceDE w:val="0"/>
        <w:autoSpaceDN w:val="0"/>
        <w:adjustRightInd w:val="0"/>
        <w:ind w:left="640" w:hanging="640"/>
        <w:rPr>
          <w:noProof/>
        </w:rPr>
      </w:pPr>
      <w:r w:rsidRPr="008143D9">
        <w:rPr>
          <w:noProof/>
        </w:rPr>
        <w:t>54.</w:t>
      </w:r>
      <w:r w:rsidRPr="008143D9">
        <w:rPr>
          <w:noProof/>
        </w:rPr>
        <w:tab/>
        <w:t>Haferlach T. et al. Landscape of genetic lesions in 944 patients with myelodysplastic syndromes // Leukemia. 2014. Vol. 28, № 2. P. 241–247.</w:t>
      </w:r>
    </w:p>
    <w:p w14:paraId="2CD7D85F" w14:textId="77777777" w:rsidR="008143D9" w:rsidRPr="008143D9" w:rsidRDefault="008143D9" w:rsidP="008143D9">
      <w:pPr>
        <w:widowControl w:val="0"/>
        <w:autoSpaceDE w:val="0"/>
        <w:autoSpaceDN w:val="0"/>
        <w:adjustRightInd w:val="0"/>
        <w:ind w:left="640" w:hanging="640"/>
        <w:rPr>
          <w:noProof/>
        </w:rPr>
      </w:pPr>
      <w:r w:rsidRPr="008143D9">
        <w:rPr>
          <w:noProof/>
        </w:rPr>
        <w:t>55.</w:t>
      </w:r>
      <w:r w:rsidRPr="008143D9">
        <w:rPr>
          <w:noProof/>
        </w:rPr>
        <w:tab/>
        <w:t>Malcovati L. et al. SF3B1 mutation identifies a distinct subset of myelodysplastic syndrome with ring sideroblasts // Blood. American Society of Hematology, 2015. Vol. 126, № 2. P. 233–241.</w:t>
      </w:r>
    </w:p>
    <w:p w14:paraId="6F94879B" w14:textId="77777777" w:rsidR="008143D9" w:rsidRPr="008143D9" w:rsidRDefault="008143D9" w:rsidP="008143D9">
      <w:pPr>
        <w:widowControl w:val="0"/>
        <w:autoSpaceDE w:val="0"/>
        <w:autoSpaceDN w:val="0"/>
        <w:adjustRightInd w:val="0"/>
        <w:ind w:left="640" w:hanging="640"/>
        <w:rPr>
          <w:noProof/>
        </w:rPr>
      </w:pPr>
      <w:r w:rsidRPr="008143D9">
        <w:rPr>
          <w:noProof/>
        </w:rPr>
        <w:t>56.</w:t>
      </w:r>
      <w:r w:rsidRPr="008143D9">
        <w:rPr>
          <w:noProof/>
        </w:rPr>
        <w:tab/>
        <w:t>Mallo M. et al. Response to lenalidomide in myelodysplastic syndromes with del(5q): influence of cytogenetics and mutations. // Br. J. Haematol. 2013. Vol. 162, № 1. P. 74–86.</w:t>
      </w:r>
    </w:p>
    <w:p w14:paraId="30233002" w14:textId="77777777" w:rsidR="008143D9" w:rsidRPr="008143D9" w:rsidRDefault="008143D9" w:rsidP="008143D9">
      <w:pPr>
        <w:widowControl w:val="0"/>
        <w:autoSpaceDE w:val="0"/>
        <w:autoSpaceDN w:val="0"/>
        <w:adjustRightInd w:val="0"/>
        <w:ind w:left="640" w:hanging="640"/>
        <w:rPr>
          <w:noProof/>
        </w:rPr>
      </w:pPr>
      <w:r w:rsidRPr="008143D9">
        <w:rPr>
          <w:noProof/>
        </w:rPr>
        <w:t>57.</w:t>
      </w:r>
      <w:r w:rsidRPr="008143D9">
        <w:rPr>
          <w:noProof/>
        </w:rPr>
        <w:tab/>
        <w:t>Ingram W. et al. The JAK2 V617F mutation identifies a subgroup of MDS patients with isolated deletion 5q and a proliferative bone marrow. // Leukemia. 2006. Vol. 20, № 7. P. 1319–1321.</w:t>
      </w:r>
    </w:p>
    <w:p w14:paraId="50F58961" w14:textId="77777777" w:rsidR="008143D9" w:rsidRPr="008143D9" w:rsidRDefault="008143D9" w:rsidP="008143D9">
      <w:pPr>
        <w:widowControl w:val="0"/>
        <w:autoSpaceDE w:val="0"/>
        <w:autoSpaceDN w:val="0"/>
        <w:adjustRightInd w:val="0"/>
        <w:ind w:left="640" w:hanging="640"/>
        <w:rPr>
          <w:noProof/>
        </w:rPr>
      </w:pPr>
      <w:r w:rsidRPr="008143D9">
        <w:rPr>
          <w:noProof/>
        </w:rPr>
        <w:t>58.</w:t>
      </w:r>
      <w:r w:rsidRPr="008143D9">
        <w:rPr>
          <w:noProof/>
        </w:rPr>
        <w:tab/>
        <w:t>Malcovati L., Rumi E., Cazzola M. Somatic mutations of calreticulin in myeloproliferative neoplasms and myelodysplastic/myeloproliferative neoplasms // Haematologica. Ferrata Storti Foundation, 2014. Vol. 99, № 11. P. 1650–1652.</w:t>
      </w:r>
    </w:p>
    <w:p w14:paraId="76A4211B" w14:textId="77777777" w:rsidR="008143D9" w:rsidRPr="008143D9" w:rsidRDefault="008143D9" w:rsidP="008143D9">
      <w:pPr>
        <w:widowControl w:val="0"/>
        <w:autoSpaceDE w:val="0"/>
        <w:autoSpaceDN w:val="0"/>
        <w:adjustRightInd w:val="0"/>
        <w:ind w:left="640" w:hanging="640"/>
        <w:rPr>
          <w:noProof/>
        </w:rPr>
      </w:pPr>
      <w:r w:rsidRPr="008143D9">
        <w:rPr>
          <w:noProof/>
        </w:rPr>
        <w:t>59.</w:t>
      </w:r>
      <w:r w:rsidRPr="008143D9">
        <w:rPr>
          <w:noProof/>
        </w:rPr>
        <w:tab/>
        <w:t>Savage S.A., Walsh M.F. Myelodysplastic Syndrome, Acute Myeloid Leukemia, and Cancer Surveillance in Fanconi Anemia // Hematology/Oncology Clinics of North America. W.B. Saunders, 2018. Vol. 32, № 4. P. 657–668.</w:t>
      </w:r>
    </w:p>
    <w:p w14:paraId="119704F8" w14:textId="77777777" w:rsidR="008143D9" w:rsidRPr="008143D9" w:rsidRDefault="008143D9" w:rsidP="008143D9">
      <w:pPr>
        <w:widowControl w:val="0"/>
        <w:autoSpaceDE w:val="0"/>
        <w:autoSpaceDN w:val="0"/>
        <w:adjustRightInd w:val="0"/>
        <w:ind w:left="640" w:hanging="640"/>
        <w:rPr>
          <w:noProof/>
        </w:rPr>
      </w:pPr>
      <w:r w:rsidRPr="008143D9">
        <w:rPr>
          <w:noProof/>
        </w:rPr>
        <w:t>60.</w:t>
      </w:r>
      <w:r w:rsidRPr="008143D9">
        <w:rPr>
          <w:noProof/>
        </w:rPr>
        <w:tab/>
        <w:t>Della Porta M.G. et al. Predictive factors for the outcome of allogeneic transplantation in patients with myelodysplastic syndrome stratified according to the revised International Prognostic Scoring System (IPSS-R). // Blood. 2014. P. 2333–2342.</w:t>
      </w:r>
    </w:p>
    <w:p w14:paraId="69A650D1" w14:textId="77777777" w:rsidR="008143D9" w:rsidRPr="008143D9" w:rsidRDefault="008143D9" w:rsidP="008143D9">
      <w:pPr>
        <w:widowControl w:val="0"/>
        <w:autoSpaceDE w:val="0"/>
        <w:autoSpaceDN w:val="0"/>
        <w:adjustRightInd w:val="0"/>
        <w:ind w:left="640" w:hanging="640"/>
        <w:rPr>
          <w:noProof/>
        </w:rPr>
      </w:pPr>
      <w:r w:rsidRPr="008143D9">
        <w:rPr>
          <w:noProof/>
        </w:rPr>
        <w:t>61.</w:t>
      </w:r>
      <w:r w:rsidRPr="008143D9">
        <w:rPr>
          <w:noProof/>
        </w:rPr>
        <w:tab/>
        <w:t>Аксельрод Б.А. et al. Клиническое использование эритроцитсодержащих компонентов донорской крови // Гематология и трансфузиология. 2018. Vol. 63, № 4. P. 372–435.</w:t>
      </w:r>
    </w:p>
    <w:p w14:paraId="2C776101" w14:textId="77777777" w:rsidR="008143D9" w:rsidRPr="008143D9" w:rsidRDefault="008143D9" w:rsidP="008143D9">
      <w:pPr>
        <w:widowControl w:val="0"/>
        <w:autoSpaceDE w:val="0"/>
        <w:autoSpaceDN w:val="0"/>
        <w:adjustRightInd w:val="0"/>
        <w:ind w:left="640" w:hanging="640"/>
        <w:rPr>
          <w:noProof/>
        </w:rPr>
      </w:pPr>
      <w:r w:rsidRPr="008143D9">
        <w:rPr>
          <w:noProof/>
        </w:rPr>
        <w:t>62.</w:t>
      </w:r>
      <w:r w:rsidRPr="008143D9">
        <w:rPr>
          <w:noProof/>
        </w:rPr>
        <w:tab/>
        <w:t>Bruzzone M.G. et al. CT and MRI of brain tumors // Quarterly Journal of Nuclear Medicine and Molecular Imaging. 2012. Vol. 56, № 2. P. 112–137.</w:t>
      </w:r>
    </w:p>
    <w:p w14:paraId="7AD13F99" w14:textId="77777777" w:rsidR="008143D9" w:rsidRPr="008143D9" w:rsidRDefault="008143D9" w:rsidP="008143D9">
      <w:pPr>
        <w:widowControl w:val="0"/>
        <w:autoSpaceDE w:val="0"/>
        <w:autoSpaceDN w:val="0"/>
        <w:adjustRightInd w:val="0"/>
        <w:ind w:left="640" w:hanging="640"/>
        <w:rPr>
          <w:noProof/>
        </w:rPr>
      </w:pPr>
      <w:r w:rsidRPr="008143D9">
        <w:rPr>
          <w:noProof/>
        </w:rPr>
        <w:t>63.</w:t>
      </w:r>
      <w:r w:rsidRPr="008143D9">
        <w:rPr>
          <w:noProof/>
        </w:rPr>
        <w:tab/>
        <w:t>Greenberg P. et al. International scoring system for evaluating prognosis in myelodysplastic syndromes. // Blood. 1997. Vol. 89, № 6. P. 2079–2088.</w:t>
      </w:r>
    </w:p>
    <w:p w14:paraId="4881C16D" w14:textId="77777777" w:rsidR="008143D9" w:rsidRPr="008143D9" w:rsidRDefault="008143D9" w:rsidP="008143D9">
      <w:pPr>
        <w:widowControl w:val="0"/>
        <w:autoSpaceDE w:val="0"/>
        <w:autoSpaceDN w:val="0"/>
        <w:adjustRightInd w:val="0"/>
        <w:ind w:left="640" w:hanging="640"/>
        <w:rPr>
          <w:noProof/>
        </w:rPr>
      </w:pPr>
      <w:r w:rsidRPr="008143D9">
        <w:rPr>
          <w:noProof/>
        </w:rPr>
        <w:t>64.</w:t>
      </w:r>
      <w:r w:rsidRPr="008143D9">
        <w:rPr>
          <w:noProof/>
        </w:rPr>
        <w:tab/>
        <w:t>Malcovati L. et al. Impact of the degree of anemia on the outcome of patients with myelodysplastic syndrome and its integration into the WHO classification-based Prognostic Scoring System (WPSS). // Haematologica. 2011. Vol. 96, № 10. P. 1433–1440.</w:t>
      </w:r>
    </w:p>
    <w:p w14:paraId="34E63B5B" w14:textId="77777777" w:rsidR="008143D9" w:rsidRPr="008143D9" w:rsidRDefault="008143D9" w:rsidP="008143D9">
      <w:pPr>
        <w:widowControl w:val="0"/>
        <w:autoSpaceDE w:val="0"/>
        <w:autoSpaceDN w:val="0"/>
        <w:adjustRightInd w:val="0"/>
        <w:ind w:left="640" w:hanging="640"/>
        <w:rPr>
          <w:noProof/>
        </w:rPr>
      </w:pPr>
      <w:r w:rsidRPr="008143D9">
        <w:rPr>
          <w:noProof/>
        </w:rPr>
        <w:t>65.</w:t>
      </w:r>
      <w:r w:rsidRPr="008143D9">
        <w:rPr>
          <w:noProof/>
        </w:rPr>
        <w:tab/>
        <w:t>Cheson B.D. et al. Clinical application and proposal for modification of the International Working Group (IWG) response criteria in myelodysplasia. // Blood. 2006. Vol. 108, № 2. P. 419–425.</w:t>
      </w:r>
    </w:p>
    <w:p w14:paraId="7F7FD3D8" w14:textId="77777777" w:rsidR="008143D9" w:rsidRPr="008143D9" w:rsidRDefault="008143D9" w:rsidP="008143D9">
      <w:pPr>
        <w:widowControl w:val="0"/>
        <w:autoSpaceDE w:val="0"/>
        <w:autoSpaceDN w:val="0"/>
        <w:adjustRightInd w:val="0"/>
        <w:ind w:left="640" w:hanging="640"/>
        <w:rPr>
          <w:noProof/>
        </w:rPr>
      </w:pPr>
      <w:r w:rsidRPr="008143D9">
        <w:rPr>
          <w:noProof/>
        </w:rPr>
        <w:t>66.</w:t>
      </w:r>
      <w:r w:rsidRPr="008143D9">
        <w:rPr>
          <w:noProof/>
        </w:rPr>
        <w:tab/>
        <w:t>Hoeks M.P.A. et al. Impact of red blood cell transfusion strategies in haemato-oncological patients: a systematic review and meta-analysis. // Br. J. Haematol. 2017. Vol. 178, № 1. P. 137–151.</w:t>
      </w:r>
    </w:p>
    <w:p w14:paraId="65EEF1BD" w14:textId="77777777" w:rsidR="008143D9" w:rsidRPr="008143D9" w:rsidRDefault="008143D9" w:rsidP="008143D9">
      <w:pPr>
        <w:widowControl w:val="0"/>
        <w:autoSpaceDE w:val="0"/>
        <w:autoSpaceDN w:val="0"/>
        <w:adjustRightInd w:val="0"/>
        <w:ind w:left="640" w:hanging="640"/>
        <w:rPr>
          <w:noProof/>
        </w:rPr>
      </w:pPr>
      <w:r w:rsidRPr="008143D9">
        <w:rPr>
          <w:noProof/>
        </w:rPr>
        <w:t>67.</w:t>
      </w:r>
      <w:r w:rsidRPr="008143D9">
        <w:rPr>
          <w:noProof/>
        </w:rPr>
        <w:tab/>
        <w:t>Rose C. et al. Does iron chelation therapy improve survival in regularly transfused lower risk MDS patients? A multicenter study by the GFM (Groupe Francophone des Myélodysplasies). // Leuk. Res. 2010. Vol. 34, № 7. P. 864–870.</w:t>
      </w:r>
    </w:p>
    <w:p w14:paraId="1ABCCBA2" w14:textId="77777777" w:rsidR="008143D9" w:rsidRPr="008143D9" w:rsidRDefault="008143D9" w:rsidP="008143D9">
      <w:pPr>
        <w:widowControl w:val="0"/>
        <w:autoSpaceDE w:val="0"/>
        <w:autoSpaceDN w:val="0"/>
        <w:adjustRightInd w:val="0"/>
        <w:ind w:left="640" w:hanging="640"/>
        <w:rPr>
          <w:noProof/>
        </w:rPr>
      </w:pPr>
      <w:r w:rsidRPr="008143D9">
        <w:rPr>
          <w:noProof/>
        </w:rPr>
        <w:t>68.</w:t>
      </w:r>
      <w:r w:rsidRPr="008143D9">
        <w:rPr>
          <w:noProof/>
        </w:rPr>
        <w:tab/>
        <w:t>Neukirchen J. et al. Improved survival in MDS patients receiving iron chelation therapy - a matched pair analysis of 188 patients from the Düsseldorf MDS registry. // Leuk. Res. 2012. Vol. 36, № 8. P. 1067–1070.</w:t>
      </w:r>
    </w:p>
    <w:p w14:paraId="57DCD5E0" w14:textId="77777777" w:rsidR="008143D9" w:rsidRPr="008143D9" w:rsidRDefault="008143D9" w:rsidP="008143D9">
      <w:pPr>
        <w:widowControl w:val="0"/>
        <w:autoSpaceDE w:val="0"/>
        <w:autoSpaceDN w:val="0"/>
        <w:adjustRightInd w:val="0"/>
        <w:ind w:left="640" w:hanging="640"/>
        <w:rPr>
          <w:noProof/>
        </w:rPr>
      </w:pPr>
      <w:r w:rsidRPr="008143D9">
        <w:rPr>
          <w:noProof/>
        </w:rPr>
        <w:t>69.</w:t>
      </w:r>
      <w:r w:rsidRPr="008143D9">
        <w:rPr>
          <w:noProof/>
        </w:rPr>
        <w:tab/>
        <w:t>Neukirchen J. et al. The impact of iron chelation therapy on clinical outcomes in realworld lower-risk patients with myelodysplastic syndromes (MDS): results from the Dusseldorf registry. // Haematologica. 2012. Vol. 97, № Supp.1. P. Abstract 144.</w:t>
      </w:r>
    </w:p>
    <w:p w14:paraId="4E05CBEA" w14:textId="77777777" w:rsidR="008143D9" w:rsidRPr="008143D9" w:rsidRDefault="008143D9" w:rsidP="008143D9">
      <w:pPr>
        <w:widowControl w:val="0"/>
        <w:autoSpaceDE w:val="0"/>
        <w:autoSpaceDN w:val="0"/>
        <w:adjustRightInd w:val="0"/>
        <w:ind w:left="640" w:hanging="640"/>
        <w:rPr>
          <w:noProof/>
        </w:rPr>
      </w:pPr>
      <w:r w:rsidRPr="008143D9">
        <w:rPr>
          <w:noProof/>
        </w:rPr>
        <w:t>70.</w:t>
      </w:r>
      <w:r w:rsidRPr="008143D9">
        <w:rPr>
          <w:noProof/>
        </w:rPr>
        <w:tab/>
        <w:t>Komrokji R.S. et al. Impact of iron chelation therapy on overall survival and AML transformation in lower risk MDS patients treated at the Moftt Cancer Center. // Blood. 2011. Vol. 118. P. Abstract 2776.</w:t>
      </w:r>
    </w:p>
    <w:p w14:paraId="4F6CAC2B" w14:textId="77777777" w:rsidR="008143D9" w:rsidRPr="008143D9" w:rsidRDefault="008143D9" w:rsidP="008143D9">
      <w:pPr>
        <w:widowControl w:val="0"/>
        <w:autoSpaceDE w:val="0"/>
        <w:autoSpaceDN w:val="0"/>
        <w:adjustRightInd w:val="0"/>
        <w:ind w:left="640" w:hanging="640"/>
        <w:rPr>
          <w:noProof/>
        </w:rPr>
      </w:pPr>
      <w:r w:rsidRPr="008143D9">
        <w:rPr>
          <w:noProof/>
        </w:rPr>
        <w:t>71.</w:t>
      </w:r>
      <w:r w:rsidRPr="008143D9">
        <w:rPr>
          <w:noProof/>
        </w:rPr>
        <w:tab/>
        <w:t>Zeidan A.M. et al. Deferasirox therapy is associated with reduced mortality risk in a medicare population with myelodysplastic syndromes // J. Comp. Eff. Res. Future Medicine Ltd., 2015. Vol. 4, № 4. P. 327–340.</w:t>
      </w:r>
    </w:p>
    <w:p w14:paraId="1715D77F" w14:textId="77777777" w:rsidR="008143D9" w:rsidRPr="008143D9" w:rsidRDefault="008143D9" w:rsidP="008143D9">
      <w:pPr>
        <w:widowControl w:val="0"/>
        <w:autoSpaceDE w:val="0"/>
        <w:autoSpaceDN w:val="0"/>
        <w:adjustRightInd w:val="0"/>
        <w:ind w:left="640" w:hanging="640"/>
        <w:rPr>
          <w:noProof/>
        </w:rPr>
      </w:pPr>
      <w:r w:rsidRPr="008143D9">
        <w:rPr>
          <w:noProof/>
        </w:rPr>
        <w:t>72.</w:t>
      </w:r>
      <w:r w:rsidRPr="008143D9">
        <w:rPr>
          <w:noProof/>
        </w:rPr>
        <w:tab/>
        <w:t>Delforge M. et al. Adequate iron chelation therapy for at least six months improves survival in transfusion-dependent patients with lower risk myelodysplastic syndromes. // Leuk. Res. 2014. Vol. 38, № 5. P. 557–563.</w:t>
      </w:r>
    </w:p>
    <w:p w14:paraId="3BF8EFDD" w14:textId="77777777" w:rsidR="008143D9" w:rsidRPr="008143D9" w:rsidRDefault="008143D9" w:rsidP="008143D9">
      <w:pPr>
        <w:widowControl w:val="0"/>
        <w:autoSpaceDE w:val="0"/>
        <w:autoSpaceDN w:val="0"/>
        <w:adjustRightInd w:val="0"/>
        <w:ind w:left="640" w:hanging="640"/>
        <w:rPr>
          <w:noProof/>
        </w:rPr>
      </w:pPr>
      <w:r w:rsidRPr="008143D9">
        <w:rPr>
          <w:noProof/>
        </w:rPr>
        <w:t>73.</w:t>
      </w:r>
      <w:r w:rsidRPr="008143D9">
        <w:rPr>
          <w:noProof/>
        </w:rPr>
        <w:tab/>
        <w:t>Lyons R.M. et al. Relationship Between Chelation and Clinical Outcomes in 600 Lower-Risk MDS Patients: Registry Analysis At 36 Months // Blood (ASH Annu. Meet. Abstr. 2012. Vol. 120, № 21. P. Abstract 1350.</w:t>
      </w:r>
    </w:p>
    <w:p w14:paraId="5816CB1F" w14:textId="77777777" w:rsidR="008143D9" w:rsidRPr="008143D9" w:rsidRDefault="008143D9" w:rsidP="008143D9">
      <w:pPr>
        <w:widowControl w:val="0"/>
        <w:autoSpaceDE w:val="0"/>
        <w:autoSpaceDN w:val="0"/>
        <w:adjustRightInd w:val="0"/>
        <w:ind w:left="640" w:hanging="640"/>
        <w:rPr>
          <w:noProof/>
        </w:rPr>
      </w:pPr>
      <w:r w:rsidRPr="008143D9">
        <w:rPr>
          <w:noProof/>
        </w:rPr>
        <w:t>74.</w:t>
      </w:r>
      <w:r w:rsidRPr="008143D9">
        <w:rPr>
          <w:noProof/>
        </w:rPr>
        <w:tab/>
        <w:t>Remacha Á.F. et al. Evolution of iron overload in patients with low-risk myelodysplastic syndrome: iron chelation therapy and organ complications. // Ann. Hematol. 2015. Vol. 94, № 5. P. 779–787.</w:t>
      </w:r>
    </w:p>
    <w:p w14:paraId="7D7B5C4B" w14:textId="77777777" w:rsidR="008143D9" w:rsidRPr="008143D9" w:rsidRDefault="008143D9" w:rsidP="008143D9">
      <w:pPr>
        <w:widowControl w:val="0"/>
        <w:autoSpaceDE w:val="0"/>
        <w:autoSpaceDN w:val="0"/>
        <w:adjustRightInd w:val="0"/>
        <w:ind w:left="640" w:hanging="640"/>
        <w:rPr>
          <w:noProof/>
        </w:rPr>
      </w:pPr>
      <w:r w:rsidRPr="008143D9">
        <w:rPr>
          <w:noProof/>
        </w:rPr>
        <w:t>75.</w:t>
      </w:r>
      <w:r w:rsidRPr="008143D9">
        <w:rPr>
          <w:noProof/>
        </w:rPr>
        <w:tab/>
        <w:t>Park S. et al. Clinical effectiveness and safety of erythropoietin-stimulating agents for the treatment of low- and intermediate-1-risk myelodysplastic syndrome: a systematic literature review. // Br. J. Haematol. 2019. Vol. 184, № 2. P. 134–160.</w:t>
      </w:r>
    </w:p>
    <w:p w14:paraId="0090A901" w14:textId="77777777" w:rsidR="008143D9" w:rsidRPr="008143D9" w:rsidRDefault="008143D9" w:rsidP="008143D9">
      <w:pPr>
        <w:widowControl w:val="0"/>
        <w:autoSpaceDE w:val="0"/>
        <w:autoSpaceDN w:val="0"/>
        <w:adjustRightInd w:val="0"/>
        <w:ind w:left="640" w:hanging="640"/>
        <w:rPr>
          <w:noProof/>
        </w:rPr>
      </w:pPr>
      <w:r w:rsidRPr="008143D9">
        <w:rPr>
          <w:noProof/>
        </w:rPr>
        <w:t>76.</w:t>
      </w:r>
      <w:r w:rsidRPr="008143D9">
        <w:rPr>
          <w:noProof/>
        </w:rPr>
        <w:tab/>
        <w:t>Platzbecker U. et al. A phase 3 randomized placebo-controlled trial of darbepoetin alfa in patients with anemia and lower-risk myelodysplastic syndromes // Leukemia. Nature Publishing Group, 2017. Vol. 31, № 9. P. 1944–1950.</w:t>
      </w:r>
    </w:p>
    <w:p w14:paraId="48B0334D" w14:textId="77777777" w:rsidR="008143D9" w:rsidRPr="008143D9" w:rsidRDefault="008143D9" w:rsidP="008143D9">
      <w:pPr>
        <w:widowControl w:val="0"/>
        <w:autoSpaceDE w:val="0"/>
        <w:autoSpaceDN w:val="0"/>
        <w:adjustRightInd w:val="0"/>
        <w:ind w:left="640" w:hanging="640"/>
        <w:rPr>
          <w:noProof/>
        </w:rPr>
      </w:pPr>
      <w:r w:rsidRPr="008143D9">
        <w:rPr>
          <w:noProof/>
        </w:rPr>
        <w:t>77.</w:t>
      </w:r>
      <w:r w:rsidRPr="008143D9">
        <w:rPr>
          <w:noProof/>
        </w:rPr>
        <w:tab/>
        <w:t>Park S. et al. Efficacy and safety of darbepoetin alpha in patients with myelodysplastic syndromes: a systematic review and meta-analysis // Br. J. Haematol. Blackwell Publishing Ltd, 2016. Vol. 174, № 5. P. 730–747.</w:t>
      </w:r>
    </w:p>
    <w:p w14:paraId="2AACE3B2" w14:textId="77777777" w:rsidR="008143D9" w:rsidRPr="008143D9" w:rsidRDefault="008143D9" w:rsidP="008143D9">
      <w:pPr>
        <w:widowControl w:val="0"/>
        <w:autoSpaceDE w:val="0"/>
        <w:autoSpaceDN w:val="0"/>
        <w:adjustRightInd w:val="0"/>
        <w:ind w:left="640" w:hanging="640"/>
        <w:rPr>
          <w:noProof/>
        </w:rPr>
      </w:pPr>
      <w:r w:rsidRPr="008143D9">
        <w:rPr>
          <w:noProof/>
        </w:rPr>
        <w:t>78.</w:t>
      </w:r>
      <w:r w:rsidRPr="008143D9">
        <w:rPr>
          <w:noProof/>
        </w:rPr>
        <w:tab/>
        <w:t>Hellström-Lindberg E. et al. Treatment of anemia in myelodysplastic syndromes with granulocyte colony-stimulating factor plus erythropoietin: results from a randomized phase II study and long-term follow-up of 71 patients. // Blood. 1998. Vol. 92, № 1. P. 68–75.</w:t>
      </w:r>
    </w:p>
    <w:p w14:paraId="45A7F6FC" w14:textId="77777777" w:rsidR="008143D9" w:rsidRPr="008143D9" w:rsidRDefault="008143D9" w:rsidP="008143D9">
      <w:pPr>
        <w:widowControl w:val="0"/>
        <w:autoSpaceDE w:val="0"/>
        <w:autoSpaceDN w:val="0"/>
        <w:adjustRightInd w:val="0"/>
        <w:ind w:left="640" w:hanging="640"/>
        <w:rPr>
          <w:noProof/>
        </w:rPr>
      </w:pPr>
      <w:r w:rsidRPr="008143D9">
        <w:rPr>
          <w:noProof/>
        </w:rPr>
        <w:t>79.</w:t>
      </w:r>
      <w:r w:rsidRPr="008143D9">
        <w:rPr>
          <w:noProof/>
        </w:rPr>
        <w:tab/>
        <w:t>Jädersten M. et al. Erythropoietin and granulocyte-colony stimulating factor treatment associated with improved survival in myelodysplastic syndrome // J. Clin. Oncol. 2008. Vol. 26, № 21. P. 3607–3613.</w:t>
      </w:r>
    </w:p>
    <w:p w14:paraId="57BAFAC9" w14:textId="77777777" w:rsidR="008143D9" w:rsidRPr="008143D9" w:rsidRDefault="008143D9" w:rsidP="008143D9">
      <w:pPr>
        <w:widowControl w:val="0"/>
        <w:autoSpaceDE w:val="0"/>
        <w:autoSpaceDN w:val="0"/>
        <w:adjustRightInd w:val="0"/>
        <w:ind w:left="640" w:hanging="640"/>
        <w:rPr>
          <w:noProof/>
        </w:rPr>
      </w:pPr>
      <w:r w:rsidRPr="008143D9">
        <w:rPr>
          <w:noProof/>
        </w:rPr>
        <w:t>80.</w:t>
      </w:r>
      <w:r w:rsidRPr="008143D9">
        <w:rPr>
          <w:noProof/>
        </w:rPr>
        <w:tab/>
        <w:t>Park S. et al. Predictive factors of response and survival in myelodysplastic syndrome treated with erythropoietin and G-CSF: The GFM experience // Blood. American Society of Hematology, 2008. Vol. 111, № 2. P. 574–582.</w:t>
      </w:r>
    </w:p>
    <w:p w14:paraId="3B33D7AC" w14:textId="77777777" w:rsidR="008143D9" w:rsidRPr="008143D9" w:rsidRDefault="008143D9" w:rsidP="008143D9">
      <w:pPr>
        <w:widowControl w:val="0"/>
        <w:autoSpaceDE w:val="0"/>
        <w:autoSpaceDN w:val="0"/>
        <w:adjustRightInd w:val="0"/>
        <w:ind w:left="640" w:hanging="640"/>
        <w:rPr>
          <w:noProof/>
        </w:rPr>
      </w:pPr>
      <w:r w:rsidRPr="008143D9">
        <w:rPr>
          <w:noProof/>
        </w:rPr>
        <w:t>81.</w:t>
      </w:r>
      <w:r w:rsidRPr="008143D9">
        <w:rPr>
          <w:noProof/>
        </w:rPr>
        <w:tab/>
        <w:t>Greenberg P.L. et al. A randomized controlled trial of romiplostim in patients with low- or intermediate-risk myelodysplastic syndrome receiving decitabine. // Leuk. Lymphoma. 2013. Vol. 54, № 2. P. 321–328.</w:t>
      </w:r>
    </w:p>
    <w:p w14:paraId="4EE5B57A" w14:textId="77777777" w:rsidR="008143D9" w:rsidRPr="008143D9" w:rsidRDefault="008143D9" w:rsidP="008143D9">
      <w:pPr>
        <w:widowControl w:val="0"/>
        <w:autoSpaceDE w:val="0"/>
        <w:autoSpaceDN w:val="0"/>
        <w:adjustRightInd w:val="0"/>
        <w:ind w:left="640" w:hanging="640"/>
        <w:rPr>
          <w:noProof/>
        </w:rPr>
      </w:pPr>
      <w:r w:rsidRPr="008143D9">
        <w:rPr>
          <w:noProof/>
        </w:rPr>
        <w:t>82.</w:t>
      </w:r>
      <w:r w:rsidRPr="008143D9">
        <w:rPr>
          <w:noProof/>
        </w:rPr>
        <w:tab/>
        <w:t>Kantarjian H. et al. Safety and efficacy of romiplostim in patients with lower-risk myelodysplastic syndrome and thrombocytopenia. // J. Clin. Oncol. 2010. Vol. 28, № 3. P. 437–444.</w:t>
      </w:r>
    </w:p>
    <w:p w14:paraId="5D6FFAE9" w14:textId="77777777" w:rsidR="008143D9" w:rsidRPr="008143D9" w:rsidRDefault="008143D9" w:rsidP="008143D9">
      <w:pPr>
        <w:widowControl w:val="0"/>
        <w:autoSpaceDE w:val="0"/>
        <w:autoSpaceDN w:val="0"/>
        <w:adjustRightInd w:val="0"/>
        <w:ind w:left="640" w:hanging="640"/>
        <w:rPr>
          <w:noProof/>
        </w:rPr>
      </w:pPr>
      <w:r w:rsidRPr="008143D9">
        <w:rPr>
          <w:noProof/>
        </w:rPr>
        <w:t>83.</w:t>
      </w:r>
      <w:r w:rsidRPr="008143D9">
        <w:rPr>
          <w:noProof/>
        </w:rPr>
        <w:tab/>
        <w:t>Kantarjian H.M. et al. Phase 2 study of romiplostim in patients with low- or intermediate-risk myelodysplastic syndrome receiving azacitidine therapy. // Blood. 2010. Vol. 116, № 17. P. 3163–3170.</w:t>
      </w:r>
    </w:p>
    <w:p w14:paraId="2BF9A492" w14:textId="77777777" w:rsidR="008143D9" w:rsidRPr="008143D9" w:rsidRDefault="008143D9" w:rsidP="008143D9">
      <w:pPr>
        <w:widowControl w:val="0"/>
        <w:autoSpaceDE w:val="0"/>
        <w:autoSpaceDN w:val="0"/>
        <w:adjustRightInd w:val="0"/>
        <w:ind w:left="640" w:hanging="640"/>
        <w:rPr>
          <w:noProof/>
        </w:rPr>
      </w:pPr>
      <w:r w:rsidRPr="008143D9">
        <w:rPr>
          <w:noProof/>
        </w:rPr>
        <w:t>84.</w:t>
      </w:r>
      <w:r w:rsidRPr="008143D9">
        <w:rPr>
          <w:noProof/>
        </w:rPr>
        <w:tab/>
        <w:t>Sekeres M.A. et al. Subcutaneous or intravenous administration of romiplostim in thrombocytopenic patients with lower risk myelodysplastic syndromes. // Cancer. 2011. Vol. 117, № 5. P. 992–1000.</w:t>
      </w:r>
    </w:p>
    <w:p w14:paraId="232B4C68" w14:textId="77777777" w:rsidR="008143D9" w:rsidRPr="008143D9" w:rsidRDefault="008143D9" w:rsidP="008143D9">
      <w:pPr>
        <w:widowControl w:val="0"/>
        <w:autoSpaceDE w:val="0"/>
        <w:autoSpaceDN w:val="0"/>
        <w:adjustRightInd w:val="0"/>
        <w:ind w:left="640" w:hanging="640"/>
        <w:rPr>
          <w:noProof/>
        </w:rPr>
      </w:pPr>
      <w:r w:rsidRPr="008143D9">
        <w:rPr>
          <w:noProof/>
        </w:rPr>
        <w:t>85.</w:t>
      </w:r>
      <w:r w:rsidRPr="008143D9">
        <w:rPr>
          <w:noProof/>
        </w:rPr>
        <w:tab/>
        <w:t>Giagounidis A. et al. Results of a randomized, double-blind study of romiplostim versus placebo in patients with low/intermediate-1-risk myelodysplastic syndrome and thrombocytopenia. // Cancer. 2014. Vol. 120, № 12. P. 1838–1846.</w:t>
      </w:r>
    </w:p>
    <w:p w14:paraId="4F1F03AD" w14:textId="77777777" w:rsidR="008143D9" w:rsidRPr="008143D9" w:rsidRDefault="008143D9" w:rsidP="008143D9">
      <w:pPr>
        <w:widowControl w:val="0"/>
        <w:autoSpaceDE w:val="0"/>
        <w:autoSpaceDN w:val="0"/>
        <w:adjustRightInd w:val="0"/>
        <w:ind w:left="640" w:hanging="640"/>
        <w:rPr>
          <w:noProof/>
        </w:rPr>
      </w:pPr>
      <w:r w:rsidRPr="008143D9">
        <w:rPr>
          <w:noProof/>
        </w:rPr>
        <w:t>86.</w:t>
      </w:r>
      <w:r w:rsidRPr="008143D9">
        <w:rPr>
          <w:noProof/>
        </w:rPr>
        <w:tab/>
        <w:t>Oliva E.N. et al. Eltrombopag for the Treatment of Thrombocytopenia of Low and Intermediate-1 IPSS Risk Myelodysplastic Syndromes: Interim Results on Efficacy, Safety and Quality of Life of an International, Multicenter Prospective, Randomized, Trial // Blood. 2015. Vol. 126, № 23.</w:t>
      </w:r>
    </w:p>
    <w:p w14:paraId="73DCF224" w14:textId="77777777" w:rsidR="008143D9" w:rsidRPr="008143D9" w:rsidRDefault="008143D9" w:rsidP="008143D9">
      <w:pPr>
        <w:widowControl w:val="0"/>
        <w:autoSpaceDE w:val="0"/>
        <w:autoSpaceDN w:val="0"/>
        <w:adjustRightInd w:val="0"/>
        <w:ind w:left="640" w:hanging="640"/>
        <w:rPr>
          <w:noProof/>
        </w:rPr>
      </w:pPr>
      <w:r w:rsidRPr="008143D9">
        <w:rPr>
          <w:noProof/>
        </w:rPr>
        <w:t>87.</w:t>
      </w:r>
      <w:r w:rsidRPr="008143D9">
        <w:rPr>
          <w:noProof/>
        </w:rPr>
        <w:tab/>
        <w:t>Oliva E.N. et al. Eltrombopag versus placebo for low-risk myelodysplastic syndromes with thrombocytopenia (EQoL-MDS): phase 1 results of a single-blind, randomised, controlled, phase 2 superiority trial. // Lancet. Haematol. 2017. Vol. 4, № 3. P. e127–e136.</w:t>
      </w:r>
    </w:p>
    <w:p w14:paraId="7E42374D" w14:textId="77777777" w:rsidR="008143D9" w:rsidRPr="008143D9" w:rsidRDefault="008143D9" w:rsidP="008143D9">
      <w:pPr>
        <w:widowControl w:val="0"/>
        <w:autoSpaceDE w:val="0"/>
        <w:autoSpaceDN w:val="0"/>
        <w:adjustRightInd w:val="0"/>
        <w:ind w:left="640" w:hanging="640"/>
        <w:rPr>
          <w:noProof/>
        </w:rPr>
      </w:pPr>
      <w:r w:rsidRPr="008143D9">
        <w:rPr>
          <w:noProof/>
        </w:rPr>
        <w:t>88.</w:t>
      </w:r>
      <w:r w:rsidRPr="008143D9">
        <w:rPr>
          <w:noProof/>
        </w:rPr>
        <w:tab/>
        <w:t>Khan M. et al. Efficacy and Safety of Eltrombopag for Treatment of Patients with Myelodysplastic Syndromes after Hypomethylating-Agent Failure: A Phase 2 Clinical Trial // Blood. 2015. Vol. 126, № 23.</w:t>
      </w:r>
    </w:p>
    <w:p w14:paraId="4D507849" w14:textId="77777777" w:rsidR="008143D9" w:rsidRPr="008143D9" w:rsidRDefault="008143D9" w:rsidP="008143D9">
      <w:pPr>
        <w:widowControl w:val="0"/>
        <w:autoSpaceDE w:val="0"/>
        <w:autoSpaceDN w:val="0"/>
        <w:adjustRightInd w:val="0"/>
        <w:ind w:left="640" w:hanging="640"/>
        <w:rPr>
          <w:noProof/>
        </w:rPr>
      </w:pPr>
      <w:r w:rsidRPr="008143D9">
        <w:rPr>
          <w:noProof/>
        </w:rPr>
        <w:t>89.</w:t>
      </w:r>
      <w:r w:rsidRPr="008143D9">
        <w:rPr>
          <w:noProof/>
        </w:rPr>
        <w:tab/>
        <w:t>Mittelman M. et al. Eltrombopag for advanced myelodysplastic syndromes or acute myeloid leukaemia and severe thrombocytopenia (ASPIRE): a randomised, placebo-controlled, phase 2 trial. // Lancet. Haematol. 2018. Vol. 5, № 1. P. e34–e43.</w:t>
      </w:r>
    </w:p>
    <w:p w14:paraId="23237757" w14:textId="77777777" w:rsidR="008143D9" w:rsidRPr="008143D9" w:rsidRDefault="008143D9" w:rsidP="008143D9">
      <w:pPr>
        <w:widowControl w:val="0"/>
        <w:autoSpaceDE w:val="0"/>
        <w:autoSpaceDN w:val="0"/>
        <w:adjustRightInd w:val="0"/>
        <w:ind w:left="640" w:hanging="640"/>
        <w:rPr>
          <w:noProof/>
        </w:rPr>
      </w:pPr>
      <w:r w:rsidRPr="008143D9">
        <w:rPr>
          <w:noProof/>
        </w:rPr>
        <w:t>90.</w:t>
      </w:r>
      <w:r w:rsidRPr="008143D9">
        <w:rPr>
          <w:noProof/>
        </w:rPr>
        <w:tab/>
        <w:t>Stahl M. et al. Use of Immunosuppressive therapy for management of myelodysplastic syndromes: a systematic review and meta-analysis. // Haematologica. 2019.</w:t>
      </w:r>
    </w:p>
    <w:p w14:paraId="22A610E2" w14:textId="77777777" w:rsidR="008143D9" w:rsidRPr="008143D9" w:rsidRDefault="008143D9" w:rsidP="008143D9">
      <w:pPr>
        <w:widowControl w:val="0"/>
        <w:autoSpaceDE w:val="0"/>
        <w:autoSpaceDN w:val="0"/>
        <w:adjustRightInd w:val="0"/>
        <w:ind w:left="640" w:hanging="640"/>
        <w:rPr>
          <w:noProof/>
        </w:rPr>
      </w:pPr>
      <w:r w:rsidRPr="008143D9">
        <w:rPr>
          <w:noProof/>
        </w:rPr>
        <w:t>91.</w:t>
      </w:r>
      <w:r w:rsidRPr="008143D9">
        <w:rPr>
          <w:noProof/>
        </w:rPr>
        <w:tab/>
        <w:t>List A. et al. Lenalidomide in the myelodysplastic syndrome with chromosome 5q deletion. // N. Engl. J. Med. 2006. Vol. 355, № 14. P. 1456–1465.</w:t>
      </w:r>
    </w:p>
    <w:p w14:paraId="57E2847E" w14:textId="77777777" w:rsidR="008143D9" w:rsidRPr="008143D9" w:rsidRDefault="008143D9" w:rsidP="008143D9">
      <w:pPr>
        <w:widowControl w:val="0"/>
        <w:autoSpaceDE w:val="0"/>
        <w:autoSpaceDN w:val="0"/>
        <w:adjustRightInd w:val="0"/>
        <w:ind w:left="640" w:hanging="640"/>
        <w:rPr>
          <w:noProof/>
        </w:rPr>
      </w:pPr>
      <w:r w:rsidRPr="008143D9">
        <w:rPr>
          <w:noProof/>
        </w:rPr>
        <w:t>92.</w:t>
      </w:r>
      <w:r w:rsidRPr="008143D9">
        <w:rPr>
          <w:noProof/>
        </w:rPr>
        <w:tab/>
        <w:t>Fenaux P. et al. Efficacy of azacitidine compared with that of conventional care regimens in the treatment of higher-risk myelodysplastic syndromes: a randomised, open-label, phase III study // Lancet Oncol. 2009. Vol. 10, № 3. P. 223–232.</w:t>
      </w:r>
    </w:p>
    <w:p w14:paraId="2801C02C" w14:textId="77777777" w:rsidR="008143D9" w:rsidRPr="008143D9" w:rsidRDefault="008143D9" w:rsidP="008143D9">
      <w:pPr>
        <w:widowControl w:val="0"/>
        <w:autoSpaceDE w:val="0"/>
        <w:autoSpaceDN w:val="0"/>
        <w:adjustRightInd w:val="0"/>
        <w:ind w:left="640" w:hanging="640"/>
        <w:rPr>
          <w:noProof/>
        </w:rPr>
      </w:pPr>
      <w:r w:rsidRPr="008143D9">
        <w:rPr>
          <w:noProof/>
        </w:rPr>
        <w:t>93.</w:t>
      </w:r>
      <w:r w:rsidRPr="008143D9">
        <w:rPr>
          <w:noProof/>
        </w:rPr>
        <w:tab/>
        <w:t>Kantarjlan H. et al. Decitabine improves patient outcomes in myelodysplastic syndromes: Results of a phase III randomized study // Cancer. 2006. Vol. 106, № 8. P. 1794–1803.</w:t>
      </w:r>
    </w:p>
    <w:p w14:paraId="66362F20" w14:textId="77777777" w:rsidR="008143D9" w:rsidRPr="008143D9" w:rsidRDefault="008143D9" w:rsidP="008143D9">
      <w:pPr>
        <w:widowControl w:val="0"/>
        <w:autoSpaceDE w:val="0"/>
        <w:autoSpaceDN w:val="0"/>
        <w:adjustRightInd w:val="0"/>
        <w:ind w:left="640" w:hanging="640"/>
        <w:rPr>
          <w:noProof/>
        </w:rPr>
      </w:pPr>
      <w:r w:rsidRPr="008143D9">
        <w:rPr>
          <w:noProof/>
        </w:rPr>
        <w:t>94.</w:t>
      </w:r>
      <w:r w:rsidRPr="008143D9">
        <w:rPr>
          <w:noProof/>
        </w:rPr>
        <w:tab/>
        <w:t>Silverman L.R. et al. Randomized controlled trial of azacitidine in patients with the myelodysplastic syndrome: A study of the cancer and leukemia group B // J. Clin. Oncol. 2002. Vol. 20, № 10. P. 2429–2440.</w:t>
      </w:r>
    </w:p>
    <w:p w14:paraId="47BAC1FB" w14:textId="77777777" w:rsidR="008143D9" w:rsidRPr="008143D9" w:rsidRDefault="008143D9" w:rsidP="008143D9">
      <w:pPr>
        <w:widowControl w:val="0"/>
        <w:autoSpaceDE w:val="0"/>
        <w:autoSpaceDN w:val="0"/>
        <w:adjustRightInd w:val="0"/>
        <w:ind w:left="640" w:hanging="640"/>
        <w:rPr>
          <w:noProof/>
        </w:rPr>
      </w:pPr>
      <w:r w:rsidRPr="008143D9">
        <w:rPr>
          <w:noProof/>
        </w:rPr>
        <w:t>95.</w:t>
      </w:r>
      <w:r w:rsidRPr="008143D9">
        <w:rPr>
          <w:noProof/>
        </w:rPr>
        <w:tab/>
        <w:t>Kantarjian H. et al. Results of a randomized study of 3 schedules of low-dose decitabine in higher-risk myelodysplastic syndrome and chronic myelomonocytic leukemia // Blood. 2007. Vol. 109, № 1. P. 52–57.</w:t>
      </w:r>
    </w:p>
    <w:p w14:paraId="62B08E7A" w14:textId="77777777" w:rsidR="008143D9" w:rsidRPr="008143D9" w:rsidRDefault="008143D9" w:rsidP="008143D9">
      <w:pPr>
        <w:widowControl w:val="0"/>
        <w:autoSpaceDE w:val="0"/>
        <w:autoSpaceDN w:val="0"/>
        <w:adjustRightInd w:val="0"/>
        <w:ind w:left="640" w:hanging="640"/>
        <w:rPr>
          <w:noProof/>
        </w:rPr>
      </w:pPr>
      <w:r w:rsidRPr="008143D9">
        <w:rPr>
          <w:noProof/>
        </w:rPr>
        <w:t>96.</w:t>
      </w:r>
      <w:r w:rsidRPr="008143D9">
        <w:rPr>
          <w:noProof/>
        </w:rPr>
        <w:tab/>
        <w:t>Pan T. et al. Addition of histone deacetylase inhibitors does not improve prognosis in patients with myelodysplastic syndrome and acute myeloid leukemia compared with hypomethylating agents alone: A systematic review and meta-analysis of seven prospective cohort studies // Leuk. Res. Elsevier Ltd, 2018. Vol. 71. P. 13–24.</w:t>
      </w:r>
    </w:p>
    <w:p w14:paraId="2A56C56C" w14:textId="77777777" w:rsidR="008143D9" w:rsidRPr="008143D9" w:rsidRDefault="008143D9" w:rsidP="008143D9">
      <w:pPr>
        <w:widowControl w:val="0"/>
        <w:autoSpaceDE w:val="0"/>
        <w:autoSpaceDN w:val="0"/>
        <w:adjustRightInd w:val="0"/>
        <w:ind w:left="640" w:hanging="640"/>
        <w:rPr>
          <w:noProof/>
        </w:rPr>
      </w:pPr>
      <w:r w:rsidRPr="008143D9">
        <w:rPr>
          <w:noProof/>
        </w:rPr>
        <w:t>97.</w:t>
      </w:r>
      <w:r w:rsidRPr="008143D9">
        <w:rPr>
          <w:noProof/>
        </w:rPr>
        <w:tab/>
        <w:t>Ye L. et al. Decitabine priming prior to low-dose chemotherapy improves patient outcomes in myelodysplastic syndromes-RAEB: a retrospective analysis vs. chemotherapy alone // J. Cancer Res. Clin. Oncol. Springer Verlag, 2017. Vol. 143, № 5. P. 873–882.</w:t>
      </w:r>
    </w:p>
    <w:p w14:paraId="5DE097AD" w14:textId="77777777" w:rsidR="008143D9" w:rsidRPr="008143D9" w:rsidRDefault="008143D9" w:rsidP="008143D9">
      <w:pPr>
        <w:widowControl w:val="0"/>
        <w:autoSpaceDE w:val="0"/>
        <w:autoSpaceDN w:val="0"/>
        <w:adjustRightInd w:val="0"/>
        <w:ind w:left="640" w:hanging="640"/>
        <w:rPr>
          <w:noProof/>
        </w:rPr>
      </w:pPr>
      <w:r w:rsidRPr="008143D9">
        <w:rPr>
          <w:noProof/>
        </w:rPr>
        <w:t>98.</w:t>
      </w:r>
      <w:r w:rsidRPr="008143D9">
        <w:rPr>
          <w:noProof/>
        </w:rPr>
        <w:tab/>
        <w:t>Ye X.-N. et al. Epigenetic priming with decitabine followed by low-dose idarubicin/cytarabine has an increased anti-leukemic effect compared to traditional chemotherapy in high-risk myeloid neoplasms. // Leuk. Lymphoma. 2016. Vol. 57, № 6. P. 1311–1318.</w:t>
      </w:r>
    </w:p>
    <w:p w14:paraId="0C27A0B7" w14:textId="77777777" w:rsidR="008143D9" w:rsidRPr="008143D9" w:rsidRDefault="008143D9" w:rsidP="008143D9">
      <w:pPr>
        <w:widowControl w:val="0"/>
        <w:autoSpaceDE w:val="0"/>
        <w:autoSpaceDN w:val="0"/>
        <w:adjustRightInd w:val="0"/>
        <w:ind w:left="640" w:hanging="640"/>
        <w:rPr>
          <w:noProof/>
        </w:rPr>
      </w:pPr>
      <w:r w:rsidRPr="008143D9">
        <w:rPr>
          <w:noProof/>
        </w:rPr>
        <w:t>99.</w:t>
      </w:r>
      <w:r w:rsidRPr="008143D9">
        <w:rPr>
          <w:noProof/>
        </w:rPr>
        <w:tab/>
        <w:t>Кохно А.В., Паровичникова Е.Н., Савченко В.Г. Протокол сочетанного применения гипометилирующих препаратов с низкодозной полихимиотерапией у больных МДС из группы высокого риска, ОМЛ из МДС, МДС/ОМЛ после апластической анемии, МДС/ОМЛ после лучевой и цитостатической терапии по поводу другого заболеван // Алгоритмы диагностики и протоколы лечения заболеваний системы крови. НМИЦ Гематологии. Под ред. В.Г. Савченко. 2018. P. 829–840.</w:t>
      </w:r>
    </w:p>
    <w:p w14:paraId="674D504A" w14:textId="77777777" w:rsidR="008143D9" w:rsidRPr="008143D9" w:rsidRDefault="008143D9" w:rsidP="008143D9">
      <w:pPr>
        <w:widowControl w:val="0"/>
        <w:autoSpaceDE w:val="0"/>
        <w:autoSpaceDN w:val="0"/>
        <w:adjustRightInd w:val="0"/>
        <w:ind w:left="640" w:hanging="640"/>
        <w:rPr>
          <w:noProof/>
        </w:rPr>
      </w:pPr>
      <w:r w:rsidRPr="008143D9">
        <w:rPr>
          <w:noProof/>
        </w:rPr>
        <w:t>100.</w:t>
      </w:r>
      <w:r w:rsidRPr="008143D9">
        <w:rPr>
          <w:noProof/>
        </w:rPr>
        <w:tab/>
        <w:t>Visani G. et al. Low dose Ara-C for myelodysplastic syndromes: Is it still a current therapy? // Leukemia and Lymphoma. 2004. Vol. 45, № 8. P. 1531–1538.</w:t>
      </w:r>
    </w:p>
    <w:p w14:paraId="1C0E0F7C" w14:textId="77777777" w:rsidR="008143D9" w:rsidRPr="008143D9" w:rsidRDefault="008143D9" w:rsidP="008143D9">
      <w:pPr>
        <w:widowControl w:val="0"/>
        <w:autoSpaceDE w:val="0"/>
        <w:autoSpaceDN w:val="0"/>
        <w:adjustRightInd w:val="0"/>
        <w:ind w:left="640" w:hanging="640"/>
        <w:rPr>
          <w:noProof/>
        </w:rPr>
      </w:pPr>
      <w:r w:rsidRPr="008143D9">
        <w:rPr>
          <w:noProof/>
        </w:rPr>
        <w:t>101.</w:t>
      </w:r>
      <w:r w:rsidRPr="008143D9">
        <w:rPr>
          <w:noProof/>
        </w:rPr>
        <w:tab/>
        <w:t>Estey E.H. et al. Comparison of idarubicin + ara-C-, fludarabine + ara-C-, and topotecan + ara-C-based regimens in treatment of newly diagnosed acute myeloid leukemia, refractory anemia with excess blasts in transformation, or refractory anemia with excess blasts. // Blood. 2001. Vol. 98, № 13. P. 3575–3583.</w:t>
      </w:r>
    </w:p>
    <w:p w14:paraId="6274D166" w14:textId="77777777" w:rsidR="008143D9" w:rsidRPr="008143D9" w:rsidRDefault="008143D9" w:rsidP="008143D9">
      <w:pPr>
        <w:widowControl w:val="0"/>
        <w:autoSpaceDE w:val="0"/>
        <w:autoSpaceDN w:val="0"/>
        <w:adjustRightInd w:val="0"/>
        <w:ind w:left="640" w:hanging="640"/>
        <w:rPr>
          <w:noProof/>
        </w:rPr>
      </w:pPr>
      <w:r w:rsidRPr="008143D9">
        <w:rPr>
          <w:noProof/>
        </w:rPr>
        <w:t>102.</w:t>
      </w:r>
      <w:r w:rsidRPr="008143D9">
        <w:rPr>
          <w:noProof/>
        </w:rPr>
        <w:tab/>
        <w:t>Robak T. et al. Efficacy and toxicity of low-dose melphalan in myelodysplastic syndromes and acute myeloid leukemia with multilineage dysplasia. // Neoplasma. 2003. Vol. 50, № 3. P. 172–175.</w:t>
      </w:r>
    </w:p>
    <w:p w14:paraId="36922F97" w14:textId="77777777" w:rsidR="008143D9" w:rsidRPr="008143D9" w:rsidRDefault="008143D9" w:rsidP="008143D9">
      <w:pPr>
        <w:widowControl w:val="0"/>
        <w:autoSpaceDE w:val="0"/>
        <w:autoSpaceDN w:val="0"/>
        <w:adjustRightInd w:val="0"/>
        <w:ind w:left="640" w:hanging="640"/>
        <w:rPr>
          <w:noProof/>
        </w:rPr>
      </w:pPr>
      <w:r w:rsidRPr="008143D9">
        <w:rPr>
          <w:noProof/>
        </w:rPr>
        <w:t>103.</w:t>
      </w:r>
      <w:r w:rsidRPr="008143D9">
        <w:rPr>
          <w:noProof/>
        </w:rPr>
        <w:tab/>
        <w:t>Omoto E. et al. Low-dose melphalan for treatment of high-risk myelodysplastic syndromes. // Leukemia. 1996. Vol. 10, № 4. P. 609–614.</w:t>
      </w:r>
    </w:p>
    <w:p w14:paraId="21387F29" w14:textId="77777777" w:rsidR="008143D9" w:rsidRPr="008143D9" w:rsidRDefault="008143D9" w:rsidP="008143D9">
      <w:pPr>
        <w:widowControl w:val="0"/>
        <w:autoSpaceDE w:val="0"/>
        <w:autoSpaceDN w:val="0"/>
        <w:adjustRightInd w:val="0"/>
        <w:ind w:left="640" w:hanging="640"/>
        <w:rPr>
          <w:noProof/>
        </w:rPr>
      </w:pPr>
      <w:r w:rsidRPr="008143D9">
        <w:rPr>
          <w:noProof/>
        </w:rPr>
        <w:t>104.</w:t>
      </w:r>
      <w:r w:rsidRPr="008143D9">
        <w:rPr>
          <w:noProof/>
        </w:rPr>
        <w:tab/>
        <w:t>Oliansky D.M. et al. The Role of Cytotoxic Therapy with Hematopoietic Stem Cell Transplantation in the Therapy of Myelodysplastic Syndromes: An Evidence-Based Review // Biology of Blood and Marrow Transplantation. Elsevier Inc., 2009. Vol. 15, № 2. P. 137–172.</w:t>
      </w:r>
    </w:p>
    <w:p w14:paraId="0F73106E" w14:textId="77777777" w:rsidR="008143D9" w:rsidRPr="008143D9" w:rsidRDefault="008143D9" w:rsidP="008143D9">
      <w:pPr>
        <w:widowControl w:val="0"/>
        <w:autoSpaceDE w:val="0"/>
        <w:autoSpaceDN w:val="0"/>
        <w:adjustRightInd w:val="0"/>
        <w:ind w:left="640" w:hanging="640"/>
        <w:rPr>
          <w:noProof/>
        </w:rPr>
      </w:pPr>
      <w:r w:rsidRPr="008143D9">
        <w:rPr>
          <w:noProof/>
        </w:rPr>
        <w:t>105.</w:t>
      </w:r>
      <w:r w:rsidRPr="008143D9">
        <w:rPr>
          <w:noProof/>
        </w:rPr>
        <w:tab/>
        <w:t>Sorror M.L. et al. Hematopoietic cell transplantation (HCT)-specific comorbidity index: a new tool for risk assessment before allogeneic HCT. // Blood. The American Society of Hematology, 2005. Vol. 106, № 8. P. 2912–2919.</w:t>
      </w:r>
    </w:p>
    <w:p w14:paraId="4C49F8D8" w14:textId="77777777" w:rsidR="008143D9" w:rsidRPr="008143D9" w:rsidRDefault="008143D9" w:rsidP="008143D9">
      <w:pPr>
        <w:widowControl w:val="0"/>
        <w:autoSpaceDE w:val="0"/>
        <w:autoSpaceDN w:val="0"/>
        <w:adjustRightInd w:val="0"/>
        <w:ind w:left="640" w:hanging="640"/>
        <w:rPr>
          <w:noProof/>
        </w:rPr>
      </w:pPr>
      <w:r w:rsidRPr="008143D9">
        <w:rPr>
          <w:noProof/>
        </w:rPr>
        <w:t>106.</w:t>
      </w:r>
      <w:r w:rsidRPr="008143D9">
        <w:rPr>
          <w:noProof/>
        </w:rPr>
        <w:tab/>
        <w:t>Hilarius D.L. et al. Chemotherapy-induced nausea and vomiting in daily clinical practice: a community hospital-based study. // Support. Care Cancer. 2012. Vol. 20, № 1. P. 107–117.</w:t>
      </w:r>
    </w:p>
    <w:p w14:paraId="4CDC48BD" w14:textId="77777777" w:rsidR="008143D9" w:rsidRPr="008143D9" w:rsidRDefault="008143D9" w:rsidP="008143D9">
      <w:pPr>
        <w:widowControl w:val="0"/>
        <w:autoSpaceDE w:val="0"/>
        <w:autoSpaceDN w:val="0"/>
        <w:adjustRightInd w:val="0"/>
        <w:ind w:left="640" w:hanging="640"/>
        <w:rPr>
          <w:noProof/>
        </w:rPr>
      </w:pPr>
      <w:r w:rsidRPr="008143D9">
        <w:rPr>
          <w:noProof/>
        </w:rPr>
        <w:t>107.</w:t>
      </w:r>
      <w:r w:rsidRPr="008143D9">
        <w:rPr>
          <w:noProof/>
        </w:rPr>
        <w:tab/>
        <w:t>Belay Y., Yirdaw K., Enawgaw B. Tumor Lysis Syndrome in Patients with Hematological Malignancies // Journal of Oncology. Hindawi Limited, 2017. Vol. 2017.</w:t>
      </w:r>
    </w:p>
    <w:p w14:paraId="39DF656F" w14:textId="77777777" w:rsidR="008143D9" w:rsidRPr="008143D9" w:rsidRDefault="008143D9" w:rsidP="008143D9">
      <w:pPr>
        <w:widowControl w:val="0"/>
        <w:autoSpaceDE w:val="0"/>
        <w:autoSpaceDN w:val="0"/>
        <w:adjustRightInd w:val="0"/>
        <w:ind w:left="640" w:hanging="640"/>
        <w:rPr>
          <w:noProof/>
        </w:rPr>
      </w:pPr>
      <w:r w:rsidRPr="008143D9">
        <w:rPr>
          <w:noProof/>
        </w:rPr>
        <w:t>108.</w:t>
      </w:r>
      <w:r w:rsidRPr="008143D9">
        <w:rPr>
          <w:noProof/>
        </w:rPr>
        <w:tab/>
        <w:t>Averbuch D. et al. Targeted therapy against multi-resistant bacteria in leukemic and hematopoietic stem cell transplant recipients: Guidelines of the 4th European conference on Infections in Leukemia (ECIL-4, 2011) // Haematologica. Ferrata Storti Foundation, 2013. Vol. 98, № 12. P. 1836–1847.</w:t>
      </w:r>
    </w:p>
    <w:p w14:paraId="4A4326F2" w14:textId="77777777" w:rsidR="008143D9" w:rsidRPr="008143D9" w:rsidRDefault="008143D9" w:rsidP="008143D9">
      <w:pPr>
        <w:widowControl w:val="0"/>
        <w:autoSpaceDE w:val="0"/>
        <w:autoSpaceDN w:val="0"/>
        <w:adjustRightInd w:val="0"/>
        <w:ind w:left="640" w:hanging="640"/>
        <w:rPr>
          <w:noProof/>
        </w:rPr>
      </w:pPr>
      <w:r w:rsidRPr="008143D9">
        <w:rPr>
          <w:noProof/>
        </w:rPr>
        <w:t>109.</w:t>
      </w:r>
      <w:r w:rsidRPr="008143D9">
        <w:rPr>
          <w:noProof/>
        </w:rPr>
        <w:tab/>
        <w:t>Heinz W.J. et al. Diagnosis and empirical treatment of fever of unknown origin (FUO) in adult neutropenic patients: guidelines of the Infectious Diseases Working Party (AGIHO) of the German Society of Hematology and Medical Oncology (DGHO) // Annals of Hematology. Springer Verlag, 2017. Vol. 96, № 11. P. 1775–1792.</w:t>
      </w:r>
    </w:p>
    <w:p w14:paraId="0D39E0AB" w14:textId="77777777" w:rsidR="008143D9" w:rsidRPr="008143D9" w:rsidRDefault="008143D9" w:rsidP="008143D9">
      <w:pPr>
        <w:widowControl w:val="0"/>
        <w:autoSpaceDE w:val="0"/>
        <w:autoSpaceDN w:val="0"/>
        <w:adjustRightInd w:val="0"/>
        <w:ind w:left="640" w:hanging="640"/>
        <w:rPr>
          <w:noProof/>
        </w:rPr>
      </w:pPr>
      <w:r w:rsidRPr="008143D9">
        <w:rPr>
          <w:noProof/>
        </w:rPr>
        <w:t>110.</w:t>
      </w:r>
      <w:r w:rsidRPr="008143D9">
        <w:rPr>
          <w:noProof/>
        </w:rPr>
        <w:tab/>
        <w:t>Loth K. et al. Infectious Complications Associated with the Use of Antithymocyte Globulin in Reduced Intensity Allogeneic Transplants // Antithymocyte Globul. Reduc. Intensity Allogeneic Transplants. Chemother. 2012. Vol. 2012, № 4. P. 106.</w:t>
      </w:r>
    </w:p>
    <w:p w14:paraId="006CAFEE" w14:textId="77777777" w:rsidR="008143D9" w:rsidRPr="008143D9" w:rsidRDefault="008143D9" w:rsidP="008143D9">
      <w:pPr>
        <w:widowControl w:val="0"/>
        <w:autoSpaceDE w:val="0"/>
        <w:autoSpaceDN w:val="0"/>
        <w:adjustRightInd w:val="0"/>
        <w:ind w:left="640" w:hanging="640"/>
        <w:rPr>
          <w:noProof/>
        </w:rPr>
      </w:pPr>
      <w:r w:rsidRPr="008143D9">
        <w:rPr>
          <w:noProof/>
        </w:rPr>
        <w:t>111.</w:t>
      </w:r>
      <w:r w:rsidRPr="008143D9">
        <w:rPr>
          <w:noProof/>
        </w:rPr>
        <w:tab/>
        <w:t>Alkharabsheh O.A. et al. Frequency of venous thrombotic events in patients with myelodysplastic syndrome and 5q deletion syndrome during lenalidomide therapy. // Ann. Hematol. 2019. Vol. 98, № 2. P. 331–337.</w:t>
      </w:r>
    </w:p>
    <w:p w14:paraId="64A5EC97" w14:textId="77777777" w:rsidR="008143D9" w:rsidRPr="008143D9" w:rsidRDefault="008143D9" w:rsidP="008143D9">
      <w:pPr>
        <w:widowControl w:val="0"/>
        <w:autoSpaceDE w:val="0"/>
        <w:autoSpaceDN w:val="0"/>
        <w:adjustRightInd w:val="0"/>
        <w:ind w:left="640" w:hanging="640"/>
        <w:rPr>
          <w:noProof/>
        </w:rPr>
      </w:pPr>
      <w:r w:rsidRPr="008143D9">
        <w:rPr>
          <w:noProof/>
        </w:rPr>
        <w:t>112.</w:t>
      </w:r>
      <w:r w:rsidRPr="008143D9">
        <w:rPr>
          <w:noProof/>
        </w:rPr>
        <w:tab/>
        <w:t>Stanworth S.J. et al. Platelet refractoriness--practical approaches and ongoing dilemmas in patient management. // Br. J. Haematol. 2015. Vol. 171, № 3. P. 297–305.</w:t>
      </w:r>
    </w:p>
    <w:p w14:paraId="4C72405C" w14:textId="77777777" w:rsidR="008143D9" w:rsidRPr="008143D9" w:rsidRDefault="008143D9" w:rsidP="008143D9">
      <w:pPr>
        <w:widowControl w:val="0"/>
        <w:autoSpaceDE w:val="0"/>
        <w:autoSpaceDN w:val="0"/>
        <w:adjustRightInd w:val="0"/>
        <w:ind w:left="640" w:hanging="640"/>
        <w:rPr>
          <w:noProof/>
        </w:rPr>
      </w:pPr>
      <w:r w:rsidRPr="008143D9">
        <w:rPr>
          <w:noProof/>
        </w:rPr>
        <w:t>113.</w:t>
      </w:r>
      <w:r w:rsidRPr="008143D9">
        <w:rPr>
          <w:noProof/>
        </w:rPr>
        <w:tab/>
        <w:t>Weisdorf S.A. et al. Positive effect of prophylactic total parenteral nutrition on long-term outcome of bone marrow transplantation. // Transplantation. 1987. Vol. 43, № 6. P. 833–838.</w:t>
      </w:r>
    </w:p>
    <w:p w14:paraId="561BF71E" w14:textId="77777777" w:rsidR="008143D9" w:rsidRPr="008143D9" w:rsidRDefault="008143D9" w:rsidP="008143D9">
      <w:pPr>
        <w:widowControl w:val="0"/>
        <w:autoSpaceDE w:val="0"/>
        <w:autoSpaceDN w:val="0"/>
        <w:adjustRightInd w:val="0"/>
        <w:ind w:left="640" w:hanging="640"/>
        <w:rPr>
          <w:noProof/>
        </w:rPr>
      </w:pPr>
      <w:r w:rsidRPr="008143D9">
        <w:rPr>
          <w:noProof/>
        </w:rPr>
        <w:t>114.</w:t>
      </w:r>
      <w:r w:rsidRPr="008143D9">
        <w:rPr>
          <w:noProof/>
        </w:rPr>
        <w:tab/>
        <w:t>Arends J. et al. ESPEN guidelines on nutrition in cancer patients // Clin. Nutr. Churchill Livingstone, 2017. Vol. 36, № 1. P. 11–48.</w:t>
      </w:r>
    </w:p>
    <w:p w14:paraId="09E410BE" w14:textId="77777777" w:rsidR="008143D9" w:rsidRPr="008143D9" w:rsidRDefault="008143D9" w:rsidP="008143D9">
      <w:pPr>
        <w:widowControl w:val="0"/>
        <w:autoSpaceDE w:val="0"/>
        <w:autoSpaceDN w:val="0"/>
        <w:adjustRightInd w:val="0"/>
        <w:ind w:left="640" w:hanging="640"/>
        <w:rPr>
          <w:noProof/>
        </w:rPr>
      </w:pPr>
      <w:r w:rsidRPr="008143D9">
        <w:rPr>
          <w:noProof/>
        </w:rPr>
        <w:t>115.</w:t>
      </w:r>
      <w:r w:rsidRPr="008143D9">
        <w:rPr>
          <w:noProof/>
        </w:rPr>
        <w:tab/>
        <w:t>Bennardello F. et al. The prevention of adverse reactions to transfusions in patients with haemoglobinopathies: A proposed algorithm // Blood Transfus. 2013. Vol. 11, № 3. P. 377–384.</w:t>
      </w:r>
    </w:p>
    <w:p w14:paraId="0D631082" w14:textId="77777777" w:rsidR="008143D9" w:rsidRPr="008143D9" w:rsidRDefault="008143D9" w:rsidP="008143D9">
      <w:pPr>
        <w:widowControl w:val="0"/>
        <w:autoSpaceDE w:val="0"/>
        <w:autoSpaceDN w:val="0"/>
        <w:adjustRightInd w:val="0"/>
        <w:ind w:left="640" w:hanging="640"/>
        <w:rPr>
          <w:noProof/>
        </w:rPr>
      </w:pPr>
      <w:r w:rsidRPr="008143D9">
        <w:rPr>
          <w:noProof/>
        </w:rPr>
        <w:t>116.</w:t>
      </w:r>
      <w:r w:rsidRPr="008143D9">
        <w:rPr>
          <w:noProof/>
        </w:rPr>
        <w:tab/>
        <w:t>Bourgeois E. et al. Role of splenectomy in the treatment of myelodysplastic syndromes with peripheral thrombocytopenia: a report on six cases. // Leukemia. 2001. Vol. 15, № 6. P. 950–953.</w:t>
      </w:r>
    </w:p>
    <w:p w14:paraId="2C7D09A5" w14:textId="77777777" w:rsidR="008143D9" w:rsidRPr="008143D9" w:rsidRDefault="008143D9" w:rsidP="008143D9">
      <w:pPr>
        <w:widowControl w:val="0"/>
        <w:autoSpaceDE w:val="0"/>
        <w:autoSpaceDN w:val="0"/>
        <w:adjustRightInd w:val="0"/>
        <w:ind w:left="640" w:hanging="640"/>
        <w:rPr>
          <w:noProof/>
        </w:rPr>
      </w:pPr>
      <w:r w:rsidRPr="008143D9">
        <w:rPr>
          <w:noProof/>
        </w:rPr>
        <w:t>117.</w:t>
      </w:r>
      <w:r w:rsidRPr="008143D9">
        <w:rPr>
          <w:noProof/>
        </w:rPr>
        <w:tab/>
        <w:t>Paul K.L. Rehabilitation and exercise considerations in hematologic malignancies. // Am. J. Phys. Med. Rehabil. 2011. Vol. 90, № 5 Suppl 1. P. S88-94.</w:t>
      </w:r>
    </w:p>
    <w:p w14:paraId="53E7BE2E" w14:textId="77777777" w:rsidR="008143D9" w:rsidRPr="008143D9" w:rsidRDefault="008143D9" w:rsidP="008143D9">
      <w:pPr>
        <w:widowControl w:val="0"/>
        <w:autoSpaceDE w:val="0"/>
        <w:autoSpaceDN w:val="0"/>
        <w:adjustRightInd w:val="0"/>
        <w:ind w:left="640" w:hanging="640"/>
        <w:rPr>
          <w:noProof/>
        </w:rPr>
      </w:pPr>
      <w:r w:rsidRPr="008143D9">
        <w:rPr>
          <w:noProof/>
        </w:rPr>
        <w:t>118.</w:t>
      </w:r>
      <w:r w:rsidRPr="008143D9">
        <w:rPr>
          <w:noProof/>
        </w:rPr>
        <w:tab/>
        <w:t>European Physical and Rehabilitation Medicine Bodies Alliance. White book on physical and rehabilitation medicine in Europe (3th Edition): Chaper 1: Definition an conceps of PRM // Eur. J. Phys. Rehabil. Med. 2018. Vol. 54, № 2. P. 156–165.</w:t>
      </w:r>
    </w:p>
    <w:p w14:paraId="7C77D03C" w14:textId="77777777" w:rsidR="008143D9" w:rsidRPr="008143D9" w:rsidRDefault="008143D9" w:rsidP="008143D9">
      <w:pPr>
        <w:widowControl w:val="0"/>
        <w:autoSpaceDE w:val="0"/>
        <w:autoSpaceDN w:val="0"/>
        <w:adjustRightInd w:val="0"/>
        <w:ind w:left="640" w:hanging="640"/>
        <w:rPr>
          <w:noProof/>
        </w:rPr>
      </w:pPr>
      <w:r w:rsidRPr="008143D9">
        <w:rPr>
          <w:noProof/>
        </w:rPr>
        <w:t>119.</w:t>
      </w:r>
      <w:r w:rsidRPr="008143D9">
        <w:rPr>
          <w:noProof/>
        </w:rPr>
        <w:tab/>
        <w:t>Porta M. Della et al. Risk stratification based on both disease status and extra-hematologic comorbidities in patients with myelodysplastic syndrome // Haematologica. 2011. Vol. 96, № 3. P. 441–449.</w:t>
      </w:r>
    </w:p>
    <w:p w14:paraId="1B7C92B9" w14:textId="77777777" w:rsidR="008143D9" w:rsidRPr="008143D9" w:rsidRDefault="008143D9" w:rsidP="008143D9">
      <w:pPr>
        <w:widowControl w:val="0"/>
        <w:autoSpaceDE w:val="0"/>
        <w:autoSpaceDN w:val="0"/>
        <w:adjustRightInd w:val="0"/>
        <w:ind w:left="640" w:hanging="640"/>
        <w:rPr>
          <w:noProof/>
        </w:rPr>
      </w:pPr>
      <w:r w:rsidRPr="008143D9">
        <w:rPr>
          <w:noProof/>
        </w:rPr>
        <w:t>120.</w:t>
      </w:r>
      <w:r w:rsidRPr="008143D9">
        <w:rPr>
          <w:noProof/>
        </w:rPr>
        <w:tab/>
        <w:t>Владимирова Л.Ю. et al. Практические рекомендации по профилактике и лечению тошноты и рвоты у онкологических больных // 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 2018. P. 502–511.</w:t>
      </w:r>
    </w:p>
    <w:p w14:paraId="15157FAD" w14:textId="77777777" w:rsidR="008143D9" w:rsidRPr="008143D9" w:rsidRDefault="008143D9" w:rsidP="008143D9">
      <w:pPr>
        <w:widowControl w:val="0"/>
        <w:autoSpaceDE w:val="0"/>
        <w:autoSpaceDN w:val="0"/>
        <w:adjustRightInd w:val="0"/>
        <w:ind w:left="640" w:hanging="640"/>
        <w:rPr>
          <w:noProof/>
        </w:rPr>
      </w:pPr>
      <w:r w:rsidRPr="008143D9">
        <w:rPr>
          <w:noProof/>
        </w:rPr>
        <w:t>121.</w:t>
      </w:r>
      <w:r w:rsidRPr="008143D9">
        <w:rPr>
          <w:noProof/>
        </w:rPr>
        <w:tab/>
        <w:t>Navari R.M., Aapro M. Antiemetic Prophylaxis for Chemotherapy-Induced Nausea and Vomiting // N. Engl. J. Med. New England Journal of Medicine (NEJM/MMS), 2016. Vol. 374, № 14. P. 1356–1367.</w:t>
      </w:r>
    </w:p>
    <w:p w14:paraId="74CFD9B9" w14:textId="77777777" w:rsidR="008143D9" w:rsidRPr="008143D9" w:rsidRDefault="008143D9" w:rsidP="008143D9">
      <w:pPr>
        <w:widowControl w:val="0"/>
        <w:autoSpaceDE w:val="0"/>
        <w:autoSpaceDN w:val="0"/>
        <w:adjustRightInd w:val="0"/>
        <w:ind w:left="640" w:hanging="640"/>
        <w:rPr>
          <w:noProof/>
        </w:rPr>
      </w:pPr>
      <w:r w:rsidRPr="008143D9">
        <w:rPr>
          <w:noProof/>
        </w:rPr>
        <w:t>122.</w:t>
      </w:r>
      <w:r w:rsidRPr="008143D9">
        <w:rPr>
          <w:noProof/>
        </w:rPr>
        <w:tab/>
        <w:t>Ettinger D.S. et al. Antiemesis. NCCN Clinical Practice Guidelines in Oncology (NCCN Guidelines). Version 1.2021. 2020.</w:t>
      </w:r>
    </w:p>
    <w:p w14:paraId="64E09227" w14:textId="77777777" w:rsidR="008143D9" w:rsidRPr="008143D9" w:rsidRDefault="008143D9" w:rsidP="008143D9">
      <w:pPr>
        <w:widowControl w:val="0"/>
        <w:autoSpaceDE w:val="0"/>
        <w:autoSpaceDN w:val="0"/>
        <w:adjustRightInd w:val="0"/>
        <w:ind w:left="640" w:hanging="640"/>
        <w:rPr>
          <w:noProof/>
        </w:rPr>
      </w:pPr>
      <w:r w:rsidRPr="008143D9">
        <w:rPr>
          <w:noProof/>
        </w:rPr>
        <w:t>123.</w:t>
      </w:r>
      <w:r w:rsidRPr="008143D9">
        <w:rPr>
          <w:noProof/>
        </w:rPr>
        <w:tab/>
        <w:t>Roila F. et al. Prevention of chemotherapy- and radiotherapy-induced emesis: Results of the 2004 Perugia International Antiemetic Consensus Conference // Annals of Oncology. Ann Oncol, 2006. Vol. 17, № 1. P. 20–28.</w:t>
      </w:r>
    </w:p>
    <w:p w14:paraId="1653DD6E" w14:textId="77777777" w:rsidR="008143D9" w:rsidRPr="008143D9" w:rsidRDefault="008143D9" w:rsidP="008143D9">
      <w:pPr>
        <w:widowControl w:val="0"/>
        <w:autoSpaceDE w:val="0"/>
        <w:autoSpaceDN w:val="0"/>
        <w:adjustRightInd w:val="0"/>
        <w:ind w:left="640" w:hanging="640"/>
        <w:rPr>
          <w:noProof/>
        </w:rPr>
      </w:pPr>
      <w:r w:rsidRPr="008143D9">
        <w:rPr>
          <w:noProof/>
        </w:rPr>
        <w:t>124.</w:t>
      </w:r>
      <w:r w:rsidRPr="008143D9">
        <w:rPr>
          <w:noProof/>
        </w:rPr>
        <w:tab/>
        <w:t>Basch E. et al. Antiemetics: American Society of Clinical Oncology clinical practice guideline update // J. Clin. Oncol. J Clin Oncol, 2011. Vol. 29, № 31. P. 4189–4198.</w:t>
      </w:r>
    </w:p>
    <w:p w14:paraId="2A6270B9" w14:textId="77777777" w:rsidR="008143D9" w:rsidRPr="008143D9" w:rsidRDefault="008143D9" w:rsidP="008143D9">
      <w:pPr>
        <w:widowControl w:val="0"/>
        <w:autoSpaceDE w:val="0"/>
        <w:autoSpaceDN w:val="0"/>
        <w:adjustRightInd w:val="0"/>
        <w:ind w:left="640" w:hanging="640"/>
        <w:rPr>
          <w:noProof/>
        </w:rPr>
      </w:pPr>
      <w:r w:rsidRPr="008143D9">
        <w:rPr>
          <w:noProof/>
        </w:rPr>
        <w:t>125.</w:t>
      </w:r>
      <w:r w:rsidRPr="008143D9">
        <w:rPr>
          <w:noProof/>
        </w:rPr>
        <w:tab/>
        <w:t>Hesketh P.J. et al. Antiemetics: American Society of Clinical Oncology clinical practice guideline update // Journal of Clinical Oncology. American Society of Clinical Oncology, 2017. Vol. 35, № 28. P. 3240–3261.</w:t>
      </w:r>
    </w:p>
    <w:p w14:paraId="1D8B1FAF" w14:textId="77777777" w:rsidR="008143D9" w:rsidRPr="008143D9" w:rsidRDefault="008143D9" w:rsidP="008143D9">
      <w:pPr>
        <w:widowControl w:val="0"/>
        <w:autoSpaceDE w:val="0"/>
        <w:autoSpaceDN w:val="0"/>
        <w:adjustRightInd w:val="0"/>
        <w:ind w:left="640" w:hanging="640"/>
        <w:rPr>
          <w:noProof/>
        </w:rPr>
      </w:pPr>
      <w:r w:rsidRPr="008143D9">
        <w:rPr>
          <w:noProof/>
        </w:rPr>
        <w:t>126.</w:t>
      </w:r>
      <w:r w:rsidRPr="008143D9">
        <w:rPr>
          <w:noProof/>
        </w:rPr>
        <w:tab/>
        <w:t>Razvi Y. et al. ASCO, NCCN, MASCC/ESMO: a comparison of antiemetic guidelines for the treatment of chemotherapy-induced nausea and vomiting in adult patients // Supportive Care in Cancer. Springer Verlag, 2019. Vol. 27, № 1. P. 87–95.</w:t>
      </w:r>
    </w:p>
    <w:p w14:paraId="7D4B3212" w14:textId="77777777" w:rsidR="008143D9" w:rsidRPr="008143D9" w:rsidRDefault="008143D9" w:rsidP="008143D9">
      <w:pPr>
        <w:widowControl w:val="0"/>
        <w:autoSpaceDE w:val="0"/>
        <w:autoSpaceDN w:val="0"/>
        <w:adjustRightInd w:val="0"/>
        <w:ind w:left="640" w:hanging="640"/>
        <w:rPr>
          <w:noProof/>
        </w:rPr>
      </w:pPr>
      <w:r w:rsidRPr="008143D9">
        <w:rPr>
          <w:noProof/>
        </w:rPr>
        <w:t>127.</w:t>
      </w:r>
      <w:r w:rsidRPr="008143D9">
        <w:rPr>
          <w:noProof/>
        </w:rPr>
        <w:tab/>
        <w:t>Narum S., Westergren T., Klemp M. Corticosteroids and risk of gastrointestinal bleeding: A systematic review and meta-analysis // BMJ Open. BMJ Publishing Group, 2014. Vol. 4, № 5.</w:t>
      </w:r>
    </w:p>
    <w:p w14:paraId="48CCD0E7" w14:textId="77777777" w:rsidR="008143D9" w:rsidRPr="008143D9" w:rsidRDefault="008143D9" w:rsidP="008143D9">
      <w:pPr>
        <w:widowControl w:val="0"/>
        <w:autoSpaceDE w:val="0"/>
        <w:autoSpaceDN w:val="0"/>
        <w:adjustRightInd w:val="0"/>
        <w:ind w:left="640" w:hanging="640"/>
        <w:rPr>
          <w:noProof/>
        </w:rPr>
      </w:pPr>
      <w:r w:rsidRPr="008143D9">
        <w:rPr>
          <w:noProof/>
        </w:rPr>
        <w:t>128.</w:t>
      </w:r>
      <w:r w:rsidRPr="008143D9">
        <w:rPr>
          <w:noProof/>
        </w:rPr>
        <w:tab/>
        <w:t>Conn H.O., Poynard T. Corticosteroids and peptic ulcer: meta-analysis of adverse events during steroid therapy. // J. Intern. Med. J Intern Med, 1994. Vol. 236, № 6. P. 619–632.</w:t>
      </w:r>
    </w:p>
    <w:p w14:paraId="74770B33" w14:textId="77777777" w:rsidR="008143D9" w:rsidRPr="008143D9" w:rsidRDefault="008143D9" w:rsidP="008143D9">
      <w:pPr>
        <w:widowControl w:val="0"/>
        <w:autoSpaceDE w:val="0"/>
        <w:autoSpaceDN w:val="0"/>
        <w:adjustRightInd w:val="0"/>
        <w:ind w:left="640" w:hanging="640"/>
        <w:rPr>
          <w:noProof/>
        </w:rPr>
      </w:pPr>
      <w:r w:rsidRPr="008143D9">
        <w:rPr>
          <w:noProof/>
        </w:rPr>
        <w:t>129.</w:t>
      </w:r>
      <w:r w:rsidRPr="008143D9">
        <w:rPr>
          <w:noProof/>
        </w:rPr>
        <w:tab/>
        <w:t>Burget D.W., Chiverton S.G., Hunt R.H. Is there an optimal degree of acid suppression for healing of duodenal ulcers? A model of the relationship between ulcer healing and acid suppression // Gastroenterology. Gastroenterology, 1990. Vol. 99, № 2. P. 345–351.</w:t>
      </w:r>
    </w:p>
    <w:p w14:paraId="15F5A934" w14:textId="77777777" w:rsidR="008143D9" w:rsidRPr="008143D9" w:rsidRDefault="008143D9" w:rsidP="008143D9">
      <w:pPr>
        <w:widowControl w:val="0"/>
        <w:autoSpaceDE w:val="0"/>
        <w:autoSpaceDN w:val="0"/>
        <w:adjustRightInd w:val="0"/>
        <w:ind w:left="640" w:hanging="640"/>
        <w:rPr>
          <w:noProof/>
        </w:rPr>
      </w:pPr>
      <w:r w:rsidRPr="008143D9">
        <w:rPr>
          <w:noProof/>
        </w:rPr>
        <w:t>130.</w:t>
      </w:r>
      <w:r w:rsidRPr="008143D9">
        <w:rPr>
          <w:noProof/>
        </w:rPr>
        <w:tab/>
        <w:t>Ивашкин В.Т. et al. 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 // Российский журнал гастроэнтерологии, гепатологии, колопроктологии. 2020. Vol. 30, № 1. P. 49–70.</w:t>
      </w:r>
    </w:p>
    <w:p w14:paraId="0C68E52B" w14:textId="77777777" w:rsidR="008143D9" w:rsidRPr="008143D9" w:rsidRDefault="008143D9" w:rsidP="008143D9">
      <w:pPr>
        <w:widowControl w:val="0"/>
        <w:autoSpaceDE w:val="0"/>
        <w:autoSpaceDN w:val="0"/>
        <w:adjustRightInd w:val="0"/>
        <w:ind w:left="640" w:hanging="640"/>
        <w:rPr>
          <w:noProof/>
        </w:rPr>
      </w:pPr>
      <w:r w:rsidRPr="008143D9">
        <w:rPr>
          <w:noProof/>
        </w:rPr>
        <w:t>131.</w:t>
      </w:r>
      <w:r w:rsidRPr="008143D9">
        <w:rPr>
          <w:noProof/>
        </w:rPr>
        <w:tab/>
        <w:t>Scally B. et al. Effects of gastroprotectant drugs for the prevention and treatment of peptic ulcer disease and its complications: a meta-analysis of randomised trials // Lancet Gastroenterol. Hepatol. Elsevier Ltd, 2018. Vol. 3, № 4. P. 231–241.</w:t>
      </w:r>
    </w:p>
    <w:p w14:paraId="2F2C5BB8" w14:textId="77777777" w:rsidR="008143D9" w:rsidRPr="008143D9" w:rsidRDefault="008143D9" w:rsidP="008143D9">
      <w:pPr>
        <w:widowControl w:val="0"/>
        <w:autoSpaceDE w:val="0"/>
        <w:autoSpaceDN w:val="0"/>
        <w:adjustRightInd w:val="0"/>
        <w:ind w:left="640" w:hanging="640"/>
        <w:rPr>
          <w:noProof/>
        </w:rPr>
      </w:pPr>
      <w:r w:rsidRPr="008143D9">
        <w:rPr>
          <w:noProof/>
        </w:rPr>
        <w:t>132.</w:t>
      </w:r>
      <w:r w:rsidRPr="008143D9">
        <w:rPr>
          <w:noProof/>
        </w:rPr>
        <w:tab/>
        <w:t>Hu Z.-H. et al. Efficacy of proton pump inhibitors for patients with duodenal ulcers: A pairwise and network meta-analysis of randomized controlled trials // Saudi J. Gastroenterol. Medknow Publications, 2017. Vol. 23, № 1. P. 11.</w:t>
      </w:r>
    </w:p>
    <w:p w14:paraId="53C7650E" w14:textId="77777777" w:rsidR="008143D9" w:rsidRPr="008143D9" w:rsidRDefault="008143D9" w:rsidP="008143D9">
      <w:pPr>
        <w:widowControl w:val="0"/>
        <w:autoSpaceDE w:val="0"/>
        <w:autoSpaceDN w:val="0"/>
        <w:adjustRightInd w:val="0"/>
        <w:ind w:left="640" w:hanging="640"/>
        <w:rPr>
          <w:noProof/>
        </w:rPr>
      </w:pPr>
      <w:r w:rsidRPr="008143D9">
        <w:rPr>
          <w:noProof/>
        </w:rPr>
        <w:t>133.</w:t>
      </w:r>
      <w:r w:rsidRPr="008143D9">
        <w:rPr>
          <w:noProof/>
        </w:rPr>
        <w:tab/>
        <w:t>Poynard T., Lemaire M., Agostini H. Meta-analysis of randomized clinical trials comparing lansoprazole with ranitidine or famotidine in the treatment of acute duodenal ulcer // Eur. J. Gastroenterol. Hepatol. 1995. Vol. 7, № 7. P. 661–665.</w:t>
      </w:r>
    </w:p>
    <w:p w14:paraId="237CA14E" w14:textId="77777777" w:rsidR="008143D9" w:rsidRPr="008143D9" w:rsidRDefault="008143D9" w:rsidP="008143D9">
      <w:pPr>
        <w:widowControl w:val="0"/>
        <w:autoSpaceDE w:val="0"/>
        <w:autoSpaceDN w:val="0"/>
        <w:adjustRightInd w:val="0"/>
        <w:ind w:left="640" w:hanging="640"/>
        <w:rPr>
          <w:noProof/>
        </w:rPr>
      </w:pPr>
      <w:r w:rsidRPr="008143D9">
        <w:rPr>
          <w:noProof/>
        </w:rPr>
        <w:t>134.</w:t>
      </w:r>
      <w:r w:rsidRPr="008143D9">
        <w:rPr>
          <w:noProof/>
        </w:rPr>
        <w:tab/>
        <w:t>Annibali O. et al. Incidence of venous thromboembolism and use of anticoagulation in hematological malignancies: Critical review of the literature // Critical Reviews in Oncology/Hematology. Elsevier Ireland Ltd, 2018. Vol. 124. P. 41–50.</w:t>
      </w:r>
    </w:p>
    <w:p w14:paraId="7F44F14B" w14:textId="77777777" w:rsidR="008143D9" w:rsidRPr="008143D9" w:rsidRDefault="008143D9" w:rsidP="008143D9">
      <w:pPr>
        <w:widowControl w:val="0"/>
        <w:autoSpaceDE w:val="0"/>
        <w:autoSpaceDN w:val="0"/>
        <w:adjustRightInd w:val="0"/>
        <w:ind w:left="640" w:hanging="640"/>
        <w:rPr>
          <w:noProof/>
        </w:rPr>
      </w:pPr>
      <w:r w:rsidRPr="008143D9">
        <w:rPr>
          <w:noProof/>
        </w:rPr>
        <w:t>135.</w:t>
      </w:r>
      <w:r w:rsidRPr="008143D9">
        <w:rPr>
          <w:noProof/>
        </w:rPr>
        <w:tab/>
        <w:t>Falanga A., Marchetti M., Russo L. Venous thromboembolism in the hematologic malignancies // Current Opinion in Oncology. Curr Opin Oncol, 2012. Vol. 24, № 6. P. 702–710.</w:t>
      </w:r>
    </w:p>
    <w:p w14:paraId="12E9C0C9" w14:textId="77777777" w:rsidR="008143D9" w:rsidRPr="008143D9" w:rsidRDefault="008143D9" w:rsidP="008143D9">
      <w:pPr>
        <w:widowControl w:val="0"/>
        <w:autoSpaceDE w:val="0"/>
        <w:autoSpaceDN w:val="0"/>
        <w:adjustRightInd w:val="0"/>
        <w:ind w:left="640" w:hanging="640"/>
        <w:rPr>
          <w:noProof/>
        </w:rPr>
      </w:pPr>
      <w:r w:rsidRPr="008143D9">
        <w:rPr>
          <w:noProof/>
        </w:rPr>
        <w:t>136.</w:t>
      </w:r>
      <w:r w:rsidRPr="008143D9">
        <w:rPr>
          <w:noProof/>
        </w:rPr>
        <w:tab/>
        <w:t>Воробьев А.И. et al. Гиперкоагуляционный синдром: классификация, патогенез, диагностика, терапия // Гематология и трансфузиология. 2016. Vol. 61, № 3. P. 116–122.</w:t>
      </w:r>
    </w:p>
    <w:p w14:paraId="2C95A049" w14:textId="77777777" w:rsidR="008143D9" w:rsidRPr="008143D9" w:rsidRDefault="008143D9" w:rsidP="008143D9">
      <w:pPr>
        <w:widowControl w:val="0"/>
        <w:autoSpaceDE w:val="0"/>
        <w:autoSpaceDN w:val="0"/>
        <w:adjustRightInd w:val="0"/>
        <w:ind w:left="640" w:hanging="640"/>
        <w:rPr>
          <w:noProof/>
        </w:rPr>
      </w:pPr>
      <w:r w:rsidRPr="008143D9">
        <w:rPr>
          <w:noProof/>
        </w:rPr>
        <w:t>137.</w:t>
      </w:r>
      <w:r w:rsidRPr="008143D9">
        <w:rPr>
          <w:noProof/>
        </w:rPr>
        <w:tab/>
        <w:t>Пантелеев М.А. et al. Практическая коагулология. 2010. 192 p.</w:t>
      </w:r>
    </w:p>
    <w:p w14:paraId="0332CC04" w14:textId="77777777" w:rsidR="008143D9" w:rsidRPr="008143D9" w:rsidRDefault="008143D9" w:rsidP="008143D9">
      <w:pPr>
        <w:widowControl w:val="0"/>
        <w:autoSpaceDE w:val="0"/>
        <w:autoSpaceDN w:val="0"/>
        <w:adjustRightInd w:val="0"/>
        <w:ind w:left="640" w:hanging="640"/>
        <w:rPr>
          <w:noProof/>
        </w:rPr>
      </w:pPr>
      <w:r w:rsidRPr="008143D9">
        <w:rPr>
          <w:noProof/>
        </w:rPr>
        <w:t>138.</w:t>
      </w:r>
      <w:r w:rsidRPr="008143D9">
        <w:rPr>
          <w:noProof/>
        </w:rPr>
        <w:tab/>
        <w:t>Greenberg C.S. The role of D-dimer testing in clinical hematology and oncology // Clin. Adv. Hematol. Oncol. 2017. Vol. 15, № 8. P. 580–583.</w:t>
      </w:r>
    </w:p>
    <w:p w14:paraId="4EC97178" w14:textId="77777777" w:rsidR="008143D9" w:rsidRPr="008143D9" w:rsidRDefault="008143D9" w:rsidP="008143D9">
      <w:pPr>
        <w:widowControl w:val="0"/>
        <w:autoSpaceDE w:val="0"/>
        <w:autoSpaceDN w:val="0"/>
        <w:adjustRightInd w:val="0"/>
        <w:ind w:left="640" w:hanging="640"/>
        <w:rPr>
          <w:noProof/>
        </w:rPr>
      </w:pPr>
      <w:r w:rsidRPr="008143D9">
        <w:rPr>
          <w:noProof/>
        </w:rPr>
        <w:t>139.</w:t>
      </w:r>
      <w:r w:rsidRPr="008143D9">
        <w:rPr>
          <w:noProof/>
        </w:rPr>
        <w:tab/>
        <w:t>Weitz I.C. et al. Chemotherapy-induced activation of hemostasis: effect of a low molecular weight heparin (dalteparin sodium) on plasma markers of hemostatic activation // Thromb. Haemost. 2002. Vol. 88, № 2. P. 213–220.</w:t>
      </w:r>
    </w:p>
    <w:p w14:paraId="2112F565" w14:textId="77777777" w:rsidR="008143D9" w:rsidRPr="008143D9" w:rsidRDefault="008143D9" w:rsidP="008143D9">
      <w:pPr>
        <w:widowControl w:val="0"/>
        <w:autoSpaceDE w:val="0"/>
        <w:autoSpaceDN w:val="0"/>
        <w:adjustRightInd w:val="0"/>
        <w:ind w:left="640" w:hanging="640"/>
        <w:rPr>
          <w:noProof/>
        </w:rPr>
      </w:pPr>
      <w:r w:rsidRPr="008143D9">
        <w:rPr>
          <w:noProof/>
        </w:rPr>
        <w:t>140.</w:t>
      </w:r>
      <w:r w:rsidRPr="008143D9">
        <w:rPr>
          <w:noProof/>
        </w:rPr>
        <w:tab/>
        <w:t>Sharifi M. et al. New oral anticoagulants in the treatment of heparin- Induced thrombocytopenia // Thromb. Res. Elsevier Ltd, 2015. Vol. 135, № 4. P. 607–609.</w:t>
      </w:r>
    </w:p>
    <w:p w14:paraId="6F5CE447" w14:textId="77777777" w:rsidR="008143D9" w:rsidRPr="008143D9" w:rsidRDefault="008143D9" w:rsidP="008143D9">
      <w:pPr>
        <w:widowControl w:val="0"/>
        <w:autoSpaceDE w:val="0"/>
        <w:autoSpaceDN w:val="0"/>
        <w:adjustRightInd w:val="0"/>
        <w:ind w:left="640" w:hanging="640"/>
        <w:rPr>
          <w:noProof/>
        </w:rPr>
      </w:pPr>
      <w:r w:rsidRPr="008143D9">
        <w:rPr>
          <w:noProof/>
        </w:rPr>
        <w:t>141.</w:t>
      </w:r>
      <w:r w:rsidRPr="008143D9">
        <w:rPr>
          <w:noProof/>
        </w:rPr>
        <w:tab/>
        <w:t>Hayward C.P.M. How I investigate for bleeding disorders // International Journal of Laboratory Hematology. Blackwell Publishing Ltd, 2018. Vol. 40. P. 6–14.</w:t>
      </w:r>
    </w:p>
    <w:p w14:paraId="59AE67A9" w14:textId="77777777" w:rsidR="008143D9" w:rsidRPr="008143D9" w:rsidRDefault="008143D9" w:rsidP="008143D9">
      <w:pPr>
        <w:widowControl w:val="0"/>
        <w:autoSpaceDE w:val="0"/>
        <w:autoSpaceDN w:val="0"/>
        <w:adjustRightInd w:val="0"/>
        <w:ind w:left="640" w:hanging="640"/>
        <w:rPr>
          <w:noProof/>
        </w:rPr>
      </w:pPr>
      <w:r w:rsidRPr="008143D9">
        <w:rPr>
          <w:noProof/>
        </w:rPr>
        <w:t>142.</w:t>
      </w:r>
      <w:r w:rsidRPr="008143D9">
        <w:rPr>
          <w:noProof/>
        </w:rPr>
        <w:tab/>
        <w:t>Falanga A., Rickles F.R. Management of Thrombohemorrhagic Syndromes (THS) in hematologic malignancies. // Hematology Am. Soc. Hematol. Educ. Program. Hematology Am Soc Hematol Educ Program, 2007. P. 165–171.</w:t>
      </w:r>
    </w:p>
    <w:p w14:paraId="12CB9F94" w14:textId="77777777" w:rsidR="008143D9" w:rsidRPr="008143D9" w:rsidRDefault="008143D9" w:rsidP="008143D9">
      <w:pPr>
        <w:widowControl w:val="0"/>
        <w:autoSpaceDE w:val="0"/>
        <w:autoSpaceDN w:val="0"/>
        <w:adjustRightInd w:val="0"/>
        <w:ind w:left="640" w:hanging="640"/>
        <w:rPr>
          <w:noProof/>
        </w:rPr>
      </w:pPr>
      <w:r w:rsidRPr="008143D9">
        <w:rPr>
          <w:noProof/>
        </w:rPr>
        <w:t>143.</w:t>
      </w:r>
      <w:r w:rsidRPr="008143D9">
        <w:rPr>
          <w:noProof/>
        </w:rPr>
        <w:tab/>
        <w:t>Мамонов В.Е. Неотложная нейрохирургия внутричерепных кровоизлияний у пациентов гематологического стационара // Гематология и трансфузиология. 2020. Vol. 65, № S1. P. 174–175.</w:t>
      </w:r>
    </w:p>
    <w:p w14:paraId="28B5BACC" w14:textId="77777777" w:rsidR="008143D9" w:rsidRPr="008143D9" w:rsidRDefault="008143D9" w:rsidP="008143D9">
      <w:pPr>
        <w:widowControl w:val="0"/>
        <w:autoSpaceDE w:val="0"/>
        <w:autoSpaceDN w:val="0"/>
        <w:adjustRightInd w:val="0"/>
        <w:ind w:left="640" w:hanging="640"/>
        <w:rPr>
          <w:noProof/>
        </w:rPr>
      </w:pPr>
      <w:r w:rsidRPr="008143D9">
        <w:rPr>
          <w:noProof/>
        </w:rPr>
        <w:t>144.</w:t>
      </w:r>
      <w:r w:rsidRPr="008143D9">
        <w:rPr>
          <w:noProof/>
        </w:rPr>
        <w:tab/>
        <w:t>Чернуха Г.Е. Аномальные маточные кровотечения репродуктивного периода // Гинекология: национальное руководство. Краткое издание. Под ред. Г.М. Савельевой. Г.Т. Сухих, В.Н. Серова, В.Е. Радзинского, И.Б. Манухина. М.: ГЭОТАР-Медиа, 2020. P. 170–175.</w:t>
      </w:r>
    </w:p>
    <w:p w14:paraId="5ECBE944" w14:textId="77777777" w:rsidR="008143D9" w:rsidRPr="008143D9" w:rsidRDefault="008143D9" w:rsidP="008143D9">
      <w:pPr>
        <w:widowControl w:val="0"/>
        <w:autoSpaceDE w:val="0"/>
        <w:autoSpaceDN w:val="0"/>
        <w:adjustRightInd w:val="0"/>
        <w:ind w:left="640" w:hanging="640"/>
        <w:rPr>
          <w:noProof/>
        </w:rPr>
      </w:pPr>
      <w:r w:rsidRPr="008143D9">
        <w:rPr>
          <w:noProof/>
        </w:rPr>
        <w:t>145.</w:t>
      </w:r>
      <w:r w:rsidRPr="008143D9">
        <w:rPr>
          <w:noProof/>
        </w:rPr>
        <w:tab/>
        <w:t>Доброхотова Ю.Э. et al. Аномальные маточные кровотечения: алгоритмы ведения, методы терапии // РМЖ. Мать и дитя. 2020. Vol. 3, № 1. P. 55–60.</w:t>
      </w:r>
    </w:p>
    <w:p w14:paraId="4FC0C8A4" w14:textId="77777777" w:rsidR="008143D9" w:rsidRPr="008143D9" w:rsidRDefault="008143D9" w:rsidP="008143D9">
      <w:pPr>
        <w:widowControl w:val="0"/>
        <w:autoSpaceDE w:val="0"/>
        <w:autoSpaceDN w:val="0"/>
        <w:adjustRightInd w:val="0"/>
        <w:ind w:left="640" w:hanging="640"/>
        <w:rPr>
          <w:noProof/>
        </w:rPr>
      </w:pPr>
      <w:r w:rsidRPr="008143D9">
        <w:rPr>
          <w:noProof/>
        </w:rPr>
        <w:t>146.</w:t>
      </w:r>
      <w:r w:rsidRPr="008143D9">
        <w:rPr>
          <w:noProof/>
        </w:rPr>
        <w:tab/>
        <w:t>Охмат В.А. et al. Спектр и этиология инфекционных осложнений у больных острыми миелоидными лейкозами на этапах индукции и консолидации ремиссии // Гематология и трансфузиология. 2017. Vol. 62, № 1. P. 9–15.</w:t>
      </w:r>
    </w:p>
    <w:p w14:paraId="31DE2DD8" w14:textId="77777777" w:rsidR="008143D9" w:rsidRPr="008143D9" w:rsidRDefault="008143D9" w:rsidP="008143D9">
      <w:pPr>
        <w:widowControl w:val="0"/>
        <w:autoSpaceDE w:val="0"/>
        <w:autoSpaceDN w:val="0"/>
        <w:adjustRightInd w:val="0"/>
        <w:ind w:left="640" w:hanging="640"/>
        <w:rPr>
          <w:noProof/>
        </w:rPr>
      </w:pPr>
      <w:r w:rsidRPr="008143D9">
        <w:rPr>
          <w:noProof/>
        </w:rPr>
        <w:t>147.</w:t>
      </w:r>
      <w:r w:rsidRPr="008143D9">
        <w:rPr>
          <w:noProof/>
        </w:rPr>
        <w:tab/>
        <w:t>Охмат В.А. et al. Инфекционные осложнения у взрослых больных острыми лимфобластными лейкозами на разных этапах химиотерапии по протоколу ОЛЛ-2009. // Онкогематология. 2017. Vol. 12, № 3. P. 31–40.</w:t>
      </w:r>
    </w:p>
    <w:p w14:paraId="33919162" w14:textId="77777777" w:rsidR="008143D9" w:rsidRPr="008143D9" w:rsidRDefault="008143D9" w:rsidP="008143D9">
      <w:pPr>
        <w:widowControl w:val="0"/>
        <w:autoSpaceDE w:val="0"/>
        <w:autoSpaceDN w:val="0"/>
        <w:adjustRightInd w:val="0"/>
        <w:ind w:left="640" w:hanging="640"/>
        <w:rPr>
          <w:noProof/>
        </w:rPr>
      </w:pPr>
      <w:r w:rsidRPr="008143D9">
        <w:rPr>
          <w:noProof/>
        </w:rPr>
        <w:t>148.</w:t>
      </w:r>
      <w:r w:rsidRPr="008143D9">
        <w:rPr>
          <w:noProof/>
        </w:rPr>
        <w:tab/>
        <w:t>Клясова Г.А. et al. Возбудители сепсиса у иммунокомпрометированных больных: структура и проблемы антибиотикорезистентности (результаты многоцентрового исследования) // Гематология и трансфузиология. 2007. Vol. 52, № 1. P. 11–18.</w:t>
      </w:r>
    </w:p>
    <w:p w14:paraId="7283353D" w14:textId="77777777" w:rsidR="008143D9" w:rsidRPr="008143D9" w:rsidRDefault="008143D9" w:rsidP="008143D9">
      <w:pPr>
        <w:widowControl w:val="0"/>
        <w:autoSpaceDE w:val="0"/>
        <w:autoSpaceDN w:val="0"/>
        <w:adjustRightInd w:val="0"/>
        <w:ind w:left="640" w:hanging="640"/>
        <w:rPr>
          <w:noProof/>
        </w:rPr>
      </w:pPr>
      <w:r w:rsidRPr="008143D9">
        <w:rPr>
          <w:noProof/>
        </w:rPr>
        <w:t>149.</w:t>
      </w:r>
      <w:r w:rsidRPr="008143D9">
        <w:rPr>
          <w:noProof/>
        </w:rPr>
        <w:tab/>
        <w:t>Клясова Г.А., Охмат В.А. Антимикробная терапия // Алгоритмы диагностики и протоколы лечения заболеваний системы крови. Под редакцией Савченко В.Г. Москва: Практика, 2018. P. 1067–1114.</w:t>
      </w:r>
    </w:p>
    <w:p w14:paraId="2E9E60CB" w14:textId="77777777" w:rsidR="008143D9" w:rsidRPr="008143D9" w:rsidRDefault="008143D9" w:rsidP="008143D9">
      <w:pPr>
        <w:widowControl w:val="0"/>
        <w:autoSpaceDE w:val="0"/>
        <w:autoSpaceDN w:val="0"/>
        <w:adjustRightInd w:val="0"/>
        <w:ind w:left="640" w:hanging="640"/>
        <w:rPr>
          <w:noProof/>
        </w:rPr>
      </w:pPr>
      <w:r w:rsidRPr="008143D9">
        <w:rPr>
          <w:noProof/>
        </w:rPr>
        <w:t>150.</w:t>
      </w:r>
      <w:r w:rsidRPr="008143D9">
        <w:rPr>
          <w:noProof/>
        </w:rPr>
        <w:tab/>
        <w:t>Maertens J. et al. European guidelines for antifungal management in leukemia and hematopoietic stem cell transplant recipients: Summary of the ECIL 32009 update // Bone Marrow Transplant. Nature Publishing Group, 2011. Vol. 46, № 5. P. 709–718.</w:t>
      </w:r>
    </w:p>
    <w:p w14:paraId="0CF41A80" w14:textId="77777777" w:rsidR="008143D9" w:rsidRPr="008143D9" w:rsidRDefault="008143D9" w:rsidP="008143D9">
      <w:pPr>
        <w:widowControl w:val="0"/>
        <w:autoSpaceDE w:val="0"/>
        <w:autoSpaceDN w:val="0"/>
        <w:adjustRightInd w:val="0"/>
        <w:ind w:left="640" w:hanging="640"/>
        <w:rPr>
          <w:noProof/>
        </w:rPr>
      </w:pPr>
      <w:r w:rsidRPr="008143D9">
        <w:rPr>
          <w:noProof/>
        </w:rPr>
        <w:t>151.</w:t>
      </w:r>
      <w:r w:rsidRPr="008143D9">
        <w:rPr>
          <w:noProof/>
        </w:rPr>
        <w:tab/>
        <w:t>Kollef M.H. et al. Ceftolozane–tazobactam versus meropenem for treatment of nosocomial pneumonia (ASPECT-NP): a randomised, controlled, double-blind, phase 3, non-inferiority trial // Lancet Infect. Dis. Lancet Publishing Group, 2019. Vol. 19, № 12. P. 1299–1311.</w:t>
      </w:r>
    </w:p>
    <w:p w14:paraId="0BA9504F" w14:textId="77777777" w:rsidR="008143D9" w:rsidRPr="008143D9" w:rsidRDefault="008143D9" w:rsidP="008143D9">
      <w:pPr>
        <w:widowControl w:val="0"/>
        <w:autoSpaceDE w:val="0"/>
        <w:autoSpaceDN w:val="0"/>
        <w:adjustRightInd w:val="0"/>
        <w:ind w:left="640" w:hanging="640"/>
        <w:rPr>
          <w:noProof/>
        </w:rPr>
      </w:pPr>
      <w:r w:rsidRPr="008143D9">
        <w:rPr>
          <w:noProof/>
        </w:rPr>
        <w:t>152.</w:t>
      </w:r>
      <w:r w:rsidRPr="008143D9">
        <w:rPr>
          <w:noProof/>
        </w:rPr>
        <w:tab/>
        <w:t>Debast S.B. et al. European society of clinical microbiology and infectious diseases: Update of the treatment guidance document for Clostridium difficile infection // Clin. Microbiol. Infect. Blackwell Publishing Ltd, 2014. Vol. 20, № S2. P. 1–26.</w:t>
      </w:r>
    </w:p>
    <w:p w14:paraId="797A95D3" w14:textId="77777777" w:rsidR="008143D9" w:rsidRPr="008143D9" w:rsidRDefault="008143D9" w:rsidP="008143D9">
      <w:pPr>
        <w:widowControl w:val="0"/>
        <w:autoSpaceDE w:val="0"/>
        <w:autoSpaceDN w:val="0"/>
        <w:adjustRightInd w:val="0"/>
        <w:ind w:left="640" w:hanging="640"/>
        <w:rPr>
          <w:noProof/>
        </w:rPr>
      </w:pPr>
      <w:r w:rsidRPr="008143D9">
        <w:rPr>
          <w:noProof/>
        </w:rPr>
        <w:t>153.</w:t>
      </w:r>
      <w:r w:rsidRPr="008143D9">
        <w:rPr>
          <w:noProof/>
        </w:rPr>
        <w:tab/>
        <w:t>Styczynski J. et al. Management of HSV, VZV and EBV infections in patients with hematological malignancies and after SCT: Guidelines from the Second European Conference on Infections in Leukemia // Bone Marrow Transplant. Bone Marrow Transplant, 2009. Vol. 43, № 10. P. 757–770.</w:t>
      </w:r>
    </w:p>
    <w:p w14:paraId="6ED2C985" w14:textId="77777777" w:rsidR="008143D9" w:rsidRPr="008143D9" w:rsidRDefault="008143D9" w:rsidP="008143D9">
      <w:pPr>
        <w:widowControl w:val="0"/>
        <w:autoSpaceDE w:val="0"/>
        <w:autoSpaceDN w:val="0"/>
        <w:adjustRightInd w:val="0"/>
        <w:ind w:left="640" w:hanging="640"/>
        <w:rPr>
          <w:noProof/>
        </w:rPr>
      </w:pPr>
      <w:r w:rsidRPr="008143D9">
        <w:rPr>
          <w:noProof/>
        </w:rPr>
        <w:t>154.</w:t>
      </w:r>
      <w:r w:rsidRPr="008143D9">
        <w:rPr>
          <w:noProof/>
        </w:rPr>
        <w:tab/>
        <w:t>Ljungman P. et al. Management of CMV, HHV-6, HHV-7 and Kaposi-sarcoma herpesvirus (HHV-8) infections in patients with hematological malignancies and after SCT // Bone Marrow Transplant. Bone Marrow Transplant, 2008. Vol. 42, № 4. P. 227–240.</w:t>
      </w:r>
    </w:p>
    <w:p w14:paraId="2789D58D" w14:textId="77777777" w:rsidR="008143D9" w:rsidRPr="008143D9" w:rsidRDefault="008143D9" w:rsidP="008143D9">
      <w:pPr>
        <w:widowControl w:val="0"/>
        <w:autoSpaceDE w:val="0"/>
        <w:autoSpaceDN w:val="0"/>
        <w:adjustRightInd w:val="0"/>
        <w:ind w:left="640" w:hanging="640"/>
        <w:rPr>
          <w:noProof/>
        </w:rPr>
      </w:pPr>
      <w:r w:rsidRPr="008143D9">
        <w:rPr>
          <w:noProof/>
        </w:rPr>
        <w:t>155.</w:t>
      </w:r>
      <w:r w:rsidRPr="008143D9">
        <w:rPr>
          <w:noProof/>
        </w:rPr>
        <w:tab/>
        <w:t>Arendrup M.C. et al. ESCMID and ECMM joint clinical guidelines for the diagnosis and management of rare invasive yeast infections // Clin. Microbiol. Infect. Blackwell Publishing Ltd, 2014. Vol. 20, № S3. P. 76–98.</w:t>
      </w:r>
    </w:p>
    <w:p w14:paraId="6DD23ACB" w14:textId="77777777" w:rsidR="008143D9" w:rsidRPr="008143D9" w:rsidRDefault="008143D9" w:rsidP="008143D9">
      <w:pPr>
        <w:widowControl w:val="0"/>
        <w:autoSpaceDE w:val="0"/>
        <w:autoSpaceDN w:val="0"/>
        <w:adjustRightInd w:val="0"/>
        <w:ind w:left="640" w:hanging="640"/>
        <w:rPr>
          <w:noProof/>
        </w:rPr>
      </w:pPr>
      <w:r w:rsidRPr="008143D9">
        <w:rPr>
          <w:noProof/>
        </w:rPr>
        <w:t>156.</w:t>
      </w:r>
      <w:r w:rsidRPr="008143D9">
        <w:rPr>
          <w:noProof/>
        </w:rPr>
        <w:tab/>
        <w:t>Tissot F. et al. ECIL-6 guidelines for the treatment of invasive candidiasis, aspergillosis and mucormycosis in leukemia and hematopoietic stem cell transplant patients // Haematologica. Ferrata Storti Foundation, 2017. Vol. 102, № 3. P. 433–444.</w:t>
      </w:r>
    </w:p>
    <w:p w14:paraId="35265CE8" w14:textId="77777777" w:rsidR="008143D9" w:rsidRPr="008143D9" w:rsidRDefault="008143D9" w:rsidP="008143D9">
      <w:pPr>
        <w:widowControl w:val="0"/>
        <w:autoSpaceDE w:val="0"/>
        <w:autoSpaceDN w:val="0"/>
        <w:adjustRightInd w:val="0"/>
        <w:ind w:left="640" w:hanging="640"/>
        <w:rPr>
          <w:noProof/>
        </w:rPr>
      </w:pPr>
      <w:r w:rsidRPr="008143D9">
        <w:rPr>
          <w:noProof/>
        </w:rPr>
        <w:t>157.</w:t>
      </w:r>
      <w:r w:rsidRPr="008143D9">
        <w:rPr>
          <w:noProof/>
        </w:rPr>
        <w:tab/>
        <w:t>Мальчикова А.О., Клясова Г.А. Формирование биопленок у изолятов Candida spp, выделенных из гемокультуры от больных с опухолями системы крови // Клиническая микробиология и антимикробная химиотерапия. 2018. Vol. 20, № 2. P. 126–130.</w:t>
      </w:r>
    </w:p>
    <w:p w14:paraId="1BC6FE22" w14:textId="77777777" w:rsidR="008143D9" w:rsidRPr="008143D9" w:rsidRDefault="008143D9" w:rsidP="008143D9">
      <w:pPr>
        <w:widowControl w:val="0"/>
        <w:autoSpaceDE w:val="0"/>
        <w:autoSpaceDN w:val="0"/>
        <w:adjustRightInd w:val="0"/>
        <w:ind w:left="640" w:hanging="640"/>
        <w:rPr>
          <w:noProof/>
        </w:rPr>
      </w:pPr>
      <w:r w:rsidRPr="008143D9">
        <w:rPr>
          <w:noProof/>
        </w:rPr>
        <w:t>158.</w:t>
      </w:r>
      <w:r w:rsidRPr="008143D9">
        <w:rPr>
          <w:noProof/>
        </w:rPr>
        <w:tab/>
        <w:t>Ullmann A.J. et al. Diagnosis and management of Aspergillus diseases: executive summary of the 2017 ESCMID-ECMM-ERS guideline // Clin. Microbiol. Infect. Elsevier B.V., 2018. Vol. 24. P. e1–e38.</w:t>
      </w:r>
    </w:p>
    <w:p w14:paraId="3C102DA0" w14:textId="77777777" w:rsidR="008143D9" w:rsidRPr="008143D9" w:rsidRDefault="008143D9" w:rsidP="008143D9">
      <w:pPr>
        <w:widowControl w:val="0"/>
        <w:autoSpaceDE w:val="0"/>
        <w:autoSpaceDN w:val="0"/>
        <w:adjustRightInd w:val="0"/>
        <w:ind w:left="640" w:hanging="640"/>
        <w:rPr>
          <w:noProof/>
        </w:rPr>
      </w:pPr>
      <w:r w:rsidRPr="008143D9">
        <w:rPr>
          <w:noProof/>
        </w:rPr>
        <w:t>159.</w:t>
      </w:r>
      <w:r w:rsidRPr="008143D9">
        <w:rPr>
          <w:noProof/>
        </w:rPr>
        <w:tab/>
        <w:t>Cornely O.A. et al. Global guideline for the diagnosis and management of mucormycosis: an initiative of the European Confederation of Medical Mycology in cooperation with the Mycoses Study Group Education and Research Consortium // The Lancet Infectious Diseases. Lancet Publishing Group, 2019. Vol. 19, № 12. P. e405–e421.</w:t>
      </w:r>
    </w:p>
    <w:p w14:paraId="53B333B5" w14:textId="77777777" w:rsidR="008143D9" w:rsidRPr="008143D9" w:rsidRDefault="008143D9" w:rsidP="008143D9">
      <w:pPr>
        <w:widowControl w:val="0"/>
        <w:autoSpaceDE w:val="0"/>
        <w:autoSpaceDN w:val="0"/>
        <w:adjustRightInd w:val="0"/>
        <w:ind w:left="640" w:hanging="640"/>
        <w:rPr>
          <w:noProof/>
        </w:rPr>
      </w:pPr>
      <w:r w:rsidRPr="008143D9">
        <w:rPr>
          <w:noProof/>
        </w:rPr>
        <w:t>160.</w:t>
      </w:r>
      <w:r w:rsidRPr="008143D9">
        <w:rPr>
          <w:noProof/>
        </w:rPr>
        <w:tab/>
        <w:t>Tortorano A.M. et al. ESCMID and ECMM joint guidelines on diagnosis and management of hyalohyphomycosis: Fusarium spp., Scedosporium spp. and others // Clin. Microbiol. Infect. Blackwell Publishing Ltd, 2014. Vol. 20, № S3. P. 27–46.</w:t>
      </w:r>
    </w:p>
    <w:p w14:paraId="1CD385C4" w14:textId="77777777" w:rsidR="008143D9" w:rsidRPr="008143D9" w:rsidRDefault="008143D9" w:rsidP="008143D9">
      <w:pPr>
        <w:widowControl w:val="0"/>
        <w:autoSpaceDE w:val="0"/>
        <w:autoSpaceDN w:val="0"/>
        <w:adjustRightInd w:val="0"/>
        <w:ind w:left="640" w:hanging="640"/>
        <w:rPr>
          <w:noProof/>
        </w:rPr>
      </w:pPr>
      <w:r w:rsidRPr="008143D9">
        <w:rPr>
          <w:noProof/>
        </w:rPr>
        <w:t>161.</w:t>
      </w:r>
      <w:r w:rsidRPr="008143D9">
        <w:rPr>
          <w:noProof/>
        </w:rPr>
        <w:tab/>
        <w:t>Maschmeyer G. et al. ECIL guidelines for treatment of Pneumocystis jirovecii pneumonia in non-HIV-infected haematology patients // J. Antimicrob. Chemother. J Antimicrob Chemother, 2016. Vol. 71, № 9. P. 2405–2413.</w:t>
      </w:r>
    </w:p>
    <w:p w14:paraId="79BF6FF7" w14:textId="77777777" w:rsidR="008143D9" w:rsidRPr="008143D9" w:rsidRDefault="008143D9" w:rsidP="008143D9">
      <w:pPr>
        <w:widowControl w:val="0"/>
        <w:autoSpaceDE w:val="0"/>
        <w:autoSpaceDN w:val="0"/>
        <w:adjustRightInd w:val="0"/>
        <w:ind w:left="640" w:hanging="640"/>
        <w:rPr>
          <w:noProof/>
        </w:rPr>
      </w:pPr>
      <w:r w:rsidRPr="008143D9">
        <w:rPr>
          <w:noProof/>
        </w:rPr>
        <w:t>162.</w:t>
      </w:r>
      <w:r w:rsidRPr="008143D9">
        <w:rPr>
          <w:noProof/>
        </w:rPr>
        <w:tab/>
        <w:t>Maertens J. et al. ECIL guidelines for preventing Pneumocystis jirovecii pneumonia in patients with haematological malignancies and stem cell transplant recipients // Journal of Antimicrobial Chemotherapy. Oxford University Press, 2016. Vol. 71, № 9. P. 1–8.</w:t>
      </w:r>
    </w:p>
    <w:p w14:paraId="403746AC" w14:textId="77777777" w:rsidR="008143D9" w:rsidRPr="008143D9" w:rsidRDefault="008143D9" w:rsidP="008143D9">
      <w:pPr>
        <w:widowControl w:val="0"/>
        <w:autoSpaceDE w:val="0"/>
        <w:autoSpaceDN w:val="0"/>
        <w:adjustRightInd w:val="0"/>
        <w:ind w:left="640" w:hanging="640"/>
        <w:rPr>
          <w:noProof/>
        </w:rPr>
      </w:pPr>
      <w:r w:rsidRPr="008143D9">
        <w:rPr>
          <w:noProof/>
        </w:rPr>
        <w:t>163.</w:t>
      </w:r>
      <w:r w:rsidRPr="008143D9">
        <w:rPr>
          <w:noProof/>
        </w:rPr>
        <w:tab/>
        <w:t>Титова В.Б., Беляева Н.М. Вирусный гепатит В у иммуносупрессивных пациентов с онкологическими заболеваниями: патогенез, ведение и профилактика // Инфекционные болезни. 2014. Vol. 12, № 3. P. 51–60.</w:t>
      </w:r>
    </w:p>
    <w:p w14:paraId="239F1CB6" w14:textId="77777777" w:rsidR="008143D9" w:rsidRPr="008143D9" w:rsidRDefault="008143D9" w:rsidP="008143D9">
      <w:pPr>
        <w:widowControl w:val="0"/>
        <w:autoSpaceDE w:val="0"/>
        <w:autoSpaceDN w:val="0"/>
        <w:adjustRightInd w:val="0"/>
        <w:ind w:left="640" w:hanging="640"/>
        <w:rPr>
          <w:noProof/>
        </w:rPr>
      </w:pPr>
      <w:r w:rsidRPr="008143D9">
        <w:rPr>
          <w:noProof/>
        </w:rPr>
        <w:t>164.</w:t>
      </w:r>
      <w:r w:rsidRPr="008143D9">
        <w:rPr>
          <w:noProof/>
        </w:rPr>
        <w:tab/>
        <w:t>Papatheodoridis G. et al. EASL clinical practice guidelines: Management of chronic hepatitis B virus infection // Journal of Hepatology. Elsevier B.V., 2012. Vol. 57, № 1. P. 167–185.</w:t>
      </w:r>
    </w:p>
    <w:p w14:paraId="2A1D3EFF" w14:textId="77777777" w:rsidR="008143D9" w:rsidRPr="008143D9" w:rsidRDefault="008143D9" w:rsidP="008143D9">
      <w:pPr>
        <w:widowControl w:val="0"/>
        <w:autoSpaceDE w:val="0"/>
        <w:autoSpaceDN w:val="0"/>
        <w:adjustRightInd w:val="0"/>
        <w:ind w:left="640" w:hanging="640"/>
        <w:rPr>
          <w:noProof/>
        </w:rPr>
      </w:pPr>
      <w:r w:rsidRPr="008143D9">
        <w:rPr>
          <w:noProof/>
        </w:rPr>
        <w:t>165.</w:t>
      </w:r>
      <w:r w:rsidRPr="008143D9">
        <w:rPr>
          <w:noProof/>
        </w:rPr>
        <w:tab/>
        <w:t>Coppola N. et al. Reactivation of overt and occult hepatitis B infection in various immunosuppressive settings // J. Med. Virol. J Med Virol, 2011. Vol. 83, № 11. P. 1909–1916.</w:t>
      </w:r>
    </w:p>
    <w:p w14:paraId="3F067E0D" w14:textId="77777777" w:rsidR="008143D9" w:rsidRPr="008143D9" w:rsidRDefault="008143D9" w:rsidP="008143D9">
      <w:pPr>
        <w:widowControl w:val="0"/>
        <w:autoSpaceDE w:val="0"/>
        <w:autoSpaceDN w:val="0"/>
        <w:adjustRightInd w:val="0"/>
        <w:ind w:left="640" w:hanging="640"/>
        <w:rPr>
          <w:noProof/>
        </w:rPr>
      </w:pPr>
      <w:r w:rsidRPr="008143D9">
        <w:rPr>
          <w:noProof/>
        </w:rPr>
        <w:t>166.</w:t>
      </w:r>
      <w:r w:rsidRPr="008143D9">
        <w:rPr>
          <w:noProof/>
        </w:rPr>
        <w:tab/>
        <w:t>Sanchez M.J. et al. Successful use of entecavir for a severe case of reactivation of hepatitis B virus following polychemotherapy containing rituximab q // J. Hepatol. Vol. 51. P. 1091–1096.</w:t>
      </w:r>
    </w:p>
    <w:p w14:paraId="771E8226" w14:textId="77777777" w:rsidR="008143D9" w:rsidRPr="008143D9" w:rsidRDefault="008143D9" w:rsidP="008143D9">
      <w:pPr>
        <w:widowControl w:val="0"/>
        <w:autoSpaceDE w:val="0"/>
        <w:autoSpaceDN w:val="0"/>
        <w:adjustRightInd w:val="0"/>
        <w:ind w:left="640" w:hanging="640"/>
        <w:rPr>
          <w:noProof/>
        </w:rPr>
      </w:pPr>
      <w:r w:rsidRPr="008143D9">
        <w:rPr>
          <w:noProof/>
        </w:rPr>
        <w:t>167.</w:t>
      </w:r>
      <w:r w:rsidRPr="008143D9">
        <w:rPr>
          <w:noProof/>
        </w:rPr>
        <w:tab/>
        <w:t>Liang R. How I treat and monitor viral hepatitis B infection in patients receiving intensive immunosuppressive therapies or undergoing hematopoietic stem cell transplantation // Blood. American Society of Hematology, 2009. Vol. 113, № 14. P. 3147–3153.</w:t>
      </w:r>
    </w:p>
    <w:p w14:paraId="6873EC4E" w14:textId="77777777" w:rsidR="008143D9" w:rsidRPr="008143D9" w:rsidRDefault="008143D9" w:rsidP="008143D9">
      <w:pPr>
        <w:widowControl w:val="0"/>
        <w:autoSpaceDE w:val="0"/>
        <w:autoSpaceDN w:val="0"/>
        <w:adjustRightInd w:val="0"/>
        <w:ind w:left="640" w:hanging="640"/>
        <w:rPr>
          <w:noProof/>
        </w:rPr>
      </w:pPr>
      <w:r w:rsidRPr="008143D9">
        <w:rPr>
          <w:noProof/>
        </w:rPr>
        <w:t>168.</w:t>
      </w:r>
      <w:r w:rsidRPr="008143D9">
        <w:rPr>
          <w:noProof/>
        </w:rPr>
        <w:tab/>
        <w:t>Firpi R.J., Nelson D.R. Management of viral hepatitis in hematologic malignancies // Blood Rev. 2008. Vol. 22, № 3. P. 117–126.</w:t>
      </w:r>
    </w:p>
    <w:p w14:paraId="423D59F5" w14:textId="77777777" w:rsidR="008143D9" w:rsidRPr="008143D9" w:rsidRDefault="008143D9" w:rsidP="008143D9">
      <w:pPr>
        <w:widowControl w:val="0"/>
        <w:autoSpaceDE w:val="0"/>
        <w:autoSpaceDN w:val="0"/>
        <w:adjustRightInd w:val="0"/>
        <w:ind w:left="640" w:hanging="640"/>
        <w:rPr>
          <w:noProof/>
        </w:rPr>
      </w:pPr>
      <w:r w:rsidRPr="008143D9">
        <w:rPr>
          <w:noProof/>
        </w:rPr>
        <w:t>169.</w:t>
      </w:r>
      <w:r w:rsidRPr="008143D9">
        <w:rPr>
          <w:noProof/>
        </w:rPr>
        <w:tab/>
        <w:t>Ennishi D. et al. Monitoring serum hepatitis C virus (HCV) RNA in patients with HCV-infected CD20-positive B-cell lymphoma undergoing rituximab combination chemotherapy // Am. J. Hematol. John Wiley &amp; Sons, Ltd, 2008. Vol. 83, № 1. P. 59–62.</w:t>
      </w:r>
    </w:p>
    <w:p w14:paraId="46B0DBE1" w14:textId="77777777" w:rsidR="008143D9" w:rsidRPr="008143D9" w:rsidRDefault="008143D9" w:rsidP="008143D9">
      <w:pPr>
        <w:widowControl w:val="0"/>
        <w:autoSpaceDE w:val="0"/>
        <w:autoSpaceDN w:val="0"/>
        <w:adjustRightInd w:val="0"/>
        <w:ind w:left="640" w:hanging="640"/>
        <w:rPr>
          <w:noProof/>
        </w:rPr>
      </w:pPr>
      <w:r w:rsidRPr="008143D9">
        <w:rPr>
          <w:noProof/>
        </w:rPr>
        <w:t>170.</w:t>
      </w:r>
      <w:r w:rsidRPr="008143D9">
        <w:rPr>
          <w:noProof/>
        </w:rPr>
        <w:tab/>
        <w:t>Roche B., Samuel D. The difficulties of managing severe hepatitis B virus reactivation // Liver Int. Liver Int, 2011. Vol. 31, № SUPPL. 1. P. 104–110.</w:t>
      </w:r>
    </w:p>
    <w:p w14:paraId="09F01258" w14:textId="77777777" w:rsidR="008143D9" w:rsidRPr="008143D9" w:rsidRDefault="008143D9" w:rsidP="008143D9">
      <w:pPr>
        <w:widowControl w:val="0"/>
        <w:autoSpaceDE w:val="0"/>
        <w:autoSpaceDN w:val="0"/>
        <w:adjustRightInd w:val="0"/>
        <w:ind w:left="640" w:hanging="640"/>
        <w:rPr>
          <w:noProof/>
        </w:rPr>
      </w:pPr>
      <w:r w:rsidRPr="008143D9">
        <w:rPr>
          <w:noProof/>
        </w:rPr>
        <w:t>171.</w:t>
      </w:r>
      <w:r w:rsidRPr="008143D9">
        <w:rPr>
          <w:noProof/>
        </w:rPr>
        <w:tab/>
        <w:t>Baumeister M.A. et al. Hepatitis B virus e antigen specific epitopes and limitations of commercial anti-HBe immunoassays // J. Med. Virol. John Wiley &amp; Sons, Ltd, 2000. Vol. 60, № 3. P. 256–263.</w:t>
      </w:r>
    </w:p>
    <w:p w14:paraId="59FC7802" w14:textId="77777777" w:rsidR="008143D9" w:rsidRPr="008143D9" w:rsidRDefault="008143D9" w:rsidP="008143D9">
      <w:pPr>
        <w:widowControl w:val="0"/>
        <w:autoSpaceDE w:val="0"/>
        <w:autoSpaceDN w:val="0"/>
        <w:adjustRightInd w:val="0"/>
        <w:ind w:left="640" w:hanging="640"/>
        <w:rPr>
          <w:noProof/>
        </w:rPr>
      </w:pPr>
      <w:r w:rsidRPr="008143D9">
        <w:rPr>
          <w:noProof/>
        </w:rPr>
        <w:t>172.</w:t>
      </w:r>
      <w:r w:rsidRPr="008143D9">
        <w:rPr>
          <w:noProof/>
        </w:rPr>
        <w:tab/>
        <w:t>Torres H.A., Davila M. Reactivation of hepatitis B virus and hepatitis C virus in patients with cancer // Nature Reviews Clinical Oncology. Nat Rev Clin Oncol, 2012. Vol. 9, № 3. P. 156–166.</w:t>
      </w:r>
    </w:p>
    <w:p w14:paraId="4594CDDA" w14:textId="77777777" w:rsidR="008143D9" w:rsidRPr="008143D9" w:rsidRDefault="008143D9" w:rsidP="008143D9">
      <w:pPr>
        <w:widowControl w:val="0"/>
        <w:autoSpaceDE w:val="0"/>
        <w:autoSpaceDN w:val="0"/>
        <w:adjustRightInd w:val="0"/>
        <w:ind w:left="640" w:hanging="640"/>
        <w:rPr>
          <w:noProof/>
        </w:rPr>
      </w:pPr>
      <w:r w:rsidRPr="008143D9">
        <w:rPr>
          <w:noProof/>
        </w:rPr>
        <w:t>173.</w:t>
      </w:r>
      <w:r w:rsidRPr="008143D9">
        <w:rPr>
          <w:noProof/>
        </w:rPr>
        <w:tab/>
        <w:t>Rupp D., Bartenschlager R. Targets for antiviral therapy of hepatitis C // Semin. Liver Dis. Thieme Medical Publishers, Inc., 2014. Vol. 34, № 1. P. 9–21.</w:t>
      </w:r>
    </w:p>
    <w:p w14:paraId="78A9F7F6" w14:textId="77777777" w:rsidR="008143D9" w:rsidRPr="008143D9" w:rsidRDefault="008143D9" w:rsidP="008143D9">
      <w:pPr>
        <w:widowControl w:val="0"/>
        <w:autoSpaceDE w:val="0"/>
        <w:autoSpaceDN w:val="0"/>
        <w:adjustRightInd w:val="0"/>
        <w:ind w:left="640" w:hanging="640"/>
        <w:rPr>
          <w:noProof/>
        </w:rPr>
      </w:pPr>
      <w:r w:rsidRPr="008143D9">
        <w:rPr>
          <w:noProof/>
        </w:rPr>
        <w:t>174.</w:t>
      </w:r>
      <w:r w:rsidRPr="008143D9">
        <w:rPr>
          <w:noProof/>
        </w:rPr>
        <w:tab/>
        <w:t>Singer M. et al. The third international consensus definitions for sepsis and septic shock (sepsis-3) // JAMA - Journal of the American Medical Association. American Medical Association, 2016. Vol. 315, № 8. P. 801–810.</w:t>
      </w:r>
    </w:p>
    <w:p w14:paraId="2B9A9B6B" w14:textId="77777777" w:rsidR="008143D9" w:rsidRPr="008143D9" w:rsidRDefault="008143D9" w:rsidP="008143D9">
      <w:pPr>
        <w:widowControl w:val="0"/>
        <w:autoSpaceDE w:val="0"/>
        <w:autoSpaceDN w:val="0"/>
        <w:adjustRightInd w:val="0"/>
        <w:ind w:left="640" w:hanging="640"/>
        <w:rPr>
          <w:noProof/>
        </w:rPr>
      </w:pPr>
      <w:r w:rsidRPr="008143D9">
        <w:rPr>
          <w:noProof/>
        </w:rPr>
        <w:t>175.</w:t>
      </w:r>
      <w:r w:rsidRPr="008143D9">
        <w:rPr>
          <w:noProof/>
        </w:rPr>
        <w:tab/>
        <w:t>Абузарова Г.Р. Лечение болевого синдрома у онкологических больных // Российские клинические рекомендации по диагностике и лечению злокачественных лимфопролиферативных заболеваний; под ред. И.В. Поддубной, В.Г. Савченко. 2018. P. 278–288.</w:t>
      </w:r>
    </w:p>
    <w:p w14:paraId="654925DF" w14:textId="77777777" w:rsidR="008143D9" w:rsidRPr="008143D9" w:rsidRDefault="008143D9" w:rsidP="008143D9">
      <w:pPr>
        <w:widowControl w:val="0"/>
        <w:autoSpaceDE w:val="0"/>
        <w:autoSpaceDN w:val="0"/>
        <w:adjustRightInd w:val="0"/>
        <w:ind w:left="640" w:hanging="640"/>
        <w:rPr>
          <w:noProof/>
        </w:rPr>
      </w:pPr>
      <w:r w:rsidRPr="008143D9">
        <w:rPr>
          <w:noProof/>
        </w:rPr>
        <w:t>176.</w:t>
      </w:r>
      <w:r w:rsidRPr="008143D9">
        <w:rPr>
          <w:noProof/>
        </w:rPr>
        <w:tab/>
        <w:t>Абузарова Г.Р. et al. Обезболивание взрослых и детей при оказании медицинской помощи. Методические рекомендации. ФГБОУ ВО РНИМУ им. Н.И. Пирогова Минздрава России., 2016. 94 p.</w:t>
      </w:r>
    </w:p>
    <w:p w14:paraId="423EB939" w14:textId="77777777" w:rsidR="008143D9" w:rsidRPr="008143D9" w:rsidRDefault="008143D9" w:rsidP="008143D9">
      <w:pPr>
        <w:widowControl w:val="0"/>
        <w:autoSpaceDE w:val="0"/>
        <w:autoSpaceDN w:val="0"/>
        <w:adjustRightInd w:val="0"/>
        <w:ind w:left="640" w:hanging="640"/>
        <w:rPr>
          <w:noProof/>
        </w:rPr>
      </w:pPr>
      <w:r w:rsidRPr="008143D9">
        <w:rPr>
          <w:noProof/>
        </w:rPr>
        <w:t>177.</w:t>
      </w:r>
      <w:r w:rsidRPr="008143D9">
        <w:rPr>
          <w:noProof/>
        </w:rPr>
        <w:tab/>
        <w:t>Когония Л.М. et al. Практические рекомендации по лечению хронического болевого синдрома у онкологических больных. // Злокачественные опухоли: Практические рекомендации RUSSCO. 2018. P. 617–635.</w:t>
      </w:r>
    </w:p>
    <w:p w14:paraId="7B54980B" w14:textId="77777777" w:rsidR="008143D9" w:rsidRPr="008143D9" w:rsidRDefault="008143D9" w:rsidP="008143D9">
      <w:pPr>
        <w:widowControl w:val="0"/>
        <w:autoSpaceDE w:val="0"/>
        <w:autoSpaceDN w:val="0"/>
        <w:adjustRightInd w:val="0"/>
        <w:ind w:left="640" w:hanging="640"/>
        <w:rPr>
          <w:noProof/>
        </w:rPr>
      </w:pPr>
      <w:r w:rsidRPr="008143D9">
        <w:rPr>
          <w:noProof/>
        </w:rPr>
        <w:t>178.</w:t>
      </w:r>
      <w:r w:rsidRPr="008143D9">
        <w:rPr>
          <w:noProof/>
        </w:rPr>
        <w:tab/>
        <w:t>Fallon M. et al. Management of cancer pain in adult patients: ESMO Clinical Practice Guidelines. // Ann. Oncol.  Off. J. Eur. Soc. Med. Oncol. 2018. Vol. 29, № Suppl 4. P. iv166–iv191.</w:t>
      </w:r>
    </w:p>
    <w:p w14:paraId="7759E41D" w14:textId="77777777" w:rsidR="008143D9" w:rsidRPr="008143D9" w:rsidRDefault="008143D9" w:rsidP="008143D9">
      <w:pPr>
        <w:widowControl w:val="0"/>
        <w:autoSpaceDE w:val="0"/>
        <w:autoSpaceDN w:val="0"/>
        <w:adjustRightInd w:val="0"/>
        <w:ind w:left="640" w:hanging="640"/>
        <w:rPr>
          <w:noProof/>
        </w:rPr>
      </w:pPr>
      <w:r w:rsidRPr="008143D9">
        <w:rPr>
          <w:noProof/>
        </w:rPr>
        <w:t>179.</w:t>
      </w:r>
      <w:r w:rsidRPr="008143D9">
        <w:rPr>
          <w:noProof/>
        </w:rPr>
        <w:tab/>
        <w:t>Авыдов О.С. et al. Невропатическая боль: клинические рекомендации по диагностике и лечению Российского общества по изучению боли // Российский журнал боли. 2018. Vol. 4. P. 5–40.</w:t>
      </w:r>
    </w:p>
    <w:p w14:paraId="4E913222" w14:textId="77777777" w:rsidR="008143D9" w:rsidRPr="008143D9" w:rsidRDefault="008143D9" w:rsidP="008143D9">
      <w:pPr>
        <w:widowControl w:val="0"/>
        <w:autoSpaceDE w:val="0"/>
        <w:autoSpaceDN w:val="0"/>
        <w:adjustRightInd w:val="0"/>
        <w:ind w:left="640" w:hanging="640"/>
        <w:rPr>
          <w:noProof/>
        </w:rPr>
      </w:pPr>
      <w:r w:rsidRPr="008143D9">
        <w:rPr>
          <w:noProof/>
        </w:rPr>
        <w:t>180.</w:t>
      </w:r>
      <w:r w:rsidRPr="008143D9">
        <w:rPr>
          <w:noProof/>
        </w:rPr>
        <w:tab/>
        <w:t>Prieto J.M. et al. Psychiatric morbidity and impact on hospital length of stay among hematologic cancer patients receiving stem-cell transplantation // J. Clin. Oncol. J Clin Oncol, 2002. Vol. 20, № 7. P. 1907–1917.</w:t>
      </w:r>
    </w:p>
    <w:p w14:paraId="333D1719" w14:textId="77777777" w:rsidR="008143D9" w:rsidRPr="008143D9" w:rsidRDefault="008143D9" w:rsidP="008143D9">
      <w:pPr>
        <w:widowControl w:val="0"/>
        <w:autoSpaceDE w:val="0"/>
        <w:autoSpaceDN w:val="0"/>
        <w:adjustRightInd w:val="0"/>
        <w:ind w:left="640" w:hanging="640"/>
        <w:rPr>
          <w:noProof/>
        </w:rPr>
      </w:pPr>
      <w:r w:rsidRPr="008143D9">
        <w:rPr>
          <w:noProof/>
        </w:rPr>
        <w:t>181.</w:t>
      </w:r>
      <w:r w:rsidRPr="008143D9">
        <w:rPr>
          <w:noProof/>
        </w:rPr>
        <w:tab/>
        <w:t>Mitchell A.J. et al. Prevalence of depression, anxiety, and adjustment disorder in oncological, haematological, and palliative-care settings: A meta-analysis of 94 interview-based studies // Lancet Oncol. Lancet Oncol, 2011. Vol. 12, № 2. P. 160–174.</w:t>
      </w:r>
    </w:p>
    <w:p w14:paraId="49ABDE44" w14:textId="77777777" w:rsidR="008143D9" w:rsidRPr="008143D9" w:rsidRDefault="008143D9" w:rsidP="008143D9">
      <w:pPr>
        <w:widowControl w:val="0"/>
        <w:autoSpaceDE w:val="0"/>
        <w:autoSpaceDN w:val="0"/>
        <w:adjustRightInd w:val="0"/>
        <w:ind w:left="640" w:hanging="640"/>
        <w:rPr>
          <w:noProof/>
        </w:rPr>
      </w:pPr>
      <w:r w:rsidRPr="008143D9">
        <w:rPr>
          <w:noProof/>
        </w:rPr>
        <w:t>182.</w:t>
      </w:r>
      <w:r w:rsidRPr="008143D9">
        <w:rPr>
          <w:noProof/>
        </w:rPr>
        <w:tab/>
        <w:t>Гендлин Г.Е. et al. Современный взгляд на кардиотоксичность химиотерапии онкологических заболеваний, включающей антрациклиновые антибиотики. // Российский кардиологический журнал. 2017. Vol. 143, № 3. P. 145–154.</w:t>
      </w:r>
    </w:p>
    <w:p w14:paraId="617ABBC8" w14:textId="77777777" w:rsidR="008143D9" w:rsidRPr="008143D9" w:rsidRDefault="008143D9" w:rsidP="008143D9">
      <w:pPr>
        <w:widowControl w:val="0"/>
        <w:autoSpaceDE w:val="0"/>
        <w:autoSpaceDN w:val="0"/>
        <w:adjustRightInd w:val="0"/>
        <w:ind w:left="640" w:hanging="640"/>
        <w:rPr>
          <w:noProof/>
        </w:rPr>
      </w:pPr>
      <w:r w:rsidRPr="008143D9">
        <w:rPr>
          <w:noProof/>
        </w:rPr>
        <w:t>183.</w:t>
      </w:r>
      <w:r w:rsidRPr="008143D9">
        <w:rPr>
          <w:noProof/>
        </w:rPr>
        <w:tab/>
        <w:t>Васюк Ю.А. et al. Возможности современных эхокардиографических технологий в ранней диагностике кардиотоксического действия химиотерапевтических препаратов антрациклинового ряда у онкологических больных. // Кардиология. 2017. Vol. 57, № S4. P. 31–17.</w:t>
      </w:r>
    </w:p>
    <w:p w14:paraId="3C82C2C5" w14:textId="77777777" w:rsidR="008143D9" w:rsidRPr="008143D9" w:rsidRDefault="008143D9" w:rsidP="008143D9">
      <w:pPr>
        <w:widowControl w:val="0"/>
        <w:autoSpaceDE w:val="0"/>
        <w:autoSpaceDN w:val="0"/>
        <w:adjustRightInd w:val="0"/>
        <w:ind w:left="640" w:hanging="640"/>
        <w:rPr>
          <w:noProof/>
        </w:rPr>
      </w:pPr>
      <w:r w:rsidRPr="008143D9">
        <w:rPr>
          <w:noProof/>
        </w:rPr>
        <w:t>184.</w:t>
      </w:r>
      <w:r w:rsidRPr="008143D9">
        <w:rPr>
          <w:noProof/>
        </w:rPr>
        <w:tab/>
        <w:t>Zamorano J.L. et al. 2016 ESC Position Paper on cancer treatments and cardiovascular toxicity developed under the auspices of the ESC Committee for Practice Guidelines // European Heart Journal. Oxford University Press, 2016. Vol. 37, № 36. P. 2768–2801.</w:t>
      </w:r>
    </w:p>
    <w:p w14:paraId="7F76D49B" w14:textId="77777777" w:rsidR="008143D9" w:rsidRPr="008143D9" w:rsidRDefault="008143D9" w:rsidP="008143D9">
      <w:pPr>
        <w:widowControl w:val="0"/>
        <w:autoSpaceDE w:val="0"/>
        <w:autoSpaceDN w:val="0"/>
        <w:adjustRightInd w:val="0"/>
        <w:ind w:left="640" w:hanging="640"/>
        <w:rPr>
          <w:noProof/>
        </w:rPr>
      </w:pPr>
      <w:r w:rsidRPr="008143D9">
        <w:rPr>
          <w:noProof/>
        </w:rPr>
        <w:t>185.</w:t>
      </w:r>
      <w:r w:rsidRPr="008143D9">
        <w:rPr>
          <w:noProof/>
        </w:rPr>
        <w:tab/>
        <w:t>Larsen C.M., Mulvagh S.L. Cardio-oncology: What you need to know now for clinical practice and echocardiography // Echo Research and Practice. BioScientifica Ltd., 2017. Vol. 4, № 1. P. R33–R41.</w:t>
      </w:r>
    </w:p>
    <w:p w14:paraId="0CC744BC" w14:textId="77777777" w:rsidR="008143D9" w:rsidRPr="008143D9" w:rsidRDefault="008143D9" w:rsidP="008143D9">
      <w:pPr>
        <w:widowControl w:val="0"/>
        <w:autoSpaceDE w:val="0"/>
        <w:autoSpaceDN w:val="0"/>
        <w:adjustRightInd w:val="0"/>
        <w:ind w:left="640" w:hanging="640"/>
        <w:rPr>
          <w:noProof/>
        </w:rPr>
      </w:pPr>
      <w:r w:rsidRPr="008143D9">
        <w:rPr>
          <w:noProof/>
        </w:rPr>
        <w:t>186.</w:t>
      </w:r>
      <w:r w:rsidRPr="008143D9">
        <w:rPr>
          <w:noProof/>
        </w:rPr>
        <w:tab/>
        <w:t>Криволапов Ю.А. Технические аспекты выполнения трепанобиопсий костного мозга. Клиническая онкогематология 2014; 7:290—295 // Клиническая онкогематология. 2014. Vol. 7. P. 290–295.</w:t>
      </w:r>
    </w:p>
    <w:p w14:paraId="53A48EAD" w14:textId="77777777" w:rsidR="008143D9" w:rsidRPr="008143D9" w:rsidRDefault="008143D9" w:rsidP="008143D9">
      <w:pPr>
        <w:widowControl w:val="0"/>
        <w:autoSpaceDE w:val="0"/>
        <w:autoSpaceDN w:val="0"/>
        <w:adjustRightInd w:val="0"/>
        <w:ind w:left="640" w:hanging="640"/>
        <w:rPr>
          <w:noProof/>
        </w:rPr>
      </w:pPr>
      <w:r w:rsidRPr="008143D9">
        <w:rPr>
          <w:noProof/>
        </w:rPr>
        <w:t>187.</w:t>
      </w:r>
      <w:r w:rsidRPr="008143D9">
        <w:rPr>
          <w:noProof/>
        </w:rPr>
        <w:tab/>
        <w:t>Wang J. et al. Diagnostic utility of bilateral bone marrow examination: Significance of morphologic and ancillary technique study in malignancy // Cancer. Cancer, 2002. Vol. 94, № 5. P. 1522–1531.</w:t>
      </w:r>
    </w:p>
    <w:p w14:paraId="6B026D65" w14:textId="77777777" w:rsidR="008143D9" w:rsidRPr="008143D9" w:rsidRDefault="008143D9" w:rsidP="008143D9">
      <w:pPr>
        <w:widowControl w:val="0"/>
        <w:autoSpaceDE w:val="0"/>
        <w:autoSpaceDN w:val="0"/>
        <w:adjustRightInd w:val="0"/>
        <w:ind w:left="640" w:hanging="640"/>
        <w:rPr>
          <w:noProof/>
        </w:rPr>
      </w:pPr>
      <w:r w:rsidRPr="008143D9">
        <w:rPr>
          <w:noProof/>
        </w:rPr>
        <w:t>188.</w:t>
      </w:r>
      <w:r w:rsidRPr="008143D9">
        <w:rPr>
          <w:noProof/>
        </w:rPr>
        <w:tab/>
        <w:t>SPIRIN M., GALSTYAN G., DROKOV M. Central venous access in lymphoma patients (pts) with superior vena cava syndrome (SVCS) // INTENSIVE CARE Med. Exp. 2019. Vol. 7, № Suppl. 3:001341. P. 388–389.</w:t>
      </w:r>
    </w:p>
    <w:p w14:paraId="572BA0C5" w14:textId="77777777" w:rsidR="008143D9" w:rsidRPr="008143D9" w:rsidRDefault="008143D9" w:rsidP="008143D9">
      <w:pPr>
        <w:widowControl w:val="0"/>
        <w:autoSpaceDE w:val="0"/>
        <w:autoSpaceDN w:val="0"/>
        <w:adjustRightInd w:val="0"/>
        <w:ind w:left="640" w:hanging="640"/>
        <w:rPr>
          <w:noProof/>
        </w:rPr>
      </w:pPr>
      <w:r w:rsidRPr="008143D9">
        <w:rPr>
          <w:noProof/>
        </w:rPr>
        <w:t>189.</w:t>
      </w:r>
      <w:r w:rsidRPr="008143D9">
        <w:rPr>
          <w:noProof/>
        </w:rPr>
        <w:tab/>
        <w:t>Pluschnig U. et al. Extravasation emergencies: state-of-the-art management and progress in clinical research. // Memo. Springer, 2016. Vol. 9, № 4. P. 226–230.</w:t>
      </w:r>
    </w:p>
    <w:p w14:paraId="3FC380C1" w14:textId="77777777" w:rsidR="008143D9" w:rsidRPr="008143D9" w:rsidRDefault="008143D9" w:rsidP="008143D9">
      <w:pPr>
        <w:widowControl w:val="0"/>
        <w:autoSpaceDE w:val="0"/>
        <w:autoSpaceDN w:val="0"/>
        <w:adjustRightInd w:val="0"/>
        <w:ind w:left="640" w:hanging="640"/>
        <w:rPr>
          <w:noProof/>
        </w:rPr>
      </w:pPr>
      <w:r w:rsidRPr="008143D9">
        <w:rPr>
          <w:noProof/>
        </w:rPr>
        <w:t>190.</w:t>
      </w:r>
      <w:r w:rsidRPr="008143D9">
        <w:rPr>
          <w:noProof/>
        </w:rPr>
        <w:tab/>
        <w:t>Zeidler K. et al. Optimal preprocedural platelet transfusion threshold for central venous catheter insertions in patients with thrombocytopenia. // Transfusion. 2011. Vol. 51, № 11. P. 2269–2276.</w:t>
      </w:r>
    </w:p>
    <w:p w14:paraId="4A2F4820" w14:textId="77777777" w:rsidR="008143D9" w:rsidRPr="008143D9" w:rsidRDefault="008143D9" w:rsidP="008143D9">
      <w:pPr>
        <w:widowControl w:val="0"/>
        <w:autoSpaceDE w:val="0"/>
        <w:autoSpaceDN w:val="0"/>
        <w:adjustRightInd w:val="0"/>
        <w:ind w:left="640" w:hanging="640"/>
        <w:rPr>
          <w:noProof/>
        </w:rPr>
      </w:pPr>
      <w:r w:rsidRPr="008143D9">
        <w:rPr>
          <w:noProof/>
        </w:rPr>
        <w:t>191.</w:t>
      </w:r>
      <w:r w:rsidRPr="008143D9">
        <w:rPr>
          <w:noProof/>
        </w:rPr>
        <w:tab/>
        <w:t>Zerati A.E. et al. Totally implantable venous catheters : history , implantation technique and complications. // J Vasc Bras. 2017. Vol. 16, № 2. P. 128–139.</w:t>
      </w:r>
    </w:p>
    <w:p w14:paraId="12EECF91" w14:textId="77777777" w:rsidR="008143D9" w:rsidRPr="008143D9" w:rsidRDefault="008143D9" w:rsidP="008143D9">
      <w:pPr>
        <w:widowControl w:val="0"/>
        <w:autoSpaceDE w:val="0"/>
        <w:autoSpaceDN w:val="0"/>
        <w:adjustRightInd w:val="0"/>
        <w:ind w:left="640" w:hanging="640"/>
        <w:rPr>
          <w:noProof/>
        </w:rPr>
      </w:pPr>
      <w:r w:rsidRPr="008143D9">
        <w:rPr>
          <w:noProof/>
        </w:rPr>
        <w:t>192.</w:t>
      </w:r>
      <w:r w:rsidRPr="008143D9">
        <w:rPr>
          <w:noProof/>
        </w:rPr>
        <w:tab/>
        <w:t>Gow K.W., Tapper D., Hickman R.O. Between the lines: The 50th anniversary of long-term central venous catheters // Am. J. Surg. Elsevier Ltd, 2017. Vol. 213, № 5. P. 837–848.</w:t>
      </w:r>
    </w:p>
    <w:p w14:paraId="6E9D9C47" w14:textId="77777777" w:rsidR="008143D9" w:rsidRPr="008143D9" w:rsidRDefault="008143D9" w:rsidP="008143D9">
      <w:pPr>
        <w:widowControl w:val="0"/>
        <w:autoSpaceDE w:val="0"/>
        <w:autoSpaceDN w:val="0"/>
        <w:adjustRightInd w:val="0"/>
        <w:ind w:left="640" w:hanging="640"/>
        <w:rPr>
          <w:noProof/>
        </w:rPr>
      </w:pPr>
      <w:r w:rsidRPr="008143D9">
        <w:rPr>
          <w:noProof/>
        </w:rPr>
        <w:t>193.</w:t>
      </w:r>
      <w:r w:rsidRPr="008143D9">
        <w:rPr>
          <w:noProof/>
        </w:rPr>
        <w:tab/>
        <w:t>Yeral M. et al. Tunnelled central venous catheter-related problems in the early phase of haematopoietic stem cell transplantation and effects on transplant outcome. // Turkish J. Haematol.  Off. J. Turkish Soc. Haematol. Galenos Yayinevi, 2015. Vol. 32, № 1. P. 51–57.</w:t>
      </w:r>
    </w:p>
    <w:p w14:paraId="2F814F3F" w14:textId="77777777" w:rsidR="008143D9" w:rsidRPr="008143D9" w:rsidRDefault="008143D9" w:rsidP="008143D9">
      <w:pPr>
        <w:widowControl w:val="0"/>
        <w:autoSpaceDE w:val="0"/>
        <w:autoSpaceDN w:val="0"/>
        <w:adjustRightInd w:val="0"/>
        <w:ind w:left="640" w:hanging="640"/>
        <w:rPr>
          <w:noProof/>
        </w:rPr>
      </w:pPr>
      <w:r w:rsidRPr="008143D9">
        <w:rPr>
          <w:noProof/>
        </w:rPr>
        <w:t>194.</w:t>
      </w:r>
      <w:r w:rsidRPr="008143D9">
        <w:rPr>
          <w:noProof/>
        </w:rPr>
        <w:tab/>
        <w:t>Maki D.G., Kluger D.M., Crnich C.J. The Risk of Bloodstream Infection in Adults With Different Intravascular Devices: A Systematic Review of 200 Published Prospective Studies // Mayo Clin. Proc. Elsevier, 2006. Vol. 81, № 9. P. 1159–1171.</w:t>
      </w:r>
    </w:p>
    <w:p w14:paraId="0EC9FCAE" w14:textId="77777777" w:rsidR="008143D9" w:rsidRPr="008143D9" w:rsidRDefault="008143D9" w:rsidP="008143D9">
      <w:pPr>
        <w:widowControl w:val="0"/>
        <w:autoSpaceDE w:val="0"/>
        <w:autoSpaceDN w:val="0"/>
        <w:adjustRightInd w:val="0"/>
        <w:ind w:left="640" w:hanging="640"/>
        <w:rPr>
          <w:noProof/>
        </w:rPr>
      </w:pPr>
      <w:r w:rsidRPr="008143D9">
        <w:rPr>
          <w:noProof/>
        </w:rPr>
        <w:t>195.</w:t>
      </w:r>
      <w:r w:rsidRPr="008143D9">
        <w:rPr>
          <w:noProof/>
        </w:rPr>
        <w:tab/>
        <w:t>Hamilton H. Central Venous Catheters / ed. Bodenham A.R. Oxford, UK: Wiley-Blackwell, 2009.</w:t>
      </w:r>
    </w:p>
    <w:p w14:paraId="75EF5C0D" w14:textId="77777777" w:rsidR="008143D9" w:rsidRPr="008143D9" w:rsidRDefault="008143D9" w:rsidP="008143D9">
      <w:pPr>
        <w:widowControl w:val="0"/>
        <w:autoSpaceDE w:val="0"/>
        <w:autoSpaceDN w:val="0"/>
        <w:adjustRightInd w:val="0"/>
        <w:ind w:left="640" w:hanging="640"/>
        <w:rPr>
          <w:noProof/>
        </w:rPr>
      </w:pPr>
      <w:r w:rsidRPr="008143D9">
        <w:rPr>
          <w:noProof/>
        </w:rPr>
        <w:t>196.</w:t>
      </w:r>
      <w:r w:rsidRPr="008143D9">
        <w:rPr>
          <w:noProof/>
        </w:rPr>
        <w:tab/>
        <w:t>Biffi R. Introduction and Overview of PICC History // Peripherally Inserted Central Venous Catheters. Milano: Springer Milan, 2014. P. 1–6.</w:t>
      </w:r>
    </w:p>
    <w:p w14:paraId="7AAB4B71" w14:textId="77777777" w:rsidR="008143D9" w:rsidRPr="008143D9" w:rsidRDefault="008143D9" w:rsidP="008143D9">
      <w:pPr>
        <w:widowControl w:val="0"/>
        <w:autoSpaceDE w:val="0"/>
        <w:autoSpaceDN w:val="0"/>
        <w:adjustRightInd w:val="0"/>
        <w:ind w:left="640" w:hanging="640"/>
        <w:rPr>
          <w:noProof/>
        </w:rPr>
      </w:pPr>
      <w:r w:rsidRPr="008143D9">
        <w:rPr>
          <w:noProof/>
        </w:rPr>
        <w:t>197.</w:t>
      </w:r>
      <w:r w:rsidRPr="008143D9">
        <w:rPr>
          <w:noProof/>
        </w:rPr>
        <w:tab/>
        <w:t>Linenberger M.L. Catheter-related thrombosis: risks, diagnosis, and management. // J. Natl. Compr. Canc. Netw. 2006. Vol. 4, № 9. P. 889–901.</w:t>
      </w:r>
    </w:p>
    <w:p w14:paraId="187A1D79" w14:textId="77777777" w:rsidR="008143D9" w:rsidRPr="008143D9" w:rsidRDefault="008143D9" w:rsidP="008143D9">
      <w:pPr>
        <w:widowControl w:val="0"/>
        <w:autoSpaceDE w:val="0"/>
        <w:autoSpaceDN w:val="0"/>
        <w:adjustRightInd w:val="0"/>
        <w:ind w:left="640" w:hanging="640"/>
        <w:rPr>
          <w:noProof/>
        </w:rPr>
      </w:pPr>
      <w:r w:rsidRPr="008143D9">
        <w:rPr>
          <w:noProof/>
        </w:rPr>
        <w:t>198.</w:t>
      </w:r>
      <w:r w:rsidRPr="008143D9">
        <w:rPr>
          <w:noProof/>
        </w:rPr>
        <w:tab/>
        <w:t>Lee A.Y.Y., Kamphuisen P.W. Epidemiology and prevention of catheter-related thrombosis in patients with cancer // J. Thromb. Haemost. 2012. № 10. P. 1491–1499.</w:t>
      </w:r>
    </w:p>
    <w:p w14:paraId="1FC96255" w14:textId="77777777" w:rsidR="008143D9" w:rsidRPr="008143D9" w:rsidRDefault="008143D9" w:rsidP="008143D9">
      <w:pPr>
        <w:widowControl w:val="0"/>
        <w:autoSpaceDE w:val="0"/>
        <w:autoSpaceDN w:val="0"/>
        <w:adjustRightInd w:val="0"/>
        <w:ind w:left="640" w:hanging="640"/>
        <w:rPr>
          <w:noProof/>
        </w:rPr>
      </w:pPr>
      <w:r w:rsidRPr="008143D9">
        <w:rPr>
          <w:noProof/>
        </w:rPr>
        <w:t>199.</w:t>
      </w:r>
      <w:r w:rsidRPr="008143D9">
        <w:rPr>
          <w:noProof/>
        </w:rPr>
        <w:tab/>
        <w:t>Цепенщинков Л.., Лядов В.К. Периферически имплантируемый центральный венозный катетер: обзор литераутры. // Клиническая онкогематология. 2014. Vol. 7, № 2. P. 220–228.</w:t>
      </w:r>
    </w:p>
    <w:p w14:paraId="0BCE1346" w14:textId="77777777" w:rsidR="008143D9" w:rsidRPr="008143D9" w:rsidRDefault="008143D9" w:rsidP="008143D9">
      <w:pPr>
        <w:widowControl w:val="0"/>
        <w:autoSpaceDE w:val="0"/>
        <w:autoSpaceDN w:val="0"/>
        <w:adjustRightInd w:val="0"/>
        <w:ind w:left="640" w:hanging="640"/>
        <w:rPr>
          <w:noProof/>
        </w:rPr>
      </w:pPr>
      <w:r w:rsidRPr="008143D9">
        <w:rPr>
          <w:noProof/>
        </w:rPr>
        <w:t>200.</w:t>
      </w:r>
      <w:r w:rsidRPr="008143D9">
        <w:rPr>
          <w:noProof/>
        </w:rPr>
        <w:tab/>
        <w:t>Linder L.E. et al. Material thrombogenicity in central venous catheterization: a comparison between soft, antebrachial catheters of silicone elastomer and polyurethane. // JPEN. J. Parenter. Enteral Nutr. 1984. Vol. 8, № 4. P. 399–406.</w:t>
      </w:r>
    </w:p>
    <w:p w14:paraId="7BC62756" w14:textId="77777777" w:rsidR="008143D9" w:rsidRPr="008143D9" w:rsidRDefault="008143D9" w:rsidP="008143D9">
      <w:pPr>
        <w:widowControl w:val="0"/>
        <w:autoSpaceDE w:val="0"/>
        <w:autoSpaceDN w:val="0"/>
        <w:adjustRightInd w:val="0"/>
        <w:ind w:left="640" w:hanging="640"/>
        <w:rPr>
          <w:noProof/>
        </w:rPr>
      </w:pPr>
      <w:r w:rsidRPr="008143D9">
        <w:rPr>
          <w:noProof/>
        </w:rPr>
        <w:t>201.</w:t>
      </w:r>
      <w:r w:rsidRPr="008143D9">
        <w:rPr>
          <w:noProof/>
        </w:rPr>
        <w:tab/>
        <w:t>Watters V.A., Grant J.P. Use of Electrocardiogram to Position Right Atrial Catheters During Surgery // Ann. Surg. Vol. 225, № 2. P. 165–171.</w:t>
      </w:r>
    </w:p>
    <w:p w14:paraId="7BE0164F" w14:textId="77777777" w:rsidR="008143D9" w:rsidRPr="008143D9" w:rsidRDefault="008143D9" w:rsidP="008143D9">
      <w:pPr>
        <w:widowControl w:val="0"/>
        <w:autoSpaceDE w:val="0"/>
        <w:autoSpaceDN w:val="0"/>
        <w:adjustRightInd w:val="0"/>
        <w:ind w:left="640" w:hanging="640"/>
        <w:rPr>
          <w:noProof/>
        </w:rPr>
      </w:pPr>
      <w:r w:rsidRPr="008143D9">
        <w:rPr>
          <w:noProof/>
        </w:rPr>
        <w:t>202.</w:t>
      </w:r>
      <w:r w:rsidRPr="008143D9">
        <w:rPr>
          <w:noProof/>
        </w:rPr>
        <w:tab/>
        <w:t>Taal M.W., Chesterton L.J., McIntyre C.W. Venography at insertion of tunnelled internal jugular vein dialysis catheters reveals significant occult stenosis // Nephrol. Dial. Transplant. Oxford University Press, 2004. Vol. 19, № 6. P. 1542–1545.</w:t>
      </w:r>
    </w:p>
    <w:p w14:paraId="5EC4CF81" w14:textId="77777777" w:rsidR="008143D9" w:rsidRPr="008143D9" w:rsidRDefault="008143D9" w:rsidP="008143D9">
      <w:pPr>
        <w:widowControl w:val="0"/>
        <w:autoSpaceDE w:val="0"/>
        <w:autoSpaceDN w:val="0"/>
        <w:adjustRightInd w:val="0"/>
        <w:ind w:left="640" w:hanging="640"/>
        <w:rPr>
          <w:noProof/>
        </w:rPr>
      </w:pPr>
      <w:r w:rsidRPr="008143D9">
        <w:rPr>
          <w:noProof/>
        </w:rPr>
        <w:t>203.</w:t>
      </w:r>
      <w:r w:rsidRPr="008143D9">
        <w:rPr>
          <w:noProof/>
        </w:rPr>
        <w:tab/>
        <w:t>Lobato E.B. et al. Cross-sectional area of the right and left internal jugular veins. // J. Cardiothorac. Vasc. Anesth. 1999. Vol. 13, № 2. P. 136–138.</w:t>
      </w:r>
    </w:p>
    <w:p w14:paraId="3F597CFA" w14:textId="77777777" w:rsidR="008143D9" w:rsidRPr="008143D9" w:rsidRDefault="008143D9" w:rsidP="008143D9">
      <w:pPr>
        <w:widowControl w:val="0"/>
        <w:autoSpaceDE w:val="0"/>
        <w:autoSpaceDN w:val="0"/>
        <w:adjustRightInd w:val="0"/>
        <w:ind w:left="640" w:hanging="640"/>
        <w:rPr>
          <w:noProof/>
        </w:rPr>
      </w:pPr>
      <w:r w:rsidRPr="008143D9">
        <w:rPr>
          <w:noProof/>
        </w:rPr>
        <w:t>204.</w:t>
      </w:r>
      <w:r w:rsidRPr="008143D9">
        <w:rPr>
          <w:noProof/>
        </w:rPr>
        <w:tab/>
        <w:t>Червонцева А.М. Повреждение сосудистого эндотелия в процессе лечения острых миелоидных лейкозов. 2008.</w:t>
      </w:r>
    </w:p>
    <w:p w14:paraId="671C58FC" w14:textId="77777777" w:rsidR="008143D9" w:rsidRPr="008143D9" w:rsidRDefault="008143D9" w:rsidP="008143D9">
      <w:pPr>
        <w:widowControl w:val="0"/>
        <w:autoSpaceDE w:val="0"/>
        <w:autoSpaceDN w:val="0"/>
        <w:adjustRightInd w:val="0"/>
        <w:ind w:left="640" w:hanging="640"/>
        <w:rPr>
          <w:noProof/>
        </w:rPr>
      </w:pPr>
      <w:r w:rsidRPr="008143D9">
        <w:rPr>
          <w:noProof/>
        </w:rPr>
        <w:t>205.</w:t>
      </w:r>
      <w:r w:rsidRPr="008143D9">
        <w:rPr>
          <w:noProof/>
        </w:rPr>
        <w:tab/>
        <w:t>Багирова Н.С. Инфекции, связанные с внутрисосудистыми устройствами: терминология, диагностика, профилактика и терапия // Злокачественные опухоли. 2014. № 3. P. 164–171.</w:t>
      </w:r>
    </w:p>
    <w:p w14:paraId="458EB767" w14:textId="77777777" w:rsidR="008143D9" w:rsidRPr="008143D9" w:rsidRDefault="008143D9" w:rsidP="008143D9">
      <w:pPr>
        <w:widowControl w:val="0"/>
        <w:autoSpaceDE w:val="0"/>
        <w:autoSpaceDN w:val="0"/>
        <w:adjustRightInd w:val="0"/>
        <w:ind w:left="640" w:hanging="640"/>
        <w:rPr>
          <w:noProof/>
        </w:rPr>
      </w:pPr>
      <w:r w:rsidRPr="008143D9">
        <w:rPr>
          <w:noProof/>
        </w:rPr>
        <w:t>206.</w:t>
      </w:r>
      <w:r w:rsidRPr="008143D9">
        <w:rPr>
          <w:noProof/>
        </w:rPr>
        <w:tab/>
        <w:t>Bannon M.P., Heller S.F., Rivera M. Anatomic considerations for central venous cannulation. // Risk Manag. Healthc. Policy. Dove Press, 2011. Vol. 4. P. 27–39.</w:t>
      </w:r>
    </w:p>
    <w:p w14:paraId="0F1ECDED" w14:textId="77777777" w:rsidR="008143D9" w:rsidRPr="008143D9" w:rsidRDefault="008143D9" w:rsidP="008143D9">
      <w:pPr>
        <w:widowControl w:val="0"/>
        <w:autoSpaceDE w:val="0"/>
        <w:autoSpaceDN w:val="0"/>
        <w:adjustRightInd w:val="0"/>
        <w:ind w:left="640" w:hanging="640"/>
        <w:rPr>
          <w:noProof/>
        </w:rPr>
      </w:pPr>
      <w:r w:rsidRPr="008143D9">
        <w:rPr>
          <w:noProof/>
        </w:rPr>
        <w:t>207.</w:t>
      </w:r>
      <w:r w:rsidRPr="008143D9">
        <w:rPr>
          <w:noProof/>
        </w:rPr>
        <w:tab/>
        <w:t>Milling T.J. et al. Randomized, controlled clinical trial of point-of-care limited ultrasonography assistance of central venous cannulation: The Third Sonography Outcomes Assessment Program (SOAP-3) Trial* // Crit. Care Med. 2005. Vol. 33, № 8. P. 1764–1769.</w:t>
      </w:r>
    </w:p>
    <w:p w14:paraId="2BCEB8F8" w14:textId="77777777" w:rsidR="008143D9" w:rsidRPr="008143D9" w:rsidRDefault="008143D9" w:rsidP="008143D9">
      <w:pPr>
        <w:widowControl w:val="0"/>
        <w:autoSpaceDE w:val="0"/>
        <w:autoSpaceDN w:val="0"/>
        <w:adjustRightInd w:val="0"/>
        <w:ind w:left="640" w:hanging="640"/>
        <w:rPr>
          <w:noProof/>
        </w:rPr>
      </w:pPr>
      <w:r w:rsidRPr="008143D9">
        <w:rPr>
          <w:noProof/>
        </w:rPr>
        <w:t>208.</w:t>
      </w:r>
      <w:r w:rsidRPr="008143D9">
        <w:rPr>
          <w:noProof/>
        </w:rPr>
        <w:tab/>
        <w:t>Зозуля Н.И., Кумскова М.А. Протокол диагностики и лечения гемофилии. // Алгоритмы диагностики и протоколы лечения заболеваний системы крови. Том 1. Практика / ed. Савченко В.Г. Москва, 2018. P. 333–358.</w:t>
      </w:r>
    </w:p>
    <w:p w14:paraId="349ABA97" w14:textId="77777777" w:rsidR="008143D9" w:rsidRPr="008143D9" w:rsidRDefault="008143D9" w:rsidP="008143D9">
      <w:pPr>
        <w:widowControl w:val="0"/>
        <w:autoSpaceDE w:val="0"/>
        <w:autoSpaceDN w:val="0"/>
        <w:adjustRightInd w:val="0"/>
        <w:ind w:left="640" w:hanging="640"/>
        <w:rPr>
          <w:noProof/>
        </w:rPr>
      </w:pPr>
      <w:r w:rsidRPr="008143D9">
        <w:rPr>
          <w:noProof/>
        </w:rPr>
        <w:t>209.</w:t>
      </w:r>
      <w:r w:rsidRPr="008143D9">
        <w:rPr>
          <w:noProof/>
        </w:rPr>
        <w:tab/>
        <w:t>Галстян Г.М. НАРУШЕНИЯ ГЕМОСТАЗА, ОБУСЛОВЛЕННЫЕ ДЕФИЦИТОМ ВИТАМИН К-ЗАВИСИМЫХ ФАКТОРОВ СВЕРТЫВАНИЯ КРОВИ — ПАТОГЕНЕЗ, СПОСОБЫ КОРРЕКЦИИ И РЕКОМЕНДАЦИИ ПО ЛЕЧЕНИЮ. // Гематология и трансфузиология. 2012. Vol. 27, № 2. P. 7–21.</w:t>
      </w:r>
    </w:p>
    <w:p w14:paraId="2EF50B0C" w14:textId="77777777" w:rsidR="008143D9" w:rsidRPr="008143D9" w:rsidRDefault="008143D9" w:rsidP="008143D9">
      <w:pPr>
        <w:widowControl w:val="0"/>
        <w:autoSpaceDE w:val="0"/>
        <w:autoSpaceDN w:val="0"/>
        <w:adjustRightInd w:val="0"/>
        <w:ind w:left="640" w:hanging="640"/>
        <w:rPr>
          <w:noProof/>
        </w:rPr>
      </w:pPr>
      <w:r w:rsidRPr="008143D9">
        <w:rPr>
          <w:noProof/>
        </w:rPr>
        <w:t>210.</w:t>
      </w:r>
      <w:r w:rsidRPr="008143D9">
        <w:rPr>
          <w:noProof/>
        </w:rPr>
        <w:tab/>
        <w:t>Roze des Ordons A.L. et al. Clinical characteristics and outcomes of patients with acute myelogenous leukemia admitted to intensive care: A case-control study // BMC Cancer. 2010. Vol. 10. P. 516.</w:t>
      </w:r>
    </w:p>
    <w:p w14:paraId="09B59D2F" w14:textId="77777777" w:rsidR="008143D9" w:rsidRPr="008143D9" w:rsidRDefault="008143D9" w:rsidP="008143D9">
      <w:pPr>
        <w:widowControl w:val="0"/>
        <w:autoSpaceDE w:val="0"/>
        <w:autoSpaceDN w:val="0"/>
        <w:adjustRightInd w:val="0"/>
        <w:ind w:left="640" w:hanging="640"/>
        <w:rPr>
          <w:noProof/>
        </w:rPr>
      </w:pPr>
      <w:r w:rsidRPr="008143D9">
        <w:rPr>
          <w:noProof/>
        </w:rPr>
        <w:t>211.</w:t>
      </w:r>
      <w:r w:rsidRPr="008143D9">
        <w:rPr>
          <w:noProof/>
        </w:rPr>
        <w:tab/>
        <w:t>Schellongowski P. et al. Prognostic factors for intensive care unit admission, intensive care outcome, and post-intensive care survival in patients with de novo acute myeloid leukemia: a single center experience // Haematologica. 2011. Vol. 96, № 2. P. 231–237.</w:t>
      </w:r>
    </w:p>
    <w:p w14:paraId="175BD50A" w14:textId="77777777" w:rsidR="008143D9" w:rsidRPr="008143D9" w:rsidRDefault="008143D9" w:rsidP="008143D9">
      <w:pPr>
        <w:widowControl w:val="0"/>
        <w:autoSpaceDE w:val="0"/>
        <w:autoSpaceDN w:val="0"/>
        <w:adjustRightInd w:val="0"/>
        <w:ind w:left="640" w:hanging="640"/>
        <w:rPr>
          <w:noProof/>
        </w:rPr>
      </w:pPr>
      <w:r w:rsidRPr="008143D9">
        <w:rPr>
          <w:noProof/>
        </w:rPr>
        <w:t>212.</w:t>
      </w:r>
      <w:r w:rsidRPr="008143D9">
        <w:rPr>
          <w:noProof/>
        </w:rPr>
        <w:tab/>
        <w:t>Lengliné E. et al. Intensive care unit management of patients with newly diagnosed acute myeloid leukemia with no organ failure // Leuk. Lymphoma. Leuk Lymphoma, 2012. Vol. 53, № 7. P. 1352–1359.</w:t>
      </w:r>
    </w:p>
    <w:p w14:paraId="3908A69E" w14:textId="77777777" w:rsidR="008143D9" w:rsidRPr="008143D9" w:rsidRDefault="008143D9" w:rsidP="008143D9">
      <w:pPr>
        <w:widowControl w:val="0"/>
        <w:autoSpaceDE w:val="0"/>
        <w:autoSpaceDN w:val="0"/>
        <w:adjustRightInd w:val="0"/>
        <w:ind w:left="640" w:hanging="640"/>
        <w:rPr>
          <w:noProof/>
        </w:rPr>
      </w:pPr>
      <w:r w:rsidRPr="008143D9">
        <w:rPr>
          <w:noProof/>
        </w:rPr>
        <w:t>213.</w:t>
      </w:r>
      <w:r w:rsidRPr="008143D9">
        <w:rPr>
          <w:noProof/>
        </w:rPr>
        <w:tab/>
        <w:t>Jackson K. et al. Outcomes and prognostic factors for patients with acute myeloid leukemia admitted to the intensive care unit // Leuk. Lymphoma. Leuk Lymphoma, 2013. Vol. 55, № April. P. 1–8.</w:t>
      </w:r>
    </w:p>
    <w:p w14:paraId="1BECC7E7" w14:textId="77777777" w:rsidR="008143D9" w:rsidRPr="008143D9" w:rsidRDefault="008143D9" w:rsidP="008143D9">
      <w:pPr>
        <w:widowControl w:val="0"/>
        <w:autoSpaceDE w:val="0"/>
        <w:autoSpaceDN w:val="0"/>
        <w:adjustRightInd w:val="0"/>
        <w:ind w:left="640" w:hanging="640"/>
        <w:rPr>
          <w:noProof/>
        </w:rPr>
      </w:pPr>
      <w:r w:rsidRPr="008143D9">
        <w:rPr>
          <w:noProof/>
        </w:rPr>
        <w:t>214.</w:t>
      </w:r>
      <w:r w:rsidRPr="008143D9">
        <w:rPr>
          <w:noProof/>
        </w:rPr>
        <w:tab/>
        <w:t>Pohlen M. et al. Patients with acute myeloid leukemia admitted to intensive care units: Outcome analysis and risk prediction // PLoS One. Public Library of Science, 2016. Vol. 11, № 8.</w:t>
      </w:r>
    </w:p>
    <w:p w14:paraId="65BDADDA" w14:textId="77777777" w:rsidR="008143D9" w:rsidRPr="008143D9" w:rsidRDefault="008143D9" w:rsidP="008143D9">
      <w:pPr>
        <w:widowControl w:val="0"/>
        <w:autoSpaceDE w:val="0"/>
        <w:autoSpaceDN w:val="0"/>
        <w:adjustRightInd w:val="0"/>
        <w:ind w:left="640" w:hanging="640"/>
        <w:rPr>
          <w:noProof/>
        </w:rPr>
      </w:pPr>
      <w:r w:rsidRPr="008143D9">
        <w:rPr>
          <w:noProof/>
        </w:rPr>
        <w:t>215.</w:t>
      </w:r>
      <w:r w:rsidRPr="008143D9">
        <w:rPr>
          <w:noProof/>
        </w:rPr>
        <w:tab/>
        <w:t>Halpern A.B. et al. Association of risk factors, mortality, and care costs of adults with acute myeloid leukemia with admission to the intensive care unit // JAMA Oncol. American Medical Association, 2017. Vol. 3, № 3. P. 374–381.</w:t>
      </w:r>
    </w:p>
    <w:p w14:paraId="38C3623B" w14:textId="77777777" w:rsidR="008143D9" w:rsidRPr="008143D9" w:rsidRDefault="008143D9" w:rsidP="008143D9">
      <w:pPr>
        <w:widowControl w:val="0"/>
        <w:autoSpaceDE w:val="0"/>
        <w:autoSpaceDN w:val="0"/>
        <w:adjustRightInd w:val="0"/>
        <w:ind w:left="640" w:hanging="640"/>
        <w:rPr>
          <w:noProof/>
        </w:rPr>
      </w:pPr>
      <w:r w:rsidRPr="008143D9">
        <w:rPr>
          <w:noProof/>
        </w:rPr>
        <w:t>216.</w:t>
      </w:r>
      <w:r w:rsidRPr="008143D9">
        <w:rPr>
          <w:noProof/>
        </w:rPr>
        <w:tab/>
        <w:t>Воробьев А.И. et al. Критические состояния при гемобластозах (типичные формы и выживаемость в условиях отделения реанимации). // Терапевтический архив. 1993. Vol. 65, № 7. P. 3–6.</w:t>
      </w:r>
    </w:p>
    <w:p w14:paraId="3A9C49B3" w14:textId="77777777" w:rsidR="008143D9" w:rsidRPr="008143D9" w:rsidRDefault="008143D9" w:rsidP="008143D9">
      <w:pPr>
        <w:widowControl w:val="0"/>
        <w:autoSpaceDE w:val="0"/>
        <w:autoSpaceDN w:val="0"/>
        <w:adjustRightInd w:val="0"/>
        <w:ind w:left="640" w:hanging="640"/>
        <w:rPr>
          <w:noProof/>
        </w:rPr>
      </w:pPr>
      <w:r w:rsidRPr="008143D9">
        <w:rPr>
          <w:noProof/>
        </w:rPr>
        <w:t>217.</w:t>
      </w:r>
      <w:r w:rsidRPr="008143D9">
        <w:rPr>
          <w:noProof/>
        </w:rPr>
        <w:tab/>
        <w:t>Галстян Г.М., Городецкий В.М. Опыт работы отделения реанимации и интенсивной терапии ФГБУ ГНЦ МЗиСР РФ // Клиническая онкогематология. 2011. Vol. 4, № 1. P. 75–78.</w:t>
      </w:r>
    </w:p>
    <w:p w14:paraId="18C430D2" w14:textId="77777777" w:rsidR="008143D9" w:rsidRPr="008143D9" w:rsidRDefault="008143D9" w:rsidP="008143D9">
      <w:pPr>
        <w:widowControl w:val="0"/>
        <w:autoSpaceDE w:val="0"/>
        <w:autoSpaceDN w:val="0"/>
        <w:adjustRightInd w:val="0"/>
        <w:ind w:left="640" w:hanging="640"/>
        <w:rPr>
          <w:noProof/>
        </w:rPr>
      </w:pPr>
      <w:r w:rsidRPr="008143D9">
        <w:rPr>
          <w:noProof/>
        </w:rPr>
        <w:t>218.</w:t>
      </w:r>
      <w:r w:rsidRPr="008143D9">
        <w:rPr>
          <w:noProof/>
        </w:rPr>
        <w:tab/>
        <w:t>Lamia B. et al. Changes in severity and organ failure scores as prognostic factors in onco-hematological malignancy patients admitted to the ICU // Intensive Care Med. Intensive Care Med, 2006. Vol. 32, № 10. P. 1560–1568.</w:t>
      </w:r>
    </w:p>
    <w:p w14:paraId="3991A522" w14:textId="77777777" w:rsidR="008143D9" w:rsidRPr="008143D9" w:rsidRDefault="008143D9" w:rsidP="008143D9">
      <w:pPr>
        <w:widowControl w:val="0"/>
        <w:autoSpaceDE w:val="0"/>
        <w:autoSpaceDN w:val="0"/>
        <w:adjustRightInd w:val="0"/>
        <w:ind w:left="640" w:hanging="640"/>
        <w:rPr>
          <w:noProof/>
        </w:rPr>
      </w:pPr>
      <w:r w:rsidRPr="008143D9">
        <w:rPr>
          <w:noProof/>
        </w:rPr>
        <w:t>219.</w:t>
      </w:r>
      <w:r w:rsidRPr="008143D9">
        <w:rPr>
          <w:noProof/>
        </w:rPr>
        <w:tab/>
        <w:t>Evison J.M. et al. Intensive care unit admission in patients with haematological disease: incidence, outcome and prognostic factors. 2001.</w:t>
      </w:r>
    </w:p>
    <w:p w14:paraId="2378CFB6" w14:textId="77777777" w:rsidR="008143D9" w:rsidRPr="008143D9" w:rsidRDefault="008143D9" w:rsidP="008143D9">
      <w:pPr>
        <w:widowControl w:val="0"/>
        <w:autoSpaceDE w:val="0"/>
        <w:autoSpaceDN w:val="0"/>
        <w:adjustRightInd w:val="0"/>
        <w:ind w:left="640" w:hanging="640"/>
        <w:rPr>
          <w:noProof/>
        </w:rPr>
      </w:pPr>
      <w:r w:rsidRPr="008143D9">
        <w:rPr>
          <w:noProof/>
        </w:rPr>
        <w:t>220.</w:t>
      </w:r>
      <w:r w:rsidRPr="008143D9">
        <w:rPr>
          <w:noProof/>
        </w:rPr>
        <w:tab/>
        <w:t>Silfvast T. et al. Multiple organ failure and outcome of critically ill patients with haematological malignancy // Acta Anaesthesiol. Scand. Acta Anaesthesiol Scand, 2003. Vol. 47, № 3. P. 301–306.</w:t>
      </w:r>
    </w:p>
    <w:p w14:paraId="6CC54218" w14:textId="77777777" w:rsidR="008143D9" w:rsidRPr="008143D9" w:rsidRDefault="008143D9" w:rsidP="008143D9">
      <w:pPr>
        <w:widowControl w:val="0"/>
        <w:autoSpaceDE w:val="0"/>
        <w:autoSpaceDN w:val="0"/>
        <w:adjustRightInd w:val="0"/>
        <w:ind w:left="640" w:hanging="640"/>
        <w:rPr>
          <w:noProof/>
        </w:rPr>
      </w:pPr>
      <w:r w:rsidRPr="008143D9">
        <w:rPr>
          <w:noProof/>
        </w:rPr>
        <w:t>221.</w:t>
      </w:r>
      <w:r w:rsidRPr="008143D9">
        <w:rPr>
          <w:noProof/>
        </w:rPr>
        <w:tab/>
        <w:t>Benoit D.D. et al. Outcome and early prognostic indicators in patients with a hematologic malignancy admitted to the intensive care unit for a life-threatening complication // Crit. Care Med. Crit Care Med, 2003. Vol. 31, № 1. P. 104–112.</w:t>
      </w:r>
    </w:p>
    <w:p w14:paraId="66858FC6" w14:textId="77777777" w:rsidR="008143D9" w:rsidRPr="008143D9" w:rsidRDefault="008143D9" w:rsidP="008143D9">
      <w:pPr>
        <w:widowControl w:val="0"/>
        <w:autoSpaceDE w:val="0"/>
        <w:autoSpaceDN w:val="0"/>
        <w:adjustRightInd w:val="0"/>
        <w:ind w:left="640" w:hanging="640"/>
        <w:rPr>
          <w:noProof/>
        </w:rPr>
      </w:pPr>
      <w:r w:rsidRPr="008143D9">
        <w:rPr>
          <w:noProof/>
        </w:rPr>
        <w:t>222.</w:t>
      </w:r>
      <w:r w:rsidRPr="008143D9">
        <w:rPr>
          <w:noProof/>
        </w:rPr>
        <w:tab/>
        <w:t>Medić M.G. et al. Hematologic malignancies in the medical intensive care unit – Outcomes and prognostic factors // Hematology. Maney Publishing, 2015. Vol. 20, № 5. P. 247–253.</w:t>
      </w:r>
    </w:p>
    <w:p w14:paraId="2CE97EEA" w14:textId="77777777" w:rsidR="008143D9" w:rsidRPr="008143D9" w:rsidRDefault="008143D9" w:rsidP="008143D9">
      <w:pPr>
        <w:widowControl w:val="0"/>
        <w:autoSpaceDE w:val="0"/>
        <w:autoSpaceDN w:val="0"/>
        <w:adjustRightInd w:val="0"/>
        <w:ind w:left="640" w:hanging="640"/>
        <w:rPr>
          <w:noProof/>
        </w:rPr>
      </w:pPr>
      <w:r w:rsidRPr="008143D9">
        <w:rPr>
          <w:noProof/>
        </w:rPr>
        <w:t>223.</w:t>
      </w:r>
      <w:r w:rsidRPr="008143D9">
        <w:rPr>
          <w:noProof/>
        </w:rPr>
        <w:tab/>
        <w:t>Ahmed T. et al. Outcomes and changes in code status of patients with acute myeloid leukemia undergoing induction chemotherapy who were transferred to the intensive care unit // Leuk. Res. Elsevier Ltd, 2017. Vol. 62. P. 51–55.</w:t>
      </w:r>
    </w:p>
    <w:p w14:paraId="14B6A4A3" w14:textId="77777777" w:rsidR="008143D9" w:rsidRPr="008143D9" w:rsidRDefault="008143D9" w:rsidP="008143D9">
      <w:pPr>
        <w:widowControl w:val="0"/>
        <w:autoSpaceDE w:val="0"/>
        <w:autoSpaceDN w:val="0"/>
        <w:adjustRightInd w:val="0"/>
        <w:ind w:left="640" w:hanging="640"/>
        <w:rPr>
          <w:noProof/>
        </w:rPr>
      </w:pPr>
      <w:r w:rsidRPr="008143D9">
        <w:rPr>
          <w:noProof/>
        </w:rPr>
        <w:t>224.</w:t>
      </w:r>
      <w:r w:rsidRPr="008143D9">
        <w:rPr>
          <w:noProof/>
        </w:rPr>
        <w:tab/>
        <w:t>Wohlfarth P. et al. Prognostic factors, long-term survival, and outcome of cancer patients receiving chemotherapy in the intensive care unit // Ann. Hematol. Springer Verlag, 2014. Vol. 93, № 10. P. 1629–1636.</w:t>
      </w:r>
    </w:p>
    <w:p w14:paraId="3DD6BB96" w14:textId="77777777" w:rsidR="008143D9" w:rsidRPr="008143D9" w:rsidRDefault="008143D9" w:rsidP="008143D9">
      <w:pPr>
        <w:widowControl w:val="0"/>
        <w:autoSpaceDE w:val="0"/>
        <w:autoSpaceDN w:val="0"/>
        <w:adjustRightInd w:val="0"/>
        <w:ind w:left="640" w:hanging="640"/>
        <w:rPr>
          <w:noProof/>
        </w:rPr>
      </w:pPr>
      <w:r w:rsidRPr="008143D9">
        <w:rPr>
          <w:noProof/>
        </w:rPr>
        <w:t>225.</w:t>
      </w:r>
      <w:r w:rsidRPr="008143D9">
        <w:rPr>
          <w:noProof/>
        </w:rPr>
        <w:tab/>
        <w:t>Fan E., Brodie D., Slutsky A.S. Acute Respiratory Distress Syndrome // JAMA. American Medical Association, 2018. Vol. 319, № 7. P. 698.</w:t>
      </w:r>
    </w:p>
    <w:p w14:paraId="71E73012" w14:textId="77777777" w:rsidR="008143D9" w:rsidRPr="008143D9" w:rsidRDefault="008143D9" w:rsidP="008143D9">
      <w:pPr>
        <w:widowControl w:val="0"/>
        <w:autoSpaceDE w:val="0"/>
        <w:autoSpaceDN w:val="0"/>
        <w:adjustRightInd w:val="0"/>
        <w:ind w:left="640" w:hanging="640"/>
        <w:rPr>
          <w:noProof/>
        </w:rPr>
      </w:pPr>
      <w:r w:rsidRPr="008143D9">
        <w:rPr>
          <w:noProof/>
        </w:rPr>
        <w:t>226.</w:t>
      </w:r>
      <w:r w:rsidRPr="008143D9">
        <w:rPr>
          <w:noProof/>
        </w:rPr>
        <w:tab/>
        <w:t>Young P. et al. Effect of a buffered crystalloid solution vs saline on acute kidney injury among patients in the intensive care unit: The SPLIT randomized clinical trial // JAMA - J. Am. Med. Assoc. American Medical Association, 2015. Vol. 314, № 16. P. 1701–1710.</w:t>
      </w:r>
    </w:p>
    <w:p w14:paraId="4D2C26C9" w14:textId="77777777" w:rsidR="008143D9" w:rsidRPr="008143D9" w:rsidRDefault="008143D9" w:rsidP="008143D9">
      <w:pPr>
        <w:widowControl w:val="0"/>
        <w:autoSpaceDE w:val="0"/>
        <w:autoSpaceDN w:val="0"/>
        <w:adjustRightInd w:val="0"/>
        <w:ind w:left="640" w:hanging="640"/>
        <w:rPr>
          <w:noProof/>
        </w:rPr>
      </w:pPr>
      <w:r w:rsidRPr="008143D9">
        <w:rPr>
          <w:noProof/>
        </w:rPr>
        <w:t>227.</w:t>
      </w:r>
      <w:r w:rsidRPr="008143D9">
        <w:rPr>
          <w:noProof/>
        </w:rPr>
        <w:tab/>
        <w:t>Hoorn E.J. Intravenous fluids: balancing solutions // Journal of Nephrology. Springer New York LLC, 2017. Vol. 30, № 4. P. 485–492.</w:t>
      </w:r>
    </w:p>
    <w:p w14:paraId="31D8DDCA" w14:textId="77777777" w:rsidR="008143D9" w:rsidRPr="008143D9" w:rsidRDefault="008143D9" w:rsidP="008143D9">
      <w:pPr>
        <w:widowControl w:val="0"/>
        <w:autoSpaceDE w:val="0"/>
        <w:autoSpaceDN w:val="0"/>
        <w:adjustRightInd w:val="0"/>
        <w:ind w:left="640" w:hanging="640"/>
        <w:rPr>
          <w:noProof/>
        </w:rPr>
      </w:pPr>
      <w:r w:rsidRPr="008143D9">
        <w:rPr>
          <w:noProof/>
        </w:rPr>
        <w:t>228.</w:t>
      </w:r>
      <w:r w:rsidRPr="008143D9">
        <w:rPr>
          <w:noProof/>
        </w:rPr>
        <w:tab/>
        <w:t>Карагюлян С.Р. et al. Технические сложности выполнения спленэктомии при заболеваниях системы крови // Клиническая онкогематология. 2017. Vol. 10, № 1. P. 101–107.</w:t>
      </w:r>
    </w:p>
    <w:p w14:paraId="67C15005" w14:textId="77777777" w:rsidR="008143D9" w:rsidRPr="008143D9" w:rsidRDefault="008143D9" w:rsidP="008143D9">
      <w:pPr>
        <w:widowControl w:val="0"/>
        <w:autoSpaceDE w:val="0"/>
        <w:autoSpaceDN w:val="0"/>
        <w:adjustRightInd w:val="0"/>
        <w:ind w:left="640" w:hanging="640"/>
        <w:rPr>
          <w:noProof/>
        </w:rPr>
      </w:pPr>
      <w:r w:rsidRPr="008143D9">
        <w:rPr>
          <w:noProof/>
        </w:rPr>
        <w:t>229.</w:t>
      </w:r>
      <w:r w:rsidRPr="008143D9">
        <w:rPr>
          <w:noProof/>
        </w:rPr>
        <w:tab/>
        <w:t>Habermalz B. et al. Laparoscopic splenectomy: The clinical practice guidelines of the European Association for Endoscopic Surgery (EAES) // Surgical Endoscopy and Other Interventional Techniques. Surg Endosc, 2008. Vol. 22, № 4. P. 821–848.</w:t>
      </w:r>
    </w:p>
    <w:p w14:paraId="7E27AE26" w14:textId="77777777" w:rsidR="008143D9" w:rsidRPr="008143D9" w:rsidRDefault="008143D9" w:rsidP="008143D9">
      <w:pPr>
        <w:widowControl w:val="0"/>
        <w:autoSpaceDE w:val="0"/>
        <w:autoSpaceDN w:val="0"/>
        <w:adjustRightInd w:val="0"/>
        <w:ind w:left="640" w:hanging="640"/>
        <w:rPr>
          <w:noProof/>
        </w:rPr>
      </w:pPr>
      <w:r w:rsidRPr="008143D9">
        <w:rPr>
          <w:noProof/>
        </w:rPr>
        <w:t>230.</w:t>
      </w:r>
      <w:r w:rsidRPr="008143D9">
        <w:rPr>
          <w:noProof/>
        </w:rPr>
        <w:tab/>
        <w:t>Протоколы трансплантации аллогенных гепомоэтических стволовых клеток. Под ред. В.Г. Савченко. М.: Практика, 2020. 320 p.</w:t>
      </w:r>
    </w:p>
    <w:p w14:paraId="5350DBF1" w14:textId="77777777" w:rsidR="008143D9" w:rsidRPr="008143D9" w:rsidRDefault="008143D9" w:rsidP="008143D9">
      <w:pPr>
        <w:widowControl w:val="0"/>
        <w:autoSpaceDE w:val="0"/>
        <w:autoSpaceDN w:val="0"/>
        <w:adjustRightInd w:val="0"/>
        <w:ind w:left="640" w:hanging="640"/>
        <w:rPr>
          <w:noProof/>
        </w:rPr>
      </w:pPr>
      <w:r w:rsidRPr="008143D9">
        <w:rPr>
          <w:noProof/>
        </w:rPr>
        <w:t>231.</w:t>
      </w:r>
      <w:r w:rsidRPr="008143D9">
        <w:rPr>
          <w:noProof/>
        </w:rPr>
        <w:tab/>
        <w:t>Gratwohl A. The EBMT risk score // Bone Marrow Transplantation. Nature Publishing Group, 2012. Vol. 47, № 6. P. 749–756.</w:t>
      </w:r>
    </w:p>
    <w:p w14:paraId="05B181C6" w14:textId="60129B5E" w:rsidR="00ED6675" w:rsidRDefault="00F20CFD" w:rsidP="008143D9">
      <w:pPr>
        <w:widowControl w:val="0"/>
        <w:autoSpaceDE w:val="0"/>
        <w:autoSpaceDN w:val="0"/>
        <w:adjustRightInd w:val="0"/>
        <w:ind w:left="640" w:hanging="640"/>
        <w:rPr>
          <w:lang w:val="fr-FR"/>
        </w:rPr>
      </w:pPr>
      <w:r w:rsidRPr="006A377C">
        <w:rPr>
          <w:lang w:val="fr-FR"/>
        </w:rPr>
        <w:fldChar w:fldCharType="end"/>
      </w:r>
    </w:p>
    <w:p w14:paraId="05CC2E53" w14:textId="77777777" w:rsidR="00F20CFD" w:rsidRPr="00610BA2" w:rsidRDefault="00F20CFD" w:rsidP="00433C8D">
      <w:pPr>
        <w:pStyle w:val="2"/>
        <w:ind w:firstLine="0"/>
        <w:jc w:val="center"/>
        <w:rPr>
          <w:szCs w:val="28"/>
        </w:rPr>
      </w:pPr>
      <w:bookmarkStart w:id="61" w:name="_Toc65104118"/>
      <w:r w:rsidRPr="00433C8D">
        <w:rPr>
          <w:sz w:val="28"/>
          <w:szCs w:val="28"/>
          <w:u w:val="none"/>
        </w:rPr>
        <w:t>Приложение А1. Состав рабочей группы по разработке и пересмотру клинических рекомендаций</w:t>
      </w:r>
      <w:bookmarkEnd w:id="61"/>
    </w:p>
    <w:p w14:paraId="0519CBC5" w14:textId="77777777" w:rsidR="00F20CFD" w:rsidRPr="006A377C" w:rsidRDefault="00F20CFD" w:rsidP="00EA7BF5">
      <w:pPr>
        <w:pStyle w:val="aff"/>
        <w:autoSpaceDE w:val="0"/>
        <w:autoSpaceDN w:val="0"/>
        <w:adjustRightInd w:val="0"/>
        <w:ind w:left="644"/>
        <w:jc w:val="center"/>
        <w:rPr>
          <w:b/>
          <w:szCs w:val="24"/>
        </w:rPr>
      </w:pPr>
    </w:p>
    <w:p w14:paraId="49AAFF16" w14:textId="77777777" w:rsidR="00F20CFD" w:rsidRPr="006A377C" w:rsidRDefault="00F20CFD" w:rsidP="005F2F2B">
      <w:pPr>
        <w:pStyle w:val="aff"/>
        <w:numPr>
          <w:ilvl w:val="0"/>
          <w:numId w:val="20"/>
        </w:numPr>
        <w:rPr>
          <w:szCs w:val="24"/>
        </w:rPr>
      </w:pPr>
      <w:r w:rsidRPr="006A377C">
        <w:rPr>
          <w:b/>
          <w:szCs w:val="24"/>
        </w:rPr>
        <w:t>Афанасьев Б.В.,</w:t>
      </w:r>
      <w:r w:rsidRPr="006A377C">
        <w:rPr>
          <w:szCs w:val="24"/>
        </w:rPr>
        <w:t xml:space="preserve"> профессор, д.м.н., заслуженный врач РФ, директор Клиники «</w:t>
      </w:r>
      <w:r w:rsidR="00EE7EC1">
        <w:rPr>
          <w:szCs w:val="24"/>
        </w:rPr>
        <w:t>НИИ</w:t>
      </w:r>
      <w:r w:rsidR="00A57C24">
        <w:rPr>
          <w:szCs w:val="24"/>
        </w:rPr>
        <w:t xml:space="preserve"> </w:t>
      </w:r>
      <w:r w:rsidRPr="006A377C">
        <w:rPr>
          <w:szCs w:val="24"/>
        </w:rPr>
        <w:t>детской онкологии, гематологии и трансплантологии им. Р.М. Горбачевой» ФГБОУ ВО «Первый Санкт-Петербургский государственный медицинский университет им. академика И.П. Павлова» Минздрава России, заведующий гематологии, трансфузиологии и трансплантологии факультета последипломного образования ФГБОУ ВО «Первый Санкт-Петербургский государственный медицинский университет им. академика И.П. Павлова» Минздрава России, член Национального гематологического общества, член EBMT.</w:t>
      </w:r>
    </w:p>
    <w:p w14:paraId="4008C383" w14:textId="77777777" w:rsidR="00F20CFD" w:rsidRPr="006A377C" w:rsidRDefault="00F20CFD" w:rsidP="005F2F2B">
      <w:pPr>
        <w:pStyle w:val="aff"/>
        <w:numPr>
          <w:ilvl w:val="0"/>
          <w:numId w:val="20"/>
        </w:numPr>
        <w:rPr>
          <w:szCs w:val="24"/>
        </w:rPr>
      </w:pPr>
      <w:r w:rsidRPr="006A377C">
        <w:rPr>
          <w:b/>
          <w:szCs w:val="24"/>
        </w:rPr>
        <w:t>Байков В.В.,</w:t>
      </w:r>
      <w:r w:rsidRPr="006A377C">
        <w:rPr>
          <w:szCs w:val="24"/>
        </w:rPr>
        <w:t xml:space="preserve"> д.м.н., профессор кафедры патологической анатомии, заведующий лабораторией патоморфологии НИИ детской онкологии, гематологии и трансплантологии им. Р.М. Горбачевой, ФГБОУ ВО «Первый Санкт-Петербургский государственный медицинский университет им. академика И.П. Павлова» Минздрава России, член Российского общества патологоанатомов, член Национального общества онкогематологов, член Европейского общества патологов (ESP), член Европейско-Американской ассоциации гематопатологов.</w:t>
      </w:r>
    </w:p>
    <w:p w14:paraId="2B414E3C" w14:textId="77777777" w:rsidR="00F20CFD" w:rsidRPr="006A377C" w:rsidRDefault="00F20CFD" w:rsidP="005F2F2B">
      <w:pPr>
        <w:pStyle w:val="aff"/>
        <w:numPr>
          <w:ilvl w:val="0"/>
          <w:numId w:val="20"/>
        </w:numPr>
        <w:rPr>
          <w:szCs w:val="24"/>
        </w:rPr>
      </w:pPr>
      <w:r w:rsidRPr="006A377C">
        <w:rPr>
          <w:b/>
          <w:szCs w:val="24"/>
        </w:rPr>
        <w:t>Грицаев С.В.,</w:t>
      </w:r>
      <w:r w:rsidRPr="006A377C">
        <w:rPr>
          <w:szCs w:val="24"/>
        </w:rPr>
        <w:t xml:space="preserve"> д.м.н., главный научный сотрудник отделения химиотерапии гемобластозов, депрессий кроветворения и трансплантации костного мозга ФГБУ «Российский научно-исследовательский институт гематологии и трансфузиологии» ФМБА России, член Национального гематологического общества.</w:t>
      </w:r>
    </w:p>
    <w:p w14:paraId="03631EE1" w14:textId="77777777" w:rsidR="00F20CFD" w:rsidRPr="006A377C" w:rsidRDefault="00F20CFD" w:rsidP="005F2F2B">
      <w:pPr>
        <w:pStyle w:val="aff"/>
        <w:numPr>
          <w:ilvl w:val="0"/>
          <w:numId w:val="20"/>
        </w:numPr>
        <w:rPr>
          <w:szCs w:val="24"/>
        </w:rPr>
      </w:pPr>
      <w:r w:rsidRPr="006A377C">
        <w:rPr>
          <w:b/>
          <w:szCs w:val="24"/>
        </w:rPr>
        <w:t>Двирнык В.Н.,</w:t>
      </w:r>
      <w:r w:rsidRPr="006A377C">
        <w:rPr>
          <w:szCs w:val="24"/>
        </w:rPr>
        <w:t xml:space="preserve"> к.м.н., заведующая централизованной клинико-диагностической лабораторией ФГБУ «Гематологический научный центр» Минздрава России, член Национального гематологического общества.</w:t>
      </w:r>
    </w:p>
    <w:p w14:paraId="0CA4515E" w14:textId="77777777" w:rsidR="00F20CFD" w:rsidRPr="006A377C" w:rsidRDefault="00F20CFD" w:rsidP="005F2F2B">
      <w:pPr>
        <w:pStyle w:val="aff"/>
        <w:numPr>
          <w:ilvl w:val="0"/>
          <w:numId w:val="20"/>
        </w:numPr>
        <w:rPr>
          <w:szCs w:val="24"/>
        </w:rPr>
      </w:pPr>
      <w:r w:rsidRPr="006A377C">
        <w:rPr>
          <w:b/>
          <w:szCs w:val="24"/>
        </w:rPr>
        <w:t xml:space="preserve">Дудина Г.А., </w:t>
      </w:r>
      <w:r w:rsidRPr="006A377C">
        <w:rPr>
          <w:szCs w:val="24"/>
        </w:rPr>
        <w:t>к.м.н., старший научный сотрудник ГБУЗ «Московский клинический научный центр им. А.С. Логинова ДЗМ», член Национального гематологического общества.</w:t>
      </w:r>
    </w:p>
    <w:p w14:paraId="16D23C66" w14:textId="77777777" w:rsidR="00F20CFD" w:rsidRPr="006A377C" w:rsidRDefault="00F20CFD" w:rsidP="005F2F2B">
      <w:pPr>
        <w:pStyle w:val="aff"/>
        <w:numPr>
          <w:ilvl w:val="0"/>
          <w:numId w:val="20"/>
        </w:numPr>
        <w:rPr>
          <w:szCs w:val="24"/>
        </w:rPr>
      </w:pPr>
      <w:r w:rsidRPr="006A377C">
        <w:rPr>
          <w:b/>
          <w:szCs w:val="24"/>
        </w:rPr>
        <w:t>Ковригина А.М.</w:t>
      </w:r>
      <w:r w:rsidRPr="006A377C">
        <w:rPr>
          <w:szCs w:val="24"/>
        </w:rPr>
        <w:t>, д.м.н., профессор, заведующий лаборатории ФГБУ «Гематологический научный центр» Минздрава России, член Российского общества патологоанатомов, член Национального общества онкогематологов, член Европейского общества патологов (ESP), член Европейско-Американской ассоциации гематопатологов.</w:t>
      </w:r>
    </w:p>
    <w:p w14:paraId="1A63BFD7" w14:textId="77777777" w:rsidR="00F20CFD" w:rsidRPr="006A377C" w:rsidRDefault="00F20CFD" w:rsidP="005F2F2B">
      <w:pPr>
        <w:pStyle w:val="aff"/>
        <w:numPr>
          <w:ilvl w:val="0"/>
          <w:numId w:val="20"/>
        </w:numPr>
        <w:rPr>
          <w:szCs w:val="24"/>
        </w:rPr>
      </w:pPr>
      <w:r w:rsidRPr="006A377C">
        <w:rPr>
          <w:b/>
          <w:szCs w:val="24"/>
        </w:rPr>
        <w:t>Константинова Т.С.,</w:t>
      </w:r>
      <w:r w:rsidRPr="006A377C">
        <w:rPr>
          <w:szCs w:val="24"/>
        </w:rPr>
        <w:t xml:space="preserve"> к.м.н., заведующий Областным гематологическим центром Свердловской областной клинической больницы № 1, член Национального гематологического общества.</w:t>
      </w:r>
    </w:p>
    <w:p w14:paraId="7FC36A14" w14:textId="77777777" w:rsidR="00F20CFD" w:rsidRPr="006A377C" w:rsidRDefault="00F20CFD" w:rsidP="005F2F2B">
      <w:pPr>
        <w:pStyle w:val="aff"/>
        <w:numPr>
          <w:ilvl w:val="0"/>
          <w:numId w:val="20"/>
        </w:numPr>
        <w:rPr>
          <w:szCs w:val="24"/>
        </w:rPr>
      </w:pPr>
      <w:r w:rsidRPr="006A377C">
        <w:rPr>
          <w:b/>
          <w:szCs w:val="24"/>
        </w:rPr>
        <w:t>Кохно А.В.,</w:t>
      </w:r>
      <w:r w:rsidRPr="006A377C">
        <w:rPr>
          <w:szCs w:val="24"/>
        </w:rPr>
        <w:t xml:space="preserve"> к.м.н., ведущий научный сотрудник отделения химиотерапии гемобластозов и депрессий кроветворения ФГБУ «Гематологический научный центр» Минздрава России, член Национального гематологического общества.</w:t>
      </w:r>
    </w:p>
    <w:p w14:paraId="06C96C58" w14:textId="77777777" w:rsidR="00F20CFD" w:rsidRPr="006A377C" w:rsidRDefault="00F20CFD" w:rsidP="005F2F2B">
      <w:pPr>
        <w:pStyle w:val="aff"/>
        <w:numPr>
          <w:ilvl w:val="0"/>
          <w:numId w:val="20"/>
        </w:numPr>
        <w:rPr>
          <w:szCs w:val="24"/>
        </w:rPr>
      </w:pPr>
      <w:r w:rsidRPr="006A377C">
        <w:rPr>
          <w:b/>
          <w:szCs w:val="24"/>
        </w:rPr>
        <w:t>Кузьмина Л.А.,</w:t>
      </w:r>
      <w:r w:rsidRPr="006A377C">
        <w:rPr>
          <w:szCs w:val="24"/>
        </w:rPr>
        <w:t xml:space="preserve"> к.м.н., заведующий отделения высокодозной химиотерапии и трансплантации костного мозга ФГБУ «Гематологический научный центр» Минздрава России, член Национального гематологического общества.</w:t>
      </w:r>
    </w:p>
    <w:p w14:paraId="784E0ECF" w14:textId="77777777" w:rsidR="00F20CFD" w:rsidRPr="006A377C" w:rsidRDefault="00F20CFD" w:rsidP="005F2F2B">
      <w:pPr>
        <w:pStyle w:val="aff"/>
        <w:numPr>
          <w:ilvl w:val="0"/>
          <w:numId w:val="20"/>
        </w:numPr>
        <w:rPr>
          <w:szCs w:val="24"/>
        </w:rPr>
      </w:pPr>
      <w:r w:rsidRPr="006A377C">
        <w:rPr>
          <w:b/>
          <w:szCs w:val="24"/>
        </w:rPr>
        <w:t>Морозова Е.В.,</w:t>
      </w:r>
      <w:r w:rsidRPr="006A377C">
        <w:rPr>
          <w:szCs w:val="24"/>
        </w:rPr>
        <w:t xml:space="preserve"> к.м.н., </w:t>
      </w:r>
      <w:r w:rsidR="00EE7EC1">
        <w:rPr>
          <w:szCs w:val="24"/>
        </w:rPr>
        <w:t>руководитель отдела онкологии, гематологии и трансплантологии</w:t>
      </w:r>
      <w:r w:rsidR="00EE7EC1" w:rsidRPr="006A377C">
        <w:rPr>
          <w:szCs w:val="24"/>
        </w:rPr>
        <w:t xml:space="preserve"> </w:t>
      </w:r>
      <w:r w:rsidR="00EE7EC1">
        <w:rPr>
          <w:szCs w:val="24"/>
        </w:rPr>
        <w:t xml:space="preserve"> НИИ ДОГиТ им Р.М.</w:t>
      </w:r>
      <w:r w:rsidR="00A57C24">
        <w:rPr>
          <w:szCs w:val="24"/>
        </w:rPr>
        <w:t xml:space="preserve"> </w:t>
      </w:r>
      <w:r w:rsidR="00EE7EC1">
        <w:rPr>
          <w:szCs w:val="24"/>
        </w:rPr>
        <w:t xml:space="preserve">Горбачевой , </w:t>
      </w:r>
      <w:r w:rsidRPr="006A377C">
        <w:rPr>
          <w:szCs w:val="24"/>
        </w:rPr>
        <w:t>доцент кафедры гематологии, трансфузиологии и трансплантологии ФГБОУ ВО «Первый Санкт-Петербургский государственный медицинский университет им. академика И.П. Павлова Минздрава России, член Национального гематологического общества.</w:t>
      </w:r>
    </w:p>
    <w:p w14:paraId="659B06CB" w14:textId="77777777" w:rsidR="00F20CFD" w:rsidRPr="006A377C" w:rsidRDefault="00F20CFD" w:rsidP="005F2F2B">
      <w:pPr>
        <w:pStyle w:val="aff"/>
        <w:numPr>
          <w:ilvl w:val="0"/>
          <w:numId w:val="20"/>
        </w:numPr>
        <w:rPr>
          <w:szCs w:val="24"/>
        </w:rPr>
      </w:pPr>
      <w:r w:rsidRPr="006A377C">
        <w:rPr>
          <w:b/>
          <w:szCs w:val="24"/>
        </w:rPr>
        <w:t>Обухова Т.Н.,</w:t>
      </w:r>
      <w:r w:rsidRPr="006A377C">
        <w:rPr>
          <w:szCs w:val="24"/>
        </w:rPr>
        <w:t xml:space="preserve"> к.м.н., заведующий научно-клинической лаборатории кариологии ФГБУ «Гематологический научный центр» Минздрава России, член Национального гематологического общества.</w:t>
      </w:r>
    </w:p>
    <w:p w14:paraId="076093A8" w14:textId="77777777" w:rsidR="00F20CFD" w:rsidRPr="006A377C" w:rsidRDefault="00F20CFD" w:rsidP="005F2F2B">
      <w:pPr>
        <w:pStyle w:val="aff"/>
        <w:numPr>
          <w:ilvl w:val="0"/>
          <w:numId w:val="20"/>
        </w:numPr>
        <w:rPr>
          <w:szCs w:val="24"/>
        </w:rPr>
      </w:pPr>
      <w:r w:rsidRPr="006A377C">
        <w:rPr>
          <w:b/>
          <w:szCs w:val="24"/>
        </w:rPr>
        <w:t>Паровичникова Е.Н.,</w:t>
      </w:r>
      <w:r w:rsidRPr="006A377C">
        <w:rPr>
          <w:szCs w:val="24"/>
        </w:rPr>
        <w:t xml:space="preserve"> д.м.н., руководитель научно-клинического отдела высокодозной химиотерапии гемобластозов и трансплантации костного мозга ФГБУ «Гематологический научный центр» Минздрава России, член Национального гематологического общества, эксперт Европейской группы по изучению острых лимфобластных лейкозов взрослых (EWGAALL).</w:t>
      </w:r>
    </w:p>
    <w:p w14:paraId="1F0D5BD1" w14:textId="77777777" w:rsidR="00F20CFD" w:rsidRPr="006A377C" w:rsidRDefault="00F20CFD" w:rsidP="005F2F2B">
      <w:pPr>
        <w:pStyle w:val="aff"/>
        <w:numPr>
          <w:ilvl w:val="0"/>
          <w:numId w:val="20"/>
        </w:numPr>
        <w:rPr>
          <w:szCs w:val="24"/>
        </w:rPr>
      </w:pPr>
      <w:r w:rsidRPr="006A377C">
        <w:rPr>
          <w:b/>
          <w:szCs w:val="24"/>
        </w:rPr>
        <w:t>Савченко В.Г.</w:t>
      </w:r>
      <w:r w:rsidRPr="006A377C">
        <w:rPr>
          <w:szCs w:val="24"/>
        </w:rPr>
        <w:t>, академик, профессор, д.м.н., генеральный директор ФГБУ «Гематологический научный центр» Минздрава России, председатель Наблюдательного совета Национального гематологического общества, член ASH.</w:t>
      </w:r>
    </w:p>
    <w:p w14:paraId="5E8814D9" w14:textId="77777777" w:rsidR="00F20CFD" w:rsidRPr="006A377C" w:rsidRDefault="00F20CFD" w:rsidP="005F2F2B">
      <w:pPr>
        <w:pStyle w:val="aff"/>
        <w:numPr>
          <w:ilvl w:val="0"/>
          <w:numId w:val="20"/>
        </w:numPr>
        <w:rPr>
          <w:szCs w:val="24"/>
        </w:rPr>
      </w:pPr>
      <w:r w:rsidRPr="006A377C">
        <w:rPr>
          <w:b/>
          <w:szCs w:val="24"/>
        </w:rPr>
        <w:t>Самойлова О.С.,</w:t>
      </w:r>
      <w:r w:rsidRPr="006A377C">
        <w:rPr>
          <w:szCs w:val="24"/>
        </w:rPr>
        <w:t xml:space="preserve"> к.м.н., заведующий гематологическим отделением ГБУЗ НО «Нижегородская областная клиническая больница им. Н.А. Семашко», член Национального гематологического общества.</w:t>
      </w:r>
    </w:p>
    <w:p w14:paraId="2594C451" w14:textId="77777777" w:rsidR="00F20CFD" w:rsidRPr="006A377C" w:rsidRDefault="00F20CFD" w:rsidP="005F2F2B">
      <w:pPr>
        <w:pStyle w:val="aff"/>
        <w:numPr>
          <w:ilvl w:val="0"/>
          <w:numId w:val="20"/>
        </w:numPr>
        <w:rPr>
          <w:szCs w:val="24"/>
        </w:rPr>
      </w:pPr>
      <w:r w:rsidRPr="006A377C">
        <w:rPr>
          <w:b/>
          <w:szCs w:val="24"/>
        </w:rPr>
        <w:t>Семочкин С.В.,</w:t>
      </w:r>
      <w:r w:rsidRPr="006A377C">
        <w:rPr>
          <w:szCs w:val="24"/>
        </w:rPr>
        <w:t xml:space="preserve"> д.м.н., руководитель Университетской клиники гематологии, профессор кафедры онкологии гематологии и лучевой терапии ФГБОУ ВО «Российский национальный медицинский исследовательский университет им. Н.И. Пирогова» Минздрава России, член Национального гематологического общества, член Национального общества детских гематологов и онкологов, член Национального общества онкологов и гематологов, член EACR.</w:t>
      </w:r>
    </w:p>
    <w:p w14:paraId="573C1816" w14:textId="77777777" w:rsidR="00F20CFD" w:rsidRPr="006A377C" w:rsidRDefault="00F20CFD" w:rsidP="005F2F2B">
      <w:pPr>
        <w:pStyle w:val="aff"/>
        <w:numPr>
          <w:ilvl w:val="0"/>
          <w:numId w:val="20"/>
        </w:numPr>
        <w:rPr>
          <w:szCs w:val="24"/>
        </w:rPr>
      </w:pPr>
      <w:r w:rsidRPr="006A377C">
        <w:rPr>
          <w:b/>
          <w:szCs w:val="24"/>
        </w:rPr>
        <w:t>Троицкая В.В.,</w:t>
      </w:r>
      <w:r w:rsidRPr="006A377C">
        <w:rPr>
          <w:szCs w:val="24"/>
        </w:rPr>
        <w:t xml:space="preserve"> к.м.н., заведующий научно-клиническим отделением химиотерапии гемобластозов и депрессий кроветворения ФГБУ «Гематологический научный центр» Минздрава России, член Национального гематологического общества.</w:t>
      </w:r>
    </w:p>
    <w:p w14:paraId="3774FAD4" w14:textId="77777777" w:rsidR="00F20CFD" w:rsidRPr="006A377C" w:rsidRDefault="00F20CFD" w:rsidP="005F2F2B">
      <w:pPr>
        <w:pStyle w:val="aff"/>
        <w:numPr>
          <w:ilvl w:val="0"/>
          <w:numId w:val="20"/>
        </w:numPr>
        <w:rPr>
          <w:szCs w:val="24"/>
        </w:rPr>
      </w:pPr>
      <w:r w:rsidRPr="006A377C">
        <w:rPr>
          <w:b/>
          <w:szCs w:val="24"/>
        </w:rPr>
        <w:t>Шатохин Ю.В.,</w:t>
      </w:r>
      <w:r w:rsidRPr="006A377C">
        <w:rPr>
          <w:szCs w:val="24"/>
        </w:rPr>
        <w:t xml:space="preserve"> д.м.н., профессор, заведующий кафедрой гематологии и трансфузиологии ФПК и ППС Ростовского государственного медицинского университета, член Национального гематологического общества.</w:t>
      </w:r>
    </w:p>
    <w:p w14:paraId="1DC77401" w14:textId="77777777" w:rsidR="00F20CFD" w:rsidRDefault="00F20CFD" w:rsidP="005F2F2B">
      <w:pPr>
        <w:pStyle w:val="aff"/>
        <w:numPr>
          <w:ilvl w:val="0"/>
          <w:numId w:val="20"/>
        </w:numPr>
        <w:rPr>
          <w:szCs w:val="24"/>
        </w:rPr>
      </w:pPr>
      <w:r w:rsidRPr="006A377C">
        <w:rPr>
          <w:b/>
          <w:szCs w:val="24"/>
        </w:rPr>
        <w:t>Ширин А.Д.,</w:t>
      </w:r>
      <w:r w:rsidRPr="006A377C">
        <w:rPr>
          <w:szCs w:val="24"/>
        </w:rPr>
        <w:t xml:space="preserve"> к.м.н., старший научный ФГБУ «Российский онкологический научный центр» им. Н.Н. Блохина Минздрава России, член Национального гематологического общества, член Национального общества онкологов и гематологов.</w:t>
      </w:r>
    </w:p>
    <w:p w14:paraId="07BA0DCD" w14:textId="77777777" w:rsidR="000D21B1" w:rsidRPr="00A26583" w:rsidRDefault="000D21B1" w:rsidP="000D21B1">
      <w:pPr>
        <w:autoSpaceDE w:val="0"/>
        <w:autoSpaceDN w:val="0"/>
        <w:adjustRightInd w:val="0"/>
        <w:rPr>
          <w:b/>
          <w:color w:val="000000"/>
          <w:szCs w:val="24"/>
        </w:rPr>
      </w:pPr>
      <w:r w:rsidRPr="00A26583">
        <w:rPr>
          <w:b/>
          <w:color w:val="000000"/>
          <w:szCs w:val="24"/>
        </w:rPr>
        <w:t>Блок по организации медицинской помощи:</w:t>
      </w:r>
    </w:p>
    <w:p w14:paraId="07B0373C" w14:textId="0DB24141" w:rsidR="000D21B1" w:rsidRPr="00A26583" w:rsidRDefault="000D21B1" w:rsidP="008C45F0">
      <w:pPr>
        <w:numPr>
          <w:ilvl w:val="0"/>
          <w:numId w:val="20"/>
        </w:numPr>
        <w:autoSpaceDE w:val="0"/>
        <w:autoSpaceDN w:val="0"/>
        <w:adjustRightInd w:val="0"/>
        <w:rPr>
          <w:lang w:eastAsia="ru-RU"/>
        </w:rPr>
      </w:pPr>
      <w:r w:rsidRPr="00A26583">
        <w:rPr>
          <w:b/>
          <w:lang w:eastAsia="ru-RU"/>
        </w:rPr>
        <w:t>Геворкян Т</w:t>
      </w:r>
      <w:r w:rsidR="001E001D">
        <w:rPr>
          <w:b/>
          <w:lang w:eastAsia="ru-RU"/>
        </w:rPr>
        <w:t>.</w:t>
      </w:r>
      <w:r w:rsidRPr="00A26583">
        <w:rPr>
          <w:b/>
          <w:lang w:eastAsia="ru-RU"/>
        </w:rPr>
        <w:t>Г</w:t>
      </w:r>
      <w:r w:rsidR="001E001D">
        <w:rPr>
          <w:b/>
          <w:lang w:eastAsia="ru-RU"/>
        </w:rPr>
        <w:t>.</w:t>
      </w:r>
      <w:r w:rsidRPr="00A26583">
        <w:rPr>
          <w:lang w:eastAsia="ru-RU"/>
        </w:rPr>
        <w:t>, заместитель директора НИИ КЭР ФГБУ «НМИЦ онкологии им. Н.Н. Блохина», главный специалист-онколог Московской области.</w:t>
      </w:r>
    </w:p>
    <w:p w14:paraId="0E43B066" w14:textId="3CD2A304" w:rsidR="000D21B1" w:rsidRPr="00A26583" w:rsidRDefault="000D21B1" w:rsidP="008C45F0">
      <w:pPr>
        <w:numPr>
          <w:ilvl w:val="0"/>
          <w:numId w:val="20"/>
        </w:numPr>
        <w:autoSpaceDE w:val="0"/>
        <w:autoSpaceDN w:val="0"/>
        <w:adjustRightInd w:val="0"/>
        <w:rPr>
          <w:color w:val="000000"/>
          <w:szCs w:val="24"/>
          <w:lang w:eastAsia="ru-RU"/>
        </w:rPr>
      </w:pPr>
      <w:r w:rsidRPr="00A26583">
        <w:rPr>
          <w:b/>
          <w:color w:val="000000"/>
          <w:szCs w:val="24"/>
          <w:lang w:eastAsia="ru-RU"/>
        </w:rPr>
        <w:t>Иванов С</w:t>
      </w:r>
      <w:r w:rsidR="001E001D">
        <w:rPr>
          <w:b/>
          <w:color w:val="000000"/>
          <w:szCs w:val="24"/>
          <w:lang w:eastAsia="ru-RU"/>
        </w:rPr>
        <w:t>.</w:t>
      </w:r>
      <w:r w:rsidRPr="00A26583">
        <w:rPr>
          <w:b/>
          <w:color w:val="000000"/>
          <w:szCs w:val="24"/>
          <w:lang w:eastAsia="ru-RU"/>
        </w:rPr>
        <w:t>А</w:t>
      </w:r>
      <w:r w:rsidR="001E001D">
        <w:rPr>
          <w:b/>
          <w:color w:val="000000"/>
          <w:szCs w:val="24"/>
          <w:lang w:eastAsia="ru-RU"/>
        </w:rPr>
        <w:t>.</w:t>
      </w:r>
      <w:r w:rsidRPr="00A26583">
        <w:rPr>
          <w:b/>
          <w:color w:val="000000"/>
          <w:szCs w:val="24"/>
          <w:lang w:eastAsia="ru-RU"/>
        </w:rPr>
        <w:t>,</w:t>
      </w:r>
      <w:r w:rsidRPr="00A26583">
        <w:rPr>
          <w:color w:val="000000"/>
          <w:szCs w:val="24"/>
          <w:lang w:eastAsia="ru-RU"/>
        </w:rPr>
        <w:t xml:space="preserve"> д.м.н., проф. РАН, директор МРНЦ им. А.Ф. Цыба – филиала ФГБУ «НМИЦ радиологии» Минздрава России.</w:t>
      </w:r>
    </w:p>
    <w:p w14:paraId="55D2E3FD" w14:textId="3BFBA5A9" w:rsidR="000D21B1" w:rsidRPr="00A26583" w:rsidRDefault="000D21B1" w:rsidP="008C45F0">
      <w:pPr>
        <w:numPr>
          <w:ilvl w:val="0"/>
          <w:numId w:val="20"/>
        </w:numPr>
        <w:autoSpaceDE w:val="0"/>
        <w:autoSpaceDN w:val="0"/>
        <w:adjustRightInd w:val="0"/>
        <w:rPr>
          <w:color w:val="000000"/>
          <w:szCs w:val="24"/>
          <w:lang w:eastAsia="ru-RU"/>
        </w:rPr>
      </w:pPr>
      <w:r w:rsidRPr="00A26583">
        <w:rPr>
          <w:b/>
          <w:color w:val="000000"/>
          <w:szCs w:val="24"/>
          <w:lang w:eastAsia="ru-RU"/>
        </w:rPr>
        <w:t>Невольских А</w:t>
      </w:r>
      <w:r w:rsidR="001E001D">
        <w:rPr>
          <w:b/>
          <w:color w:val="000000"/>
          <w:szCs w:val="24"/>
          <w:lang w:eastAsia="ru-RU"/>
        </w:rPr>
        <w:t>.</w:t>
      </w:r>
      <w:r w:rsidRPr="00A26583">
        <w:rPr>
          <w:b/>
          <w:color w:val="000000"/>
          <w:szCs w:val="24"/>
          <w:lang w:eastAsia="ru-RU"/>
        </w:rPr>
        <w:t>А</w:t>
      </w:r>
      <w:r w:rsidR="001E001D">
        <w:rPr>
          <w:b/>
          <w:color w:val="000000"/>
          <w:szCs w:val="24"/>
          <w:lang w:eastAsia="ru-RU"/>
        </w:rPr>
        <w:t>.</w:t>
      </w:r>
      <w:r w:rsidRPr="00A26583">
        <w:rPr>
          <w:color w:val="000000"/>
          <w:szCs w:val="24"/>
          <w:lang w:eastAsia="ru-RU"/>
        </w:rPr>
        <w:t>, д.м.н., заместитель директора по лечебной работе МРНЦ им. А.Ф. Цыба – филиала ФГБУ «НМИЦ радиологии» Минздрава России.</w:t>
      </w:r>
    </w:p>
    <w:p w14:paraId="16813DD3" w14:textId="7B2AEE51" w:rsidR="000D21B1" w:rsidRDefault="000D21B1" w:rsidP="008C45F0">
      <w:pPr>
        <w:numPr>
          <w:ilvl w:val="0"/>
          <w:numId w:val="20"/>
        </w:numPr>
        <w:autoSpaceDE w:val="0"/>
        <w:autoSpaceDN w:val="0"/>
        <w:adjustRightInd w:val="0"/>
        <w:rPr>
          <w:color w:val="000000"/>
          <w:szCs w:val="24"/>
          <w:lang w:eastAsia="ru-RU"/>
        </w:rPr>
      </w:pPr>
      <w:r w:rsidRPr="00A26583">
        <w:rPr>
          <w:b/>
          <w:color w:val="000000"/>
          <w:szCs w:val="24"/>
          <w:lang w:eastAsia="ru-RU"/>
        </w:rPr>
        <w:t>Хайлова Ж</w:t>
      </w:r>
      <w:r w:rsidR="001E001D">
        <w:rPr>
          <w:b/>
          <w:color w:val="000000"/>
          <w:szCs w:val="24"/>
          <w:lang w:eastAsia="ru-RU"/>
        </w:rPr>
        <w:t>.В.</w:t>
      </w:r>
      <w:r w:rsidRPr="00A26583">
        <w:rPr>
          <w:color w:val="000000"/>
          <w:szCs w:val="24"/>
          <w:lang w:eastAsia="ru-RU"/>
        </w:rPr>
        <w:t>, к.м.н., заместитель директора по организационно-методической работе МРНЦ им. А.Ф. Цыба – филиала ФГБУ «НМИЦ радиологии» Минздрава России.</w:t>
      </w:r>
    </w:p>
    <w:p w14:paraId="48E9EB0C" w14:textId="77777777" w:rsidR="008C45F0" w:rsidRPr="00652916" w:rsidRDefault="008C45F0" w:rsidP="008C45F0">
      <w:pPr>
        <w:rPr>
          <w:color w:val="000000"/>
          <w:szCs w:val="24"/>
        </w:rPr>
      </w:pPr>
      <w:r w:rsidRPr="00652916">
        <w:rPr>
          <w:b/>
          <w:color w:val="000000"/>
          <w:szCs w:val="24"/>
        </w:rPr>
        <w:t>Блок по трансплантации аллогенных гемопоэтических стволовых клеток</w:t>
      </w:r>
    </w:p>
    <w:p w14:paraId="638C6330" w14:textId="77777777" w:rsidR="008C45F0" w:rsidRPr="00652916" w:rsidRDefault="008C45F0" w:rsidP="008C45F0">
      <w:pPr>
        <w:pStyle w:val="aff"/>
        <w:numPr>
          <w:ilvl w:val="0"/>
          <w:numId w:val="20"/>
        </w:numPr>
        <w:overflowPunct w:val="0"/>
        <w:autoSpaceDE w:val="0"/>
        <w:autoSpaceDN w:val="0"/>
        <w:adjustRightInd w:val="0"/>
        <w:contextualSpacing/>
        <w:textAlignment w:val="baseline"/>
        <w:rPr>
          <w:rFonts w:eastAsia="SimSun"/>
          <w:szCs w:val="24"/>
        </w:rPr>
      </w:pPr>
      <w:r w:rsidRPr="00652916">
        <w:rPr>
          <w:rFonts w:eastAsia="SimSun"/>
          <w:b/>
          <w:bCs/>
          <w:szCs w:val="24"/>
        </w:rPr>
        <w:t>Дроков М.Ю.,</w:t>
      </w:r>
      <w:r w:rsidRPr="00652916">
        <w:rPr>
          <w:rFonts w:eastAsia="SimSun"/>
          <w:szCs w:val="24"/>
        </w:rPr>
        <w:t xml:space="preserve"> к.м.н., руководитель сектора по изучению иммунных воздействий и осложнений после ТКМ ФГБУ «НМИЦ гематологии» Минздрава России</w:t>
      </w:r>
    </w:p>
    <w:p w14:paraId="1BC61B88" w14:textId="77777777" w:rsidR="008C45F0" w:rsidRPr="00652916" w:rsidRDefault="008C45F0" w:rsidP="008C45F0">
      <w:pPr>
        <w:pStyle w:val="aff"/>
        <w:numPr>
          <w:ilvl w:val="0"/>
          <w:numId w:val="20"/>
        </w:numPr>
        <w:overflowPunct w:val="0"/>
        <w:autoSpaceDE w:val="0"/>
        <w:autoSpaceDN w:val="0"/>
        <w:adjustRightInd w:val="0"/>
        <w:contextualSpacing/>
        <w:textAlignment w:val="baseline"/>
        <w:rPr>
          <w:rFonts w:eastAsia="SimSun"/>
          <w:szCs w:val="24"/>
        </w:rPr>
      </w:pPr>
      <w:r w:rsidRPr="00652916">
        <w:rPr>
          <w:rFonts w:eastAsia="SimSun"/>
          <w:b/>
          <w:bCs/>
          <w:szCs w:val="24"/>
        </w:rPr>
        <w:t>Васильева В.А.,</w:t>
      </w:r>
      <w:r w:rsidRPr="00652916">
        <w:rPr>
          <w:rFonts w:eastAsia="SimSun"/>
          <w:szCs w:val="24"/>
        </w:rPr>
        <w:t xml:space="preserve"> к.м.н., заведующая отделением иммунохимиотерапии с дневным стационаром для больных после ТКМ ФГБУ «НМИЦ гематологии» Минздрава России</w:t>
      </w:r>
    </w:p>
    <w:p w14:paraId="1A1AE3E2" w14:textId="77777777" w:rsidR="008C45F0" w:rsidRPr="00652916" w:rsidRDefault="008C45F0" w:rsidP="008C45F0">
      <w:pPr>
        <w:pStyle w:val="aff"/>
        <w:numPr>
          <w:ilvl w:val="0"/>
          <w:numId w:val="20"/>
        </w:numPr>
        <w:overflowPunct w:val="0"/>
        <w:autoSpaceDE w:val="0"/>
        <w:autoSpaceDN w:val="0"/>
        <w:adjustRightInd w:val="0"/>
        <w:contextualSpacing/>
        <w:textAlignment w:val="baseline"/>
        <w:rPr>
          <w:rFonts w:eastAsia="SimSun"/>
          <w:szCs w:val="24"/>
        </w:rPr>
      </w:pPr>
      <w:r w:rsidRPr="00652916">
        <w:rPr>
          <w:rFonts w:eastAsia="SimSun"/>
          <w:b/>
          <w:bCs/>
          <w:szCs w:val="24"/>
        </w:rPr>
        <w:t>Власова Ю.Ю.,</w:t>
      </w:r>
      <w:r w:rsidRPr="00652916">
        <w:rPr>
          <w:rFonts w:eastAsia="SimSun"/>
          <w:szCs w:val="24"/>
        </w:rPr>
        <w:t xml:space="preserve"> к.м.н., зав. отделением транспантации костного мозга для взрослых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14:paraId="14A526C7" w14:textId="77777777" w:rsidR="008C45F0" w:rsidRPr="00652916" w:rsidRDefault="008C45F0" w:rsidP="008C45F0">
      <w:pPr>
        <w:pStyle w:val="aff"/>
        <w:numPr>
          <w:ilvl w:val="0"/>
          <w:numId w:val="20"/>
        </w:numPr>
        <w:overflowPunct w:val="0"/>
        <w:autoSpaceDE w:val="0"/>
        <w:autoSpaceDN w:val="0"/>
        <w:adjustRightInd w:val="0"/>
        <w:contextualSpacing/>
        <w:textAlignment w:val="baseline"/>
        <w:rPr>
          <w:rFonts w:eastAsia="SimSun"/>
          <w:szCs w:val="24"/>
        </w:rPr>
      </w:pPr>
      <w:r w:rsidRPr="00652916">
        <w:rPr>
          <w:rFonts w:eastAsia="SimSun"/>
          <w:b/>
          <w:bCs/>
          <w:szCs w:val="24"/>
        </w:rPr>
        <w:t>Гапонова Т.В.,</w:t>
      </w:r>
      <w:r w:rsidRPr="00652916">
        <w:rPr>
          <w:rFonts w:eastAsia="SimSun"/>
          <w:szCs w:val="24"/>
        </w:rPr>
        <w:t xml:space="preserve"> к.м.н., главный внештатный специалист-трансфузиолог </w:t>
      </w:r>
      <w:r w:rsidRPr="00652916">
        <w:rPr>
          <w:szCs w:val="24"/>
        </w:rPr>
        <w:t>Министерства здравоохранения РФ,</w:t>
      </w:r>
      <w:r w:rsidRPr="00652916">
        <w:rPr>
          <w:rFonts w:eastAsia="SimSun"/>
          <w:szCs w:val="24"/>
        </w:rPr>
        <w:t xml:space="preserve"> заместитель Генерального директора ФГБУ «НМИЦ гематологии» Минздрава России, зав. отделом процессинга клеток крови и криоконсервирования</w:t>
      </w:r>
    </w:p>
    <w:p w14:paraId="46023F04" w14:textId="77777777" w:rsidR="008C45F0" w:rsidRPr="00652916" w:rsidRDefault="008C45F0" w:rsidP="008C45F0">
      <w:pPr>
        <w:pStyle w:val="aff"/>
        <w:numPr>
          <w:ilvl w:val="0"/>
          <w:numId w:val="20"/>
        </w:numPr>
        <w:overflowPunct w:val="0"/>
        <w:autoSpaceDE w:val="0"/>
        <w:autoSpaceDN w:val="0"/>
        <w:adjustRightInd w:val="0"/>
        <w:contextualSpacing/>
        <w:textAlignment w:val="baseline"/>
        <w:rPr>
          <w:rFonts w:eastAsia="SimSun"/>
          <w:szCs w:val="24"/>
        </w:rPr>
      </w:pPr>
      <w:r w:rsidRPr="00652916">
        <w:rPr>
          <w:rFonts w:eastAsia="SimSun"/>
          <w:b/>
          <w:bCs/>
          <w:szCs w:val="24"/>
        </w:rPr>
        <w:t>Зарицкий А.Ю.,</w:t>
      </w:r>
      <w:r w:rsidRPr="00652916">
        <w:rPr>
          <w:rFonts w:eastAsia="SimSun"/>
          <w:szCs w:val="24"/>
        </w:rPr>
        <w:t xml:space="preserve"> д.м.н,</w:t>
      </w:r>
      <w:r w:rsidRPr="00652916">
        <w:rPr>
          <w:szCs w:val="24"/>
        </w:rPr>
        <w:t xml:space="preserve"> профессор,</w:t>
      </w:r>
      <w:r w:rsidRPr="00652916">
        <w:rPr>
          <w:rFonts w:eastAsia="SimSun"/>
          <w:szCs w:val="24"/>
        </w:rPr>
        <w:t xml:space="preserve"> директор института гематологии, ФГБУ НМИЦ им В.А. Алмазова </w:t>
      </w:r>
    </w:p>
    <w:p w14:paraId="5F384834" w14:textId="77777777" w:rsidR="008C45F0" w:rsidRPr="00E474D3" w:rsidRDefault="008C45F0" w:rsidP="008C45F0">
      <w:pPr>
        <w:pStyle w:val="aff"/>
        <w:numPr>
          <w:ilvl w:val="0"/>
          <w:numId w:val="20"/>
        </w:numPr>
        <w:overflowPunct w:val="0"/>
        <w:autoSpaceDE w:val="0"/>
        <w:autoSpaceDN w:val="0"/>
        <w:adjustRightInd w:val="0"/>
        <w:contextualSpacing/>
        <w:textAlignment w:val="baseline"/>
        <w:rPr>
          <w:rFonts w:eastAsia="SimSun"/>
          <w:szCs w:val="24"/>
        </w:rPr>
      </w:pPr>
      <w:r w:rsidRPr="00652916">
        <w:rPr>
          <w:rFonts w:eastAsia="SimSun"/>
          <w:b/>
          <w:bCs/>
          <w:szCs w:val="24"/>
        </w:rPr>
        <w:t>Зюзгин И.С.,</w:t>
      </w:r>
      <w:r w:rsidRPr="00652916">
        <w:rPr>
          <w:rFonts w:eastAsia="SimSun"/>
          <w:szCs w:val="24"/>
        </w:rPr>
        <w:t xml:space="preserve"> заведующий отделением гематологии и трансплантации костного мозга ФГБУ «НМИЦ онкологии им. </w:t>
      </w:r>
      <w:r w:rsidRPr="00E474D3">
        <w:rPr>
          <w:rFonts w:eastAsia="SimSun"/>
          <w:szCs w:val="24"/>
        </w:rPr>
        <w:t>Н.Н. Петрова» Минздрава России</w:t>
      </w:r>
    </w:p>
    <w:p w14:paraId="0D36E53C" w14:textId="77777777" w:rsidR="008C45F0" w:rsidRPr="00E474D3" w:rsidRDefault="008C45F0" w:rsidP="008C45F0">
      <w:pPr>
        <w:pStyle w:val="aff"/>
        <w:numPr>
          <w:ilvl w:val="0"/>
          <w:numId w:val="20"/>
        </w:numPr>
        <w:overflowPunct w:val="0"/>
        <w:autoSpaceDE w:val="0"/>
        <w:autoSpaceDN w:val="0"/>
        <w:adjustRightInd w:val="0"/>
        <w:contextualSpacing/>
        <w:textAlignment w:val="baseline"/>
        <w:rPr>
          <w:rFonts w:eastAsia="SimSun"/>
          <w:szCs w:val="24"/>
        </w:rPr>
      </w:pPr>
      <w:r w:rsidRPr="00652916">
        <w:rPr>
          <w:rFonts w:eastAsia="SimSun"/>
          <w:b/>
          <w:bCs/>
          <w:szCs w:val="24"/>
        </w:rPr>
        <w:t>Капорская Т.С.,</w:t>
      </w:r>
      <w:r>
        <w:rPr>
          <w:rFonts w:eastAsia="SimSun"/>
          <w:szCs w:val="24"/>
        </w:rPr>
        <w:t xml:space="preserve"> </w:t>
      </w:r>
      <w:r w:rsidRPr="00E474D3">
        <w:rPr>
          <w:rFonts w:eastAsia="SimSun"/>
          <w:szCs w:val="24"/>
        </w:rPr>
        <w:t>к.м.н</w:t>
      </w:r>
      <w:r>
        <w:rPr>
          <w:rFonts w:eastAsia="SimSun"/>
          <w:szCs w:val="24"/>
        </w:rPr>
        <w:t>.,</w:t>
      </w:r>
      <w:r w:rsidRPr="00E474D3">
        <w:rPr>
          <w:rFonts w:eastAsia="SimSun"/>
          <w:szCs w:val="24"/>
        </w:rPr>
        <w:t xml:space="preserve"> зав. отделением гематологии с блоком трансплантации костного мозга ГБУЗ «Иркутская ордена «Знак Почета» областная клиническая больница»</w:t>
      </w:r>
    </w:p>
    <w:p w14:paraId="0E04E952" w14:textId="77777777" w:rsidR="008C45F0" w:rsidRPr="00652916" w:rsidRDefault="008C45F0" w:rsidP="008C45F0">
      <w:pPr>
        <w:pStyle w:val="aff"/>
        <w:numPr>
          <w:ilvl w:val="0"/>
          <w:numId w:val="20"/>
        </w:numPr>
        <w:overflowPunct w:val="0"/>
        <w:autoSpaceDE w:val="0"/>
        <w:autoSpaceDN w:val="0"/>
        <w:adjustRightInd w:val="0"/>
        <w:contextualSpacing/>
        <w:textAlignment w:val="baseline"/>
        <w:rPr>
          <w:rFonts w:eastAsia="SimSun"/>
          <w:szCs w:val="24"/>
        </w:rPr>
      </w:pPr>
      <w:r w:rsidRPr="00652916">
        <w:rPr>
          <w:rFonts w:eastAsia="SimSun"/>
          <w:b/>
          <w:bCs/>
          <w:szCs w:val="24"/>
        </w:rPr>
        <w:t>Климко Н.Н.,</w:t>
      </w:r>
      <w:r w:rsidRPr="00652916">
        <w:rPr>
          <w:rFonts w:eastAsia="SimSun"/>
          <w:szCs w:val="24"/>
        </w:rPr>
        <w:t xml:space="preserve"> д.м.н,</w:t>
      </w:r>
      <w:r w:rsidRPr="00652916">
        <w:rPr>
          <w:szCs w:val="24"/>
        </w:rPr>
        <w:t xml:space="preserve"> профессор</w:t>
      </w:r>
      <w:r w:rsidRPr="00652916">
        <w:rPr>
          <w:rFonts w:eastAsia="SimSun"/>
          <w:szCs w:val="24"/>
        </w:rPr>
        <w:t xml:space="preserve"> заведующий кафедрой клинической микологии, аллергологии и иммунологии СЗГМУ им.И.И. Мечникова.</w:t>
      </w:r>
    </w:p>
    <w:p w14:paraId="6D779CF1" w14:textId="77777777" w:rsidR="008C45F0" w:rsidRPr="00E474D3" w:rsidRDefault="008C45F0" w:rsidP="008C45F0">
      <w:pPr>
        <w:pStyle w:val="aff"/>
        <w:numPr>
          <w:ilvl w:val="0"/>
          <w:numId w:val="20"/>
        </w:numPr>
        <w:overflowPunct w:val="0"/>
        <w:autoSpaceDE w:val="0"/>
        <w:autoSpaceDN w:val="0"/>
        <w:adjustRightInd w:val="0"/>
        <w:contextualSpacing/>
        <w:textAlignment w:val="baseline"/>
        <w:rPr>
          <w:rFonts w:eastAsia="SimSun"/>
          <w:szCs w:val="24"/>
        </w:rPr>
      </w:pPr>
      <w:r w:rsidRPr="000903D1">
        <w:rPr>
          <w:rFonts w:eastAsia="SimSun"/>
          <w:b/>
          <w:bCs/>
          <w:szCs w:val="24"/>
        </w:rPr>
        <w:t>Клясова Г.А.</w:t>
      </w:r>
      <w:r w:rsidRPr="000903D1">
        <w:rPr>
          <w:rFonts w:eastAsia="SimSun"/>
          <w:szCs w:val="24"/>
        </w:rPr>
        <w:t xml:space="preserve"> </w:t>
      </w:r>
      <w:r w:rsidRPr="00E474D3">
        <w:rPr>
          <w:rFonts w:eastAsia="SimSun"/>
          <w:szCs w:val="24"/>
        </w:rPr>
        <w:t>д.м.н.,</w:t>
      </w:r>
      <w:r w:rsidRPr="00E474D3">
        <w:rPr>
          <w:szCs w:val="24"/>
        </w:rPr>
        <w:t xml:space="preserve"> профессор</w:t>
      </w:r>
      <w:r>
        <w:rPr>
          <w:rFonts w:eastAsia="SimSun"/>
          <w:szCs w:val="24"/>
        </w:rPr>
        <w:t xml:space="preserve">, </w:t>
      </w:r>
      <w:r w:rsidRPr="00E474D3">
        <w:rPr>
          <w:rFonts w:eastAsia="SimSun"/>
          <w:szCs w:val="24"/>
        </w:rPr>
        <w:t xml:space="preserve">зав. лабораторией клинической бактериологии, микологии и антибиотической терапии ФГБУ «НМИЦ гематологии» Минздрава России </w:t>
      </w:r>
    </w:p>
    <w:p w14:paraId="742D2866" w14:textId="77777777" w:rsidR="008C45F0" w:rsidRPr="00652916" w:rsidRDefault="008C45F0" w:rsidP="008C45F0">
      <w:pPr>
        <w:pStyle w:val="aff"/>
        <w:numPr>
          <w:ilvl w:val="0"/>
          <w:numId w:val="20"/>
        </w:numPr>
        <w:overflowPunct w:val="0"/>
        <w:autoSpaceDE w:val="0"/>
        <w:autoSpaceDN w:val="0"/>
        <w:adjustRightInd w:val="0"/>
        <w:contextualSpacing/>
        <w:textAlignment w:val="baseline"/>
        <w:rPr>
          <w:rFonts w:eastAsia="SimSun"/>
          <w:szCs w:val="24"/>
        </w:rPr>
      </w:pPr>
      <w:r w:rsidRPr="00652916">
        <w:rPr>
          <w:rFonts w:eastAsia="SimSun"/>
          <w:b/>
          <w:bCs/>
          <w:szCs w:val="24"/>
        </w:rPr>
        <w:t>Кулагин А.Д.,</w:t>
      </w:r>
      <w:r w:rsidRPr="00652916">
        <w:rPr>
          <w:rFonts w:eastAsia="SimSun"/>
          <w:szCs w:val="24"/>
        </w:rPr>
        <w:t xml:space="preserve"> д.м.н., и.о. директора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 </w:t>
      </w:r>
    </w:p>
    <w:p w14:paraId="0373D2E9" w14:textId="77777777" w:rsidR="008C45F0" w:rsidRPr="00652916" w:rsidRDefault="008C45F0" w:rsidP="008C45F0">
      <w:pPr>
        <w:pStyle w:val="aff"/>
        <w:numPr>
          <w:ilvl w:val="0"/>
          <w:numId w:val="20"/>
        </w:numPr>
        <w:overflowPunct w:val="0"/>
        <w:autoSpaceDE w:val="0"/>
        <w:autoSpaceDN w:val="0"/>
        <w:adjustRightInd w:val="0"/>
        <w:contextualSpacing/>
        <w:textAlignment w:val="baseline"/>
        <w:rPr>
          <w:rFonts w:eastAsia="SimSun"/>
          <w:szCs w:val="24"/>
        </w:rPr>
      </w:pPr>
      <w:r w:rsidRPr="00652916">
        <w:rPr>
          <w:rFonts w:eastAsia="SimSun"/>
          <w:b/>
          <w:bCs/>
          <w:szCs w:val="24"/>
        </w:rPr>
        <w:t>Минаева Н.В.,</w:t>
      </w:r>
      <w:r w:rsidRPr="00652916">
        <w:rPr>
          <w:rFonts w:eastAsia="SimSun"/>
          <w:szCs w:val="24"/>
        </w:rPr>
        <w:t xml:space="preserve"> зам. директора по лечебной работе ФГБУН КНИИ ГПК ФМБА России</w:t>
      </w:r>
    </w:p>
    <w:p w14:paraId="0D6EDFE2" w14:textId="77777777" w:rsidR="008C45F0" w:rsidRPr="00652916" w:rsidRDefault="008C45F0" w:rsidP="008C45F0">
      <w:pPr>
        <w:pStyle w:val="aff"/>
        <w:numPr>
          <w:ilvl w:val="0"/>
          <w:numId w:val="20"/>
        </w:numPr>
        <w:overflowPunct w:val="0"/>
        <w:autoSpaceDE w:val="0"/>
        <w:autoSpaceDN w:val="0"/>
        <w:adjustRightInd w:val="0"/>
        <w:contextualSpacing/>
        <w:textAlignment w:val="baseline"/>
        <w:rPr>
          <w:rFonts w:eastAsia="SimSun"/>
          <w:szCs w:val="24"/>
        </w:rPr>
      </w:pPr>
      <w:r w:rsidRPr="00652916">
        <w:rPr>
          <w:rFonts w:eastAsia="SimSun"/>
          <w:b/>
          <w:bCs/>
          <w:szCs w:val="24"/>
        </w:rPr>
        <w:t>Моисеев И.С.</w:t>
      </w:r>
      <w:r w:rsidRPr="00652916">
        <w:rPr>
          <w:rFonts w:eastAsia="SimSun"/>
          <w:szCs w:val="24"/>
        </w:rPr>
        <w:t>, д.м.н., зам. директора по науке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14:paraId="2B27303E" w14:textId="77777777" w:rsidR="008C45F0" w:rsidRPr="00E474D3" w:rsidRDefault="008C45F0" w:rsidP="008C45F0">
      <w:pPr>
        <w:pStyle w:val="aff"/>
        <w:numPr>
          <w:ilvl w:val="0"/>
          <w:numId w:val="20"/>
        </w:numPr>
        <w:overflowPunct w:val="0"/>
        <w:autoSpaceDE w:val="0"/>
        <w:autoSpaceDN w:val="0"/>
        <w:adjustRightInd w:val="0"/>
        <w:contextualSpacing/>
        <w:textAlignment w:val="baseline"/>
        <w:rPr>
          <w:rFonts w:eastAsia="SimSun"/>
          <w:szCs w:val="24"/>
        </w:rPr>
      </w:pPr>
      <w:r w:rsidRPr="00652916">
        <w:rPr>
          <w:rFonts w:eastAsia="SimSun"/>
          <w:b/>
          <w:bCs/>
          <w:szCs w:val="24"/>
        </w:rPr>
        <w:t>Моторин Д.В.,</w:t>
      </w:r>
      <w:r w:rsidRPr="00652916">
        <w:rPr>
          <w:rFonts w:eastAsia="SimSun"/>
          <w:szCs w:val="24"/>
        </w:rPr>
        <w:t xml:space="preserve"> к.м.н., врач-гематолог отделения онкогематологии  №2,  старший научный сотрудник ФГБУ «НМИЦ им. </w:t>
      </w:r>
      <w:r w:rsidRPr="00E474D3">
        <w:rPr>
          <w:rFonts w:eastAsia="SimSun"/>
          <w:szCs w:val="24"/>
        </w:rPr>
        <w:t>В.А. Алмазова» Минздрава России</w:t>
      </w:r>
    </w:p>
    <w:p w14:paraId="598A9E49" w14:textId="77777777" w:rsidR="008C45F0" w:rsidRPr="00652916" w:rsidRDefault="008C45F0" w:rsidP="008C45F0">
      <w:pPr>
        <w:pStyle w:val="aff"/>
        <w:numPr>
          <w:ilvl w:val="0"/>
          <w:numId w:val="20"/>
        </w:numPr>
        <w:overflowPunct w:val="0"/>
        <w:autoSpaceDE w:val="0"/>
        <w:autoSpaceDN w:val="0"/>
        <w:adjustRightInd w:val="0"/>
        <w:contextualSpacing/>
        <w:textAlignment w:val="baseline"/>
        <w:rPr>
          <w:rFonts w:eastAsia="SimSun"/>
          <w:szCs w:val="24"/>
        </w:rPr>
      </w:pPr>
      <w:r w:rsidRPr="00652916">
        <w:rPr>
          <w:rFonts w:eastAsia="SimSun"/>
          <w:b/>
          <w:bCs/>
          <w:szCs w:val="24"/>
        </w:rPr>
        <w:t>Петрова Г.Д.,</w:t>
      </w:r>
      <w:r w:rsidRPr="00652916">
        <w:rPr>
          <w:rFonts w:eastAsia="SimSun"/>
          <w:szCs w:val="24"/>
        </w:rPr>
        <w:t xml:space="preserve"> к.м.н., заведующая отделением трансплантации костного мозга и гемопоэтических стволовых клеток отдела гематологии и трансплантации костного мозга ФГБУ "НМИЦ онкологии им Н. Н. Блохина" Минздрава России, </w:t>
      </w:r>
    </w:p>
    <w:p w14:paraId="35E747E3" w14:textId="77777777" w:rsidR="008C45F0" w:rsidRPr="00E474D3" w:rsidRDefault="008C45F0" w:rsidP="008C45F0">
      <w:pPr>
        <w:pStyle w:val="aff"/>
        <w:numPr>
          <w:ilvl w:val="0"/>
          <w:numId w:val="20"/>
        </w:numPr>
        <w:overflowPunct w:val="0"/>
        <w:autoSpaceDE w:val="0"/>
        <w:autoSpaceDN w:val="0"/>
        <w:adjustRightInd w:val="0"/>
        <w:contextualSpacing/>
        <w:jc w:val="left"/>
        <w:textAlignment w:val="baseline"/>
        <w:rPr>
          <w:rFonts w:eastAsia="SimSun"/>
          <w:szCs w:val="24"/>
        </w:rPr>
      </w:pPr>
      <w:r w:rsidRPr="00652916">
        <w:rPr>
          <w:rFonts w:eastAsia="SimSun"/>
          <w:b/>
          <w:bCs/>
          <w:szCs w:val="24"/>
        </w:rPr>
        <w:t xml:space="preserve">Попова М.О., </w:t>
      </w:r>
      <w:r w:rsidRPr="00652916">
        <w:rPr>
          <w:rFonts w:eastAsia="SimSun"/>
          <w:szCs w:val="24"/>
        </w:rPr>
        <w:t xml:space="preserve"> к.м.н., доцент кафедры гематологии, трансфузиологии и трансплантологии ФПО ПСПбГМУ им. </w:t>
      </w:r>
      <w:r w:rsidRPr="00E474D3">
        <w:rPr>
          <w:rFonts w:eastAsia="SimSun"/>
          <w:szCs w:val="24"/>
        </w:rPr>
        <w:t>И.П. Павлова</w:t>
      </w:r>
    </w:p>
    <w:p w14:paraId="04BDA27D" w14:textId="77777777" w:rsidR="008C45F0" w:rsidRPr="00652916" w:rsidRDefault="008C45F0" w:rsidP="008C45F0">
      <w:pPr>
        <w:pStyle w:val="aff"/>
        <w:numPr>
          <w:ilvl w:val="0"/>
          <w:numId w:val="20"/>
        </w:numPr>
        <w:overflowPunct w:val="0"/>
        <w:autoSpaceDE w:val="0"/>
        <w:autoSpaceDN w:val="0"/>
        <w:adjustRightInd w:val="0"/>
        <w:contextualSpacing/>
        <w:textAlignment w:val="baseline"/>
        <w:rPr>
          <w:rFonts w:eastAsia="SimSun"/>
          <w:szCs w:val="24"/>
        </w:rPr>
      </w:pPr>
      <w:r w:rsidRPr="00652916">
        <w:rPr>
          <w:rFonts w:eastAsia="SimSun"/>
          <w:b/>
          <w:bCs/>
          <w:szCs w:val="24"/>
        </w:rPr>
        <w:t>Эстрина М.А.,</w:t>
      </w:r>
      <w:r w:rsidRPr="00652916">
        <w:rPr>
          <w:rFonts w:eastAsia="SimSun"/>
          <w:szCs w:val="24"/>
        </w:rPr>
        <w:t xml:space="preserve"> к.м.н., зав. отделением клинической трансфузиологии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14:paraId="301239D1" w14:textId="77777777" w:rsidR="00F20CFD" w:rsidRPr="006A377C" w:rsidRDefault="00F20CFD" w:rsidP="00457070">
      <w:pPr>
        <w:pStyle w:val="aff"/>
        <w:rPr>
          <w:szCs w:val="24"/>
        </w:rPr>
      </w:pPr>
    </w:p>
    <w:p w14:paraId="4640C351" w14:textId="77777777" w:rsidR="00F20CFD" w:rsidRPr="006A377C" w:rsidRDefault="00F20CFD" w:rsidP="00EA7BF5">
      <w:pPr>
        <w:pStyle w:val="aff"/>
        <w:rPr>
          <w:szCs w:val="24"/>
        </w:rPr>
      </w:pPr>
      <w:r w:rsidRPr="006A377C">
        <w:rPr>
          <w:b/>
          <w:szCs w:val="24"/>
        </w:rPr>
        <w:t xml:space="preserve">Конфликт интересов: </w:t>
      </w:r>
      <w:r w:rsidRPr="006A377C">
        <w:rPr>
          <w:szCs w:val="24"/>
        </w:rPr>
        <w:t>авторы не имеют конфликта интересов.</w:t>
      </w:r>
    </w:p>
    <w:p w14:paraId="3D91E3B3" w14:textId="77777777" w:rsidR="00F20CFD" w:rsidRDefault="00F20CFD" w:rsidP="004C69FE"/>
    <w:p w14:paraId="20D92BBC" w14:textId="77777777" w:rsidR="00F20CFD" w:rsidRDefault="00F20CFD" w:rsidP="004C69FE"/>
    <w:p w14:paraId="466F9FBE" w14:textId="77777777" w:rsidR="00F20CFD" w:rsidRDefault="00F20CFD" w:rsidP="004C69FE"/>
    <w:p w14:paraId="43500AB3" w14:textId="77777777" w:rsidR="00F20CFD" w:rsidRDefault="00F20CFD" w:rsidP="004C69FE"/>
    <w:p w14:paraId="70B74439" w14:textId="77777777" w:rsidR="00F20CFD" w:rsidRDefault="00F20CFD" w:rsidP="004C69FE"/>
    <w:p w14:paraId="41C13EAF" w14:textId="77777777" w:rsidR="00F20CFD" w:rsidRDefault="00F20CFD" w:rsidP="004C69FE"/>
    <w:p w14:paraId="2D8EA2B5" w14:textId="77777777" w:rsidR="00F20CFD" w:rsidRDefault="00F20CFD" w:rsidP="004C69FE"/>
    <w:p w14:paraId="5404B924" w14:textId="77777777" w:rsidR="00F20CFD" w:rsidRDefault="00F20CFD" w:rsidP="004C69FE"/>
    <w:p w14:paraId="543F8D8B" w14:textId="77777777" w:rsidR="00F20CFD" w:rsidRDefault="00F20CFD" w:rsidP="004C69FE"/>
    <w:p w14:paraId="2525E3D1" w14:textId="77777777" w:rsidR="00F20CFD" w:rsidRDefault="00F20CFD" w:rsidP="004C69FE"/>
    <w:p w14:paraId="39A185FE" w14:textId="77777777" w:rsidR="00F20CFD" w:rsidRDefault="00F20CFD" w:rsidP="004C69FE"/>
    <w:p w14:paraId="049E3C8A" w14:textId="77777777" w:rsidR="00F20CFD" w:rsidRDefault="00F20CFD" w:rsidP="004C69FE"/>
    <w:p w14:paraId="458536C0" w14:textId="77777777" w:rsidR="00F20CFD" w:rsidRDefault="00F20CFD" w:rsidP="004C69FE"/>
    <w:p w14:paraId="22923B91" w14:textId="77777777" w:rsidR="00F20CFD" w:rsidRPr="00C413F9" w:rsidRDefault="00F20CFD" w:rsidP="00C413F9">
      <w:pPr>
        <w:pStyle w:val="2"/>
        <w:jc w:val="center"/>
        <w:rPr>
          <w:sz w:val="28"/>
          <w:szCs w:val="28"/>
          <w:u w:val="none"/>
        </w:rPr>
      </w:pPr>
      <w:bookmarkStart w:id="62" w:name="_Toc65104119"/>
      <w:r w:rsidRPr="00C413F9">
        <w:rPr>
          <w:sz w:val="28"/>
          <w:szCs w:val="28"/>
          <w:u w:val="none"/>
        </w:rPr>
        <w:t>Приложение А2. Методология разработки клинических рекомендаций</w:t>
      </w:r>
      <w:bookmarkEnd w:id="62"/>
    </w:p>
    <w:p w14:paraId="5F03FF04" w14:textId="77777777" w:rsidR="00F20CFD" w:rsidRDefault="00F20CFD" w:rsidP="00EA7BF5">
      <w:pPr>
        <w:ind w:firstLine="709"/>
        <w:rPr>
          <w:b/>
          <w:szCs w:val="24"/>
        </w:rPr>
      </w:pPr>
    </w:p>
    <w:p w14:paraId="375B3863" w14:textId="77777777" w:rsidR="00F20CFD" w:rsidRPr="006A377C" w:rsidRDefault="00F20CFD" w:rsidP="00EA7BF5">
      <w:pPr>
        <w:ind w:firstLine="709"/>
        <w:rPr>
          <w:b/>
          <w:szCs w:val="24"/>
        </w:rPr>
      </w:pPr>
      <w:r w:rsidRPr="006A377C">
        <w:rPr>
          <w:b/>
          <w:szCs w:val="24"/>
        </w:rPr>
        <w:t>Целевая аудитория данных клинических рекомендаций:</w:t>
      </w:r>
    </w:p>
    <w:p w14:paraId="418EF213" w14:textId="77777777" w:rsidR="00F20CFD" w:rsidRPr="006A377C" w:rsidRDefault="00F20CFD" w:rsidP="00EA7BF5">
      <w:pPr>
        <w:pStyle w:val="aff"/>
        <w:numPr>
          <w:ilvl w:val="0"/>
          <w:numId w:val="5"/>
        </w:numPr>
        <w:rPr>
          <w:szCs w:val="24"/>
        </w:rPr>
      </w:pPr>
      <w:r w:rsidRPr="006A377C">
        <w:rPr>
          <w:szCs w:val="24"/>
        </w:rPr>
        <w:t>врачи-гематологи;</w:t>
      </w:r>
    </w:p>
    <w:p w14:paraId="23E9A104" w14:textId="77777777" w:rsidR="00F20CFD" w:rsidRPr="006A377C" w:rsidRDefault="00F20CFD" w:rsidP="00EA7BF5">
      <w:pPr>
        <w:pStyle w:val="aff"/>
        <w:numPr>
          <w:ilvl w:val="0"/>
          <w:numId w:val="5"/>
        </w:numPr>
        <w:rPr>
          <w:szCs w:val="24"/>
        </w:rPr>
      </w:pPr>
      <w:r w:rsidRPr="006A377C">
        <w:rPr>
          <w:szCs w:val="24"/>
        </w:rPr>
        <w:t>врачи-онкологи;</w:t>
      </w:r>
    </w:p>
    <w:p w14:paraId="54D2CF53" w14:textId="77777777" w:rsidR="00F20CFD" w:rsidRPr="006A377C" w:rsidRDefault="00F20CFD" w:rsidP="00EA7BF5">
      <w:pPr>
        <w:pStyle w:val="aff"/>
        <w:numPr>
          <w:ilvl w:val="0"/>
          <w:numId w:val="5"/>
        </w:numPr>
        <w:rPr>
          <w:szCs w:val="24"/>
        </w:rPr>
      </w:pPr>
      <w:r w:rsidRPr="006A377C">
        <w:rPr>
          <w:szCs w:val="24"/>
        </w:rPr>
        <w:t>врачи-терапевты;</w:t>
      </w:r>
    </w:p>
    <w:p w14:paraId="366877D2" w14:textId="77777777" w:rsidR="00F20CFD" w:rsidRPr="006A377C" w:rsidRDefault="00F20CFD" w:rsidP="00EA7BF5">
      <w:pPr>
        <w:pStyle w:val="aff"/>
        <w:numPr>
          <w:ilvl w:val="0"/>
          <w:numId w:val="5"/>
        </w:numPr>
        <w:rPr>
          <w:szCs w:val="24"/>
        </w:rPr>
      </w:pPr>
      <w:r w:rsidRPr="006A377C">
        <w:rPr>
          <w:szCs w:val="24"/>
        </w:rPr>
        <w:t>врачи-анестезиологи-реаниматологи;</w:t>
      </w:r>
    </w:p>
    <w:p w14:paraId="60C996DE" w14:textId="77777777" w:rsidR="00F20CFD" w:rsidRPr="006A377C" w:rsidRDefault="00F20CFD" w:rsidP="00EA7BF5">
      <w:pPr>
        <w:pStyle w:val="aff"/>
        <w:numPr>
          <w:ilvl w:val="0"/>
          <w:numId w:val="5"/>
        </w:numPr>
        <w:rPr>
          <w:szCs w:val="24"/>
        </w:rPr>
      </w:pPr>
      <w:r w:rsidRPr="006A377C">
        <w:rPr>
          <w:szCs w:val="24"/>
        </w:rPr>
        <w:t>врач-клинические фармакологи.</w:t>
      </w:r>
    </w:p>
    <w:p w14:paraId="30ADABD9" w14:textId="77777777" w:rsidR="00F20CFD" w:rsidRPr="006A377C" w:rsidRDefault="00F20CFD" w:rsidP="000A23D0">
      <w:pPr>
        <w:pStyle w:val="aff"/>
        <w:ind w:left="1429"/>
        <w:rPr>
          <w:szCs w:val="24"/>
        </w:rPr>
      </w:pPr>
    </w:p>
    <w:p w14:paraId="11A67E93" w14:textId="77777777" w:rsidR="00F20CFD" w:rsidRPr="006A377C" w:rsidRDefault="00F20CFD" w:rsidP="00E46A18">
      <w:pPr>
        <w:ind w:firstLine="709"/>
        <w:rPr>
          <w:b/>
          <w:szCs w:val="24"/>
        </w:rPr>
      </w:pPr>
      <w:r w:rsidRPr="006A377C">
        <w:rPr>
          <w:b/>
          <w:szCs w:val="24"/>
        </w:rPr>
        <w:t>Рейтинговая схема для оценки уровня достоверности доказательств</w:t>
      </w:r>
    </w:p>
    <w:p w14:paraId="3B527F9B" w14:textId="77777777" w:rsidR="00F20CFD" w:rsidRPr="006A377C" w:rsidRDefault="00F20CFD" w:rsidP="00E46A18">
      <w:pPr>
        <w:ind w:firstLine="709"/>
        <w:rPr>
          <w:b/>
          <w:szCs w:val="24"/>
        </w:rPr>
      </w:pPr>
    </w:p>
    <w:p w14:paraId="66F62B9B" w14:textId="77777777" w:rsidR="00F20CFD" w:rsidRPr="006A377C" w:rsidRDefault="00F20CFD" w:rsidP="000A23D0">
      <w:pPr>
        <w:rPr>
          <w:b/>
          <w:szCs w:val="24"/>
        </w:rPr>
      </w:pPr>
      <w:r w:rsidRPr="006A377C">
        <w:rPr>
          <w:b/>
          <w:szCs w:val="24"/>
        </w:rPr>
        <w:t>Шкала оценки уровней достоверности доказательств (УДД) для методов диагностики (диагностических вмешательств)</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8"/>
        <w:gridCol w:w="8548"/>
      </w:tblGrid>
      <w:tr w:rsidR="00F20CFD" w:rsidRPr="001E3EF7" w14:paraId="747BC01D" w14:textId="77777777" w:rsidTr="009C0CE5">
        <w:trPr>
          <w:trHeight w:val="58"/>
        </w:trPr>
        <w:tc>
          <w:tcPr>
            <w:tcW w:w="427" w:type="pct"/>
          </w:tcPr>
          <w:p w14:paraId="0CF3D265" w14:textId="77777777" w:rsidR="00F20CFD" w:rsidRPr="008D7156" w:rsidRDefault="00F20CFD" w:rsidP="001E3EF7">
            <w:pPr>
              <w:jc w:val="center"/>
              <w:rPr>
                <w:b/>
                <w:sz w:val="22"/>
                <w:szCs w:val="24"/>
              </w:rPr>
            </w:pPr>
            <w:r w:rsidRPr="008D7156">
              <w:rPr>
                <w:b/>
                <w:sz w:val="22"/>
                <w:szCs w:val="24"/>
              </w:rPr>
              <w:t>УДД</w:t>
            </w:r>
          </w:p>
        </w:tc>
        <w:tc>
          <w:tcPr>
            <w:tcW w:w="4573" w:type="pct"/>
          </w:tcPr>
          <w:p w14:paraId="00DB348D" w14:textId="77777777" w:rsidR="00F20CFD" w:rsidRPr="008D7156" w:rsidRDefault="00F20CFD" w:rsidP="001E3EF7">
            <w:pPr>
              <w:jc w:val="center"/>
              <w:rPr>
                <w:b/>
                <w:sz w:val="22"/>
                <w:szCs w:val="24"/>
              </w:rPr>
            </w:pPr>
            <w:r w:rsidRPr="008D7156">
              <w:rPr>
                <w:b/>
                <w:sz w:val="22"/>
                <w:szCs w:val="24"/>
              </w:rPr>
              <w:t>Расшифровка</w:t>
            </w:r>
          </w:p>
        </w:tc>
      </w:tr>
      <w:tr w:rsidR="00F20CFD" w:rsidRPr="001E3EF7" w14:paraId="2CAD3F20" w14:textId="77777777" w:rsidTr="009C0CE5">
        <w:tc>
          <w:tcPr>
            <w:tcW w:w="427" w:type="pct"/>
          </w:tcPr>
          <w:p w14:paraId="4A860FE6" w14:textId="77777777" w:rsidR="00F20CFD" w:rsidRPr="008D7156" w:rsidRDefault="00F20CFD" w:rsidP="001E3EF7">
            <w:pPr>
              <w:jc w:val="center"/>
              <w:rPr>
                <w:sz w:val="22"/>
                <w:szCs w:val="24"/>
              </w:rPr>
            </w:pPr>
            <w:r w:rsidRPr="008D7156">
              <w:rPr>
                <w:sz w:val="22"/>
                <w:szCs w:val="24"/>
              </w:rPr>
              <w:t>1</w:t>
            </w:r>
          </w:p>
        </w:tc>
        <w:tc>
          <w:tcPr>
            <w:tcW w:w="4573" w:type="pct"/>
          </w:tcPr>
          <w:p w14:paraId="141CB736" w14:textId="77777777" w:rsidR="00F20CFD" w:rsidRPr="008D7156" w:rsidRDefault="00F20CFD" w:rsidP="00EA7BF5">
            <w:pPr>
              <w:rPr>
                <w:sz w:val="22"/>
                <w:szCs w:val="24"/>
              </w:rPr>
            </w:pPr>
            <w:r w:rsidRPr="008D7156">
              <w:rPr>
                <w:sz w:val="22"/>
                <w:szCs w:val="24"/>
              </w:rPr>
              <w:t>Систематические обзоры исследований с контролем референсным методом или систематический обзор рандомизированных клинических исследований (КИ) с применением метаанализа</w:t>
            </w:r>
          </w:p>
        </w:tc>
      </w:tr>
      <w:tr w:rsidR="00F20CFD" w:rsidRPr="001E3EF7" w14:paraId="47613736" w14:textId="77777777" w:rsidTr="009C0CE5">
        <w:tc>
          <w:tcPr>
            <w:tcW w:w="427" w:type="pct"/>
          </w:tcPr>
          <w:p w14:paraId="0D5B846C" w14:textId="77777777" w:rsidR="00F20CFD" w:rsidRPr="008D7156" w:rsidRDefault="00F20CFD" w:rsidP="001E3EF7">
            <w:pPr>
              <w:jc w:val="center"/>
              <w:rPr>
                <w:sz w:val="22"/>
                <w:szCs w:val="24"/>
              </w:rPr>
            </w:pPr>
            <w:r w:rsidRPr="008D7156">
              <w:rPr>
                <w:sz w:val="22"/>
                <w:szCs w:val="24"/>
              </w:rPr>
              <w:t>2</w:t>
            </w:r>
          </w:p>
        </w:tc>
        <w:tc>
          <w:tcPr>
            <w:tcW w:w="4573" w:type="pct"/>
          </w:tcPr>
          <w:p w14:paraId="0AF3D5E4" w14:textId="77777777" w:rsidR="00F20CFD" w:rsidRPr="008D7156" w:rsidRDefault="00F20CFD" w:rsidP="00EA7BF5">
            <w:pPr>
              <w:rPr>
                <w:sz w:val="22"/>
                <w:szCs w:val="24"/>
              </w:rPr>
            </w:pPr>
            <w:r w:rsidRPr="008D7156">
              <w:rPr>
                <w:sz w:val="22"/>
                <w:szCs w:val="24"/>
              </w:rPr>
              <w:t>Отдельные исследования с контролем референсным методом или отдельные рандомизированные КИ и систематические обзоры исследований любого дизайна, за исключением рандомизированных КИ, с применением метаанализа</w:t>
            </w:r>
          </w:p>
        </w:tc>
      </w:tr>
      <w:tr w:rsidR="00F20CFD" w:rsidRPr="001E3EF7" w14:paraId="25A0924D" w14:textId="77777777" w:rsidTr="009C0CE5">
        <w:tc>
          <w:tcPr>
            <w:tcW w:w="427" w:type="pct"/>
          </w:tcPr>
          <w:p w14:paraId="778FF2F9" w14:textId="77777777" w:rsidR="00F20CFD" w:rsidRPr="008D7156" w:rsidRDefault="00F20CFD" w:rsidP="001E3EF7">
            <w:pPr>
              <w:jc w:val="center"/>
              <w:rPr>
                <w:sz w:val="22"/>
                <w:szCs w:val="24"/>
              </w:rPr>
            </w:pPr>
            <w:r w:rsidRPr="008D7156">
              <w:rPr>
                <w:sz w:val="22"/>
                <w:szCs w:val="24"/>
              </w:rPr>
              <w:t>3</w:t>
            </w:r>
          </w:p>
        </w:tc>
        <w:tc>
          <w:tcPr>
            <w:tcW w:w="4573" w:type="pct"/>
          </w:tcPr>
          <w:p w14:paraId="68692AEC" w14:textId="77777777" w:rsidR="00F20CFD" w:rsidRPr="008D7156" w:rsidRDefault="00F20CFD" w:rsidP="00EA7BF5">
            <w:pPr>
              <w:rPr>
                <w:sz w:val="22"/>
                <w:szCs w:val="24"/>
              </w:rPr>
            </w:pPr>
            <w:r w:rsidRPr="008D7156">
              <w:rPr>
                <w:sz w:val="22"/>
                <w:szCs w:val="24"/>
              </w:rPr>
              <w:t>Исследования без последовательного контроля референсным методом или исследования с референсным методом, не являющимся независимым от исследуемого метода или нерандомизированные сравнительные исследования, в том числе – когортные исследования</w:t>
            </w:r>
          </w:p>
        </w:tc>
      </w:tr>
      <w:tr w:rsidR="00F20CFD" w:rsidRPr="001E3EF7" w14:paraId="49D2D662" w14:textId="77777777" w:rsidTr="009C0CE5">
        <w:tc>
          <w:tcPr>
            <w:tcW w:w="427" w:type="pct"/>
          </w:tcPr>
          <w:p w14:paraId="1C196366" w14:textId="77777777" w:rsidR="00F20CFD" w:rsidRPr="008D7156" w:rsidRDefault="00F20CFD" w:rsidP="001E3EF7">
            <w:pPr>
              <w:jc w:val="center"/>
              <w:rPr>
                <w:sz w:val="22"/>
                <w:szCs w:val="24"/>
              </w:rPr>
            </w:pPr>
            <w:r w:rsidRPr="008D7156">
              <w:rPr>
                <w:sz w:val="22"/>
                <w:szCs w:val="24"/>
              </w:rPr>
              <w:t>4</w:t>
            </w:r>
          </w:p>
        </w:tc>
        <w:tc>
          <w:tcPr>
            <w:tcW w:w="4573" w:type="pct"/>
          </w:tcPr>
          <w:p w14:paraId="15070837" w14:textId="77777777" w:rsidR="00F20CFD" w:rsidRPr="008D7156" w:rsidRDefault="00F20CFD" w:rsidP="00EA7BF5">
            <w:pPr>
              <w:rPr>
                <w:sz w:val="22"/>
                <w:szCs w:val="24"/>
              </w:rPr>
            </w:pPr>
            <w:r w:rsidRPr="008D7156">
              <w:rPr>
                <w:sz w:val="22"/>
                <w:szCs w:val="24"/>
              </w:rPr>
              <w:t>Несравнительные исследования, описание клинического случая</w:t>
            </w:r>
          </w:p>
        </w:tc>
      </w:tr>
      <w:tr w:rsidR="00F20CFD" w:rsidRPr="001E3EF7" w14:paraId="31650A93" w14:textId="77777777" w:rsidTr="009C0CE5">
        <w:tc>
          <w:tcPr>
            <w:tcW w:w="427" w:type="pct"/>
          </w:tcPr>
          <w:p w14:paraId="3877547B" w14:textId="77777777" w:rsidR="00F20CFD" w:rsidRPr="008D7156" w:rsidRDefault="00F20CFD" w:rsidP="001E3EF7">
            <w:pPr>
              <w:jc w:val="center"/>
              <w:rPr>
                <w:sz w:val="22"/>
                <w:szCs w:val="24"/>
              </w:rPr>
            </w:pPr>
            <w:r w:rsidRPr="008D7156">
              <w:rPr>
                <w:sz w:val="22"/>
                <w:szCs w:val="24"/>
              </w:rPr>
              <w:t>5</w:t>
            </w:r>
          </w:p>
        </w:tc>
        <w:tc>
          <w:tcPr>
            <w:tcW w:w="4573" w:type="pct"/>
          </w:tcPr>
          <w:p w14:paraId="54F0B538" w14:textId="77777777" w:rsidR="00F20CFD" w:rsidRPr="008D7156" w:rsidRDefault="00F20CFD" w:rsidP="00EA7BF5">
            <w:pPr>
              <w:rPr>
                <w:sz w:val="22"/>
                <w:szCs w:val="24"/>
              </w:rPr>
            </w:pPr>
            <w:r w:rsidRPr="008D7156">
              <w:rPr>
                <w:sz w:val="22"/>
                <w:szCs w:val="24"/>
              </w:rPr>
              <w:t>Имеется лишь обоснование механизма действия или мнение экспертов</w:t>
            </w:r>
          </w:p>
        </w:tc>
      </w:tr>
    </w:tbl>
    <w:p w14:paraId="0C536C18" w14:textId="77777777" w:rsidR="00F20CFD" w:rsidRPr="006A377C" w:rsidRDefault="00F20CFD" w:rsidP="00EA7BF5">
      <w:pPr>
        <w:pStyle w:val="aff9"/>
        <w:rPr>
          <w:rStyle w:val="affb"/>
          <w:szCs w:val="24"/>
        </w:rPr>
      </w:pPr>
    </w:p>
    <w:p w14:paraId="77667B27" w14:textId="77777777" w:rsidR="00F20CFD" w:rsidRPr="006A377C" w:rsidRDefault="00F20CFD" w:rsidP="00E46A18">
      <w:pPr>
        <w:rPr>
          <w:b/>
          <w:szCs w:val="24"/>
        </w:rPr>
      </w:pPr>
      <w:r w:rsidRPr="006A377C">
        <w:rPr>
          <w:b/>
          <w:szCs w:val="24"/>
        </w:rPr>
        <w:t>Шкала оценки уровней достоверности доказательств для методов профилактики, лечения и реабилитации (профилактических, лечебных, реабилитационных вмешательств)</w:t>
      </w:r>
    </w:p>
    <w:tbl>
      <w:tblPr>
        <w:tblW w:w="5074"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3"/>
        <w:gridCol w:w="8801"/>
      </w:tblGrid>
      <w:tr w:rsidR="00F20CFD" w:rsidRPr="001E3EF7" w14:paraId="20EC714C" w14:textId="77777777" w:rsidTr="009C0CE5">
        <w:tc>
          <w:tcPr>
            <w:tcW w:w="360" w:type="pct"/>
          </w:tcPr>
          <w:p w14:paraId="318F8E57" w14:textId="77777777" w:rsidR="00F20CFD" w:rsidRPr="008D7156" w:rsidRDefault="00F20CFD" w:rsidP="001E3EF7">
            <w:pPr>
              <w:jc w:val="center"/>
              <w:rPr>
                <w:b/>
                <w:sz w:val="22"/>
                <w:szCs w:val="24"/>
              </w:rPr>
            </w:pPr>
            <w:r w:rsidRPr="008D7156">
              <w:rPr>
                <w:b/>
                <w:sz w:val="22"/>
                <w:szCs w:val="24"/>
              </w:rPr>
              <w:t>УДД</w:t>
            </w:r>
          </w:p>
        </w:tc>
        <w:tc>
          <w:tcPr>
            <w:tcW w:w="4640" w:type="pct"/>
          </w:tcPr>
          <w:p w14:paraId="6B546D27" w14:textId="77777777" w:rsidR="00F20CFD" w:rsidRPr="008D7156" w:rsidRDefault="00F20CFD" w:rsidP="001E3EF7">
            <w:pPr>
              <w:jc w:val="center"/>
              <w:rPr>
                <w:b/>
                <w:sz w:val="22"/>
                <w:szCs w:val="24"/>
              </w:rPr>
            </w:pPr>
            <w:r w:rsidRPr="008D7156">
              <w:rPr>
                <w:b/>
                <w:sz w:val="22"/>
                <w:szCs w:val="24"/>
              </w:rPr>
              <w:t>Расшифровка</w:t>
            </w:r>
          </w:p>
        </w:tc>
      </w:tr>
      <w:tr w:rsidR="00F20CFD" w:rsidRPr="001E3EF7" w14:paraId="71EB2E08" w14:textId="77777777" w:rsidTr="009C0CE5">
        <w:tc>
          <w:tcPr>
            <w:tcW w:w="360" w:type="pct"/>
          </w:tcPr>
          <w:p w14:paraId="29C33B77" w14:textId="77777777" w:rsidR="00F20CFD" w:rsidRPr="008D7156" w:rsidRDefault="00F20CFD" w:rsidP="001E3EF7">
            <w:pPr>
              <w:jc w:val="center"/>
              <w:rPr>
                <w:sz w:val="22"/>
                <w:szCs w:val="24"/>
              </w:rPr>
            </w:pPr>
            <w:r w:rsidRPr="008D7156">
              <w:rPr>
                <w:sz w:val="22"/>
                <w:szCs w:val="24"/>
              </w:rPr>
              <w:t>1</w:t>
            </w:r>
          </w:p>
        </w:tc>
        <w:tc>
          <w:tcPr>
            <w:tcW w:w="4640" w:type="pct"/>
          </w:tcPr>
          <w:p w14:paraId="41CD0951" w14:textId="77777777" w:rsidR="00F20CFD" w:rsidRPr="008D7156" w:rsidRDefault="00F20CFD" w:rsidP="00E46A18">
            <w:pPr>
              <w:rPr>
                <w:sz w:val="22"/>
                <w:szCs w:val="24"/>
              </w:rPr>
            </w:pPr>
            <w:r w:rsidRPr="008D7156">
              <w:rPr>
                <w:sz w:val="22"/>
                <w:szCs w:val="24"/>
              </w:rPr>
              <w:t>Систематический обзор рандомизированных КИ с применением метаанализа</w:t>
            </w:r>
          </w:p>
        </w:tc>
      </w:tr>
      <w:tr w:rsidR="00F20CFD" w:rsidRPr="001E3EF7" w14:paraId="2F1A102F" w14:textId="77777777" w:rsidTr="009C0CE5">
        <w:tc>
          <w:tcPr>
            <w:tcW w:w="360" w:type="pct"/>
          </w:tcPr>
          <w:p w14:paraId="6651DF4A" w14:textId="77777777" w:rsidR="00F20CFD" w:rsidRPr="008D7156" w:rsidRDefault="00F20CFD" w:rsidP="001E3EF7">
            <w:pPr>
              <w:jc w:val="center"/>
              <w:rPr>
                <w:sz w:val="22"/>
                <w:szCs w:val="24"/>
                <w:lang w:val="en-US"/>
              </w:rPr>
            </w:pPr>
            <w:r w:rsidRPr="008D7156">
              <w:rPr>
                <w:sz w:val="22"/>
                <w:szCs w:val="24"/>
              </w:rPr>
              <w:t>2</w:t>
            </w:r>
          </w:p>
        </w:tc>
        <w:tc>
          <w:tcPr>
            <w:tcW w:w="4640" w:type="pct"/>
          </w:tcPr>
          <w:p w14:paraId="6DF019C8" w14:textId="77777777" w:rsidR="00F20CFD" w:rsidRPr="008D7156" w:rsidRDefault="00F20CFD" w:rsidP="00EA7BF5">
            <w:pPr>
              <w:rPr>
                <w:sz w:val="22"/>
                <w:szCs w:val="24"/>
              </w:rPr>
            </w:pPr>
            <w:r w:rsidRPr="008D7156">
              <w:rPr>
                <w:sz w:val="22"/>
                <w:szCs w:val="24"/>
              </w:rPr>
              <w:t>Отдельные рандомизированные КИ и систематические обзоры исследований любого дизайна, за исключением рандомизированных КИ, с применением метаанализа</w:t>
            </w:r>
          </w:p>
        </w:tc>
      </w:tr>
      <w:tr w:rsidR="00F20CFD" w:rsidRPr="001E3EF7" w14:paraId="1BA1EAF7" w14:textId="77777777" w:rsidTr="009C0CE5">
        <w:tc>
          <w:tcPr>
            <w:tcW w:w="360" w:type="pct"/>
          </w:tcPr>
          <w:p w14:paraId="15EB9EBD" w14:textId="77777777" w:rsidR="00F20CFD" w:rsidRPr="008D7156" w:rsidRDefault="00F20CFD" w:rsidP="001E3EF7">
            <w:pPr>
              <w:jc w:val="center"/>
              <w:rPr>
                <w:sz w:val="22"/>
                <w:szCs w:val="24"/>
              </w:rPr>
            </w:pPr>
            <w:r w:rsidRPr="008D7156">
              <w:rPr>
                <w:sz w:val="22"/>
                <w:szCs w:val="24"/>
              </w:rPr>
              <w:t>3</w:t>
            </w:r>
          </w:p>
        </w:tc>
        <w:tc>
          <w:tcPr>
            <w:tcW w:w="4640" w:type="pct"/>
          </w:tcPr>
          <w:p w14:paraId="0B356CF7" w14:textId="77777777" w:rsidR="00F20CFD" w:rsidRPr="008D7156" w:rsidRDefault="00F20CFD" w:rsidP="00EA7BF5">
            <w:pPr>
              <w:rPr>
                <w:sz w:val="22"/>
                <w:szCs w:val="24"/>
              </w:rPr>
            </w:pPr>
            <w:r w:rsidRPr="008D7156">
              <w:rPr>
                <w:sz w:val="22"/>
                <w:szCs w:val="24"/>
              </w:rPr>
              <w:t>Нерандомизированные сравнительные исследования, в том числе когортные исследования</w:t>
            </w:r>
          </w:p>
        </w:tc>
      </w:tr>
      <w:tr w:rsidR="00F20CFD" w:rsidRPr="001E3EF7" w14:paraId="6C3CED54" w14:textId="77777777" w:rsidTr="009C0CE5">
        <w:tc>
          <w:tcPr>
            <w:tcW w:w="360" w:type="pct"/>
          </w:tcPr>
          <w:p w14:paraId="2DBFD827" w14:textId="77777777" w:rsidR="00F20CFD" w:rsidRPr="008D7156" w:rsidRDefault="00F20CFD" w:rsidP="001E3EF7">
            <w:pPr>
              <w:jc w:val="center"/>
              <w:rPr>
                <w:sz w:val="22"/>
                <w:szCs w:val="24"/>
              </w:rPr>
            </w:pPr>
            <w:r w:rsidRPr="008D7156">
              <w:rPr>
                <w:sz w:val="22"/>
                <w:szCs w:val="24"/>
              </w:rPr>
              <w:t>4</w:t>
            </w:r>
          </w:p>
        </w:tc>
        <w:tc>
          <w:tcPr>
            <w:tcW w:w="4640" w:type="pct"/>
          </w:tcPr>
          <w:p w14:paraId="33D42284" w14:textId="77777777" w:rsidR="00F20CFD" w:rsidRPr="008D7156" w:rsidRDefault="00F20CFD" w:rsidP="00E46A18">
            <w:pPr>
              <w:rPr>
                <w:sz w:val="22"/>
                <w:szCs w:val="24"/>
              </w:rPr>
            </w:pPr>
            <w:r w:rsidRPr="008D7156">
              <w:rPr>
                <w:sz w:val="22"/>
                <w:szCs w:val="24"/>
              </w:rPr>
              <w:t>Несравнительные исследования, описание клинического случая или серии случаев, исследования «случай–контроль»</w:t>
            </w:r>
          </w:p>
        </w:tc>
      </w:tr>
      <w:tr w:rsidR="00F20CFD" w:rsidRPr="001E3EF7" w14:paraId="27E02761" w14:textId="77777777" w:rsidTr="009C0CE5">
        <w:tc>
          <w:tcPr>
            <w:tcW w:w="360" w:type="pct"/>
          </w:tcPr>
          <w:p w14:paraId="7869A560" w14:textId="77777777" w:rsidR="00F20CFD" w:rsidRPr="008D7156" w:rsidRDefault="00F20CFD" w:rsidP="001E3EF7">
            <w:pPr>
              <w:jc w:val="center"/>
              <w:rPr>
                <w:sz w:val="22"/>
                <w:szCs w:val="24"/>
              </w:rPr>
            </w:pPr>
            <w:r w:rsidRPr="008D7156">
              <w:rPr>
                <w:sz w:val="22"/>
                <w:szCs w:val="24"/>
              </w:rPr>
              <w:t>5</w:t>
            </w:r>
          </w:p>
        </w:tc>
        <w:tc>
          <w:tcPr>
            <w:tcW w:w="4640" w:type="pct"/>
          </w:tcPr>
          <w:p w14:paraId="07FA4971" w14:textId="77777777" w:rsidR="00F20CFD" w:rsidRPr="008D7156" w:rsidRDefault="00F20CFD" w:rsidP="00EA7BF5">
            <w:pPr>
              <w:rPr>
                <w:sz w:val="22"/>
                <w:szCs w:val="24"/>
              </w:rPr>
            </w:pPr>
            <w:r w:rsidRPr="008D7156">
              <w:rPr>
                <w:sz w:val="22"/>
                <w:szCs w:val="24"/>
              </w:rPr>
              <w:t>Имеется лишь обоснование механизма действия вмешательства (доклинические исследования) или мнение экспертов</w:t>
            </w:r>
          </w:p>
        </w:tc>
      </w:tr>
    </w:tbl>
    <w:p w14:paraId="5D5377F9" w14:textId="77777777" w:rsidR="00F20CFD" w:rsidRPr="006A377C" w:rsidRDefault="00F20CFD" w:rsidP="00EA7BF5">
      <w:pPr>
        <w:pStyle w:val="aff9"/>
        <w:rPr>
          <w:rStyle w:val="affb"/>
          <w:szCs w:val="24"/>
        </w:rPr>
      </w:pPr>
    </w:p>
    <w:p w14:paraId="662E6D16" w14:textId="77777777" w:rsidR="00F20CFD" w:rsidRPr="006A377C" w:rsidRDefault="00F20CFD" w:rsidP="00E46A18">
      <w:pPr>
        <w:rPr>
          <w:b/>
          <w:szCs w:val="24"/>
        </w:rPr>
      </w:pPr>
      <w:r w:rsidRPr="006A377C">
        <w:rPr>
          <w:b/>
          <w:szCs w:val="24"/>
        </w:rPr>
        <w:t>Шкала оценки уровней убедительности рекомендаций (УУР) для методов профилактики, диагностики, лечения и реабилитации (профилактических, диагностических, лечебных, реабилитационных вмешательств)</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31"/>
        <w:gridCol w:w="8015"/>
      </w:tblGrid>
      <w:tr w:rsidR="00F20CFD" w:rsidRPr="001E3EF7" w14:paraId="78DD2B2B" w14:textId="77777777" w:rsidTr="009C0CE5">
        <w:tc>
          <w:tcPr>
            <w:tcW w:w="712" w:type="pct"/>
          </w:tcPr>
          <w:p w14:paraId="1E1BD8D5" w14:textId="77777777" w:rsidR="00F20CFD" w:rsidRPr="008D7156" w:rsidRDefault="00F20CFD" w:rsidP="001E3EF7">
            <w:pPr>
              <w:jc w:val="center"/>
              <w:rPr>
                <w:b/>
                <w:sz w:val="22"/>
                <w:szCs w:val="24"/>
              </w:rPr>
            </w:pPr>
            <w:r w:rsidRPr="008D7156">
              <w:rPr>
                <w:b/>
                <w:sz w:val="22"/>
                <w:szCs w:val="24"/>
              </w:rPr>
              <w:t>УУР</w:t>
            </w:r>
          </w:p>
        </w:tc>
        <w:tc>
          <w:tcPr>
            <w:tcW w:w="4288" w:type="pct"/>
          </w:tcPr>
          <w:p w14:paraId="2D5A362D" w14:textId="77777777" w:rsidR="00F20CFD" w:rsidRPr="008D7156" w:rsidRDefault="00F20CFD" w:rsidP="001E3EF7">
            <w:pPr>
              <w:jc w:val="center"/>
              <w:rPr>
                <w:b/>
                <w:sz w:val="22"/>
                <w:szCs w:val="24"/>
              </w:rPr>
            </w:pPr>
            <w:r w:rsidRPr="008D7156">
              <w:rPr>
                <w:b/>
                <w:sz w:val="22"/>
                <w:szCs w:val="24"/>
              </w:rPr>
              <w:t>Расшифровка</w:t>
            </w:r>
          </w:p>
        </w:tc>
      </w:tr>
      <w:tr w:rsidR="00F20CFD" w:rsidRPr="001E3EF7" w14:paraId="09959C9B" w14:textId="77777777" w:rsidTr="009C0CE5">
        <w:trPr>
          <w:trHeight w:val="1060"/>
        </w:trPr>
        <w:tc>
          <w:tcPr>
            <w:tcW w:w="712" w:type="pct"/>
          </w:tcPr>
          <w:p w14:paraId="57CE141E" w14:textId="77777777" w:rsidR="00F20CFD" w:rsidRPr="008D7156" w:rsidRDefault="00F20CFD" w:rsidP="001E3EF7">
            <w:pPr>
              <w:jc w:val="center"/>
              <w:rPr>
                <w:sz w:val="22"/>
                <w:szCs w:val="24"/>
              </w:rPr>
            </w:pPr>
            <w:r w:rsidRPr="008D7156">
              <w:rPr>
                <w:sz w:val="22"/>
                <w:szCs w:val="24"/>
                <w:lang w:val="en-US"/>
              </w:rPr>
              <w:t>A</w:t>
            </w:r>
          </w:p>
        </w:tc>
        <w:tc>
          <w:tcPr>
            <w:tcW w:w="4288" w:type="pct"/>
          </w:tcPr>
          <w:p w14:paraId="17E6BAB6" w14:textId="77777777" w:rsidR="00F20CFD" w:rsidRPr="008D7156" w:rsidRDefault="00F20CFD" w:rsidP="00EA7BF5">
            <w:pPr>
              <w:rPr>
                <w:sz w:val="22"/>
                <w:szCs w:val="24"/>
              </w:rPr>
            </w:pPr>
            <w:r w:rsidRPr="008D7156">
              <w:rPr>
                <w:sz w:val="22"/>
                <w:szCs w:val="24"/>
              </w:rPr>
              <w:t>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качество, их выводы по интересующим исходам являются согласованными)</w:t>
            </w:r>
          </w:p>
        </w:tc>
      </w:tr>
      <w:tr w:rsidR="00F20CFD" w:rsidRPr="001E3EF7" w14:paraId="761AD398" w14:textId="77777777" w:rsidTr="009C0CE5">
        <w:trPr>
          <w:trHeight w:val="558"/>
        </w:trPr>
        <w:tc>
          <w:tcPr>
            <w:tcW w:w="712" w:type="pct"/>
          </w:tcPr>
          <w:p w14:paraId="4BA59A89" w14:textId="77777777" w:rsidR="00F20CFD" w:rsidRPr="008D7156" w:rsidRDefault="00F20CFD" w:rsidP="001E3EF7">
            <w:pPr>
              <w:jc w:val="center"/>
              <w:rPr>
                <w:sz w:val="22"/>
                <w:szCs w:val="24"/>
              </w:rPr>
            </w:pPr>
            <w:r w:rsidRPr="008D7156">
              <w:rPr>
                <w:sz w:val="22"/>
                <w:szCs w:val="24"/>
              </w:rPr>
              <w:t>B</w:t>
            </w:r>
          </w:p>
        </w:tc>
        <w:tc>
          <w:tcPr>
            <w:tcW w:w="4288" w:type="pct"/>
          </w:tcPr>
          <w:p w14:paraId="2B264466" w14:textId="77777777" w:rsidR="00F20CFD" w:rsidRPr="008D7156" w:rsidRDefault="00F20CFD" w:rsidP="00EA7BF5">
            <w:pPr>
              <w:rPr>
                <w:sz w:val="22"/>
                <w:szCs w:val="24"/>
              </w:rPr>
            </w:pPr>
            <w:r w:rsidRPr="008D7156">
              <w:rPr>
                <w:sz w:val="22"/>
                <w:szCs w:val="24"/>
              </w:rPr>
              <w:t xml:space="preserve">Условная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 </w:t>
            </w:r>
          </w:p>
        </w:tc>
      </w:tr>
      <w:tr w:rsidR="00F20CFD" w:rsidRPr="001E3EF7" w14:paraId="663D4CF7" w14:textId="77777777" w:rsidTr="009C0CE5">
        <w:trPr>
          <w:trHeight w:val="798"/>
        </w:trPr>
        <w:tc>
          <w:tcPr>
            <w:tcW w:w="712" w:type="pct"/>
          </w:tcPr>
          <w:p w14:paraId="7E34668D" w14:textId="77777777" w:rsidR="00F20CFD" w:rsidRPr="008D7156" w:rsidRDefault="00F20CFD" w:rsidP="001E3EF7">
            <w:pPr>
              <w:jc w:val="center"/>
              <w:rPr>
                <w:sz w:val="22"/>
                <w:szCs w:val="24"/>
              </w:rPr>
            </w:pPr>
            <w:r w:rsidRPr="008D7156">
              <w:rPr>
                <w:sz w:val="22"/>
                <w:szCs w:val="24"/>
              </w:rPr>
              <w:t>C</w:t>
            </w:r>
          </w:p>
        </w:tc>
        <w:tc>
          <w:tcPr>
            <w:tcW w:w="4288" w:type="pct"/>
          </w:tcPr>
          <w:p w14:paraId="3B4F24A3" w14:textId="77777777" w:rsidR="00F20CFD" w:rsidRPr="008D7156" w:rsidRDefault="00F20CFD" w:rsidP="00EA7BF5">
            <w:pPr>
              <w:rPr>
                <w:sz w:val="22"/>
                <w:szCs w:val="24"/>
              </w:rPr>
            </w:pPr>
            <w:r w:rsidRPr="008D7156">
              <w:rPr>
                <w:sz w:val="22"/>
                <w:szCs w:val="24"/>
              </w:rPr>
              <w:t>Слабая рекомендация (отсутствие доказательств надлежащего качества (все рассматриваемые критерии эффективности (исходы) являются неважными, все исследования имеют низкое методологическое качество и их выводы по интересующим исходам не являются согласованными)</w:t>
            </w:r>
          </w:p>
        </w:tc>
      </w:tr>
    </w:tbl>
    <w:p w14:paraId="58BE9212" w14:textId="77777777" w:rsidR="00F20CFD" w:rsidRPr="006A377C" w:rsidRDefault="00F20CFD" w:rsidP="00EA7BF5">
      <w:pPr>
        <w:pStyle w:val="aff9"/>
        <w:rPr>
          <w:rStyle w:val="affb"/>
          <w:szCs w:val="24"/>
        </w:rPr>
      </w:pPr>
    </w:p>
    <w:p w14:paraId="21F69D6C" w14:textId="77777777" w:rsidR="00F20CFD" w:rsidRPr="006A377C" w:rsidRDefault="00F20CFD" w:rsidP="00EA7BF5">
      <w:pPr>
        <w:ind w:firstLine="709"/>
        <w:rPr>
          <w:b/>
          <w:szCs w:val="24"/>
        </w:rPr>
      </w:pPr>
      <w:r w:rsidRPr="006A377C">
        <w:rPr>
          <w:b/>
          <w:szCs w:val="24"/>
        </w:rPr>
        <w:t>Методология валидизации рекомендаций</w:t>
      </w:r>
    </w:p>
    <w:p w14:paraId="0D020CC2" w14:textId="77777777" w:rsidR="00F20CFD" w:rsidRPr="006A377C" w:rsidRDefault="00F20CFD" w:rsidP="00EA7BF5">
      <w:pPr>
        <w:ind w:firstLine="709"/>
        <w:rPr>
          <w:szCs w:val="24"/>
        </w:rPr>
      </w:pPr>
      <w:r w:rsidRPr="006A377C">
        <w:rPr>
          <w:szCs w:val="24"/>
        </w:rPr>
        <w:t>Методы валидизации рекомендаций:</w:t>
      </w:r>
    </w:p>
    <w:p w14:paraId="22B01DC2" w14:textId="77777777" w:rsidR="00F20CFD" w:rsidRPr="006A377C" w:rsidRDefault="00F20CFD" w:rsidP="005F2F2B">
      <w:pPr>
        <w:pStyle w:val="aff"/>
        <w:numPr>
          <w:ilvl w:val="0"/>
          <w:numId w:val="6"/>
        </w:numPr>
        <w:rPr>
          <w:szCs w:val="24"/>
        </w:rPr>
      </w:pPr>
      <w:r w:rsidRPr="006A377C">
        <w:rPr>
          <w:szCs w:val="24"/>
        </w:rPr>
        <w:t>внешняя экспертная оценка;</w:t>
      </w:r>
    </w:p>
    <w:p w14:paraId="5972668E" w14:textId="77777777" w:rsidR="00F20CFD" w:rsidRPr="006A377C" w:rsidRDefault="00F20CFD" w:rsidP="005F2F2B">
      <w:pPr>
        <w:pStyle w:val="aff"/>
        <w:numPr>
          <w:ilvl w:val="0"/>
          <w:numId w:val="6"/>
        </w:numPr>
        <w:rPr>
          <w:szCs w:val="24"/>
        </w:rPr>
      </w:pPr>
      <w:r w:rsidRPr="006A377C">
        <w:rPr>
          <w:szCs w:val="24"/>
        </w:rPr>
        <w:t>внутренняя экспертная оценка.</w:t>
      </w:r>
    </w:p>
    <w:p w14:paraId="14D52F94" w14:textId="77777777" w:rsidR="00F20CFD" w:rsidRPr="006A377C" w:rsidRDefault="00F20CFD" w:rsidP="00EA7BF5">
      <w:pPr>
        <w:ind w:firstLine="709"/>
        <w:rPr>
          <w:b/>
          <w:szCs w:val="24"/>
        </w:rPr>
      </w:pPr>
      <w:r w:rsidRPr="006A377C">
        <w:rPr>
          <w:b/>
          <w:szCs w:val="24"/>
        </w:rPr>
        <w:t>Описание методики валидизации рекомендаций</w:t>
      </w:r>
    </w:p>
    <w:p w14:paraId="518EFA03" w14:textId="77777777" w:rsidR="00F20CFD" w:rsidRPr="006A377C" w:rsidRDefault="00F20CFD" w:rsidP="00EA7BF5">
      <w:pPr>
        <w:ind w:firstLine="709"/>
        <w:rPr>
          <w:szCs w:val="24"/>
        </w:rPr>
      </w:pPr>
      <w:r w:rsidRPr="006A377C">
        <w:rPr>
          <w:szCs w:val="24"/>
        </w:rPr>
        <w:t>Настоящие рекомендации в предварительной версии были рецензированы независимыми экспертами, которых попросили прокомментировать, насколько качественно интерпретированы доказательства и разработаны рекомендации. Также была проведена экспертная оценка изложения рекомендаций и их доступности для понимания.</w:t>
      </w:r>
    </w:p>
    <w:p w14:paraId="751A163C" w14:textId="77777777" w:rsidR="00F20CFD" w:rsidRPr="006A377C" w:rsidRDefault="00F20CFD" w:rsidP="00EA7BF5">
      <w:pPr>
        <w:ind w:firstLine="709"/>
        <w:rPr>
          <w:szCs w:val="24"/>
        </w:rPr>
      </w:pPr>
      <w:r w:rsidRPr="006A377C">
        <w:rPr>
          <w:szCs w:val="24"/>
        </w:rPr>
        <w:t>Предварительная версия рекомендаций представлялась и обсуждалась на заседании Экспертного совета по гематологии и научных конференциях Национального гематологического общества.</w:t>
      </w:r>
    </w:p>
    <w:p w14:paraId="04D3F123" w14:textId="77777777" w:rsidR="00F20CFD" w:rsidRPr="006A377C" w:rsidRDefault="00F20CFD" w:rsidP="00EA7BF5">
      <w:pPr>
        <w:ind w:firstLine="709"/>
        <w:rPr>
          <w:szCs w:val="24"/>
        </w:rPr>
      </w:pPr>
      <w:r w:rsidRPr="006A377C">
        <w:rPr>
          <w:szCs w:val="24"/>
        </w:rPr>
        <w:t>Рекомендации обсуждены и одобрены ведущими специалистами профильных Федеральных центров РФ и практическими врачами.</w:t>
      </w:r>
    </w:p>
    <w:p w14:paraId="51D69093" w14:textId="77777777" w:rsidR="00F20CFD" w:rsidRPr="006A377C" w:rsidRDefault="00F20CFD" w:rsidP="00EA7BF5">
      <w:pPr>
        <w:ind w:firstLine="709"/>
        <w:rPr>
          <w:b/>
          <w:szCs w:val="24"/>
        </w:rPr>
      </w:pPr>
      <w:r w:rsidRPr="006A377C">
        <w:rPr>
          <w:b/>
          <w:szCs w:val="24"/>
        </w:rPr>
        <w:t>Окончательная редакция</w:t>
      </w:r>
    </w:p>
    <w:p w14:paraId="2F752E78" w14:textId="77777777" w:rsidR="00F20CFD" w:rsidRPr="006A377C" w:rsidRDefault="00F20CFD" w:rsidP="00EA7BF5">
      <w:pPr>
        <w:ind w:firstLine="709"/>
        <w:rPr>
          <w:szCs w:val="24"/>
        </w:rPr>
      </w:pPr>
      <w:r w:rsidRPr="006A377C">
        <w:rPr>
          <w:szCs w:val="24"/>
        </w:rPr>
        <w:t>Для окончательной редакции и контроля качества рекомендации были повторно проанализированы членами авторского коллектива, которые пришли к заключению, что все существенные замечания и комментарии экспертов приняты во внимание, риск систематических ошибок при разработке сведен к минимуму.</w:t>
      </w:r>
    </w:p>
    <w:p w14:paraId="3D848DFB" w14:textId="77777777" w:rsidR="00F20CFD" w:rsidRPr="006A377C" w:rsidRDefault="00F20CFD" w:rsidP="00EA7BF5">
      <w:pPr>
        <w:ind w:firstLine="709"/>
        <w:rPr>
          <w:szCs w:val="24"/>
        </w:rPr>
      </w:pPr>
      <w:r w:rsidRPr="006A377C">
        <w:rPr>
          <w:szCs w:val="24"/>
        </w:rPr>
        <w:t>Последние изменения и окончательная редакция данных рекомендаций были рассмотрены и утверждены на заседании мультидисциплинарного Экспертного совета по гематологии в апреле 2018 г.</w:t>
      </w:r>
    </w:p>
    <w:p w14:paraId="2147AE9A" w14:textId="77777777" w:rsidR="00F20CFD" w:rsidRPr="006A377C" w:rsidRDefault="00F20CFD" w:rsidP="00E46A18">
      <w:pPr>
        <w:ind w:firstLine="708"/>
        <w:rPr>
          <w:szCs w:val="24"/>
        </w:rPr>
      </w:pPr>
      <w:r w:rsidRPr="006A377C">
        <w:rPr>
          <w:rStyle w:val="affb"/>
          <w:szCs w:val="24"/>
        </w:rPr>
        <w:t>Порядок обновления клинических рекомендаций</w:t>
      </w:r>
    </w:p>
    <w:p w14:paraId="56020A4F" w14:textId="77777777" w:rsidR="00F20CFD" w:rsidRPr="006A377C" w:rsidRDefault="00F20CFD" w:rsidP="00EA7BF5">
      <w:pPr>
        <w:ind w:firstLine="709"/>
        <w:rPr>
          <w:szCs w:val="24"/>
        </w:rPr>
      </w:pPr>
      <w:r w:rsidRPr="006A377C">
        <w:rPr>
          <w:szCs w:val="24"/>
        </w:rPr>
        <w:t>Механизм обновления клинических рекомендаций предусматривает их систематическую актуализацию – не реже чем один раз в три года или при появлении новой информации о тактике ведения пациентов с данным заболеванием. Решение об обновлении принимает Минздрав России на основе предложений, представленных медицинскими некоммерческими профессиональными организациями. Сформированные предложения должны учитывать результаты комплексной оценки лекарственных препаратов, медицинских изделий, а также результаты клинической апробации.</w:t>
      </w:r>
    </w:p>
    <w:p w14:paraId="275253AA" w14:textId="77777777" w:rsidR="00F20CFD" w:rsidRPr="006A377C" w:rsidRDefault="00F20CFD" w:rsidP="00EA7BF5">
      <w:pPr>
        <w:ind w:firstLine="709"/>
        <w:rPr>
          <w:szCs w:val="24"/>
        </w:rPr>
      </w:pPr>
    </w:p>
    <w:p w14:paraId="1C6067DE" w14:textId="77777777" w:rsidR="00F20CFD" w:rsidRPr="006A377C" w:rsidRDefault="00F20CFD" w:rsidP="00EA7BF5">
      <w:pPr>
        <w:ind w:firstLine="709"/>
        <w:rPr>
          <w:szCs w:val="24"/>
        </w:rPr>
      </w:pPr>
    </w:p>
    <w:p w14:paraId="397D7196" w14:textId="77777777" w:rsidR="00F20CFD" w:rsidRPr="006A377C" w:rsidRDefault="00F20CFD" w:rsidP="00EA7BF5">
      <w:pPr>
        <w:ind w:firstLine="709"/>
        <w:rPr>
          <w:szCs w:val="24"/>
        </w:rPr>
      </w:pPr>
    </w:p>
    <w:p w14:paraId="1C7B5B57" w14:textId="77777777" w:rsidR="00F20CFD" w:rsidRPr="006A377C" w:rsidRDefault="00F20CFD" w:rsidP="00EA7BF5">
      <w:pPr>
        <w:ind w:firstLine="709"/>
        <w:rPr>
          <w:szCs w:val="24"/>
        </w:rPr>
      </w:pPr>
    </w:p>
    <w:p w14:paraId="436BD5E6" w14:textId="77777777" w:rsidR="00F20CFD" w:rsidRPr="006A377C" w:rsidRDefault="00F20CFD" w:rsidP="00EA7BF5">
      <w:pPr>
        <w:ind w:firstLine="709"/>
        <w:rPr>
          <w:szCs w:val="24"/>
        </w:rPr>
      </w:pPr>
    </w:p>
    <w:p w14:paraId="1AF9A25D" w14:textId="77777777" w:rsidR="00F20CFD" w:rsidRPr="006A377C" w:rsidRDefault="00F20CFD" w:rsidP="00EA7BF5">
      <w:pPr>
        <w:ind w:firstLine="709"/>
        <w:rPr>
          <w:szCs w:val="24"/>
        </w:rPr>
      </w:pPr>
    </w:p>
    <w:p w14:paraId="75D67A09" w14:textId="77777777" w:rsidR="00F20CFD" w:rsidRPr="006A377C" w:rsidRDefault="00F20CFD" w:rsidP="00EA7BF5">
      <w:pPr>
        <w:ind w:firstLine="709"/>
        <w:rPr>
          <w:szCs w:val="24"/>
        </w:rPr>
      </w:pPr>
    </w:p>
    <w:p w14:paraId="4014AA93" w14:textId="77777777" w:rsidR="00F20CFD" w:rsidRPr="006A377C" w:rsidRDefault="00F20CFD" w:rsidP="00EA7BF5">
      <w:pPr>
        <w:ind w:firstLine="709"/>
        <w:rPr>
          <w:szCs w:val="24"/>
        </w:rPr>
      </w:pPr>
    </w:p>
    <w:p w14:paraId="73E09441" w14:textId="77777777" w:rsidR="00F20CFD" w:rsidRPr="006A377C" w:rsidRDefault="00F20CFD" w:rsidP="00EA7BF5">
      <w:pPr>
        <w:ind w:firstLine="709"/>
        <w:rPr>
          <w:szCs w:val="24"/>
        </w:rPr>
      </w:pPr>
    </w:p>
    <w:p w14:paraId="09A46D10" w14:textId="77777777" w:rsidR="00F20CFD" w:rsidRPr="006A377C" w:rsidRDefault="00F20CFD" w:rsidP="00EA7BF5">
      <w:pPr>
        <w:ind w:firstLine="709"/>
        <w:rPr>
          <w:szCs w:val="24"/>
        </w:rPr>
      </w:pPr>
    </w:p>
    <w:p w14:paraId="03F8C493" w14:textId="77777777" w:rsidR="00F20CFD" w:rsidRPr="006A377C" w:rsidRDefault="00F20CFD" w:rsidP="00EA7BF5">
      <w:pPr>
        <w:ind w:firstLine="709"/>
        <w:rPr>
          <w:szCs w:val="24"/>
        </w:rPr>
      </w:pPr>
    </w:p>
    <w:p w14:paraId="7999F2FF" w14:textId="77777777" w:rsidR="00F20CFD" w:rsidRPr="006A377C" w:rsidRDefault="00F20CFD" w:rsidP="00EA7BF5">
      <w:pPr>
        <w:ind w:firstLine="709"/>
        <w:rPr>
          <w:szCs w:val="24"/>
        </w:rPr>
      </w:pPr>
    </w:p>
    <w:p w14:paraId="220C184D" w14:textId="77777777" w:rsidR="00F20CFD" w:rsidRPr="006A377C" w:rsidRDefault="00F20CFD" w:rsidP="00EA7BF5">
      <w:pPr>
        <w:ind w:firstLine="709"/>
        <w:rPr>
          <w:szCs w:val="24"/>
        </w:rPr>
      </w:pPr>
    </w:p>
    <w:p w14:paraId="450CF898" w14:textId="77777777" w:rsidR="00F20CFD" w:rsidRPr="006A377C" w:rsidRDefault="00F20CFD" w:rsidP="00E036A3">
      <w:pPr>
        <w:rPr>
          <w:szCs w:val="24"/>
        </w:rPr>
      </w:pPr>
    </w:p>
    <w:p w14:paraId="1DA9C905" w14:textId="77777777" w:rsidR="00F20CFD" w:rsidRPr="00C413F9" w:rsidRDefault="00BB4583" w:rsidP="00C413F9">
      <w:pPr>
        <w:pStyle w:val="2"/>
        <w:jc w:val="center"/>
        <w:rPr>
          <w:sz w:val="28"/>
          <w:szCs w:val="28"/>
          <w:u w:val="none"/>
        </w:rPr>
      </w:pPr>
      <w:bookmarkStart w:id="63" w:name="__RefHeading___doc_a3"/>
      <w:bookmarkStart w:id="64" w:name="_Toc11747753"/>
      <w:r>
        <w:rPr>
          <w:sz w:val="28"/>
          <w:szCs w:val="28"/>
          <w:u w:val="none"/>
        </w:rPr>
        <w:br w:type="page"/>
      </w:r>
      <w:bookmarkStart w:id="65" w:name="_Toc65104120"/>
      <w:r w:rsidR="00F20CFD" w:rsidRPr="00C413F9">
        <w:rPr>
          <w:sz w:val="28"/>
          <w:szCs w:val="28"/>
          <w:u w:val="none"/>
        </w:rPr>
        <w:t xml:space="preserve">Приложение А3. </w:t>
      </w:r>
      <w:bookmarkEnd w:id="63"/>
      <w:r w:rsidR="00F20CFD" w:rsidRPr="00C413F9">
        <w:rPr>
          <w:sz w:val="28"/>
          <w:szCs w:val="28"/>
          <w:u w:val="none"/>
        </w:rPr>
        <w:t>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bookmarkEnd w:id="64"/>
      <w:bookmarkEnd w:id="65"/>
    </w:p>
    <w:p w14:paraId="15918A94" w14:textId="77777777" w:rsidR="00F20CFD" w:rsidRPr="006A377C" w:rsidRDefault="00BB4583" w:rsidP="00E036A3">
      <w:pPr>
        <w:pStyle w:val="2"/>
        <w:ind w:firstLine="142"/>
      </w:pPr>
      <w:r>
        <w:br w:type="page"/>
      </w:r>
      <w:bookmarkStart w:id="66" w:name="_Toc65104121"/>
      <w:r w:rsidR="00F20CFD" w:rsidRPr="006A377C">
        <w:t>Приложение А3.1. Варианты курсов индукции и консолидации</w:t>
      </w:r>
      <w:bookmarkEnd w:id="66"/>
    </w:p>
    <w:tbl>
      <w:tblPr>
        <w:tblW w:w="922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1849"/>
        <w:gridCol w:w="7371"/>
      </w:tblGrid>
      <w:tr w:rsidR="00F20CFD" w:rsidRPr="001E3EF7" w14:paraId="4BAAF6F6" w14:textId="77777777" w:rsidTr="009C0CE5">
        <w:trPr>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B7E075E" w14:textId="77777777" w:rsidR="00F20CFD" w:rsidRPr="008D7156" w:rsidRDefault="00F20CFD" w:rsidP="00E036A3">
            <w:pPr>
              <w:jc w:val="center"/>
              <w:rPr>
                <w:b/>
                <w:sz w:val="22"/>
                <w:szCs w:val="24"/>
                <w:u w:color="000000"/>
              </w:rPr>
            </w:pPr>
            <w:r w:rsidRPr="008D7156">
              <w:rPr>
                <w:b/>
                <w:sz w:val="22"/>
                <w:szCs w:val="24"/>
                <w:u w:color="000000"/>
              </w:rPr>
              <w:t>Программа индукции/</w:t>
            </w:r>
          </w:p>
          <w:p w14:paraId="7CED4C14" w14:textId="77777777" w:rsidR="00F20CFD" w:rsidRPr="008D7156" w:rsidRDefault="00F20CFD" w:rsidP="00E036A3">
            <w:pPr>
              <w:jc w:val="center"/>
              <w:rPr>
                <w:b/>
                <w:sz w:val="22"/>
                <w:szCs w:val="24"/>
                <w:u w:color="000000"/>
              </w:rPr>
            </w:pPr>
            <w:r w:rsidRPr="008D7156">
              <w:rPr>
                <w:b/>
                <w:sz w:val="22"/>
                <w:szCs w:val="24"/>
                <w:u w:color="000000"/>
              </w:rPr>
              <w:t>консолидации</w:t>
            </w:r>
          </w:p>
        </w:tc>
        <w:tc>
          <w:tcPr>
            <w:tcW w:w="737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68C9E8A" w14:textId="77777777" w:rsidR="00F20CFD" w:rsidRPr="008D7156" w:rsidRDefault="00F20CFD" w:rsidP="00E036A3">
            <w:pPr>
              <w:ind w:firstLine="567"/>
              <w:jc w:val="center"/>
              <w:rPr>
                <w:b/>
                <w:sz w:val="22"/>
                <w:szCs w:val="24"/>
                <w:u w:color="000000"/>
              </w:rPr>
            </w:pPr>
            <w:r w:rsidRPr="008D7156">
              <w:rPr>
                <w:b/>
                <w:sz w:val="22"/>
                <w:szCs w:val="24"/>
                <w:u w:color="000000"/>
              </w:rPr>
              <w:t>Препараты</w:t>
            </w:r>
          </w:p>
        </w:tc>
      </w:tr>
      <w:tr w:rsidR="00F20CFD" w:rsidRPr="001E3EF7" w14:paraId="3441F84D" w14:textId="77777777" w:rsidTr="009C0CE5">
        <w:trPr>
          <w:trHeight w:val="1830"/>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8D12B9B" w14:textId="77777777" w:rsidR="00F20CFD" w:rsidRPr="008D7156" w:rsidRDefault="00F20CFD" w:rsidP="00EA7BF5">
            <w:pPr>
              <w:rPr>
                <w:sz w:val="22"/>
                <w:szCs w:val="24"/>
                <w:u w:color="000000"/>
              </w:rPr>
            </w:pPr>
            <w:r w:rsidRPr="008D7156">
              <w:rPr>
                <w:sz w:val="22"/>
                <w:szCs w:val="24"/>
                <w:u w:color="000000"/>
              </w:rPr>
              <w:t>7+3</w:t>
            </w:r>
            <w:r w:rsidRPr="008D7156">
              <w:rPr>
                <w:sz w:val="22"/>
                <w:szCs w:val="24"/>
                <w:u w:color="000000"/>
                <w:shd w:val="clear" w:color="auto" w:fill="FFFFFF"/>
              </w:rPr>
              <w:t>(1)</w:t>
            </w:r>
          </w:p>
        </w:tc>
        <w:tc>
          <w:tcPr>
            <w:tcW w:w="737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B82DD43" w14:textId="77777777" w:rsidR="00F20CFD" w:rsidRPr="008D7156" w:rsidRDefault="00F20CFD" w:rsidP="00EA7BF5">
            <w:pPr>
              <w:ind w:firstLine="247"/>
              <w:rPr>
                <w:sz w:val="22"/>
                <w:szCs w:val="24"/>
                <w:u w:color="000000"/>
              </w:rPr>
            </w:pPr>
            <w:r w:rsidRPr="008D7156">
              <w:rPr>
                <w:sz w:val="22"/>
                <w:szCs w:val="24"/>
                <w:u w:color="000000"/>
              </w:rPr>
              <w:t>#Цитарабин** 100 мг/м</w:t>
            </w:r>
            <w:r w:rsidRPr="008D7156">
              <w:rPr>
                <w:sz w:val="22"/>
                <w:szCs w:val="24"/>
                <w:u w:color="000000"/>
                <w:vertAlign w:val="superscript"/>
              </w:rPr>
              <w:t>2</w:t>
            </w:r>
            <w:r w:rsidRPr="008D7156">
              <w:rPr>
                <w:sz w:val="22"/>
                <w:szCs w:val="24"/>
                <w:u w:color="000000"/>
              </w:rPr>
              <w:t xml:space="preserve"> в/в 2 раза в сутки в 1–7 дни</w:t>
            </w:r>
          </w:p>
          <w:p w14:paraId="366F01DF" w14:textId="77777777" w:rsidR="00F20CFD" w:rsidRPr="008D7156" w:rsidRDefault="00F20CFD" w:rsidP="005F2F2B">
            <w:pPr>
              <w:numPr>
                <w:ilvl w:val="0"/>
                <w:numId w:val="25"/>
              </w:numPr>
              <w:ind w:left="820" w:hanging="213"/>
              <w:rPr>
                <w:sz w:val="22"/>
                <w:szCs w:val="24"/>
                <w:u w:color="000000"/>
              </w:rPr>
            </w:pPr>
            <w:r w:rsidRPr="008D7156">
              <w:rPr>
                <w:sz w:val="22"/>
                <w:szCs w:val="24"/>
                <w:u w:color="000000"/>
              </w:rPr>
              <w:t>#Даунорубицин** 60 мг/м</w:t>
            </w:r>
            <w:r w:rsidRPr="008D7156">
              <w:rPr>
                <w:sz w:val="22"/>
                <w:szCs w:val="24"/>
                <w:u w:color="000000"/>
                <w:vertAlign w:val="superscript"/>
              </w:rPr>
              <w:t>2</w:t>
            </w:r>
            <w:r w:rsidRPr="008D7156">
              <w:rPr>
                <w:sz w:val="22"/>
                <w:szCs w:val="24"/>
                <w:u w:color="000000"/>
              </w:rPr>
              <w:t xml:space="preserve"> в/в 1 раз в день в 1–3 дни или</w:t>
            </w:r>
          </w:p>
          <w:p w14:paraId="5BA79A22" w14:textId="77777777" w:rsidR="00F20CFD" w:rsidRPr="008D7156" w:rsidRDefault="00F20CFD" w:rsidP="005F2F2B">
            <w:pPr>
              <w:numPr>
                <w:ilvl w:val="0"/>
                <w:numId w:val="25"/>
              </w:numPr>
              <w:ind w:left="820" w:hanging="213"/>
              <w:rPr>
                <w:sz w:val="22"/>
                <w:szCs w:val="24"/>
                <w:u w:color="000000"/>
              </w:rPr>
            </w:pPr>
            <w:r w:rsidRPr="008D7156">
              <w:rPr>
                <w:sz w:val="22"/>
                <w:szCs w:val="24"/>
                <w:u w:color="000000"/>
              </w:rPr>
              <w:t>#Митоксантрон** 10 мг/м</w:t>
            </w:r>
            <w:r w:rsidRPr="008D7156">
              <w:rPr>
                <w:sz w:val="22"/>
                <w:szCs w:val="24"/>
                <w:u w:color="000000"/>
                <w:vertAlign w:val="superscript"/>
              </w:rPr>
              <w:t>2</w:t>
            </w:r>
            <w:r w:rsidRPr="008D7156">
              <w:rPr>
                <w:sz w:val="22"/>
                <w:szCs w:val="24"/>
                <w:u w:color="000000"/>
              </w:rPr>
              <w:t xml:space="preserve"> в/в 1 раз в день в 1–3 дни или</w:t>
            </w:r>
          </w:p>
          <w:p w14:paraId="47D0E730" w14:textId="77777777" w:rsidR="00F20CFD" w:rsidRPr="008D7156" w:rsidRDefault="00F20CFD" w:rsidP="005F2F2B">
            <w:pPr>
              <w:numPr>
                <w:ilvl w:val="0"/>
                <w:numId w:val="25"/>
              </w:numPr>
              <w:ind w:left="820" w:hanging="213"/>
              <w:rPr>
                <w:sz w:val="22"/>
                <w:szCs w:val="24"/>
                <w:u w:color="000000"/>
              </w:rPr>
            </w:pPr>
            <w:r w:rsidRPr="008D7156">
              <w:rPr>
                <w:sz w:val="22"/>
                <w:szCs w:val="24"/>
                <w:u w:color="000000"/>
              </w:rPr>
              <w:t>#Идарубицин** 12 мг/м</w:t>
            </w:r>
            <w:r w:rsidRPr="008D7156">
              <w:rPr>
                <w:sz w:val="22"/>
                <w:szCs w:val="24"/>
                <w:u w:color="000000"/>
                <w:vertAlign w:val="superscript"/>
              </w:rPr>
              <w:t>2</w:t>
            </w:r>
            <w:r w:rsidRPr="008D7156">
              <w:rPr>
                <w:sz w:val="22"/>
                <w:szCs w:val="24"/>
                <w:u w:color="000000"/>
              </w:rPr>
              <w:t xml:space="preserve"> в/в 1 раз в день в 1–3 дни</w:t>
            </w:r>
          </w:p>
        </w:tc>
      </w:tr>
      <w:tr w:rsidR="00F20CFD" w:rsidRPr="001E3EF7" w14:paraId="60710959" w14:textId="77777777" w:rsidTr="009C0CE5">
        <w:trPr>
          <w:trHeight w:val="2644"/>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1DF6FF9" w14:textId="77777777" w:rsidR="00F20CFD" w:rsidRPr="008D7156" w:rsidRDefault="00F20CFD" w:rsidP="00EA7BF5">
            <w:pPr>
              <w:rPr>
                <w:sz w:val="22"/>
                <w:szCs w:val="24"/>
                <w:u w:color="000000"/>
              </w:rPr>
            </w:pPr>
            <w:r w:rsidRPr="008D7156">
              <w:rPr>
                <w:sz w:val="22"/>
                <w:szCs w:val="24"/>
                <w:u w:color="000000"/>
              </w:rPr>
              <w:t>7+3</w:t>
            </w:r>
            <w:r w:rsidRPr="008D7156">
              <w:rPr>
                <w:sz w:val="22"/>
                <w:szCs w:val="24"/>
                <w:u w:color="000000"/>
                <w:shd w:val="clear" w:color="auto" w:fill="FFFFFF"/>
              </w:rPr>
              <w:t>(2)</w:t>
            </w:r>
          </w:p>
        </w:tc>
        <w:tc>
          <w:tcPr>
            <w:tcW w:w="737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3D780AB" w14:textId="77777777" w:rsidR="00F20CFD" w:rsidRPr="008D7156" w:rsidRDefault="00F20CFD" w:rsidP="00EA7BF5">
            <w:pPr>
              <w:ind w:firstLine="247"/>
              <w:rPr>
                <w:sz w:val="22"/>
                <w:szCs w:val="24"/>
                <w:u w:color="000000"/>
              </w:rPr>
            </w:pPr>
            <w:r w:rsidRPr="008D7156">
              <w:rPr>
                <w:sz w:val="22"/>
                <w:szCs w:val="24"/>
                <w:u w:color="000000"/>
              </w:rPr>
              <w:t>#Цитарабин** 200 мг/м</w:t>
            </w:r>
            <w:r w:rsidRPr="008D7156">
              <w:rPr>
                <w:sz w:val="22"/>
                <w:szCs w:val="24"/>
                <w:u w:color="000000"/>
                <w:vertAlign w:val="superscript"/>
              </w:rPr>
              <w:t>2</w:t>
            </w:r>
            <w:r w:rsidRPr="008D7156">
              <w:rPr>
                <w:sz w:val="22"/>
                <w:szCs w:val="24"/>
                <w:u w:color="000000"/>
              </w:rPr>
              <w:t xml:space="preserve"> в/в круглосуточно в 1–7 дни</w:t>
            </w:r>
          </w:p>
          <w:p w14:paraId="0D6FF877" w14:textId="77777777" w:rsidR="00F20CFD" w:rsidRPr="008D7156" w:rsidRDefault="00F20CFD" w:rsidP="005F2F2B">
            <w:pPr>
              <w:numPr>
                <w:ilvl w:val="0"/>
                <w:numId w:val="26"/>
              </w:numPr>
              <w:ind w:left="820" w:hanging="213"/>
              <w:rPr>
                <w:sz w:val="22"/>
                <w:szCs w:val="24"/>
                <w:u w:color="000000"/>
              </w:rPr>
            </w:pPr>
            <w:r w:rsidRPr="008D7156">
              <w:rPr>
                <w:sz w:val="22"/>
                <w:szCs w:val="24"/>
                <w:u w:color="000000"/>
              </w:rPr>
              <w:t>#Даунорубицин** 60 мг/м</w:t>
            </w:r>
            <w:r w:rsidRPr="008D7156">
              <w:rPr>
                <w:sz w:val="22"/>
                <w:szCs w:val="24"/>
                <w:u w:color="000000"/>
                <w:vertAlign w:val="superscript"/>
              </w:rPr>
              <w:t>2</w:t>
            </w:r>
            <w:r w:rsidRPr="008D7156">
              <w:rPr>
                <w:sz w:val="22"/>
                <w:szCs w:val="24"/>
                <w:u w:color="000000"/>
              </w:rPr>
              <w:t xml:space="preserve"> в/в 1 раз в день в 3–5 дни или</w:t>
            </w:r>
          </w:p>
          <w:p w14:paraId="1B9BA6A1" w14:textId="77777777" w:rsidR="00F20CFD" w:rsidRPr="008D7156" w:rsidRDefault="00F20CFD" w:rsidP="005F2F2B">
            <w:pPr>
              <w:numPr>
                <w:ilvl w:val="0"/>
                <w:numId w:val="26"/>
              </w:numPr>
              <w:ind w:left="820" w:hanging="213"/>
              <w:rPr>
                <w:sz w:val="22"/>
                <w:szCs w:val="24"/>
                <w:u w:color="000000"/>
              </w:rPr>
            </w:pPr>
            <w:r w:rsidRPr="008D7156">
              <w:rPr>
                <w:sz w:val="22"/>
                <w:szCs w:val="24"/>
                <w:u w:color="000000"/>
              </w:rPr>
              <w:t>#Митоксантрон** 10 мг/м</w:t>
            </w:r>
            <w:r w:rsidRPr="008D7156">
              <w:rPr>
                <w:sz w:val="22"/>
                <w:szCs w:val="24"/>
                <w:u w:color="000000"/>
                <w:vertAlign w:val="superscript"/>
              </w:rPr>
              <w:t>2</w:t>
            </w:r>
            <w:r w:rsidRPr="008D7156">
              <w:rPr>
                <w:sz w:val="22"/>
                <w:szCs w:val="24"/>
                <w:u w:color="000000"/>
              </w:rPr>
              <w:t xml:space="preserve"> в/в 1 раз в день в 3–5 дни или</w:t>
            </w:r>
          </w:p>
          <w:p w14:paraId="3D542736" w14:textId="77777777" w:rsidR="00F20CFD" w:rsidRPr="008D7156" w:rsidRDefault="00F20CFD" w:rsidP="005F2F2B">
            <w:pPr>
              <w:numPr>
                <w:ilvl w:val="0"/>
                <w:numId w:val="26"/>
              </w:numPr>
              <w:ind w:left="820" w:hanging="213"/>
              <w:rPr>
                <w:sz w:val="22"/>
                <w:szCs w:val="24"/>
                <w:u w:color="000000"/>
              </w:rPr>
            </w:pPr>
            <w:r w:rsidRPr="008D7156">
              <w:rPr>
                <w:sz w:val="22"/>
                <w:szCs w:val="24"/>
                <w:u w:color="000000"/>
              </w:rPr>
              <w:t>#Идарубицин** 12 мг/м</w:t>
            </w:r>
            <w:r w:rsidRPr="008D7156">
              <w:rPr>
                <w:sz w:val="22"/>
                <w:szCs w:val="24"/>
                <w:u w:color="000000"/>
                <w:vertAlign w:val="superscript"/>
              </w:rPr>
              <w:t>2</w:t>
            </w:r>
            <w:r w:rsidRPr="008D7156">
              <w:rPr>
                <w:sz w:val="22"/>
                <w:szCs w:val="24"/>
                <w:u w:color="000000"/>
              </w:rPr>
              <w:t xml:space="preserve"> в/в 1 раз в день в 3–5 дни</w:t>
            </w:r>
          </w:p>
        </w:tc>
      </w:tr>
      <w:tr w:rsidR="00F20CFD" w:rsidRPr="001E3EF7" w14:paraId="3E094E55" w14:textId="77777777" w:rsidTr="009C0CE5">
        <w:trPr>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B808727" w14:textId="77777777" w:rsidR="00F20CFD" w:rsidRPr="008D7156" w:rsidRDefault="00F20CFD" w:rsidP="00EA7BF5">
            <w:pPr>
              <w:rPr>
                <w:sz w:val="22"/>
                <w:szCs w:val="24"/>
                <w:u w:color="000000"/>
                <w:lang w:val="en-US"/>
              </w:rPr>
            </w:pPr>
            <w:r w:rsidRPr="008D7156">
              <w:rPr>
                <w:sz w:val="22"/>
                <w:szCs w:val="24"/>
                <w:u w:color="000000"/>
              </w:rPr>
              <w:t>Азацитидин</w:t>
            </w:r>
            <w:r w:rsidRPr="008D7156">
              <w:rPr>
                <w:sz w:val="22"/>
                <w:szCs w:val="24"/>
                <w:u w:color="000000"/>
                <w:lang w:val="en-US"/>
              </w:rPr>
              <w:t>**</w:t>
            </w:r>
          </w:p>
        </w:tc>
        <w:tc>
          <w:tcPr>
            <w:tcW w:w="737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CCDCB9E" w14:textId="77777777" w:rsidR="00F20CFD" w:rsidRPr="008D7156" w:rsidRDefault="00F20CFD" w:rsidP="00EA7BF5">
            <w:pPr>
              <w:ind w:firstLine="247"/>
              <w:rPr>
                <w:sz w:val="22"/>
                <w:szCs w:val="24"/>
                <w:u w:color="000000"/>
              </w:rPr>
            </w:pPr>
            <w:r w:rsidRPr="008D7156">
              <w:rPr>
                <w:sz w:val="22"/>
                <w:szCs w:val="24"/>
                <w:u w:color="000000"/>
              </w:rPr>
              <w:t>Азацитидин** 75 мг/м</w:t>
            </w:r>
            <w:r w:rsidRPr="008D7156">
              <w:rPr>
                <w:sz w:val="22"/>
                <w:szCs w:val="24"/>
                <w:u w:color="000000"/>
                <w:vertAlign w:val="superscript"/>
              </w:rPr>
              <w:t>2</w:t>
            </w:r>
            <w:r w:rsidRPr="008D7156">
              <w:rPr>
                <w:sz w:val="22"/>
                <w:szCs w:val="24"/>
                <w:u w:color="000000"/>
              </w:rPr>
              <w:t xml:space="preserve"> 7 дней, п/к 1 раз в день, интервал 21 день</w:t>
            </w:r>
          </w:p>
        </w:tc>
      </w:tr>
      <w:tr w:rsidR="00F20CFD" w:rsidRPr="001E3EF7" w14:paraId="6FB418B0" w14:textId="77777777" w:rsidTr="009C0CE5">
        <w:trPr>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60ED5DE" w14:textId="77777777" w:rsidR="00F20CFD" w:rsidRPr="008D7156" w:rsidRDefault="00F20CFD" w:rsidP="00EA7BF5">
            <w:pPr>
              <w:rPr>
                <w:sz w:val="22"/>
                <w:szCs w:val="24"/>
                <w:u w:color="000000"/>
              </w:rPr>
            </w:pPr>
            <w:r w:rsidRPr="008D7156">
              <w:rPr>
                <w:sz w:val="22"/>
                <w:szCs w:val="24"/>
                <w:u w:color="000000"/>
              </w:rPr>
              <w:t>Децитабин</w:t>
            </w:r>
          </w:p>
        </w:tc>
        <w:tc>
          <w:tcPr>
            <w:tcW w:w="737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22F67F7" w14:textId="77777777" w:rsidR="00F20CFD" w:rsidRPr="008D7156" w:rsidRDefault="00F20CFD" w:rsidP="00187244">
            <w:pPr>
              <w:ind w:firstLine="247"/>
              <w:rPr>
                <w:sz w:val="22"/>
                <w:szCs w:val="24"/>
                <w:u w:color="000000"/>
              </w:rPr>
            </w:pPr>
            <w:r w:rsidRPr="008D7156">
              <w:rPr>
                <w:sz w:val="22"/>
                <w:szCs w:val="24"/>
                <w:u w:color="000000"/>
              </w:rPr>
              <w:t>Децитабин 20 мг/м</w:t>
            </w:r>
            <w:r w:rsidRPr="008D7156">
              <w:rPr>
                <w:sz w:val="22"/>
                <w:szCs w:val="24"/>
                <w:u w:color="000000"/>
                <w:vertAlign w:val="superscript"/>
              </w:rPr>
              <w:t>2</w:t>
            </w:r>
            <w:r w:rsidRPr="008D7156">
              <w:rPr>
                <w:sz w:val="22"/>
                <w:szCs w:val="24"/>
                <w:u w:color="000000"/>
              </w:rPr>
              <w:t xml:space="preserve"> в/в 5 дней, интервал каждые 28–35 дней</w:t>
            </w:r>
          </w:p>
        </w:tc>
      </w:tr>
      <w:tr w:rsidR="00F20CFD" w:rsidRPr="001E3EF7" w14:paraId="3D53F318" w14:textId="77777777" w:rsidTr="009C0CE5">
        <w:trPr>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B240D5A" w14:textId="77777777" w:rsidR="00F20CFD" w:rsidRPr="008D7156" w:rsidRDefault="00F20CFD" w:rsidP="00EA7BF5">
            <w:pPr>
              <w:rPr>
                <w:sz w:val="22"/>
                <w:szCs w:val="24"/>
                <w:u w:color="000000"/>
                <w:lang w:val="en-US"/>
              </w:rPr>
            </w:pPr>
            <w:r w:rsidRPr="008D7156">
              <w:rPr>
                <w:sz w:val="22"/>
                <w:szCs w:val="24"/>
                <w:u w:color="000000"/>
                <w:lang w:val="en-US"/>
              </w:rPr>
              <w:t>Aza-Ida-Ara-C</w:t>
            </w:r>
          </w:p>
        </w:tc>
        <w:tc>
          <w:tcPr>
            <w:tcW w:w="737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1211860" w14:textId="77777777" w:rsidR="00F20CFD" w:rsidRPr="008D7156" w:rsidRDefault="00F20CFD" w:rsidP="00EA7BF5">
            <w:pPr>
              <w:ind w:firstLine="247"/>
              <w:rPr>
                <w:sz w:val="22"/>
                <w:szCs w:val="24"/>
                <w:u w:color="000000"/>
              </w:rPr>
            </w:pPr>
            <w:r w:rsidRPr="008D7156">
              <w:rPr>
                <w:sz w:val="22"/>
                <w:szCs w:val="24"/>
                <w:u w:color="000000"/>
              </w:rPr>
              <w:t>Азацитидин** 75 мг/м</w:t>
            </w:r>
            <w:r w:rsidRPr="008D7156">
              <w:rPr>
                <w:sz w:val="22"/>
                <w:szCs w:val="24"/>
                <w:u w:color="000000"/>
                <w:vertAlign w:val="superscript"/>
              </w:rPr>
              <w:t>2</w:t>
            </w:r>
            <w:r w:rsidRPr="008D7156">
              <w:rPr>
                <w:sz w:val="22"/>
                <w:szCs w:val="24"/>
                <w:u w:color="000000"/>
              </w:rPr>
              <w:t xml:space="preserve"> п/к 1 раз в день, в 1–3 дни</w:t>
            </w:r>
          </w:p>
          <w:p w14:paraId="4DB0FD41" w14:textId="77777777" w:rsidR="00F20CFD" w:rsidRPr="008D7156" w:rsidRDefault="00F20CFD" w:rsidP="00EA7BF5">
            <w:pPr>
              <w:ind w:firstLine="247"/>
              <w:rPr>
                <w:sz w:val="22"/>
                <w:szCs w:val="24"/>
                <w:u w:color="000000"/>
              </w:rPr>
            </w:pPr>
            <w:r w:rsidRPr="008D7156">
              <w:rPr>
                <w:sz w:val="22"/>
                <w:szCs w:val="24"/>
                <w:u w:color="000000"/>
              </w:rPr>
              <w:t>#Идарубицин** 3 мг/м</w:t>
            </w:r>
            <w:r w:rsidRPr="008D7156">
              <w:rPr>
                <w:sz w:val="22"/>
                <w:szCs w:val="24"/>
                <w:u w:color="000000"/>
                <w:vertAlign w:val="superscript"/>
              </w:rPr>
              <w:t xml:space="preserve">2 </w:t>
            </w:r>
            <w:r w:rsidRPr="008D7156">
              <w:rPr>
                <w:sz w:val="22"/>
                <w:szCs w:val="24"/>
                <w:u w:color="000000"/>
              </w:rPr>
              <w:t>в/в струйно, 1 раз в день, в 4–10 дни</w:t>
            </w:r>
          </w:p>
          <w:p w14:paraId="19F09369" w14:textId="77777777" w:rsidR="00F20CFD" w:rsidRPr="008D7156" w:rsidRDefault="00F20CFD" w:rsidP="00187244">
            <w:pPr>
              <w:ind w:firstLine="247"/>
              <w:rPr>
                <w:sz w:val="22"/>
                <w:szCs w:val="24"/>
                <w:u w:color="000000"/>
              </w:rPr>
            </w:pPr>
            <w:r w:rsidRPr="008D7156">
              <w:rPr>
                <w:sz w:val="22"/>
                <w:szCs w:val="24"/>
                <w:u w:color="000000"/>
              </w:rPr>
              <w:t>#Цитарабин** 10 мг/м</w:t>
            </w:r>
            <w:r w:rsidRPr="008D7156">
              <w:rPr>
                <w:sz w:val="22"/>
                <w:szCs w:val="24"/>
                <w:u w:color="000000"/>
                <w:vertAlign w:val="superscript"/>
              </w:rPr>
              <w:t>2</w:t>
            </w:r>
            <w:r w:rsidRPr="008D7156">
              <w:rPr>
                <w:sz w:val="22"/>
                <w:szCs w:val="24"/>
                <w:u w:color="000000"/>
              </w:rPr>
              <w:t xml:space="preserve"> п/к 2 раза в сутки, в 4–17 дни</w:t>
            </w:r>
          </w:p>
        </w:tc>
      </w:tr>
      <w:tr w:rsidR="00F20CFD" w:rsidRPr="001E3EF7" w14:paraId="6C73BAA6" w14:textId="77777777" w:rsidTr="009C0CE5">
        <w:trPr>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8A1B24A" w14:textId="77777777" w:rsidR="00F20CFD" w:rsidRPr="008D7156" w:rsidRDefault="00F20CFD" w:rsidP="00EA7BF5">
            <w:pPr>
              <w:rPr>
                <w:sz w:val="22"/>
                <w:szCs w:val="24"/>
                <w:u w:color="000000"/>
                <w:lang w:val="en-US"/>
              </w:rPr>
            </w:pPr>
            <w:r w:rsidRPr="008D7156">
              <w:rPr>
                <w:sz w:val="22"/>
                <w:szCs w:val="24"/>
                <w:u w:color="000000"/>
                <w:lang w:val="en-US"/>
              </w:rPr>
              <w:t>Dac-Ida-Ara-C</w:t>
            </w:r>
          </w:p>
        </w:tc>
        <w:tc>
          <w:tcPr>
            <w:tcW w:w="737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E41A12A" w14:textId="77777777" w:rsidR="00F20CFD" w:rsidRPr="008D7156" w:rsidRDefault="00F20CFD" w:rsidP="00EA7BF5">
            <w:pPr>
              <w:ind w:firstLine="247"/>
              <w:rPr>
                <w:sz w:val="22"/>
                <w:szCs w:val="24"/>
                <w:u w:color="000000"/>
              </w:rPr>
            </w:pPr>
            <w:r w:rsidRPr="008D7156">
              <w:rPr>
                <w:sz w:val="22"/>
                <w:szCs w:val="24"/>
                <w:u w:color="000000"/>
              </w:rPr>
              <w:t>Децитабин 20 мг/м</w:t>
            </w:r>
            <w:r w:rsidRPr="008D7156">
              <w:rPr>
                <w:sz w:val="22"/>
                <w:szCs w:val="24"/>
                <w:u w:color="000000"/>
                <w:vertAlign w:val="superscript"/>
              </w:rPr>
              <w:t>2</w:t>
            </w:r>
            <w:r w:rsidRPr="008D7156">
              <w:rPr>
                <w:sz w:val="22"/>
                <w:szCs w:val="24"/>
                <w:u w:color="000000"/>
              </w:rPr>
              <w:t xml:space="preserve"> в/в 1 раз в день, 1–3 дни</w:t>
            </w:r>
          </w:p>
          <w:p w14:paraId="46D0B1C2" w14:textId="77777777" w:rsidR="00F20CFD" w:rsidRPr="008D7156" w:rsidRDefault="00F20CFD" w:rsidP="00EA7BF5">
            <w:pPr>
              <w:ind w:firstLine="247"/>
              <w:rPr>
                <w:sz w:val="22"/>
                <w:szCs w:val="24"/>
                <w:u w:color="000000"/>
              </w:rPr>
            </w:pPr>
            <w:r w:rsidRPr="008D7156">
              <w:rPr>
                <w:sz w:val="22"/>
                <w:szCs w:val="24"/>
                <w:u w:color="000000"/>
              </w:rPr>
              <w:t>#Идарубицин** 3 мг/м</w:t>
            </w:r>
            <w:r w:rsidRPr="008D7156">
              <w:rPr>
                <w:sz w:val="22"/>
                <w:szCs w:val="24"/>
                <w:u w:color="000000"/>
                <w:vertAlign w:val="superscript"/>
              </w:rPr>
              <w:t xml:space="preserve">2 </w:t>
            </w:r>
            <w:r w:rsidRPr="008D7156">
              <w:rPr>
                <w:sz w:val="22"/>
                <w:szCs w:val="24"/>
                <w:u w:color="000000"/>
              </w:rPr>
              <w:t>в/в струйно, 1 раз в день, в 4–10 дни</w:t>
            </w:r>
          </w:p>
          <w:p w14:paraId="4F402FB9" w14:textId="77777777" w:rsidR="00F20CFD" w:rsidRPr="008D7156" w:rsidRDefault="00F20CFD" w:rsidP="00187244">
            <w:pPr>
              <w:ind w:firstLine="247"/>
              <w:rPr>
                <w:sz w:val="22"/>
                <w:szCs w:val="24"/>
                <w:u w:color="000000"/>
              </w:rPr>
            </w:pPr>
            <w:r w:rsidRPr="008D7156">
              <w:rPr>
                <w:sz w:val="22"/>
                <w:szCs w:val="24"/>
                <w:u w:color="000000"/>
              </w:rPr>
              <w:t>#Цитарабин** 10 мг/м</w:t>
            </w:r>
            <w:r w:rsidRPr="008D7156">
              <w:rPr>
                <w:sz w:val="22"/>
                <w:szCs w:val="24"/>
                <w:u w:color="000000"/>
                <w:vertAlign w:val="superscript"/>
              </w:rPr>
              <w:t>2</w:t>
            </w:r>
            <w:r w:rsidRPr="008D7156">
              <w:rPr>
                <w:sz w:val="22"/>
                <w:szCs w:val="24"/>
                <w:u w:color="000000"/>
              </w:rPr>
              <w:t xml:space="preserve"> п/к 2 раза в сутки, в 4–17 дни</w:t>
            </w:r>
          </w:p>
        </w:tc>
      </w:tr>
      <w:tr w:rsidR="00F20CFD" w:rsidRPr="001E3EF7" w14:paraId="4509E177" w14:textId="77777777" w:rsidTr="009C0CE5">
        <w:trPr>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ECC6878" w14:textId="77777777" w:rsidR="00F20CFD" w:rsidRPr="008D7156" w:rsidRDefault="00F20CFD" w:rsidP="00187244">
            <w:pPr>
              <w:rPr>
                <w:sz w:val="22"/>
                <w:szCs w:val="24"/>
                <w:u w:color="000000"/>
              </w:rPr>
            </w:pPr>
            <w:r w:rsidRPr="008D7156">
              <w:rPr>
                <w:sz w:val="22"/>
                <w:szCs w:val="24"/>
                <w:u w:color="000000"/>
              </w:rPr>
              <w:t>Малые дозы #Цитарабина</w:t>
            </w:r>
            <w:r w:rsidRPr="008D7156">
              <w:rPr>
                <w:sz w:val="22"/>
                <w:szCs w:val="24"/>
                <w:u w:color="000000"/>
                <w:lang w:val="en-US"/>
              </w:rPr>
              <w:t>**</w:t>
            </w:r>
          </w:p>
        </w:tc>
        <w:tc>
          <w:tcPr>
            <w:tcW w:w="737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2D0884D" w14:textId="77777777" w:rsidR="00F20CFD" w:rsidRPr="008D7156" w:rsidRDefault="00F20CFD" w:rsidP="00EA7BF5">
            <w:pPr>
              <w:ind w:firstLine="247"/>
              <w:rPr>
                <w:sz w:val="22"/>
                <w:szCs w:val="24"/>
                <w:u w:color="000000"/>
              </w:rPr>
            </w:pPr>
            <w:r w:rsidRPr="008D7156">
              <w:rPr>
                <w:sz w:val="22"/>
                <w:szCs w:val="24"/>
                <w:u w:color="000000"/>
              </w:rPr>
              <w:t>#Цитарабин** 10 мг/м</w:t>
            </w:r>
            <w:r w:rsidRPr="008D7156">
              <w:rPr>
                <w:sz w:val="22"/>
                <w:szCs w:val="24"/>
                <w:u w:color="000000"/>
                <w:vertAlign w:val="superscript"/>
              </w:rPr>
              <w:t>2</w:t>
            </w:r>
            <w:r w:rsidRPr="008D7156">
              <w:rPr>
                <w:sz w:val="22"/>
                <w:szCs w:val="24"/>
                <w:u w:color="000000"/>
              </w:rPr>
              <w:t xml:space="preserve"> п/к 2 раза в сутки 28 дней</w:t>
            </w:r>
          </w:p>
        </w:tc>
      </w:tr>
    </w:tbl>
    <w:p w14:paraId="271B76DC" w14:textId="77777777" w:rsidR="00F20CFD" w:rsidRPr="006A377C" w:rsidRDefault="00F20CFD" w:rsidP="00EA7BF5">
      <w:pPr>
        <w:pStyle w:val="22"/>
        <w:rPr>
          <w:b/>
          <w:szCs w:val="24"/>
        </w:rPr>
      </w:pPr>
      <w:r w:rsidRPr="006A377C">
        <w:rPr>
          <w:b/>
          <w:szCs w:val="24"/>
        </w:rPr>
        <w:t>Варианты курсов поддерживающего лечения</w:t>
      </w:r>
    </w:p>
    <w:tbl>
      <w:tblPr>
        <w:tblW w:w="9282"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1913"/>
        <w:gridCol w:w="7369"/>
      </w:tblGrid>
      <w:tr w:rsidR="00F20CFD" w:rsidRPr="001E3EF7" w14:paraId="4BE78526" w14:textId="77777777" w:rsidTr="009C0CE5">
        <w:trPr>
          <w:trHeight w:val="235"/>
        </w:trPr>
        <w:tc>
          <w:tcPr>
            <w:tcW w:w="191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3ABAD96" w14:textId="77777777" w:rsidR="00F20CFD" w:rsidRPr="008D7156" w:rsidRDefault="00F20CFD" w:rsidP="008D3BEC">
            <w:pPr>
              <w:jc w:val="center"/>
              <w:rPr>
                <w:b/>
                <w:sz w:val="22"/>
                <w:szCs w:val="24"/>
              </w:rPr>
            </w:pPr>
            <w:r w:rsidRPr="008D7156">
              <w:rPr>
                <w:b/>
                <w:sz w:val="22"/>
                <w:szCs w:val="24"/>
              </w:rPr>
              <w:t>Программа</w:t>
            </w:r>
          </w:p>
        </w:tc>
        <w:tc>
          <w:tcPr>
            <w:tcW w:w="736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C2F4143" w14:textId="77777777" w:rsidR="00F20CFD" w:rsidRPr="008D7156" w:rsidRDefault="00F20CFD" w:rsidP="008D3BEC">
            <w:pPr>
              <w:ind w:firstLine="567"/>
              <w:jc w:val="center"/>
              <w:rPr>
                <w:b/>
                <w:sz w:val="22"/>
                <w:szCs w:val="24"/>
              </w:rPr>
            </w:pPr>
            <w:r w:rsidRPr="008D7156">
              <w:rPr>
                <w:b/>
                <w:sz w:val="22"/>
                <w:szCs w:val="24"/>
              </w:rPr>
              <w:t>Препарат</w:t>
            </w:r>
          </w:p>
        </w:tc>
      </w:tr>
      <w:tr w:rsidR="00F20CFD" w:rsidRPr="001E3EF7" w14:paraId="295ADDE3" w14:textId="77777777" w:rsidTr="009C0CE5">
        <w:trPr>
          <w:trHeight w:val="235"/>
        </w:trPr>
        <w:tc>
          <w:tcPr>
            <w:tcW w:w="191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BEBEC88" w14:textId="77777777" w:rsidR="00F20CFD" w:rsidRPr="008D7156" w:rsidRDefault="00F20CFD" w:rsidP="00EA7BF5">
            <w:pPr>
              <w:rPr>
                <w:sz w:val="22"/>
                <w:szCs w:val="24"/>
              </w:rPr>
            </w:pPr>
            <w:r w:rsidRPr="008D7156">
              <w:rPr>
                <w:sz w:val="22"/>
                <w:szCs w:val="24"/>
              </w:rPr>
              <w:t xml:space="preserve">5 + 6-МП </w:t>
            </w:r>
            <w:r w:rsidRPr="008D7156">
              <w:rPr>
                <w:sz w:val="22"/>
                <w:szCs w:val="24"/>
                <w:shd w:val="clear" w:color="auto" w:fill="FFFFFF"/>
              </w:rPr>
              <w:t>(2)</w:t>
            </w:r>
          </w:p>
        </w:tc>
        <w:tc>
          <w:tcPr>
            <w:tcW w:w="736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4DDDC31" w14:textId="77777777" w:rsidR="00F20CFD" w:rsidRPr="008D7156" w:rsidRDefault="00F20CFD" w:rsidP="00EA7BF5">
            <w:pPr>
              <w:rPr>
                <w:sz w:val="22"/>
                <w:szCs w:val="24"/>
              </w:rPr>
            </w:pPr>
            <w:r w:rsidRPr="008D7156">
              <w:rPr>
                <w:sz w:val="22"/>
                <w:szCs w:val="24"/>
                <w:u w:color="000000"/>
              </w:rPr>
              <w:t>#</w:t>
            </w:r>
            <w:r w:rsidRPr="008D7156">
              <w:rPr>
                <w:sz w:val="22"/>
                <w:szCs w:val="24"/>
              </w:rPr>
              <w:t>Цитарабин** 100 мг/м</w:t>
            </w:r>
            <w:r w:rsidRPr="008D7156">
              <w:rPr>
                <w:sz w:val="22"/>
                <w:szCs w:val="24"/>
                <w:vertAlign w:val="superscript"/>
              </w:rPr>
              <w:t>2</w:t>
            </w:r>
            <w:r w:rsidRPr="008D7156">
              <w:rPr>
                <w:sz w:val="22"/>
                <w:szCs w:val="24"/>
              </w:rPr>
              <w:t xml:space="preserve"> в/в 2 раза в день в 1–5 дни, или 50 мг/м</w:t>
            </w:r>
            <w:r w:rsidRPr="008D7156">
              <w:rPr>
                <w:sz w:val="22"/>
                <w:szCs w:val="24"/>
                <w:vertAlign w:val="superscript"/>
              </w:rPr>
              <w:t>2</w:t>
            </w:r>
            <w:r w:rsidRPr="008D7156">
              <w:rPr>
                <w:sz w:val="22"/>
                <w:szCs w:val="24"/>
              </w:rPr>
              <w:t xml:space="preserve"> подкожно 2 раза в день в 1–5 дни</w:t>
            </w:r>
          </w:p>
          <w:p w14:paraId="7E554C3E" w14:textId="77777777" w:rsidR="00F20CFD" w:rsidRPr="008D7156" w:rsidRDefault="00F20CFD" w:rsidP="00EA7BF5">
            <w:pPr>
              <w:rPr>
                <w:sz w:val="22"/>
                <w:szCs w:val="24"/>
              </w:rPr>
            </w:pPr>
            <w:r w:rsidRPr="008D7156">
              <w:rPr>
                <w:sz w:val="22"/>
                <w:szCs w:val="24"/>
                <w:u w:color="000000"/>
              </w:rPr>
              <w:t>#</w:t>
            </w:r>
            <w:r w:rsidRPr="008D7156">
              <w:rPr>
                <w:sz w:val="22"/>
                <w:szCs w:val="24"/>
              </w:rPr>
              <w:t>Меркаптопурин** 60 мг/м</w:t>
            </w:r>
            <w:r w:rsidRPr="008D7156">
              <w:rPr>
                <w:sz w:val="22"/>
                <w:szCs w:val="24"/>
                <w:vertAlign w:val="superscript"/>
              </w:rPr>
              <w:t>2</w:t>
            </w:r>
            <w:r w:rsidRPr="008D7156">
              <w:rPr>
                <w:sz w:val="22"/>
                <w:szCs w:val="24"/>
              </w:rPr>
              <w:t xml:space="preserve"> в сутки в 2 приема внутрь в 1–2 дни</w:t>
            </w:r>
          </w:p>
        </w:tc>
      </w:tr>
      <w:tr w:rsidR="00F20CFD" w:rsidRPr="001E3EF7" w14:paraId="759C7F32" w14:textId="77777777" w:rsidTr="009C0CE5">
        <w:trPr>
          <w:trHeight w:val="235"/>
        </w:trPr>
        <w:tc>
          <w:tcPr>
            <w:tcW w:w="191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DFF0E94" w14:textId="77777777" w:rsidR="00F20CFD" w:rsidRPr="008D7156" w:rsidRDefault="00F20CFD" w:rsidP="00EA7BF5">
            <w:pPr>
              <w:rPr>
                <w:sz w:val="22"/>
                <w:szCs w:val="24"/>
                <w:lang w:val="en-US"/>
              </w:rPr>
            </w:pPr>
            <w:r w:rsidRPr="008D7156">
              <w:rPr>
                <w:sz w:val="22"/>
                <w:szCs w:val="24"/>
                <w:u w:color="000000"/>
              </w:rPr>
              <w:t>Азацитидин</w:t>
            </w:r>
            <w:r w:rsidRPr="008D7156">
              <w:rPr>
                <w:sz w:val="22"/>
                <w:szCs w:val="24"/>
                <w:u w:color="000000"/>
                <w:lang w:val="en-US"/>
              </w:rPr>
              <w:t>**</w:t>
            </w:r>
          </w:p>
        </w:tc>
        <w:tc>
          <w:tcPr>
            <w:tcW w:w="736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CDF17AF" w14:textId="77777777" w:rsidR="00F20CFD" w:rsidRPr="008D7156" w:rsidRDefault="00F20CFD" w:rsidP="00187244">
            <w:pPr>
              <w:rPr>
                <w:sz w:val="22"/>
                <w:szCs w:val="24"/>
              </w:rPr>
            </w:pPr>
            <w:r w:rsidRPr="008D7156">
              <w:rPr>
                <w:sz w:val="22"/>
                <w:szCs w:val="24"/>
                <w:u w:color="000000"/>
              </w:rPr>
              <w:t>Азацитидин** 75 мг/м</w:t>
            </w:r>
            <w:r w:rsidRPr="008D7156">
              <w:rPr>
                <w:sz w:val="22"/>
                <w:szCs w:val="24"/>
                <w:u w:color="000000"/>
                <w:vertAlign w:val="superscript"/>
              </w:rPr>
              <w:t>2</w:t>
            </w:r>
            <w:r w:rsidRPr="008D7156">
              <w:rPr>
                <w:sz w:val="22"/>
                <w:szCs w:val="24"/>
                <w:u w:color="000000"/>
              </w:rPr>
              <w:t xml:space="preserve"> 7 дней, п/к интервал 21–35 день</w:t>
            </w:r>
          </w:p>
        </w:tc>
      </w:tr>
      <w:tr w:rsidR="00F20CFD" w:rsidRPr="001E3EF7" w14:paraId="34A820D5" w14:textId="77777777" w:rsidTr="009C0CE5">
        <w:trPr>
          <w:trHeight w:val="235"/>
        </w:trPr>
        <w:tc>
          <w:tcPr>
            <w:tcW w:w="191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FC88D37" w14:textId="77777777" w:rsidR="00F20CFD" w:rsidRPr="008D7156" w:rsidRDefault="00F20CFD" w:rsidP="00EA7BF5">
            <w:pPr>
              <w:rPr>
                <w:sz w:val="22"/>
                <w:szCs w:val="24"/>
                <w:u w:color="000000"/>
              </w:rPr>
            </w:pPr>
            <w:r w:rsidRPr="008D7156">
              <w:rPr>
                <w:sz w:val="22"/>
                <w:szCs w:val="24"/>
                <w:u w:color="000000"/>
              </w:rPr>
              <w:t>Децитабин</w:t>
            </w:r>
          </w:p>
        </w:tc>
        <w:tc>
          <w:tcPr>
            <w:tcW w:w="736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BDE27C3" w14:textId="77777777" w:rsidR="00F20CFD" w:rsidRPr="008D7156" w:rsidRDefault="00F20CFD" w:rsidP="008D3BEC">
            <w:pPr>
              <w:rPr>
                <w:sz w:val="22"/>
                <w:szCs w:val="24"/>
                <w:u w:color="000000"/>
              </w:rPr>
            </w:pPr>
            <w:r w:rsidRPr="008D7156">
              <w:rPr>
                <w:sz w:val="22"/>
                <w:szCs w:val="24"/>
                <w:u w:color="000000"/>
              </w:rPr>
              <w:t>Децитабин 20 мг/м</w:t>
            </w:r>
            <w:r w:rsidRPr="008D7156">
              <w:rPr>
                <w:sz w:val="22"/>
                <w:szCs w:val="24"/>
                <w:u w:color="000000"/>
                <w:vertAlign w:val="superscript"/>
              </w:rPr>
              <w:t>2</w:t>
            </w:r>
            <w:r w:rsidRPr="008D7156">
              <w:rPr>
                <w:sz w:val="22"/>
                <w:szCs w:val="24"/>
                <w:u w:color="000000"/>
              </w:rPr>
              <w:t>, 5 дней, в/в, интервал 28–35 дней</w:t>
            </w:r>
          </w:p>
        </w:tc>
      </w:tr>
      <w:tr w:rsidR="00F20CFD" w:rsidRPr="001E3EF7" w14:paraId="335BC6C4" w14:textId="77777777" w:rsidTr="009C0CE5">
        <w:trPr>
          <w:trHeight w:val="235"/>
        </w:trPr>
        <w:tc>
          <w:tcPr>
            <w:tcW w:w="191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1005FAD" w14:textId="77777777" w:rsidR="00F20CFD" w:rsidRPr="008D7156" w:rsidRDefault="00F20CFD" w:rsidP="00EA7BF5">
            <w:pPr>
              <w:rPr>
                <w:sz w:val="22"/>
                <w:szCs w:val="24"/>
              </w:rPr>
            </w:pPr>
            <w:r w:rsidRPr="008D7156">
              <w:rPr>
                <w:sz w:val="22"/>
                <w:szCs w:val="24"/>
                <w:u w:color="000000"/>
                <w:lang w:val="en-US"/>
              </w:rPr>
              <w:t>Aza-Ara-C</w:t>
            </w:r>
          </w:p>
        </w:tc>
        <w:tc>
          <w:tcPr>
            <w:tcW w:w="736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6633095" w14:textId="77777777" w:rsidR="00F20CFD" w:rsidRPr="008D7156" w:rsidRDefault="00F20CFD" w:rsidP="00EA7BF5">
            <w:pPr>
              <w:rPr>
                <w:sz w:val="22"/>
                <w:szCs w:val="24"/>
                <w:u w:color="000000"/>
              </w:rPr>
            </w:pPr>
            <w:r w:rsidRPr="008D7156">
              <w:rPr>
                <w:sz w:val="22"/>
                <w:szCs w:val="24"/>
                <w:u w:color="000000"/>
              </w:rPr>
              <w:t>Азацитидин** 75 мг/м</w:t>
            </w:r>
            <w:r w:rsidRPr="008D7156">
              <w:rPr>
                <w:sz w:val="22"/>
                <w:szCs w:val="24"/>
                <w:u w:color="000000"/>
                <w:vertAlign w:val="superscript"/>
              </w:rPr>
              <w:t>2</w:t>
            </w:r>
            <w:r w:rsidRPr="008D7156">
              <w:rPr>
                <w:sz w:val="22"/>
                <w:szCs w:val="24"/>
                <w:u w:color="000000"/>
              </w:rPr>
              <w:t xml:space="preserve"> п/к 1 раз в день, в 1–3 дни</w:t>
            </w:r>
          </w:p>
          <w:p w14:paraId="564BC1EF" w14:textId="77777777" w:rsidR="00F20CFD" w:rsidRPr="008D7156" w:rsidRDefault="00F20CFD" w:rsidP="00187244">
            <w:pPr>
              <w:rPr>
                <w:sz w:val="22"/>
                <w:szCs w:val="24"/>
                <w:u w:color="000000"/>
              </w:rPr>
            </w:pPr>
            <w:r w:rsidRPr="008D7156">
              <w:rPr>
                <w:sz w:val="22"/>
                <w:szCs w:val="24"/>
                <w:u w:color="000000"/>
              </w:rPr>
              <w:t>#Цитарабин** 10 мг/м</w:t>
            </w:r>
            <w:r w:rsidRPr="008D7156">
              <w:rPr>
                <w:sz w:val="22"/>
                <w:szCs w:val="24"/>
                <w:u w:color="000000"/>
                <w:vertAlign w:val="superscript"/>
              </w:rPr>
              <w:t>2</w:t>
            </w:r>
            <w:r w:rsidRPr="008D7156">
              <w:rPr>
                <w:sz w:val="22"/>
                <w:szCs w:val="24"/>
                <w:u w:color="000000"/>
              </w:rPr>
              <w:t xml:space="preserve"> п/к 2 раза в сутки с 4-го по 10–17 дни</w:t>
            </w:r>
          </w:p>
        </w:tc>
      </w:tr>
      <w:tr w:rsidR="00F20CFD" w:rsidRPr="001E3EF7" w14:paraId="664D9E0F" w14:textId="77777777" w:rsidTr="009C0CE5">
        <w:trPr>
          <w:trHeight w:val="235"/>
        </w:trPr>
        <w:tc>
          <w:tcPr>
            <w:tcW w:w="191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2E517FB" w14:textId="77777777" w:rsidR="00F20CFD" w:rsidRPr="008D7156" w:rsidRDefault="00F20CFD" w:rsidP="00EA7BF5">
            <w:pPr>
              <w:rPr>
                <w:sz w:val="22"/>
                <w:szCs w:val="24"/>
              </w:rPr>
            </w:pPr>
            <w:r w:rsidRPr="008D7156">
              <w:rPr>
                <w:sz w:val="22"/>
                <w:szCs w:val="24"/>
                <w:u w:color="000000"/>
                <w:lang w:val="en-US"/>
              </w:rPr>
              <w:t>Dac-Ara-C</w:t>
            </w:r>
          </w:p>
        </w:tc>
        <w:tc>
          <w:tcPr>
            <w:tcW w:w="736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9D5DCAB" w14:textId="77777777" w:rsidR="00F20CFD" w:rsidRPr="008D7156" w:rsidRDefault="00F20CFD" w:rsidP="00EA7BF5">
            <w:pPr>
              <w:rPr>
                <w:sz w:val="22"/>
                <w:szCs w:val="24"/>
                <w:u w:color="000000"/>
              </w:rPr>
            </w:pPr>
            <w:r w:rsidRPr="008D7156">
              <w:rPr>
                <w:sz w:val="22"/>
                <w:szCs w:val="24"/>
                <w:u w:color="000000"/>
              </w:rPr>
              <w:t>Децитабин 20 мг/м</w:t>
            </w:r>
            <w:r w:rsidRPr="008D7156">
              <w:rPr>
                <w:sz w:val="22"/>
                <w:szCs w:val="24"/>
                <w:u w:color="000000"/>
                <w:vertAlign w:val="superscript"/>
              </w:rPr>
              <w:t>2</w:t>
            </w:r>
            <w:r w:rsidRPr="008D7156">
              <w:rPr>
                <w:sz w:val="22"/>
                <w:szCs w:val="24"/>
                <w:u w:color="000000"/>
              </w:rPr>
              <w:t xml:space="preserve"> в/в 1 раз в день, в 1–3 дни</w:t>
            </w:r>
          </w:p>
          <w:p w14:paraId="6C7F2F7C" w14:textId="77777777" w:rsidR="00F20CFD" w:rsidRPr="008D7156" w:rsidRDefault="00F20CFD" w:rsidP="008D3BEC">
            <w:pPr>
              <w:rPr>
                <w:sz w:val="22"/>
                <w:szCs w:val="24"/>
                <w:u w:color="000000"/>
              </w:rPr>
            </w:pPr>
            <w:r w:rsidRPr="008D7156">
              <w:rPr>
                <w:sz w:val="22"/>
                <w:szCs w:val="24"/>
                <w:u w:color="000000"/>
              </w:rPr>
              <w:t>#Цитарабин** 10 мг/м</w:t>
            </w:r>
            <w:r w:rsidRPr="008D7156">
              <w:rPr>
                <w:sz w:val="22"/>
                <w:szCs w:val="24"/>
                <w:u w:color="000000"/>
                <w:vertAlign w:val="superscript"/>
              </w:rPr>
              <w:t>2</w:t>
            </w:r>
            <w:r w:rsidRPr="008D7156">
              <w:rPr>
                <w:sz w:val="22"/>
                <w:szCs w:val="24"/>
                <w:u w:color="000000"/>
              </w:rPr>
              <w:t xml:space="preserve"> п/к 2 раза в сутки с 4-го по 10–17 дни</w:t>
            </w:r>
          </w:p>
        </w:tc>
      </w:tr>
      <w:tr w:rsidR="00F20CFD" w:rsidRPr="001E3EF7" w14:paraId="5B9F532A" w14:textId="77777777" w:rsidTr="009C0CE5">
        <w:trPr>
          <w:trHeight w:val="235"/>
        </w:trPr>
        <w:tc>
          <w:tcPr>
            <w:tcW w:w="191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AB58296" w14:textId="77777777" w:rsidR="00F20CFD" w:rsidRPr="008D7156" w:rsidRDefault="00F20CFD" w:rsidP="008D3BEC">
            <w:pPr>
              <w:rPr>
                <w:sz w:val="22"/>
                <w:szCs w:val="24"/>
              </w:rPr>
            </w:pPr>
            <w:r w:rsidRPr="008D7156">
              <w:rPr>
                <w:sz w:val="22"/>
                <w:szCs w:val="24"/>
                <w:u w:color="000000"/>
              </w:rPr>
              <w:t>Малые дозы #Цитарабина</w:t>
            </w:r>
            <w:r w:rsidRPr="008D7156">
              <w:rPr>
                <w:sz w:val="22"/>
                <w:szCs w:val="24"/>
                <w:u w:color="000000"/>
                <w:lang w:val="en-US"/>
              </w:rPr>
              <w:t>**</w:t>
            </w:r>
          </w:p>
        </w:tc>
        <w:tc>
          <w:tcPr>
            <w:tcW w:w="736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05F85DE" w14:textId="77777777" w:rsidR="00F20CFD" w:rsidRPr="008D7156" w:rsidRDefault="00F20CFD" w:rsidP="008D3BEC">
            <w:pPr>
              <w:rPr>
                <w:sz w:val="22"/>
                <w:szCs w:val="24"/>
              </w:rPr>
            </w:pPr>
            <w:r w:rsidRPr="008D7156">
              <w:rPr>
                <w:sz w:val="22"/>
                <w:szCs w:val="24"/>
                <w:u w:color="000000"/>
              </w:rPr>
              <w:t>#Цитарабин** 10 мг/м</w:t>
            </w:r>
            <w:r w:rsidRPr="008D7156">
              <w:rPr>
                <w:sz w:val="22"/>
                <w:szCs w:val="24"/>
                <w:u w:color="000000"/>
                <w:vertAlign w:val="superscript"/>
              </w:rPr>
              <w:t>2</w:t>
            </w:r>
            <w:r w:rsidRPr="008D7156">
              <w:rPr>
                <w:sz w:val="22"/>
                <w:szCs w:val="24"/>
                <w:u w:color="000000"/>
              </w:rPr>
              <w:t xml:space="preserve"> п/к 2 раза в сутки 21–28 дней</w:t>
            </w:r>
          </w:p>
        </w:tc>
      </w:tr>
    </w:tbl>
    <w:p w14:paraId="59E6DD67" w14:textId="77777777" w:rsidR="001E2688" w:rsidRDefault="001E2688" w:rsidP="007255A8">
      <w:pPr>
        <w:pStyle w:val="2"/>
        <w:ind w:firstLine="0"/>
      </w:pPr>
    </w:p>
    <w:p w14:paraId="0A4650F9" w14:textId="4D8DF46D" w:rsidR="00F20CFD" w:rsidRPr="006A377C" w:rsidRDefault="00F20CFD" w:rsidP="007255A8">
      <w:pPr>
        <w:pStyle w:val="2"/>
        <w:ind w:firstLine="0"/>
      </w:pPr>
      <w:bookmarkStart w:id="67" w:name="_Toc65104122"/>
      <w:r w:rsidRPr="006A377C">
        <w:t>Приложение А3.2. Рекомендации по назначению ЭПСП</w:t>
      </w:r>
      <w:bookmarkEnd w:id="67"/>
    </w:p>
    <w:tbl>
      <w:tblPr>
        <w:tblW w:w="0" w:type="auto"/>
        <w:tblInd w:w="2" w:type="dxa"/>
        <w:tblCellMar>
          <w:top w:w="15" w:type="dxa"/>
          <w:left w:w="15" w:type="dxa"/>
          <w:bottom w:w="15" w:type="dxa"/>
          <w:right w:w="15" w:type="dxa"/>
        </w:tblCellMar>
        <w:tblLook w:val="00A0" w:firstRow="1" w:lastRow="0" w:firstColumn="1" w:lastColumn="0" w:noHBand="0" w:noVBand="0"/>
      </w:tblPr>
      <w:tblGrid>
        <w:gridCol w:w="1713"/>
        <w:gridCol w:w="3383"/>
        <w:gridCol w:w="4242"/>
      </w:tblGrid>
      <w:tr w:rsidR="00F20CFD" w:rsidRPr="001E3EF7" w14:paraId="62CD2D17" w14:textId="77777777" w:rsidTr="009C0CE5">
        <w:tc>
          <w:tcPr>
            <w:tcW w:w="1716" w:type="dxa"/>
            <w:tcBorders>
              <w:top w:val="single" w:sz="6" w:space="0" w:color="000000"/>
              <w:left w:val="single" w:sz="6" w:space="0" w:color="000000"/>
              <w:bottom w:val="single" w:sz="6" w:space="0" w:color="000000"/>
              <w:right w:val="single" w:sz="6" w:space="0" w:color="000000"/>
            </w:tcBorders>
            <w:vAlign w:val="center"/>
          </w:tcPr>
          <w:p w14:paraId="469D0459" w14:textId="77777777" w:rsidR="00F20CFD" w:rsidRPr="008D7156" w:rsidRDefault="00F20CFD" w:rsidP="0004401F">
            <w:pPr>
              <w:jc w:val="center"/>
              <w:rPr>
                <w:b/>
                <w:sz w:val="22"/>
                <w:szCs w:val="24"/>
              </w:rPr>
            </w:pPr>
            <w:r w:rsidRPr="008D7156">
              <w:rPr>
                <w:b/>
                <w:sz w:val="22"/>
                <w:szCs w:val="24"/>
              </w:rPr>
              <w:t>Препараты</w:t>
            </w:r>
          </w:p>
        </w:tc>
        <w:tc>
          <w:tcPr>
            <w:tcW w:w="3402" w:type="dxa"/>
            <w:tcBorders>
              <w:top w:val="single" w:sz="6" w:space="0" w:color="000000"/>
              <w:left w:val="single" w:sz="6" w:space="0" w:color="000000"/>
              <w:bottom w:val="single" w:sz="6" w:space="0" w:color="000000"/>
              <w:right w:val="single" w:sz="6" w:space="0" w:color="000000"/>
            </w:tcBorders>
            <w:vAlign w:val="center"/>
          </w:tcPr>
          <w:p w14:paraId="10BCA466" w14:textId="77777777" w:rsidR="00F20CFD" w:rsidRPr="008D7156" w:rsidRDefault="00F20CFD" w:rsidP="0004401F">
            <w:pPr>
              <w:jc w:val="center"/>
              <w:rPr>
                <w:b/>
                <w:sz w:val="22"/>
                <w:szCs w:val="24"/>
              </w:rPr>
            </w:pPr>
            <w:r w:rsidRPr="008D7156">
              <w:rPr>
                <w:b/>
                <w:sz w:val="22"/>
                <w:szCs w:val="24"/>
              </w:rPr>
              <w:t>Стартовые дозы ЭПСП</w:t>
            </w:r>
          </w:p>
        </w:tc>
        <w:tc>
          <w:tcPr>
            <w:tcW w:w="4267" w:type="dxa"/>
            <w:tcBorders>
              <w:top w:val="single" w:sz="6" w:space="0" w:color="000000"/>
              <w:left w:val="single" w:sz="6" w:space="0" w:color="000000"/>
              <w:bottom w:val="single" w:sz="6" w:space="0" w:color="000000"/>
              <w:right w:val="single" w:sz="6" w:space="0" w:color="000000"/>
            </w:tcBorders>
            <w:vAlign w:val="center"/>
          </w:tcPr>
          <w:p w14:paraId="2FFB9D45" w14:textId="77777777" w:rsidR="00F20CFD" w:rsidRPr="008D7156" w:rsidRDefault="00F20CFD" w:rsidP="007255A8">
            <w:pPr>
              <w:rPr>
                <w:b/>
                <w:sz w:val="22"/>
                <w:szCs w:val="24"/>
              </w:rPr>
            </w:pPr>
            <w:r w:rsidRPr="008D7156">
              <w:rPr>
                <w:b/>
                <w:sz w:val="22"/>
                <w:szCs w:val="24"/>
              </w:rPr>
              <w:t>При отсутствии эффекта* через 6–8 недель удваивают дозу ЭПСП и/или добавляют Г-КСФ 300 мкг в неделю</w:t>
            </w:r>
          </w:p>
        </w:tc>
      </w:tr>
      <w:tr w:rsidR="00F20CFD" w:rsidRPr="001E3EF7" w14:paraId="4477BFA8" w14:textId="77777777" w:rsidTr="009C0CE5">
        <w:tc>
          <w:tcPr>
            <w:tcW w:w="1716" w:type="dxa"/>
            <w:tcBorders>
              <w:top w:val="single" w:sz="6" w:space="0" w:color="000000"/>
              <w:left w:val="single" w:sz="6" w:space="0" w:color="000000"/>
              <w:bottom w:val="single" w:sz="6" w:space="0" w:color="000000"/>
              <w:right w:val="single" w:sz="6" w:space="0" w:color="000000"/>
            </w:tcBorders>
            <w:vAlign w:val="center"/>
          </w:tcPr>
          <w:p w14:paraId="7447C111" w14:textId="77777777" w:rsidR="00F20CFD" w:rsidRPr="008D7156" w:rsidRDefault="00F20CFD" w:rsidP="00EA7BF5">
            <w:pPr>
              <w:rPr>
                <w:sz w:val="22"/>
                <w:szCs w:val="24"/>
              </w:rPr>
            </w:pPr>
            <w:r w:rsidRPr="008D7156">
              <w:rPr>
                <w:sz w:val="22"/>
                <w:szCs w:val="24"/>
                <w:u w:color="000000"/>
              </w:rPr>
              <w:t>#</w:t>
            </w:r>
            <w:r w:rsidRPr="008D7156">
              <w:rPr>
                <w:sz w:val="22"/>
                <w:szCs w:val="24"/>
              </w:rPr>
              <w:t>Эпоэтин альфа**</w:t>
            </w:r>
          </w:p>
        </w:tc>
        <w:tc>
          <w:tcPr>
            <w:tcW w:w="3402" w:type="dxa"/>
            <w:tcBorders>
              <w:top w:val="single" w:sz="6" w:space="0" w:color="000000"/>
              <w:left w:val="single" w:sz="6" w:space="0" w:color="000000"/>
              <w:bottom w:val="single" w:sz="6" w:space="0" w:color="000000"/>
              <w:right w:val="single" w:sz="6" w:space="0" w:color="000000"/>
            </w:tcBorders>
            <w:vAlign w:val="center"/>
          </w:tcPr>
          <w:p w14:paraId="7FC690B9" w14:textId="77777777" w:rsidR="00F20CFD" w:rsidRPr="008D7156" w:rsidRDefault="00F20CFD" w:rsidP="0004401F">
            <w:pPr>
              <w:jc w:val="center"/>
              <w:rPr>
                <w:sz w:val="22"/>
                <w:szCs w:val="24"/>
              </w:rPr>
            </w:pPr>
            <w:r w:rsidRPr="008D7156">
              <w:rPr>
                <w:sz w:val="22"/>
                <w:szCs w:val="24"/>
              </w:rPr>
              <w:t>150 ед./кг 3 раза в неделю</w:t>
            </w:r>
          </w:p>
          <w:p w14:paraId="7FAB0A9B" w14:textId="77777777" w:rsidR="00F20CFD" w:rsidRPr="008D7156" w:rsidRDefault="00F20CFD" w:rsidP="0004401F">
            <w:pPr>
              <w:jc w:val="center"/>
              <w:rPr>
                <w:sz w:val="22"/>
                <w:szCs w:val="24"/>
              </w:rPr>
            </w:pPr>
            <w:r w:rsidRPr="008D7156">
              <w:rPr>
                <w:sz w:val="22"/>
                <w:szCs w:val="24"/>
              </w:rPr>
              <w:t>40000 ед. 1 раз в неделю</w:t>
            </w:r>
          </w:p>
        </w:tc>
        <w:tc>
          <w:tcPr>
            <w:tcW w:w="4267" w:type="dxa"/>
            <w:tcBorders>
              <w:top w:val="single" w:sz="6" w:space="0" w:color="000000"/>
              <w:left w:val="single" w:sz="6" w:space="0" w:color="000000"/>
              <w:bottom w:val="single" w:sz="6" w:space="0" w:color="000000"/>
              <w:right w:val="single" w:sz="6" w:space="0" w:color="000000"/>
            </w:tcBorders>
            <w:vAlign w:val="center"/>
          </w:tcPr>
          <w:p w14:paraId="5FC2D0D2" w14:textId="77777777" w:rsidR="00F20CFD" w:rsidRPr="008D7156" w:rsidRDefault="00F20CFD" w:rsidP="0004401F">
            <w:pPr>
              <w:jc w:val="center"/>
              <w:rPr>
                <w:sz w:val="22"/>
                <w:szCs w:val="24"/>
              </w:rPr>
            </w:pPr>
            <w:r w:rsidRPr="008D7156">
              <w:rPr>
                <w:sz w:val="22"/>
                <w:szCs w:val="24"/>
              </w:rPr>
              <w:t>300 ед./кг 3 раза в неделю</w:t>
            </w:r>
          </w:p>
          <w:p w14:paraId="4FD1F383" w14:textId="77777777" w:rsidR="00F20CFD" w:rsidRPr="008D7156" w:rsidRDefault="00F20CFD" w:rsidP="0004401F">
            <w:pPr>
              <w:jc w:val="center"/>
              <w:rPr>
                <w:sz w:val="22"/>
                <w:szCs w:val="24"/>
              </w:rPr>
            </w:pPr>
            <w:r w:rsidRPr="008D7156">
              <w:rPr>
                <w:sz w:val="22"/>
                <w:szCs w:val="24"/>
              </w:rPr>
              <w:t>60000 ед. 1 раз в неделю</w:t>
            </w:r>
          </w:p>
        </w:tc>
      </w:tr>
      <w:tr w:rsidR="00F20CFD" w:rsidRPr="001E3EF7" w14:paraId="0AA49F47" w14:textId="77777777" w:rsidTr="009C0CE5">
        <w:tc>
          <w:tcPr>
            <w:tcW w:w="1716" w:type="dxa"/>
            <w:tcBorders>
              <w:top w:val="single" w:sz="6" w:space="0" w:color="000000"/>
              <w:left w:val="single" w:sz="6" w:space="0" w:color="000000"/>
              <w:bottom w:val="single" w:sz="6" w:space="0" w:color="000000"/>
              <w:right w:val="single" w:sz="6" w:space="0" w:color="000000"/>
            </w:tcBorders>
            <w:vAlign w:val="center"/>
          </w:tcPr>
          <w:p w14:paraId="41006C6B" w14:textId="77777777" w:rsidR="00F20CFD" w:rsidRPr="008D7156" w:rsidRDefault="00F20CFD" w:rsidP="00EA7BF5">
            <w:pPr>
              <w:rPr>
                <w:sz w:val="22"/>
                <w:szCs w:val="24"/>
              </w:rPr>
            </w:pPr>
            <w:r w:rsidRPr="008D7156">
              <w:rPr>
                <w:sz w:val="22"/>
                <w:szCs w:val="24"/>
                <w:u w:color="000000"/>
              </w:rPr>
              <w:t>#</w:t>
            </w:r>
            <w:r w:rsidRPr="008D7156">
              <w:rPr>
                <w:sz w:val="22"/>
                <w:szCs w:val="24"/>
              </w:rPr>
              <w:t>Эпоэтин бета**</w:t>
            </w:r>
          </w:p>
        </w:tc>
        <w:tc>
          <w:tcPr>
            <w:tcW w:w="3402" w:type="dxa"/>
            <w:tcBorders>
              <w:top w:val="single" w:sz="6" w:space="0" w:color="000000"/>
              <w:left w:val="single" w:sz="6" w:space="0" w:color="000000"/>
              <w:bottom w:val="single" w:sz="6" w:space="0" w:color="000000"/>
              <w:right w:val="single" w:sz="6" w:space="0" w:color="000000"/>
            </w:tcBorders>
            <w:vAlign w:val="center"/>
          </w:tcPr>
          <w:p w14:paraId="484C1D49" w14:textId="77777777" w:rsidR="00F20CFD" w:rsidRPr="008D7156" w:rsidRDefault="00F20CFD" w:rsidP="0004401F">
            <w:pPr>
              <w:jc w:val="center"/>
              <w:rPr>
                <w:sz w:val="22"/>
                <w:szCs w:val="24"/>
              </w:rPr>
            </w:pPr>
            <w:r w:rsidRPr="008D7156">
              <w:rPr>
                <w:sz w:val="22"/>
                <w:szCs w:val="24"/>
              </w:rPr>
              <w:t>150 ед./кг 3 раза в неделю</w:t>
            </w:r>
          </w:p>
          <w:p w14:paraId="2B0C603F" w14:textId="77777777" w:rsidR="00F20CFD" w:rsidRPr="008D7156" w:rsidRDefault="00F20CFD" w:rsidP="0004401F">
            <w:pPr>
              <w:jc w:val="center"/>
              <w:rPr>
                <w:sz w:val="22"/>
                <w:szCs w:val="24"/>
              </w:rPr>
            </w:pPr>
            <w:r w:rsidRPr="008D7156">
              <w:rPr>
                <w:sz w:val="22"/>
                <w:szCs w:val="24"/>
              </w:rPr>
              <w:t>30000 ед. 1 раз в неделю</w:t>
            </w:r>
          </w:p>
        </w:tc>
        <w:tc>
          <w:tcPr>
            <w:tcW w:w="4267" w:type="dxa"/>
            <w:tcBorders>
              <w:top w:val="single" w:sz="6" w:space="0" w:color="000000"/>
              <w:left w:val="single" w:sz="6" w:space="0" w:color="000000"/>
              <w:bottom w:val="single" w:sz="6" w:space="0" w:color="000000"/>
              <w:right w:val="single" w:sz="6" w:space="0" w:color="000000"/>
            </w:tcBorders>
            <w:vAlign w:val="center"/>
          </w:tcPr>
          <w:p w14:paraId="14D52BDA" w14:textId="77777777" w:rsidR="00F20CFD" w:rsidRPr="008D7156" w:rsidRDefault="00F20CFD" w:rsidP="0004401F">
            <w:pPr>
              <w:jc w:val="center"/>
              <w:rPr>
                <w:sz w:val="22"/>
                <w:szCs w:val="24"/>
              </w:rPr>
            </w:pPr>
            <w:r w:rsidRPr="008D7156">
              <w:rPr>
                <w:sz w:val="22"/>
                <w:szCs w:val="24"/>
              </w:rPr>
              <w:t>300 ед./кг 3 раза в неделю</w:t>
            </w:r>
          </w:p>
          <w:p w14:paraId="5100114D" w14:textId="77777777" w:rsidR="00F20CFD" w:rsidRPr="008D7156" w:rsidRDefault="00F20CFD" w:rsidP="0004401F">
            <w:pPr>
              <w:jc w:val="center"/>
              <w:rPr>
                <w:sz w:val="22"/>
                <w:szCs w:val="24"/>
              </w:rPr>
            </w:pPr>
            <w:r w:rsidRPr="008D7156">
              <w:rPr>
                <w:sz w:val="22"/>
                <w:szCs w:val="24"/>
              </w:rPr>
              <w:t>60000 ед. 1 раз в неделю</w:t>
            </w:r>
          </w:p>
        </w:tc>
      </w:tr>
      <w:tr w:rsidR="00F20CFD" w:rsidRPr="001E3EF7" w14:paraId="543DECD4" w14:textId="77777777" w:rsidTr="009C0CE5">
        <w:tc>
          <w:tcPr>
            <w:tcW w:w="1716" w:type="dxa"/>
            <w:tcBorders>
              <w:top w:val="single" w:sz="6" w:space="0" w:color="000000"/>
              <w:left w:val="single" w:sz="6" w:space="0" w:color="000000"/>
              <w:bottom w:val="single" w:sz="6" w:space="0" w:color="000000"/>
              <w:right w:val="single" w:sz="6" w:space="0" w:color="000000"/>
            </w:tcBorders>
            <w:vAlign w:val="center"/>
          </w:tcPr>
          <w:p w14:paraId="687F1446" w14:textId="77777777" w:rsidR="00F20CFD" w:rsidRPr="008D7156" w:rsidRDefault="00F20CFD" w:rsidP="00EA7BF5">
            <w:pPr>
              <w:rPr>
                <w:sz w:val="22"/>
                <w:szCs w:val="24"/>
              </w:rPr>
            </w:pPr>
            <w:r w:rsidRPr="008D7156">
              <w:rPr>
                <w:sz w:val="22"/>
                <w:szCs w:val="24"/>
                <w:u w:color="000000"/>
              </w:rPr>
              <w:t>#</w:t>
            </w:r>
            <w:r w:rsidRPr="008D7156">
              <w:rPr>
                <w:sz w:val="22"/>
                <w:szCs w:val="24"/>
              </w:rPr>
              <w:t>Дарбэпоэтин альфа**</w:t>
            </w:r>
          </w:p>
        </w:tc>
        <w:tc>
          <w:tcPr>
            <w:tcW w:w="3402" w:type="dxa"/>
            <w:tcBorders>
              <w:top w:val="single" w:sz="6" w:space="0" w:color="000000"/>
              <w:left w:val="single" w:sz="6" w:space="0" w:color="000000"/>
              <w:bottom w:val="single" w:sz="6" w:space="0" w:color="000000"/>
              <w:right w:val="single" w:sz="6" w:space="0" w:color="000000"/>
            </w:tcBorders>
            <w:vAlign w:val="center"/>
          </w:tcPr>
          <w:p w14:paraId="6E39A515" w14:textId="77777777" w:rsidR="00F20CFD" w:rsidRPr="008D7156" w:rsidRDefault="00F20CFD" w:rsidP="0004401F">
            <w:pPr>
              <w:jc w:val="center"/>
              <w:rPr>
                <w:sz w:val="22"/>
                <w:szCs w:val="24"/>
              </w:rPr>
            </w:pPr>
            <w:r w:rsidRPr="008D7156">
              <w:rPr>
                <w:sz w:val="22"/>
                <w:szCs w:val="24"/>
              </w:rPr>
              <w:t>150 мкг (2,25 мкг/кг) 1 раз в неделю</w:t>
            </w:r>
          </w:p>
          <w:p w14:paraId="347F06CC" w14:textId="77777777" w:rsidR="00F20CFD" w:rsidRPr="008D7156" w:rsidRDefault="00F20CFD" w:rsidP="0004401F">
            <w:pPr>
              <w:jc w:val="center"/>
              <w:rPr>
                <w:sz w:val="22"/>
                <w:szCs w:val="24"/>
              </w:rPr>
            </w:pPr>
            <w:r w:rsidRPr="008D7156">
              <w:rPr>
                <w:sz w:val="22"/>
                <w:szCs w:val="24"/>
              </w:rPr>
              <w:t>500 мкг (6,75 мкг/кг) 1 раз в</w:t>
            </w:r>
          </w:p>
          <w:p w14:paraId="083496CE" w14:textId="77777777" w:rsidR="00F20CFD" w:rsidRPr="008D7156" w:rsidRDefault="00F20CFD" w:rsidP="0004401F">
            <w:pPr>
              <w:jc w:val="center"/>
              <w:rPr>
                <w:sz w:val="22"/>
                <w:szCs w:val="24"/>
              </w:rPr>
            </w:pPr>
            <w:r w:rsidRPr="008D7156">
              <w:rPr>
                <w:sz w:val="22"/>
                <w:szCs w:val="24"/>
              </w:rPr>
              <w:t>3 недели</w:t>
            </w:r>
          </w:p>
        </w:tc>
        <w:tc>
          <w:tcPr>
            <w:tcW w:w="4267" w:type="dxa"/>
            <w:tcBorders>
              <w:top w:val="single" w:sz="6" w:space="0" w:color="000000"/>
              <w:left w:val="single" w:sz="6" w:space="0" w:color="000000"/>
              <w:bottom w:val="single" w:sz="6" w:space="0" w:color="000000"/>
              <w:right w:val="single" w:sz="6" w:space="0" w:color="000000"/>
            </w:tcBorders>
            <w:vAlign w:val="center"/>
          </w:tcPr>
          <w:p w14:paraId="648A1661" w14:textId="77777777" w:rsidR="00F20CFD" w:rsidRPr="008D7156" w:rsidRDefault="00F20CFD" w:rsidP="0004401F">
            <w:pPr>
              <w:jc w:val="center"/>
              <w:rPr>
                <w:sz w:val="22"/>
                <w:szCs w:val="24"/>
              </w:rPr>
            </w:pPr>
            <w:r w:rsidRPr="008D7156">
              <w:rPr>
                <w:sz w:val="22"/>
                <w:szCs w:val="24"/>
              </w:rPr>
              <w:t>300 мкг (4,5 мкг/кг) 1 раз в неделю</w:t>
            </w:r>
          </w:p>
          <w:p w14:paraId="20897443" w14:textId="77777777" w:rsidR="00F20CFD" w:rsidRPr="008D7156" w:rsidRDefault="00F20CFD" w:rsidP="0004401F">
            <w:pPr>
              <w:jc w:val="center"/>
              <w:rPr>
                <w:sz w:val="22"/>
                <w:szCs w:val="24"/>
              </w:rPr>
            </w:pPr>
            <w:r w:rsidRPr="008D7156">
              <w:rPr>
                <w:sz w:val="22"/>
                <w:szCs w:val="24"/>
              </w:rPr>
              <w:t>Дозу не увеличивают</w:t>
            </w:r>
          </w:p>
        </w:tc>
      </w:tr>
    </w:tbl>
    <w:p w14:paraId="66B36D96" w14:textId="77777777" w:rsidR="00F20CFD" w:rsidRPr="006A377C" w:rsidRDefault="00F20CFD" w:rsidP="0004401F">
      <w:pPr>
        <w:rPr>
          <w:i/>
          <w:szCs w:val="24"/>
        </w:rPr>
      </w:pPr>
      <w:r w:rsidRPr="006A377C">
        <w:rPr>
          <w:i/>
          <w:szCs w:val="24"/>
        </w:rPr>
        <w:t>*Нет повышения уровня Hb ≥10 г/л и/или снижения зависимости от гемотрансфузий.</w:t>
      </w:r>
    </w:p>
    <w:p w14:paraId="7C68E135" w14:textId="77777777" w:rsidR="001E2688" w:rsidRDefault="001E2688" w:rsidP="001E2688">
      <w:pPr>
        <w:pStyle w:val="2"/>
        <w:ind w:firstLine="0"/>
      </w:pPr>
    </w:p>
    <w:p w14:paraId="33F0AD9B" w14:textId="6CFB1A00" w:rsidR="005A6162" w:rsidRPr="005A6162" w:rsidRDefault="001E2688" w:rsidP="005A6162">
      <w:pPr>
        <w:pStyle w:val="2"/>
        <w:ind w:firstLine="0"/>
      </w:pPr>
      <w:bookmarkStart w:id="68" w:name="_Toc65104123"/>
      <w:r>
        <w:t xml:space="preserve">Приложение А3.3. </w:t>
      </w:r>
      <w:bookmarkStart w:id="69" w:name="_Toc64477555"/>
      <w:r w:rsidR="005A6162" w:rsidRPr="002C6FFD">
        <w:rPr>
          <w:rFonts w:eastAsia="Arial Unicode MS"/>
        </w:rPr>
        <w:t>Протоколы выполнения аспирационного и биопсийного исследования костного мозга</w:t>
      </w:r>
      <w:bookmarkEnd w:id="68"/>
      <w:bookmarkEnd w:id="69"/>
    </w:p>
    <w:p w14:paraId="5989827F" w14:textId="77777777" w:rsidR="005A6162" w:rsidRPr="002C6FFD" w:rsidRDefault="005A6162" w:rsidP="005A6162">
      <w:pPr>
        <w:pStyle w:val="Normal11"/>
        <w:spacing w:line="360" w:lineRule="auto"/>
        <w:ind w:firstLine="699"/>
      </w:pPr>
      <w:r w:rsidRPr="002C6FFD">
        <w:rPr>
          <w:shd w:val="clear" w:color="auto" w:fill="FFFFFF"/>
        </w:rPr>
        <w:t>Пункционное (стернальная пункция, аспирация костного мозга) и биопсийное (трепанобиопсия, биопсия костного мозга) исследования костного мозга — это диагностические методы, позволяющие получить образец тканей костного мозга из грудины или костей таза, путем аспирации и чрескожной трепанобиопсии.</w:t>
      </w:r>
    </w:p>
    <w:p w14:paraId="0B6031DC" w14:textId="77777777" w:rsidR="005A6162" w:rsidRPr="002C6FFD" w:rsidRDefault="005A6162" w:rsidP="005A6162">
      <w:pPr>
        <w:ind w:firstLine="699"/>
        <w:rPr>
          <w:szCs w:val="24"/>
        </w:rPr>
      </w:pPr>
      <w:r w:rsidRPr="002C6FFD">
        <w:rPr>
          <w:szCs w:val="24"/>
        </w:rPr>
        <w:t xml:space="preserve">С помощью аспирационной биопсии (пункции) получают образцы костного мозга для морфологической оценки клеточного состава и, при необходимости, дополнительных исследований – иммунофенотипический анализ методом проточной цитометрии, цитогенетические, молекулярные и другие исследования. Биопсия костного мозга (трепанобиопсия) дополнительно позволяет получить при гистологическом исследовании более подробную информацию о клеточности костного мозга, его морфологическом составе, особенностях стромы, детально охарактеризовать клеточные популяции, в том числе, с помощью иммуногистохимического исследования. </w:t>
      </w:r>
    </w:p>
    <w:p w14:paraId="046571BC" w14:textId="77777777" w:rsidR="005A6162" w:rsidRPr="002C6FFD" w:rsidRDefault="005A6162" w:rsidP="005A6162">
      <w:pPr>
        <w:ind w:firstLine="699"/>
        <w:rPr>
          <w:szCs w:val="24"/>
        </w:rPr>
      </w:pPr>
      <w:r w:rsidRPr="002C6FFD">
        <w:rPr>
          <w:szCs w:val="24"/>
        </w:rPr>
        <w:t xml:space="preserve">Процедуры аспирационного и биопсийного исследования костного мозга являются рутинными и проводятся в амбулаторных и стационарных условиях. Для выполнения пункции костного мозга применяются одноразовые или многоразовые стерилизуемые иглы. </w:t>
      </w:r>
      <w:r w:rsidRPr="002C6FFD">
        <w:rPr>
          <w:color w:val="212121"/>
          <w:szCs w:val="24"/>
        </w:rPr>
        <w:t xml:space="preserve">Трепанобиопсия костного мозга </w:t>
      </w:r>
      <w:r w:rsidRPr="002C6FFD">
        <w:rPr>
          <w:szCs w:val="24"/>
        </w:rPr>
        <w:t xml:space="preserve">выполняется одноразовой или многоразовой стерелизуемой иглой Jamshidi или иглой сходной с ней конструкции. </w:t>
      </w:r>
    </w:p>
    <w:p w14:paraId="42C8DE3D" w14:textId="77777777" w:rsidR="005A6162" w:rsidRDefault="005A6162" w:rsidP="005A6162">
      <w:pPr>
        <w:ind w:firstLine="699"/>
        <w:rPr>
          <w:szCs w:val="24"/>
        </w:rPr>
      </w:pPr>
      <w:r w:rsidRPr="002C6FFD">
        <w:rPr>
          <w:szCs w:val="24"/>
        </w:rPr>
        <w:t xml:space="preserve">При выполнении процедур взятия костного мозга для исследований редко возможны осложнения. Так, частота возникновения осложнений биопсии костного мозга по данным Британского общества гематологов за период 7 лет (1995—2001 гг.) составила 0,05% (26 / 54890, в том числе, 2 фатальных – сепсис, массивное кровотечение). В спектре осложнений наиболее частыми были: кровотечения (в том числе развитие массивных ретроперитонеальных гематом), поломка инструмента, инфекционные осложнения. Факторами риска развития кровотечения являлись проводимая больному терапия антикоагулянтами и антиагрегантами, миелопролиферативный или миелодиспластический синдромы, сопровождающиеся дисфункцией тромбоцитов, коагулологические нарушения, тромбоцитопения.  </w:t>
      </w:r>
    </w:p>
    <w:p w14:paraId="2F0292B1" w14:textId="77777777" w:rsidR="005A6162" w:rsidRPr="002C6FFD" w:rsidRDefault="005A6162" w:rsidP="005A6162">
      <w:pPr>
        <w:ind w:firstLine="699"/>
        <w:rPr>
          <w:szCs w:val="24"/>
        </w:rPr>
      </w:pPr>
    </w:p>
    <w:p w14:paraId="10C2638D" w14:textId="7D1189CA" w:rsidR="005A6162" w:rsidRPr="00F30696" w:rsidRDefault="005A6162" w:rsidP="005A6162">
      <w:pPr>
        <w:rPr>
          <w:b/>
          <w:i/>
          <w:iCs/>
          <w:u w:val="single"/>
          <w:shd w:val="clear" w:color="auto" w:fill="FFFFFF"/>
        </w:rPr>
      </w:pPr>
      <w:r w:rsidRPr="00F30696">
        <w:rPr>
          <w:i/>
          <w:iCs/>
          <w:u w:val="single"/>
          <w:shd w:val="clear" w:color="auto" w:fill="FFFFFF"/>
        </w:rPr>
        <w:t xml:space="preserve">Показания к выполнению пункционного (аспирационного) исследования костного мозга </w:t>
      </w:r>
      <w:r w:rsidRPr="00F30696">
        <w:rPr>
          <w:b/>
          <w:i/>
          <w:iCs/>
          <w:u w:val="single"/>
          <w:shd w:val="clear" w:color="auto" w:fill="FFFFFF"/>
        </w:rPr>
        <w:fldChar w:fldCharType="begin" w:fldLock="1"/>
      </w:r>
      <w:r w:rsidR="00934898">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[186]","plainTextFormattedCitation":"[186]","previouslyFormattedCitation":"[186]"},"properties":{"noteIndex":0},"schema":"https://github.com/citation-style-language/schema/raw/master/csl-citation.json"}</w:instrText>
      </w:r>
      <w:r w:rsidRPr="00F30696">
        <w:rPr>
          <w:b/>
          <w:i/>
          <w:iCs/>
          <w:u w:val="single"/>
          <w:shd w:val="clear" w:color="auto" w:fill="FFFFFF"/>
        </w:rPr>
        <w:fldChar w:fldCharType="separate"/>
      </w:r>
      <w:r w:rsidRPr="005A6162">
        <w:rPr>
          <w:iCs/>
          <w:noProof/>
          <w:shd w:val="clear" w:color="auto" w:fill="FFFFFF"/>
        </w:rPr>
        <w:t>[186]</w:t>
      </w:r>
      <w:r w:rsidRPr="00F30696">
        <w:rPr>
          <w:b/>
          <w:i/>
          <w:iCs/>
          <w:u w:val="single"/>
          <w:shd w:val="clear" w:color="auto" w:fill="FFFFFF"/>
        </w:rPr>
        <w:fldChar w:fldCharType="end"/>
      </w:r>
      <w:r w:rsidRPr="00F30696">
        <w:rPr>
          <w:i/>
          <w:iCs/>
          <w:u w:val="single"/>
          <w:shd w:val="clear" w:color="auto" w:fill="FFFFFF"/>
        </w:rPr>
        <w:t xml:space="preserve"> </w:t>
      </w:r>
    </w:p>
    <w:p w14:paraId="0C71C422" w14:textId="77777777" w:rsidR="005A6162" w:rsidRPr="002C6FFD" w:rsidRDefault="005A6162" w:rsidP="0091350E">
      <w:pPr>
        <w:pStyle w:val="bullet"/>
        <w:numPr>
          <w:ilvl w:val="0"/>
          <w:numId w:val="111"/>
        </w:numPr>
        <w:spacing w:line="360" w:lineRule="auto"/>
        <w:jc w:val="both"/>
        <w:rPr>
          <w:rFonts w:cs="Times New Roman"/>
          <w:spacing w:val="0"/>
          <w:shd w:val="clear" w:color="auto" w:fill="FFFFFF"/>
        </w:rPr>
      </w:pPr>
      <w:r w:rsidRPr="002C6FFD">
        <w:rPr>
          <w:rFonts w:cs="Times New Roman"/>
          <w:spacing w:val="0"/>
          <w:shd w:val="clear" w:color="auto" w:fill="FFFFFF"/>
        </w:rPr>
        <w:t>Дифференциальная диагностика гематологических заболеваний: острых и хронических лейкозов</w:t>
      </w:r>
      <w:r w:rsidRPr="002C6FFD">
        <w:rPr>
          <w:rFonts w:cs="Times New Roman"/>
          <w:spacing w:val="0"/>
        </w:rPr>
        <w:t xml:space="preserve">, </w:t>
      </w:r>
      <w:r w:rsidRPr="002C6FFD">
        <w:rPr>
          <w:rFonts w:cs="Times New Roman"/>
          <w:spacing w:val="0"/>
          <w:shd w:val="clear" w:color="auto" w:fill="FFFFFF"/>
        </w:rPr>
        <w:t>миелодиспластических синдромов, миелопролиферативных и лимфопролиферативных заболеваний, множественной миеломы и других плазмоклеточных заболеваний, апластической анемии, идиопатической тромбоцитопенической пурпуры.</w:t>
      </w:r>
    </w:p>
    <w:p w14:paraId="037E10C4" w14:textId="77777777" w:rsidR="005A6162" w:rsidRPr="002C6FFD" w:rsidRDefault="005A6162" w:rsidP="0091350E">
      <w:pPr>
        <w:pStyle w:val="bullet"/>
        <w:numPr>
          <w:ilvl w:val="0"/>
          <w:numId w:val="111"/>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при цитопении (одно-, двухростковой или панцитопении) невыясненной этиологии.</w:t>
      </w:r>
    </w:p>
    <w:p w14:paraId="1655DC76" w14:textId="77777777" w:rsidR="005A6162" w:rsidRPr="002C6FFD" w:rsidRDefault="005A6162" w:rsidP="0091350E">
      <w:pPr>
        <w:pStyle w:val="bullet"/>
        <w:numPr>
          <w:ilvl w:val="0"/>
          <w:numId w:val="111"/>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при наличии незрелых клеток в периферической крови, особенно бластов; при лейкоцитозе невыясненной этиологии; при моноклональной гаммапатии.</w:t>
      </w:r>
    </w:p>
    <w:p w14:paraId="76F7699D" w14:textId="77777777" w:rsidR="005A6162" w:rsidRPr="002C6FFD" w:rsidRDefault="005A6162" w:rsidP="0091350E">
      <w:pPr>
        <w:pStyle w:val="bullet"/>
        <w:numPr>
          <w:ilvl w:val="0"/>
          <w:numId w:val="111"/>
        </w:numPr>
        <w:spacing w:line="360" w:lineRule="auto"/>
        <w:jc w:val="both"/>
        <w:rPr>
          <w:rFonts w:cs="Times New Roman"/>
          <w:spacing w:val="0"/>
          <w:shd w:val="clear" w:color="auto" w:fill="FFFFFF"/>
        </w:rPr>
      </w:pPr>
      <w:r w:rsidRPr="002C6FFD">
        <w:rPr>
          <w:rFonts w:cs="Times New Roman"/>
          <w:spacing w:val="0"/>
          <w:shd w:val="clear" w:color="auto" w:fill="FFFFFF"/>
        </w:rPr>
        <w:t>Оценка миелопоэза при макроцитарной анемии (вследствие недостаточного поступления или нарушения всасывания таких веществ как медь, цинк, витамин B</w:t>
      </w:r>
      <w:r w:rsidRPr="002C6FFD">
        <w:rPr>
          <w:rFonts w:cs="Times New Roman"/>
          <w:spacing w:val="0"/>
          <w:shd w:val="clear" w:color="auto" w:fill="FFFFFF"/>
          <w:vertAlign w:val="subscript"/>
        </w:rPr>
        <w:t>12</w:t>
      </w:r>
      <w:r w:rsidRPr="002C6FFD">
        <w:rPr>
          <w:rFonts w:cs="Times New Roman"/>
          <w:spacing w:val="0"/>
          <w:shd w:val="clear" w:color="auto" w:fill="FFFFFF"/>
        </w:rPr>
        <w:t xml:space="preserve"> или фолиевая кислота).</w:t>
      </w:r>
    </w:p>
    <w:p w14:paraId="0C9BA892" w14:textId="77777777" w:rsidR="005A6162" w:rsidRPr="002C6FFD" w:rsidRDefault="005A6162" w:rsidP="0091350E">
      <w:pPr>
        <w:pStyle w:val="bullet"/>
        <w:numPr>
          <w:ilvl w:val="0"/>
          <w:numId w:val="111"/>
        </w:numPr>
        <w:spacing w:line="360" w:lineRule="auto"/>
        <w:jc w:val="both"/>
        <w:rPr>
          <w:rFonts w:cs="Times New Roman"/>
          <w:spacing w:val="0"/>
          <w:shd w:val="clear" w:color="auto" w:fill="FFFFFF"/>
        </w:rPr>
      </w:pPr>
      <w:r w:rsidRPr="002C6FFD">
        <w:rPr>
          <w:rFonts w:cs="Times New Roman"/>
          <w:spacing w:val="0"/>
          <w:shd w:val="clear" w:color="auto" w:fill="FFFFFF"/>
        </w:rPr>
        <w:t xml:space="preserve">Дифференциальная диагностика при лихорадке неясного генеза в сочетании с увеличением </w:t>
      </w:r>
      <w:r w:rsidRPr="002C6FFD">
        <w:rPr>
          <w:rFonts w:cs="Times New Roman"/>
          <w:color w:val="auto"/>
          <w:spacing w:val="0"/>
          <w:shd w:val="clear" w:color="auto" w:fill="FFFFFF"/>
        </w:rPr>
        <w:t>размеров</w:t>
      </w:r>
      <w:r w:rsidRPr="002C6FFD">
        <w:rPr>
          <w:rFonts w:cs="Times New Roman"/>
          <w:spacing w:val="0"/>
          <w:shd w:val="clear" w:color="auto" w:fill="FFFFFF"/>
        </w:rPr>
        <w:t xml:space="preserve"> селезенки и/или лимфоузлов или без их увеличения.</w:t>
      </w:r>
    </w:p>
    <w:p w14:paraId="4A9E9852" w14:textId="77777777" w:rsidR="005A6162" w:rsidRPr="002C6FFD" w:rsidRDefault="005A6162" w:rsidP="0091350E">
      <w:pPr>
        <w:pStyle w:val="bullet"/>
        <w:numPr>
          <w:ilvl w:val="0"/>
          <w:numId w:val="111"/>
        </w:numPr>
        <w:spacing w:line="360" w:lineRule="auto"/>
        <w:jc w:val="both"/>
        <w:rPr>
          <w:rFonts w:cs="Times New Roman"/>
          <w:spacing w:val="0"/>
          <w:shd w:val="clear" w:color="auto" w:fill="FFFFFF"/>
        </w:rPr>
      </w:pPr>
      <w:r w:rsidRPr="002C6FFD">
        <w:rPr>
          <w:rFonts w:cs="Times New Roman"/>
          <w:spacing w:val="0"/>
          <w:shd w:val="clear" w:color="auto" w:fill="FFFFFF"/>
        </w:rPr>
        <w:t>Мониторинг эффективности лечения различных заболеваний системы крови.</w:t>
      </w:r>
    </w:p>
    <w:p w14:paraId="41464CDE" w14:textId="77777777" w:rsidR="005A6162" w:rsidRPr="002C6FFD" w:rsidRDefault="005A6162" w:rsidP="0091350E">
      <w:pPr>
        <w:pStyle w:val="bullet"/>
        <w:numPr>
          <w:ilvl w:val="0"/>
          <w:numId w:val="111"/>
        </w:numPr>
        <w:spacing w:line="360" w:lineRule="auto"/>
        <w:jc w:val="both"/>
        <w:rPr>
          <w:rFonts w:cs="Times New Roman"/>
          <w:spacing w:val="0"/>
          <w:shd w:val="clear" w:color="auto" w:fill="FFFFFF"/>
        </w:rPr>
      </w:pPr>
      <w:r w:rsidRPr="002C6FFD">
        <w:rPr>
          <w:rFonts w:cs="Times New Roman"/>
          <w:spacing w:val="0"/>
          <w:shd w:val="clear" w:color="auto" w:fill="FFFFFF"/>
        </w:rPr>
        <w:t>Оценка восстановления гемопоэза после трансплантации гемопоэтический стволовых клеток (ТГСК).</w:t>
      </w:r>
    </w:p>
    <w:p w14:paraId="40FFBAA3" w14:textId="77777777" w:rsidR="005A6162" w:rsidRPr="002C6FFD" w:rsidRDefault="005A6162" w:rsidP="0091350E">
      <w:pPr>
        <w:pStyle w:val="bullet"/>
        <w:numPr>
          <w:ilvl w:val="0"/>
          <w:numId w:val="111"/>
        </w:numPr>
        <w:spacing w:line="360" w:lineRule="auto"/>
        <w:jc w:val="both"/>
        <w:rPr>
          <w:rFonts w:cs="Times New Roman"/>
          <w:spacing w:val="0"/>
          <w:shd w:val="clear" w:color="auto" w:fill="FFFFFF"/>
        </w:rPr>
      </w:pPr>
      <w:r w:rsidRPr="002C6FFD">
        <w:rPr>
          <w:rFonts w:cs="Times New Roman"/>
          <w:spacing w:val="0"/>
          <w:shd w:val="clear" w:color="auto" w:fill="FFFFFF"/>
        </w:rPr>
        <w:t xml:space="preserve">В составе комплексного обследования при негематологических заболеваниях, например, у больных с </w:t>
      </w:r>
      <w:r w:rsidRPr="002C6FFD">
        <w:rPr>
          <w:rFonts w:cs="Times New Roman"/>
          <w:spacing w:val="0"/>
        </w:rPr>
        <w:t xml:space="preserve">ВИЧ-инфекцией </w:t>
      </w:r>
      <w:r w:rsidRPr="002C6FFD">
        <w:rPr>
          <w:rFonts w:cs="Times New Roman"/>
          <w:spacing w:val="0"/>
          <w:shd w:val="clear" w:color="auto" w:fill="FFFFFF"/>
        </w:rPr>
        <w:t>и СПИДом.</w:t>
      </w:r>
    </w:p>
    <w:p w14:paraId="2DA7DED3" w14:textId="77777777" w:rsidR="005A6162" w:rsidRPr="002C6FFD" w:rsidRDefault="005A6162" w:rsidP="0091350E">
      <w:pPr>
        <w:pStyle w:val="bullet"/>
        <w:numPr>
          <w:ilvl w:val="0"/>
          <w:numId w:val="111"/>
        </w:numPr>
        <w:spacing w:line="360" w:lineRule="auto"/>
        <w:jc w:val="both"/>
        <w:rPr>
          <w:rFonts w:cs="Times New Roman"/>
          <w:spacing w:val="0"/>
          <w:shd w:val="clear" w:color="auto" w:fill="FFFFFF"/>
        </w:rPr>
      </w:pPr>
      <w:r w:rsidRPr="002C6FFD">
        <w:rPr>
          <w:rFonts w:cs="Times New Roman"/>
          <w:spacing w:val="0"/>
          <w:shd w:val="clear" w:color="auto" w:fill="FFFFFF"/>
        </w:rPr>
        <w:t>Дифференциальная диагностика болезней накопления и других метаболических заболеваний.</w:t>
      </w:r>
    </w:p>
    <w:p w14:paraId="1C1C15CD" w14:textId="77777777" w:rsidR="005A6162" w:rsidRPr="002C6FFD" w:rsidRDefault="005A6162" w:rsidP="0091350E">
      <w:pPr>
        <w:pStyle w:val="bullet"/>
        <w:numPr>
          <w:ilvl w:val="0"/>
          <w:numId w:val="111"/>
        </w:numPr>
        <w:spacing w:line="360" w:lineRule="auto"/>
        <w:jc w:val="both"/>
        <w:rPr>
          <w:rFonts w:cs="Times New Roman"/>
          <w:spacing w:val="0"/>
          <w:shd w:val="clear" w:color="auto" w:fill="FFFFFF"/>
        </w:rPr>
      </w:pPr>
      <w:r w:rsidRPr="002C6FFD">
        <w:rPr>
          <w:rFonts w:cs="Times New Roman"/>
          <w:spacing w:val="0"/>
        </w:rPr>
        <w:t>Определение степени повреждения костного мозга у пациентов, подвергшихся воздействию радиации, наркотиков, химических веществ и других миелотоксических веществ (в том числе лекарственных средств).</w:t>
      </w:r>
    </w:p>
    <w:p w14:paraId="7C7D2872" w14:textId="77777777" w:rsidR="005A6162" w:rsidRPr="002C6FFD" w:rsidRDefault="005A6162" w:rsidP="0091350E">
      <w:pPr>
        <w:pStyle w:val="bullet"/>
        <w:numPr>
          <w:ilvl w:val="0"/>
          <w:numId w:val="111"/>
        </w:numPr>
        <w:spacing w:line="360" w:lineRule="auto"/>
        <w:jc w:val="both"/>
        <w:rPr>
          <w:rFonts w:cs="Times New Roman"/>
          <w:spacing w:val="0"/>
          <w:shd w:val="clear" w:color="auto" w:fill="FFFFFF"/>
        </w:rPr>
      </w:pPr>
      <w:r w:rsidRPr="002C6FFD">
        <w:rPr>
          <w:rFonts w:cs="Times New Roman"/>
          <w:spacing w:val="0"/>
          <w:shd w:val="clear" w:color="auto" w:fill="FFFFFF"/>
        </w:rPr>
        <w:t>Диагностика (иногда, в составе комплексной диагностики) железодефицитной анемии, полицитемии, тромбоцитозов и инфекционного мононуклеоза.</w:t>
      </w:r>
    </w:p>
    <w:p w14:paraId="6885887C" w14:textId="77777777" w:rsidR="005A6162" w:rsidRPr="002C6FFD" w:rsidRDefault="005A6162" w:rsidP="005A6162">
      <w:pPr>
        <w:ind w:firstLine="709"/>
        <w:rPr>
          <w:szCs w:val="24"/>
        </w:rPr>
      </w:pPr>
      <w:r w:rsidRPr="002C6FFD">
        <w:rPr>
          <w:szCs w:val="24"/>
        </w:rPr>
        <w:t>При невозможности получить при пункции костного мозга адекватный диагностический материал («сухой» аспират), после повторной попытки показано выполнение трепанобиопсии костного мозга с приготовление отпечатков трепанобиоптата.</w:t>
      </w:r>
    </w:p>
    <w:p w14:paraId="65D1EC9D" w14:textId="77777777" w:rsidR="005A6162" w:rsidRDefault="005A6162" w:rsidP="005A6162">
      <w:pPr>
        <w:pStyle w:val="2"/>
        <w:spacing w:before="0"/>
        <w:rPr>
          <w:rFonts w:eastAsia="Arial Unicode MS"/>
          <w:shd w:val="clear" w:color="auto" w:fill="FFFFFF"/>
        </w:rPr>
      </w:pPr>
    </w:p>
    <w:p w14:paraId="416F2EA2" w14:textId="635426F6" w:rsidR="005A6162" w:rsidRPr="00F30696" w:rsidRDefault="005A6162" w:rsidP="005A6162">
      <w:pPr>
        <w:rPr>
          <w:b/>
          <w:i/>
          <w:iCs/>
          <w:u w:val="single"/>
          <w:shd w:val="clear" w:color="auto" w:fill="FFFFFF"/>
        </w:rPr>
      </w:pPr>
      <w:r w:rsidRPr="00F30696">
        <w:rPr>
          <w:i/>
          <w:iCs/>
          <w:u w:val="single"/>
          <w:shd w:val="clear" w:color="auto" w:fill="FFFFFF"/>
        </w:rPr>
        <w:t xml:space="preserve">Показания к выполнению биопсийного исследования костного мозга (трепанобиопсии) </w:t>
      </w:r>
      <w:r w:rsidRPr="00F30696">
        <w:rPr>
          <w:b/>
          <w:i/>
          <w:iCs/>
          <w:u w:val="single"/>
          <w:shd w:val="clear" w:color="auto" w:fill="FFFFFF"/>
        </w:rPr>
        <w:fldChar w:fldCharType="begin" w:fldLock="1"/>
      </w:r>
      <w:r w:rsidR="00934898">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[186]","plainTextFormattedCitation":"[186]","previouslyFormattedCitation":"[186]"},"properties":{"noteIndex":0},"schema":"https://github.com/citation-style-language/schema/raw/master/csl-citation.json"}</w:instrText>
      </w:r>
      <w:r w:rsidRPr="00F30696">
        <w:rPr>
          <w:b/>
          <w:i/>
          <w:iCs/>
          <w:u w:val="single"/>
          <w:shd w:val="clear" w:color="auto" w:fill="FFFFFF"/>
        </w:rPr>
        <w:fldChar w:fldCharType="separate"/>
      </w:r>
      <w:r w:rsidRPr="005A6162">
        <w:rPr>
          <w:iCs/>
          <w:noProof/>
          <w:shd w:val="clear" w:color="auto" w:fill="FFFFFF"/>
        </w:rPr>
        <w:t>[186]</w:t>
      </w:r>
      <w:r w:rsidRPr="00F30696">
        <w:rPr>
          <w:b/>
          <w:i/>
          <w:iCs/>
          <w:u w:val="single"/>
          <w:shd w:val="clear" w:color="auto" w:fill="FFFFFF"/>
        </w:rPr>
        <w:fldChar w:fldCharType="end"/>
      </w:r>
    </w:p>
    <w:p w14:paraId="615CD065" w14:textId="77777777" w:rsidR="005A6162" w:rsidRPr="002C6FFD" w:rsidRDefault="005A6162" w:rsidP="0091350E">
      <w:pPr>
        <w:pStyle w:val="bullet"/>
        <w:numPr>
          <w:ilvl w:val="0"/>
          <w:numId w:val="111"/>
        </w:numPr>
        <w:spacing w:line="360" w:lineRule="auto"/>
        <w:jc w:val="both"/>
        <w:rPr>
          <w:rFonts w:cs="Times New Roman"/>
          <w:spacing w:val="0"/>
          <w:shd w:val="clear" w:color="auto" w:fill="FFFFFF"/>
        </w:rPr>
      </w:pPr>
      <w:r w:rsidRPr="002C6FFD">
        <w:rPr>
          <w:rFonts w:cs="Times New Roman"/>
          <w:spacing w:val="0"/>
          <w:shd w:val="clear" w:color="auto" w:fill="FFFFFF"/>
        </w:rPr>
        <w:t xml:space="preserve">Диагностика и </w:t>
      </w:r>
      <w:r w:rsidRPr="002C6FFD">
        <w:rPr>
          <w:rFonts w:cs="Times New Roman"/>
          <w:spacing w:val="0"/>
        </w:rPr>
        <w:t>определение распространенности (стадии) при первичной диагностике и/или при рецидиве заболевания</w:t>
      </w:r>
      <w:r w:rsidRPr="002C6FFD">
        <w:rPr>
          <w:rFonts w:cs="Times New Roman"/>
          <w:spacing w:val="0"/>
          <w:shd w:val="clear" w:color="auto" w:fill="FFFFFF"/>
        </w:rPr>
        <w:t xml:space="preserve">, а также оценка эффективности терапии при  различных онкогематологических заболеваниях (лимфопролиферативные заболевания, в том числе хронический лимфолейкоз, лимфома Ходжкина и неходжкинские лимфомы, волосатоклеточный лейкоз; хронические миелопролиферативные заболевания, в том числе </w:t>
      </w:r>
      <w:r w:rsidRPr="002C6FFD">
        <w:rPr>
          <w:rFonts w:cs="Times New Roman"/>
          <w:spacing w:val="0"/>
        </w:rPr>
        <w:t xml:space="preserve">истинная полицитемия, эссенциальная тромбоцитемия, первичный миелофиброз, системный мастоцитоз;  </w:t>
      </w:r>
      <w:r w:rsidRPr="002C6FFD">
        <w:rPr>
          <w:rFonts w:cs="Times New Roman"/>
          <w:spacing w:val="0"/>
          <w:shd w:val="clear" w:color="auto" w:fill="FFFFFF"/>
        </w:rPr>
        <w:t>множественная миелома и прочие плазмоклеточноые неоплазии).</w:t>
      </w:r>
    </w:p>
    <w:p w14:paraId="40B3A0D6" w14:textId="77777777" w:rsidR="005A6162" w:rsidRPr="002C6FFD" w:rsidRDefault="005A6162" w:rsidP="0091350E">
      <w:pPr>
        <w:pStyle w:val="bullet"/>
        <w:numPr>
          <w:ilvl w:val="0"/>
          <w:numId w:val="111"/>
        </w:numPr>
        <w:spacing w:line="360" w:lineRule="auto"/>
        <w:jc w:val="both"/>
        <w:rPr>
          <w:rFonts w:cs="Times New Roman"/>
          <w:spacing w:val="0"/>
          <w:shd w:val="clear" w:color="auto" w:fill="FFFFFF"/>
        </w:rPr>
      </w:pPr>
      <w:r w:rsidRPr="002C6FFD">
        <w:rPr>
          <w:rFonts w:cs="Times New Roman"/>
          <w:spacing w:val="0"/>
          <w:shd w:val="clear" w:color="auto" w:fill="FFFFFF"/>
        </w:rPr>
        <w:t>Диагностика и оценка эффективности лечения апластической анемии, миелодиспластических синдромов, идиопатической тромбоцитопенической пурпуры, острых лейкозов и при других гематологических заболеваниях/состояниях.</w:t>
      </w:r>
    </w:p>
    <w:p w14:paraId="462E0C08" w14:textId="77777777" w:rsidR="005A6162" w:rsidRPr="002C6FFD" w:rsidRDefault="005A6162" w:rsidP="0091350E">
      <w:pPr>
        <w:pStyle w:val="bullet"/>
        <w:numPr>
          <w:ilvl w:val="0"/>
          <w:numId w:val="111"/>
        </w:numPr>
        <w:spacing w:line="360" w:lineRule="auto"/>
        <w:jc w:val="both"/>
        <w:rPr>
          <w:rFonts w:cs="Times New Roman"/>
          <w:spacing w:val="0"/>
        </w:rPr>
      </w:pPr>
      <w:r w:rsidRPr="002C6FFD">
        <w:rPr>
          <w:rFonts w:cs="Times New Roman"/>
          <w:spacing w:val="0"/>
        </w:rPr>
        <w:t>Диагностика, определение распространенности (стадии),</w:t>
      </w:r>
      <w:r w:rsidRPr="002C6FFD">
        <w:rPr>
          <w:rFonts w:cs="Times New Roman"/>
          <w:spacing w:val="0"/>
          <w:shd w:val="clear" w:color="auto" w:fill="FFFFFF"/>
        </w:rPr>
        <w:t xml:space="preserve"> оценка метастатического поражения</w:t>
      </w:r>
      <w:r w:rsidRPr="002C6FFD">
        <w:rPr>
          <w:rFonts w:cs="Times New Roman"/>
          <w:spacing w:val="0"/>
        </w:rPr>
        <w:t xml:space="preserve"> и эффекта лечения солидных опухолей (нейробластома, рабдомиосаркома, примитивные нейроэктодермальные опухоли, саркома Юинга и другие).</w:t>
      </w:r>
    </w:p>
    <w:p w14:paraId="6F906406" w14:textId="77777777" w:rsidR="005A6162" w:rsidRPr="002C6FFD" w:rsidRDefault="005A6162" w:rsidP="0091350E">
      <w:pPr>
        <w:pStyle w:val="bullet"/>
        <w:numPr>
          <w:ilvl w:val="0"/>
          <w:numId w:val="111"/>
        </w:numPr>
        <w:spacing w:line="360" w:lineRule="auto"/>
        <w:jc w:val="both"/>
        <w:rPr>
          <w:rFonts w:cs="Times New Roman"/>
          <w:spacing w:val="0"/>
          <w:shd w:val="clear" w:color="auto" w:fill="FFFFFF"/>
        </w:rPr>
      </w:pPr>
      <w:r w:rsidRPr="002C6FFD">
        <w:rPr>
          <w:rFonts w:cs="Times New Roman"/>
          <w:spacing w:val="0"/>
          <w:shd w:val="clear" w:color="auto" w:fill="FFFFFF"/>
        </w:rPr>
        <w:t>Мониторинг эффективности лечения или оценки прогрессирования заболеваний системы крови.</w:t>
      </w:r>
    </w:p>
    <w:p w14:paraId="115A2136" w14:textId="77777777" w:rsidR="005A6162" w:rsidRPr="002C6FFD" w:rsidRDefault="005A6162" w:rsidP="0091350E">
      <w:pPr>
        <w:pStyle w:val="bullet"/>
        <w:numPr>
          <w:ilvl w:val="0"/>
          <w:numId w:val="111"/>
        </w:numPr>
        <w:spacing w:line="360" w:lineRule="auto"/>
        <w:jc w:val="both"/>
        <w:rPr>
          <w:rFonts w:cs="Times New Roman"/>
          <w:spacing w:val="0"/>
          <w:shd w:val="clear" w:color="auto" w:fill="FFFFFF"/>
        </w:rPr>
      </w:pPr>
      <w:r w:rsidRPr="002C6FFD">
        <w:rPr>
          <w:rFonts w:cs="Times New Roman"/>
          <w:spacing w:val="0"/>
          <w:shd w:val="clear" w:color="auto" w:fill="FFFFFF"/>
        </w:rPr>
        <w:t xml:space="preserve">Оценка миелопоэза до и после выполнения трансплантации костного мозга / гемопоэтических стволовых клеток (ТКМ / ТГСК). </w:t>
      </w:r>
    </w:p>
    <w:p w14:paraId="49B8BECD" w14:textId="77777777" w:rsidR="005A6162" w:rsidRPr="002C6FFD" w:rsidRDefault="005A6162" w:rsidP="0091350E">
      <w:pPr>
        <w:pStyle w:val="bullet"/>
        <w:numPr>
          <w:ilvl w:val="0"/>
          <w:numId w:val="111"/>
        </w:numPr>
        <w:spacing w:line="360" w:lineRule="auto"/>
        <w:jc w:val="both"/>
        <w:rPr>
          <w:rFonts w:cs="Times New Roman"/>
          <w:spacing w:val="0"/>
          <w:shd w:val="clear" w:color="auto" w:fill="FFFFFF"/>
        </w:rPr>
      </w:pPr>
      <w:r w:rsidRPr="002C6FFD">
        <w:rPr>
          <w:rFonts w:cs="Times New Roman"/>
          <w:spacing w:val="0"/>
        </w:rPr>
        <w:t>Обследование больных с предполагаемым первичным амилоидозом и заболеваниями костной ткани.</w:t>
      </w:r>
    </w:p>
    <w:p w14:paraId="4F7CA26D" w14:textId="77777777" w:rsidR="005A6162" w:rsidRPr="002C6FFD" w:rsidRDefault="005A6162" w:rsidP="0091350E">
      <w:pPr>
        <w:pStyle w:val="bullet"/>
        <w:numPr>
          <w:ilvl w:val="0"/>
          <w:numId w:val="111"/>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при цитопении, тромбоцитозе, лейкоцитозе, анемии, изменениях состава лейкоцитов (лейкоцитарная формула), и для диагностики перегрузки железом.</w:t>
      </w:r>
    </w:p>
    <w:p w14:paraId="7B701546" w14:textId="77777777" w:rsidR="005A6162" w:rsidRPr="002C6FFD" w:rsidRDefault="005A6162" w:rsidP="0091350E">
      <w:pPr>
        <w:pStyle w:val="bullet"/>
        <w:numPr>
          <w:ilvl w:val="0"/>
          <w:numId w:val="111"/>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и вовлечения костного мозга при инфекционных заболеваниях (например, при грибковых, микобактериальных инфекциях, в том числе при туберкулезе и других гранулематозных процессах, в также при гистоплазмозе и лейшманиозе).</w:t>
      </w:r>
    </w:p>
    <w:p w14:paraId="15ED0AEE" w14:textId="77777777" w:rsidR="005A6162" w:rsidRPr="002C6FFD" w:rsidRDefault="005A6162" w:rsidP="0091350E">
      <w:pPr>
        <w:pStyle w:val="bullet"/>
        <w:numPr>
          <w:ilvl w:val="0"/>
          <w:numId w:val="111"/>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и вовлечения костного мозга при болезнях накопления (например, болезнь Нимана—Пика и болезнь Гоше) и гранулематозных заболеваниях (например, саркоидоз).</w:t>
      </w:r>
    </w:p>
    <w:p w14:paraId="41C90089" w14:textId="77777777" w:rsidR="005A6162" w:rsidRDefault="005A6162" w:rsidP="005A6162">
      <w:pPr>
        <w:pStyle w:val="2"/>
        <w:spacing w:before="0"/>
        <w:rPr>
          <w:rFonts w:eastAsia="Arial Unicode MS"/>
        </w:rPr>
      </w:pPr>
    </w:p>
    <w:p w14:paraId="57266AD3" w14:textId="4271B8F2" w:rsidR="005A6162" w:rsidRPr="00F30696" w:rsidRDefault="005A6162" w:rsidP="005A6162">
      <w:pPr>
        <w:rPr>
          <w:b/>
          <w:i/>
          <w:iCs/>
          <w:u w:val="single"/>
          <w:shd w:val="clear" w:color="auto" w:fill="FFFFFF"/>
        </w:rPr>
      </w:pPr>
      <w:r w:rsidRPr="00F30696">
        <w:rPr>
          <w:i/>
          <w:iCs/>
          <w:u w:val="single"/>
          <w:shd w:val="clear" w:color="auto" w:fill="FFFFFF"/>
        </w:rPr>
        <w:t xml:space="preserve">Противопоказания для выполнения биопсийного исследования костного мозга </w:t>
      </w:r>
      <w:r w:rsidRPr="00F30696">
        <w:rPr>
          <w:b/>
          <w:i/>
          <w:iCs/>
          <w:u w:val="single"/>
          <w:shd w:val="clear" w:color="auto" w:fill="FFFFFF"/>
        </w:rPr>
        <w:fldChar w:fldCharType="begin" w:fldLock="1"/>
      </w:r>
      <w:r w:rsidR="00934898">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[186]","plainTextFormattedCitation":"[186]","previouslyFormattedCitation":"[186]"},"properties":{"noteIndex":0},"schema":"https://github.com/citation-style-language/schema/raw/master/csl-citation.json"}</w:instrText>
      </w:r>
      <w:r w:rsidRPr="00F30696">
        <w:rPr>
          <w:b/>
          <w:i/>
          <w:iCs/>
          <w:u w:val="single"/>
          <w:shd w:val="clear" w:color="auto" w:fill="FFFFFF"/>
        </w:rPr>
        <w:fldChar w:fldCharType="separate"/>
      </w:r>
      <w:r w:rsidRPr="005A6162">
        <w:rPr>
          <w:iCs/>
          <w:noProof/>
          <w:shd w:val="clear" w:color="auto" w:fill="FFFFFF"/>
        </w:rPr>
        <w:t>[186]</w:t>
      </w:r>
      <w:r w:rsidRPr="00F30696">
        <w:rPr>
          <w:b/>
          <w:i/>
          <w:iCs/>
          <w:u w:val="single"/>
          <w:shd w:val="clear" w:color="auto" w:fill="FFFFFF"/>
        </w:rPr>
        <w:fldChar w:fldCharType="end"/>
      </w:r>
    </w:p>
    <w:p w14:paraId="77DCFF6F" w14:textId="77777777" w:rsidR="005A6162" w:rsidRPr="002C6FFD" w:rsidRDefault="005A6162" w:rsidP="005A6162">
      <w:pPr>
        <w:pStyle w:val="Normal11"/>
        <w:spacing w:line="360" w:lineRule="auto"/>
        <w:ind w:firstLine="699"/>
      </w:pPr>
      <w:r w:rsidRPr="002C6FFD">
        <w:t>Аспирация костного мозга и биопсия не имеют абсолютных противопоказаний, но могут быть относительные противопоказания, связанные с общим состоянием пациента:</w:t>
      </w:r>
    </w:p>
    <w:p w14:paraId="74403CE8" w14:textId="77777777" w:rsidR="005A6162" w:rsidRPr="002C6FFD" w:rsidRDefault="005A6162" w:rsidP="0091350E">
      <w:pPr>
        <w:pStyle w:val="bullet"/>
        <w:numPr>
          <w:ilvl w:val="0"/>
          <w:numId w:val="111"/>
        </w:numPr>
        <w:spacing w:line="360" w:lineRule="auto"/>
        <w:jc w:val="both"/>
        <w:rPr>
          <w:rFonts w:cs="Times New Roman"/>
          <w:spacing w:val="0"/>
        </w:rPr>
      </w:pPr>
      <w:r w:rsidRPr="002C6FFD">
        <w:rPr>
          <w:rFonts w:cs="Times New Roman"/>
          <w:spacing w:val="0"/>
        </w:rPr>
        <w:t>Раневая поверхность кожи и подлежащих тканей с признаками воспаления в месте проведения процедуры.</w:t>
      </w:r>
    </w:p>
    <w:p w14:paraId="5F6D8C96" w14:textId="77777777" w:rsidR="005A6162" w:rsidRPr="002C6FFD" w:rsidRDefault="005A6162" w:rsidP="0091350E">
      <w:pPr>
        <w:pStyle w:val="bullet"/>
        <w:numPr>
          <w:ilvl w:val="0"/>
          <w:numId w:val="111"/>
        </w:numPr>
        <w:spacing w:line="360" w:lineRule="auto"/>
        <w:jc w:val="both"/>
        <w:rPr>
          <w:rFonts w:cs="Times New Roman"/>
          <w:spacing w:val="0"/>
        </w:rPr>
      </w:pPr>
      <w:r w:rsidRPr="002C6FFD">
        <w:rPr>
          <w:rFonts w:cs="Times New Roman"/>
          <w:spacing w:val="0"/>
        </w:rPr>
        <w:t>Тромбоцитопения и другие коагулопатии, геморрагический синдром (выполнение процедуры возможно после купирования нарушений гемостаза и коррекции тромбоцитопении).</w:t>
      </w:r>
    </w:p>
    <w:p w14:paraId="08B73D86" w14:textId="77777777" w:rsidR="005A6162" w:rsidRPr="002C6FFD" w:rsidRDefault="005A6162" w:rsidP="0091350E">
      <w:pPr>
        <w:pStyle w:val="bullet"/>
        <w:numPr>
          <w:ilvl w:val="0"/>
          <w:numId w:val="111"/>
        </w:numPr>
        <w:spacing w:line="360" w:lineRule="auto"/>
        <w:jc w:val="both"/>
        <w:rPr>
          <w:rFonts w:cs="Times New Roman"/>
          <w:spacing w:val="0"/>
          <w:shd w:val="clear" w:color="auto" w:fill="FFFFFF"/>
        </w:rPr>
      </w:pPr>
      <w:r w:rsidRPr="002C6FFD">
        <w:rPr>
          <w:rFonts w:cs="Times New Roman"/>
          <w:spacing w:val="0"/>
          <w:shd w:val="clear" w:color="auto" w:fill="FFFFFF"/>
        </w:rPr>
        <w:t xml:space="preserve">При терапии антикоагулянтами и антиагрегантами, перед выполнением процедуры должны учитываться показатели коагулологических тестов. </w:t>
      </w:r>
    </w:p>
    <w:p w14:paraId="78BFE7C9" w14:textId="77777777" w:rsidR="005A6162" w:rsidRPr="002C6FFD" w:rsidRDefault="005A6162" w:rsidP="0091350E">
      <w:pPr>
        <w:pStyle w:val="bullet"/>
        <w:numPr>
          <w:ilvl w:val="0"/>
          <w:numId w:val="111"/>
        </w:numPr>
        <w:spacing w:line="360" w:lineRule="auto"/>
        <w:jc w:val="both"/>
        <w:rPr>
          <w:rFonts w:cs="Times New Roman"/>
          <w:spacing w:val="0"/>
          <w:shd w:val="clear" w:color="auto" w:fill="FFFFFF"/>
        </w:rPr>
      </w:pPr>
      <w:r w:rsidRPr="002C6FFD">
        <w:rPr>
          <w:rFonts w:cs="Times New Roman"/>
          <w:spacing w:val="0"/>
          <w:shd w:val="clear" w:color="auto" w:fill="FFFFFF"/>
        </w:rPr>
        <w:t xml:space="preserve">Наличие признаков резорбции кости </w:t>
      </w:r>
      <w:r w:rsidRPr="002C6FFD">
        <w:rPr>
          <w:rFonts w:cs="Times New Roman"/>
          <w:spacing w:val="0"/>
        </w:rPr>
        <w:t>в месте проведения процедуры</w:t>
      </w:r>
      <w:r w:rsidRPr="002C6FFD">
        <w:rPr>
          <w:rFonts w:cs="Times New Roman"/>
          <w:spacing w:val="0"/>
          <w:shd w:val="clear" w:color="auto" w:fill="FFFFFF"/>
        </w:rPr>
        <w:t>.</w:t>
      </w:r>
    </w:p>
    <w:p w14:paraId="752C0D5E" w14:textId="77777777" w:rsidR="005A6162" w:rsidRPr="002C6FFD" w:rsidRDefault="005A6162" w:rsidP="005A6162">
      <w:pPr>
        <w:pStyle w:val="bullet"/>
        <w:spacing w:line="360" w:lineRule="auto"/>
        <w:ind w:firstLine="709"/>
        <w:jc w:val="both"/>
        <w:rPr>
          <w:rFonts w:cs="Times New Roman"/>
          <w:spacing w:val="0"/>
          <w:shd w:val="clear" w:color="auto" w:fill="FFFFFF"/>
        </w:rPr>
      </w:pPr>
      <w:r w:rsidRPr="002C6FFD">
        <w:rPr>
          <w:rFonts w:cs="Times New Roman"/>
          <w:spacing w:val="0"/>
          <w:shd w:val="clear" w:color="auto" w:fill="FFFFFF"/>
        </w:rPr>
        <w:t>При соматически тяжелом состоянии пациента и повышенном риске развития осложнений при амбулаторном проведении процедуры, трепанобиопсию возможно выполнить в условиях стационара.</w:t>
      </w:r>
    </w:p>
    <w:p w14:paraId="3609B906" w14:textId="77777777" w:rsidR="005A6162" w:rsidRDefault="005A6162" w:rsidP="005A6162">
      <w:pPr>
        <w:pStyle w:val="2"/>
        <w:spacing w:before="0"/>
        <w:rPr>
          <w:rFonts w:eastAsia="Arial Unicode MS"/>
        </w:rPr>
      </w:pPr>
    </w:p>
    <w:p w14:paraId="2E0BE7FC" w14:textId="10644F3B" w:rsidR="005A6162" w:rsidRPr="00F30696" w:rsidRDefault="005A6162" w:rsidP="005A6162">
      <w:pPr>
        <w:rPr>
          <w:b/>
          <w:i/>
          <w:iCs/>
          <w:u w:val="single"/>
          <w:shd w:val="clear" w:color="auto" w:fill="FFFFFF"/>
        </w:rPr>
      </w:pPr>
      <w:r w:rsidRPr="00F30696">
        <w:rPr>
          <w:i/>
          <w:iCs/>
          <w:u w:val="single"/>
          <w:shd w:val="clear" w:color="auto" w:fill="FFFFFF"/>
        </w:rPr>
        <w:t xml:space="preserve">Возможные технические трудности выполнения пункционного и биопсийного исследований костного мозга </w:t>
      </w:r>
      <w:r w:rsidRPr="00F30696">
        <w:rPr>
          <w:b/>
          <w:i/>
          <w:iCs/>
          <w:u w:val="single"/>
          <w:shd w:val="clear" w:color="auto" w:fill="FFFFFF"/>
        </w:rPr>
        <w:fldChar w:fldCharType="begin" w:fldLock="1"/>
      </w:r>
      <w:r w:rsidR="00934898">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[186]","plainTextFormattedCitation":"[186]","previouslyFormattedCitation":"[186]"},"properties":{"noteIndex":0},"schema":"https://github.com/citation-style-language/schema/raw/master/csl-citation.json"}</w:instrText>
      </w:r>
      <w:r w:rsidRPr="00F30696">
        <w:rPr>
          <w:b/>
          <w:i/>
          <w:iCs/>
          <w:u w:val="single"/>
          <w:shd w:val="clear" w:color="auto" w:fill="FFFFFF"/>
        </w:rPr>
        <w:fldChar w:fldCharType="separate"/>
      </w:r>
      <w:r w:rsidRPr="005A6162">
        <w:rPr>
          <w:iCs/>
          <w:noProof/>
          <w:shd w:val="clear" w:color="auto" w:fill="FFFFFF"/>
        </w:rPr>
        <w:t>[186]</w:t>
      </w:r>
      <w:r w:rsidRPr="00F30696">
        <w:rPr>
          <w:b/>
          <w:i/>
          <w:iCs/>
          <w:u w:val="single"/>
          <w:shd w:val="clear" w:color="auto" w:fill="FFFFFF"/>
        </w:rPr>
        <w:fldChar w:fldCharType="end"/>
      </w:r>
    </w:p>
    <w:p w14:paraId="19CF68FE" w14:textId="77777777" w:rsidR="005A6162" w:rsidRPr="002C6FFD" w:rsidRDefault="005A6162" w:rsidP="0091350E">
      <w:pPr>
        <w:pStyle w:val="bullet"/>
        <w:numPr>
          <w:ilvl w:val="0"/>
          <w:numId w:val="111"/>
        </w:numPr>
        <w:spacing w:line="360" w:lineRule="auto"/>
        <w:jc w:val="both"/>
        <w:rPr>
          <w:rFonts w:cs="Times New Roman"/>
          <w:spacing w:val="0"/>
          <w:shd w:val="clear" w:color="auto" w:fill="FFFFFF"/>
        </w:rPr>
      </w:pPr>
      <w:r w:rsidRPr="002C6FFD">
        <w:rPr>
          <w:rFonts w:cs="Times New Roman"/>
          <w:spacing w:val="0"/>
          <w:shd w:val="clear" w:color="auto" w:fill="FFFFFF"/>
        </w:rPr>
        <w:t>Плохое качество инструментария.</w:t>
      </w:r>
    </w:p>
    <w:p w14:paraId="44FBA5D3" w14:textId="77777777" w:rsidR="005A6162" w:rsidRPr="002C6FFD" w:rsidRDefault="005A6162" w:rsidP="0091350E">
      <w:pPr>
        <w:pStyle w:val="bullet"/>
        <w:numPr>
          <w:ilvl w:val="0"/>
          <w:numId w:val="111"/>
        </w:numPr>
        <w:spacing w:line="360" w:lineRule="auto"/>
        <w:jc w:val="both"/>
        <w:rPr>
          <w:rFonts w:cs="Times New Roman"/>
          <w:spacing w:val="0"/>
          <w:shd w:val="clear" w:color="auto" w:fill="FFFFFF"/>
        </w:rPr>
      </w:pPr>
      <w:r w:rsidRPr="002C6FFD">
        <w:rPr>
          <w:rFonts w:cs="Times New Roman"/>
          <w:spacing w:val="0"/>
          <w:shd w:val="clear" w:color="auto" w:fill="FFFFFF"/>
        </w:rPr>
        <w:t>Избыточный вес больного или большая толщина подкожно-жировой клетчатки и анатомические особенности строения грудной клетки и костей таза.</w:t>
      </w:r>
    </w:p>
    <w:p w14:paraId="0515696C" w14:textId="77777777" w:rsidR="005A6162" w:rsidRPr="002C6FFD" w:rsidRDefault="005A6162" w:rsidP="0091350E">
      <w:pPr>
        <w:pStyle w:val="bullet"/>
        <w:numPr>
          <w:ilvl w:val="0"/>
          <w:numId w:val="111"/>
        </w:numPr>
        <w:spacing w:line="360" w:lineRule="auto"/>
        <w:jc w:val="both"/>
        <w:rPr>
          <w:rFonts w:cs="Times New Roman"/>
          <w:spacing w:val="0"/>
          <w:shd w:val="clear" w:color="auto" w:fill="FFFFFF"/>
        </w:rPr>
      </w:pPr>
      <w:r w:rsidRPr="002C6FFD">
        <w:rPr>
          <w:rFonts w:cs="Times New Roman"/>
          <w:spacing w:val="0"/>
          <w:shd w:val="clear" w:color="auto" w:fill="FFFFFF"/>
        </w:rPr>
        <w:t>Остеопороз.</w:t>
      </w:r>
    </w:p>
    <w:p w14:paraId="2179F894" w14:textId="77777777" w:rsidR="005A6162" w:rsidRPr="002C6FFD" w:rsidRDefault="005A6162" w:rsidP="0091350E">
      <w:pPr>
        <w:pStyle w:val="bullet"/>
        <w:numPr>
          <w:ilvl w:val="0"/>
          <w:numId w:val="111"/>
        </w:numPr>
        <w:spacing w:line="360" w:lineRule="auto"/>
        <w:jc w:val="both"/>
        <w:rPr>
          <w:rFonts w:cs="Times New Roman"/>
          <w:spacing w:val="0"/>
          <w:shd w:val="clear" w:color="auto" w:fill="FFFFFF"/>
        </w:rPr>
      </w:pPr>
      <w:r w:rsidRPr="002C6FFD">
        <w:rPr>
          <w:rFonts w:cs="Times New Roman"/>
          <w:spacing w:val="0"/>
          <w:shd w:val="clear" w:color="auto" w:fill="FFFFFF"/>
        </w:rPr>
        <w:t>Фиброз стромы.</w:t>
      </w:r>
    </w:p>
    <w:p w14:paraId="5F41FCE9" w14:textId="77777777" w:rsidR="005A6162" w:rsidRDefault="005A6162" w:rsidP="005A6162">
      <w:pPr>
        <w:pStyle w:val="2"/>
        <w:spacing w:before="0"/>
        <w:rPr>
          <w:rFonts w:eastAsia="Arial Unicode MS"/>
        </w:rPr>
      </w:pPr>
    </w:p>
    <w:p w14:paraId="01906ADD" w14:textId="6A4A7CBF" w:rsidR="005A6162" w:rsidRPr="00F30696" w:rsidRDefault="005A6162" w:rsidP="005A6162">
      <w:pPr>
        <w:rPr>
          <w:b/>
          <w:i/>
          <w:iCs/>
          <w:u w:val="single"/>
          <w:shd w:val="clear" w:color="auto" w:fill="FFFFFF"/>
        </w:rPr>
      </w:pPr>
      <w:r w:rsidRPr="00F30696">
        <w:rPr>
          <w:i/>
          <w:iCs/>
          <w:u w:val="single"/>
          <w:shd w:val="clear" w:color="auto" w:fill="FFFFFF"/>
        </w:rPr>
        <w:t xml:space="preserve">Возможные осложнения пункционного и биопсийного исследований костного мозга и способы их профилактики </w:t>
      </w:r>
      <w:r w:rsidRPr="00F30696">
        <w:rPr>
          <w:b/>
          <w:i/>
          <w:iCs/>
          <w:u w:val="single"/>
          <w:shd w:val="clear" w:color="auto" w:fill="FFFFFF"/>
        </w:rPr>
        <w:fldChar w:fldCharType="begin" w:fldLock="1"/>
      </w:r>
      <w:r w:rsidR="00934898">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[186]","plainTextFormattedCitation":"[186]","previouslyFormattedCitation":"[186]"},"properties":{"noteIndex":0},"schema":"https://github.com/citation-style-language/schema/raw/master/csl-citation.json"}</w:instrText>
      </w:r>
      <w:r w:rsidRPr="00F30696">
        <w:rPr>
          <w:b/>
          <w:i/>
          <w:iCs/>
          <w:u w:val="single"/>
          <w:shd w:val="clear" w:color="auto" w:fill="FFFFFF"/>
        </w:rPr>
        <w:fldChar w:fldCharType="separate"/>
      </w:r>
      <w:r w:rsidRPr="005A6162">
        <w:rPr>
          <w:iCs/>
          <w:noProof/>
          <w:shd w:val="clear" w:color="auto" w:fill="FFFFFF"/>
        </w:rPr>
        <w:t>[186]</w:t>
      </w:r>
      <w:r w:rsidRPr="00F30696">
        <w:rPr>
          <w:b/>
          <w:i/>
          <w:iCs/>
          <w:u w:val="single"/>
          <w:shd w:val="clear" w:color="auto" w:fill="FFFFFF"/>
        </w:rPr>
        <w:fldChar w:fldCharType="end"/>
      </w:r>
    </w:p>
    <w:p w14:paraId="1C604933" w14:textId="77777777" w:rsidR="005A6162" w:rsidRPr="002C6FFD" w:rsidRDefault="005A6162" w:rsidP="0091350E">
      <w:pPr>
        <w:pStyle w:val="bullet"/>
        <w:numPr>
          <w:ilvl w:val="0"/>
          <w:numId w:val="111"/>
        </w:numPr>
        <w:spacing w:line="360" w:lineRule="auto"/>
        <w:jc w:val="both"/>
        <w:rPr>
          <w:rFonts w:cs="Times New Roman"/>
          <w:spacing w:val="0"/>
          <w:shd w:val="clear" w:color="auto" w:fill="FFFFFF"/>
        </w:rPr>
      </w:pPr>
      <w:r w:rsidRPr="002C6FFD">
        <w:rPr>
          <w:rFonts w:cs="Times New Roman"/>
          <w:spacing w:val="0"/>
          <w:shd w:val="clear" w:color="auto" w:fill="FFFFFF"/>
        </w:rPr>
        <w:t>Кровотечение (раннее и/или отсроченное), особенно при тромбоцитопении и/или наличии нарушений свертывания крови.</w:t>
      </w:r>
    </w:p>
    <w:p w14:paraId="34E4E3C0" w14:textId="77777777" w:rsidR="005A6162" w:rsidRPr="002C6FFD" w:rsidRDefault="005A6162" w:rsidP="0091350E">
      <w:pPr>
        <w:pStyle w:val="bullet"/>
        <w:numPr>
          <w:ilvl w:val="0"/>
          <w:numId w:val="111"/>
        </w:numPr>
        <w:spacing w:line="360" w:lineRule="auto"/>
        <w:jc w:val="both"/>
        <w:rPr>
          <w:rFonts w:cs="Times New Roman"/>
          <w:spacing w:val="0"/>
          <w:shd w:val="clear" w:color="auto" w:fill="FFFFFF"/>
        </w:rPr>
      </w:pPr>
      <w:r w:rsidRPr="002C6FFD">
        <w:rPr>
          <w:rFonts w:cs="Times New Roman"/>
          <w:spacing w:val="0"/>
          <w:shd w:val="clear" w:color="auto" w:fill="FFFFFF"/>
        </w:rPr>
        <w:t>Инфекция, особенно в условиях иммунодефицита и нейтропении.</w:t>
      </w:r>
    </w:p>
    <w:p w14:paraId="4C0200E6" w14:textId="77777777" w:rsidR="005A6162" w:rsidRPr="002C6FFD" w:rsidRDefault="005A6162" w:rsidP="0091350E">
      <w:pPr>
        <w:pStyle w:val="bullet"/>
        <w:numPr>
          <w:ilvl w:val="0"/>
          <w:numId w:val="111"/>
        </w:numPr>
        <w:spacing w:line="360" w:lineRule="auto"/>
        <w:jc w:val="both"/>
        <w:rPr>
          <w:rFonts w:cs="Times New Roman"/>
          <w:spacing w:val="0"/>
          <w:shd w:val="clear" w:color="auto" w:fill="FFFFFF"/>
        </w:rPr>
      </w:pPr>
      <w:r w:rsidRPr="002C6FFD">
        <w:rPr>
          <w:rFonts w:cs="Times New Roman"/>
          <w:spacing w:val="0"/>
          <w:shd w:val="clear" w:color="auto" w:fill="FFFFFF"/>
        </w:rPr>
        <w:t>Длительный болевой синдром и дискомфорт в месте биопсии.</w:t>
      </w:r>
    </w:p>
    <w:p w14:paraId="03E945F9" w14:textId="77777777" w:rsidR="005A6162" w:rsidRPr="002C6FFD" w:rsidRDefault="005A6162" w:rsidP="0091350E">
      <w:pPr>
        <w:pStyle w:val="bullet"/>
        <w:numPr>
          <w:ilvl w:val="0"/>
          <w:numId w:val="111"/>
        </w:numPr>
        <w:spacing w:line="360" w:lineRule="auto"/>
        <w:jc w:val="both"/>
        <w:rPr>
          <w:rFonts w:cs="Times New Roman"/>
          <w:spacing w:val="0"/>
          <w:shd w:val="clear" w:color="auto" w:fill="FFFFFF"/>
        </w:rPr>
      </w:pPr>
      <w:r w:rsidRPr="002C6FFD">
        <w:rPr>
          <w:rFonts w:cs="Times New Roman"/>
          <w:spacing w:val="0"/>
          <w:shd w:val="clear" w:color="auto" w:fill="FFFFFF"/>
        </w:rPr>
        <w:t>Переломы кости.</w:t>
      </w:r>
    </w:p>
    <w:p w14:paraId="272E0520" w14:textId="77777777" w:rsidR="005A6162" w:rsidRPr="002C6FFD" w:rsidRDefault="005A6162" w:rsidP="0091350E">
      <w:pPr>
        <w:pStyle w:val="bullet"/>
        <w:numPr>
          <w:ilvl w:val="0"/>
          <w:numId w:val="111"/>
        </w:numPr>
        <w:spacing w:line="360" w:lineRule="auto"/>
        <w:jc w:val="both"/>
        <w:rPr>
          <w:rFonts w:cs="Times New Roman"/>
          <w:spacing w:val="0"/>
          <w:shd w:val="clear" w:color="auto" w:fill="FFFFFF"/>
        </w:rPr>
      </w:pPr>
      <w:r w:rsidRPr="002C6FFD">
        <w:rPr>
          <w:rFonts w:cs="Times New Roman"/>
          <w:spacing w:val="0"/>
          <w:shd w:val="clear" w:color="auto" w:fill="FFFFFF"/>
        </w:rPr>
        <w:t>Поломка инструмента.</w:t>
      </w:r>
    </w:p>
    <w:p w14:paraId="2B8761C9" w14:textId="77777777" w:rsidR="005A6162" w:rsidRPr="002C6FFD" w:rsidRDefault="005A6162" w:rsidP="0091350E">
      <w:pPr>
        <w:pStyle w:val="bullet"/>
        <w:numPr>
          <w:ilvl w:val="0"/>
          <w:numId w:val="111"/>
        </w:numPr>
        <w:spacing w:line="360" w:lineRule="auto"/>
        <w:jc w:val="both"/>
        <w:rPr>
          <w:rFonts w:cs="Times New Roman"/>
          <w:spacing w:val="0"/>
          <w:shd w:val="clear" w:color="auto" w:fill="FFFFFF"/>
        </w:rPr>
      </w:pPr>
      <w:r w:rsidRPr="002C6FFD">
        <w:rPr>
          <w:rFonts w:cs="Times New Roman"/>
          <w:spacing w:val="0"/>
          <w:shd w:val="clear" w:color="auto" w:fill="FFFFFF"/>
        </w:rPr>
        <w:t>Сквозное ранение органов средостения при выполнение стернальной пункции.</w:t>
      </w:r>
    </w:p>
    <w:p w14:paraId="03BF289A" w14:textId="77777777" w:rsidR="005A6162" w:rsidRPr="002C6FFD" w:rsidRDefault="005A6162" w:rsidP="0091350E">
      <w:pPr>
        <w:pStyle w:val="bullet"/>
        <w:numPr>
          <w:ilvl w:val="0"/>
          <w:numId w:val="111"/>
        </w:numPr>
        <w:spacing w:line="360" w:lineRule="auto"/>
        <w:jc w:val="both"/>
        <w:rPr>
          <w:rFonts w:cs="Times New Roman"/>
          <w:spacing w:val="0"/>
          <w:shd w:val="clear" w:color="auto" w:fill="FFFFFF"/>
        </w:rPr>
      </w:pPr>
      <w:r w:rsidRPr="002C6FFD">
        <w:rPr>
          <w:rFonts w:cs="Times New Roman"/>
          <w:spacing w:val="0"/>
          <w:shd w:val="clear" w:color="auto" w:fill="FFFFFF"/>
        </w:rPr>
        <w:t>Анафилактические реакции (на анестетики).</w:t>
      </w:r>
    </w:p>
    <w:p w14:paraId="5785417C" w14:textId="77777777" w:rsidR="005A6162" w:rsidRPr="002C6FFD" w:rsidRDefault="005A6162" w:rsidP="005A6162">
      <w:pPr>
        <w:ind w:firstLine="708"/>
        <w:rPr>
          <w:szCs w:val="24"/>
        </w:rPr>
      </w:pPr>
    </w:p>
    <w:p w14:paraId="2E2E0BF6" w14:textId="77777777" w:rsidR="005A6162" w:rsidRPr="002C6FFD" w:rsidRDefault="005A6162" w:rsidP="005A6162">
      <w:pPr>
        <w:ind w:firstLine="708"/>
        <w:rPr>
          <w:szCs w:val="24"/>
        </w:rPr>
      </w:pPr>
      <w:r w:rsidRPr="002C6FFD">
        <w:rPr>
          <w:szCs w:val="24"/>
        </w:rPr>
        <w:t>При выполнении стернальной пункции, из-за тонкой структуры кости грудины в области пункции (толщина ~ 1 см у взрослых), возможно сквозное проникновение в средостение с возможным повреждением органов средостения и развитием медиастинита, пневмоторакса, травмы и тампонады сердца. Для профилактики данного осложнения необходимо использовать стернальные иглы с ограничителем.</w:t>
      </w:r>
    </w:p>
    <w:p w14:paraId="378DB502" w14:textId="77777777" w:rsidR="005A6162" w:rsidRPr="002C6FFD" w:rsidRDefault="005A6162" w:rsidP="005A6162">
      <w:pPr>
        <w:ind w:firstLine="708"/>
        <w:rPr>
          <w:color w:val="1A1718"/>
          <w:szCs w:val="24"/>
        </w:rPr>
      </w:pPr>
      <w:r w:rsidRPr="002C6FFD">
        <w:rPr>
          <w:color w:val="212121"/>
          <w:szCs w:val="24"/>
        </w:rPr>
        <w:t xml:space="preserve">Ряд осложнений может быть обусловлен некоторыми анатомическими особенностями больного. </w:t>
      </w:r>
      <w:r w:rsidRPr="002C6FFD">
        <w:rPr>
          <w:szCs w:val="24"/>
        </w:rPr>
        <w:t>Так у больных с ожирением выше вероятность развития осложнений, т</w:t>
      </w:r>
      <w:r w:rsidRPr="002C6FFD">
        <w:rPr>
          <w:color w:val="212121"/>
          <w:szCs w:val="24"/>
        </w:rPr>
        <w:t xml:space="preserve">акже осложнять проведение процедуры могут сопутствующие заболевания, влияющие на плотность костной ткани (например, остеопороз и резорбция </w:t>
      </w:r>
      <w:r w:rsidRPr="002C6FFD">
        <w:rPr>
          <w:szCs w:val="24"/>
        </w:rPr>
        <w:t xml:space="preserve">кости). Для минимизации риска развития локальных и генерализованных инфекций, необходимо использовать только стерильный инструмент и строго соблюдать все правила асептики и антисептики. </w:t>
      </w:r>
      <w:r w:rsidRPr="002C6FFD">
        <w:rPr>
          <w:color w:val="1A1718"/>
          <w:szCs w:val="24"/>
        </w:rPr>
        <w:t>Основными способами профилактики геморрагических осложнений является коррекция тромбоцитопении и коагулологических нарушений перед выполнением процедуры и контроль параметров гемостаза и состояния больного в раннем периоде после биопсии. При своевременном грамотном вмешательстве осложнения процедур исследования костного мозга (пункция, биопсия) курабельны.</w:t>
      </w:r>
    </w:p>
    <w:p w14:paraId="5265E2FF" w14:textId="77777777" w:rsidR="005A6162" w:rsidRPr="002C6FFD" w:rsidRDefault="005A6162" w:rsidP="005A6162">
      <w:pPr>
        <w:ind w:firstLine="708"/>
        <w:rPr>
          <w:color w:val="000000"/>
          <w:szCs w:val="24"/>
        </w:rPr>
      </w:pPr>
      <w:r w:rsidRPr="002C6FFD">
        <w:rPr>
          <w:szCs w:val="24"/>
        </w:rPr>
        <w:t xml:space="preserve">При развитии осложнений биопсийного исследования необходимо связаться с врачом, выполнившим процедуру, тактика терапии осложнения должна быть согласована с гематологом. </w:t>
      </w:r>
    </w:p>
    <w:p w14:paraId="29C21F3D" w14:textId="77777777" w:rsidR="005A6162" w:rsidRDefault="005A6162" w:rsidP="005A6162">
      <w:pPr>
        <w:pStyle w:val="2"/>
        <w:spacing w:before="0"/>
        <w:rPr>
          <w:rFonts w:eastAsia="Arial Unicode MS"/>
        </w:rPr>
      </w:pPr>
    </w:p>
    <w:p w14:paraId="17352F65" w14:textId="77777777" w:rsidR="005A6162" w:rsidRPr="00F30696" w:rsidRDefault="005A6162" w:rsidP="005A6162">
      <w:pPr>
        <w:rPr>
          <w:b/>
          <w:i/>
          <w:iCs/>
          <w:u w:val="single"/>
          <w:shd w:val="clear" w:color="auto" w:fill="FFFFFF"/>
        </w:rPr>
      </w:pPr>
      <w:r w:rsidRPr="00F30696">
        <w:rPr>
          <w:i/>
          <w:iCs/>
          <w:u w:val="single"/>
          <w:shd w:val="clear" w:color="auto" w:fill="FFFFFF"/>
        </w:rPr>
        <w:t>Односторонняя и двусторонняя биопсия подвздошной кости</w:t>
      </w:r>
    </w:p>
    <w:p w14:paraId="6E67ED10" w14:textId="409F36AB" w:rsidR="005A6162" w:rsidRPr="002C6FFD" w:rsidRDefault="005A6162" w:rsidP="005A6162">
      <w:pPr>
        <w:pStyle w:val="Normal11"/>
        <w:spacing w:line="360" w:lineRule="auto"/>
        <w:ind w:firstLine="699"/>
      </w:pPr>
      <w:r w:rsidRPr="002C6FFD">
        <w:t>Выполнение двусторонней биопсии подвздошной кости увеличивает вероятность выявления очаговых поражений костного мозга при подозрении на метастатическое поражение при солидных опухолях, лимфопролиферативных заболеваниях, которые при односторонней биопсии могут быть не выявлены. Выполнение билатерального биопсийного исследования костного мозга также показано для более детальной оценки клеточности и наличия фиброза стромы при диагностике апластической анемии и миелодиспластических синдромов</w:t>
      </w:r>
      <w:r>
        <w:t xml:space="preserve"> </w:t>
      </w:r>
      <w:r>
        <w:fldChar w:fldCharType="begin" w:fldLock="1"/>
      </w:r>
      <w:r w:rsidR="00934898">
        <w:instrText>ADDIN CSL_CITATION {"citationItems":[{"id":"ITEM-1","itemData":{"DOI":"10.1002/cncr.10364","ISSN":"0008543X","PMID":"11920510","abstract":"BACKGROUND. To retrospectively evaluate the significance of morphologic examination and ancillary studies performed on bilateral bone marrow biopsy specimens, 1864 bone marrow samples were studied. METHODS. Bilateral bone marrow biopsy specimens included 883 specimens that were evaluated for involvement by non-Hodgkin lymphoma (NHL); 381 specimens that were evaluated for involvement by carcinoma (CA); 362 specimens that were evaluated for involvement by Hodgkin disease (HD); 94 specimens that were evaluated for involvement by sarcoma (SA); 56 specimens that were evaluated for involvement by multiple myeloma (MM); 53 specimens that were evaluated for involvement by acute and chronic leukemia, myelodysplasia, and/or myeloproliferative disorders (LEUK); and 35 specimens that were evaluated for other reasons. RESULTS. Of all 1864 specimens, 410 samples (22.0%) were positive for disease, including 77% of MM samples, 58% of LEUK samples, 29.6% of NHL samples, 14% of SA samples, 9.9% of HD samples, and 6.8% of CA samples. A discrepancy between the left and right sides was identified in 48 specimens (11.7% of positive samples). The discrepancy rate was 39% for HD samples, 29% for SA samples, 23% for CA samples, and 9.2% for NHL samples. No morphologic discrepancies between bilateral samples were found in MM samples or LEUK samples. Bilateral flow cytometric studies (n = 113 samples) were positive in 11 samples (9.7%; all morphologically positive), with two discrepancies detected between bilateral samples. Bilateral cytogenetic studies (n = 74 samples) were positive in 5 samples (7%), and there were no discrepancies. Bilateral molecular studies (n = 16 samples)were positive in 7 samples (44%), and there were 3 discrepancies. CONCLUSIONS. Bilateral morphologic evaluation is useful in the evaluation of patients with NHL, HD, CA, and SA and is not indicated for patients with acute or chronic leukemia, myelodysplasia, MM, and other diseases. Bilateral flow cytomettic or cytogenetic studies of bone marrow did not provide additional information in this population to justify bilateral samples. The role of bilateral molecular analysis needs to be defined further, but pooled samples for molecular studies may be adequate. © 2002 American Cancer Society.","author":[{"dropping-particle":"","family":"Wang","given":"Jun","non-dropping-particle":"","parse-names":false,"suffix":""},{"dropping-particle":"","family":"Weiss","given":"Lawrence M.","non-dropping-particle":"","parse-names":false,"suffix":""},{"dropping-particle":"","family":"Chang","given":"Karen L.","non-dropping-particle":"","parse-names":false,"suffix":""},{"dropping-particle":"","family":"Slovak","given":"Marilyn L.","non-dropping-particle":"","parse-names":false,"suffix":""},{"dropping-particle":"","family":"Gaal","given":"Karl","non-dropping-particle":"","parse-names":false,"suffix":""},{"dropping-particle":"","family":"Forman","given":"Stephen J.","non-dropping-particle":"","parse-names":false,"suffix":""},{"dropping-particle":"","family":"Arber","given":"Daniel A.","non-dropping-particle":"","parse-names":false,"suffix":""}],"container-title":"Cancer","id":"ITEM-1","issue":"5","issued":{"date-parts":[["2002","3","1"]]},"page":"1522-1531","publisher":"Cancer","title":"Diagnostic utility of bilateral bone marrow examination: Significance of morphologic and ancillary technique study in malignancy","type":"article-journal","volume":"94"},"uris":["http://www.mendeley.com/documents/?uuid=a4dddfa3-ad50-3935-9640-ea89d6a1fc11"]}],"mendeley":{"formattedCitation":"[187]","plainTextFormattedCitation":"[187]","previouslyFormattedCitation":"[187]"},"properties":{"noteIndex":0},"schema":"https://github.com/citation-style-language/schema/raw/master/csl-citation.json"}</w:instrText>
      </w:r>
      <w:r>
        <w:fldChar w:fldCharType="separate"/>
      </w:r>
      <w:r w:rsidRPr="005A6162">
        <w:rPr>
          <w:noProof/>
        </w:rPr>
        <w:t>[187]</w:t>
      </w:r>
      <w:r>
        <w:fldChar w:fldCharType="end"/>
      </w:r>
      <w:r w:rsidRPr="002C6FFD">
        <w:t xml:space="preserve">. </w:t>
      </w:r>
    </w:p>
    <w:p w14:paraId="23FE6192" w14:textId="77777777" w:rsidR="005A6162" w:rsidRPr="002C6FFD" w:rsidRDefault="005A6162" w:rsidP="005A6162">
      <w:pPr>
        <w:pStyle w:val="Normal11"/>
        <w:spacing w:line="360" w:lineRule="auto"/>
        <w:ind w:firstLine="699"/>
      </w:pPr>
      <w:r w:rsidRPr="002C6FFD">
        <w:t>Выполнение одностороннего биопсийного исследования подвздошной кости считался достаточным в большинстве случаев при множественной миеломе и хронических миелопролиферативных заболеваниях.</w:t>
      </w:r>
    </w:p>
    <w:p w14:paraId="70F1E119" w14:textId="77777777" w:rsidR="005A6162" w:rsidRPr="002C6FFD" w:rsidRDefault="005A6162" w:rsidP="005A6162">
      <w:pPr>
        <w:ind w:firstLine="699"/>
        <w:rPr>
          <w:szCs w:val="24"/>
        </w:rPr>
      </w:pPr>
      <w:r w:rsidRPr="002C6FFD">
        <w:rPr>
          <w:szCs w:val="24"/>
        </w:rPr>
        <w:t xml:space="preserve">В настоящее время, с учетом применения в диагностике и стадировании лимфом позитронно-эмиссионной томографии (ПЭТ), с возможностью оценки ПЭТ-позитивного вовлечения костной ткани, указывающего на наличие поражения костного мозга, билатеральная биопсия при лимфомах, возможно, будет выполняться реже. </w:t>
      </w:r>
    </w:p>
    <w:p w14:paraId="0A556BBB" w14:textId="77777777" w:rsidR="005A6162" w:rsidRDefault="005A6162" w:rsidP="005A6162">
      <w:pPr>
        <w:pStyle w:val="2"/>
        <w:spacing w:before="0"/>
        <w:rPr>
          <w:rFonts w:eastAsia="Arial Unicode MS"/>
        </w:rPr>
      </w:pPr>
    </w:p>
    <w:p w14:paraId="0A128AED" w14:textId="77777777" w:rsidR="005A6162" w:rsidRPr="008E213C" w:rsidRDefault="005A6162" w:rsidP="005A6162">
      <w:pPr>
        <w:rPr>
          <w:b/>
          <w:i/>
          <w:iCs/>
          <w:u w:val="single"/>
          <w:shd w:val="clear" w:color="auto" w:fill="FFFFFF"/>
        </w:rPr>
      </w:pPr>
      <w:r w:rsidRPr="008E213C">
        <w:rPr>
          <w:i/>
          <w:iCs/>
          <w:u w:val="single"/>
          <w:shd w:val="clear" w:color="auto" w:fill="FFFFFF"/>
        </w:rPr>
        <w:t>Необходимая документация</w:t>
      </w:r>
    </w:p>
    <w:p w14:paraId="04685D19" w14:textId="77777777" w:rsidR="005A6162" w:rsidRPr="002C6FFD" w:rsidRDefault="005A6162" w:rsidP="005A6162">
      <w:pPr>
        <w:pStyle w:val="Normal11"/>
        <w:spacing w:line="360" w:lineRule="auto"/>
        <w:ind w:firstLine="699"/>
        <w:rPr>
          <w:color w:val="212121"/>
        </w:rPr>
      </w:pPr>
      <w:r w:rsidRPr="002C6FFD">
        <w:t>Перед началом выполнения процедуры пациенту (доверенному лицу или опекуну) врач объясняет показания для ее выполнения, ожидаемые результаты и возможные осложнения</w:t>
      </w:r>
      <w:r w:rsidRPr="002C6FFD">
        <w:rPr>
          <w:color w:val="212121"/>
        </w:rPr>
        <w:t xml:space="preserve"> и риски (включая риск инфицирования, кровотечения, болевого синдрома, образования рубцов и вероятность получения неинформативного материала)</w:t>
      </w:r>
      <w:r w:rsidRPr="002C6FFD">
        <w:t xml:space="preserve">, отвечает на возникающие у больного вопросы. После этого пациент (доверенное лицо или опекун) подписывает информированное согласие, которое прилагается к медицинской документации и протоколу выполнения процедуры. </w:t>
      </w:r>
      <w:r w:rsidRPr="002C6FFD">
        <w:rPr>
          <w:color w:val="212121"/>
        </w:rPr>
        <w:t xml:space="preserve">Факт выполнения процедуры фиксируется в процедурном журнале за подписью врача, выполнявшего процедуру с указанием даты, времени, вида и </w:t>
      </w:r>
      <w:r w:rsidRPr="002C6FFD">
        <w:t xml:space="preserve">локуса </w:t>
      </w:r>
      <w:r w:rsidRPr="002C6FFD">
        <w:rPr>
          <w:color w:val="212121"/>
        </w:rPr>
        <w:t>биопсийного исследования и возникших осложнений процедуры.</w:t>
      </w:r>
    </w:p>
    <w:p w14:paraId="32C847FF" w14:textId="77777777" w:rsidR="005A6162" w:rsidRDefault="005A6162" w:rsidP="005A6162">
      <w:pPr>
        <w:pStyle w:val="2"/>
        <w:spacing w:before="0"/>
        <w:rPr>
          <w:rFonts w:eastAsia="Arial Unicode MS"/>
        </w:rPr>
      </w:pPr>
    </w:p>
    <w:p w14:paraId="487ED927" w14:textId="01BB41BC" w:rsidR="005A6162" w:rsidRPr="008E213C" w:rsidRDefault="005A6162" w:rsidP="005A6162">
      <w:pPr>
        <w:rPr>
          <w:b/>
          <w:i/>
          <w:iCs/>
          <w:u w:val="single"/>
          <w:shd w:val="clear" w:color="auto" w:fill="FFFFFF"/>
        </w:rPr>
      </w:pPr>
      <w:r w:rsidRPr="008E213C">
        <w:rPr>
          <w:i/>
          <w:iCs/>
          <w:u w:val="single"/>
          <w:shd w:val="clear" w:color="auto" w:fill="FFFFFF"/>
        </w:rPr>
        <w:t xml:space="preserve">Техника выполнения пункции (аспирации) костного мозга из грудины (стернальной пункции) </w:t>
      </w:r>
      <w:r w:rsidRPr="008E213C">
        <w:rPr>
          <w:b/>
          <w:i/>
          <w:iCs/>
          <w:u w:val="single"/>
          <w:shd w:val="clear" w:color="auto" w:fill="FFFFFF"/>
        </w:rPr>
        <w:fldChar w:fldCharType="begin" w:fldLock="1"/>
      </w:r>
      <w:r w:rsidR="00934898">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[186]","plainTextFormattedCitation":"[186]","previouslyFormattedCitation":"[186]"},"properties":{"noteIndex":0},"schema":"https://github.com/citation-style-language/schema/raw/master/csl-citation.json"}</w:instrText>
      </w:r>
      <w:r w:rsidRPr="008E213C">
        <w:rPr>
          <w:b/>
          <w:i/>
          <w:iCs/>
          <w:u w:val="single"/>
          <w:shd w:val="clear" w:color="auto" w:fill="FFFFFF"/>
        </w:rPr>
        <w:fldChar w:fldCharType="separate"/>
      </w:r>
      <w:r w:rsidRPr="005A6162">
        <w:rPr>
          <w:iCs/>
          <w:noProof/>
          <w:shd w:val="clear" w:color="auto" w:fill="FFFFFF"/>
        </w:rPr>
        <w:t>[186]</w:t>
      </w:r>
      <w:r w:rsidRPr="008E213C">
        <w:rPr>
          <w:b/>
          <w:i/>
          <w:iCs/>
          <w:u w:val="single"/>
          <w:shd w:val="clear" w:color="auto" w:fill="FFFFFF"/>
        </w:rPr>
        <w:fldChar w:fldCharType="end"/>
      </w:r>
    </w:p>
    <w:p w14:paraId="455D8D00" w14:textId="77777777" w:rsidR="005A6162" w:rsidRPr="002C6FFD" w:rsidRDefault="005A6162" w:rsidP="0091350E">
      <w:pPr>
        <w:pStyle w:val="Number1"/>
        <w:numPr>
          <w:ilvl w:val="0"/>
          <w:numId w:val="113"/>
        </w:numPr>
        <w:overflowPunct/>
        <w:autoSpaceDE/>
        <w:autoSpaceDN/>
        <w:adjustRightInd/>
        <w:spacing w:before="0" w:line="360" w:lineRule="auto"/>
        <w:jc w:val="both"/>
        <w:textAlignment w:val="auto"/>
        <w:rPr>
          <w:spacing w:val="0"/>
        </w:rPr>
      </w:pPr>
      <w:r w:rsidRPr="002C6FFD">
        <w:rPr>
          <w:spacing w:val="0"/>
          <w:shd w:val="clear" w:color="auto" w:fill="FFFFFF"/>
        </w:rPr>
        <w:t xml:space="preserve">Врач перед началом выполнения процедуры обязательно выясняет наличие и вид аллергических реакций на лекарственные средства, включая анестетики, перечень принимаемых больным препаратов (антикоагулянты и антиагреганты), наличие сопутствующих заболеваний, остеопороза. При невозможности выполнения местной анестезии, пункция может быть выполнена как без анестезии, так и под общей анестезией. </w:t>
      </w:r>
    </w:p>
    <w:p w14:paraId="30F71F0E" w14:textId="77777777" w:rsidR="005A6162" w:rsidRPr="002C6FFD" w:rsidRDefault="005A6162" w:rsidP="0091350E">
      <w:pPr>
        <w:pStyle w:val="Number1"/>
        <w:numPr>
          <w:ilvl w:val="0"/>
          <w:numId w:val="113"/>
        </w:numPr>
        <w:overflowPunct/>
        <w:autoSpaceDE/>
        <w:autoSpaceDN/>
        <w:adjustRightInd/>
        <w:spacing w:before="0" w:line="360" w:lineRule="auto"/>
        <w:jc w:val="both"/>
        <w:textAlignment w:val="auto"/>
        <w:rPr>
          <w:spacing w:val="0"/>
        </w:rPr>
      </w:pPr>
      <w:r w:rsidRPr="002C6FFD">
        <w:rPr>
          <w:spacing w:val="0"/>
          <w:shd w:val="clear" w:color="auto" w:fill="FFFFFF"/>
        </w:rPr>
        <w:t xml:space="preserve">Тромбоцитопения не является противопоказанием для проведения пункции костного мозга, однако при наличии развернутого геморрагического синдрома желательно предварительно выполнить заместительные трансфузии тромбоконцентратов и, при необходимости, свежезамороженной плазмы и/или криопреципитата. </w:t>
      </w:r>
    </w:p>
    <w:p w14:paraId="136F1EB3" w14:textId="77777777" w:rsidR="005A6162" w:rsidRPr="002C6FFD" w:rsidRDefault="005A6162" w:rsidP="0091350E">
      <w:pPr>
        <w:pStyle w:val="Number1"/>
        <w:numPr>
          <w:ilvl w:val="0"/>
          <w:numId w:val="113"/>
        </w:numPr>
        <w:overflowPunct/>
        <w:autoSpaceDE/>
        <w:autoSpaceDN/>
        <w:adjustRightInd/>
        <w:spacing w:before="0" w:line="360" w:lineRule="auto"/>
        <w:jc w:val="both"/>
        <w:textAlignment w:val="auto"/>
        <w:rPr>
          <w:spacing w:val="0"/>
        </w:rPr>
      </w:pPr>
      <w:r w:rsidRPr="002C6FFD">
        <w:rPr>
          <w:spacing w:val="0"/>
        </w:rPr>
        <w:t xml:space="preserve">Аспирация костного мозга может выполняться из </w:t>
      </w:r>
      <w:r w:rsidRPr="002C6FFD">
        <w:rPr>
          <w:spacing w:val="0"/>
          <w:shd w:val="clear" w:color="auto" w:fill="FFFFFF"/>
        </w:rPr>
        <w:t>области рукоятки грудины или тела грудины на уровне III—IV ребра, избегая область сочленения рукоятки и тела грудины (</w:t>
      </w:r>
      <w:r w:rsidRPr="002C6FFD">
        <w:rPr>
          <w:spacing w:val="0"/>
        </w:rPr>
        <w:t>по методу Аринкина</w:t>
      </w:r>
      <w:r w:rsidRPr="002C6FFD">
        <w:rPr>
          <w:spacing w:val="0"/>
          <w:shd w:val="clear" w:color="auto" w:fill="FFFFFF"/>
        </w:rPr>
        <w:t>), или из гребня подвздошной кости</w:t>
      </w:r>
      <w:r w:rsidRPr="002C6FFD">
        <w:rPr>
          <w:spacing w:val="0"/>
        </w:rPr>
        <w:t xml:space="preserve">. </w:t>
      </w:r>
    </w:p>
    <w:p w14:paraId="28F97EDD" w14:textId="77777777" w:rsidR="005A6162" w:rsidRPr="002C6FFD" w:rsidRDefault="005A6162" w:rsidP="0091350E">
      <w:pPr>
        <w:pStyle w:val="Number1"/>
        <w:numPr>
          <w:ilvl w:val="0"/>
          <w:numId w:val="113"/>
        </w:numPr>
        <w:overflowPunct/>
        <w:autoSpaceDE/>
        <w:autoSpaceDN/>
        <w:adjustRightInd/>
        <w:spacing w:before="0" w:line="360" w:lineRule="auto"/>
        <w:jc w:val="both"/>
        <w:textAlignment w:val="auto"/>
        <w:rPr>
          <w:color w:val="212121"/>
          <w:spacing w:val="0"/>
        </w:rPr>
      </w:pPr>
      <w:r w:rsidRPr="002C6FFD">
        <w:rPr>
          <w:spacing w:val="0"/>
        </w:rPr>
        <w:t>При выполнении стернальной пункции (по методу Аринкина) больного укладывают на манипуляционный стол на спину.</w:t>
      </w:r>
      <w:r w:rsidRPr="002C6FFD">
        <w:rPr>
          <w:spacing w:val="0"/>
          <w:shd w:val="clear" w:color="auto" w:fill="FFFFFF"/>
        </w:rPr>
        <w:t xml:space="preserve"> Для облегчения выполнения процедуры можно приподнять грудную клетку, поместив под лопатки больного валик.</w:t>
      </w:r>
    </w:p>
    <w:p w14:paraId="0684A2DB" w14:textId="77777777" w:rsidR="005A6162" w:rsidRPr="002C6FFD" w:rsidRDefault="005A6162" w:rsidP="0091350E">
      <w:pPr>
        <w:pStyle w:val="Number1"/>
        <w:numPr>
          <w:ilvl w:val="0"/>
          <w:numId w:val="113"/>
        </w:numPr>
        <w:overflowPunct/>
        <w:autoSpaceDE/>
        <w:autoSpaceDN/>
        <w:adjustRightInd/>
        <w:spacing w:before="0" w:line="360" w:lineRule="auto"/>
        <w:jc w:val="both"/>
        <w:textAlignment w:val="auto"/>
        <w:rPr>
          <w:spacing w:val="0"/>
        </w:rPr>
      </w:pPr>
      <w:r w:rsidRPr="002C6FFD">
        <w:rPr>
          <w:spacing w:val="0"/>
        </w:rPr>
        <w:t xml:space="preserve">При применении инфильтрационной анестезии выполняется обезболивание кожи («лимонная корочка») с дальнейшей послойной инфильтративной анестезией вплоть до надкостницы и под надкостницу — </w:t>
      </w:r>
      <w:r w:rsidRPr="002C6FFD">
        <w:rPr>
          <w:color w:val="212121"/>
          <w:spacing w:val="0"/>
          <w:shd w:val="clear" w:color="auto" w:fill="FFFFFF"/>
        </w:rPr>
        <w:t>2,0% раствором лидокаина или 0,25—0,5% раствором новокаина</w:t>
      </w:r>
      <w:r w:rsidRPr="002C6FFD">
        <w:rPr>
          <w:spacing w:val="0"/>
        </w:rPr>
        <w:t xml:space="preserve"> (анестетик выбирается с учетом аллергологического анамнеза) 1,0—2,0 мл. Использование 10% лидокаина недопустимо для местной анестезии в виду возможности некротизирования тканей. </w:t>
      </w:r>
    </w:p>
    <w:p w14:paraId="29685260" w14:textId="77777777" w:rsidR="005A6162" w:rsidRPr="002C6FFD" w:rsidRDefault="005A6162" w:rsidP="0091350E">
      <w:pPr>
        <w:pStyle w:val="Number1"/>
        <w:numPr>
          <w:ilvl w:val="0"/>
          <w:numId w:val="113"/>
        </w:numPr>
        <w:overflowPunct/>
        <w:autoSpaceDE/>
        <w:autoSpaceDN/>
        <w:adjustRightInd/>
        <w:spacing w:before="0" w:line="360" w:lineRule="auto"/>
        <w:jc w:val="both"/>
        <w:textAlignment w:val="auto"/>
        <w:rPr>
          <w:color w:val="222222"/>
          <w:spacing w:val="0"/>
        </w:rPr>
      </w:pPr>
      <w:r w:rsidRPr="002C6FFD">
        <w:rPr>
          <w:spacing w:val="0"/>
        </w:rPr>
        <w:t xml:space="preserve">Пункция костного мозга выполняется иглой Кассирского или иглой сходной с ней конструкции. </w:t>
      </w:r>
    </w:p>
    <w:p w14:paraId="222CE3CD" w14:textId="77777777" w:rsidR="005A6162" w:rsidRPr="002C6FFD" w:rsidRDefault="005A6162" w:rsidP="0091350E">
      <w:pPr>
        <w:pStyle w:val="Number1"/>
        <w:numPr>
          <w:ilvl w:val="0"/>
          <w:numId w:val="113"/>
        </w:numPr>
        <w:overflowPunct/>
        <w:autoSpaceDE/>
        <w:autoSpaceDN/>
        <w:adjustRightInd/>
        <w:spacing w:before="0" w:line="360" w:lineRule="auto"/>
        <w:jc w:val="both"/>
        <w:textAlignment w:val="auto"/>
        <w:rPr>
          <w:color w:val="222222"/>
          <w:spacing w:val="0"/>
        </w:rPr>
      </w:pPr>
      <w:r w:rsidRPr="002C6FFD">
        <w:rPr>
          <w:spacing w:val="0"/>
        </w:rPr>
        <w:t xml:space="preserve">Ограничитель </w:t>
      </w:r>
      <w:r w:rsidRPr="002C6FFD">
        <w:rPr>
          <w:color w:val="222222"/>
          <w:spacing w:val="0"/>
        </w:rPr>
        <w:t xml:space="preserve">устанавливается с учетом </w:t>
      </w:r>
      <w:r w:rsidRPr="002C6FFD">
        <w:rPr>
          <w:spacing w:val="0"/>
        </w:rPr>
        <w:t xml:space="preserve">возраста, выраженности подкожно-жировой клетчатки пациента из расчета, </w:t>
      </w:r>
      <w:r w:rsidRPr="002C6FFD">
        <w:rPr>
          <w:color w:val="222222"/>
          <w:spacing w:val="0"/>
        </w:rPr>
        <w:t>чтобы игла, пройдя мягкие ткани, продвинулась на 5 мм</w:t>
      </w:r>
      <w:r w:rsidRPr="002C6FFD">
        <w:rPr>
          <w:spacing w:val="0"/>
        </w:rPr>
        <w:t xml:space="preserve">. </w:t>
      </w:r>
      <w:r w:rsidRPr="002C6FFD">
        <w:rPr>
          <w:color w:val="222222"/>
          <w:spacing w:val="0"/>
        </w:rPr>
        <w:t xml:space="preserve">При этом конец иглы, проколов наружную пластинку грудины, окажется в полости грудины. </w:t>
      </w:r>
    </w:p>
    <w:p w14:paraId="2F2BE86B" w14:textId="77777777" w:rsidR="005A6162" w:rsidRPr="002C6FFD" w:rsidRDefault="005A6162" w:rsidP="0091350E">
      <w:pPr>
        <w:pStyle w:val="Number1"/>
        <w:numPr>
          <w:ilvl w:val="0"/>
          <w:numId w:val="113"/>
        </w:numPr>
        <w:overflowPunct/>
        <w:autoSpaceDE/>
        <w:autoSpaceDN/>
        <w:adjustRightInd/>
        <w:spacing w:before="0" w:line="360" w:lineRule="auto"/>
        <w:jc w:val="both"/>
        <w:textAlignment w:val="auto"/>
        <w:rPr>
          <w:color w:val="222222"/>
          <w:spacing w:val="0"/>
        </w:rPr>
      </w:pPr>
      <w:r w:rsidRPr="002C6FFD">
        <w:rPr>
          <w:spacing w:val="0"/>
          <w:shd w:val="clear" w:color="auto" w:fill="FFFFFF"/>
        </w:rPr>
        <w:t xml:space="preserve">Игла направляется перпендикулярно поверхности кости и вкалывается быстрым и четким движением на уровне одного из межреберий (I—III). </w:t>
      </w:r>
      <w:r w:rsidRPr="002C6FFD">
        <w:rPr>
          <w:color w:val="222222"/>
          <w:spacing w:val="0"/>
        </w:rPr>
        <w:t>Это момент ощущается врачом как «провал».</w:t>
      </w:r>
    </w:p>
    <w:p w14:paraId="42802C82" w14:textId="77777777" w:rsidR="005A6162" w:rsidRPr="002C6FFD" w:rsidRDefault="005A6162" w:rsidP="0091350E">
      <w:pPr>
        <w:pStyle w:val="Number1"/>
        <w:numPr>
          <w:ilvl w:val="0"/>
          <w:numId w:val="113"/>
        </w:numPr>
        <w:overflowPunct/>
        <w:autoSpaceDE/>
        <w:autoSpaceDN/>
        <w:adjustRightInd/>
        <w:spacing w:before="0" w:line="360" w:lineRule="auto"/>
        <w:jc w:val="both"/>
        <w:textAlignment w:val="auto"/>
        <w:rPr>
          <w:color w:val="222222"/>
          <w:spacing w:val="0"/>
        </w:rPr>
      </w:pPr>
      <w:r w:rsidRPr="002C6FFD">
        <w:rPr>
          <w:spacing w:val="0"/>
          <w:shd w:val="clear" w:color="auto" w:fill="FFFFFF"/>
        </w:rPr>
        <w:t xml:space="preserve">Игла должна быть неподвижно фиксирована в грудине. </w:t>
      </w:r>
    </w:p>
    <w:p w14:paraId="4A3856AF" w14:textId="77777777" w:rsidR="005A6162" w:rsidRPr="002C6FFD" w:rsidRDefault="005A6162" w:rsidP="0091350E">
      <w:pPr>
        <w:pStyle w:val="Number1"/>
        <w:numPr>
          <w:ilvl w:val="0"/>
          <w:numId w:val="113"/>
        </w:numPr>
        <w:overflowPunct/>
        <w:autoSpaceDE/>
        <w:autoSpaceDN/>
        <w:adjustRightInd/>
        <w:spacing w:before="0" w:line="360" w:lineRule="auto"/>
        <w:jc w:val="both"/>
        <w:textAlignment w:val="auto"/>
        <w:rPr>
          <w:color w:val="222222"/>
          <w:spacing w:val="0"/>
        </w:rPr>
      </w:pPr>
      <w:r w:rsidRPr="002C6FFD">
        <w:rPr>
          <w:color w:val="222222"/>
          <w:spacing w:val="0"/>
        </w:rPr>
        <w:t xml:space="preserve">После извлечения мандрена к игле присоединяют шприц и производят аспирацию костного мозга. </w:t>
      </w:r>
    </w:p>
    <w:p w14:paraId="6E626125" w14:textId="77777777" w:rsidR="005A6162" w:rsidRPr="002C6FFD" w:rsidRDefault="005A6162" w:rsidP="0091350E">
      <w:pPr>
        <w:pStyle w:val="Number1"/>
        <w:numPr>
          <w:ilvl w:val="0"/>
          <w:numId w:val="113"/>
        </w:numPr>
        <w:overflowPunct/>
        <w:autoSpaceDE/>
        <w:autoSpaceDN/>
        <w:adjustRightInd/>
        <w:spacing w:before="0" w:line="360" w:lineRule="auto"/>
        <w:jc w:val="both"/>
        <w:textAlignment w:val="auto"/>
        <w:rPr>
          <w:color w:val="222222"/>
          <w:spacing w:val="0"/>
        </w:rPr>
      </w:pPr>
      <w:r w:rsidRPr="002C6FFD">
        <w:rPr>
          <w:color w:val="222222"/>
          <w:spacing w:val="0"/>
        </w:rPr>
        <w:t>Из полученного пунктата готовят мазки и направляют материал на различные исследования.</w:t>
      </w:r>
    </w:p>
    <w:p w14:paraId="4F35C605" w14:textId="77777777" w:rsidR="005A6162" w:rsidRDefault="005A6162" w:rsidP="0091350E">
      <w:pPr>
        <w:pStyle w:val="Number1"/>
        <w:numPr>
          <w:ilvl w:val="0"/>
          <w:numId w:val="113"/>
        </w:numPr>
        <w:overflowPunct/>
        <w:autoSpaceDE/>
        <w:autoSpaceDN/>
        <w:adjustRightInd/>
        <w:spacing w:before="0" w:line="360" w:lineRule="auto"/>
        <w:jc w:val="both"/>
        <w:textAlignment w:val="auto"/>
        <w:rPr>
          <w:color w:val="222222"/>
          <w:spacing w:val="0"/>
        </w:rPr>
      </w:pPr>
      <w:r w:rsidRPr="002C6FFD">
        <w:rPr>
          <w:color w:val="222222"/>
          <w:spacing w:val="0"/>
        </w:rPr>
        <w:t>Первые 0,5 мл костномозговой взвеси используют для приготовления мазков, которые направляются на:</w:t>
      </w:r>
    </w:p>
    <w:p w14:paraId="5CFA9823" w14:textId="77777777" w:rsidR="005A6162" w:rsidRPr="002C6FFD" w:rsidRDefault="005A6162" w:rsidP="0091350E">
      <w:pPr>
        <w:pStyle w:val="Number1"/>
        <w:numPr>
          <w:ilvl w:val="1"/>
          <w:numId w:val="113"/>
        </w:numPr>
        <w:overflowPunct/>
        <w:autoSpaceDE/>
        <w:autoSpaceDN/>
        <w:adjustRightInd/>
        <w:spacing w:before="0" w:line="360" w:lineRule="auto"/>
        <w:jc w:val="both"/>
        <w:textAlignment w:val="auto"/>
        <w:rPr>
          <w:color w:val="222222"/>
          <w:spacing w:val="0"/>
        </w:rPr>
      </w:pPr>
      <w:r w:rsidRPr="002C6FFD">
        <w:rPr>
          <w:spacing w:val="0"/>
        </w:rPr>
        <w:t>цитологическое исследование;</w:t>
      </w:r>
    </w:p>
    <w:p w14:paraId="14AB6D41" w14:textId="77777777" w:rsidR="005A6162" w:rsidRDefault="005A6162" w:rsidP="0091350E">
      <w:pPr>
        <w:pStyle w:val="Number1"/>
        <w:numPr>
          <w:ilvl w:val="1"/>
          <w:numId w:val="113"/>
        </w:numPr>
        <w:overflowPunct/>
        <w:autoSpaceDE/>
        <w:autoSpaceDN/>
        <w:adjustRightInd/>
        <w:spacing w:before="0" w:line="360" w:lineRule="auto"/>
        <w:jc w:val="both"/>
        <w:textAlignment w:val="auto"/>
        <w:rPr>
          <w:color w:val="222222"/>
          <w:spacing w:val="0"/>
        </w:rPr>
      </w:pPr>
      <w:r w:rsidRPr="002C6FFD">
        <w:rPr>
          <w:spacing w:val="0"/>
        </w:rPr>
        <w:t>цитохимическое исследование.</w:t>
      </w:r>
    </w:p>
    <w:p w14:paraId="0F8B17BB" w14:textId="77777777" w:rsidR="005A6162" w:rsidRPr="002C6FFD" w:rsidRDefault="005A6162" w:rsidP="0091350E">
      <w:pPr>
        <w:pStyle w:val="Number1"/>
        <w:numPr>
          <w:ilvl w:val="0"/>
          <w:numId w:val="113"/>
        </w:numPr>
        <w:overflowPunct/>
        <w:autoSpaceDE/>
        <w:autoSpaceDN/>
        <w:adjustRightInd/>
        <w:spacing w:before="0" w:line="360" w:lineRule="auto"/>
        <w:jc w:val="both"/>
        <w:textAlignment w:val="auto"/>
        <w:rPr>
          <w:color w:val="222222"/>
          <w:spacing w:val="0"/>
        </w:rPr>
      </w:pPr>
      <w:r w:rsidRPr="002C6FFD">
        <w:rPr>
          <w:spacing w:val="0"/>
        </w:rPr>
        <w:t>При необходимости остальную костномозговую взвесь помещают</w:t>
      </w:r>
      <w:r>
        <w:rPr>
          <w:spacing w:val="0"/>
        </w:rPr>
        <w:t>:</w:t>
      </w:r>
      <w:r w:rsidRPr="002C6FFD">
        <w:rPr>
          <w:spacing w:val="0"/>
        </w:rPr>
        <w:t xml:space="preserve"> </w:t>
      </w:r>
    </w:p>
    <w:p w14:paraId="661A0E7D" w14:textId="77777777" w:rsidR="005A6162" w:rsidRPr="002C6FFD" w:rsidRDefault="005A6162" w:rsidP="0091350E">
      <w:pPr>
        <w:pStyle w:val="Number1"/>
        <w:numPr>
          <w:ilvl w:val="1"/>
          <w:numId w:val="113"/>
        </w:numPr>
        <w:overflowPunct/>
        <w:autoSpaceDE/>
        <w:autoSpaceDN/>
        <w:adjustRightInd/>
        <w:spacing w:before="0" w:line="360" w:lineRule="auto"/>
        <w:jc w:val="both"/>
        <w:textAlignment w:val="auto"/>
        <w:rPr>
          <w:color w:val="222222"/>
          <w:spacing w:val="0"/>
        </w:rPr>
      </w:pPr>
      <w:r w:rsidRPr="002C6FFD">
        <w:rPr>
          <w:spacing w:val="0"/>
        </w:rPr>
        <w:t>в пробирки с консервантом ЭДТА для проведения исследований:</w:t>
      </w:r>
    </w:p>
    <w:p w14:paraId="10AABC09" w14:textId="77777777" w:rsidR="005A6162" w:rsidRPr="002C6FFD" w:rsidRDefault="005A6162" w:rsidP="0091350E">
      <w:pPr>
        <w:pStyle w:val="Number1"/>
        <w:numPr>
          <w:ilvl w:val="2"/>
          <w:numId w:val="113"/>
        </w:numPr>
        <w:overflowPunct/>
        <w:autoSpaceDE/>
        <w:autoSpaceDN/>
        <w:adjustRightInd/>
        <w:spacing w:before="0" w:line="360" w:lineRule="auto"/>
        <w:jc w:val="both"/>
        <w:textAlignment w:val="auto"/>
        <w:rPr>
          <w:color w:val="222222"/>
          <w:spacing w:val="0"/>
        </w:rPr>
      </w:pPr>
      <w:r w:rsidRPr="002C6FFD">
        <w:rPr>
          <w:spacing w:val="0"/>
        </w:rPr>
        <w:t>иммунофенотипическое исследование;</w:t>
      </w:r>
    </w:p>
    <w:p w14:paraId="00FC6AF5" w14:textId="77777777" w:rsidR="005A6162" w:rsidRDefault="005A6162" w:rsidP="0091350E">
      <w:pPr>
        <w:pStyle w:val="Number1"/>
        <w:numPr>
          <w:ilvl w:val="2"/>
          <w:numId w:val="113"/>
        </w:numPr>
        <w:overflowPunct/>
        <w:autoSpaceDE/>
        <w:autoSpaceDN/>
        <w:adjustRightInd/>
        <w:spacing w:before="0" w:line="360" w:lineRule="auto"/>
        <w:jc w:val="both"/>
        <w:textAlignment w:val="auto"/>
        <w:rPr>
          <w:color w:val="222222"/>
          <w:spacing w:val="0"/>
        </w:rPr>
      </w:pPr>
      <w:r w:rsidRPr="002C6FFD">
        <w:rPr>
          <w:spacing w:val="0"/>
        </w:rPr>
        <w:t>молекулярное исследование (методом ПЦР).</w:t>
      </w:r>
    </w:p>
    <w:p w14:paraId="6E9FE9A1" w14:textId="77777777" w:rsidR="005A6162" w:rsidRPr="002C6FFD" w:rsidRDefault="005A6162" w:rsidP="0091350E">
      <w:pPr>
        <w:pStyle w:val="Number1"/>
        <w:numPr>
          <w:ilvl w:val="1"/>
          <w:numId w:val="113"/>
        </w:numPr>
        <w:overflowPunct/>
        <w:autoSpaceDE/>
        <w:autoSpaceDN/>
        <w:adjustRightInd/>
        <w:spacing w:before="0" w:line="360" w:lineRule="auto"/>
        <w:jc w:val="both"/>
        <w:textAlignment w:val="auto"/>
        <w:rPr>
          <w:color w:val="222222"/>
          <w:spacing w:val="0"/>
        </w:rPr>
      </w:pPr>
      <w:r w:rsidRPr="002C6FFD">
        <w:rPr>
          <w:spacing w:val="0"/>
        </w:rPr>
        <w:t>в пробирки с литиевой солью гепарина для цитогенетического (кариологического) исследования.</w:t>
      </w:r>
    </w:p>
    <w:p w14:paraId="07D2C146" w14:textId="77777777" w:rsidR="005A6162" w:rsidRPr="002C6FFD" w:rsidRDefault="005A6162" w:rsidP="0091350E">
      <w:pPr>
        <w:pStyle w:val="Number1"/>
        <w:numPr>
          <w:ilvl w:val="0"/>
          <w:numId w:val="113"/>
        </w:numPr>
        <w:overflowPunct/>
        <w:autoSpaceDE/>
        <w:autoSpaceDN/>
        <w:adjustRightInd/>
        <w:spacing w:before="0" w:line="360" w:lineRule="auto"/>
        <w:jc w:val="both"/>
        <w:textAlignment w:val="auto"/>
        <w:rPr>
          <w:spacing w:val="0"/>
        </w:rPr>
      </w:pPr>
      <w:r w:rsidRPr="002C6FFD">
        <w:rPr>
          <w:spacing w:val="0"/>
        </w:rPr>
        <w:t>После окончания процедуры аспирации иглу извлекают из грудины и на место пункции накладывают асептическую повязку.</w:t>
      </w:r>
    </w:p>
    <w:p w14:paraId="3B4D5C24" w14:textId="77777777" w:rsidR="005A6162" w:rsidRPr="002C6FFD" w:rsidRDefault="005A6162" w:rsidP="0091350E">
      <w:pPr>
        <w:pStyle w:val="Number1"/>
        <w:numPr>
          <w:ilvl w:val="0"/>
          <w:numId w:val="113"/>
        </w:numPr>
        <w:overflowPunct/>
        <w:autoSpaceDE/>
        <w:autoSpaceDN/>
        <w:adjustRightInd/>
        <w:spacing w:before="0" w:line="360" w:lineRule="auto"/>
        <w:jc w:val="both"/>
        <w:textAlignment w:val="auto"/>
        <w:rPr>
          <w:spacing w:val="0"/>
        </w:rPr>
      </w:pPr>
      <w:r w:rsidRPr="002C6FFD">
        <w:rPr>
          <w:spacing w:val="0"/>
        </w:rPr>
        <w:t xml:space="preserve">Возможно приготовление гистологического препарата из аспирата костного мозга («крошка») – это так называемый clot (сверток, сгусток) аспирата, содержащий частицы костного мозга. Сформировавшийся сгусток помещают в 10% раствор формалина и направляют на гистологическое исследование, которое может быть выполнено в более короткие сроки, чем исследование трепанобиоптата, поскольку не требует выполнения декальцинации кости. </w:t>
      </w:r>
    </w:p>
    <w:p w14:paraId="21D4B662" w14:textId="77777777" w:rsidR="005A6162" w:rsidRDefault="005A6162" w:rsidP="005A6162">
      <w:pPr>
        <w:pStyle w:val="2"/>
        <w:spacing w:before="0"/>
        <w:rPr>
          <w:rFonts w:eastAsia="Arial Unicode MS"/>
        </w:rPr>
      </w:pPr>
    </w:p>
    <w:p w14:paraId="78659741" w14:textId="6702FBD3" w:rsidR="005A6162" w:rsidRPr="008E213C" w:rsidRDefault="005A6162" w:rsidP="005A6162">
      <w:pPr>
        <w:rPr>
          <w:b/>
          <w:i/>
          <w:iCs/>
          <w:u w:val="single"/>
          <w:shd w:val="clear" w:color="auto" w:fill="FFFFFF"/>
        </w:rPr>
      </w:pPr>
      <w:r w:rsidRPr="008E213C">
        <w:rPr>
          <w:i/>
          <w:iCs/>
          <w:u w:val="single"/>
          <w:shd w:val="clear" w:color="auto" w:fill="FFFFFF"/>
        </w:rPr>
        <w:t xml:space="preserve">Техника выполнения процедуры трепанобиопсии костного мозга </w:t>
      </w:r>
      <w:r w:rsidRPr="008E213C">
        <w:rPr>
          <w:b/>
          <w:i/>
          <w:iCs/>
          <w:u w:val="single"/>
          <w:shd w:val="clear" w:color="auto" w:fill="FFFFFF"/>
        </w:rPr>
        <w:fldChar w:fldCharType="begin" w:fldLock="1"/>
      </w:r>
      <w:r w:rsidR="00934898">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[186]","plainTextFormattedCitation":"[186]","previouslyFormattedCitation":"[186]"},"properties":{"noteIndex":0},"schema":"https://github.com/citation-style-language/schema/raw/master/csl-citation.json"}</w:instrText>
      </w:r>
      <w:r w:rsidRPr="008E213C">
        <w:rPr>
          <w:b/>
          <w:i/>
          <w:iCs/>
          <w:u w:val="single"/>
          <w:shd w:val="clear" w:color="auto" w:fill="FFFFFF"/>
        </w:rPr>
        <w:fldChar w:fldCharType="separate"/>
      </w:r>
      <w:r w:rsidRPr="005A6162">
        <w:rPr>
          <w:iCs/>
          <w:noProof/>
          <w:shd w:val="clear" w:color="auto" w:fill="FFFFFF"/>
        </w:rPr>
        <w:t>[186]</w:t>
      </w:r>
      <w:r w:rsidRPr="008E213C">
        <w:rPr>
          <w:b/>
          <w:i/>
          <w:iCs/>
          <w:u w:val="single"/>
          <w:shd w:val="clear" w:color="auto" w:fill="FFFFFF"/>
        </w:rPr>
        <w:fldChar w:fldCharType="end"/>
      </w:r>
    </w:p>
    <w:p w14:paraId="6C6887A8" w14:textId="77777777" w:rsidR="005A6162" w:rsidRPr="002C6FFD" w:rsidRDefault="005A6162" w:rsidP="0091350E">
      <w:pPr>
        <w:pStyle w:val="Number1"/>
        <w:numPr>
          <w:ilvl w:val="0"/>
          <w:numId w:val="114"/>
        </w:numPr>
        <w:overflowPunct/>
        <w:autoSpaceDE/>
        <w:autoSpaceDN/>
        <w:adjustRightInd/>
        <w:spacing w:before="0" w:line="360" w:lineRule="auto"/>
        <w:jc w:val="both"/>
        <w:textAlignment w:val="auto"/>
        <w:rPr>
          <w:spacing w:val="0"/>
        </w:rPr>
      </w:pPr>
      <w:r w:rsidRPr="002C6FFD">
        <w:rPr>
          <w:spacing w:val="0"/>
        </w:rPr>
        <w:t xml:space="preserve">Во время проведения процедуры врач должен комментировать все свои действия и предупреждать пациента обо всех ощущениях, которые могут ее сопровождать. </w:t>
      </w:r>
    </w:p>
    <w:p w14:paraId="0129195E" w14:textId="77777777" w:rsidR="005A6162" w:rsidRPr="002C6FFD" w:rsidRDefault="005A6162" w:rsidP="0091350E">
      <w:pPr>
        <w:pStyle w:val="Number1"/>
        <w:numPr>
          <w:ilvl w:val="0"/>
          <w:numId w:val="114"/>
        </w:numPr>
        <w:overflowPunct/>
        <w:autoSpaceDE/>
        <w:autoSpaceDN/>
        <w:adjustRightInd/>
        <w:spacing w:before="0" w:line="360" w:lineRule="auto"/>
        <w:jc w:val="both"/>
        <w:textAlignment w:val="auto"/>
        <w:rPr>
          <w:spacing w:val="0"/>
        </w:rPr>
      </w:pPr>
      <w:r w:rsidRPr="002C6FFD">
        <w:rPr>
          <w:color w:val="252525"/>
          <w:spacing w:val="0"/>
          <w:shd w:val="clear" w:color="auto" w:fill="FFFFFF"/>
        </w:rPr>
        <w:t>Врач перед началом выполнения процедуры обязательно выясняет наличие и вид аллергических реакций на лекарственные средства, включая анестетики, перечень принимаемых препаратов (антикоагулянты и антиагреганты), наличие сопутствующих заболеваний, остеопороза. При невозможности выполнения местной анестезии, трепанобиопсия может быть выполнена под общей анестезией.</w:t>
      </w:r>
    </w:p>
    <w:p w14:paraId="20BEDCD4" w14:textId="77777777" w:rsidR="005A6162" w:rsidRPr="002C6FFD" w:rsidRDefault="005A6162" w:rsidP="0091350E">
      <w:pPr>
        <w:pStyle w:val="Number1"/>
        <w:numPr>
          <w:ilvl w:val="0"/>
          <w:numId w:val="114"/>
        </w:numPr>
        <w:overflowPunct/>
        <w:autoSpaceDE/>
        <w:autoSpaceDN/>
        <w:adjustRightInd/>
        <w:spacing w:before="0" w:line="360" w:lineRule="auto"/>
        <w:jc w:val="both"/>
        <w:textAlignment w:val="auto"/>
        <w:rPr>
          <w:spacing w:val="0"/>
        </w:rPr>
      </w:pPr>
      <w:r w:rsidRPr="002C6FFD">
        <w:rPr>
          <w:color w:val="252525"/>
          <w:spacing w:val="0"/>
          <w:shd w:val="clear" w:color="auto" w:fill="FFFFFF"/>
        </w:rPr>
        <w:t xml:space="preserve">При наличии тромбоцитопении, коагулологических нарушений и геморрагического синдрома перед началом процедуры необходимо выполнить трансфузии тромбоконцентратов и скорректировать коагулологические нарушения трансфузиями СЗП и/или криопреципитата. </w:t>
      </w:r>
    </w:p>
    <w:p w14:paraId="552A74E7" w14:textId="77777777" w:rsidR="005A6162" w:rsidRPr="002C6FFD" w:rsidRDefault="005A6162" w:rsidP="0091350E">
      <w:pPr>
        <w:pStyle w:val="Number1"/>
        <w:numPr>
          <w:ilvl w:val="0"/>
          <w:numId w:val="114"/>
        </w:numPr>
        <w:overflowPunct/>
        <w:autoSpaceDE/>
        <w:autoSpaceDN/>
        <w:adjustRightInd/>
        <w:spacing w:before="0" w:line="360" w:lineRule="auto"/>
        <w:jc w:val="both"/>
        <w:textAlignment w:val="auto"/>
        <w:rPr>
          <w:spacing w:val="0"/>
        </w:rPr>
      </w:pPr>
      <w:r w:rsidRPr="002C6FFD">
        <w:rPr>
          <w:color w:val="212121"/>
          <w:spacing w:val="0"/>
        </w:rPr>
        <w:t xml:space="preserve">Трепанобиопсия костного мозга </w:t>
      </w:r>
      <w:r w:rsidRPr="002C6FFD">
        <w:rPr>
          <w:spacing w:val="0"/>
        </w:rPr>
        <w:t xml:space="preserve">выполняется иглой Jamshidi — цилиндрической иглой длиной не более 15 см, дистальная часть которой имеет коническое сужение наружного контура и внутренней полости. Игла заканчивается остро заточенным срезом. Внутрь иглы помещается стилет-обтуратор, имеющий срез, плоскость которого совпадает со срезом иглы Jamshidi. </w:t>
      </w:r>
    </w:p>
    <w:p w14:paraId="58D396A0" w14:textId="77777777" w:rsidR="005A6162" w:rsidRPr="002C6FFD" w:rsidRDefault="005A6162" w:rsidP="0091350E">
      <w:pPr>
        <w:pStyle w:val="Number1"/>
        <w:numPr>
          <w:ilvl w:val="0"/>
          <w:numId w:val="114"/>
        </w:numPr>
        <w:overflowPunct/>
        <w:autoSpaceDE/>
        <w:autoSpaceDN/>
        <w:adjustRightInd/>
        <w:spacing w:before="0" w:line="360" w:lineRule="auto"/>
        <w:jc w:val="both"/>
        <w:textAlignment w:val="auto"/>
        <w:rPr>
          <w:spacing w:val="0"/>
        </w:rPr>
      </w:pPr>
      <w:r w:rsidRPr="002C6FFD">
        <w:rPr>
          <w:spacing w:val="0"/>
        </w:rPr>
        <w:t>Трепанобиопсию проводят в области задней верхней ости правой и/или левой подвздошных костей (spina iliaca posterior superior). В особых случаях (см. ниже) — в области передней верхней ости правой и/или левой подвздошных костей.</w:t>
      </w:r>
    </w:p>
    <w:p w14:paraId="48464C0B" w14:textId="77777777" w:rsidR="005A6162" w:rsidRDefault="005A6162" w:rsidP="0091350E">
      <w:pPr>
        <w:pStyle w:val="Number1"/>
        <w:numPr>
          <w:ilvl w:val="0"/>
          <w:numId w:val="114"/>
        </w:numPr>
        <w:overflowPunct/>
        <w:autoSpaceDE/>
        <w:autoSpaceDN/>
        <w:adjustRightInd/>
        <w:spacing w:before="0" w:line="360" w:lineRule="auto"/>
        <w:jc w:val="both"/>
        <w:textAlignment w:val="auto"/>
        <w:rPr>
          <w:spacing w:val="0"/>
        </w:rPr>
      </w:pPr>
      <w:r w:rsidRPr="002C6FFD">
        <w:rPr>
          <w:spacing w:val="0"/>
        </w:rPr>
        <w:t xml:space="preserve">Пациента располагают в одном из положений: </w:t>
      </w:r>
    </w:p>
    <w:p w14:paraId="4BE02C9E" w14:textId="77777777" w:rsidR="005A6162" w:rsidRDefault="005A6162" w:rsidP="0091350E">
      <w:pPr>
        <w:pStyle w:val="Number1"/>
        <w:numPr>
          <w:ilvl w:val="1"/>
          <w:numId w:val="114"/>
        </w:numPr>
        <w:overflowPunct/>
        <w:autoSpaceDE/>
        <w:autoSpaceDN/>
        <w:adjustRightInd/>
        <w:spacing w:before="0" w:line="360" w:lineRule="auto"/>
        <w:jc w:val="both"/>
        <w:textAlignment w:val="auto"/>
        <w:rPr>
          <w:spacing w:val="0"/>
        </w:rPr>
      </w:pPr>
      <w:r w:rsidRPr="002C6FFD">
        <w:rPr>
          <w:spacing w:val="0"/>
        </w:rPr>
        <w:t xml:space="preserve">лежа на животе; </w:t>
      </w:r>
    </w:p>
    <w:p w14:paraId="721C9571" w14:textId="77777777" w:rsidR="005A6162" w:rsidRDefault="005A6162" w:rsidP="0091350E">
      <w:pPr>
        <w:pStyle w:val="Number1"/>
        <w:numPr>
          <w:ilvl w:val="1"/>
          <w:numId w:val="114"/>
        </w:numPr>
        <w:overflowPunct/>
        <w:autoSpaceDE/>
        <w:autoSpaceDN/>
        <w:adjustRightInd/>
        <w:spacing w:before="0" w:line="360" w:lineRule="auto"/>
        <w:jc w:val="both"/>
        <w:textAlignment w:val="auto"/>
        <w:rPr>
          <w:spacing w:val="0"/>
        </w:rPr>
      </w:pPr>
      <w:r w:rsidRPr="002C6FFD">
        <w:rPr>
          <w:spacing w:val="0"/>
        </w:rPr>
        <w:t xml:space="preserve">сидя спиной к врачу, туловище несколько приведено к бедрам, для упора на колени можно положить подушку, ноги пациента стоят на скамейке; </w:t>
      </w:r>
    </w:p>
    <w:p w14:paraId="4D9E0D68" w14:textId="77777777" w:rsidR="005A6162" w:rsidRDefault="005A6162" w:rsidP="0091350E">
      <w:pPr>
        <w:pStyle w:val="Number1"/>
        <w:numPr>
          <w:ilvl w:val="1"/>
          <w:numId w:val="114"/>
        </w:numPr>
        <w:overflowPunct/>
        <w:autoSpaceDE/>
        <w:autoSpaceDN/>
        <w:adjustRightInd/>
        <w:spacing w:before="0" w:line="360" w:lineRule="auto"/>
        <w:jc w:val="both"/>
        <w:textAlignment w:val="auto"/>
        <w:rPr>
          <w:spacing w:val="0"/>
        </w:rPr>
      </w:pPr>
      <w:r w:rsidRPr="002C6FFD">
        <w:rPr>
          <w:spacing w:val="0"/>
        </w:rPr>
        <w:t>лежа на боку, ноги согнуты в коленях и приведены к груди, спина несколько согнута</w:t>
      </w:r>
      <w:r>
        <w:rPr>
          <w:spacing w:val="0"/>
        </w:rPr>
        <w:t>;</w:t>
      </w:r>
    </w:p>
    <w:p w14:paraId="43752446" w14:textId="77777777" w:rsidR="005A6162" w:rsidRPr="002C6FFD" w:rsidRDefault="005A6162" w:rsidP="0091350E">
      <w:pPr>
        <w:pStyle w:val="Number1"/>
        <w:numPr>
          <w:ilvl w:val="1"/>
          <w:numId w:val="114"/>
        </w:numPr>
        <w:overflowPunct/>
        <w:autoSpaceDE/>
        <w:autoSpaceDN/>
        <w:adjustRightInd/>
        <w:spacing w:before="0" w:line="360" w:lineRule="auto"/>
        <w:jc w:val="both"/>
        <w:textAlignment w:val="auto"/>
        <w:rPr>
          <w:spacing w:val="0"/>
        </w:rPr>
      </w:pPr>
      <w:r w:rsidRPr="002C6FFD">
        <w:rPr>
          <w:spacing w:val="0"/>
        </w:rPr>
        <w:t xml:space="preserve">в исключительных случаях (крайне тяжелое состояние пациента, искусственная вентиляция легких, поздние сроки беременности, ожирение и др.), когда ни одно из этих положений невозможно, манипуляцию выполняют в положении лежа на спине и трепанобиопсию проводят в переднюю верхнюю ость подвздошной кости. </w:t>
      </w:r>
    </w:p>
    <w:p w14:paraId="7FFD74EE" w14:textId="77777777" w:rsidR="005A6162" w:rsidRPr="002C6FFD" w:rsidRDefault="005A6162" w:rsidP="0091350E">
      <w:pPr>
        <w:pStyle w:val="Number1"/>
        <w:numPr>
          <w:ilvl w:val="0"/>
          <w:numId w:val="114"/>
        </w:numPr>
        <w:overflowPunct/>
        <w:autoSpaceDE/>
        <w:autoSpaceDN/>
        <w:adjustRightInd/>
        <w:spacing w:before="0" w:line="360" w:lineRule="auto"/>
        <w:jc w:val="both"/>
        <w:textAlignment w:val="auto"/>
        <w:rPr>
          <w:spacing w:val="0"/>
        </w:rPr>
      </w:pPr>
      <w:r w:rsidRPr="002C6FFD">
        <w:rPr>
          <w:spacing w:val="0"/>
        </w:rPr>
        <w:t xml:space="preserve">Чаще всего при выполнении трепанобиопсии пациент находится в сознании. </w:t>
      </w:r>
      <w:r w:rsidRPr="002C6FFD">
        <w:rPr>
          <w:spacing w:val="0"/>
          <w:shd w:val="clear" w:color="auto" w:fill="FFFFFF"/>
        </w:rPr>
        <w:t xml:space="preserve">При невозможности выполнения местной анестезии пункция может быть выполнена под общей анестезией. </w:t>
      </w:r>
      <w:r w:rsidRPr="002C6FFD">
        <w:rPr>
          <w:spacing w:val="0"/>
        </w:rPr>
        <w:t xml:space="preserve">В педиатрической практике манипуляцию проводят под наркозом. </w:t>
      </w:r>
    </w:p>
    <w:p w14:paraId="397BD70E" w14:textId="77777777" w:rsidR="005A6162" w:rsidRPr="002C6FFD" w:rsidRDefault="005A6162" w:rsidP="0091350E">
      <w:pPr>
        <w:pStyle w:val="Number1"/>
        <w:numPr>
          <w:ilvl w:val="0"/>
          <w:numId w:val="114"/>
        </w:numPr>
        <w:overflowPunct/>
        <w:autoSpaceDE/>
        <w:autoSpaceDN/>
        <w:adjustRightInd/>
        <w:spacing w:before="0" w:line="360" w:lineRule="auto"/>
        <w:jc w:val="both"/>
        <w:textAlignment w:val="auto"/>
        <w:rPr>
          <w:spacing w:val="0"/>
        </w:rPr>
      </w:pPr>
      <w:r w:rsidRPr="002C6FFD">
        <w:rPr>
          <w:spacing w:val="0"/>
        </w:rPr>
        <w:t xml:space="preserve">Пальпацией гребня задней верхней ости подвздошной кости и крестцово-подвздошного сочленения выполняется выбор места трепанобиопсии. </w:t>
      </w:r>
    </w:p>
    <w:p w14:paraId="5EF61305" w14:textId="77777777" w:rsidR="005A6162" w:rsidRPr="002C6FFD" w:rsidRDefault="005A6162" w:rsidP="0091350E">
      <w:pPr>
        <w:pStyle w:val="Number1"/>
        <w:numPr>
          <w:ilvl w:val="0"/>
          <w:numId w:val="114"/>
        </w:numPr>
        <w:overflowPunct/>
        <w:autoSpaceDE/>
        <w:autoSpaceDN/>
        <w:adjustRightInd/>
        <w:spacing w:before="0" w:line="360" w:lineRule="auto"/>
        <w:jc w:val="both"/>
        <w:textAlignment w:val="auto"/>
        <w:rPr>
          <w:spacing w:val="0"/>
        </w:rPr>
      </w:pPr>
      <w:r w:rsidRPr="002C6FFD">
        <w:rPr>
          <w:spacing w:val="0"/>
        </w:rPr>
        <w:t xml:space="preserve">Обработка кожи растворами антисептиков, как для оперативного вмешательства. </w:t>
      </w:r>
    </w:p>
    <w:p w14:paraId="214485FA" w14:textId="77777777" w:rsidR="005A6162" w:rsidRPr="002C6FFD" w:rsidRDefault="005A6162" w:rsidP="0091350E">
      <w:pPr>
        <w:pStyle w:val="Number1"/>
        <w:numPr>
          <w:ilvl w:val="0"/>
          <w:numId w:val="114"/>
        </w:numPr>
        <w:overflowPunct/>
        <w:autoSpaceDE/>
        <w:autoSpaceDN/>
        <w:adjustRightInd/>
        <w:spacing w:before="0" w:line="360" w:lineRule="auto"/>
        <w:jc w:val="both"/>
        <w:textAlignment w:val="auto"/>
        <w:rPr>
          <w:spacing w:val="0"/>
        </w:rPr>
      </w:pPr>
      <w:r w:rsidRPr="002C6FFD">
        <w:rPr>
          <w:spacing w:val="0"/>
        </w:rPr>
        <w:t xml:space="preserve">Обезболивание кожи («лимонная корочка») и далее послойная анестезия тканей вплоть до надкостницы и поднадкостнично — </w:t>
      </w:r>
      <w:r w:rsidRPr="002C6FFD">
        <w:rPr>
          <w:spacing w:val="0"/>
          <w:shd w:val="clear" w:color="auto" w:fill="FFFFFF"/>
        </w:rPr>
        <w:t>2% раствор лидокаина или 0,25—0,5% раствор новокаина</w:t>
      </w:r>
      <w:r w:rsidRPr="002C6FFD">
        <w:rPr>
          <w:spacing w:val="0"/>
        </w:rPr>
        <w:t xml:space="preserve"> (выбранным с учетом аллергологического анамнеза) 4,0—6,0 мл. Использование 10% лидокаина недопустимо для местной анестезии в виду возможности некротизирования тканей. </w:t>
      </w:r>
    </w:p>
    <w:p w14:paraId="5CD49585" w14:textId="77777777" w:rsidR="005A6162" w:rsidRPr="002C6FFD" w:rsidRDefault="005A6162" w:rsidP="0091350E">
      <w:pPr>
        <w:pStyle w:val="Number1"/>
        <w:numPr>
          <w:ilvl w:val="0"/>
          <w:numId w:val="114"/>
        </w:numPr>
        <w:overflowPunct/>
        <w:autoSpaceDE/>
        <w:autoSpaceDN/>
        <w:adjustRightInd/>
        <w:spacing w:before="0" w:line="360" w:lineRule="auto"/>
        <w:jc w:val="both"/>
        <w:textAlignment w:val="auto"/>
        <w:rPr>
          <w:spacing w:val="0"/>
        </w:rPr>
      </w:pPr>
      <w:r w:rsidRPr="002C6FFD">
        <w:rPr>
          <w:spacing w:val="0"/>
        </w:rPr>
        <w:t xml:space="preserve">Анестезия наступает не ранее через 1 мин после инфильтрации надкостницы раствором анестетика. </w:t>
      </w:r>
    </w:p>
    <w:p w14:paraId="6278F704" w14:textId="77777777" w:rsidR="005A6162" w:rsidRPr="002C6FFD" w:rsidRDefault="005A6162" w:rsidP="0091350E">
      <w:pPr>
        <w:pStyle w:val="Number1"/>
        <w:numPr>
          <w:ilvl w:val="0"/>
          <w:numId w:val="114"/>
        </w:numPr>
        <w:overflowPunct/>
        <w:autoSpaceDE/>
        <w:autoSpaceDN/>
        <w:adjustRightInd/>
        <w:spacing w:before="0" w:line="360" w:lineRule="auto"/>
        <w:jc w:val="both"/>
        <w:textAlignment w:val="auto"/>
        <w:rPr>
          <w:spacing w:val="0"/>
        </w:rPr>
      </w:pPr>
      <w:r w:rsidRPr="002C6FFD">
        <w:rPr>
          <w:spacing w:val="0"/>
        </w:rPr>
        <w:t xml:space="preserve">Выполняют разрез кожи длиной около 3 мм скальпелем с узким лезвием, однако возможно прохождение кожи и тканей до надкостницы иглой для трепанобиопсии с вставленным стилетом-обтуратором без выполнения кожного разреза. </w:t>
      </w:r>
    </w:p>
    <w:p w14:paraId="55A93D47" w14:textId="77777777" w:rsidR="005A6162" w:rsidRPr="002C6FFD" w:rsidRDefault="005A6162" w:rsidP="0091350E">
      <w:pPr>
        <w:pStyle w:val="Number1"/>
        <w:numPr>
          <w:ilvl w:val="0"/>
          <w:numId w:val="114"/>
        </w:numPr>
        <w:overflowPunct/>
        <w:autoSpaceDE/>
        <w:autoSpaceDN/>
        <w:adjustRightInd/>
        <w:spacing w:before="0" w:line="360" w:lineRule="auto"/>
        <w:jc w:val="both"/>
        <w:textAlignment w:val="auto"/>
        <w:rPr>
          <w:spacing w:val="0"/>
        </w:rPr>
      </w:pPr>
      <w:r w:rsidRPr="002C6FFD">
        <w:rPr>
          <w:spacing w:val="0"/>
        </w:rPr>
        <w:t>Через кожный разрез / прокол вводят иглу Jamshidi со стилетом-обтуратором, зафиксированным внутри иглы, и продвигают сквозь мягкие ткани до надкостницы. Игла вращательно-поступательными движениями с некоторым усилием должна быть направлена с небольшим отклонением латерально и кзади. Одноразовые иглы исключительно острые и не требуют прикладывания усилий. Вращательные движения вокруг оси иглы должны совершаться попеременно по и против часовой стрелки не более чем на 120</w:t>
      </w:r>
      <w:r w:rsidRPr="002C6FFD">
        <w:rPr>
          <w:color w:val="auto"/>
          <w:spacing w:val="0"/>
        </w:rPr>
        <w:sym w:font="Symbol" w:char="F0B0"/>
      </w:r>
      <w:r w:rsidRPr="002C6FFD">
        <w:rPr>
          <w:spacing w:val="0"/>
        </w:rPr>
        <w:t xml:space="preserve"> в ту и другую сторону. Проникновение через кортикальную пластинку воспринимается врачом как ощущение «провала» в ткань меньшей плотности. </w:t>
      </w:r>
    </w:p>
    <w:p w14:paraId="58A0AB0D" w14:textId="77777777" w:rsidR="005A6162" w:rsidRPr="002C6FFD" w:rsidRDefault="005A6162" w:rsidP="0091350E">
      <w:pPr>
        <w:pStyle w:val="Number1"/>
        <w:numPr>
          <w:ilvl w:val="0"/>
          <w:numId w:val="114"/>
        </w:numPr>
        <w:overflowPunct/>
        <w:autoSpaceDE/>
        <w:autoSpaceDN/>
        <w:adjustRightInd/>
        <w:spacing w:before="0" w:line="360" w:lineRule="auto"/>
        <w:jc w:val="both"/>
        <w:textAlignment w:val="auto"/>
        <w:rPr>
          <w:spacing w:val="0"/>
        </w:rPr>
      </w:pPr>
      <w:r w:rsidRPr="002C6FFD">
        <w:rPr>
          <w:spacing w:val="0"/>
        </w:rPr>
        <w:t xml:space="preserve">После того как кортикальная пластинка пройдена, вынимается из иглы Jamshidi стилет-обтуратор и вращательно-поступательным движением углубляется в кость на 3—4 см. Продвижение иглы Jamshidi в толще губчатой кости может сопровождаться для больного неприятными ощущениями с иррадиацией в бедро, о чем необходимо предупредить пациента. </w:t>
      </w:r>
    </w:p>
    <w:p w14:paraId="26CEFEE5" w14:textId="77777777" w:rsidR="005A6162" w:rsidRPr="002C6FFD" w:rsidRDefault="005A6162" w:rsidP="0091350E">
      <w:pPr>
        <w:pStyle w:val="Number1"/>
        <w:numPr>
          <w:ilvl w:val="0"/>
          <w:numId w:val="114"/>
        </w:numPr>
        <w:overflowPunct/>
        <w:autoSpaceDE/>
        <w:autoSpaceDN/>
        <w:adjustRightInd/>
        <w:spacing w:before="0" w:line="360" w:lineRule="auto"/>
        <w:jc w:val="both"/>
        <w:textAlignment w:val="auto"/>
        <w:rPr>
          <w:spacing w:val="0"/>
        </w:rPr>
      </w:pPr>
      <w:r w:rsidRPr="002C6FFD">
        <w:rPr>
          <w:spacing w:val="0"/>
        </w:rPr>
        <w:t xml:space="preserve">Для отделения от костного массива столбика, вырезанного иглой и находящегося в ее просвете, его основание необходимо «подрезать». Чтобы это сделать, нужно несколько раз повернуть иглу в одном и другом направлении вокруг оси. Далее иглу медленно извлекают вращательно-поступательными движениями. </w:t>
      </w:r>
    </w:p>
    <w:p w14:paraId="6E15639E" w14:textId="77777777" w:rsidR="005A6162" w:rsidRPr="002C6FFD" w:rsidRDefault="005A6162" w:rsidP="0091350E">
      <w:pPr>
        <w:pStyle w:val="Number1"/>
        <w:numPr>
          <w:ilvl w:val="0"/>
          <w:numId w:val="114"/>
        </w:numPr>
        <w:overflowPunct/>
        <w:autoSpaceDE/>
        <w:autoSpaceDN/>
        <w:adjustRightInd/>
        <w:spacing w:before="0" w:line="360" w:lineRule="auto"/>
        <w:jc w:val="both"/>
        <w:textAlignment w:val="auto"/>
        <w:rPr>
          <w:spacing w:val="0"/>
        </w:rPr>
      </w:pPr>
      <w:r w:rsidRPr="002C6FFD">
        <w:rPr>
          <w:spacing w:val="0"/>
        </w:rPr>
        <w:t xml:space="preserve">После извлечения иглы стержнем-толкателем трепанобиоптат длиной 3—4 см (из передней верхней ости подвздошной кости) и более, иногда до 5–6 см (из задней верхней ости подвздошной кости)  выталкивается в обратном направлении от острия к рукоятке, то есть через отверстие рукоятки инструмента. </w:t>
      </w:r>
    </w:p>
    <w:p w14:paraId="459B88BA" w14:textId="77777777" w:rsidR="005A6162" w:rsidRPr="002C6FFD" w:rsidRDefault="005A6162" w:rsidP="0091350E">
      <w:pPr>
        <w:pStyle w:val="Number1"/>
        <w:numPr>
          <w:ilvl w:val="0"/>
          <w:numId w:val="114"/>
        </w:numPr>
        <w:overflowPunct/>
        <w:autoSpaceDE/>
        <w:autoSpaceDN/>
        <w:adjustRightInd/>
        <w:spacing w:before="0" w:line="360" w:lineRule="auto"/>
        <w:jc w:val="both"/>
        <w:textAlignment w:val="auto"/>
        <w:rPr>
          <w:spacing w:val="0"/>
        </w:rPr>
      </w:pPr>
      <w:r w:rsidRPr="002C6FFD">
        <w:rPr>
          <w:spacing w:val="0"/>
        </w:rPr>
        <w:t xml:space="preserve">После выполнения трепанобиопсии через этот же кожный разрез можно получить аспират костного мозга, пропунктировав заднюю верхнюю ость подвздошной кости в стороне от трепанационного отверстия. Практически все иглы для трепанобиопсии костного мозга имеют со стороны рукоятки коническую втулку, которая позволяет присоединить шприц для создания разрежения в просвете иглы и аспирации костного мозга. Пользоваться иглой Jamshidi для аспирации не очень удобно, лучше применять специальные, более тонкие и короткие иглы. Для этого необходимо через уже существующий разрез кожи пройти аспирационной иглой до кости и, сместив иглу вместе с мягкими тканями, снова выполнить пункцию кортикальной пластинки на некотором удалении (1,5 см) от первого сделанного отверстия, после чего аспирировать костный мозг для исследований, как указано выше. </w:t>
      </w:r>
    </w:p>
    <w:p w14:paraId="7AD929CC" w14:textId="77777777" w:rsidR="005A6162" w:rsidRPr="002C6FFD" w:rsidRDefault="005A6162" w:rsidP="0091350E">
      <w:pPr>
        <w:pStyle w:val="Number1"/>
        <w:numPr>
          <w:ilvl w:val="0"/>
          <w:numId w:val="114"/>
        </w:numPr>
        <w:overflowPunct/>
        <w:autoSpaceDE/>
        <w:autoSpaceDN/>
        <w:adjustRightInd/>
        <w:spacing w:before="0" w:line="360" w:lineRule="auto"/>
        <w:jc w:val="both"/>
        <w:textAlignment w:val="auto"/>
        <w:rPr>
          <w:spacing w:val="0"/>
        </w:rPr>
      </w:pPr>
      <w:r w:rsidRPr="002C6FFD">
        <w:rPr>
          <w:spacing w:val="0"/>
        </w:rPr>
        <w:t xml:space="preserve">В случае невозможности получения аспирата костного мозга выполняют отпечатки трепанобиоптата методом «прокатывания» столбика между двумя предметными стеклами. </w:t>
      </w:r>
    </w:p>
    <w:p w14:paraId="78257C54" w14:textId="77777777" w:rsidR="005A6162" w:rsidRPr="002C6FFD" w:rsidRDefault="005A6162" w:rsidP="0091350E">
      <w:pPr>
        <w:pStyle w:val="Number1"/>
        <w:numPr>
          <w:ilvl w:val="0"/>
          <w:numId w:val="114"/>
        </w:numPr>
        <w:overflowPunct/>
        <w:autoSpaceDE/>
        <w:autoSpaceDN/>
        <w:adjustRightInd/>
        <w:spacing w:before="0" w:line="360" w:lineRule="auto"/>
        <w:jc w:val="both"/>
        <w:textAlignment w:val="auto"/>
        <w:rPr>
          <w:spacing w:val="0"/>
        </w:rPr>
      </w:pPr>
      <w:r w:rsidRPr="002C6FFD">
        <w:rPr>
          <w:spacing w:val="0"/>
        </w:rPr>
        <w:t>Столбик трепанобиоптата помещают в емкость с физиологическим раствором или 10% раствором формалина и направляют в лабораторию на гистологическое и, при необходимости, иммуногистохимическое исследования.</w:t>
      </w:r>
    </w:p>
    <w:p w14:paraId="511FA138" w14:textId="77777777" w:rsidR="005A6162" w:rsidRPr="002C6FFD" w:rsidRDefault="005A6162" w:rsidP="0091350E">
      <w:pPr>
        <w:pStyle w:val="Number1"/>
        <w:numPr>
          <w:ilvl w:val="0"/>
          <w:numId w:val="114"/>
        </w:numPr>
        <w:overflowPunct/>
        <w:autoSpaceDE/>
        <w:autoSpaceDN/>
        <w:adjustRightInd/>
        <w:spacing w:before="0" w:line="360" w:lineRule="auto"/>
        <w:jc w:val="both"/>
        <w:textAlignment w:val="auto"/>
        <w:rPr>
          <w:spacing w:val="0"/>
        </w:rPr>
      </w:pPr>
      <w:r w:rsidRPr="002C6FFD">
        <w:rPr>
          <w:spacing w:val="0"/>
        </w:rPr>
        <w:t xml:space="preserve">По окончании манипуляции на кожу накладывают асептическую повязку (наклейку), рекомендуется приложить хладоэлемент на 10-15мин во избежание образования гематомы. </w:t>
      </w:r>
    </w:p>
    <w:p w14:paraId="4578C12D" w14:textId="77777777" w:rsidR="005A6162" w:rsidRPr="002C6FFD" w:rsidRDefault="005A6162" w:rsidP="0091350E">
      <w:pPr>
        <w:pStyle w:val="Number1"/>
        <w:numPr>
          <w:ilvl w:val="0"/>
          <w:numId w:val="114"/>
        </w:numPr>
        <w:overflowPunct/>
        <w:autoSpaceDE/>
        <w:autoSpaceDN/>
        <w:adjustRightInd/>
        <w:spacing w:before="0" w:line="360" w:lineRule="auto"/>
        <w:jc w:val="both"/>
        <w:textAlignment w:val="auto"/>
        <w:rPr>
          <w:spacing w:val="0"/>
        </w:rPr>
      </w:pPr>
      <w:r w:rsidRPr="002C6FFD">
        <w:rPr>
          <w:spacing w:val="0"/>
        </w:rPr>
        <w:t xml:space="preserve">Пациент должен провести под наблюдением медицинского персонала 2—3 часа после процедуры. </w:t>
      </w:r>
    </w:p>
    <w:p w14:paraId="4497C166" w14:textId="77777777" w:rsidR="005A6162" w:rsidRPr="002C6FFD" w:rsidRDefault="005A6162" w:rsidP="0091350E">
      <w:pPr>
        <w:pStyle w:val="Number1"/>
        <w:numPr>
          <w:ilvl w:val="0"/>
          <w:numId w:val="114"/>
        </w:numPr>
        <w:overflowPunct/>
        <w:autoSpaceDE/>
        <w:autoSpaceDN/>
        <w:adjustRightInd/>
        <w:spacing w:before="0" w:line="360" w:lineRule="auto"/>
        <w:jc w:val="both"/>
        <w:textAlignment w:val="auto"/>
        <w:rPr>
          <w:spacing w:val="0"/>
        </w:rPr>
      </w:pPr>
      <w:r w:rsidRPr="002C6FFD">
        <w:rPr>
          <w:spacing w:val="0"/>
        </w:rPr>
        <w:t>В первые сутки после выполнения трепанобиопсии больному необходимо избегать физических нагрузок и выполнения работ, связанных с повышенным вниманием (в том числе управление автотранспортным средством). Повязку необходимо сохранять в течение 1-2 суток, при необходимости осуществляется замена повязки с обработкой кожи вокруг места биопсии антисептиками. При гигиенических процедурах пациент должен избегать намокания повязки.</w:t>
      </w:r>
    </w:p>
    <w:p w14:paraId="0CE34F08" w14:textId="77777777" w:rsidR="005A6162" w:rsidRPr="002C6FFD" w:rsidRDefault="005A6162" w:rsidP="0091350E">
      <w:pPr>
        <w:pStyle w:val="Number1"/>
        <w:numPr>
          <w:ilvl w:val="0"/>
          <w:numId w:val="114"/>
        </w:numPr>
        <w:overflowPunct/>
        <w:autoSpaceDE/>
        <w:autoSpaceDN/>
        <w:adjustRightInd/>
        <w:spacing w:before="0" w:line="360" w:lineRule="auto"/>
        <w:jc w:val="both"/>
        <w:textAlignment w:val="auto"/>
        <w:rPr>
          <w:color w:val="auto"/>
          <w:spacing w:val="0"/>
        </w:rPr>
      </w:pPr>
      <w:r w:rsidRPr="002C6FFD">
        <w:rPr>
          <w:spacing w:val="0"/>
        </w:rPr>
        <w:t>На следующий день после выполнения манипуляции медицинскому персоналу необходимо проконтролировать состояние пациента (</w:t>
      </w:r>
      <w:r w:rsidRPr="002C6FFD">
        <w:rPr>
          <w:color w:val="auto"/>
          <w:spacing w:val="0"/>
        </w:rPr>
        <w:t xml:space="preserve">при выполнении манипуляции в амбулаторных условиях - возможно по телефону). </w:t>
      </w:r>
    </w:p>
    <w:p w14:paraId="075BABBE" w14:textId="77777777" w:rsidR="005A6162" w:rsidRPr="00F30696" w:rsidRDefault="005A6162" w:rsidP="005A6162">
      <w:pPr>
        <w:rPr>
          <w:szCs w:val="24"/>
        </w:rPr>
      </w:pPr>
    </w:p>
    <w:p w14:paraId="54085194" w14:textId="09B7CD9E" w:rsidR="00934898" w:rsidRPr="00934898" w:rsidRDefault="005A6162" w:rsidP="00934898">
      <w:pPr>
        <w:pStyle w:val="2"/>
        <w:ind w:firstLine="0"/>
      </w:pPr>
      <w:bookmarkStart w:id="70" w:name="_Toc65104124"/>
      <w:r>
        <w:t xml:space="preserve">Приложение А3.4. </w:t>
      </w:r>
      <w:r w:rsidR="00934898" w:rsidRPr="00952000">
        <w:rPr>
          <w:bCs/>
        </w:rPr>
        <w:t>Обеспечение сосудистого доступа</w:t>
      </w:r>
      <w:bookmarkEnd w:id="70"/>
    </w:p>
    <w:p w14:paraId="36369BC0" w14:textId="1721F6C8" w:rsidR="00934898" w:rsidRPr="00952000" w:rsidRDefault="00934898" w:rsidP="00934898">
      <w:pPr>
        <w:ind w:firstLine="709"/>
        <w:rPr>
          <w:szCs w:val="24"/>
          <w:shd w:val="clear" w:color="auto" w:fill="FFFFFF"/>
        </w:rPr>
      </w:pPr>
      <w:r w:rsidRPr="00952000">
        <w:rPr>
          <w:szCs w:val="24"/>
          <w:shd w:val="clear" w:color="auto" w:fill="FFFFFF"/>
        </w:rPr>
        <w:t>Обеспечение сосудистого доступа является неотъемлемой составляющей частью современной химиотерапии онкогематологических больных</w:t>
      </w:r>
      <w:r w:rsidRPr="00952000">
        <w:rPr>
          <w:szCs w:val="24"/>
        </w:rPr>
        <w:t xml:space="preserve">. </w:t>
      </w:r>
      <w:r w:rsidRPr="00952000">
        <w:rPr>
          <w:szCs w:val="24"/>
          <w:shd w:val="clear" w:color="auto" w:fill="FFFFFF"/>
        </w:rPr>
        <w:t>Через центральный венозный катетер (ЦВК) вводятся химиотерапевтические препараты, корригируются электролитные нарушения, проводится парентеральное питание, осуществляется взятие образцов крови для исследования и т.</w:t>
      </w:r>
      <w:r>
        <w:rPr>
          <w:szCs w:val="24"/>
          <w:shd w:val="clear" w:color="auto" w:fill="FFFFFF"/>
        </w:rPr>
        <w:t> </w:t>
      </w:r>
      <w:r w:rsidRPr="00952000">
        <w:rPr>
          <w:szCs w:val="24"/>
          <w:shd w:val="clear" w:color="auto" w:fill="FFFFFF"/>
        </w:rPr>
        <w:t xml:space="preserve">д. </w:t>
      </w:r>
    </w:p>
    <w:p w14:paraId="6801E585" w14:textId="684FEA6E" w:rsidR="00934898" w:rsidRPr="00952000" w:rsidRDefault="00934898" w:rsidP="00934898">
      <w:pPr>
        <w:ind w:firstLine="709"/>
        <w:rPr>
          <w:szCs w:val="24"/>
        </w:rPr>
      </w:pPr>
      <w:r w:rsidRPr="00952000">
        <w:rPr>
          <w:szCs w:val="24"/>
        </w:rPr>
        <w:t xml:space="preserve">Выделяют следующие особенности сосудистого доступа в гематологии: необходимость только внутривенного введения многих лекарственных препаратов, массивность инфузионных программ сдавление крупных венозных сосудов увеличенными лимфатическими узлами и/или опухолевой массой, </w:t>
      </w:r>
      <w:r w:rsidRPr="00952000">
        <w:rPr>
          <w:rFonts w:eastAsia="Times New Roman"/>
          <w:szCs w:val="24"/>
        </w:rPr>
        <w:t>как с внутригрудным, так и с внутрибрюшным поражением,</w:t>
      </w:r>
      <w:r w:rsidRPr="00952000">
        <w:rPr>
          <w:szCs w:val="24"/>
        </w:rPr>
        <w:t xml:space="preserve"> что значительно затрудняет задачу обеспечения сосудистого доступа </w:t>
      </w:r>
      <w:r w:rsidRPr="00952000">
        <w:rPr>
          <w:szCs w:val="24"/>
        </w:rPr>
        <w:fldChar w:fldCharType="begin" w:fldLock="1"/>
      </w:r>
      <w:r w:rsidR="00275BAA">
        <w:rPr>
          <w:szCs w:val="24"/>
        </w:rPr>
        <w:instrText>ADDIN CSL_CITATION {"citationItems":[{"id":"ITEM-1","itemData":{"abstract":"NTRODUCTION. SVCS results from compression of the superior vena cava. Lymphoma - one of the most frequent causes of the malignant SVCS.\r\nThe aim of the study was to identify the incidence of SVCS in lymphoma pts and features of the central venous access in lymphoma pts\r\nwith SVCS. METHODS. Materials and methods. 686 lymphoma pts (311 male,\r\n375 female) were included in the prospective study. The pts suffered\r\nfrom Hodgkin's lymphoma (HL) (69 pts) and non-Hodgkin's lymphoma (NHL) (617 pts). In all pts SVCS was diagnosed clinically and was\r\nconfirmed by CT scan or MRI. In pts with confirmed SVCS the central\r\nvenous access was provided by non-tunneled central venous catheters (non-tCVCs) (Certofix DUO 7Fr, BBraun) and totally implantable\r\ncentral venous port system (PowerPort, Bard Access System). The indwelling time, the number of the replaced CVCs and the incidence of complications were analyzed. Statistic: SPSS ver.23 (IBM, Chicago, II., USA). Pearson's chi-squared test and Fisher's exact test were used.\r\nRESULTS. . SVCS was revealed in 70 (10.2%) of 686 lymphoma pts (9 pts with HL and 61 pts with NHL). Among lymphoma pts the frequency of SVCS was highest in pts with primary mediastinal large Bcell lymphoma (PMBCL). SVCS was revealed in 49 (51.6%) of 95 PMBCL pts. In SVCS pts venous access was provided by non-tCVC\r\ninserted in femoral vein (50 pts) and TIVAPS (20 pts) implanted into v. cava inferior through the femoral vein. TIVAPS reservoirs were implanted on the thigh. During lymphoma treatment most pts with non-tCVCs needed repeated catheterizations: median 3 (1-14) CVCs. Among pts with TIVAPS only in 3 pts TIVAPS needed repeated catheterizations; their TIVAPS were removed due to complications. The median indwelling times were 6 (1-129) catheter days for CVCs and\r\n164 (1-280) catheter days for TIVAPS (p&lt;0.05). Incidences of CVC related bloodstream infections (CRBSI) were 2.1/1000 catheter days for\r\nCVCs and 0.1/1000 catheter days for TIVAPS. Incidence of CVC associated thrombosis (CAT) were 4.1/1000 catheter days for CVCs and 0.5/\r\n1000 catheter days for TIVAPS. One patient had infection of the subcutaneous pocket (0.3/1000 catheter days). The reasons for nontCVCs removal were the treatment completion (82.8%) and complications: CRBSI (7.1%), CAT (8.5%), malfunction (1.6%). The reasons for the TIVAPS removal were the treatment completion (85%), CRBSI (5%), infection of the subcutaneous pocket (5%) and CAT (5%). CONCLUSION. SVCS was revealed in 10.2% l…","author":[{"dropping-particle":"","family":"SPIRIN","given":"M.","non-dropping-particle":"","parse-names":false,"suffix":""},{"dropping-particle":"","family":"GALSTYAN","given":"G.","non-dropping-particle":"","parse-names":false,"suffix":""},{"dropping-particle":"","family":"DROKOV","given":"M.","non-dropping-particle":"","parse-names":false,"suffix":""}],"container-title":"INTENSIVE CARE MEDICINE EXPERIMENTAL","id":"ITEM-1","issue":"Suppl. 3:001341","issued":{"date-parts":[["2019"]]},"page":"388-389","title":"Central venous access in lymphoma patients (pts) with superior vena cava syndrome (SVCS)","type":"article-journal","volume":"7"},"uris":["http://www.mendeley.com/documents/?uuid=d4b66f57-5a46-3b0e-bb39-8451d9534a0c","http://www.mendeley.com/documents/?uuid=c29428ae-471c-4ca0-bb6e-1085dbeae434","http://www.mendeley.com/documents/?uuid=34ed67cd-3386-4746-82ca-e1d8edc0179d"]}],"mendeley":{"formattedCitation":"[188]","plainTextFormattedCitation":"[188]","previouslyFormattedCitation":"[188]"},"properties":{"noteIndex":0},"schema":"https://github.com/citation-style-language/schema/raw/master/csl-citation.json"}</w:instrText>
      </w:r>
      <w:r w:rsidRPr="00952000">
        <w:rPr>
          <w:szCs w:val="24"/>
        </w:rPr>
        <w:fldChar w:fldCharType="separate"/>
      </w:r>
      <w:r w:rsidRPr="00934898">
        <w:rPr>
          <w:noProof/>
          <w:szCs w:val="24"/>
        </w:rPr>
        <w:t>[188]</w:t>
      </w:r>
      <w:r w:rsidRPr="00952000">
        <w:rPr>
          <w:szCs w:val="24"/>
        </w:rPr>
        <w:fldChar w:fldCharType="end"/>
      </w:r>
      <w:r w:rsidRPr="00952000">
        <w:rPr>
          <w:szCs w:val="24"/>
        </w:rPr>
        <w:t xml:space="preserve">, высокий риск геморрагического синдрома (врожденные и приобретенные коагулопатии, тромбоцитопения), тромбоза, большая продолжительность лечения. В общей сложности, в надежном сосудистом доступе онкогематологические пациенты нуждаются от нескольких месяцев до года, как в стационарных, так и амбулаторных условиях. Использование с этой целью периферического венозного доступа неприемлемо, поскольку большинство вводимых растворов обладает раздражающим действием (везиканты, ирританты, эксфолианты) и экстравазация таких препаратов в подкожную клетчатку может привести к ее некрозу </w:t>
      </w:r>
      <w:r w:rsidRPr="00952000">
        <w:rPr>
          <w:szCs w:val="24"/>
        </w:rPr>
        <w:fldChar w:fldCharType="begin" w:fldLock="1"/>
      </w:r>
      <w:r w:rsidR="00275BAA">
        <w:rPr>
          <w:szCs w:val="24"/>
        </w:rPr>
        <w:instrText>ADDIN CSL_CITATION {"citationItems":[{"id":"ITEM-1","itemData":{"DOI":"10.1007/s12254-016-0304-2","ISSN":"1865-5041","PMID":"28058065","abstract":"In cancer treatment, extravasation is defined as an inadvertent instillation or leakage of cytotoxic drugs into the perivascular space during infusion. As a dreaded complication of chemotherapy, extravasation has gained increasing attention in recent years. Classified according to their subcutaneous toxicity, three types of cytotoxins have been established: vesicants, irritants and nonvesicant drugs. Vesicant cytotoxic drugs may induce tissue damage, ulceration and tissue necrosis. Although we have established measures to manage extravasation emergencies, prevention is of paramount importance. This may be achieved within hospitals through regular training and education, which is best provided by a specialised and experienced task force including all disciplines involved in cancer therapy. Moreover, clinical and translational studies contribute to a better management of chemotherapy-induced extravasation as shown by our group in recent years. We were able to demonstrate that the evaluation of blood flow by indocyanine green angiography in the extravasation area predicts the extent of damage and the need of future surgical intervention. When a Port-a-Cath® extravasation is detected early, a subcutaneous wash-out procedure was found to be beneficial, corroborated by the analytical evaluation of the removed cytotoxic compound epirubicin. In another study, the tissue distribution of platinum was quantified at the anatomic level in cryosections of various tissues. This novel knowledge complements and supports our current efforts to handle extravasations better. On the other hand, a number of new drugs (chemotherapy, monoclonal antibodies, checkpoint inhibitors etc.) with many open issues to reliably classify their tissue toxicity still require our attention.","author":[{"dropping-particle":"","family":"Pluschnig","given":"Ursula","non-dropping-particle":"","parse-names":false,"suffix":""},{"dropping-particle":"","family":"Haslik","given":"Werner","non-dropping-particle":"","parse-names":false,"suffix":""},{"dropping-particle":"","family":"Bartsch","given":"Rupert","non-dropping-particle":"","parse-names":false,"suffix":""},{"dropping-particle":"","family":"Mader","given":"Robert M","non-dropping-particle":"","parse-names":false,"suffix":""}],"container-title":"Memo","id":"ITEM-1","issue":"4","issued":{"date-parts":[["2016"]]},"page":"226-230","publisher":"Springer","title":"Extravasation emergencies: state-of-the-art management and progress in clinical research.","type":"article-journal","volume":"9"},"uris":["http://www.mendeley.com/documents/?uuid=587be6ac-ed25-3be6-bca1-30c719328058","http://www.mendeley.com/documents/?uuid=aed12f5b-d478-4cce-aae2-def10fec8352"]}],"mendeley":{"formattedCitation":"[189]","plainTextFormattedCitation":"[189]","previouslyFormattedCitation":"[189]"},"properties":{"noteIndex":0},"schema":"https://github.com/citation-style-language/schema/raw/master/csl-citation.json"}</w:instrText>
      </w:r>
      <w:r w:rsidRPr="00952000">
        <w:rPr>
          <w:szCs w:val="24"/>
        </w:rPr>
        <w:fldChar w:fldCharType="separate"/>
      </w:r>
      <w:r w:rsidRPr="00934898">
        <w:rPr>
          <w:noProof/>
          <w:szCs w:val="24"/>
        </w:rPr>
        <w:t>[189]</w:t>
      </w:r>
      <w:r w:rsidRPr="00952000">
        <w:rPr>
          <w:szCs w:val="24"/>
        </w:rPr>
        <w:fldChar w:fldCharType="end"/>
      </w:r>
      <w:r w:rsidRPr="00952000">
        <w:rPr>
          <w:szCs w:val="24"/>
        </w:rPr>
        <w:t>. Помимо этого, у многих больных вследствие проводимой ранее химиотерапии нередко отсутствуют доступные периферические вены.</w:t>
      </w:r>
    </w:p>
    <w:p w14:paraId="2BCF182D" w14:textId="77777777" w:rsidR="00934898" w:rsidRDefault="00934898" w:rsidP="00934898">
      <w:pPr>
        <w:ind w:firstLine="709"/>
        <w:rPr>
          <w:b/>
          <w:bCs/>
          <w:szCs w:val="24"/>
        </w:rPr>
      </w:pPr>
    </w:p>
    <w:p w14:paraId="42DF4FAA" w14:textId="77777777" w:rsidR="00934898" w:rsidRPr="004A739C" w:rsidRDefault="00934898" w:rsidP="00934898">
      <w:pPr>
        <w:ind w:firstLine="709"/>
        <w:rPr>
          <w:i/>
          <w:iCs/>
          <w:szCs w:val="24"/>
          <w:u w:val="single"/>
        </w:rPr>
      </w:pPr>
      <w:r w:rsidRPr="004A739C">
        <w:rPr>
          <w:i/>
          <w:iCs/>
          <w:szCs w:val="24"/>
          <w:u w:val="single"/>
        </w:rPr>
        <w:t>Показания к катетеризации центральных вен.</w:t>
      </w:r>
    </w:p>
    <w:p w14:paraId="0BFFF405" w14:textId="77777777" w:rsidR="00934898" w:rsidRPr="00952000" w:rsidRDefault="00934898" w:rsidP="0091350E">
      <w:pPr>
        <w:pStyle w:val="aff"/>
        <w:numPr>
          <w:ilvl w:val="0"/>
          <w:numId w:val="115"/>
        </w:numPr>
        <w:ind w:left="993" w:hanging="284"/>
        <w:contextualSpacing/>
        <w:rPr>
          <w:rFonts w:eastAsia="Times New Roman"/>
          <w:szCs w:val="24"/>
          <w:lang w:eastAsia="ru-RU"/>
        </w:rPr>
      </w:pPr>
      <w:r w:rsidRPr="00952000">
        <w:rPr>
          <w:rFonts w:eastAsia="Times New Roman"/>
          <w:szCs w:val="24"/>
          <w:lang w:eastAsia="ru-RU"/>
        </w:rPr>
        <w:t>ограниченный доступ к периферическим венам,</w:t>
      </w:r>
    </w:p>
    <w:p w14:paraId="75410D53" w14:textId="77777777" w:rsidR="00934898" w:rsidRPr="00952000" w:rsidRDefault="00934898" w:rsidP="0091350E">
      <w:pPr>
        <w:pStyle w:val="aff"/>
        <w:numPr>
          <w:ilvl w:val="0"/>
          <w:numId w:val="115"/>
        </w:numPr>
        <w:ind w:left="993" w:hanging="284"/>
        <w:contextualSpacing/>
        <w:rPr>
          <w:rFonts w:eastAsia="Times New Roman"/>
          <w:szCs w:val="24"/>
          <w:lang w:eastAsia="ru-RU"/>
        </w:rPr>
      </w:pPr>
      <w:r w:rsidRPr="00952000">
        <w:rPr>
          <w:rFonts w:eastAsia="Times New Roman"/>
          <w:szCs w:val="24"/>
          <w:lang w:eastAsia="ru-RU"/>
        </w:rPr>
        <w:t>необходимость проведения химиотерапии или парентерального питания, массивная инфузионная терапия,</w:t>
      </w:r>
    </w:p>
    <w:p w14:paraId="5BA91B1E" w14:textId="77777777" w:rsidR="00934898" w:rsidRPr="00952000" w:rsidRDefault="00934898" w:rsidP="0091350E">
      <w:pPr>
        <w:pStyle w:val="aff"/>
        <w:numPr>
          <w:ilvl w:val="0"/>
          <w:numId w:val="115"/>
        </w:numPr>
        <w:ind w:left="993" w:hanging="284"/>
        <w:contextualSpacing/>
        <w:rPr>
          <w:rFonts w:eastAsia="Times New Roman"/>
          <w:szCs w:val="24"/>
          <w:lang w:eastAsia="ru-RU"/>
        </w:rPr>
      </w:pPr>
      <w:r w:rsidRPr="00952000">
        <w:rPr>
          <w:rFonts w:eastAsia="Times New Roman"/>
          <w:szCs w:val="24"/>
          <w:lang w:eastAsia="ru-RU"/>
        </w:rPr>
        <w:t>необходимость мониторинга гемодинамики (центральное венозное давление),</w:t>
      </w:r>
    </w:p>
    <w:p w14:paraId="01823262" w14:textId="77777777" w:rsidR="00934898" w:rsidRPr="00952000" w:rsidRDefault="00934898" w:rsidP="0091350E">
      <w:pPr>
        <w:pStyle w:val="aff"/>
        <w:numPr>
          <w:ilvl w:val="0"/>
          <w:numId w:val="115"/>
        </w:numPr>
        <w:ind w:left="993" w:hanging="284"/>
        <w:contextualSpacing/>
        <w:rPr>
          <w:rFonts w:eastAsia="Times New Roman"/>
          <w:szCs w:val="24"/>
          <w:lang w:eastAsia="ru-RU"/>
        </w:rPr>
      </w:pPr>
      <w:r w:rsidRPr="00952000">
        <w:rPr>
          <w:rFonts w:eastAsia="Times New Roman"/>
          <w:szCs w:val="24"/>
          <w:lang w:eastAsia="ru-RU"/>
        </w:rPr>
        <w:t>необходимость мониторинга давления в легочной артерии,</w:t>
      </w:r>
    </w:p>
    <w:p w14:paraId="7AD37CF7" w14:textId="77777777" w:rsidR="00934898" w:rsidRPr="00952000" w:rsidRDefault="00934898" w:rsidP="0091350E">
      <w:pPr>
        <w:pStyle w:val="aff"/>
        <w:numPr>
          <w:ilvl w:val="0"/>
          <w:numId w:val="115"/>
        </w:numPr>
        <w:ind w:left="993" w:hanging="284"/>
        <w:contextualSpacing/>
        <w:rPr>
          <w:rFonts w:eastAsia="Times New Roman"/>
          <w:szCs w:val="24"/>
          <w:lang w:eastAsia="ru-RU"/>
        </w:rPr>
      </w:pPr>
      <w:r w:rsidRPr="00952000">
        <w:rPr>
          <w:rFonts w:eastAsia="Times New Roman"/>
          <w:szCs w:val="24"/>
          <w:lang w:eastAsia="ru-RU"/>
        </w:rPr>
        <w:t>установка кардиостимулятора,</w:t>
      </w:r>
    </w:p>
    <w:p w14:paraId="1E6E05BF" w14:textId="77777777" w:rsidR="00934898" w:rsidRPr="00952000" w:rsidRDefault="00934898" w:rsidP="0091350E">
      <w:pPr>
        <w:pStyle w:val="aff"/>
        <w:numPr>
          <w:ilvl w:val="0"/>
          <w:numId w:val="115"/>
        </w:numPr>
        <w:ind w:left="993" w:hanging="284"/>
        <w:contextualSpacing/>
        <w:rPr>
          <w:rFonts w:eastAsia="Times New Roman"/>
          <w:szCs w:val="24"/>
          <w:lang w:eastAsia="ru-RU"/>
        </w:rPr>
      </w:pPr>
      <w:r w:rsidRPr="00952000">
        <w:rPr>
          <w:rFonts w:eastAsia="Times New Roman"/>
          <w:szCs w:val="24"/>
          <w:lang w:eastAsia="ru-RU"/>
        </w:rPr>
        <w:t>необходимость проведения заместительной почечной терапии.</w:t>
      </w:r>
    </w:p>
    <w:p w14:paraId="7DDF32B2" w14:textId="77777777" w:rsidR="00934898" w:rsidRDefault="00934898" w:rsidP="00934898">
      <w:pPr>
        <w:ind w:firstLine="709"/>
        <w:rPr>
          <w:b/>
          <w:bCs/>
          <w:szCs w:val="24"/>
        </w:rPr>
      </w:pPr>
    </w:p>
    <w:p w14:paraId="76A8CD59" w14:textId="77777777" w:rsidR="00934898" w:rsidRPr="004A739C" w:rsidRDefault="00934898" w:rsidP="00934898">
      <w:pPr>
        <w:ind w:firstLine="709"/>
        <w:rPr>
          <w:i/>
          <w:iCs/>
          <w:szCs w:val="24"/>
          <w:u w:val="single"/>
        </w:rPr>
      </w:pPr>
      <w:r w:rsidRPr="004A739C">
        <w:rPr>
          <w:i/>
          <w:iCs/>
          <w:szCs w:val="24"/>
          <w:u w:val="single"/>
        </w:rPr>
        <w:t>Противопоказания к катетеризации центральных вен</w:t>
      </w:r>
    </w:p>
    <w:p w14:paraId="44DAC4BF" w14:textId="77777777" w:rsidR="00934898" w:rsidRPr="004A739C" w:rsidRDefault="00934898" w:rsidP="0091350E">
      <w:pPr>
        <w:pStyle w:val="aff"/>
        <w:numPr>
          <w:ilvl w:val="0"/>
          <w:numId w:val="115"/>
        </w:numPr>
        <w:ind w:left="993" w:hanging="284"/>
        <w:contextualSpacing/>
        <w:rPr>
          <w:rFonts w:eastAsia="Times New Roman"/>
          <w:szCs w:val="24"/>
          <w:lang w:eastAsia="ru-RU"/>
        </w:rPr>
      </w:pPr>
      <w:r w:rsidRPr="004A739C">
        <w:rPr>
          <w:rFonts w:eastAsia="Times New Roman"/>
          <w:szCs w:val="24"/>
          <w:lang w:eastAsia="ru-RU"/>
        </w:rPr>
        <w:t>Абсолютные:</w:t>
      </w:r>
    </w:p>
    <w:p w14:paraId="17BA9F24" w14:textId="77777777" w:rsidR="00934898" w:rsidRPr="004A739C" w:rsidRDefault="00934898" w:rsidP="0091350E">
      <w:pPr>
        <w:pStyle w:val="aff"/>
        <w:numPr>
          <w:ilvl w:val="1"/>
          <w:numId w:val="115"/>
        </w:numPr>
        <w:contextualSpacing/>
        <w:rPr>
          <w:rFonts w:eastAsia="Times New Roman"/>
          <w:szCs w:val="24"/>
          <w:lang w:eastAsia="ru-RU"/>
        </w:rPr>
      </w:pPr>
      <w:r w:rsidRPr="004A739C">
        <w:rPr>
          <w:rFonts w:eastAsia="Times New Roman"/>
          <w:szCs w:val="24"/>
          <w:lang w:eastAsia="ru-RU"/>
        </w:rPr>
        <w:t>воспаление в планируемом месте доступа</w:t>
      </w:r>
    </w:p>
    <w:p w14:paraId="6D77F40E" w14:textId="77777777" w:rsidR="00934898" w:rsidRPr="004A739C" w:rsidRDefault="00934898" w:rsidP="0091350E">
      <w:pPr>
        <w:pStyle w:val="aff"/>
        <w:numPr>
          <w:ilvl w:val="1"/>
          <w:numId w:val="115"/>
        </w:numPr>
        <w:contextualSpacing/>
        <w:rPr>
          <w:rFonts w:eastAsia="Times New Roman"/>
          <w:szCs w:val="24"/>
          <w:lang w:eastAsia="ru-RU"/>
        </w:rPr>
      </w:pPr>
      <w:r w:rsidRPr="004A739C">
        <w:rPr>
          <w:rFonts w:eastAsia="Times New Roman"/>
          <w:szCs w:val="24"/>
          <w:lang w:eastAsia="ru-RU"/>
        </w:rPr>
        <w:t>недавно проведенное оперативное вмешательство в месте доступа</w:t>
      </w:r>
    </w:p>
    <w:p w14:paraId="2DDA9DF8" w14:textId="77777777" w:rsidR="00934898" w:rsidRPr="004A739C" w:rsidRDefault="00934898" w:rsidP="0091350E">
      <w:pPr>
        <w:pStyle w:val="aff"/>
        <w:numPr>
          <w:ilvl w:val="0"/>
          <w:numId w:val="115"/>
        </w:numPr>
        <w:ind w:left="993" w:hanging="284"/>
        <w:contextualSpacing/>
        <w:rPr>
          <w:rFonts w:eastAsia="Times New Roman"/>
          <w:szCs w:val="24"/>
          <w:lang w:eastAsia="ru-RU"/>
        </w:rPr>
      </w:pPr>
      <w:r w:rsidRPr="004A739C">
        <w:rPr>
          <w:rFonts w:eastAsia="Times New Roman"/>
          <w:szCs w:val="24"/>
          <w:lang w:eastAsia="ru-RU"/>
        </w:rPr>
        <w:t>Относительные</w:t>
      </w:r>
    </w:p>
    <w:p w14:paraId="36EB07B0" w14:textId="77777777" w:rsidR="00934898" w:rsidRPr="004A739C" w:rsidRDefault="00934898" w:rsidP="0091350E">
      <w:pPr>
        <w:pStyle w:val="aff"/>
        <w:numPr>
          <w:ilvl w:val="1"/>
          <w:numId w:val="115"/>
        </w:numPr>
        <w:contextualSpacing/>
        <w:rPr>
          <w:rFonts w:eastAsia="Times New Roman"/>
          <w:szCs w:val="24"/>
          <w:lang w:eastAsia="ru-RU"/>
        </w:rPr>
      </w:pPr>
      <w:r w:rsidRPr="004A739C">
        <w:rPr>
          <w:rFonts w:eastAsia="Times New Roman"/>
          <w:szCs w:val="24"/>
          <w:lang w:eastAsia="ru-RU"/>
        </w:rPr>
        <w:t>выраженный геморрагический синдром (вследствие тромбоцитопении, гипофибриногенемии, наследственных или приобретенных коагулопатий).</w:t>
      </w:r>
    </w:p>
    <w:p w14:paraId="7192C78C" w14:textId="77777777" w:rsidR="00934898" w:rsidRDefault="00934898" w:rsidP="00934898">
      <w:pPr>
        <w:pStyle w:val="Default"/>
        <w:spacing w:line="360" w:lineRule="auto"/>
        <w:ind w:firstLine="709"/>
        <w:jc w:val="both"/>
        <w:rPr>
          <w:i/>
          <w:color w:val="auto"/>
        </w:rPr>
      </w:pPr>
    </w:p>
    <w:p w14:paraId="26FE332E" w14:textId="77777777" w:rsidR="00934898" w:rsidRPr="00952000" w:rsidRDefault="00934898" w:rsidP="00934898">
      <w:pPr>
        <w:pStyle w:val="Default"/>
        <w:spacing w:line="360" w:lineRule="auto"/>
        <w:ind w:firstLine="709"/>
        <w:jc w:val="both"/>
        <w:rPr>
          <w:color w:val="auto"/>
        </w:rPr>
      </w:pPr>
      <w:r w:rsidRPr="00952000">
        <w:rPr>
          <w:i/>
          <w:color w:val="auto"/>
        </w:rPr>
        <w:t>Тромбоцитопения</w:t>
      </w:r>
      <w:r w:rsidRPr="00952000">
        <w:rPr>
          <w:color w:val="auto"/>
        </w:rPr>
        <w:t xml:space="preserve"> – одна из самых частых причин геморрагического синдрома. Хотя безопасным уровнем для катетеризации мы считаем количество тромбоцитов крови более 20 х 10</w:t>
      </w:r>
      <w:r w:rsidRPr="00952000">
        <w:rPr>
          <w:color w:val="auto"/>
          <w:vertAlign w:val="superscript"/>
        </w:rPr>
        <w:t>9</w:t>
      </w:r>
      <w:r w:rsidRPr="00952000">
        <w:rPr>
          <w:color w:val="auto"/>
        </w:rPr>
        <w:t>/л, у ряда пациентов достичь этого порогового уровня не удается вследствие различных причин, например, рефрактерность к трансфузиям. В этих случаях катетеризация центральной вены под контролем ультразвука без использования дилататора, может быть безопасной даже при количестве тромбоцитов менее 20 х 10</w:t>
      </w:r>
      <w:r w:rsidRPr="00952000">
        <w:rPr>
          <w:color w:val="auto"/>
          <w:vertAlign w:val="superscript"/>
        </w:rPr>
        <w:t>9</w:t>
      </w:r>
      <w:r w:rsidRPr="00952000">
        <w:rPr>
          <w:color w:val="auto"/>
        </w:rPr>
        <w:t>/л.</w:t>
      </w:r>
    </w:p>
    <w:p w14:paraId="00FE4627" w14:textId="06A203E6" w:rsidR="00934898" w:rsidRPr="00952000" w:rsidRDefault="00934898" w:rsidP="00934898">
      <w:pPr>
        <w:ind w:firstLine="709"/>
        <w:rPr>
          <w:szCs w:val="24"/>
        </w:rPr>
      </w:pPr>
      <w:r w:rsidRPr="00952000">
        <w:rPr>
          <w:i/>
          <w:szCs w:val="24"/>
        </w:rPr>
        <w:t>Плазменная концентрация фибриногена</w:t>
      </w:r>
      <w:r w:rsidRPr="00952000">
        <w:rPr>
          <w:szCs w:val="24"/>
        </w:rPr>
        <w:t xml:space="preserve"> ассоциируется с геморрагическими осложнениями при установке ЦВК: она значимо ниже у больных с геморрагическими осложнениями, чем без осложнений </w:t>
      </w:r>
      <w:r w:rsidRPr="00952000">
        <w:rPr>
          <w:szCs w:val="24"/>
        </w:rPr>
        <w:fldChar w:fldCharType="begin" w:fldLock="1"/>
      </w:r>
      <w:r w:rsidR="00275BAA">
        <w:rPr>
          <w:szCs w:val="24"/>
        </w:rPr>
        <w:instrText>ADDIN CSL_CITATION {"citationItems":[{"id":"ITEM-1","itemData":{"DOI":"10.1111/j.1537-2995.2011.03147.x","ISSN":"1537-2995","PMID":"21517892","abstract":"BACKGROUND Patients with severe thrombocytopenia are at risk for bleeding during insertion of central venous catheters (CVCs). Although most guidelines recommend preprocedural platelet (PLT) transfusions at a threshold of less than 50 × 10(9) /L, there is only weak evidence supporting such recommendations. STUDY DESIGN AND METHODS The current study aimed to establish a safe PLT transfusion trigger in patients with CVC placements. We performed a retrospective single-center analysis of 604 CVC insertions in 193 patients with acute leukemia receiving intensive chemotherapy or stem cell transplantation. RESULTS A total of 48% of the patients had a bleeding risk during CVC insertions, mostly due to thrombocytopenia. The bleeding incidence was 32% with 96% Grade 1 and 4% Grade 2 bleedings requiring prolonged local compression. There were no Grade 3 to 4 bleedings. Hemoglobin levels were similar before and 24 and 48 hours after the CVC insertion in the bleeding and nonbleeding group and there was no difference in the red blood cell (p = 0.72) and PLT transfusion requirements (p = 0.057) after CVC insertion. In multivariate analysis, only patients with PLT counts of less than 20 × 10(9) /L were at higher risk for bleeding before (p = 0.015) and after preprocedural PLT transfusions (p =0.006) compared to patients with PLT counts of 100 × 10(9) /L or more. CONCLUSION CVC placements can safely be performed in patients with PLT counts of 20 × 10(9) /L or more without preprocedural PLT transfusions.","author":[{"dropping-particle":"","family":"Zeidler","given":"Kristin","non-dropping-particle":"","parse-names":false,"suffix":""},{"dropping-particle":"","family":"Arn","given":"Kornelius","non-dropping-particle":"","parse-names":false,"suffix":""},{"dropping-particle":"","family":"Senn","given":"Oliver","non-dropping-particle":"","parse-names":false,"suffix":""},{"dropping-particle":"","family":"Schanz","given":"Urs","non-dropping-particle":"","parse-names":false,"suffix":""},{"dropping-particle":"","family":"Stussi","given":"Georg","non-dropping-particle":"","parse-names":false,"suffix":""}],"container-title":"Transfusion","id":"ITEM-1","issue":"11","issued":{"date-parts":[["2011","11"]]},"page":"2269-76","title":"Optimal preprocedural platelet transfusion threshold for central venous catheter insertions in patients with thrombocytopenia.","type":"article-journal","volume":"51"},"uris":["http://www.mendeley.com/documents/?uuid=11f6a6da-e80c-4c12-b31e-ce8ac19b442b"]}],"mendeley":{"formattedCitation":"[190]","plainTextFormattedCitation":"[190]","previouslyFormattedCitation":"[190]"},"properties":{"noteIndex":0},"schema":"https://github.com/citation-style-language/schema/raw/master/csl-citation.json"}</w:instrText>
      </w:r>
      <w:r w:rsidRPr="00952000">
        <w:rPr>
          <w:szCs w:val="24"/>
        </w:rPr>
        <w:fldChar w:fldCharType="separate"/>
      </w:r>
      <w:r w:rsidRPr="00934898">
        <w:rPr>
          <w:noProof/>
          <w:szCs w:val="24"/>
        </w:rPr>
        <w:t>[190]</w:t>
      </w:r>
      <w:r w:rsidRPr="00952000">
        <w:rPr>
          <w:szCs w:val="24"/>
        </w:rPr>
        <w:fldChar w:fldCharType="end"/>
      </w:r>
      <w:r w:rsidRPr="00952000">
        <w:rPr>
          <w:szCs w:val="24"/>
        </w:rPr>
        <w:t>.</w:t>
      </w:r>
    </w:p>
    <w:p w14:paraId="35D602DC" w14:textId="77777777" w:rsidR="00934898" w:rsidRDefault="00934898" w:rsidP="00934898">
      <w:pPr>
        <w:ind w:firstLine="709"/>
        <w:rPr>
          <w:b/>
          <w:bCs/>
          <w:szCs w:val="24"/>
        </w:rPr>
      </w:pPr>
    </w:p>
    <w:p w14:paraId="6E3890B4" w14:textId="77777777" w:rsidR="00934898" w:rsidRPr="008879EC" w:rsidRDefault="00934898" w:rsidP="00934898">
      <w:pPr>
        <w:ind w:firstLine="709"/>
        <w:rPr>
          <w:i/>
          <w:iCs/>
          <w:szCs w:val="24"/>
          <w:u w:val="single"/>
        </w:rPr>
      </w:pPr>
      <w:r w:rsidRPr="008879EC">
        <w:rPr>
          <w:i/>
          <w:iCs/>
          <w:szCs w:val="24"/>
          <w:u w:val="single"/>
        </w:rPr>
        <w:t>Типы катетеров</w:t>
      </w:r>
    </w:p>
    <w:p w14:paraId="0B144C72" w14:textId="77777777" w:rsidR="00934898" w:rsidRPr="00952000" w:rsidRDefault="00934898" w:rsidP="00934898">
      <w:pPr>
        <w:ind w:firstLine="708"/>
        <w:contextualSpacing/>
        <w:rPr>
          <w:szCs w:val="24"/>
        </w:rPr>
      </w:pPr>
      <w:r w:rsidRPr="00952000">
        <w:rPr>
          <w:i/>
          <w:szCs w:val="24"/>
        </w:rPr>
        <w:t>ЦВК</w:t>
      </w:r>
      <w:r w:rsidRPr="00952000">
        <w:rPr>
          <w:szCs w:val="24"/>
        </w:rPr>
        <w:t xml:space="preserve"> – это полая трубка, устанавливаемая в одну из центральных вен. ЦВК изготавливаются из различных материалов, имеют разный диаметр. ЦВК могут быть оснащены клапанами на разных концах, или камерой на проксимальном конце, а также иметь один или несколько просветов, для возможности проведения одновременных инфузий несовместимых между собой растворов. </w:t>
      </w:r>
    </w:p>
    <w:p w14:paraId="24C5590E" w14:textId="77777777" w:rsidR="00934898" w:rsidRPr="00952000" w:rsidRDefault="00934898" w:rsidP="00934898">
      <w:pPr>
        <w:ind w:firstLine="700"/>
        <w:rPr>
          <w:rFonts w:eastAsia="Times New Roman"/>
          <w:i/>
          <w:szCs w:val="24"/>
          <w:lang w:eastAsia="ru-RU"/>
        </w:rPr>
      </w:pPr>
      <w:r w:rsidRPr="00952000">
        <w:rPr>
          <w:rFonts w:eastAsia="Times New Roman"/>
          <w:i/>
          <w:szCs w:val="24"/>
          <w:lang w:eastAsia="ru-RU"/>
        </w:rPr>
        <w:t>Нетуннелируемые катетеры</w:t>
      </w:r>
    </w:p>
    <w:p w14:paraId="41F624EF" w14:textId="77CC1E84" w:rsidR="00934898" w:rsidRPr="00DE117D" w:rsidRDefault="00934898" w:rsidP="00934898">
      <w:pPr>
        <w:ind w:firstLine="700"/>
        <w:rPr>
          <w:rFonts w:eastAsia="Times New Roman"/>
          <w:strike/>
          <w:szCs w:val="24"/>
        </w:rPr>
      </w:pPr>
      <w:r w:rsidRPr="00952000">
        <w:rPr>
          <w:rFonts w:eastAsia="Times New Roman"/>
          <w:szCs w:val="24"/>
          <w:lang w:eastAsia="ru-RU"/>
        </w:rPr>
        <w:t xml:space="preserve">Это полиуретановые устройства длиной от 20 до 30 см и с внешним диаметром до 8 Fr, а в случае с катетером для проведения гемодиализа 12 </w:t>
      </w:r>
      <w:r w:rsidRPr="00952000">
        <w:rPr>
          <w:rFonts w:eastAsia="Times New Roman"/>
          <w:szCs w:val="24"/>
          <w:lang w:val="en-US" w:eastAsia="ru-RU"/>
        </w:rPr>
        <w:t>Fr</w:t>
      </w:r>
      <w:r w:rsidRPr="00952000">
        <w:rPr>
          <w:rFonts w:eastAsia="Times New Roman"/>
          <w:szCs w:val="24"/>
          <w:lang w:eastAsia="ru-RU"/>
        </w:rPr>
        <w:t>, которые имплантируются путем чрескожной пункции вены (внутренней ярёмной, подключичной, подмышечной или бедренной вены), с позиционированием дистального конца катетера у кава-атриального соединения. Использование в амбулаторных условиях не рекомендуется, так как риск инфицирования или случайного повреждения/удаления у них выше</w:t>
      </w:r>
      <w:r>
        <w:rPr>
          <w:rFonts w:eastAsia="Times New Roman"/>
          <w:szCs w:val="24"/>
          <w:lang w:eastAsia="ru-RU"/>
        </w:rPr>
        <w:t>,</w:t>
      </w:r>
      <w:r w:rsidRPr="00952000">
        <w:rPr>
          <w:rFonts w:eastAsia="Times New Roman"/>
          <w:szCs w:val="24"/>
          <w:lang w:eastAsia="ru-RU"/>
        </w:rPr>
        <w:t xml:space="preserve"> по сравнению с другими типами катетеров, вследствие того, что они не туннелированы и удерживаются на месте фиксирующим швом или при помощи устройства бесшовной фиксации на коже у места пункции </w:t>
      </w:r>
      <w:r w:rsidRPr="00952000">
        <w:rPr>
          <w:rFonts w:eastAsia="Times New Roman"/>
          <w:szCs w:val="24"/>
          <w:lang w:eastAsia="ru-RU"/>
        </w:rPr>
        <w:fldChar w:fldCharType="begin" w:fldLock="1"/>
      </w:r>
      <w:r w:rsidR="00275BAA">
        <w:rPr>
          <w:rFonts w:eastAsia="Times New Roman"/>
          <w:szCs w:val="24"/>
          <w:lang w:eastAsia="ru-RU"/>
        </w:rPr>
        <w:instrText>ADDIN CSL_CITATION {"citationItems":[{"id":"ITEM-1","itemData":{"DOI":"10.1590/1677-5449.008216","author":[{"dropping-particle":"","family":"Zerati","given":"A.E.","non-dropping-particle":"","parse-names":false,"suffix":""},{"dropping-particle":"","family":"Wolosker","given":"N","non-dropping-particle":"","parse-names":false,"suffix":""},{"dropping-particle":"","family":"Luccia","given":"N","non-dropping-particle":"de","parse-names":false,"suffix":""},{"dropping-particle":"","family":"Puech-Leão","given":"P.","non-dropping-particle":"","parse-names":false,"suffix":""}],"container-title":"J Vasc Bras.","id":"ITEM-1","issue":"2","issued":{"date-parts":[["2017"]]},"page":"128-139","title":"Totally implantable venous catheters : history , implantation technique and complications.","type":"article-journal","volume":"16"},"uris":["http://www.mendeley.com/documents/?uuid=d029e3cf-7ed7-47d9-8f50-87f7004ddbed","http://www.mendeley.com/documents/?uuid=5353e640-d658-416d-8033-f443a1c37557"]}],"mendeley":{"formattedCitation":"[191]","plainTextFormattedCitation":"[191]","previouslyFormattedCitation":"[191]"},"properties":{"noteIndex":0},"schema":"https://github.com/citation-style-language/schema/raw/master/csl-citation.json"}</w:instrText>
      </w:r>
      <w:r w:rsidRPr="00952000">
        <w:rPr>
          <w:rFonts w:eastAsia="Times New Roman"/>
          <w:szCs w:val="24"/>
          <w:lang w:eastAsia="ru-RU"/>
        </w:rPr>
        <w:fldChar w:fldCharType="separate"/>
      </w:r>
      <w:r w:rsidRPr="00934898">
        <w:rPr>
          <w:rFonts w:eastAsia="Times New Roman"/>
          <w:noProof/>
          <w:szCs w:val="24"/>
          <w:lang w:eastAsia="ru-RU"/>
        </w:rPr>
        <w:t>[191]</w:t>
      </w:r>
      <w:r w:rsidRPr="00952000">
        <w:rPr>
          <w:rFonts w:eastAsia="Times New Roman"/>
          <w:szCs w:val="24"/>
          <w:lang w:eastAsia="ru-RU"/>
        </w:rPr>
        <w:fldChar w:fldCharType="end"/>
      </w:r>
      <w:r>
        <w:rPr>
          <w:rFonts w:eastAsia="Times New Roman"/>
          <w:szCs w:val="24"/>
          <w:lang w:eastAsia="ru-RU"/>
        </w:rPr>
        <w:t>. Существую</w:t>
      </w:r>
      <w:r w:rsidRPr="00952000">
        <w:rPr>
          <w:rFonts w:eastAsia="Times New Roman"/>
          <w:szCs w:val="24"/>
          <w:lang w:eastAsia="ru-RU"/>
        </w:rPr>
        <w:t>т версии катетеров с антимикробными или антисептическими покрытиями. Применение катетеров с покрытием требует дальнейшего изучения, так как не раскрыты вопросы антибиотикорезистентности</w:t>
      </w:r>
      <w:r>
        <w:rPr>
          <w:rFonts w:eastAsia="Times New Roman"/>
          <w:szCs w:val="24"/>
          <w:lang w:eastAsia="ru-RU"/>
        </w:rPr>
        <w:t xml:space="preserve">. </w:t>
      </w:r>
    </w:p>
    <w:p w14:paraId="1AF3BD2B" w14:textId="77777777" w:rsidR="00934898" w:rsidRPr="00952000" w:rsidRDefault="00934898" w:rsidP="00934898">
      <w:pPr>
        <w:ind w:firstLine="708"/>
        <w:rPr>
          <w:rFonts w:eastAsia="Times New Roman"/>
          <w:i/>
          <w:szCs w:val="24"/>
          <w:lang w:eastAsia="ru-RU"/>
        </w:rPr>
      </w:pPr>
      <w:r w:rsidRPr="00952000">
        <w:rPr>
          <w:rFonts w:eastAsia="Times New Roman"/>
          <w:i/>
          <w:szCs w:val="24"/>
          <w:lang w:eastAsia="ru-RU"/>
        </w:rPr>
        <w:t xml:space="preserve">Туннелируемые катетеры </w:t>
      </w:r>
    </w:p>
    <w:p w14:paraId="13ACD405" w14:textId="11ABB201" w:rsidR="00934898" w:rsidRPr="00952000" w:rsidRDefault="00934898" w:rsidP="00934898">
      <w:pPr>
        <w:ind w:firstLine="708"/>
        <w:rPr>
          <w:rFonts w:eastAsia="Times New Roman"/>
          <w:strike/>
          <w:szCs w:val="24"/>
          <w:lang w:eastAsia="ru-RU"/>
        </w:rPr>
      </w:pPr>
      <w:r w:rsidRPr="00952000">
        <w:rPr>
          <w:rFonts w:eastAsia="Times New Roman"/>
          <w:szCs w:val="24"/>
          <w:lang w:eastAsia="ru-RU"/>
        </w:rPr>
        <w:t xml:space="preserve">Туннелируемые катетеры – это имплантируемые катетеры, у которых при помощи подкожного туннеля разнесены места пункции вены и выхода на кожу. Внутри туннеля катетер имеет манжету, которая, врастая в окружающие ткани, фиксирует катетер в туннеле и препятствует распространению инфекции </w:t>
      </w:r>
      <w:r w:rsidRPr="00952000">
        <w:rPr>
          <w:rFonts w:eastAsia="Times New Roman"/>
          <w:szCs w:val="24"/>
          <w:lang w:eastAsia="ru-RU"/>
        </w:rPr>
        <w:fldChar w:fldCharType="begin" w:fldLock="1"/>
      </w:r>
      <w:r w:rsidR="00275BAA">
        <w:rPr>
          <w:rFonts w:eastAsia="Times New Roman"/>
          <w:szCs w:val="24"/>
          <w:lang w:eastAsia="ru-RU"/>
        </w:rPr>
        <w:instrText>ADDIN CSL_CITATION {"citationItems":[{"id":"ITEM-1","itemData":{"DOI":"10.1016/j.amjsurg.2017.03.021","ISSN":"18791883","PMID":"28364951","abstract":"Background Tunneled central venous catheters (CVC) were developed five decades ago. Since then, several clinician-inventors have created a variety of catheters with different functions. Indeed, many catheters have been named after their inventor. Many have wondered who the inventors were of each catheter, and what specifically inspired their inventions. Many of these compelling stories have yet to be told. Data source A literature review of common catheters and personal communication with inventors. Only first person accounts from inventors or those close to the invention were used. Conclusions CVCs are now essential devices that have saved countless lives. Though the inventors have earned the honor of naming their catheters, it may be reasonable to consider more consistent terminology to describe these catheters to avoid confusion.","author":[{"dropping-particle":"","family":"Gow","given":"Kenneth W.","non-dropping-particle":"","parse-names":false,"suffix":""},{"dropping-particle":"","family":"Tapper","given":"David","non-dropping-particle":"","parse-names":false,"suffix":""},{"dropping-particle":"","family":"Hickman","given":"Robert O.","non-dropping-particle":"","parse-names":false,"suffix":""}],"container-title":"American Journal of Surgery","id":"ITEM-1","issue":"5","issued":{"date-parts":[["2017"]]},"page":"837-848","publisher":"Elsevier Ltd","title":"Between the lines: The 50th anniversary of long-term central venous catheters","type":"article-journal","volume":"213"},"uris":["http://www.mendeley.com/documents/?uuid=161c3217-d679-4fd1-9554-18030d03e6fc","http://www.mendeley.com/documents/?uuid=fd0b87b9-b50a-4553-a221-0efbeb55e54e"]}],"mendeley":{"formattedCitation":"[192]","plainTextFormattedCitation":"[192]","previouslyFormattedCitation":"[192]"},"properties":{"noteIndex":0},"schema":"https://github.com/citation-style-language/schema/raw/master/csl-citation.json"}</w:instrText>
      </w:r>
      <w:r w:rsidRPr="00952000">
        <w:rPr>
          <w:rFonts w:eastAsia="Times New Roman"/>
          <w:szCs w:val="24"/>
          <w:lang w:eastAsia="ru-RU"/>
        </w:rPr>
        <w:fldChar w:fldCharType="separate"/>
      </w:r>
      <w:r w:rsidRPr="00934898">
        <w:rPr>
          <w:rFonts w:eastAsia="Times New Roman"/>
          <w:noProof/>
          <w:szCs w:val="24"/>
          <w:lang w:eastAsia="ru-RU"/>
        </w:rPr>
        <w:t>[192]</w:t>
      </w:r>
      <w:r w:rsidRPr="00952000">
        <w:rPr>
          <w:rFonts w:eastAsia="Times New Roman"/>
          <w:szCs w:val="24"/>
          <w:lang w:eastAsia="ru-RU"/>
        </w:rPr>
        <w:fldChar w:fldCharType="end"/>
      </w:r>
      <w:r w:rsidRPr="00952000">
        <w:rPr>
          <w:rFonts w:eastAsia="Times New Roman"/>
          <w:szCs w:val="24"/>
          <w:lang w:eastAsia="ru-RU"/>
        </w:rPr>
        <w:t xml:space="preserve">. </w:t>
      </w:r>
    </w:p>
    <w:p w14:paraId="684E7C89" w14:textId="10DC057F" w:rsidR="00934898" w:rsidRPr="00952000" w:rsidRDefault="00934898" w:rsidP="00934898">
      <w:pPr>
        <w:ind w:firstLine="708"/>
        <w:rPr>
          <w:rFonts w:eastAsia="Times New Roman"/>
          <w:szCs w:val="24"/>
          <w:lang w:eastAsia="ru-RU"/>
        </w:rPr>
      </w:pPr>
      <w:r w:rsidRPr="00952000">
        <w:rPr>
          <w:rFonts w:eastAsia="Times New Roman"/>
          <w:szCs w:val="24"/>
          <w:lang w:eastAsia="ru-RU"/>
        </w:rPr>
        <w:t>Туннелируемый тип катетера предпочтительнее нетуннелируемого</w:t>
      </w:r>
      <w:r>
        <w:rPr>
          <w:rFonts w:eastAsia="Times New Roman"/>
          <w:szCs w:val="24"/>
          <w:lang w:eastAsia="ru-RU"/>
        </w:rPr>
        <w:t>, особенно</w:t>
      </w:r>
      <w:r w:rsidRPr="00952000">
        <w:rPr>
          <w:rFonts w:eastAsia="Times New Roman"/>
          <w:szCs w:val="24"/>
          <w:lang w:eastAsia="ru-RU"/>
        </w:rPr>
        <w:t xml:space="preserve"> при необходимости проведения массивной инфузионной терапии </w:t>
      </w:r>
      <w:r>
        <w:rPr>
          <w:rFonts w:eastAsia="Times New Roman"/>
          <w:szCs w:val="24"/>
          <w:lang w:eastAsia="ru-RU"/>
        </w:rPr>
        <w:t>в течение более 3 недель</w:t>
      </w:r>
      <w:r w:rsidRPr="00952000">
        <w:rPr>
          <w:rFonts w:eastAsia="Times New Roman"/>
          <w:szCs w:val="24"/>
          <w:lang w:eastAsia="ru-RU"/>
        </w:rPr>
        <w:t xml:space="preserve">, особенно у онкогематологических пациентов </w:t>
      </w:r>
      <w:r w:rsidRPr="00952000">
        <w:rPr>
          <w:rFonts w:eastAsia="Times New Roman"/>
          <w:szCs w:val="24"/>
          <w:lang w:eastAsia="ru-RU"/>
        </w:rPr>
        <w:fldChar w:fldCharType="begin" w:fldLock="1"/>
      </w:r>
      <w:r w:rsidR="00275BAA">
        <w:rPr>
          <w:rFonts w:eastAsia="Times New Roman"/>
          <w:szCs w:val="24"/>
          <w:lang w:eastAsia="ru-RU"/>
        </w:rPr>
        <w:instrText>ADDIN CSL_CITATION {"citationItems":[{"id":"ITEM-1","itemData":{"DOI":"10.4274/tjh.2013.0278","ISSN":"1300-7777","PMID":"25805675","abstract":"OBJECTIVE Haematopoietic stem cell recipients need central venous catheters (CVCs) for easy administration of intravenous fluid, medications, apheresis, or dialysis procedures. However, CVCs may lead to infectious or non-infectious complications such as thrombosis. The effect of these complications on transplantation outcome is not clear. This manuscript presents the complication rates of double-lumen tunnelled CVCs and their effect on transplantation outcome. MATERIALS AND METHODS Data from 111 consecutive patients, of whom 75 received autologous and 36 received allogeneic peripheral blood stem cell transplantations, were collected retrospectively. The data were validated by the Record Inspection Group of the related JACIE-accredited transplantation centre. RESULTS Thrombosis developed in 2.7% of recipients (0.9 per 1000 catheter days). Catheter-related infection was identified in 14 (12.6%) patients (3.6 per 1000 catheter days). Coagulase-negative Staphylococcus was the most common causative agent. Engraftment time, rate of 100-day mortality, and development of grade II-IV graft-versus-host disease were not found to be associated with catheter-related complications. CONCLUSION These results indicate that adverse events related with tunnelled CVCs are manageable and have no negative effects on transplant outcome. Amaç: Hematopoetik kök hücre nakli alıcıları damar içi mayi, ilaç, aferez ve diyaliz işlemleri için santral venöz kateterlere (SVK) ihtiyaç duyarlar. Ancak SVK’ların enfeksiyöz ve tromboz gibi enfeksiyöz olmayan komplikasyonları vardır. Bu komplikasyonların nakil sürecine etkisi net değildir. Bu çalışma ile çift lümen tünelli santral kateter komplikasyonlarının sıklığı ve nakil sürecine etkisi araştırılmıştır. Gereç ve Yöntemler: Geriye dönük olarak 75 otolog ve 39 allojeneik periferik kök hücre nakli uygulanan toplam 111 hastanın verileri toparlandı. Verilerin doğruluğu JACIE akredite merkezimizin kayıt denetleme grubu tarafından kontrol edildi. Bulgular: Olguların %2,7’sinde tromboz gelişti (1000 kateter gününde 0,9). Hastaların 14’ünde (%12,6) kateter ilişkili enfeksiyon tesbit edildi (1000 kateter gününde 3,6). Koagulaz negatif Stafilokoklar en sık etken idi. Kateter ilişkili komplikasyonlar ile engrafman zamanı, evre II-IV graft versus host hastalığı ve 100 günlük mortalite arasında bir ilişki saptanmadı. Sonuç: Sonuçlarımız nakil hastalarında tünelli SVK komplikasyonlarının yönetilebilir olduğunu ve bu komplikasyonların nakil üzerine olu…","author":[{"dropping-particle":"","family":"Yeral","given":"Mahmut","non-dropping-particle":"","parse-names":false,"suffix":""},{"dropping-particle":"","family":"Boğa","given":"Can","non-dropping-particle":"","parse-names":false,"suffix":""},{"dropping-particle":"","family":"Oğuzkurt","given":"Levent","non-dropping-particle":"","parse-names":false,"suffix":""},{"dropping-particle":"","family":"Alışkan","given":"Hikmet Eda","non-dropping-particle":"","parse-names":false,"suffix":""},{"dropping-particle":"","family":"Özdoğu","given":"Hakan","non-dropping-particle":"","parse-names":false,"suffix":""},{"dropping-particle":"","family":"Demiroğlu","given":"Yusuf Ziya","non-dropping-particle":"","parse-names":false,"suffix":""}],"container-title":"Turkish journal of haematology : official journal of Turkish Society of Haematology","id":"ITEM-1","issue":"1","issued":{"date-parts":[["2015","3"]]},"page":"51-7","publisher":"Galenos Yayinevi","title":"Tunnelled central venous catheter-related problems in the early phase of haematopoietic stem cell transplantation and effects on transplant outcome.","type":"article-journal","volume":"32"},"uris":["http://www.mendeley.com/documents/?uuid=2bc92935-3e96-3617-9553-d5dd4c0694cf","http://www.mendeley.com/documents/?uuid=af150765-c543-48ae-8459-7ae0c47be16e"]}],"mendeley":{"formattedCitation":"[193]","plainTextFormattedCitation":"[193]","previouslyFormattedCitation":"[193]"},"properties":{"noteIndex":0},"schema":"https://github.com/citation-style-language/schema/raw/master/csl-citation.json"}</w:instrText>
      </w:r>
      <w:r w:rsidRPr="00952000">
        <w:rPr>
          <w:rFonts w:eastAsia="Times New Roman"/>
          <w:szCs w:val="24"/>
          <w:lang w:eastAsia="ru-RU"/>
        </w:rPr>
        <w:fldChar w:fldCharType="separate"/>
      </w:r>
      <w:r w:rsidRPr="00934898">
        <w:rPr>
          <w:rFonts w:eastAsia="Times New Roman"/>
          <w:noProof/>
          <w:szCs w:val="24"/>
          <w:lang w:eastAsia="ru-RU"/>
        </w:rPr>
        <w:t>[193]</w:t>
      </w:r>
      <w:r w:rsidRPr="00952000">
        <w:rPr>
          <w:rFonts w:eastAsia="Times New Roman"/>
          <w:szCs w:val="24"/>
          <w:lang w:eastAsia="ru-RU"/>
        </w:rPr>
        <w:fldChar w:fldCharType="end"/>
      </w:r>
      <w:r w:rsidRPr="00952000">
        <w:rPr>
          <w:rFonts w:eastAsia="Times New Roman"/>
          <w:szCs w:val="24"/>
          <w:lang w:eastAsia="ru-RU"/>
        </w:rPr>
        <w:t xml:space="preserve">. </w:t>
      </w:r>
    </w:p>
    <w:p w14:paraId="260C80DE" w14:textId="77777777" w:rsidR="00934898" w:rsidRPr="00952000" w:rsidRDefault="00934898" w:rsidP="00934898">
      <w:pPr>
        <w:ind w:firstLine="708"/>
        <w:rPr>
          <w:rFonts w:eastAsia="Times New Roman"/>
          <w:i/>
          <w:szCs w:val="24"/>
          <w:lang w:eastAsia="ru-RU"/>
        </w:rPr>
      </w:pPr>
      <w:r w:rsidRPr="00952000">
        <w:rPr>
          <w:rFonts w:eastAsia="Times New Roman"/>
          <w:i/>
          <w:szCs w:val="24"/>
          <w:lang w:eastAsia="ru-RU"/>
        </w:rPr>
        <w:t xml:space="preserve">Порт-системы </w:t>
      </w:r>
    </w:p>
    <w:p w14:paraId="48B88A1B" w14:textId="078A9908" w:rsidR="00934898" w:rsidRPr="00952000" w:rsidRDefault="00934898" w:rsidP="00934898">
      <w:pPr>
        <w:ind w:firstLine="708"/>
        <w:rPr>
          <w:rFonts w:eastAsia="Times New Roman"/>
          <w:szCs w:val="24"/>
          <w:lang w:eastAsia="ru-RU"/>
        </w:rPr>
      </w:pPr>
      <w:r w:rsidRPr="00952000">
        <w:rPr>
          <w:rFonts w:eastAsia="Times New Roman"/>
          <w:szCs w:val="24"/>
          <w:lang w:eastAsia="ru-RU"/>
        </w:rPr>
        <w:t>Полностью имплантируемые венозные устройства доступа используются для обеспечения долгосрочного центрального венозного доступа при проведении химиотерапии, парентерального питания, обеспечения возможности профилактического введения фактора свёртывания при наследственных коагулопатиях, например, гемофилии. Порт-системы</w:t>
      </w:r>
      <w:r w:rsidRPr="00952000">
        <w:rPr>
          <w:rFonts w:eastAsia="Times New Roman"/>
          <w:strike/>
          <w:szCs w:val="24"/>
          <w:lang w:eastAsia="ru-RU"/>
        </w:rPr>
        <w:t xml:space="preserve"> </w:t>
      </w:r>
      <w:r w:rsidRPr="00952000">
        <w:rPr>
          <w:rFonts w:eastAsia="Times New Roman"/>
          <w:szCs w:val="24"/>
          <w:lang w:eastAsia="ru-RU"/>
        </w:rPr>
        <w:t xml:space="preserve">полностью скрыты от внешней среды под кожей, их наличие никак не влияет на физическую активность пациентов и считается, что порт-система – это наименее подверженный инфицированию тип ЦВК </w:t>
      </w:r>
      <w:r w:rsidRPr="00952000">
        <w:rPr>
          <w:rFonts w:eastAsia="Times New Roman"/>
          <w:szCs w:val="24"/>
          <w:lang w:eastAsia="ru-RU"/>
        </w:rPr>
        <w:fldChar w:fldCharType="begin" w:fldLock="1"/>
      </w:r>
      <w:r w:rsidR="00275BAA">
        <w:rPr>
          <w:rFonts w:eastAsia="Times New Roman"/>
          <w:szCs w:val="24"/>
          <w:lang w:eastAsia="ru-RU"/>
        </w:rPr>
        <w:instrText>ADDIN CSL_CITATION {"citationItems":[{"id":"ITEM-1","itemData":{"DOI":"10.4065/81.9.1159","ISSN":"00256196","abstract":"&lt;h3&gt;OBJECTIVE&lt;/h3&gt;&lt;p&gt;To better understand the absolute and relative risks of bloodstream infection (BSI) associated with the various types of intravascular devices (IVDs), we analyzed 200 published studies of adults in which every device in the study population was prospectively evaluated for evidence of associated infection and microbiologically based criteria were used to define IVD-related BSI.&lt;/p&gt;&lt;h3&gt;METHODS&lt;/h3&gt;&lt;p&gt;English-language reports of prospective studies of adults published between January 1, 1966, and July 1, 2005, were identified by MEDLINE search using the following general search strategy: bacteremia [Medical Subject Heading, MeSH] OR septicemia [MeSH] OR bloodstream infection AND the specific type of intravascular device (eg, central venous port). Mean rates of IVD-related BSI were calculated from pooled data for each type of device and expressed as BSIs per 100 IVDs (%) and per 1000 IVD days.&lt;/p&gt;&lt;h3&gt;RESULTS&lt;/h3&gt;&lt;p&gt;Point incidence rates of IVD-related BSI were lowest with peripheral intravenous catheters (0.1%, 0.5 per 1000 IVD-days) and midline catheters (0.4%, 0.2 per 1000 catheter-days). Far higher rates were seen with short-term noncuffed and nonmedicated central venous catheters (CVCs) (4.4%, 2.7 per 1000 catheter-days). Arterial catheters used for hemodynamic monitoring (0.8%, 1.7 per 1000 catheter-days) and peripherally inserted central catheters used in hospitalized patients (2.4%, 2.1 per 1000 catheter-days) posed risks approaching those seen with short-term conventional CVCs used in the intensive care unit. Surgically implanted long-term central venous devices—cuffed and tunneled catheters (22.5%, 1.6 per 1000 IVD-days) and central venous ports (3.6%, 0.1 per 1000 IVD-days)—appear to have high rates of infection when risk is expressed as BSIs per 100 IVDs but actually pose much lower risk when rates are expressed per 1000 IVD-days. The use of cuffed and tunneled dual lumen CVCs rather than noncuffed, nontunneled catheters for temporary hemodialysis and novel preventive technologies, such as CVCs with anti-infective surfaces, was associated with considerably lower rates of catheter-related BSI.&lt;/p&gt;&lt;h3&gt;CONCLUSIONS&lt;/h3&gt;&lt;p&gt;Expressing risk of IVD-related BSI per 1000 IVD-days rather than BSIs per 100 IVDs allows for more meaningful estimates of risk. These data, based on prospective studies in which every IVD in the study cohort was analyzed for evidence of infection by microbiologically based criteria, show that &lt;i&gt;all&lt;/i&gt; types o…","author":[{"dropping-particle":"","family":"Maki","given":"Dennis G.","non-dropping-particle":"","parse-names":false,"suffix":""},{"dropping-particle":"","family":"Kluger","given":"Daniel M.","non-dropping-particle":"","parse-names":false,"suffix":""},{"dropping-particle":"","family":"Crnich","given":"Christopher J.","non-dropping-particle":"","parse-names":false,"suffix":""}],"container-title":"Mayo Clinic Proceedings","id":"ITEM-1","issue":"9","issued":{"date-parts":[["2006","9"]]},"page":"1159-1171","publisher":"Elsevier","title":"The Risk of Bloodstream Infection in Adults With Different Intravascular Devices: A Systematic Review of 200 Published Prospective Studies","type":"article-journal","volume":"81"},"uris":["http://www.mendeley.com/documents/?uuid=f5c4baf8-7e14-301a-815e-3dfe468d40e4","http://www.mendeley.com/documents/?uuid=3cd9be52-e3e0-46b8-abdf-c9f0acf4135d"]}],"mendeley":{"formattedCitation":"[194]","plainTextFormattedCitation":"[194]","previouslyFormattedCitation":"[194]"},"properties":{"noteIndex":0},"schema":"https://github.com/citation-style-language/schema/raw/master/csl-citation.json"}</w:instrText>
      </w:r>
      <w:r w:rsidRPr="00952000">
        <w:rPr>
          <w:rFonts w:eastAsia="Times New Roman"/>
          <w:szCs w:val="24"/>
          <w:lang w:eastAsia="ru-RU"/>
        </w:rPr>
        <w:fldChar w:fldCharType="separate"/>
      </w:r>
      <w:r w:rsidRPr="00934898">
        <w:rPr>
          <w:rFonts w:eastAsia="Times New Roman"/>
          <w:noProof/>
          <w:szCs w:val="24"/>
          <w:lang w:eastAsia="ru-RU"/>
        </w:rPr>
        <w:t>[194]</w:t>
      </w:r>
      <w:r w:rsidRPr="00952000">
        <w:rPr>
          <w:rFonts w:eastAsia="Times New Roman"/>
          <w:szCs w:val="24"/>
          <w:lang w:eastAsia="ru-RU"/>
        </w:rPr>
        <w:fldChar w:fldCharType="end"/>
      </w:r>
      <w:r w:rsidRPr="00952000">
        <w:rPr>
          <w:rFonts w:eastAsia="Times New Roman"/>
          <w:szCs w:val="24"/>
          <w:lang w:eastAsia="ru-RU"/>
        </w:rPr>
        <w:t xml:space="preserve">. </w:t>
      </w:r>
    </w:p>
    <w:p w14:paraId="6A971642" w14:textId="77777777" w:rsidR="00934898" w:rsidRPr="00952000" w:rsidRDefault="00934898" w:rsidP="00934898">
      <w:pPr>
        <w:ind w:firstLine="708"/>
        <w:rPr>
          <w:rFonts w:eastAsia="Times New Roman"/>
          <w:szCs w:val="24"/>
          <w:lang w:eastAsia="ru-RU"/>
        </w:rPr>
      </w:pPr>
      <w:r w:rsidRPr="00952000">
        <w:rPr>
          <w:rFonts w:eastAsia="Times New Roman"/>
          <w:szCs w:val="24"/>
          <w:lang w:eastAsia="ru-RU"/>
        </w:rPr>
        <w:t xml:space="preserve">В настоящее время существует множество модификаций порт-систем, в т.ч. МРТ совместимые модификации и изделия, обладающие высокой пропускной способностью, позволяющие проводить введение контрастных веществ с использованием автоматических устройств. </w:t>
      </w:r>
    </w:p>
    <w:p w14:paraId="413DC3C2" w14:textId="77777777" w:rsidR="00934898" w:rsidRPr="00952000" w:rsidRDefault="00934898" w:rsidP="00934898">
      <w:pPr>
        <w:ind w:firstLine="708"/>
        <w:rPr>
          <w:rFonts w:eastAsia="Times New Roman"/>
          <w:i/>
          <w:szCs w:val="24"/>
          <w:lang w:eastAsia="ru-RU"/>
        </w:rPr>
      </w:pPr>
      <w:r w:rsidRPr="00952000">
        <w:rPr>
          <w:rFonts w:eastAsia="Times New Roman"/>
          <w:i/>
          <w:szCs w:val="24"/>
          <w:lang w:eastAsia="ru-RU"/>
        </w:rPr>
        <w:t>Периферически имплантируемые центральные венозные катетеры.</w:t>
      </w:r>
    </w:p>
    <w:p w14:paraId="798BC4E3" w14:textId="429D85DB" w:rsidR="00934898" w:rsidRPr="00952000" w:rsidRDefault="00934898" w:rsidP="00934898">
      <w:pPr>
        <w:ind w:firstLine="708"/>
        <w:rPr>
          <w:rFonts w:eastAsia="Times New Roman"/>
          <w:szCs w:val="24"/>
          <w:lang w:eastAsia="ru-RU"/>
        </w:rPr>
      </w:pPr>
      <w:r w:rsidRPr="00952000">
        <w:rPr>
          <w:rFonts w:eastAsia="Times New Roman"/>
          <w:szCs w:val="24"/>
          <w:lang w:eastAsia="ru-RU"/>
        </w:rPr>
        <w:t>Периферически имплантируемые центральные венозные катетеры (ПИЦВК) – это катетеры для долговременного центрального венозного доступа, которые устанавливают через одну из периферических вен руки в центральную вену. ПИЦВК изготавливаются из силикона или полиуретана, они могут быть одно-, двух- и трехпросветными, их диаметр различный, от 3 Fr до 7 Fr. ПИЦВК используют для проведения терапии</w:t>
      </w:r>
      <w:r>
        <w:rPr>
          <w:rFonts w:eastAsia="Times New Roman"/>
          <w:szCs w:val="24"/>
          <w:lang w:eastAsia="ru-RU"/>
        </w:rPr>
        <w:t xml:space="preserve"> </w:t>
      </w:r>
      <w:r w:rsidRPr="00952000">
        <w:rPr>
          <w:rFonts w:eastAsia="Times New Roman"/>
          <w:szCs w:val="24"/>
          <w:lang w:eastAsia="ru-RU"/>
        </w:rPr>
        <w:t xml:space="preserve">(химиотерапия, гемостатическая терапия и т.д.), в среднем, от 6 мес. до 1 года и рассматривают как вариант центрального венозного доступа, который может использоваться как в стационарных, так и в амбулаторных условиях, как ежедневно, так и периодически, обеспечивая пациенту безопасность и комфорт </w:t>
      </w:r>
      <w:r w:rsidRPr="00952000">
        <w:rPr>
          <w:rFonts w:eastAsia="Times New Roman"/>
          <w:szCs w:val="24"/>
          <w:lang w:eastAsia="ru-RU"/>
        </w:rPr>
        <w:fldChar w:fldCharType="begin" w:fldLock="1"/>
      </w:r>
      <w:r w:rsidR="00275BAA">
        <w:rPr>
          <w:rFonts w:eastAsia="Times New Roman"/>
          <w:szCs w:val="24"/>
          <w:lang w:eastAsia="ru-RU"/>
        </w:rPr>
        <w:instrText>ADDIN CSL_CITATION {"citationItems":[{"id":"ITEM-1","itemData":{"DOI":"10.1002/9780470750186","ISBN":"9780470750186","author":[{"dropping-particle":"","family":"Hamilton","given":"Helen","non-dropping-particle":"","parse-names":false,"suffix":""}],"editor":[{"dropping-particle":"","family":"Bodenham","given":"Andrew R.","non-dropping-particle":"","parse-names":false,"suffix":""}],"id":"ITEM-1","issued":{"date-parts":[["2009","2"]]},"publisher":"Wiley-Blackwell","publisher-place":"Oxford, UK","title":"Central Venous Catheters","type":"book"},"uris":["http://www.mendeley.com/documents/?uuid=e2be4192-4b13-32c7-ac3a-c1ee92dec830","http://www.mendeley.com/documents/?uuid=e9419574-fa82-44c8-8d1a-190e223d334b"]}],"mendeley":{"formattedCitation":"[195]","plainTextFormattedCitation":"[195]","previouslyFormattedCitation":"[195]"},"properties":{"noteIndex":0},"schema":"https://github.com/citation-style-language/schema/raw/master/csl-citation.json"}</w:instrText>
      </w:r>
      <w:r w:rsidRPr="00952000">
        <w:rPr>
          <w:rFonts w:eastAsia="Times New Roman"/>
          <w:szCs w:val="24"/>
          <w:lang w:eastAsia="ru-RU"/>
        </w:rPr>
        <w:fldChar w:fldCharType="separate"/>
      </w:r>
      <w:r w:rsidRPr="00934898">
        <w:rPr>
          <w:rFonts w:eastAsia="Times New Roman"/>
          <w:noProof/>
          <w:szCs w:val="24"/>
          <w:lang w:eastAsia="ru-RU"/>
        </w:rPr>
        <w:t>[195]</w:t>
      </w:r>
      <w:r w:rsidRPr="00952000">
        <w:rPr>
          <w:rFonts w:eastAsia="Times New Roman"/>
          <w:szCs w:val="24"/>
          <w:lang w:eastAsia="ru-RU"/>
        </w:rPr>
        <w:fldChar w:fldCharType="end"/>
      </w:r>
      <w:r w:rsidRPr="00952000">
        <w:rPr>
          <w:rFonts w:eastAsia="Times New Roman"/>
          <w:szCs w:val="24"/>
          <w:lang w:eastAsia="ru-RU"/>
        </w:rPr>
        <w:fldChar w:fldCharType="begin" w:fldLock="1"/>
      </w:r>
      <w:r w:rsidR="00275BAA">
        <w:rPr>
          <w:rFonts w:eastAsia="Times New Roman"/>
          <w:szCs w:val="24"/>
          <w:lang w:val="en-US" w:eastAsia="ru-RU"/>
        </w:rPr>
        <w:instrText>ADDIN CSL_CITATION {"citationItems":[{"id":"ITEM-1","itemData":{"DOI":"10.1007/978-88-470-5665-7_1","author":[{"dropping-particle":"","family":"Biffi","given":"Roberto","non-dropping-particle":"","parse-names":false,"suffix":""}],"container-title":"Peripherally Inserted Central Venous Catheters","id":"ITEM-1","issued":{"date-parts":[["2014"]]},"page":"1-6","publisher":"Springer Milan","publisher-place":"Milano","title":"Introduction and Overview of PICC History","type":"chapter"},"uris":["http://www.mendeley.com/documents/?uuid=7dba9d59-13c1-354f-9c32-ced4c0b75a01","http://www.mendeley.com/documents/?uuid=575e509f-3cbc-47da-b3dc-996cea404095"]}],"mendeley":{"formattedCitation":"[196]","plainTextFormattedCitation":"[196]","previouslyFormattedCitation":"[196]"},"properties":{"noteIndex":0},"schema":"https://github.com/citation-style-language/schema/raw/master/csl-citation.json"}</w:instrText>
      </w:r>
      <w:r w:rsidRPr="00952000">
        <w:rPr>
          <w:rFonts w:eastAsia="Times New Roman"/>
          <w:szCs w:val="24"/>
          <w:lang w:eastAsia="ru-RU"/>
        </w:rPr>
        <w:fldChar w:fldCharType="separate"/>
      </w:r>
      <w:r w:rsidRPr="00934898">
        <w:rPr>
          <w:rFonts w:eastAsia="Times New Roman"/>
          <w:noProof/>
          <w:szCs w:val="24"/>
          <w:lang w:eastAsia="ru-RU"/>
        </w:rPr>
        <w:t>[196]</w:t>
      </w:r>
      <w:r w:rsidRPr="00952000">
        <w:rPr>
          <w:rFonts w:eastAsia="Times New Roman"/>
          <w:szCs w:val="24"/>
          <w:lang w:eastAsia="ru-RU"/>
        </w:rPr>
        <w:fldChar w:fldCharType="end"/>
      </w:r>
      <w:r w:rsidRPr="00952000">
        <w:rPr>
          <w:rFonts w:eastAsia="Times New Roman"/>
          <w:szCs w:val="24"/>
          <w:lang w:eastAsia="ru-RU"/>
        </w:rPr>
        <w:t>. ПИЦВК имеют ряд преимуществ перед обычными ЦВК. При их установке исключен риск пневмоторакса и гемоторакса, пациенты отмечают больший комфорт, иногда предпочитают по косметическим причинам. Важным преимуществом ПИЦВК является и меньшее количество инфекционных осложнений. ПИЦВК практически незаменимы при наличии выраженного геморрагического синдрома.</w:t>
      </w:r>
    </w:p>
    <w:p w14:paraId="020D2963" w14:textId="77777777" w:rsidR="00934898" w:rsidRPr="00952000" w:rsidRDefault="00934898" w:rsidP="00934898">
      <w:pPr>
        <w:ind w:firstLine="708"/>
        <w:rPr>
          <w:rFonts w:eastAsia="Times New Roman"/>
          <w:i/>
          <w:szCs w:val="24"/>
          <w:lang w:eastAsia="ru-RU"/>
        </w:rPr>
      </w:pPr>
      <w:r w:rsidRPr="00952000">
        <w:rPr>
          <w:rFonts w:eastAsia="Times New Roman"/>
          <w:i/>
          <w:szCs w:val="24"/>
          <w:lang w:eastAsia="ru-RU"/>
        </w:rPr>
        <w:t>Диализные катетеры.</w:t>
      </w:r>
    </w:p>
    <w:p w14:paraId="4DF96440" w14:textId="77777777" w:rsidR="00934898" w:rsidRPr="00952000" w:rsidRDefault="00934898" w:rsidP="00934898">
      <w:pPr>
        <w:ind w:firstLine="700"/>
        <w:rPr>
          <w:szCs w:val="24"/>
        </w:rPr>
      </w:pPr>
      <w:r w:rsidRPr="00952000">
        <w:rPr>
          <w:rFonts w:eastAsia="Times New Roman"/>
          <w:szCs w:val="24"/>
          <w:lang w:eastAsia="ru-RU"/>
        </w:rPr>
        <w:t xml:space="preserve">Отдельное место занимают так называемые диализные катетеры, то есть катетеры, которые используются для проведения заместительной почечной терапии, а также процедур плазмафереза и лейкоцитафереза, сбора гемопоэтических стволовых клеток. Связано это с большим диаметром катетера, а также особенностями строения дистального конца катетера. </w:t>
      </w:r>
      <w:r w:rsidRPr="00952000">
        <w:rPr>
          <w:szCs w:val="24"/>
        </w:rPr>
        <w:t>Они устанавливаются на время формирования (“созревания”) фистулы или протеза у больных с хронической почечной недостаточностью, нуждающихся в программном гемодиализе или в качестве единственного сосудистого доступа при наличии тяжелой сердечной недостаточности.</w:t>
      </w:r>
    </w:p>
    <w:p w14:paraId="7387C84F" w14:textId="77777777" w:rsidR="00934898" w:rsidRPr="00781F82" w:rsidRDefault="00934898" w:rsidP="00934898">
      <w:pPr>
        <w:ind w:firstLine="709"/>
        <w:rPr>
          <w:i/>
          <w:iCs/>
          <w:szCs w:val="24"/>
          <w:u w:val="single"/>
        </w:rPr>
      </w:pPr>
      <w:r w:rsidRPr="00781F82">
        <w:rPr>
          <w:i/>
          <w:iCs/>
          <w:szCs w:val="24"/>
          <w:u w:val="single"/>
        </w:rPr>
        <w:t>Осложнения</w:t>
      </w:r>
      <w:r w:rsidRPr="00781F82">
        <w:rPr>
          <w:rFonts w:eastAsia="Times New Roman"/>
          <w:i/>
          <w:iCs/>
          <w:szCs w:val="24"/>
          <w:u w:val="single"/>
          <w:lang w:eastAsia="ru-RU"/>
        </w:rPr>
        <w:t xml:space="preserve"> катетеризации центральных вен</w:t>
      </w:r>
    </w:p>
    <w:p w14:paraId="3B1C8678" w14:textId="77777777" w:rsidR="00934898" w:rsidRPr="00952000" w:rsidRDefault="00934898" w:rsidP="00934898">
      <w:pPr>
        <w:ind w:firstLine="709"/>
        <w:rPr>
          <w:rFonts w:eastAsia="Times New Roman"/>
          <w:szCs w:val="24"/>
          <w:lang w:eastAsia="ru-RU"/>
        </w:rPr>
      </w:pPr>
      <w:r w:rsidRPr="00952000">
        <w:rPr>
          <w:rFonts w:eastAsia="Times New Roman"/>
          <w:i/>
          <w:szCs w:val="24"/>
          <w:lang w:eastAsia="ru-RU"/>
        </w:rPr>
        <w:t>К ранним осложнениям</w:t>
      </w:r>
      <w:r w:rsidRPr="00952000">
        <w:rPr>
          <w:rFonts w:eastAsia="Times New Roman"/>
          <w:szCs w:val="24"/>
          <w:lang w:eastAsia="ru-RU"/>
        </w:rPr>
        <w:t xml:space="preserve"> относят возникшие во время проведения манипуляции:</w:t>
      </w:r>
    </w:p>
    <w:p w14:paraId="505F8887" w14:textId="77777777" w:rsidR="00934898" w:rsidRPr="00952000" w:rsidRDefault="00934898" w:rsidP="0091350E">
      <w:pPr>
        <w:pStyle w:val="aff"/>
        <w:numPr>
          <w:ilvl w:val="0"/>
          <w:numId w:val="116"/>
        </w:numPr>
        <w:ind w:left="993" w:hanging="284"/>
        <w:contextualSpacing/>
        <w:rPr>
          <w:rFonts w:eastAsia="Times New Roman"/>
          <w:szCs w:val="24"/>
          <w:lang w:eastAsia="ru-RU"/>
        </w:rPr>
      </w:pPr>
      <w:r w:rsidRPr="00952000">
        <w:rPr>
          <w:rFonts w:eastAsia="Times New Roman"/>
          <w:szCs w:val="24"/>
          <w:lang w:eastAsia="ru-RU"/>
        </w:rPr>
        <w:t xml:space="preserve">ранение магистральных артерий, </w:t>
      </w:r>
    </w:p>
    <w:p w14:paraId="7C058233" w14:textId="77777777" w:rsidR="00934898" w:rsidRPr="00952000" w:rsidRDefault="00934898" w:rsidP="0091350E">
      <w:pPr>
        <w:pStyle w:val="aff"/>
        <w:numPr>
          <w:ilvl w:val="0"/>
          <w:numId w:val="116"/>
        </w:numPr>
        <w:ind w:left="993" w:hanging="284"/>
        <w:contextualSpacing/>
        <w:rPr>
          <w:rFonts w:eastAsia="Times New Roman"/>
          <w:szCs w:val="24"/>
          <w:lang w:eastAsia="ru-RU"/>
        </w:rPr>
      </w:pPr>
      <w:r w:rsidRPr="00952000">
        <w:rPr>
          <w:rFonts w:eastAsia="Times New Roman"/>
          <w:szCs w:val="24"/>
          <w:lang w:eastAsia="ru-RU"/>
        </w:rPr>
        <w:t>развитие гематомы в месте пункции сосуда</w:t>
      </w:r>
    </w:p>
    <w:p w14:paraId="7A60D297" w14:textId="77777777" w:rsidR="00934898" w:rsidRPr="00952000" w:rsidRDefault="00934898" w:rsidP="0091350E">
      <w:pPr>
        <w:pStyle w:val="aff"/>
        <w:numPr>
          <w:ilvl w:val="0"/>
          <w:numId w:val="116"/>
        </w:numPr>
        <w:ind w:left="993" w:hanging="284"/>
        <w:contextualSpacing/>
        <w:rPr>
          <w:rFonts w:eastAsia="Times New Roman"/>
          <w:szCs w:val="24"/>
          <w:lang w:eastAsia="ru-RU"/>
        </w:rPr>
      </w:pPr>
      <w:r w:rsidRPr="00952000">
        <w:rPr>
          <w:rFonts w:eastAsia="Times New Roman"/>
          <w:szCs w:val="24"/>
          <w:lang w:eastAsia="ru-RU"/>
        </w:rPr>
        <w:t xml:space="preserve">развитие пневмоторакса, гемоторакса, </w:t>
      </w:r>
    </w:p>
    <w:p w14:paraId="6F7BD2A1" w14:textId="77777777" w:rsidR="00934898" w:rsidRPr="00952000" w:rsidRDefault="00934898" w:rsidP="0091350E">
      <w:pPr>
        <w:pStyle w:val="aff"/>
        <w:numPr>
          <w:ilvl w:val="0"/>
          <w:numId w:val="116"/>
        </w:numPr>
        <w:ind w:left="993" w:hanging="284"/>
        <w:contextualSpacing/>
        <w:rPr>
          <w:rFonts w:eastAsia="Times New Roman"/>
          <w:szCs w:val="24"/>
          <w:lang w:eastAsia="ru-RU"/>
        </w:rPr>
      </w:pPr>
      <w:r w:rsidRPr="00952000">
        <w:rPr>
          <w:rFonts w:eastAsia="Times New Roman"/>
          <w:szCs w:val="24"/>
          <w:lang w:eastAsia="ru-RU"/>
        </w:rPr>
        <w:t xml:space="preserve">ранение грудного лимфатического протока, </w:t>
      </w:r>
    </w:p>
    <w:p w14:paraId="7C4C5A5A" w14:textId="77777777" w:rsidR="00934898" w:rsidRPr="00952000" w:rsidRDefault="00934898" w:rsidP="0091350E">
      <w:pPr>
        <w:pStyle w:val="aff"/>
        <w:numPr>
          <w:ilvl w:val="0"/>
          <w:numId w:val="116"/>
        </w:numPr>
        <w:ind w:left="993" w:hanging="284"/>
        <w:contextualSpacing/>
        <w:rPr>
          <w:rFonts w:eastAsia="Times New Roman"/>
          <w:szCs w:val="24"/>
          <w:lang w:eastAsia="ru-RU"/>
        </w:rPr>
      </w:pPr>
      <w:r w:rsidRPr="00952000">
        <w:rPr>
          <w:rFonts w:eastAsia="Times New Roman"/>
          <w:szCs w:val="24"/>
          <w:lang w:eastAsia="ru-RU"/>
        </w:rPr>
        <w:t xml:space="preserve">повреждение нервных сплетений, </w:t>
      </w:r>
    </w:p>
    <w:p w14:paraId="1833363E" w14:textId="77777777" w:rsidR="00934898" w:rsidRPr="00952000" w:rsidRDefault="00934898" w:rsidP="0091350E">
      <w:pPr>
        <w:pStyle w:val="aff"/>
        <w:numPr>
          <w:ilvl w:val="0"/>
          <w:numId w:val="116"/>
        </w:numPr>
        <w:ind w:left="993" w:hanging="284"/>
        <w:contextualSpacing/>
        <w:rPr>
          <w:rFonts w:eastAsia="Times New Roman"/>
          <w:szCs w:val="24"/>
          <w:lang w:eastAsia="ru-RU"/>
        </w:rPr>
      </w:pPr>
      <w:r w:rsidRPr="00952000">
        <w:rPr>
          <w:rFonts w:eastAsia="Times New Roman"/>
          <w:szCs w:val="24"/>
          <w:lang w:eastAsia="ru-RU"/>
        </w:rPr>
        <w:t>неправильная установка катетера</w:t>
      </w:r>
    </w:p>
    <w:p w14:paraId="7FB4B2A0" w14:textId="77777777" w:rsidR="00934898" w:rsidRPr="00952000" w:rsidRDefault="00934898" w:rsidP="00934898">
      <w:pPr>
        <w:ind w:firstLine="709"/>
        <w:rPr>
          <w:szCs w:val="24"/>
        </w:rPr>
      </w:pPr>
      <w:r w:rsidRPr="00952000">
        <w:rPr>
          <w:i/>
          <w:iCs/>
          <w:szCs w:val="24"/>
        </w:rPr>
        <w:t>Поздние осложнения</w:t>
      </w:r>
      <w:r>
        <w:rPr>
          <w:i/>
          <w:iCs/>
          <w:szCs w:val="24"/>
        </w:rPr>
        <w:t>,</w:t>
      </w:r>
      <w:r w:rsidRPr="00952000">
        <w:rPr>
          <w:szCs w:val="24"/>
        </w:rPr>
        <w:t xml:space="preserve"> возникающие во время или после эксплуатации катетера</w:t>
      </w:r>
      <w:r>
        <w:rPr>
          <w:szCs w:val="24"/>
        </w:rPr>
        <w:t>,</w:t>
      </w:r>
      <w:r w:rsidRPr="00952000">
        <w:rPr>
          <w:szCs w:val="24"/>
        </w:rPr>
        <w:t xml:space="preserve"> бывают тромботическими, стенотическими и инфекционными.</w:t>
      </w:r>
    </w:p>
    <w:p w14:paraId="5235969D" w14:textId="77777777" w:rsidR="00934898" w:rsidRPr="00952000" w:rsidRDefault="00934898" w:rsidP="00934898">
      <w:pPr>
        <w:ind w:firstLine="708"/>
        <w:rPr>
          <w:szCs w:val="24"/>
        </w:rPr>
      </w:pPr>
      <w:r w:rsidRPr="00952000">
        <w:rPr>
          <w:szCs w:val="24"/>
        </w:rPr>
        <w:t>Под катетер-ассоциированным тромбозом (</w:t>
      </w:r>
      <w:r w:rsidRPr="00952000">
        <w:rPr>
          <w:i/>
          <w:szCs w:val="24"/>
        </w:rPr>
        <w:t xml:space="preserve">КАТ) </w:t>
      </w:r>
      <w:r w:rsidRPr="00952000">
        <w:rPr>
          <w:szCs w:val="24"/>
        </w:rPr>
        <w:t xml:space="preserve">понимают сочетание клинических и инструментальных признаков тромбоза. </w:t>
      </w:r>
    </w:p>
    <w:p w14:paraId="6CDFF3DA" w14:textId="77777777" w:rsidR="00934898" w:rsidRPr="00952000" w:rsidRDefault="00934898" w:rsidP="0091350E">
      <w:pPr>
        <w:pStyle w:val="aff"/>
        <w:numPr>
          <w:ilvl w:val="0"/>
          <w:numId w:val="120"/>
        </w:numPr>
        <w:ind w:left="0" w:firstLine="349"/>
        <w:contextualSpacing/>
        <w:rPr>
          <w:szCs w:val="24"/>
        </w:rPr>
      </w:pPr>
      <w:r w:rsidRPr="00952000">
        <w:rPr>
          <w:szCs w:val="24"/>
        </w:rPr>
        <w:t xml:space="preserve">Клинические признаки: гиперемия кожи, отек подкожной клетчатки и боль, усиление подкожного сосудистого рисунка на стороне установки катетера, нарушение проходимости катетера, истечение жидкости по каналу катетера при проведении инфузии. </w:t>
      </w:r>
    </w:p>
    <w:p w14:paraId="669AE4D5" w14:textId="77777777" w:rsidR="00934898" w:rsidRPr="00952000" w:rsidRDefault="00934898" w:rsidP="0091350E">
      <w:pPr>
        <w:pStyle w:val="aff"/>
        <w:numPr>
          <w:ilvl w:val="0"/>
          <w:numId w:val="120"/>
        </w:numPr>
        <w:ind w:left="0" w:firstLine="349"/>
        <w:contextualSpacing/>
        <w:rPr>
          <w:szCs w:val="24"/>
        </w:rPr>
      </w:pPr>
      <w:r w:rsidRPr="00952000">
        <w:rPr>
          <w:szCs w:val="24"/>
        </w:rPr>
        <w:t xml:space="preserve">Инструментальные признаки: выявление при </w:t>
      </w:r>
      <w:r w:rsidRPr="00952000">
        <w:rPr>
          <w:i/>
          <w:szCs w:val="24"/>
        </w:rPr>
        <w:t>УЗИ</w:t>
      </w:r>
      <w:r w:rsidRPr="00952000">
        <w:rPr>
          <w:szCs w:val="24"/>
        </w:rPr>
        <w:t xml:space="preserve"> гиперэхогенного образования в месте установки катетера, полностью или частично перекрывающего просвет сосуда, препятствующее смыканию стенок вен при компрессии датчиком, полное или частичное отсутствие кровотока при УЗИ в допплеровском режиме, появление турбулентного тока крови; дефекты контрастирования сосудов при </w:t>
      </w:r>
      <w:r w:rsidRPr="00952000">
        <w:rPr>
          <w:i/>
          <w:szCs w:val="24"/>
        </w:rPr>
        <w:t>КТ-ангиографии или прямой ангиографии</w:t>
      </w:r>
      <w:r w:rsidRPr="00952000">
        <w:rPr>
          <w:szCs w:val="24"/>
        </w:rPr>
        <w:t>.</w:t>
      </w:r>
    </w:p>
    <w:p w14:paraId="5F49BC48" w14:textId="77777777" w:rsidR="00934898" w:rsidRPr="00952000" w:rsidRDefault="00934898" w:rsidP="00934898">
      <w:pPr>
        <w:pStyle w:val="afd"/>
      </w:pPr>
      <w:r w:rsidRPr="00952000">
        <w:t xml:space="preserve">Тромботические осложнения, ассоциированные с ЦВК, можно разделить на три вида: </w:t>
      </w:r>
    </w:p>
    <w:p w14:paraId="2AC90E7E" w14:textId="77777777" w:rsidR="00934898" w:rsidRPr="00952000" w:rsidRDefault="00934898" w:rsidP="0091350E">
      <w:pPr>
        <w:pStyle w:val="afd"/>
        <w:numPr>
          <w:ilvl w:val="0"/>
          <w:numId w:val="117"/>
        </w:numPr>
        <w:spacing w:beforeAutospacing="0" w:afterAutospacing="0" w:line="360" w:lineRule="auto"/>
      </w:pPr>
      <w:r w:rsidRPr="00952000">
        <w:t xml:space="preserve">«фибриновый чехол», </w:t>
      </w:r>
    </w:p>
    <w:p w14:paraId="7E3DC6AB" w14:textId="77777777" w:rsidR="00934898" w:rsidRPr="00952000" w:rsidRDefault="00934898" w:rsidP="0091350E">
      <w:pPr>
        <w:pStyle w:val="afd"/>
        <w:numPr>
          <w:ilvl w:val="0"/>
          <w:numId w:val="117"/>
        </w:numPr>
        <w:spacing w:beforeAutospacing="0" w:afterAutospacing="0" w:line="360" w:lineRule="auto"/>
      </w:pPr>
      <w:r w:rsidRPr="00952000">
        <w:t>обструкция катетера</w:t>
      </w:r>
    </w:p>
    <w:p w14:paraId="22FB9897" w14:textId="77777777" w:rsidR="00934898" w:rsidRPr="00952000" w:rsidRDefault="00934898" w:rsidP="0091350E">
      <w:pPr>
        <w:pStyle w:val="afd"/>
        <w:numPr>
          <w:ilvl w:val="0"/>
          <w:numId w:val="117"/>
        </w:numPr>
        <w:spacing w:beforeAutospacing="0" w:afterAutospacing="0" w:line="360" w:lineRule="auto"/>
      </w:pPr>
      <w:r w:rsidRPr="00952000">
        <w:t>пристеночный или обтурирующий внутрисосудистый тромбоз.</w:t>
      </w:r>
    </w:p>
    <w:p w14:paraId="2919A61C" w14:textId="19DF3086" w:rsidR="00934898" w:rsidRPr="00952000" w:rsidRDefault="00934898" w:rsidP="00934898">
      <w:pPr>
        <w:pStyle w:val="afd"/>
      </w:pPr>
      <w:r w:rsidRPr="00952000">
        <w:t xml:space="preserve">Бессимптомные КАТ более распространены, но их клиническое значение не ясно. Частота выявления КАТ колеблется, по разным данным, от 5% до 12-14% </w:t>
      </w:r>
      <w:r w:rsidRPr="00952000">
        <w:fldChar w:fldCharType="begin" w:fldLock="1"/>
      </w:r>
      <w:r w:rsidR="00275BAA">
        <w:instrText>ADDIN CSL_CITATION {"citationItems":[{"id":"ITEM-1","itemData":{"ISSN":"1540-1405","PMID":"17020667","abstract":"Symptomatic thromboembolic complications of central venous catheters (CVCs) occur in 5% or less of general oncology patients. Asymptomatic CVC-related thrombi are more common, but their clinical significance is unclear. Thrombotic risk may be increased by primary thrombophilic disorders, especially the factor V G1691A (Leiden) mutation, thrombogenic catheter material, larger catheter diameter and greater number of lumens, catheter tip malposition, left-sided placement, percutaneous or multiple insertion attempts, a previous CVC or preexisting venous obstruction, prothrombotic therapeutic agents, catheter-associated infections, and fibrinous catheter lumen occlusion. Three recent randomized, prospective, placebo-controlled trials observed no benefit of routine low-dose warfarin or low-molecular-weight heparin in preventing catheter-associated thrombosis. Nevertheless, thromboprophylaxis may be appropriate and safe for selected high-risk patients. Duplex ultrasound can accurately detect CVC-related thrombi involving the jugular, axillary, distal subclavian, and arm veins. Contrast venographic imaging is required for indeterminate duplex findings and to evaluate the deep central veins and pulmonary arteries. Therapeutic anticoagulation, with or without catheter removal, is indicated for patients with acute deep vein thrombosis (DVT) or pulmonary embolism who have no contraindications. Catheter removal alone, with close follow-up, may be sufficient when bleeding risk precludes safe anticoagulation. Approaches to managing catheter-associated thrombosis, including the use of thrombolytic agents, are guided by limited published experience and extrapolation from practices used for lower-extremity DVT. Prospective, randomized, controlled trials are needed to identify the safest and most effective anticoagulant agents, treatment durations, and alternative venous access strategies for cancer patients who develop catheter-associated thrombosis.","author":[{"dropping-particle":"","family":"Linenberger","given":"Michael L","non-dropping-particle":"","parse-names":false,"suffix":""}],"container-title":"Journal of the National Comprehensive Cancer Network : JNCCN","id":"ITEM-1","issue":"9","issued":{"date-parts":[["2006","10"]]},"page":"889-901","title":"Catheter-related thrombosis: risks, diagnosis, and management.","type":"article-journal","volume":"4"},"uris":["http://www.mendeley.com/documents/?uuid=fd996227-febf-46f9-8b4a-37c976acd280"]},{"id":"ITEM-2","itemData":{"DOI":"10.1111/j.1538-7836.2012.04817.x","abstract":"Central venous catheters are extensively used in patients with cancer to secure delivery of chemotherapy and facilitate phlebotomy. Unfortunately, considerable morbidity can result from early complications or late sequelae, ranging from arterial puncture, pneumothorax and bloodstream infections to catheter-related thrombosis (CRT). Contempo-rary studies have shown that the incidence of symptomatic CRT is 5%, whereas the incidence of asymptomatic CRT is higher, at 14–18%. The significance and mechanisms of catheter design, material, insertion location and technique, position of the catheter tip and other risk factors in contributing to the development of CRT are not well understood. Efforts to reduce thrombotic complications, involving flushing the catheter with heparinized solutions, the use of heparin-bonded catheters, and systemic anticoag-ulant prophylaxis, have been largely ineffective. More studies are needed to understand the pathophysiology of thrombotic complications, to help identify effective interventions to reduce this adverse outcome.","author":[{"dropping-particle":"","family":"Lee","given":"A.Y.Y.","non-dropping-particle":"","parse-names":false,"suffix":""},{"dropping-particle":"","family":"Kamphuisen","given":"P.W.","non-dropping-particle":"","parse-names":false,"suffix":""}],"container-title":"Journal of Thrombosis and Haemostasis","id":"ITEM-2","issue":"10","issued":{"date-parts":[["2012"]]},"page":"1491-1499","title":"Epidemiology and prevention of catheter-related thrombosis in patients with cancer","type":"article-journal"},"uris":["http://www.mendeley.com/documents/?uuid=2f9bf3d1-5851-4e76-89ac-5c3d038d67a9"]}],"mendeley":{"formattedCitation":"[197,198]","plainTextFormattedCitation":"[197,198]","previouslyFormattedCitation":"[197,198]"},"properties":{"noteIndex":0},"schema":"https://github.com/citation-style-language/schema/raw/master/csl-citation.json"}</w:instrText>
      </w:r>
      <w:r w:rsidRPr="00952000">
        <w:fldChar w:fldCharType="separate"/>
      </w:r>
      <w:r w:rsidRPr="00934898">
        <w:rPr>
          <w:noProof/>
        </w:rPr>
        <w:t>[197,198]</w:t>
      </w:r>
      <w:r w:rsidRPr="00952000">
        <w:fldChar w:fldCharType="end"/>
      </w:r>
      <w:r w:rsidRPr="00952000">
        <w:t xml:space="preserve">. Факторы, предрасполагающие к развитию КАТ, разделяют на три группы: </w:t>
      </w:r>
    </w:p>
    <w:p w14:paraId="58063E10" w14:textId="77777777" w:rsidR="00934898" w:rsidRPr="00952000" w:rsidRDefault="00934898" w:rsidP="0091350E">
      <w:pPr>
        <w:pStyle w:val="afd"/>
        <w:numPr>
          <w:ilvl w:val="0"/>
          <w:numId w:val="125"/>
        </w:numPr>
        <w:spacing w:beforeAutospacing="0" w:afterAutospacing="0" w:line="360" w:lineRule="auto"/>
      </w:pPr>
      <w:r w:rsidRPr="00952000">
        <w:t xml:space="preserve">связанные с пациентом (пол, возраст, наличие опухолевого заболевания, тромбофилии); </w:t>
      </w:r>
    </w:p>
    <w:p w14:paraId="0287C701" w14:textId="77777777" w:rsidR="00934898" w:rsidRPr="00952000" w:rsidRDefault="00934898" w:rsidP="0091350E">
      <w:pPr>
        <w:pStyle w:val="afd"/>
        <w:numPr>
          <w:ilvl w:val="0"/>
          <w:numId w:val="125"/>
        </w:numPr>
        <w:spacing w:beforeAutospacing="0" w:afterAutospacing="0" w:line="360" w:lineRule="auto"/>
      </w:pPr>
      <w:r w:rsidRPr="00952000">
        <w:t xml:space="preserve">связанные с катетером (большой диаметр, материал катетера, т.е. «жесткий» катетер); </w:t>
      </w:r>
    </w:p>
    <w:p w14:paraId="2DEA2703" w14:textId="77777777" w:rsidR="00934898" w:rsidRPr="00952000" w:rsidRDefault="00934898" w:rsidP="0091350E">
      <w:pPr>
        <w:pStyle w:val="afd"/>
        <w:numPr>
          <w:ilvl w:val="0"/>
          <w:numId w:val="125"/>
        </w:numPr>
        <w:spacing w:beforeAutospacing="0" w:afterAutospacing="0" w:line="360" w:lineRule="auto"/>
      </w:pPr>
      <w:r w:rsidRPr="00952000">
        <w:t xml:space="preserve">связанные с лечением (химиотерапия, парентеральное питание и введение других раздражающих веществ). </w:t>
      </w:r>
    </w:p>
    <w:p w14:paraId="0AE77A08" w14:textId="77777777" w:rsidR="00934898" w:rsidRPr="00952000" w:rsidRDefault="00934898" w:rsidP="00934898">
      <w:pPr>
        <w:ind w:firstLine="708"/>
        <w:rPr>
          <w:strike/>
          <w:szCs w:val="24"/>
        </w:rPr>
      </w:pPr>
      <w:r w:rsidRPr="00952000">
        <w:rPr>
          <w:szCs w:val="24"/>
        </w:rPr>
        <w:t>Наличие опухолевого заболевания увеличивает риск тромбоза.</w:t>
      </w:r>
    </w:p>
    <w:p w14:paraId="6D414A83" w14:textId="0B78E2F4" w:rsidR="00934898" w:rsidRPr="00952000" w:rsidRDefault="00934898" w:rsidP="00934898">
      <w:pPr>
        <w:ind w:firstLine="708"/>
        <w:rPr>
          <w:szCs w:val="24"/>
        </w:rPr>
      </w:pPr>
      <w:r w:rsidRPr="00952000">
        <w:rPr>
          <w:szCs w:val="24"/>
        </w:rPr>
        <w:t xml:space="preserve">Важную роль в формировании КАТ имеет соотношение диаметра катетера к диаметру вены, которое не должно превышать 1/3, иначе происходит дополнительная травма эндотелия </w:t>
      </w:r>
      <w:r w:rsidRPr="00952000">
        <w:rPr>
          <w:szCs w:val="24"/>
        </w:rPr>
        <w:fldChar w:fldCharType="begin" w:fldLock="1"/>
      </w:r>
      <w:r w:rsidR="00275BAA">
        <w:rPr>
          <w:szCs w:val="24"/>
        </w:rPr>
        <w:instrText>ADDIN CSL_CITATION {"citationItems":[{"id":"ITEM-1","itemData":{"author":[{"dropping-particle":"","family":"Цепенщинков","given":"Л.В","non-dropping-particle":"","parse-names":false,"suffix":""},{"dropping-particle":"","family":"Лядов","given":"В.К.","non-dropping-particle":"","parse-names":false,"suffix":""}],"container-title":"Клиническая онкогематология","id":"ITEM-1","issue":"2","issued":{"date-parts":[["2014"]]},"page":"220-228","title":"Периферически имплантируемый центральный венозный катетер: обзор литераутры.","type":"article-journal","volume":"7"},"uris":["http://www.mendeley.com/documents/?uuid=88221962-7bef-43f1-95ef-c82831c18b7b","http://www.mendeley.com/documents/?uuid=6bf891a9-cc26-48dd-8e38-76815056737b"]}],"mendeley":{"formattedCitation":"[199]","plainTextFormattedCitation":"[199]","previouslyFormattedCitation":"[199]"},"properties":{"noteIndex":0},"schema":"https://github.com/citation-style-language/schema/raw/master/csl-citation.json"}</w:instrText>
      </w:r>
      <w:r w:rsidRPr="00952000">
        <w:rPr>
          <w:szCs w:val="24"/>
        </w:rPr>
        <w:fldChar w:fldCharType="separate"/>
      </w:r>
      <w:r w:rsidRPr="00934898">
        <w:rPr>
          <w:noProof/>
          <w:szCs w:val="24"/>
        </w:rPr>
        <w:t>[199]</w:t>
      </w:r>
      <w:r w:rsidRPr="00952000">
        <w:rPr>
          <w:szCs w:val="24"/>
        </w:rPr>
        <w:fldChar w:fldCharType="end"/>
      </w:r>
      <w:r w:rsidRPr="00952000">
        <w:rPr>
          <w:szCs w:val="24"/>
        </w:rPr>
        <w:t xml:space="preserve">. При сравнении силиконовых и полиуретановых катетеров, установленных в вены плеча, значимой разницы </w:t>
      </w:r>
      <w:r w:rsidRPr="00DB2B4A">
        <w:rPr>
          <w:szCs w:val="24"/>
        </w:rPr>
        <w:t xml:space="preserve">в частоте развития КАТ </w:t>
      </w:r>
      <w:r w:rsidRPr="00952000">
        <w:rPr>
          <w:szCs w:val="24"/>
        </w:rPr>
        <w:t xml:space="preserve">не выявили, но отмечен факт повреждения эндотелия, способствующего развитию тромбоза </w:t>
      </w:r>
      <w:r w:rsidRPr="00952000">
        <w:rPr>
          <w:szCs w:val="24"/>
        </w:rPr>
        <w:fldChar w:fldCharType="begin" w:fldLock="1"/>
      </w:r>
      <w:r w:rsidR="00275BAA">
        <w:rPr>
          <w:szCs w:val="24"/>
        </w:rPr>
        <w:instrText>ADDIN CSL_CITATION {"citationItems":[{"id":"ITEM-1","itemData":{"DOI":"10.1177/0148607184008004399","ISSN":"0148-6071","PMID":"6431130","abstract":"In order to compare two types of long, soft central venous catheters with the same stiffness, 39 silicone elastomer (SE) and 36 polyurethane (PU) catheters were inserted in 75 patients via basilic or cephalic veins punctured at the cubital fossa. Mean duration of catheterization was 10.5 days. Scanning electron microscopy revealed that the SE catheters to have a more uniform, but somewhat rougher surface topography than the PU catheters. The platelet adhesion in vitro to the SE catheters was four times higher than to the PU catheters. The incidence of clinical thrombophlebitis in the arm veins was 36% with the SE catheters, and 5.5% with the PU catheters (p less than 0.01). No significant differences were found between the SE and PU catheters regarding the number and size of radiologic thrombi in the peripheral and central veins, catheter occlusion rate, and platelet adhesion to the inner side of the catheter tip at withdrawal. Platelet adhesion in vivo correlated with the duration of catheterization in both groups of catheters. Mechanical trauma to the vein endothelium seems to be of vital importance in thrombus formation, but not in the induction of clinical thrombophlebitis.","author":[{"dropping-particle":"","family":"Linder","given":"L E","non-dropping-particle":"","parse-names":false,"suffix":""},{"dropping-particle":"","family":"Curelaru","given":"I","non-dropping-particle":"","parse-names":false,"suffix":""},{"dropping-particle":"","family":"Gustavsson","given":"B","non-dropping-particle":"","parse-names":false,"suffix":""},{"dropping-particle":"","family":"Hansson","given":"H A","non-dropping-particle":"","parse-names":false,"suffix":""},{"dropping-particle":"","family":"Stenqvist","given":"O","non-dropping-particle":"","parse-names":false,"suffix":""},{"dropping-particle":"","family":"Wojciechowski","given":"J","non-dropping-particle":"","parse-names":false,"suffix":""}],"container-title":"JPEN. Journal of parenteral and enteral nutrition","id":"ITEM-1","issue":"4","issued":{"date-parts":[["1984"]]},"page":"399-406","title":"Material thrombogenicity in central venous catheterization: a comparison between soft, antebrachial catheters of silicone elastomer and polyurethane.","type":"article-journal","volume":"8"},"uris":["http://www.mendeley.com/documents/?uuid=50c99be9-4388-35af-aba0-01eefc84f6b5","http://www.mendeley.com/documents/?uuid=52fd94cb-1dbb-4a1b-a63a-91cf9a99438a"]}],"mendeley":{"formattedCitation":"[200]","plainTextFormattedCitation":"[200]","previouslyFormattedCitation":"[200]"},"properties":{"noteIndex":0},"schema":"https://github.com/citation-style-language/schema/raw/master/csl-citation.json"}</w:instrText>
      </w:r>
      <w:r w:rsidRPr="00952000">
        <w:rPr>
          <w:szCs w:val="24"/>
        </w:rPr>
        <w:fldChar w:fldCharType="separate"/>
      </w:r>
      <w:r w:rsidRPr="00934898">
        <w:rPr>
          <w:noProof/>
          <w:szCs w:val="24"/>
        </w:rPr>
        <w:t>[200]</w:t>
      </w:r>
      <w:r w:rsidRPr="00952000">
        <w:rPr>
          <w:szCs w:val="24"/>
        </w:rPr>
        <w:fldChar w:fldCharType="end"/>
      </w:r>
      <w:r w:rsidRPr="00952000">
        <w:rPr>
          <w:szCs w:val="24"/>
        </w:rPr>
        <w:t xml:space="preserve">. Также в патогенезе развития КАТ значимы такие факторы, как травматичность установки </w:t>
      </w:r>
      <w:r w:rsidRPr="00DE117D">
        <w:rPr>
          <w:strike/>
          <w:szCs w:val="24"/>
        </w:rPr>
        <w:t>катетера</w:t>
      </w:r>
      <w:r w:rsidRPr="00952000">
        <w:rPr>
          <w:szCs w:val="24"/>
        </w:rPr>
        <w:t xml:space="preserve">, неправильное расположение дистального конца катетера, левостороннее размещение катетера, множественные попытки пункции вены, наличие предшествующих катетеризаций и их количество, а также эпизоды КАИК в анамнезе. Установка ЦВК сопровождается локальным повреждением стенки вены и эндотелия и образованием тромба, с дальнейшим формированием «фибринового» чехла. </w:t>
      </w:r>
      <w:r w:rsidRPr="00952000">
        <w:rPr>
          <w:rFonts w:eastAsia="Times New Roman"/>
          <w:szCs w:val="24"/>
          <w:lang w:eastAsia="ru-RU"/>
        </w:rPr>
        <w:t xml:space="preserve">Одним из факторов развития венозных тромбозов является наличие венозных клапанов, создающих турбулентный поток. </w:t>
      </w:r>
      <w:r w:rsidRPr="00952000">
        <w:rPr>
          <w:rFonts w:eastAsia="Arial Unicode MS"/>
          <w:szCs w:val="24"/>
        </w:rPr>
        <w:t xml:space="preserve">Фактором, способствующим возникновению КАТ, является позиционирование ЦВК, поскольку миграция катетера, окклюзия дистального конца катетера венозной стенкой, травма венозной стенки дистальным концом катетера, присасывание к стенке конца катетера во время аспирации образцов крови, а введение раздражающих растворов способствуют травме венозной стенке </w:t>
      </w:r>
      <w:r w:rsidRPr="00952000">
        <w:rPr>
          <w:rFonts w:eastAsia="Arial Unicode MS"/>
          <w:szCs w:val="24"/>
        </w:rPr>
        <w:fldChar w:fldCharType="begin" w:fldLock="1"/>
      </w:r>
      <w:r w:rsidR="00275BAA">
        <w:rPr>
          <w:rFonts w:eastAsia="Arial Unicode MS"/>
          <w:szCs w:val="24"/>
        </w:rPr>
        <w:instrText>ADDIN CSL_CITATION {"citationItems":[{"id":"ITEM-1","itemData":{"abstract":"Objective This study evaluated the accuracy of placing right atrial catheters using an electrocardiographic (ECG) technique. Summary Background Data Placement of right atrial catheters for vascular access is a common operative procedure. Accurate placement is essential for proper function. Previous placement techniques have used fluoroscopy, which is both time consuming and hazardous. Methods The accuracy of placement of 1236 right atrial catheters using an ECG technique was compared to placement of 586 catheters using fluoroscopy between March 1991 and November 1995. In the ECG technique, the catheter was flushed with sodium bicarbonate. A sterile left-leg ECG lead was attached to the catheter with the other ECG leads applied normally. On advancing the catheter through the superior vena cava, the P-wave amplitude (lead 11) increased in negative deflection until greater than the QRS complex. Passing the sinoatrial node, the P-wave developed an initial positive then negative deflection. The catheter was positioned so the P-wave was biphasic, representing a position midway between the sinoatrial and atrioventricular nodes. For the fluoroscopic technique, catheters were positioned under direct observation just within the atrium estimated from cardiac contour. Use of contrast was optional if atrial anatomy was unclear. Results Postoperative portable chest x-rays showed the ECG method to position the catheter tip within the right atrium just as accurately (average, 1.9 ± 1.3 cm) as with the use of fluoroscopy (average, 1.1 ± 1.6 cm). The ECG method eliminated an average of 20 seconds of radiation exposure, an average of 3.0 minutes operating room time (p &lt; 0.04), avoided all risks of contrast dye, and saved $279.10 per case.","author":[{"dropping-particle":"","family":"Watters","given":"Virginia A","non-dropping-particle":"","parse-names":false,"suffix":""},{"dropping-particle":"","family":"Grant","given":"John P","non-dropping-particle":"","parse-names":false,"suffix":""}],"container-title":"ANNALS OF SURGERY","id":"ITEM-1","issue":"2","issued":{"date-parts":[["0"]]},"page":"165-171","title":"Use of Electrocardiogram to Position Right Atrial Catheters During Surgery","type":"article-journal","volume":"225"},"uris":["http://www.mendeley.com/documents/?uuid=634418a9-1b6a-3971-a74a-26cac4fcbb73","http://www.mendeley.com/documents/?uuid=216df258-45c1-414a-b26e-b5eb61d53634"]}],"mendeley":{"formattedCitation":"[201]","plainTextFormattedCitation":"[201]","previouslyFormattedCitation":"[201]"},"properties":{"noteIndex":0},"schema":"https://github.com/citation-style-language/schema/raw/master/csl-citation.json"}</w:instrText>
      </w:r>
      <w:r w:rsidRPr="00952000">
        <w:rPr>
          <w:rFonts w:eastAsia="Arial Unicode MS"/>
          <w:szCs w:val="24"/>
        </w:rPr>
        <w:fldChar w:fldCharType="separate"/>
      </w:r>
      <w:r w:rsidRPr="00934898">
        <w:rPr>
          <w:rFonts w:eastAsia="Arial Unicode MS"/>
          <w:noProof/>
          <w:szCs w:val="24"/>
        </w:rPr>
        <w:t>[201]</w:t>
      </w:r>
      <w:r w:rsidRPr="00952000">
        <w:rPr>
          <w:rFonts w:eastAsia="Arial Unicode MS"/>
          <w:szCs w:val="24"/>
        </w:rPr>
        <w:fldChar w:fldCharType="end"/>
      </w:r>
      <w:r w:rsidRPr="00952000">
        <w:rPr>
          <w:rFonts w:eastAsia="Arial Unicode MS"/>
          <w:szCs w:val="24"/>
        </w:rPr>
        <w:t xml:space="preserve">. </w:t>
      </w:r>
      <w:r w:rsidRPr="00952000">
        <w:rPr>
          <w:szCs w:val="24"/>
        </w:rPr>
        <w:t xml:space="preserve">ЦВК находятся в непосредственном контакте с внутренней стенкой вен, в результате постоянного движения катетеров, связанного с дыханием, сокращениями сердца, поворотами головы, происходит еще большее повреждение эндотелия. Травма эндотелия усугубляется, если траектория катетера в вене характеризуется одним или несколькими изгибами </w:t>
      </w:r>
      <w:r w:rsidRPr="00952000">
        <w:rPr>
          <w:szCs w:val="24"/>
        </w:rPr>
        <w:fldChar w:fldCharType="begin" w:fldLock="1"/>
      </w:r>
      <w:r w:rsidR="00275BAA">
        <w:rPr>
          <w:szCs w:val="24"/>
        </w:rPr>
        <w:instrText>ADDIN CSL_CITATION {"citationItems":[{"id":"ITEM-1","itemData":{"DOI":"10.1093/ndt/gfh216","ISSN":"0931-0509","author":[{"dropping-particle":"","family":"Taal","given":"M. W.","non-dropping-particle":"","parse-names":false,"suffix":""},{"dropping-particle":"","family":"Chesterton","given":"L. J.","non-dropping-particle":"","parse-names":false,"suffix":""},{"dropping-particle":"","family":"McIntyre","given":"C. W.","non-dropping-particle":"","parse-names":false,"suffix":""}],"container-title":"Nephrology Dialysis Transplantation","id":"ITEM-1","issue":"6","issued":{"date-parts":[["2004","6"]]},"page":"1542-1545","publisher":"Oxford University Press","title":"Venography at insertion of tunnelled internal jugular vein dialysis catheters reveals significant occult stenosis","type":"article-journal","volume":"19"},"uris":["http://www.mendeley.com/documents/?uuid=27bd8603-4b5c-3170-8bd9-40145339d105","http://www.mendeley.com/documents/?uuid=f32593e8-087e-487f-af57-700299c86f69"]}],"mendeley":{"formattedCitation":"[202]","plainTextFormattedCitation":"[202]","previouslyFormattedCitation":"[202]"},"properties":{"noteIndex":0},"schema":"https://github.com/citation-style-language/schema/raw/master/csl-citation.json"}</w:instrText>
      </w:r>
      <w:r w:rsidRPr="00952000">
        <w:rPr>
          <w:szCs w:val="24"/>
        </w:rPr>
        <w:fldChar w:fldCharType="separate"/>
      </w:r>
      <w:r w:rsidRPr="00934898">
        <w:rPr>
          <w:noProof/>
          <w:szCs w:val="24"/>
        </w:rPr>
        <w:t>[202]</w:t>
      </w:r>
      <w:r w:rsidRPr="00952000">
        <w:rPr>
          <w:szCs w:val="24"/>
        </w:rPr>
        <w:fldChar w:fldCharType="end"/>
      </w:r>
      <w:r w:rsidRPr="00952000">
        <w:rPr>
          <w:szCs w:val="24"/>
        </w:rPr>
        <w:t xml:space="preserve">. В дополнение к травме происходит воспаление интимы как ответ на повреждение, которое приводит к гиперплазии интимы или развитию тромбоза. Пункция левой внутренней яремной вены по сравнению с пункцией правой яремной вены более сложная, так как у 34% пациентов внутренняя яремной вены слева меньше чем правая </w:t>
      </w:r>
      <w:r w:rsidRPr="00952000">
        <w:rPr>
          <w:szCs w:val="24"/>
        </w:rPr>
        <w:fldChar w:fldCharType="begin" w:fldLock="1"/>
      </w:r>
      <w:r w:rsidR="00275BAA">
        <w:rPr>
          <w:szCs w:val="24"/>
        </w:rPr>
        <w:instrText>ADDIN CSL_CITATION {"citationItems":[{"id":"ITEM-1","itemData":{"ISSN":"1053-0770","PMID":"10230944","abstract":"OBJECTIVE To compare the cross-sectional area (CSA) of the right internal jugular vein (RIJV) with the left internal jugular vein (LIJV) using two-dimensional ultrasound and to measure the response to the Valsalva maneuver in both the supine and Trendelenburg positions. DESIGN Prospective and randomized. SETTING University-affiliated hospital. PARTICIPANTS Fifty healthy adult volunteers. INTERVENTIONS The CSA of both the RIJV and LIJV was measured with a 5-MHz, two-dimensional surface transducer before and during a 10-second Valsalva maneuver with the subjects in the supine position, and then with the subjects in a 10 degree Trendelenburg tilt. MEASUREMENTS AND MAIN RESULTS After the baseline measurements were performed, the subjects were divided into two groups based on the CSA of the RIJV and LIJV. Group 1 had an LIJV CSA equal to or greater than that of the RIJV (n = 10) and group 2 had an LIJV CSA less than that of the RIJV (n = 40). Of the latter 40 patients, 17 (34%) had an LIJV CSA less than 50% of that of the RIJV. In both groups, the CSA of both veins increased significantly with the Valsalva maneuver, Trendelenburg tilt, and both maneuvers combined. CONCLUSION The findings suggest that in one third of adults (34%), the LIJV is significantly smaller compared with the RIJV and, combined with operator inexperience, may influence the success rate and risk for complications. Thus, the use of ultrasound and maneuvers that increase CSA is suggested during LIJV cannulation.","author":[{"dropping-particle":"","family":"Lobato","given":"E B","non-dropping-particle":"","parse-names":false,"suffix":""},{"dropping-particle":"","family":"Sulek","given":"C A","non-dropping-particle":"","parse-names":false,"suffix":""},{"dropping-particle":"","family":"Moody","given":"R L","non-dropping-particle":"","parse-names":false,"suffix":""},{"dropping-particle":"","family":"Morey","given":"T E","non-dropping-particle":"","parse-names":false,"suffix":""}],"container-title":"Journal of cardiothoracic and vascular anesthesia","id":"ITEM-1","issue":"2","issued":{"date-parts":[["1999","4"]]},"page":"136-8","title":"Cross-sectional area of the right and left internal jugular veins.","type":"article-journal","volume":"13"},"uris":["http://www.mendeley.com/documents/?uuid=946e04e1-436d-33e9-8d74-b2b7aa6566b2","http://www.mendeley.com/documents/?uuid=3c8cfbcb-4e79-4dbf-88c6-7197a21370b9"]}],"mendeley":{"formattedCitation":"[203]","plainTextFormattedCitation":"[203]","previouslyFormattedCitation":"[203]"},"properties":{"noteIndex":0},"schema":"https://github.com/citation-style-language/schema/raw/master/csl-citation.json"}</w:instrText>
      </w:r>
      <w:r w:rsidRPr="00952000">
        <w:rPr>
          <w:szCs w:val="24"/>
        </w:rPr>
        <w:fldChar w:fldCharType="separate"/>
      </w:r>
      <w:r w:rsidRPr="00934898">
        <w:rPr>
          <w:noProof/>
          <w:szCs w:val="24"/>
        </w:rPr>
        <w:t>[203]</w:t>
      </w:r>
      <w:r w:rsidRPr="00952000">
        <w:rPr>
          <w:szCs w:val="24"/>
        </w:rPr>
        <w:fldChar w:fldCharType="end"/>
      </w:r>
      <w:r w:rsidRPr="00952000">
        <w:rPr>
          <w:szCs w:val="24"/>
        </w:rPr>
        <w:t>, что особенно важно при диагностике катетерассоциированного стеноза (КА</w:t>
      </w:r>
      <w:r w:rsidRPr="00952000">
        <w:rPr>
          <w:szCs w:val="24"/>
          <w:lang w:val="en-US"/>
        </w:rPr>
        <w:t>C</w:t>
      </w:r>
      <w:r w:rsidRPr="00952000">
        <w:rPr>
          <w:szCs w:val="24"/>
        </w:rPr>
        <w:t xml:space="preserve">). </w:t>
      </w:r>
    </w:p>
    <w:p w14:paraId="7CD479F9" w14:textId="206A5818" w:rsidR="00934898" w:rsidRPr="00952000" w:rsidRDefault="00934898" w:rsidP="00934898">
      <w:pPr>
        <w:ind w:firstLine="708"/>
        <w:rPr>
          <w:b/>
          <w:szCs w:val="24"/>
        </w:rPr>
      </w:pPr>
      <w:r w:rsidRPr="00952000">
        <w:rPr>
          <w:szCs w:val="24"/>
        </w:rPr>
        <w:t>Катетер-ассоциированый стеноз (</w:t>
      </w:r>
      <w:r w:rsidRPr="00952000">
        <w:rPr>
          <w:i/>
          <w:szCs w:val="24"/>
        </w:rPr>
        <w:t>КАС)</w:t>
      </w:r>
      <w:r w:rsidRPr="00952000">
        <w:rPr>
          <w:szCs w:val="24"/>
        </w:rPr>
        <w:t xml:space="preserve"> – стойкое сужение просвета сосуда, вплоть до полной облитерации, выявляемое при УЗИ в покое и при выполнении функциональных проб, возникшее после катетеризации, связанное или не связанное с КАТ. У онкогематологических пациентов, наряду с вышеуказанными причинами, значительное место в формировании КАТ и КАС занимает проведение химиотерапии </w:t>
      </w:r>
      <w:r w:rsidRPr="00952000">
        <w:rPr>
          <w:szCs w:val="24"/>
        </w:rPr>
        <w:fldChar w:fldCharType="begin" w:fldLock="1"/>
      </w:r>
      <w:r w:rsidR="00275BAA">
        <w:rPr>
          <w:szCs w:val="24"/>
        </w:rPr>
        <w:instrText>ADDIN CSL_CITATION {"citationItems":[{"id":"ITEM-1","itemData":{"author":[{"dropping-particle":"","family":"Червонцева","given":"Алевтина Михайловна","non-dropping-particle":"","parse-names":false,"suffix":""}],"id":"ITEM-1","issued":{"date-parts":[["2008"]]},"title":"Повреждение сосудистого эндотелия в процессе лечения острых миелоидных лейкозов","type":"article"},"uris":["http://www.mendeley.com/documents/?uuid=9afd28b5-41fc-3e5e-bfac-710d3bccc2cd","http://www.mendeley.com/documents/?uuid=b0c847b8-b368-40a1-9c35-cebd6d9d96b6"]}],"mendeley":{"formattedCitation":"[204]","plainTextFormattedCitation":"[204]","previouslyFormattedCitation":"[204]"},"properties":{"noteIndex":0},"schema":"https://github.com/citation-style-language/schema/raw/master/csl-citation.json"}</w:instrText>
      </w:r>
      <w:r w:rsidRPr="00952000">
        <w:rPr>
          <w:szCs w:val="24"/>
        </w:rPr>
        <w:fldChar w:fldCharType="separate"/>
      </w:r>
      <w:r w:rsidRPr="00934898">
        <w:rPr>
          <w:noProof/>
          <w:szCs w:val="24"/>
        </w:rPr>
        <w:t>[204]</w:t>
      </w:r>
      <w:r w:rsidRPr="00952000">
        <w:rPr>
          <w:szCs w:val="24"/>
        </w:rPr>
        <w:fldChar w:fldCharType="end"/>
      </w:r>
      <w:r w:rsidRPr="00952000">
        <w:rPr>
          <w:szCs w:val="24"/>
        </w:rPr>
        <w:t>.</w:t>
      </w:r>
    </w:p>
    <w:p w14:paraId="7E58455B" w14:textId="1302B01C" w:rsidR="00934898" w:rsidRPr="00952000" w:rsidRDefault="00934898" w:rsidP="00934898">
      <w:pPr>
        <w:ind w:firstLine="708"/>
        <w:rPr>
          <w:szCs w:val="24"/>
        </w:rPr>
      </w:pPr>
      <w:r w:rsidRPr="00952000">
        <w:rPr>
          <w:szCs w:val="24"/>
        </w:rPr>
        <w:t>Катетер-ассоциированная инфекция кровотока (</w:t>
      </w:r>
      <w:r w:rsidRPr="00952000">
        <w:rPr>
          <w:i/>
          <w:szCs w:val="24"/>
        </w:rPr>
        <w:t>КАИК)</w:t>
      </w:r>
      <w:r w:rsidRPr="00952000">
        <w:rPr>
          <w:szCs w:val="24"/>
        </w:rPr>
        <w:t xml:space="preserve"> – выявление положительной гемокультуры в образце крови взятой из катетера на 2 и более часа ранее, чем в образце крови, взятом из периферической вены, рост микроорганизмов при микробиологическом исследовании дистального конца катетера </w:t>
      </w:r>
      <w:r w:rsidRPr="00952000">
        <w:rPr>
          <w:szCs w:val="24"/>
        </w:rPr>
        <w:fldChar w:fldCharType="begin" w:fldLock="1"/>
      </w:r>
      <w:r w:rsidR="00275BAA">
        <w:rPr>
          <w:szCs w:val="24"/>
        </w:rPr>
        <w:instrText>ADDIN CSL_CITATION {"citationItems":[{"id":"ITEM-1","itemData":{"author":[{"dropping-particle":"","family":"Багирова","given":"Н.С.","non-dropping-particle":"","parse-names":false,"suffix":""}],"container-title":"Злокачественные опухоли","id":"ITEM-1","issue":"3","issued":{"date-parts":[["2014"]]},"page":"164-171","title":"Инфекции, связанные с внутрисосудистыми устройствами: терминология, диагностика, профилактика и терапия","type":"article-journal"},"uris":["http://www.mendeley.com/documents/?uuid=fee4a9db-618b-4f34-9352-2ad7841cc05f","http://www.mendeley.com/documents/?uuid=973153ce-d078-4e08-a598-f09e2ab23f94"]}],"mendeley":{"formattedCitation":"[205]","plainTextFormattedCitation":"[205]","previouslyFormattedCitation":"[205]"},"properties":{"noteIndex":0},"schema":"https://github.com/citation-style-language/schema/raw/master/csl-citation.json"}</w:instrText>
      </w:r>
      <w:r w:rsidRPr="00952000">
        <w:rPr>
          <w:szCs w:val="24"/>
        </w:rPr>
        <w:fldChar w:fldCharType="separate"/>
      </w:r>
      <w:r w:rsidRPr="00934898">
        <w:rPr>
          <w:noProof/>
          <w:szCs w:val="24"/>
        </w:rPr>
        <w:t>[205]</w:t>
      </w:r>
      <w:r w:rsidRPr="00952000">
        <w:rPr>
          <w:szCs w:val="24"/>
        </w:rPr>
        <w:fldChar w:fldCharType="end"/>
      </w:r>
      <w:r w:rsidRPr="00952000">
        <w:rPr>
          <w:szCs w:val="24"/>
        </w:rPr>
        <w:t>.</w:t>
      </w:r>
    </w:p>
    <w:p w14:paraId="1B69B6A9" w14:textId="77777777" w:rsidR="00934898" w:rsidRPr="00952000" w:rsidRDefault="00934898" w:rsidP="00934898">
      <w:pPr>
        <w:ind w:left="360"/>
        <w:rPr>
          <w:szCs w:val="24"/>
        </w:rPr>
      </w:pPr>
      <w:r w:rsidRPr="00952000">
        <w:rPr>
          <w:szCs w:val="24"/>
        </w:rPr>
        <w:t>При применении туннелируемых катетеров могут возникать следующие виды инфицирования:</w:t>
      </w:r>
    </w:p>
    <w:p w14:paraId="41913BF3" w14:textId="77777777" w:rsidR="00934898" w:rsidRPr="00952000" w:rsidRDefault="00934898" w:rsidP="0091350E">
      <w:pPr>
        <w:pStyle w:val="aff"/>
        <w:numPr>
          <w:ilvl w:val="0"/>
          <w:numId w:val="119"/>
        </w:numPr>
        <w:contextualSpacing/>
        <w:rPr>
          <w:i/>
          <w:szCs w:val="24"/>
        </w:rPr>
      </w:pPr>
      <w:r w:rsidRPr="00952000">
        <w:rPr>
          <w:i/>
          <w:szCs w:val="24"/>
        </w:rPr>
        <w:t xml:space="preserve">Туннельная инфекция – </w:t>
      </w:r>
      <w:r w:rsidRPr="00952000">
        <w:rPr>
          <w:szCs w:val="24"/>
        </w:rPr>
        <w:t xml:space="preserve">местное воспаление по ходу сформированного туннеля от места выходного отверстия катетера до манжеты или с локализацией только в </w:t>
      </w:r>
      <w:r w:rsidRPr="00952000">
        <w:rPr>
          <w:iCs/>
          <w:szCs w:val="24"/>
        </w:rPr>
        <w:t>области фиксации манжеты</w:t>
      </w:r>
      <w:r w:rsidRPr="00952000">
        <w:rPr>
          <w:i/>
          <w:szCs w:val="24"/>
        </w:rPr>
        <w:t>.</w:t>
      </w:r>
    </w:p>
    <w:p w14:paraId="7BB5A8D9" w14:textId="77777777" w:rsidR="00934898" w:rsidRPr="00952000" w:rsidRDefault="00934898" w:rsidP="0091350E">
      <w:pPr>
        <w:pStyle w:val="aff"/>
        <w:numPr>
          <w:ilvl w:val="0"/>
          <w:numId w:val="119"/>
        </w:numPr>
        <w:contextualSpacing/>
        <w:rPr>
          <w:szCs w:val="24"/>
        </w:rPr>
      </w:pPr>
      <w:r w:rsidRPr="00952000">
        <w:rPr>
          <w:i/>
          <w:szCs w:val="24"/>
        </w:rPr>
        <w:t xml:space="preserve">Инфекция выходного отверстия – </w:t>
      </w:r>
      <w:r w:rsidRPr="00952000">
        <w:rPr>
          <w:szCs w:val="24"/>
        </w:rPr>
        <w:t>местное воспаление, с локализацией только в месте выхода катетера на поверхность кожи.</w:t>
      </w:r>
    </w:p>
    <w:p w14:paraId="031B894B" w14:textId="77777777" w:rsidR="00934898" w:rsidRPr="00952000" w:rsidRDefault="00934898" w:rsidP="0091350E">
      <w:pPr>
        <w:pStyle w:val="aff"/>
        <w:numPr>
          <w:ilvl w:val="0"/>
          <w:numId w:val="119"/>
        </w:numPr>
        <w:contextualSpacing/>
        <w:rPr>
          <w:szCs w:val="24"/>
        </w:rPr>
      </w:pPr>
      <w:r w:rsidRPr="00952000">
        <w:rPr>
          <w:i/>
          <w:szCs w:val="24"/>
        </w:rPr>
        <w:t xml:space="preserve">Инфекция подкожного кармана – </w:t>
      </w:r>
      <w:r w:rsidRPr="00952000">
        <w:rPr>
          <w:szCs w:val="24"/>
        </w:rPr>
        <w:t xml:space="preserve">местное воспаление, локализующееся в месте установки камеры порт-системы. </w:t>
      </w:r>
    </w:p>
    <w:p w14:paraId="526EAA7B" w14:textId="77777777" w:rsidR="00934898" w:rsidRDefault="00934898" w:rsidP="00934898">
      <w:pPr>
        <w:ind w:firstLine="709"/>
        <w:rPr>
          <w:rFonts w:eastAsia="Arial Unicode MS"/>
          <w:b/>
          <w:bCs/>
          <w:szCs w:val="24"/>
          <w:lang w:eastAsia="ru-RU"/>
        </w:rPr>
      </w:pPr>
    </w:p>
    <w:p w14:paraId="7A8F1F47" w14:textId="77777777" w:rsidR="00934898" w:rsidRPr="009F4EC0" w:rsidRDefault="00934898" w:rsidP="00934898">
      <w:pPr>
        <w:ind w:firstLine="709"/>
        <w:rPr>
          <w:rFonts w:eastAsia="Arial Unicode MS"/>
          <w:i/>
          <w:iCs/>
          <w:szCs w:val="24"/>
          <w:u w:val="single"/>
          <w:lang w:eastAsia="ru-RU"/>
        </w:rPr>
      </w:pPr>
      <w:r w:rsidRPr="009F4EC0">
        <w:rPr>
          <w:rFonts w:eastAsia="Arial Unicode MS"/>
          <w:i/>
          <w:iCs/>
          <w:szCs w:val="24"/>
          <w:u w:val="single"/>
          <w:lang w:eastAsia="ru-RU"/>
        </w:rPr>
        <w:t>Способы контроля дистального конца ЦВК</w:t>
      </w:r>
    </w:p>
    <w:p w14:paraId="5FAFDB88" w14:textId="77777777" w:rsidR="00934898" w:rsidRPr="009F4EC0" w:rsidRDefault="00934898" w:rsidP="00934898">
      <w:pPr>
        <w:ind w:firstLine="709"/>
        <w:rPr>
          <w:rFonts w:eastAsia="Arial Unicode MS"/>
          <w:i/>
          <w:iCs/>
          <w:szCs w:val="24"/>
          <w:lang w:eastAsia="ru-RU"/>
        </w:rPr>
      </w:pPr>
      <w:r w:rsidRPr="009F4EC0">
        <w:rPr>
          <w:rFonts w:eastAsia="Arial Unicode MS"/>
          <w:i/>
          <w:iCs/>
          <w:szCs w:val="24"/>
          <w:lang w:eastAsia="ru-RU"/>
        </w:rPr>
        <w:t>Электрокардиографический метод</w:t>
      </w:r>
    </w:p>
    <w:p w14:paraId="7885CA3E" w14:textId="77777777" w:rsidR="00934898" w:rsidRPr="00952000" w:rsidRDefault="00934898" w:rsidP="00934898">
      <w:pPr>
        <w:ind w:firstLine="709"/>
        <w:rPr>
          <w:rFonts w:eastAsia="Arial Unicode MS"/>
          <w:strike/>
          <w:szCs w:val="24"/>
          <w:lang w:eastAsia="ru-RU"/>
        </w:rPr>
      </w:pPr>
      <w:r w:rsidRPr="00952000">
        <w:rPr>
          <w:rFonts w:eastAsia="Arial Unicode MS"/>
          <w:szCs w:val="24"/>
          <w:lang w:eastAsia="ru-RU"/>
        </w:rPr>
        <w:t xml:space="preserve">Для контроля положения ЦВК, снабженных штатным электродом, используют эндовенозную </w:t>
      </w:r>
      <w:r w:rsidRPr="00952000">
        <w:rPr>
          <w:szCs w:val="24"/>
        </w:rPr>
        <w:t>электрокардиографию (</w:t>
      </w:r>
      <w:r w:rsidRPr="00952000">
        <w:rPr>
          <w:rFonts w:eastAsia="Arial Unicode MS"/>
          <w:szCs w:val="24"/>
          <w:lang w:eastAsia="ru-RU"/>
        </w:rPr>
        <w:t xml:space="preserve">ЭКГ). Она позволяет позиционировать дистальный конец ЦВК, не увеличивая время установки, по изменениям Р-зубца ЭКГ. </w:t>
      </w:r>
    </w:p>
    <w:p w14:paraId="5D31DB7D" w14:textId="77777777" w:rsidR="00934898" w:rsidRPr="009F4EC0" w:rsidRDefault="00934898" w:rsidP="00934898">
      <w:pPr>
        <w:ind w:firstLine="709"/>
        <w:rPr>
          <w:rFonts w:eastAsia="ＭＳ 明朝 (Основной текст темы (ази"/>
          <w:i/>
          <w:iCs/>
          <w:szCs w:val="24"/>
          <w:lang w:eastAsia="ru-RU"/>
        </w:rPr>
      </w:pPr>
      <w:r w:rsidRPr="009F4EC0">
        <w:rPr>
          <w:rFonts w:eastAsia="ＭＳ 明朝 (Основной текст темы (ази"/>
          <w:i/>
          <w:iCs/>
          <w:szCs w:val="24"/>
          <w:lang w:eastAsia="ru-RU"/>
        </w:rPr>
        <w:t xml:space="preserve">Рентгенологический метод </w:t>
      </w:r>
    </w:p>
    <w:p w14:paraId="5CBE2692" w14:textId="77777777" w:rsidR="00934898" w:rsidRPr="00952000" w:rsidRDefault="00934898" w:rsidP="00934898">
      <w:pPr>
        <w:ind w:firstLine="709"/>
        <w:rPr>
          <w:strike/>
          <w:szCs w:val="24"/>
        </w:rPr>
      </w:pPr>
      <w:r w:rsidRPr="00952000">
        <w:rPr>
          <w:rFonts w:eastAsia="ＭＳ 明朝 (Основной текст темы (ази"/>
          <w:szCs w:val="24"/>
          <w:lang w:eastAsia="ru-RU"/>
        </w:rPr>
        <w:t xml:space="preserve">При установке туннелируемых ЦВК, ПИЦВК, порт-систем, а также в </w:t>
      </w:r>
      <w:r w:rsidRPr="00952000">
        <w:rPr>
          <w:szCs w:val="24"/>
        </w:rPr>
        <w:t>случаях мерцательной аритмии или ритма, навязанного кардиостимулятором, положение дистального конца ЦВК подтверждают рентгенологически:</w:t>
      </w:r>
      <w:r w:rsidRPr="00952000">
        <w:rPr>
          <w:strike/>
          <w:szCs w:val="24"/>
        </w:rPr>
        <w:t xml:space="preserve"> </w:t>
      </w:r>
    </w:p>
    <w:p w14:paraId="05DA98EB" w14:textId="77777777" w:rsidR="00934898" w:rsidRPr="00952000" w:rsidRDefault="00934898" w:rsidP="00934898">
      <w:pPr>
        <w:ind w:firstLine="709"/>
        <w:rPr>
          <w:szCs w:val="24"/>
        </w:rPr>
      </w:pPr>
      <w:r w:rsidRPr="00952000">
        <w:rPr>
          <w:szCs w:val="24"/>
        </w:rPr>
        <w:t xml:space="preserve">- на </w:t>
      </w:r>
      <w:r w:rsidRPr="00952000">
        <w:rPr>
          <w:bCs/>
          <w:szCs w:val="24"/>
        </w:rPr>
        <w:t xml:space="preserve">рентгенограмме грудной клетки дистальный конец ЦВК должен был находиться между </w:t>
      </w:r>
      <w:r w:rsidRPr="00952000">
        <w:rPr>
          <w:bCs/>
          <w:szCs w:val="24"/>
          <w:lang w:val="en-US"/>
        </w:rPr>
        <w:t>V</w:t>
      </w:r>
      <w:r w:rsidRPr="00952000">
        <w:rPr>
          <w:bCs/>
          <w:szCs w:val="24"/>
        </w:rPr>
        <w:t xml:space="preserve"> и </w:t>
      </w:r>
      <w:r w:rsidRPr="00952000">
        <w:rPr>
          <w:bCs/>
          <w:szCs w:val="24"/>
          <w:lang w:val="en-US"/>
        </w:rPr>
        <w:t>VI</w:t>
      </w:r>
      <w:r w:rsidRPr="00952000">
        <w:rPr>
          <w:bCs/>
          <w:szCs w:val="24"/>
        </w:rPr>
        <w:t xml:space="preserve"> грудными позвонками. </w:t>
      </w:r>
    </w:p>
    <w:p w14:paraId="2E2915BC" w14:textId="77777777" w:rsidR="00934898" w:rsidRPr="00952000" w:rsidRDefault="00934898" w:rsidP="00934898">
      <w:pPr>
        <w:widowControl w:val="0"/>
        <w:ind w:firstLine="708"/>
        <w:rPr>
          <w:szCs w:val="24"/>
        </w:rPr>
      </w:pPr>
      <w:r w:rsidRPr="00952000">
        <w:rPr>
          <w:szCs w:val="24"/>
        </w:rPr>
        <w:t>- также ориентиром для позиционирования дистального конца ЦВК является правый трахебронхиальный угол, который соответствует верхней границе верхней полой вены. Каваатриальное соединение находится на 3 см ниже этого угла.</w:t>
      </w:r>
    </w:p>
    <w:p w14:paraId="7933A722" w14:textId="77777777" w:rsidR="00934898" w:rsidRPr="00952000" w:rsidRDefault="00934898" w:rsidP="00934898">
      <w:pPr>
        <w:widowControl w:val="0"/>
        <w:ind w:firstLine="708"/>
        <w:rPr>
          <w:szCs w:val="24"/>
        </w:rPr>
      </w:pPr>
      <w:r w:rsidRPr="00952000">
        <w:rPr>
          <w:szCs w:val="24"/>
        </w:rPr>
        <w:t>- рентгенологическим ориентиром впадения ВПВ в правое предсердие также является пересечение дуги правой границы сердца и линии, идущей вдоль правой границы средостения.</w:t>
      </w:r>
    </w:p>
    <w:p w14:paraId="4D9FBB63" w14:textId="77777777" w:rsidR="00934898" w:rsidRDefault="00934898" w:rsidP="00934898">
      <w:pPr>
        <w:rPr>
          <w:b/>
          <w:bCs/>
          <w:szCs w:val="24"/>
        </w:rPr>
      </w:pPr>
    </w:p>
    <w:p w14:paraId="03E49E82" w14:textId="77777777" w:rsidR="00934898" w:rsidRPr="009F4EC0" w:rsidRDefault="00934898" w:rsidP="00934898">
      <w:pPr>
        <w:ind w:firstLine="708"/>
        <w:rPr>
          <w:i/>
          <w:iCs/>
          <w:szCs w:val="24"/>
          <w:u w:val="single"/>
        </w:rPr>
      </w:pPr>
      <w:r w:rsidRPr="009F4EC0">
        <w:rPr>
          <w:i/>
          <w:iCs/>
          <w:szCs w:val="24"/>
          <w:u w:val="single"/>
        </w:rPr>
        <w:t>Обследование пациента, подготовка к манипуляции</w:t>
      </w:r>
    </w:p>
    <w:p w14:paraId="74A19706" w14:textId="77777777" w:rsidR="00934898" w:rsidRPr="00952000" w:rsidRDefault="00934898" w:rsidP="00934898">
      <w:pPr>
        <w:ind w:firstLine="708"/>
        <w:rPr>
          <w:szCs w:val="24"/>
        </w:rPr>
      </w:pPr>
      <w:r w:rsidRPr="00952000">
        <w:rPr>
          <w:szCs w:val="24"/>
        </w:rPr>
        <w:t xml:space="preserve">Для обеспечения сосудистого доступа необходима консультация врачом-анестезиологом-реаниматологом. </w:t>
      </w:r>
    </w:p>
    <w:p w14:paraId="762BAB0D" w14:textId="77777777" w:rsidR="00934898" w:rsidRPr="00952000" w:rsidRDefault="00934898" w:rsidP="00934898">
      <w:pPr>
        <w:ind w:firstLine="708"/>
        <w:rPr>
          <w:szCs w:val="24"/>
        </w:rPr>
      </w:pPr>
      <w:r w:rsidRPr="00952000">
        <w:rPr>
          <w:szCs w:val="24"/>
        </w:rPr>
        <w:t>Физикальный осмотр проводится перед катетеризацией на наличие воспалительных и послеоперационных изменений кожи в местах возможной пункции вен, наличие увеличенных и изменённых лимфоузлов, препятствующих катетеризации, наличие усиленного подкожного рисунка вен, наличие клинических проявлений синдрома сдавления верхней полой вены (осиплость голоса, одышка, кашель, невозможность принятия горизонтального положения и т. д.) Уточняются анамнестические данные – количество предшествующих катетеризаций, имели ли место осложнения катетеризации; интенсивность и сроки планируемого лечения, возможные осложнения (неблагоприятные реакции) терапии, возможность применения других методов лечения, например, лучевой терапии.</w:t>
      </w:r>
    </w:p>
    <w:p w14:paraId="401E5959" w14:textId="77777777" w:rsidR="00934898" w:rsidRPr="009F4EC0" w:rsidRDefault="00934898" w:rsidP="00934898">
      <w:pPr>
        <w:ind w:firstLine="708"/>
        <w:rPr>
          <w:i/>
          <w:iCs/>
          <w:szCs w:val="24"/>
          <w:shd w:val="clear" w:color="auto" w:fill="FFFFFF"/>
        </w:rPr>
      </w:pPr>
      <w:r w:rsidRPr="009F4EC0">
        <w:rPr>
          <w:i/>
          <w:iCs/>
          <w:szCs w:val="24"/>
          <w:shd w:val="clear" w:color="auto" w:fill="FFFFFF"/>
        </w:rPr>
        <w:t>Лабораторная диагностика.</w:t>
      </w:r>
    </w:p>
    <w:p w14:paraId="67567FD9" w14:textId="77777777" w:rsidR="00934898" w:rsidRPr="00952000" w:rsidRDefault="00934898" w:rsidP="00934898">
      <w:pPr>
        <w:rPr>
          <w:szCs w:val="24"/>
          <w:shd w:val="clear" w:color="auto" w:fill="FFFFFF"/>
        </w:rPr>
      </w:pPr>
      <w:r w:rsidRPr="00952000">
        <w:rPr>
          <w:szCs w:val="24"/>
          <w:shd w:val="clear" w:color="auto" w:fill="FFFFFF"/>
        </w:rPr>
        <w:t>Перед установкой ЦВК необходимо выполнить:</w:t>
      </w:r>
    </w:p>
    <w:p w14:paraId="7C73A3D6" w14:textId="77777777" w:rsidR="00934898" w:rsidRPr="00952000" w:rsidRDefault="00934898" w:rsidP="0091350E">
      <w:pPr>
        <w:pStyle w:val="aff"/>
        <w:numPr>
          <w:ilvl w:val="0"/>
          <w:numId w:val="122"/>
        </w:numPr>
        <w:contextualSpacing/>
        <w:rPr>
          <w:i/>
          <w:szCs w:val="24"/>
          <w:shd w:val="clear" w:color="auto" w:fill="FFFFFF"/>
        </w:rPr>
      </w:pPr>
      <w:r w:rsidRPr="00952000">
        <w:rPr>
          <w:szCs w:val="24"/>
        </w:rPr>
        <w:t>общий (клинический) анализ крови развернутый (при необходимости – с исследованием уровня тромбоцитов в крови по мазку)</w:t>
      </w:r>
    </w:p>
    <w:p w14:paraId="7B613A2E" w14:textId="77777777" w:rsidR="00934898" w:rsidRPr="00952000" w:rsidRDefault="00934898" w:rsidP="0091350E">
      <w:pPr>
        <w:pStyle w:val="aff"/>
        <w:numPr>
          <w:ilvl w:val="0"/>
          <w:numId w:val="121"/>
        </w:numPr>
        <w:contextualSpacing/>
        <w:rPr>
          <w:szCs w:val="24"/>
        </w:rPr>
      </w:pPr>
      <w:r w:rsidRPr="00952000">
        <w:rPr>
          <w:szCs w:val="24"/>
          <w:shd w:val="clear" w:color="auto" w:fill="FFFFFF"/>
        </w:rPr>
        <w:t>коагулограмма с определением АЧТВ, протромбинового индекса, фибриногена, при необходимости – с и</w:t>
      </w:r>
      <w:r w:rsidRPr="00952000">
        <w:rPr>
          <w:szCs w:val="24"/>
        </w:rPr>
        <w:t>сследованием агрегации тромбоцитов</w:t>
      </w:r>
    </w:p>
    <w:p w14:paraId="5C01F736" w14:textId="77777777" w:rsidR="00934898" w:rsidRPr="00952000" w:rsidRDefault="00934898" w:rsidP="0091350E">
      <w:pPr>
        <w:pStyle w:val="aff"/>
        <w:numPr>
          <w:ilvl w:val="0"/>
          <w:numId w:val="121"/>
        </w:numPr>
        <w:contextualSpacing/>
        <w:rPr>
          <w:szCs w:val="24"/>
        </w:rPr>
      </w:pPr>
      <w:r w:rsidRPr="00952000">
        <w:rPr>
          <w:szCs w:val="24"/>
        </w:rPr>
        <w:t xml:space="preserve">определение активности факторов </w:t>
      </w:r>
      <w:r w:rsidRPr="00952000">
        <w:rPr>
          <w:szCs w:val="24"/>
          <w:lang w:val="en-US"/>
        </w:rPr>
        <w:t>VIII</w:t>
      </w:r>
      <w:r w:rsidRPr="00952000">
        <w:rPr>
          <w:szCs w:val="24"/>
        </w:rPr>
        <w:t xml:space="preserve">, </w:t>
      </w:r>
      <w:r w:rsidRPr="00952000">
        <w:rPr>
          <w:szCs w:val="24"/>
          <w:lang w:val="en-US"/>
        </w:rPr>
        <w:t>IX</w:t>
      </w:r>
      <w:r w:rsidRPr="00952000">
        <w:rPr>
          <w:szCs w:val="24"/>
        </w:rPr>
        <w:t xml:space="preserve"> и иных в сыворотке крови – по показаниям</w:t>
      </w:r>
    </w:p>
    <w:p w14:paraId="5275C03D" w14:textId="77777777" w:rsidR="00934898" w:rsidRPr="00952000" w:rsidRDefault="00934898" w:rsidP="0091350E">
      <w:pPr>
        <w:pStyle w:val="aff"/>
        <w:numPr>
          <w:ilvl w:val="0"/>
          <w:numId w:val="121"/>
        </w:numPr>
        <w:contextualSpacing/>
        <w:rPr>
          <w:szCs w:val="24"/>
        </w:rPr>
      </w:pPr>
      <w:r w:rsidRPr="00952000">
        <w:rPr>
          <w:szCs w:val="24"/>
        </w:rPr>
        <w:t>определение основных групп крови, определение подгруппы м других групп крови меньшего значения, определение резус-фактора</w:t>
      </w:r>
    </w:p>
    <w:p w14:paraId="217388E0" w14:textId="77777777" w:rsidR="00934898" w:rsidRPr="009F4EC0" w:rsidRDefault="00934898" w:rsidP="003A6208">
      <w:pPr>
        <w:ind w:firstLine="708"/>
        <w:rPr>
          <w:i/>
          <w:iCs/>
          <w:szCs w:val="24"/>
        </w:rPr>
      </w:pPr>
      <w:r w:rsidRPr="009F4EC0">
        <w:rPr>
          <w:i/>
          <w:iCs/>
          <w:szCs w:val="24"/>
        </w:rPr>
        <w:t>Инструментальная диагностика</w:t>
      </w:r>
    </w:p>
    <w:p w14:paraId="6856B76A" w14:textId="77777777" w:rsidR="00934898" w:rsidRPr="00952000" w:rsidRDefault="00934898" w:rsidP="003A6208">
      <w:pPr>
        <w:rPr>
          <w:szCs w:val="24"/>
        </w:rPr>
      </w:pPr>
      <w:r w:rsidRPr="00952000">
        <w:rPr>
          <w:szCs w:val="24"/>
        </w:rPr>
        <w:t>Перед выполнением катетеризации необходимо выполнить:</w:t>
      </w:r>
    </w:p>
    <w:p w14:paraId="61C746A1" w14:textId="77777777" w:rsidR="00934898" w:rsidRPr="00DB2B4A" w:rsidRDefault="00934898" w:rsidP="0091350E">
      <w:pPr>
        <w:pStyle w:val="aff"/>
        <w:numPr>
          <w:ilvl w:val="0"/>
          <w:numId w:val="121"/>
        </w:numPr>
        <w:contextualSpacing/>
        <w:rPr>
          <w:szCs w:val="24"/>
        </w:rPr>
      </w:pPr>
      <w:r w:rsidRPr="00DB2B4A">
        <w:rPr>
          <w:szCs w:val="24"/>
        </w:rPr>
        <w:t xml:space="preserve">рентгенография органов грудной клетки или </w:t>
      </w:r>
      <w:r w:rsidRPr="00DB2B4A">
        <w:rPr>
          <w:szCs w:val="24"/>
          <w:shd w:val="clear" w:color="auto" w:fill="FFFFFF" w:themeFill="background1"/>
        </w:rPr>
        <w:t>– предпочтительно</w:t>
      </w:r>
      <w:r w:rsidRPr="00DB2B4A">
        <w:rPr>
          <w:szCs w:val="24"/>
        </w:rPr>
        <w:t xml:space="preserve"> </w:t>
      </w:r>
      <w:r>
        <w:rPr>
          <w:szCs w:val="24"/>
        </w:rPr>
        <w:t xml:space="preserve">– </w:t>
      </w:r>
      <w:r w:rsidRPr="00DB2B4A">
        <w:rPr>
          <w:szCs w:val="24"/>
        </w:rPr>
        <w:t>компьютерная томография органов грудной клетки (КТ)</w:t>
      </w:r>
      <w:r w:rsidRPr="00DB2B4A">
        <w:rPr>
          <w:szCs w:val="24"/>
          <w:shd w:val="clear" w:color="auto" w:fill="FFFFFF" w:themeFill="background1"/>
        </w:rPr>
        <w:t>, с болюсным контрастным усилением (по показаниям)</w:t>
      </w:r>
    </w:p>
    <w:p w14:paraId="34ED889F" w14:textId="77777777" w:rsidR="00934898" w:rsidRPr="00952000" w:rsidRDefault="00934898" w:rsidP="0091350E">
      <w:pPr>
        <w:pStyle w:val="aff"/>
        <w:numPr>
          <w:ilvl w:val="0"/>
          <w:numId w:val="121"/>
        </w:numPr>
        <w:contextualSpacing/>
        <w:rPr>
          <w:szCs w:val="24"/>
        </w:rPr>
      </w:pPr>
      <w:r w:rsidRPr="00952000">
        <w:rPr>
          <w:szCs w:val="24"/>
        </w:rPr>
        <w:t xml:space="preserve">ультразвуковое агиосканирование </w:t>
      </w:r>
    </w:p>
    <w:p w14:paraId="179F1873" w14:textId="77777777" w:rsidR="00934898" w:rsidRPr="00952000" w:rsidRDefault="00934898" w:rsidP="0091350E">
      <w:pPr>
        <w:pStyle w:val="aff"/>
        <w:numPr>
          <w:ilvl w:val="0"/>
          <w:numId w:val="121"/>
        </w:numPr>
        <w:contextualSpacing/>
        <w:rPr>
          <w:szCs w:val="24"/>
        </w:rPr>
      </w:pPr>
      <w:r w:rsidRPr="00952000">
        <w:rPr>
          <w:szCs w:val="24"/>
        </w:rPr>
        <w:t>ЭКГ</w:t>
      </w:r>
    </w:p>
    <w:p w14:paraId="4D79C1B4" w14:textId="1E482793" w:rsidR="00934898" w:rsidRPr="00952000" w:rsidRDefault="00934898" w:rsidP="003A6208">
      <w:pPr>
        <w:pStyle w:val="afd"/>
        <w:spacing w:beforeAutospacing="0" w:afterAutospacing="0" w:line="360" w:lineRule="auto"/>
        <w:ind w:firstLine="709"/>
      </w:pPr>
      <w:r w:rsidRPr="00952000">
        <w:t xml:space="preserve">Ультразвуковое сопровождение в реальном времени обеспечивает возможность выбора направления иглы при пункции внутренней яремной, аксиллярной, подмышечной или бедренной вены, позволяя тем самым избежать случайного ранение артерии </w:t>
      </w:r>
      <w:r w:rsidRPr="00952000">
        <w:fldChar w:fldCharType="begin" w:fldLock="1"/>
      </w:r>
      <w:r w:rsidR="00275BAA">
        <w:instrText>ADDIN CSL_CITATION {"citationItems":[{"id":"ITEM-1","itemData":{"DOI":"10.2147/RMHP.S10383","ISSN":"1179-1594","PMID":"22312225","abstract":"Central venous cannulation is a commonly performed procedure which facilitates resuscitation, nutritional support, and long-term vascular access. Mechanical complications most often occur during insertion and are intimately related to the anatomic relationship of the central veins. Working knowledge of surface and deep anatomy minimizes complications. Use of surface anatomic landmarks to orient the deep course of cannulating needle tracts appropriately comprises the crux of complication avoidance. The authors describe use of surface landmarks to facilitate safe placement of internal jugular, subclavian, and femoral venous catheters. The role of real-time sonography as a safety-enhancing adjunct is reviewed.","author":[{"dropping-particle":"","family":"Bannon","given":"Michael P","non-dropping-particle":"","parse-names":false,"suffix":""},{"dropping-particle":"","family":"Heller","given":"Stephanie F","non-dropping-particle":"","parse-names":false,"suffix":""},{"dropping-particle":"","family":"Rivera","given":"Mariela","non-dropping-particle":"","parse-names":false,"suffix":""}],"container-title":"Risk management and healthcare policy","id":"ITEM-1","issued":{"date-parts":[["2011"]]},"page":"27-39","publisher":"Dove Press","title":"Anatomic considerations for central venous cannulation.","type":"article-journal","volume":"4"},"uris":["http://www.mendeley.com/documents/?uuid=f27d2d96-8c0e-37ae-a769-16d58b15a227","http://www.mendeley.com/documents/?uuid=f0df5ed8-bde5-4ae2-bb07-d53d990cfba6"]}],"mendeley":{"formattedCitation":"[206]","plainTextFormattedCitation":"[206]","previouslyFormattedCitation":"[206]"},"properties":{"noteIndex":0},"schema":"https://github.com/citation-style-language/schema/raw/master/csl-citation.json"}</w:instrText>
      </w:r>
      <w:r w:rsidRPr="00952000">
        <w:fldChar w:fldCharType="separate"/>
      </w:r>
      <w:r w:rsidRPr="00934898">
        <w:rPr>
          <w:noProof/>
        </w:rPr>
        <w:t>[206]</w:t>
      </w:r>
      <w:r w:rsidRPr="00952000">
        <w:fldChar w:fldCharType="end"/>
      </w:r>
      <w:r w:rsidRPr="00952000">
        <w:t>.</w:t>
      </w:r>
    </w:p>
    <w:p w14:paraId="5308ECA2" w14:textId="77777777" w:rsidR="00934898" w:rsidRPr="00952000" w:rsidRDefault="00934898" w:rsidP="003A6208">
      <w:pPr>
        <w:pStyle w:val="afd"/>
        <w:spacing w:beforeAutospacing="0" w:afterAutospacing="0" w:line="360" w:lineRule="auto"/>
        <w:ind w:firstLine="709"/>
        <w:rPr>
          <w:strike/>
        </w:rPr>
      </w:pPr>
      <w:r w:rsidRPr="00952000">
        <w:t>Использование ультразвукового сопровождения даже при установке ЦВК при тромбоцитопении менее 20х10</w:t>
      </w:r>
      <w:r w:rsidRPr="00952000">
        <w:rPr>
          <w:vertAlign w:val="superscript"/>
        </w:rPr>
        <w:t>9</w:t>
      </w:r>
      <w:r w:rsidRPr="00952000">
        <w:t>/л позволяет избежать серьезных геморрагических осложнений.</w:t>
      </w:r>
    </w:p>
    <w:p w14:paraId="186ADF51" w14:textId="4DAB3253" w:rsidR="00934898" w:rsidRPr="00952000" w:rsidRDefault="00934898" w:rsidP="003A6208">
      <w:pPr>
        <w:pStyle w:val="afd"/>
        <w:spacing w:beforeAutospacing="0" w:afterAutospacing="0" w:line="360" w:lineRule="auto"/>
        <w:ind w:firstLine="709"/>
      </w:pPr>
      <w:r w:rsidRPr="00952000">
        <w:t xml:space="preserve">В настоящее время УЗИ считается «золотым стандартом» при установке центрального венозного катетера с использованием яремного доступа, так как ВЯВ близко прилежит к поверхности кожи, нет мышц, которые бы могли затруднить визуализацию </w:t>
      </w:r>
      <w:r w:rsidRPr="00952000">
        <w:fldChar w:fldCharType="begin" w:fldLock="1"/>
      </w:r>
      <w:r w:rsidR="00275BAA">
        <w:instrText>ADDIN CSL_CITATION {"citationItems":[{"id":"ITEM-1","itemData":{"DOI":"10.1097/01.CCM.0000171533.92856.E5","ISSN":"0090-3493","author":[{"dropping-particle":"","family":"Milling","given":"Truman J.","non-dropping-particle":"","parse-names":false,"suffix":""},{"dropping-particle":"","family":"Rose","given":"John","non-dropping-particle":"","parse-names":false,"suffix":""},{"dropping-particle":"","family":"Briggs","given":"William M.","non-dropping-particle":"","parse-names":false,"suffix":""},{"dropping-particle":"","family":"Birkhahn","given":"Robert","non-dropping-particle":"","parse-names":false,"suffix":""},{"dropping-particle":"","family":"Gaeta","given":"Theodore J.","non-dropping-particle":"","parse-names":false,"suffix":""},{"dropping-particle":"","family":"Bove","given":"Joseph J.","non-dropping-particle":"","parse-names":false,"suffix":""},{"dropping-particle":"","family":"Melniker","given":"Lawrence A.","non-dropping-particle":"","parse-names":false,"suffix":""}],"container-title":"Critical Care Medicine","id":"ITEM-1","issue":"8","issued":{"date-parts":[["2005","8"]]},"page":"1764-1769","title":"Randomized, controlled clinical trial of point-of-care limited ultrasonography assistance of central venous cannulation: The Third Sonography Outcomes Assessment Program (SOAP-3) Trial*","type":"article-journal","volume":"33"},"uris":["http://www.mendeley.com/documents/?uuid=054ddacc-452c-3e56-9229-17632ae9ca05","http://www.mendeley.com/documents/?uuid=d52028d6-19cc-49b2-bfeb-b898ed00d7fe"]}],"mendeley":{"formattedCitation":"[207]","plainTextFormattedCitation":"[207]","previouslyFormattedCitation":"[207]"},"properties":{"noteIndex":0},"schema":"https://github.com/citation-style-language/schema/raw/master/csl-citation.json"}</w:instrText>
      </w:r>
      <w:r w:rsidRPr="00952000">
        <w:fldChar w:fldCharType="separate"/>
      </w:r>
      <w:r w:rsidRPr="00934898">
        <w:rPr>
          <w:noProof/>
        </w:rPr>
        <w:t>[207]</w:t>
      </w:r>
      <w:r w:rsidRPr="00952000">
        <w:fldChar w:fldCharType="end"/>
      </w:r>
      <w:r w:rsidRPr="00952000">
        <w:t>. Помимо этого, правая ВЯВ образует практически прямую линию, что уменьшает травму сосуда и риск возникновения КАТ при использовании катетера.</w:t>
      </w:r>
    </w:p>
    <w:p w14:paraId="5705DF72" w14:textId="77777777" w:rsidR="00934898" w:rsidRPr="00952000" w:rsidRDefault="00934898" w:rsidP="003A6208">
      <w:pPr>
        <w:ind w:firstLine="700"/>
        <w:rPr>
          <w:rFonts w:eastAsia="Times New Roman"/>
          <w:szCs w:val="24"/>
          <w:lang w:eastAsia="ru-RU"/>
        </w:rPr>
      </w:pPr>
      <w:r w:rsidRPr="00952000">
        <w:rPr>
          <w:rFonts w:eastAsia="Times New Roman"/>
          <w:szCs w:val="24"/>
          <w:lang w:eastAsia="ru-RU"/>
        </w:rPr>
        <w:t xml:space="preserve">Ультразвуковое сопровождение катетеризации центральных вен не исключает знания анатомии и поверхностных анатомических ориентиров, которые остаются необходимыми для ориентации как иглы, так и самого ультразвукового датчика. Ультразвуковое сопровождение катетеризации позволяет визуализировать не только вену, но и располагающиеся вблизи анатомические структуры. </w:t>
      </w:r>
    </w:p>
    <w:p w14:paraId="1759FB06" w14:textId="77777777" w:rsidR="00934898" w:rsidRPr="00952000" w:rsidRDefault="00934898" w:rsidP="003A6208">
      <w:pPr>
        <w:ind w:firstLine="708"/>
        <w:rPr>
          <w:szCs w:val="24"/>
        </w:rPr>
      </w:pPr>
      <w:r w:rsidRPr="00952000">
        <w:rPr>
          <w:szCs w:val="24"/>
        </w:rPr>
        <w:t>В случае выявления поражения средостения по данным рентгенологического исследования, а также при клинической картине синдрома сдавления верхней полой вены, перед катетеризацией необходимо выполнение КТ органов грудной клетки с болюсным контрастным усилением для оценки проходимости крупных венозных сосудов, диагностики тромботических осложнений.</w:t>
      </w:r>
    </w:p>
    <w:p w14:paraId="71FFCA27" w14:textId="77777777" w:rsidR="00934898" w:rsidRDefault="00934898" w:rsidP="003A6208">
      <w:pPr>
        <w:ind w:firstLine="709"/>
        <w:rPr>
          <w:b/>
          <w:bCs/>
          <w:szCs w:val="24"/>
        </w:rPr>
      </w:pPr>
    </w:p>
    <w:p w14:paraId="7CFB241D" w14:textId="77777777" w:rsidR="00934898" w:rsidRPr="009F4EC0" w:rsidRDefault="00934898" w:rsidP="003A6208">
      <w:pPr>
        <w:ind w:firstLine="709"/>
        <w:rPr>
          <w:i/>
          <w:iCs/>
          <w:szCs w:val="24"/>
        </w:rPr>
      </w:pPr>
      <w:r w:rsidRPr="009F4EC0">
        <w:rPr>
          <w:i/>
          <w:iCs/>
          <w:szCs w:val="24"/>
        </w:rPr>
        <w:t xml:space="preserve">Выбор типа ЦВК </w:t>
      </w:r>
    </w:p>
    <w:p w14:paraId="49A566BE" w14:textId="77777777" w:rsidR="00934898" w:rsidRPr="00952000" w:rsidRDefault="00934898" w:rsidP="003A6208">
      <w:pPr>
        <w:ind w:firstLine="709"/>
        <w:rPr>
          <w:szCs w:val="24"/>
        </w:rPr>
      </w:pPr>
      <w:r w:rsidRPr="00952000">
        <w:rPr>
          <w:szCs w:val="24"/>
        </w:rPr>
        <w:t xml:space="preserve">Больным </w:t>
      </w:r>
      <w:r w:rsidRPr="00952000">
        <w:rPr>
          <w:b/>
          <w:szCs w:val="24"/>
        </w:rPr>
        <w:t>острым миелоидным лейкозом</w:t>
      </w:r>
      <w:r w:rsidRPr="00952000">
        <w:rPr>
          <w:szCs w:val="24"/>
        </w:rPr>
        <w:t xml:space="preserve"> при проведении индукционных курсов химиотерапии, а также при проведении курсов консолидации и поддерживающей терапии устанавливается нетуннелируемый центральный венозный катетер в одну из вен бассейна верхней полой вены (внутреннюю яремную вену, подключичную вену, аксиллярную вену). Следует отдавать предпочтение двухпросветным или трехпросветным нетуннелируемым катетерам, поскольку нередко больным одновременно вводят несовместимые между собой растворы.</w:t>
      </w:r>
    </w:p>
    <w:p w14:paraId="69636AC0" w14:textId="77777777" w:rsidR="00934898" w:rsidRPr="00952000" w:rsidRDefault="00934898" w:rsidP="00934898">
      <w:pPr>
        <w:ind w:firstLine="708"/>
        <w:rPr>
          <w:szCs w:val="24"/>
        </w:rPr>
      </w:pPr>
      <w:r w:rsidRPr="00952000">
        <w:rPr>
          <w:szCs w:val="24"/>
        </w:rPr>
        <w:t>Установка долговременных венозных катетеров не оправдана из-за высокого риска инфицирования системы.</w:t>
      </w:r>
    </w:p>
    <w:p w14:paraId="26033EE3" w14:textId="77777777" w:rsidR="00934898" w:rsidRPr="00952000" w:rsidRDefault="00934898" w:rsidP="00934898">
      <w:pPr>
        <w:ind w:firstLine="708"/>
        <w:rPr>
          <w:szCs w:val="24"/>
        </w:rPr>
      </w:pPr>
      <w:r w:rsidRPr="00952000">
        <w:rPr>
          <w:szCs w:val="24"/>
        </w:rPr>
        <w:t xml:space="preserve">У больных </w:t>
      </w:r>
      <w:r w:rsidRPr="00952000">
        <w:rPr>
          <w:b/>
          <w:szCs w:val="24"/>
        </w:rPr>
        <w:t>острым промиелоцитарным лейкозом</w:t>
      </w:r>
      <w:r w:rsidRPr="00952000">
        <w:rPr>
          <w:szCs w:val="24"/>
        </w:rPr>
        <w:t xml:space="preserve"> при наличии выраженного геморрагического синдрома, как правило, вызванного тромбоцитопенией, гипофибриногенемией, гиперфибринолизом при проведении индукционного курса химиотерапии рекомендуется воздержаться от катетеризации яремных или подключичных вен из-за риска развития угрожающих жизни геморрагических осложнений (возможно развитие гемоторакса, обширных гематом на грудной клетке, развитие гематомы на шее со сдавлением и обструкцией верхних дыхательных путей). В условиях выраженного геморрагического синдрома у этой категории больных методом выбора может явиться катетеризация бедренной вены, либо установка периферически имплантируемого центрального венозного катетера (ПИЦВК) в кубитальную или плечевую вену. Поскольку этим больным требуются большие объемы инфузий, предпочтение следует отдать высокопоточным ПИЦВК, желательно имеющим два-три просвета. После купирования геморрагического синдрома в результате применения дифференцировочных препаратов (полностью транс-ретиноевой кислоты, мышьяка) и/или циторедуктивной химиотерапии больному может быть безопасно установлен нетуннелируемый катетер в одну из вен бассейна верхней полой вены (внутреннюю яремную вену, подключичную вену, аксиллярную вену). В то же время у больных острым промиелоцитарным лейкозом ПИ-ЦВК могут использоваться длительно, при отсутствии осложнений вся программа лечения лейкоза может быть выполнена через него. </w:t>
      </w:r>
    </w:p>
    <w:p w14:paraId="65905CF5" w14:textId="77777777" w:rsidR="00934898" w:rsidRPr="00952000" w:rsidRDefault="00934898" w:rsidP="00934898">
      <w:pPr>
        <w:ind w:firstLine="708"/>
        <w:rPr>
          <w:szCs w:val="24"/>
        </w:rPr>
      </w:pPr>
      <w:r w:rsidRPr="00952000">
        <w:rPr>
          <w:szCs w:val="24"/>
        </w:rPr>
        <w:t>Нет четких показаний для удаления ПИЦВК в межкурсовом периоде. Учитывая срок службы катетера, а также с целью предотвращения дополнительной травмы венозной стенки или для продолжения терапии может быть установлена полностью имплантируемая порт-система (порт-система).</w:t>
      </w:r>
    </w:p>
    <w:p w14:paraId="6E4B22AE" w14:textId="77777777" w:rsidR="00934898" w:rsidRPr="00952000" w:rsidRDefault="00934898" w:rsidP="00934898">
      <w:pPr>
        <w:ind w:firstLine="708"/>
        <w:rPr>
          <w:szCs w:val="24"/>
        </w:rPr>
      </w:pPr>
      <w:r w:rsidRPr="00952000">
        <w:rPr>
          <w:szCs w:val="24"/>
        </w:rPr>
        <w:t xml:space="preserve">Важной задачей является обеспечение сосудистого доступа </w:t>
      </w:r>
      <w:r w:rsidRPr="00952000">
        <w:rPr>
          <w:b/>
          <w:szCs w:val="24"/>
        </w:rPr>
        <w:t>при проведении трансплантации гемопоэтических стволовых клеток</w:t>
      </w:r>
      <w:r w:rsidRPr="00952000">
        <w:rPr>
          <w:szCs w:val="24"/>
        </w:rPr>
        <w:t xml:space="preserve"> (ТГСК). При трансплантации аутологичных ГСК достаточно установки нетуннелируемого катетера. При трансплантации аллогенных ГСК и прежде всего неродственных ГСК показана установка либо двухпросветного или трехпросветного ЦВК либо туннелируемых катетеров (катетер Хикмана, Леонарда). При проведении трансплантации с использованием туннелируемых ЦВК значительно реже развиваются ЦВК-ассоциированные инфекционные осложнения. Туннелируемые ЦВК не имеют преимуществ перед нетуннелируемыми ЦВК с антибактериальным покрытием при использовании в течение одного месяца. Однако при длительном использовании туннелируемых катетеров осложнений значительно меньше, чем при использовании нетуннелируемых (как с антибактериальным покрытием, так и без него). Поскольку при трансплантации аллогенных ГСК (прежде всего, неродственных) многие осложнения (реакция трансплантат против хозяина с поражением кожи, кишечника, инфекционные осложнения, геморрагический цистит и т. д.) возникают в первые 100 дней после трансплантации, и больные длительно нуждаются в сосудистом доступе, предпочтение следует отдать туннелируемым ЦВК (катетер Хикмана, Леонарда). Эти катетеры следует оставлять на несколько месяцев даже после выписки больного из стационара. Для уменьшения риска воздушной эмболии может быть установлен катетер Хикмана с клапаном Грошонга на дистальном конце, либо на проксимальный конец туннелируемого катетера устанавливаются специальные клапаны. Опыт длительного (в течение 4—6 мес) использования туннелируемых катетеров после ТГСК показал их безопасность и эффективность.</w:t>
      </w:r>
    </w:p>
    <w:p w14:paraId="537E5AD5" w14:textId="77777777" w:rsidR="00934898" w:rsidRDefault="00934898" w:rsidP="00934898">
      <w:pPr>
        <w:ind w:firstLine="708"/>
        <w:rPr>
          <w:b/>
          <w:bCs/>
          <w:szCs w:val="24"/>
        </w:rPr>
      </w:pPr>
    </w:p>
    <w:p w14:paraId="316F6D54" w14:textId="77777777" w:rsidR="00934898" w:rsidRPr="009F4EC0" w:rsidRDefault="00934898" w:rsidP="00934898">
      <w:pPr>
        <w:ind w:firstLine="708"/>
        <w:rPr>
          <w:i/>
          <w:iCs/>
          <w:szCs w:val="24"/>
          <w:u w:val="single"/>
        </w:rPr>
      </w:pPr>
      <w:r w:rsidRPr="009F4EC0">
        <w:rPr>
          <w:i/>
          <w:iCs/>
          <w:szCs w:val="24"/>
          <w:u w:val="single"/>
        </w:rPr>
        <w:t>Профилактика осложнений</w:t>
      </w:r>
    </w:p>
    <w:p w14:paraId="1AC20217" w14:textId="77777777" w:rsidR="00934898" w:rsidRPr="009F4EC0" w:rsidRDefault="00934898" w:rsidP="00934898">
      <w:pPr>
        <w:ind w:firstLine="708"/>
        <w:rPr>
          <w:i/>
          <w:iCs/>
          <w:szCs w:val="24"/>
        </w:rPr>
      </w:pPr>
      <w:r w:rsidRPr="009F4EC0">
        <w:rPr>
          <w:i/>
          <w:iCs/>
          <w:szCs w:val="24"/>
        </w:rPr>
        <w:t>Методы профилактики ранних осложнений</w:t>
      </w:r>
    </w:p>
    <w:p w14:paraId="1FD6E647" w14:textId="77777777" w:rsidR="00934898" w:rsidRPr="00952000" w:rsidRDefault="00934898" w:rsidP="0091350E">
      <w:pPr>
        <w:pStyle w:val="aff"/>
        <w:numPr>
          <w:ilvl w:val="0"/>
          <w:numId w:val="123"/>
        </w:numPr>
        <w:tabs>
          <w:tab w:val="left" w:pos="709"/>
        </w:tabs>
        <w:ind w:left="709"/>
        <w:contextualSpacing/>
        <w:rPr>
          <w:szCs w:val="24"/>
        </w:rPr>
      </w:pPr>
      <w:r w:rsidRPr="00952000">
        <w:rPr>
          <w:szCs w:val="24"/>
        </w:rPr>
        <w:t>Ультразвуковое сопровождение катетеризации центральных вен</w:t>
      </w:r>
    </w:p>
    <w:p w14:paraId="124CF4EF" w14:textId="77777777" w:rsidR="00934898" w:rsidRPr="00952000" w:rsidRDefault="00934898" w:rsidP="00934898">
      <w:pPr>
        <w:ind w:firstLine="708"/>
        <w:rPr>
          <w:strike/>
          <w:szCs w:val="24"/>
        </w:rPr>
      </w:pPr>
      <w:r w:rsidRPr="00952000">
        <w:rPr>
          <w:szCs w:val="24"/>
        </w:rPr>
        <w:t>С использованием линейного датчика 10 МГц, который обеспечивает поверхность сканирования 20-50 мм и глубину до 80 мм или в допплеровском режиме.</w:t>
      </w:r>
    </w:p>
    <w:p w14:paraId="2D5D1EB6" w14:textId="77777777" w:rsidR="00934898" w:rsidRPr="00952000" w:rsidRDefault="00934898" w:rsidP="00934898">
      <w:pPr>
        <w:ind w:firstLine="708"/>
        <w:rPr>
          <w:szCs w:val="24"/>
        </w:rPr>
      </w:pPr>
      <w:r w:rsidRPr="00952000">
        <w:rPr>
          <w:szCs w:val="24"/>
        </w:rPr>
        <w:t>Пункцию вены осуществляют в режиме постоянной визуализации острия иглы.</w:t>
      </w:r>
    </w:p>
    <w:p w14:paraId="686FF432" w14:textId="77777777" w:rsidR="00934898" w:rsidRPr="00952000" w:rsidRDefault="00934898" w:rsidP="00934898">
      <w:pPr>
        <w:ind w:firstLine="708"/>
        <w:rPr>
          <w:szCs w:val="24"/>
        </w:rPr>
      </w:pPr>
      <w:r w:rsidRPr="00952000">
        <w:rPr>
          <w:szCs w:val="24"/>
        </w:rPr>
        <w:t xml:space="preserve">Нарушения гемостаза компенсируются с помощью заместительной терапии компонентами крови. </w:t>
      </w:r>
    </w:p>
    <w:p w14:paraId="29F81854" w14:textId="77777777" w:rsidR="00934898" w:rsidRPr="00952000" w:rsidRDefault="00934898" w:rsidP="00934898">
      <w:pPr>
        <w:ind w:firstLine="708"/>
        <w:rPr>
          <w:rFonts w:eastAsia="ＭＳ 明朝 (Основной текст темы (ази"/>
          <w:szCs w:val="24"/>
          <w:lang w:eastAsia="ru-RU"/>
        </w:rPr>
      </w:pPr>
      <w:r w:rsidRPr="00952000">
        <w:rPr>
          <w:szCs w:val="24"/>
        </w:rPr>
        <w:t>Трансфузию концентратов тромбоцитов выполняют при снижении их концентрации в периферической крови ниже 20х10</w:t>
      </w:r>
      <w:r w:rsidRPr="00952000">
        <w:rPr>
          <w:szCs w:val="24"/>
          <w:vertAlign w:val="superscript"/>
        </w:rPr>
        <w:t>9</w:t>
      </w:r>
      <w:r w:rsidRPr="00952000">
        <w:rPr>
          <w:szCs w:val="24"/>
        </w:rPr>
        <w:t xml:space="preserve">/л </w:t>
      </w:r>
      <w:r w:rsidRPr="00952000">
        <w:rPr>
          <w:rFonts w:eastAsia="ＭＳ 明朝 (Основной текст темы (ази"/>
          <w:szCs w:val="24"/>
          <w:lang w:eastAsia="ru-RU"/>
        </w:rPr>
        <w:t>из расчета 1 ед. или 0,6х10</w:t>
      </w:r>
      <w:r w:rsidRPr="00952000">
        <w:rPr>
          <w:rFonts w:eastAsia="ＭＳ 明朝 (Основной текст темы (ази"/>
          <w:szCs w:val="24"/>
          <w:vertAlign w:val="superscript"/>
          <w:lang w:eastAsia="ru-RU"/>
        </w:rPr>
        <w:t>11</w:t>
      </w:r>
      <w:r w:rsidRPr="00952000">
        <w:rPr>
          <w:rFonts w:eastAsia="ＭＳ 明朝 (Основной текст темы (ази"/>
          <w:szCs w:val="24"/>
          <w:lang w:eastAsia="ru-RU"/>
        </w:rPr>
        <w:t xml:space="preserve"> клеток на 10 кг массы тела либо 1 терапевтическая доза (2х10</w:t>
      </w:r>
      <w:r w:rsidRPr="00952000">
        <w:rPr>
          <w:rFonts w:eastAsia="ＭＳ 明朝 (Основной текст темы (ази"/>
          <w:szCs w:val="24"/>
          <w:vertAlign w:val="superscript"/>
          <w:lang w:eastAsia="ru-RU"/>
        </w:rPr>
        <w:t>11</w:t>
      </w:r>
      <w:r w:rsidRPr="00952000">
        <w:rPr>
          <w:rFonts w:eastAsia="ＭＳ 明朝 (Основной текст темы (ази"/>
          <w:szCs w:val="24"/>
          <w:lang w:eastAsia="ru-RU"/>
        </w:rPr>
        <w:t xml:space="preserve"> клеток) на 1 м</w:t>
      </w:r>
      <w:r w:rsidRPr="00952000">
        <w:rPr>
          <w:rFonts w:eastAsia="ＭＳ 明朝 (Основной текст темы (ази"/>
          <w:szCs w:val="24"/>
          <w:vertAlign w:val="superscript"/>
          <w:lang w:eastAsia="ru-RU"/>
        </w:rPr>
        <w:t>2</w:t>
      </w:r>
      <w:r w:rsidRPr="00952000">
        <w:rPr>
          <w:rFonts w:eastAsia="ＭＳ 明朝 (Основной текст темы (ази"/>
          <w:szCs w:val="24"/>
          <w:lang w:eastAsia="ru-RU"/>
        </w:rPr>
        <w:t xml:space="preserve"> поверхности тела.</w:t>
      </w:r>
    </w:p>
    <w:p w14:paraId="2DCA1327" w14:textId="77777777" w:rsidR="00934898" w:rsidRPr="00952000" w:rsidRDefault="00934898" w:rsidP="00934898">
      <w:pPr>
        <w:ind w:firstLine="708"/>
        <w:rPr>
          <w:szCs w:val="24"/>
        </w:rPr>
      </w:pPr>
      <w:r w:rsidRPr="00952000">
        <w:rPr>
          <w:rFonts w:eastAsia="ＭＳ 明朝 (Основной текст темы (ази"/>
          <w:szCs w:val="24"/>
          <w:lang w:eastAsia="ru-RU"/>
        </w:rPr>
        <w:t>Трансфузии</w:t>
      </w:r>
      <w:r w:rsidRPr="00952000">
        <w:rPr>
          <w:szCs w:val="24"/>
        </w:rPr>
        <w:t xml:space="preserve"> криопреципитата выполняют при снижении концентрации фибриногена плазмы &lt;1,5 г/л из расчета 1 доза на 5 кг массы тела больного.</w:t>
      </w:r>
    </w:p>
    <w:p w14:paraId="3C4D8155" w14:textId="77777777" w:rsidR="00934898" w:rsidRPr="00952000" w:rsidRDefault="00934898" w:rsidP="00934898">
      <w:pPr>
        <w:ind w:firstLine="708"/>
        <w:rPr>
          <w:rFonts w:eastAsia="ＭＳ 明朝 (Основной текст темы (ази"/>
          <w:szCs w:val="24"/>
          <w:lang w:eastAsia="ru-RU"/>
        </w:rPr>
      </w:pPr>
      <w:r w:rsidRPr="00952000">
        <w:rPr>
          <w:szCs w:val="24"/>
        </w:rPr>
        <w:t>Трансфузии свежезамороженной плазмы проводят для коррекции дефицита факторов свертывания в дозе 10-15 мл/кг для обеспечения концентрации факторов свёртывания на уровне 30%.</w:t>
      </w:r>
    </w:p>
    <w:p w14:paraId="04675C45" w14:textId="41DE27C2" w:rsidR="00934898" w:rsidRPr="00952000" w:rsidRDefault="00934898" w:rsidP="00934898">
      <w:pPr>
        <w:ind w:firstLine="709"/>
        <w:rPr>
          <w:szCs w:val="24"/>
        </w:rPr>
      </w:pPr>
      <w:r w:rsidRPr="00952000">
        <w:rPr>
          <w:szCs w:val="24"/>
        </w:rPr>
        <w:t xml:space="preserve">У больных гемофилией расчет дозы концентрата дефицитного фактора свертывания проводят по формулам </w:t>
      </w:r>
      <w:r w:rsidRPr="00952000">
        <w:rPr>
          <w:szCs w:val="24"/>
        </w:rPr>
        <w:fldChar w:fldCharType="begin" w:fldLock="1"/>
      </w:r>
      <w:r w:rsidR="00275BAA">
        <w:rPr>
          <w:szCs w:val="24"/>
        </w:rPr>
        <w:instrText>ADDIN CSL_CITATION {"citationItems":[{"id":"ITEM-1","itemData":{"author":[{"dropping-particle":"","family":"Зозуля","given":"Н.И.","non-dropping-particle":"","parse-names":false,"suffix":""},{"dropping-particle":"","family":"Кумскова","given":"М.А.","non-dropping-particle":"","parse-names":false,"suffix":""}],"container-title":"Алгоритмы диагностики и протоколы лечения заболеваний системы крови. Том 1.","edition":"Практика","editor":[{"dropping-particle":"","family":"Савченко","given":"В.Г.","non-dropping-particle":"","parse-names":false,"suffix":""}],"id":"ITEM-1","issued":{"date-parts":[["2018"]]},"page":"333-358","publisher-place":"Москва","title":"Протокол диагностики и лечения гемофилии.","type":"chapter"},"uris":["http://www.mendeley.com/documents/?uuid=0f5fa306-495f-47fd-a308-cb7187da6dc9","http://www.mendeley.com/documents/?uuid=401a8177-eb94-4a41-8d27-6243609619c9"]}],"mendeley":{"formattedCitation":"[208]","plainTextFormattedCitation":"[208]","previouslyFormattedCitation":"[208]"},"properties":{"noteIndex":0},"schema":"https://github.com/citation-style-language/schema/raw/master/csl-citation.json"}</w:instrText>
      </w:r>
      <w:r w:rsidRPr="00952000">
        <w:rPr>
          <w:szCs w:val="24"/>
        </w:rPr>
        <w:fldChar w:fldCharType="separate"/>
      </w:r>
      <w:r w:rsidRPr="00934898">
        <w:rPr>
          <w:noProof/>
          <w:szCs w:val="24"/>
        </w:rPr>
        <w:t>[208]</w:t>
      </w:r>
      <w:r w:rsidRPr="00952000">
        <w:rPr>
          <w:szCs w:val="24"/>
        </w:rPr>
        <w:fldChar w:fldCharType="end"/>
      </w:r>
      <w:r w:rsidRPr="00952000">
        <w:rPr>
          <w:szCs w:val="24"/>
        </w:rPr>
        <w:t>:</w:t>
      </w:r>
    </w:p>
    <w:p w14:paraId="0C4B7400" w14:textId="77777777" w:rsidR="00934898" w:rsidRPr="00952000" w:rsidRDefault="00934898" w:rsidP="0091350E">
      <w:pPr>
        <w:pStyle w:val="aff"/>
        <w:numPr>
          <w:ilvl w:val="0"/>
          <w:numId w:val="118"/>
        </w:numPr>
        <w:contextualSpacing/>
        <w:rPr>
          <w:szCs w:val="24"/>
        </w:rPr>
      </w:pPr>
      <w:r w:rsidRPr="00952000">
        <w:rPr>
          <w:szCs w:val="24"/>
        </w:rPr>
        <w:t>FVIII: доза (МЕ) = масса тела (кг) х (требуемая активность (не менее 70%) – базальная активность) х 0,5,</w:t>
      </w:r>
    </w:p>
    <w:p w14:paraId="45ADC891" w14:textId="77777777" w:rsidR="00934898" w:rsidRPr="00952000" w:rsidRDefault="00934898" w:rsidP="0091350E">
      <w:pPr>
        <w:pStyle w:val="aff"/>
        <w:numPr>
          <w:ilvl w:val="0"/>
          <w:numId w:val="118"/>
        </w:numPr>
        <w:contextualSpacing/>
        <w:rPr>
          <w:szCs w:val="24"/>
        </w:rPr>
      </w:pPr>
      <w:r w:rsidRPr="00952000">
        <w:rPr>
          <w:szCs w:val="24"/>
        </w:rPr>
        <w:t>FIX: доза (МЕ) = масса тела (кг) х (требуемая активность (не менее 70%) – базальная активность).</w:t>
      </w:r>
    </w:p>
    <w:p w14:paraId="36F42EBB" w14:textId="314299BF" w:rsidR="00934898" w:rsidRPr="00952000" w:rsidRDefault="00934898" w:rsidP="00934898">
      <w:pPr>
        <w:ind w:firstLine="360"/>
        <w:rPr>
          <w:szCs w:val="24"/>
        </w:rPr>
      </w:pPr>
      <w:r w:rsidRPr="00952000">
        <w:rPr>
          <w:szCs w:val="24"/>
        </w:rPr>
        <w:t xml:space="preserve">При применении противоингибиторного коагулянтного комплекса дозу препарата рассчитывают исходя из потребности в 50-100 МЕ/кг </w:t>
      </w:r>
      <w:r w:rsidRPr="00952000">
        <w:rPr>
          <w:szCs w:val="24"/>
        </w:rPr>
        <w:fldChar w:fldCharType="begin" w:fldLock="1"/>
      </w:r>
      <w:r w:rsidR="00275BAA">
        <w:rPr>
          <w:szCs w:val="24"/>
        </w:rPr>
        <w:instrText>ADDIN CSL_CITATION {"citationItems":[{"id":"ITEM-1","itemData":{"author":[{"dropping-particle":"","family":"Галстян","given":"Г.М.","non-dropping-particle":"","parse-names":false,"suffix":""}],"container-title":"Гематология и трансфузиология.","id":"ITEM-1","issue":"2","issued":{"date-parts":[["2012"]]},"page":"7 - 21","title":"НАРУШЕНИЯ ГЕМОСТАЗА, ОБУСЛОВЛЕННЫЕ ДЕФИЦИТОМ ВИТАМИН К-ЗАВИСИМЫХ ФАКТОРОВ СВЕРТЫВАНИЯ КРОВИ — ПАТОГЕНЕЗ, СПОСОБЫ КОРРЕКЦИИ И РЕКОМЕНДАЦИИ ПО ЛЕЧЕНИЮ.","type":"article-journal","volume":"27"},"uris":["http://www.mendeley.com/documents/?uuid=52f305ab-0108-47a6-9673-c9e5246a7900","http://www.mendeley.com/documents/?uuid=e948cfe1-2831-4737-b489-e36df40a40f3"]}],"mendeley":{"formattedCitation":"[209]","plainTextFormattedCitation":"[209]","previouslyFormattedCitation":"[209]"},"properties":{"noteIndex":0},"schema":"https://github.com/citation-style-language/schema/raw/master/csl-citation.json"}</w:instrText>
      </w:r>
      <w:r w:rsidRPr="00952000">
        <w:rPr>
          <w:szCs w:val="24"/>
        </w:rPr>
        <w:fldChar w:fldCharType="separate"/>
      </w:r>
      <w:r w:rsidRPr="00934898">
        <w:rPr>
          <w:noProof/>
          <w:szCs w:val="24"/>
        </w:rPr>
        <w:t>[209]</w:t>
      </w:r>
      <w:r w:rsidRPr="00952000">
        <w:rPr>
          <w:szCs w:val="24"/>
        </w:rPr>
        <w:fldChar w:fldCharType="end"/>
      </w:r>
      <w:r w:rsidRPr="00952000">
        <w:rPr>
          <w:szCs w:val="24"/>
        </w:rPr>
        <w:t xml:space="preserve"> для однократного применения.</w:t>
      </w:r>
    </w:p>
    <w:p w14:paraId="50B17D6C" w14:textId="77777777" w:rsidR="00934898" w:rsidRPr="00952000" w:rsidRDefault="00934898" w:rsidP="00934898">
      <w:pPr>
        <w:ind w:firstLine="360"/>
        <w:rPr>
          <w:szCs w:val="24"/>
        </w:rPr>
      </w:pPr>
      <w:r w:rsidRPr="00952000">
        <w:rPr>
          <w:szCs w:val="24"/>
        </w:rPr>
        <w:t>Препараты рекомбинантного активированного фактора свертывания VII (rFVIIa) вводят в дозе 120 мг/кг однократно, после процедуры, в случаях неэффективности предшествующих мероприятий.</w:t>
      </w:r>
    </w:p>
    <w:p w14:paraId="442568A2" w14:textId="77777777" w:rsidR="00934898" w:rsidRPr="00952000" w:rsidRDefault="00934898" w:rsidP="00934898">
      <w:pPr>
        <w:pStyle w:val="Default"/>
        <w:spacing w:line="360" w:lineRule="auto"/>
        <w:ind w:firstLine="709"/>
        <w:jc w:val="both"/>
        <w:rPr>
          <w:color w:val="auto"/>
        </w:rPr>
      </w:pPr>
      <w:r w:rsidRPr="00952000">
        <w:rPr>
          <w:color w:val="auto"/>
        </w:rPr>
        <w:t>Хотя безопасным уровнем для катетеризации мы считаем количество тромбоцитов крови более 20 х 10</w:t>
      </w:r>
      <w:r w:rsidRPr="00952000">
        <w:rPr>
          <w:color w:val="auto"/>
          <w:vertAlign w:val="superscript"/>
        </w:rPr>
        <w:t>9</w:t>
      </w:r>
      <w:r w:rsidRPr="00952000">
        <w:rPr>
          <w:color w:val="auto"/>
        </w:rPr>
        <w:t>/л, у ряда пациентов достичь этого порогового уровня не удается вследствие различных причин, например, рефрактерность к трансфузиям. В этих случаях катетеризация центральной вены проводится только  под контролем ультразвука.</w:t>
      </w:r>
    </w:p>
    <w:p w14:paraId="6A2BE4DE" w14:textId="77777777" w:rsidR="00934898" w:rsidRDefault="00934898" w:rsidP="00934898">
      <w:pPr>
        <w:ind w:firstLine="708"/>
        <w:rPr>
          <w:b/>
          <w:bCs/>
          <w:szCs w:val="24"/>
        </w:rPr>
      </w:pPr>
    </w:p>
    <w:p w14:paraId="30F80692" w14:textId="77777777" w:rsidR="00934898" w:rsidRPr="009F4EC0" w:rsidRDefault="00934898" w:rsidP="00934898">
      <w:pPr>
        <w:ind w:firstLine="708"/>
        <w:rPr>
          <w:i/>
          <w:iCs/>
          <w:szCs w:val="24"/>
        </w:rPr>
      </w:pPr>
      <w:r w:rsidRPr="009F4EC0">
        <w:rPr>
          <w:i/>
          <w:iCs/>
          <w:szCs w:val="24"/>
        </w:rPr>
        <w:t>Методы профилактики поздних осложнений</w:t>
      </w:r>
    </w:p>
    <w:p w14:paraId="3620D46C" w14:textId="77777777" w:rsidR="00934898" w:rsidRPr="00952000" w:rsidRDefault="00934898" w:rsidP="00934898">
      <w:pPr>
        <w:ind w:firstLine="708"/>
        <w:rPr>
          <w:szCs w:val="24"/>
        </w:rPr>
      </w:pPr>
      <w:r w:rsidRPr="00952000">
        <w:rPr>
          <w:szCs w:val="24"/>
        </w:rPr>
        <w:t xml:space="preserve">После окончания использования все катетеры должны быть промыты соответствующим объемом физиологического раствора (табл. 1), а затем закрыты с помощью раствора, создающего «катетерный замок» также в соответствии с объемом катетера. На короткий срок (1-2 сут.) может быть использован «гепариновый замок» (гепарин в физиологическом растворе в концентрации 100 Ед/мл), при закрытии катетера на длительный срок, а также при высоком риске инфицирования катетера предпочтительным является использование раствора Тауролока. </w:t>
      </w:r>
    </w:p>
    <w:p w14:paraId="248214B8" w14:textId="77777777" w:rsidR="00934898" w:rsidRPr="00952000" w:rsidRDefault="00934898" w:rsidP="00934898">
      <w:pPr>
        <w:ind w:firstLine="708"/>
        <w:rPr>
          <w:rFonts w:eastAsia="ＭＳ 明朝 (Основной текст темы (ази"/>
          <w:szCs w:val="24"/>
        </w:rPr>
      </w:pPr>
      <w:r w:rsidRPr="00952000">
        <w:rPr>
          <w:rFonts w:eastAsia="ＭＳ 明朝 (Основной текст темы (ази"/>
          <w:szCs w:val="24"/>
        </w:rPr>
        <w:t>В случае перерывов в лечении катетер необходимо промывать 1 раз в 24 часа для нетуннелируемых ЦВК, 1 раз в 7 (10) дней для ПИЦВК и туннелируемых катетеров, 1 раз в 30 дней для порт-систем.</w:t>
      </w:r>
    </w:p>
    <w:p w14:paraId="2D619662" w14:textId="77777777" w:rsidR="00934898" w:rsidRPr="009F4EC0" w:rsidRDefault="00934898" w:rsidP="00934898">
      <w:pPr>
        <w:ind w:firstLine="708"/>
        <w:rPr>
          <w:szCs w:val="24"/>
        </w:rPr>
      </w:pPr>
      <w:r w:rsidRPr="00952000">
        <w:rPr>
          <w:rFonts w:eastAsia="ＭＳ 明朝 (Основной текст темы (ази"/>
          <w:szCs w:val="24"/>
        </w:rPr>
        <w:t xml:space="preserve">Асептическая повязка накладывается на место выхода катетера на кожу. Частота замены повязки с обязательной обработкой места выхода катетера, в соответствии с общими </w:t>
      </w:r>
      <w:r w:rsidRPr="009F4EC0">
        <w:rPr>
          <w:rFonts w:eastAsia="ＭＳ 明朝 (Основной текст темы (ази"/>
          <w:szCs w:val="24"/>
        </w:rPr>
        <w:t>принципами хирургической обработки, 2 раза в неделю при использовании нетуннелируемых катетеров, 1 раз в неделю для туннелируемых катетеров и ПИЦВК, и при необходимости (таб.1). Предпочтительно использовать прозрачные повязки для возможности ежедневной оценки кожи в месте установки катетера на наличие воспалительных изменений.</w:t>
      </w:r>
    </w:p>
    <w:p w14:paraId="13D308A4" w14:textId="77777777" w:rsidR="00934898" w:rsidRPr="00952000" w:rsidRDefault="00934898" w:rsidP="00934898">
      <w:pPr>
        <w:ind w:firstLine="708"/>
        <w:rPr>
          <w:szCs w:val="24"/>
        </w:rPr>
      </w:pPr>
      <w:r w:rsidRPr="009F4EC0">
        <w:rPr>
          <w:szCs w:val="24"/>
        </w:rPr>
        <w:t>Таблица 1. Режимы промы</w:t>
      </w:r>
      <w:r w:rsidRPr="00952000">
        <w:rPr>
          <w:szCs w:val="24"/>
        </w:rPr>
        <w:t>вания и закрытия катетеров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002"/>
        <w:gridCol w:w="6708"/>
      </w:tblGrid>
      <w:tr w:rsidR="00934898" w:rsidRPr="00952000" w14:paraId="60494EDB" w14:textId="77777777" w:rsidTr="005A428D">
        <w:trPr>
          <w:cantSplit/>
          <w:trHeight w:val="2220"/>
        </w:trPr>
        <w:tc>
          <w:tcPr>
            <w:tcW w:w="534" w:type="dxa"/>
            <w:vMerge w:val="restart"/>
            <w:textDirection w:val="btLr"/>
          </w:tcPr>
          <w:p w14:paraId="21FF49A8" w14:textId="77777777" w:rsidR="00934898" w:rsidRPr="00952000" w:rsidRDefault="00934898" w:rsidP="005A428D">
            <w:pPr>
              <w:ind w:left="113" w:right="113"/>
              <w:rPr>
                <w:rFonts w:eastAsia="ＭＳ 明朝 (Основной текст темы (ази"/>
                <w:szCs w:val="24"/>
              </w:rPr>
            </w:pPr>
            <w:r w:rsidRPr="00952000">
              <w:rPr>
                <w:rFonts w:eastAsia="ＭＳ 明朝 (Основной текст темы (ази"/>
                <w:szCs w:val="24"/>
              </w:rPr>
              <w:t>Промывание катетера</w:t>
            </w:r>
          </w:p>
        </w:tc>
        <w:tc>
          <w:tcPr>
            <w:tcW w:w="2011" w:type="dxa"/>
            <w:shd w:val="clear" w:color="auto" w:fill="auto"/>
          </w:tcPr>
          <w:p w14:paraId="59B96FD9" w14:textId="77777777" w:rsidR="00934898" w:rsidRPr="00952000" w:rsidRDefault="00934898" w:rsidP="005A428D">
            <w:pPr>
              <w:rPr>
                <w:rFonts w:eastAsia="ＭＳ 明朝 (Основной текст темы (ази"/>
                <w:szCs w:val="24"/>
              </w:rPr>
            </w:pPr>
            <w:r w:rsidRPr="00952000">
              <w:rPr>
                <w:rFonts w:eastAsia="ＭＳ 明朝 (Основной текст темы (ази"/>
                <w:szCs w:val="24"/>
              </w:rPr>
              <w:t>Введение препаратов</w:t>
            </w:r>
          </w:p>
        </w:tc>
        <w:tc>
          <w:tcPr>
            <w:tcW w:w="7026" w:type="dxa"/>
            <w:shd w:val="clear" w:color="auto" w:fill="auto"/>
          </w:tcPr>
          <w:p w14:paraId="3A04AC0D" w14:textId="77777777" w:rsidR="00934898" w:rsidRPr="00952000" w:rsidRDefault="00934898" w:rsidP="005A428D">
            <w:pPr>
              <w:rPr>
                <w:rFonts w:eastAsia="ＭＳ 明朝 (Основной текст темы (ази"/>
                <w:szCs w:val="24"/>
              </w:rPr>
            </w:pPr>
            <w:r w:rsidRPr="00952000">
              <w:rPr>
                <w:rFonts w:eastAsia="ＭＳ 明朝 (Основной текст темы (ази"/>
                <w:szCs w:val="24"/>
              </w:rPr>
              <w:t xml:space="preserve">Промывать катетеры необходимо до и после введения лекарственных препаратов и компонентов крови. Использовать болюсное (импульсный режим) промывание 10 мл физиологического раствора для всех внутривенных катетеров (за исключением периферических катетеров, где достаточно 5 мл). </w:t>
            </w:r>
          </w:p>
        </w:tc>
      </w:tr>
      <w:tr w:rsidR="00934898" w:rsidRPr="00952000" w14:paraId="3F240721" w14:textId="77777777" w:rsidTr="005A428D">
        <w:trPr>
          <w:cantSplit/>
          <w:trHeight w:val="1920"/>
        </w:trPr>
        <w:tc>
          <w:tcPr>
            <w:tcW w:w="534" w:type="dxa"/>
            <w:vMerge/>
            <w:textDirection w:val="btLr"/>
          </w:tcPr>
          <w:p w14:paraId="7763031E" w14:textId="77777777" w:rsidR="00934898" w:rsidRPr="00952000" w:rsidRDefault="00934898" w:rsidP="005A428D">
            <w:pPr>
              <w:ind w:left="113" w:right="113"/>
              <w:rPr>
                <w:rFonts w:eastAsia="ＭＳ 明朝 (Основной текст темы (ази"/>
                <w:szCs w:val="24"/>
              </w:rPr>
            </w:pPr>
          </w:p>
        </w:tc>
        <w:tc>
          <w:tcPr>
            <w:tcW w:w="2011" w:type="dxa"/>
            <w:shd w:val="clear" w:color="auto" w:fill="auto"/>
          </w:tcPr>
          <w:p w14:paraId="2C7B94C1" w14:textId="77777777" w:rsidR="00934898" w:rsidRPr="00952000" w:rsidRDefault="00934898" w:rsidP="005A428D">
            <w:pPr>
              <w:rPr>
                <w:rFonts w:eastAsia="ＭＳ 明朝 (Основной текст темы (ази"/>
                <w:szCs w:val="24"/>
              </w:rPr>
            </w:pPr>
            <w:r w:rsidRPr="00952000">
              <w:rPr>
                <w:rFonts w:eastAsia="ＭＳ 明朝 (Основной текст темы (ази"/>
                <w:szCs w:val="24"/>
              </w:rPr>
              <w:t>Парентеральное питание, компоненты крови</w:t>
            </w:r>
          </w:p>
        </w:tc>
        <w:tc>
          <w:tcPr>
            <w:tcW w:w="7026" w:type="dxa"/>
            <w:shd w:val="clear" w:color="auto" w:fill="auto"/>
          </w:tcPr>
          <w:p w14:paraId="1C067786" w14:textId="77777777" w:rsidR="00934898" w:rsidRPr="00952000" w:rsidRDefault="00934898" w:rsidP="005A428D">
            <w:pPr>
              <w:rPr>
                <w:rFonts w:eastAsia="ＭＳ 明朝 (Основной текст темы (ази"/>
                <w:szCs w:val="24"/>
              </w:rPr>
            </w:pPr>
            <w:r w:rsidRPr="00952000">
              <w:rPr>
                <w:rFonts w:eastAsia="ＭＳ 明朝 (Основной текст темы (ази"/>
                <w:szCs w:val="24"/>
              </w:rPr>
              <w:t>После введения в катетер компонентов крови или парентерально питания использовать 20 мл (10 мл х 2) для промывания катетера. Промывать необходимо чередуя импульсный режим и струйное болюсное введение.</w:t>
            </w:r>
          </w:p>
        </w:tc>
      </w:tr>
      <w:tr w:rsidR="00934898" w:rsidRPr="00952000" w14:paraId="0642093C" w14:textId="77777777" w:rsidTr="005A428D">
        <w:trPr>
          <w:cantSplit/>
          <w:trHeight w:val="1134"/>
        </w:trPr>
        <w:tc>
          <w:tcPr>
            <w:tcW w:w="534" w:type="dxa"/>
            <w:vMerge w:val="restart"/>
            <w:textDirection w:val="btLr"/>
          </w:tcPr>
          <w:p w14:paraId="64324059" w14:textId="77777777" w:rsidR="00934898" w:rsidRPr="00952000" w:rsidRDefault="00934898" w:rsidP="005A428D">
            <w:pPr>
              <w:ind w:left="113" w:right="113"/>
              <w:rPr>
                <w:rFonts w:eastAsia="ＭＳ 明朝 (Основной текст темы (ази"/>
                <w:szCs w:val="24"/>
              </w:rPr>
            </w:pPr>
            <w:r w:rsidRPr="00952000">
              <w:rPr>
                <w:rFonts w:eastAsia="ＭＳ 明朝 (Основной текст темы (ази"/>
                <w:szCs w:val="24"/>
              </w:rPr>
              <w:t>Закрытие катетера</w:t>
            </w:r>
          </w:p>
        </w:tc>
        <w:tc>
          <w:tcPr>
            <w:tcW w:w="2011" w:type="dxa"/>
            <w:shd w:val="clear" w:color="auto" w:fill="auto"/>
          </w:tcPr>
          <w:p w14:paraId="76DB7B7B" w14:textId="77777777" w:rsidR="00934898" w:rsidRPr="00952000" w:rsidRDefault="00934898" w:rsidP="005A428D">
            <w:pPr>
              <w:rPr>
                <w:rFonts w:eastAsia="ＭＳ 明朝 (Основной текст темы (ази"/>
                <w:szCs w:val="24"/>
              </w:rPr>
            </w:pPr>
            <w:r w:rsidRPr="00952000">
              <w:rPr>
                <w:rFonts w:eastAsia="ＭＳ 明朝 (Основной текст темы (ази"/>
                <w:szCs w:val="24"/>
              </w:rPr>
              <w:t xml:space="preserve">Объем </w:t>
            </w:r>
          </w:p>
        </w:tc>
        <w:tc>
          <w:tcPr>
            <w:tcW w:w="7026" w:type="dxa"/>
            <w:shd w:val="clear" w:color="auto" w:fill="auto"/>
          </w:tcPr>
          <w:p w14:paraId="5D1D2620" w14:textId="77777777" w:rsidR="00934898" w:rsidRPr="00952000" w:rsidRDefault="00934898" w:rsidP="005A428D">
            <w:pPr>
              <w:rPr>
                <w:rFonts w:eastAsia="ＭＳ 明朝 (Основной текст темы (ази"/>
                <w:szCs w:val="24"/>
              </w:rPr>
            </w:pPr>
            <w:r w:rsidRPr="00952000">
              <w:rPr>
                <w:rFonts w:eastAsia="ＭＳ 明朝 (Основной текст темы (ази"/>
                <w:szCs w:val="24"/>
              </w:rPr>
              <w:t>1 мл для периферических катетеров</w:t>
            </w:r>
          </w:p>
          <w:p w14:paraId="424C90FC" w14:textId="77777777" w:rsidR="00934898" w:rsidRPr="00952000" w:rsidRDefault="00934898" w:rsidP="005A428D">
            <w:pPr>
              <w:rPr>
                <w:rFonts w:eastAsia="ＭＳ 明朝 (Основной текст темы (ази"/>
                <w:szCs w:val="24"/>
              </w:rPr>
            </w:pPr>
            <w:r w:rsidRPr="00952000">
              <w:rPr>
                <w:rFonts w:eastAsia="ＭＳ 明朝 (Основной текст темы (ази"/>
                <w:szCs w:val="24"/>
              </w:rPr>
              <w:t xml:space="preserve">1,5 мл для катетеров типа </w:t>
            </w:r>
            <w:r w:rsidRPr="00952000">
              <w:rPr>
                <w:rFonts w:eastAsia="ＭＳ 明朝 (Основной текст темы (ази"/>
                <w:szCs w:val="24"/>
                <w:lang w:val="en-US"/>
              </w:rPr>
              <w:t>MidLine</w:t>
            </w:r>
            <w:r w:rsidRPr="00952000">
              <w:rPr>
                <w:rFonts w:eastAsia="ＭＳ 明朝 (Основной текст темы (ази"/>
                <w:szCs w:val="24"/>
              </w:rPr>
              <w:t>, ПИЦВК, нетуннелируемых ЦВК и туннелируемых ЦВК с небольшим (</w:t>
            </w:r>
            <w:r w:rsidRPr="00952000">
              <w:rPr>
                <w:rFonts w:eastAsia="MS Gothic"/>
                <w:szCs w:val="24"/>
              </w:rPr>
              <w:t>≤1 мм)</w:t>
            </w:r>
            <w:r w:rsidRPr="00952000">
              <w:rPr>
                <w:rFonts w:eastAsia="ＭＳ 明朝 (Основной текст темы (ази"/>
                <w:szCs w:val="24"/>
              </w:rPr>
              <w:t xml:space="preserve"> внутренним диаметром </w:t>
            </w:r>
          </w:p>
          <w:p w14:paraId="0E62FAF4" w14:textId="77777777" w:rsidR="00934898" w:rsidRPr="00952000" w:rsidRDefault="00934898" w:rsidP="005A428D">
            <w:pPr>
              <w:rPr>
                <w:rFonts w:eastAsia="ＭＳ 明朝 (Основной текст темы (ази"/>
                <w:szCs w:val="24"/>
              </w:rPr>
            </w:pPr>
            <w:r w:rsidRPr="00952000">
              <w:rPr>
                <w:rFonts w:eastAsia="ＭＳ 明朝 (Основной текст темы (ази"/>
                <w:szCs w:val="24"/>
              </w:rPr>
              <w:t>2,0-2,5 мл для туннелируемых ЦВК с большим (≥</w:t>
            </w:r>
            <w:r w:rsidRPr="00952000">
              <w:rPr>
                <w:rFonts w:eastAsia="MS Gothic"/>
                <w:szCs w:val="24"/>
              </w:rPr>
              <w:t>1 мм)</w:t>
            </w:r>
            <w:r w:rsidRPr="00952000">
              <w:rPr>
                <w:rFonts w:eastAsia="ＭＳ 明朝 (Основной текст темы (ази"/>
                <w:szCs w:val="24"/>
              </w:rPr>
              <w:t xml:space="preserve"> внутренним диаметром (в каждый ход), порт систем</w:t>
            </w:r>
          </w:p>
        </w:tc>
      </w:tr>
      <w:tr w:rsidR="00934898" w:rsidRPr="00952000" w14:paraId="2DE48D9C" w14:textId="77777777" w:rsidTr="005A428D">
        <w:trPr>
          <w:cantSplit/>
          <w:trHeight w:val="1134"/>
        </w:trPr>
        <w:tc>
          <w:tcPr>
            <w:tcW w:w="534" w:type="dxa"/>
            <w:vMerge/>
            <w:textDirection w:val="btLr"/>
          </w:tcPr>
          <w:p w14:paraId="2E68E4D1" w14:textId="77777777" w:rsidR="00934898" w:rsidRPr="00952000" w:rsidRDefault="00934898" w:rsidP="005A428D">
            <w:pPr>
              <w:ind w:left="113" w:right="113"/>
              <w:rPr>
                <w:rFonts w:eastAsia="ＭＳ 明朝 (Основной текст темы (ази"/>
                <w:szCs w:val="24"/>
              </w:rPr>
            </w:pPr>
          </w:p>
        </w:tc>
        <w:tc>
          <w:tcPr>
            <w:tcW w:w="2011" w:type="dxa"/>
            <w:shd w:val="clear" w:color="auto" w:fill="auto"/>
          </w:tcPr>
          <w:p w14:paraId="091EEB3D" w14:textId="77777777" w:rsidR="00934898" w:rsidRPr="00952000" w:rsidRDefault="00934898" w:rsidP="005A428D">
            <w:pPr>
              <w:rPr>
                <w:rFonts w:eastAsia="ＭＳ 明朝 (Основной текст темы (ази"/>
                <w:szCs w:val="24"/>
              </w:rPr>
            </w:pPr>
            <w:r w:rsidRPr="00952000">
              <w:rPr>
                <w:rFonts w:eastAsia="ＭＳ 明朝 (Основной текст темы (ази"/>
                <w:szCs w:val="24"/>
              </w:rPr>
              <w:t>Режимы</w:t>
            </w:r>
          </w:p>
        </w:tc>
        <w:tc>
          <w:tcPr>
            <w:tcW w:w="7026" w:type="dxa"/>
            <w:shd w:val="clear" w:color="auto" w:fill="auto"/>
          </w:tcPr>
          <w:p w14:paraId="02333750" w14:textId="77777777" w:rsidR="00934898" w:rsidRPr="00952000" w:rsidRDefault="00934898" w:rsidP="005A428D">
            <w:pPr>
              <w:rPr>
                <w:rFonts w:eastAsia="ＭＳ 明朝 (Основной текст темы (ази"/>
                <w:szCs w:val="24"/>
              </w:rPr>
            </w:pPr>
            <w:r w:rsidRPr="00952000">
              <w:rPr>
                <w:rFonts w:eastAsia="ＭＳ 明朝 (Основной текст темы (ази"/>
                <w:szCs w:val="24"/>
              </w:rPr>
              <w:t>Каждые 8-24 ч для кратковременных ЦВК</w:t>
            </w:r>
          </w:p>
          <w:p w14:paraId="01DDBBBA" w14:textId="77777777" w:rsidR="00934898" w:rsidRPr="00952000" w:rsidRDefault="00934898" w:rsidP="005A428D">
            <w:pPr>
              <w:rPr>
                <w:rFonts w:eastAsia="ＭＳ 明朝 (Основной текст темы (ази"/>
                <w:szCs w:val="24"/>
              </w:rPr>
            </w:pPr>
            <w:r w:rsidRPr="00952000">
              <w:rPr>
                <w:rFonts w:eastAsia="ＭＳ 明朝 (Основной текст темы (ази"/>
                <w:szCs w:val="24"/>
              </w:rPr>
              <w:t>Еженедельно – для туннелируемых ЦВК и ПИЦВК</w:t>
            </w:r>
          </w:p>
          <w:p w14:paraId="327782E0" w14:textId="77777777" w:rsidR="00934898" w:rsidRPr="00952000" w:rsidRDefault="00934898" w:rsidP="005A428D">
            <w:pPr>
              <w:rPr>
                <w:rFonts w:eastAsia="ＭＳ 明朝 (Основной текст темы (ази"/>
                <w:szCs w:val="24"/>
              </w:rPr>
            </w:pPr>
            <w:r w:rsidRPr="00952000">
              <w:rPr>
                <w:rFonts w:eastAsia="ＭＳ 明朝 (Основной текст темы (ази"/>
                <w:szCs w:val="24"/>
              </w:rPr>
              <w:t>Каждые 6-8 недель для порт-систем</w:t>
            </w:r>
          </w:p>
        </w:tc>
      </w:tr>
    </w:tbl>
    <w:p w14:paraId="34195B63" w14:textId="77777777" w:rsidR="00934898" w:rsidRPr="00952000" w:rsidRDefault="00934898" w:rsidP="00934898">
      <w:pPr>
        <w:rPr>
          <w:b/>
          <w:bCs/>
          <w:szCs w:val="24"/>
        </w:rPr>
      </w:pPr>
    </w:p>
    <w:p w14:paraId="6FE6F3DE" w14:textId="77777777" w:rsidR="00934898" w:rsidRPr="009F4EC0" w:rsidRDefault="00934898" w:rsidP="00934898">
      <w:pPr>
        <w:rPr>
          <w:i/>
          <w:iCs/>
          <w:szCs w:val="24"/>
          <w:u w:val="single"/>
        </w:rPr>
      </w:pPr>
      <w:r w:rsidRPr="009F4EC0">
        <w:rPr>
          <w:i/>
          <w:iCs/>
          <w:szCs w:val="24"/>
          <w:u w:val="single"/>
        </w:rPr>
        <w:t>Алгоритм действий врача</w:t>
      </w:r>
    </w:p>
    <w:p w14:paraId="0A266CD6" w14:textId="77777777" w:rsidR="00934898" w:rsidRPr="00952000" w:rsidRDefault="00934898" w:rsidP="00934898">
      <w:pPr>
        <w:rPr>
          <w:szCs w:val="24"/>
        </w:rPr>
      </w:pPr>
      <w:r w:rsidRPr="00952000">
        <w:rPr>
          <w:szCs w:val="24"/>
        </w:rPr>
        <w:tab/>
        <w:t>Манипуляция проводится только при наличии информированного согласия на проведение катетеризации.</w:t>
      </w:r>
    </w:p>
    <w:p w14:paraId="7F29F17B" w14:textId="77777777" w:rsidR="00934898" w:rsidRPr="009F4EC0" w:rsidRDefault="00934898" w:rsidP="0091350E">
      <w:pPr>
        <w:pStyle w:val="aff"/>
        <w:numPr>
          <w:ilvl w:val="0"/>
          <w:numId w:val="126"/>
        </w:numPr>
        <w:contextualSpacing/>
        <w:rPr>
          <w:szCs w:val="24"/>
        </w:rPr>
      </w:pPr>
      <w:r w:rsidRPr="009F4EC0">
        <w:rPr>
          <w:szCs w:val="24"/>
        </w:rPr>
        <w:t>Физикальный осмотр</w:t>
      </w:r>
    </w:p>
    <w:p w14:paraId="0721EE2E" w14:textId="77777777" w:rsidR="00934898" w:rsidRPr="009F4EC0" w:rsidRDefault="00934898" w:rsidP="0091350E">
      <w:pPr>
        <w:pStyle w:val="aff"/>
        <w:numPr>
          <w:ilvl w:val="0"/>
          <w:numId w:val="126"/>
        </w:numPr>
        <w:contextualSpacing/>
        <w:rPr>
          <w:szCs w:val="24"/>
        </w:rPr>
      </w:pPr>
      <w:r w:rsidRPr="009F4EC0">
        <w:rPr>
          <w:szCs w:val="24"/>
        </w:rPr>
        <w:t xml:space="preserve">Выбор типа ЦВК после физикального осмотра, сбора анамнеза, ознакомления с результатами лабораторных и инструментальных методов исследования. </w:t>
      </w:r>
    </w:p>
    <w:p w14:paraId="3BBAFCCE" w14:textId="77777777" w:rsidR="00934898" w:rsidRPr="009F4EC0" w:rsidRDefault="00934898" w:rsidP="0091350E">
      <w:pPr>
        <w:pStyle w:val="aff"/>
        <w:numPr>
          <w:ilvl w:val="0"/>
          <w:numId w:val="126"/>
        </w:numPr>
        <w:contextualSpacing/>
        <w:rPr>
          <w:szCs w:val="24"/>
        </w:rPr>
      </w:pPr>
      <w:r w:rsidRPr="009F4EC0">
        <w:rPr>
          <w:szCs w:val="24"/>
        </w:rPr>
        <w:t>Дуплексное сканирование вен в месте планируемой установки ЦВК (определяется диаметр вены, наличие сдавления вен в месте пункции и по ходу установленного ЦВК, тромба в просвете вен, наличие клапанного аппарата и его состоятельность. Устанавливать ЦВК в вену, диаметр которой не превышает 50% диаметра катетера и/или выявлен тромбоз недопустимо).</w:t>
      </w:r>
    </w:p>
    <w:p w14:paraId="0F81371E" w14:textId="77777777" w:rsidR="00934898" w:rsidRPr="009F4EC0" w:rsidRDefault="00934898" w:rsidP="0091350E">
      <w:pPr>
        <w:pStyle w:val="aff"/>
        <w:numPr>
          <w:ilvl w:val="0"/>
          <w:numId w:val="126"/>
        </w:numPr>
        <w:contextualSpacing/>
        <w:rPr>
          <w:szCs w:val="24"/>
        </w:rPr>
      </w:pPr>
      <w:r w:rsidRPr="009F4EC0">
        <w:rPr>
          <w:szCs w:val="24"/>
        </w:rPr>
        <w:t>Имплантация ЦВК с обязательным позиционированием дистального конца у кава-атриального соединения в случае катетеризации ВПВ и кава-атриального соединения или ниже устья почечных вен при катетеризации НПВ.</w:t>
      </w:r>
    </w:p>
    <w:p w14:paraId="6B2C29ED" w14:textId="77777777" w:rsidR="00934898" w:rsidRPr="009F4EC0" w:rsidRDefault="00934898" w:rsidP="0091350E">
      <w:pPr>
        <w:pStyle w:val="aff"/>
        <w:numPr>
          <w:ilvl w:val="0"/>
          <w:numId w:val="126"/>
        </w:numPr>
        <w:contextualSpacing/>
        <w:rPr>
          <w:szCs w:val="24"/>
        </w:rPr>
      </w:pPr>
      <w:r w:rsidRPr="009F4EC0">
        <w:rPr>
          <w:szCs w:val="24"/>
        </w:rPr>
        <w:t>Закрепление катетера на коже больного у места выхода с использованием шовных материалов или устройств бесшовной фиксации.</w:t>
      </w:r>
    </w:p>
    <w:p w14:paraId="18515380" w14:textId="77777777" w:rsidR="00934898" w:rsidRPr="009F4EC0" w:rsidRDefault="00934898" w:rsidP="0091350E">
      <w:pPr>
        <w:pStyle w:val="aff"/>
        <w:numPr>
          <w:ilvl w:val="0"/>
          <w:numId w:val="126"/>
        </w:numPr>
        <w:contextualSpacing/>
        <w:rPr>
          <w:szCs w:val="24"/>
        </w:rPr>
      </w:pPr>
      <w:r w:rsidRPr="009F4EC0">
        <w:rPr>
          <w:szCs w:val="24"/>
        </w:rPr>
        <w:t>Наложение асептической повязки.</w:t>
      </w:r>
    </w:p>
    <w:p w14:paraId="02FD0648" w14:textId="77777777" w:rsidR="00934898" w:rsidRPr="009F4EC0" w:rsidRDefault="00934898" w:rsidP="0091350E">
      <w:pPr>
        <w:pStyle w:val="aff"/>
        <w:numPr>
          <w:ilvl w:val="0"/>
          <w:numId w:val="126"/>
        </w:numPr>
        <w:contextualSpacing/>
        <w:rPr>
          <w:szCs w:val="24"/>
        </w:rPr>
      </w:pPr>
      <w:r w:rsidRPr="009F4EC0">
        <w:rPr>
          <w:szCs w:val="24"/>
        </w:rPr>
        <w:t>Заполнение протокола катетеризации с обязательным указанием ранних осложнений, количества попыток катетеризации, типа установленного ЦВК.</w:t>
      </w:r>
    </w:p>
    <w:p w14:paraId="3FE6B526" w14:textId="77777777" w:rsidR="00934898" w:rsidRPr="00952000" w:rsidRDefault="00934898" w:rsidP="00934898">
      <w:pPr>
        <w:rPr>
          <w:szCs w:val="24"/>
        </w:rPr>
      </w:pPr>
    </w:p>
    <w:p w14:paraId="10C0471B" w14:textId="77777777" w:rsidR="00934898" w:rsidRPr="008635A0" w:rsidRDefault="00934898" w:rsidP="00934898">
      <w:pPr>
        <w:ind w:firstLine="708"/>
        <w:rPr>
          <w:bCs/>
          <w:i/>
          <w:iCs/>
          <w:szCs w:val="24"/>
        </w:rPr>
      </w:pPr>
      <w:r w:rsidRPr="008635A0">
        <w:rPr>
          <w:bCs/>
          <w:i/>
          <w:iCs/>
          <w:spacing w:val="2"/>
          <w:szCs w:val="24"/>
          <w:shd w:val="clear" w:color="auto" w:fill="FFFFFF"/>
        </w:rPr>
        <w:t>Дополнительные сведения об особенностях выполнения обработки катетера (смена повязки):</w:t>
      </w:r>
    </w:p>
    <w:p w14:paraId="3B748830" w14:textId="77777777" w:rsidR="00934898" w:rsidRPr="001352F1" w:rsidRDefault="00934898" w:rsidP="0091350E">
      <w:pPr>
        <w:pStyle w:val="aff"/>
        <w:numPr>
          <w:ilvl w:val="0"/>
          <w:numId w:val="124"/>
        </w:numPr>
        <w:contextualSpacing/>
        <w:rPr>
          <w:b/>
          <w:szCs w:val="24"/>
        </w:rPr>
      </w:pPr>
      <w:r w:rsidRPr="008635A0">
        <w:rPr>
          <w:spacing w:val="2"/>
          <w:szCs w:val="24"/>
          <w:shd w:val="clear" w:color="auto" w:fill="FFFFFF"/>
        </w:rPr>
        <w:t>При проведении процедуры обработки (перевязки) с ЦВК пациент может</w:t>
      </w:r>
      <w:r w:rsidRPr="001352F1">
        <w:rPr>
          <w:spacing w:val="2"/>
          <w:szCs w:val="24"/>
          <w:shd w:val="clear" w:color="auto" w:fill="FFFFFF"/>
        </w:rPr>
        <w:t xml:space="preserve"> сидеть или лежать на спине, рука, на стороне которой в вене находится катетер, расположена вдоль туловища. При применении дополнительных зажимов не катетере снятие заглушки не связано с фазой дыхания. При проведении процедуры с катетером, находящимся в бедренной вене, ножной конец кровати опущен на 25°. Снятие заглушки не связано с фазой дыхания.</w:t>
      </w:r>
    </w:p>
    <w:p w14:paraId="009967D1" w14:textId="77777777" w:rsidR="00934898" w:rsidRPr="00952000" w:rsidRDefault="00934898" w:rsidP="0091350E">
      <w:pPr>
        <w:pStyle w:val="aff"/>
        <w:numPr>
          <w:ilvl w:val="0"/>
          <w:numId w:val="124"/>
        </w:numPr>
        <w:contextualSpacing/>
        <w:rPr>
          <w:szCs w:val="24"/>
        </w:rPr>
      </w:pPr>
      <w:r w:rsidRPr="00952000">
        <w:rPr>
          <w:spacing w:val="2"/>
          <w:szCs w:val="24"/>
          <w:shd w:val="clear" w:color="auto" w:fill="FFFFFF"/>
        </w:rPr>
        <w:t>При смене повязки у пациентов с чувствительной кожей рекомендуется нанести стерильное барьерное средство для защиты кожи вокруг места установки сосудистого катетера и дождаться полного его высыхания.</w:t>
      </w:r>
    </w:p>
    <w:p w14:paraId="18307041" w14:textId="77777777" w:rsidR="00934898" w:rsidRPr="00952000" w:rsidRDefault="00934898" w:rsidP="0091350E">
      <w:pPr>
        <w:pStyle w:val="aff"/>
        <w:numPr>
          <w:ilvl w:val="0"/>
          <w:numId w:val="124"/>
        </w:numPr>
        <w:contextualSpacing/>
        <w:rPr>
          <w:szCs w:val="24"/>
        </w:rPr>
      </w:pPr>
      <w:r w:rsidRPr="00952000">
        <w:rPr>
          <w:spacing w:val="2"/>
          <w:szCs w:val="24"/>
          <w:shd w:val="clear" w:color="auto" w:fill="FFFFFF"/>
        </w:rPr>
        <w:t>Выбор повязки необходимо осуществлять с учетом индивидуальных особенностей пациента. Если существуют предрасполагающие к развитию инфекции факторы (длительность стояния ЦВК свыше трех суток; сниженный иммунный статус (онкологические пациенты и т.д.); повышенный риск колонизации катетера), то рекомендуется выбирать прозрачную полиуретановую повязку, содержащую гелевую подушечку с хлоргексидином. Для прочих случаев оптимальным выбором является стерильная прозрачная повязка.</w:t>
      </w:r>
    </w:p>
    <w:p w14:paraId="154F315A" w14:textId="77777777" w:rsidR="00934898" w:rsidRPr="00952000" w:rsidRDefault="00934898" w:rsidP="0091350E">
      <w:pPr>
        <w:pStyle w:val="aff"/>
        <w:numPr>
          <w:ilvl w:val="0"/>
          <w:numId w:val="124"/>
        </w:numPr>
        <w:contextualSpacing/>
        <w:rPr>
          <w:szCs w:val="24"/>
        </w:rPr>
      </w:pPr>
      <w:r w:rsidRPr="00952000">
        <w:rPr>
          <w:spacing w:val="2"/>
          <w:szCs w:val="24"/>
          <w:shd w:val="clear" w:color="auto" w:fill="FFFFFF"/>
        </w:rPr>
        <w:t>Если наблюдается кровоточивость вокруг места входа катетера в первые сутки после его введения, допустимо использование нетканой повязки с впитывающей подушечкой, которая подлежи</w:t>
      </w:r>
      <w:r>
        <w:rPr>
          <w:spacing w:val="2"/>
          <w:szCs w:val="24"/>
          <w:shd w:val="clear" w:color="auto" w:fill="FFFFFF"/>
        </w:rPr>
        <w:t>т замене на прозрачную через 24</w:t>
      </w:r>
      <w:r w:rsidRPr="00952000">
        <w:rPr>
          <w:spacing w:val="2"/>
          <w:szCs w:val="24"/>
          <w:shd w:val="clear" w:color="auto" w:fill="FFFFFF"/>
        </w:rPr>
        <w:t>ч.</w:t>
      </w:r>
    </w:p>
    <w:p w14:paraId="1A251078" w14:textId="77777777" w:rsidR="00934898" w:rsidRPr="00952000" w:rsidRDefault="00934898" w:rsidP="0091350E">
      <w:pPr>
        <w:pStyle w:val="aff"/>
        <w:numPr>
          <w:ilvl w:val="0"/>
          <w:numId w:val="124"/>
        </w:numPr>
        <w:contextualSpacing/>
        <w:rPr>
          <w:szCs w:val="24"/>
        </w:rPr>
      </w:pPr>
      <w:r w:rsidRPr="00952000">
        <w:rPr>
          <w:spacing w:val="2"/>
          <w:szCs w:val="24"/>
          <w:shd w:val="clear" w:color="auto" w:fill="FFFFFF"/>
        </w:rPr>
        <w:t>Замена прозрачных полиуретановых повязок на ЦВК производится каждые 5-7 сут (при условии, что фиксация не нарушена, нет выделений, сохранен обзор).</w:t>
      </w:r>
    </w:p>
    <w:p w14:paraId="1AF5815B" w14:textId="77777777" w:rsidR="00934898" w:rsidRDefault="00934898" w:rsidP="0091350E">
      <w:pPr>
        <w:pStyle w:val="aff"/>
        <w:numPr>
          <w:ilvl w:val="0"/>
          <w:numId w:val="124"/>
        </w:numPr>
        <w:contextualSpacing/>
        <w:rPr>
          <w:spacing w:val="2"/>
          <w:szCs w:val="24"/>
          <w:shd w:val="clear" w:color="auto" w:fill="FFFFFF"/>
        </w:rPr>
      </w:pPr>
      <w:r w:rsidRPr="00952000">
        <w:rPr>
          <w:spacing w:val="2"/>
          <w:szCs w:val="24"/>
          <w:shd w:val="clear" w:color="auto" w:fill="FFFFFF"/>
        </w:rPr>
        <w:t>Визуальный осмотр места установки сосудистого катетера проводить не реже 1 раза в сутки</w:t>
      </w:r>
    </w:p>
    <w:p w14:paraId="57705344" w14:textId="77777777" w:rsidR="00934898" w:rsidRPr="00952000" w:rsidRDefault="00934898" w:rsidP="00934898">
      <w:pPr>
        <w:widowControl w:val="0"/>
        <w:autoSpaceDE w:val="0"/>
        <w:autoSpaceDN w:val="0"/>
        <w:adjustRightInd w:val="0"/>
        <w:spacing w:line="240" w:lineRule="auto"/>
        <w:ind w:left="640" w:hanging="640"/>
        <w:rPr>
          <w:szCs w:val="24"/>
        </w:rPr>
      </w:pPr>
    </w:p>
    <w:p w14:paraId="47760E29" w14:textId="70B6A733" w:rsidR="00D41B5F" w:rsidRDefault="00594DC9" w:rsidP="00D41B5F">
      <w:pPr>
        <w:pStyle w:val="2"/>
        <w:ind w:firstLine="0"/>
      </w:pPr>
      <w:bookmarkStart w:id="71" w:name="_Toc65104125"/>
      <w:r>
        <w:t>Приложение А3.5.</w:t>
      </w:r>
      <w:bookmarkStart w:id="72" w:name="_Toc64477951"/>
      <w:r w:rsidR="00D41B5F">
        <w:t xml:space="preserve"> Применение</w:t>
      </w:r>
      <w:r w:rsidR="00D41B5F" w:rsidRPr="009848E0">
        <w:t xml:space="preserve"> компонентов донорской крови у </w:t>
      </w:r>
      <w:r w:rsidR="00D41B5F">
        <w:t xml:space="preserve">гематологических </w:t>
      </w:r>
      <w:r w:rsidR="00D41B5F" w:rsidRPr="009848E0">
        <w:t>пациентов</w:t>
      </w:r>
      <w:bookmarkEnd w:id="71"/>
      <w:bookmarkEnd w:id="72"/>
    </w:p>
    <w:p w14:paraId="76D33899" w14:textId="77777777" w:rsidR="00D41B5F" w:rsidRPr="00106C1D" w:rsidRDefault="00D41B5F" w:rsidP="00D41B5F">
      <w:pPr>
        <w:ind w:firstLine="708"/>
        <w:contextualSpacing/>
        <w:rPr>
          <w:szCs w:val="24"/>
        </w:rPr>
      </w:pPr>
      <w:r w:rsidRPr="004C7AAC">
        <w:rPr>
          <w:szCs w:val="24"/>
        </w:rPr>
        <w:t xml:space="preserve">Основным </w:t>
      </w:r>
      <w:r w:rsidRPr="004C7AAC">
        <w:rPr>
          <w:szCs w:val="24"/>
          <w:lang w:eastAsia="ru-RU"/>
        </w:rPr>
        <w:t xml:space="preserve">медицинским </w:t>
      </w:r>
      <w:r w:rsidRPr="00E74023">
        <w:rPr>
          <w:szCs w:val="24"/>
          <w:lang w:eastAsia="ru-RU"/>
        </w:rPr>
        <w:t xml:space="preserve">показанием к </w:t>
      </w:r>
      <w:r w:rsidRPr="00E74023">
        <w:rPr>
          <w:szCs w:val="24"/>
        </w:rPr>
        <w:t xml:space="preserve">трансфузии эритроцитов у </w:t>
      </w:r>
      <w:r>
        <w:rPr>
          <w:szCs w:val="24"/>
        </w:rPr>
        <w:t xml:space="preserve">гематологических </w:t>
      </w:r>
      <w:r w:rsidRPr="00E74023">
        <w:rPr>
          <w:szCs w:val="24"/>
        </w:rPr>
        <w:t xml:space="preserve">пациентов является неадекватная оксигенация </w:t>
      </w:r>
      <w:r>
        <w:rPr>
          <w:szCs w:val="24"/>
        </w:rPr>
        <w:t xml:space="preserve">органов и тканей </w:t>
      </w:r>
      <w:r w:rsidRPr="00E74023">
        <w:rPr>
          <w:szCs w:val="24"/>
        </w:rPr>
        <w:t>и связанный с этим риск осложнений.</w:t>
      </w:r>
      <w:r>
        <w:rPr>
          <w:szCs w:val="24"/>
        </w:rPr>
        <w:t xml:space="preserve"> </w:t>
      </w:r>
      <w:r w:rsidRPr="00E74023">
        <w:rPr>
          <w:szCs w:val="24"/>
        </w:rPr>
        <w:t xml:space="preserve">Переливание донорских тромбоцитов гематологическим </w:t>
      </w:r>
      <w:r>
        <w:rPr>
          <w:szCs w:val="24"/>
        </w:rPr>
        <w:t>пациента</w:t>
      </w:r>
      <w:r w:rsidRPr="00E74023">
        <w:rPr>
          <w:szCs w:val="24"/>
        </w:rPr>
        <w:t xml:space="preserve">м проводят </w:t>
      </w:r>
      <w:r w:rsidRPr="00E74023">
        <w:rPr>
          <w:szCs w:val="24"/>
          <w:lang w:val="en-US"/>
        </w:rPr>
        <w:t>c</w:t>
      </w:r>
      <w:r w:rsidRPr="00E74023">
        <w:rPr>
          <w:szCs w:val="24"/>
        </w:rPr>
        <w:t xml:space="preserve"> целью профилактики спонтанных геморрагических осложнений на фоне глубокой тромбоцитопении, индуцированной проведением интенсивной химиотерапии, или с лечебной целью пациентам с уже имеющимися геморрагическими осложнениями.</w:t>
      </w:r>
      <w:r>
        <w:rPr>
          <w:szCs w:val="24"/>
        </w:rPr>
        <w:t xml:space="preserve"> При необходимости </w:t>
      </w:r>
      <w:r w:rsidRPr="00E74023">
        <w:rPr>
          <w:szCs w:val="24"/>
        </w:rPr>
        <w:t>восполнения дефицита факторов свертывания</w:t>
      </w:r>
      <w:r>
        <w:rPr>
          <w:szCs w:val="24"/>
        </w:rPr>
        <w:t xml:space="preserve"> </w:t>
      </w:r>
      <w:r w:rsidRPr="00E74023">
        <w:rPr>
          <w:szCs w:val="24"/>
        </w:rPr>
        <w:t>универсальным препаратом</w:t>
      </w:r>
      <w:r w:rsidRPr="009848E0">
        <w:rPr>
          <w:szCs w:val="24"/>
        </w:rPr>
        <w:t xml:space="preserve"> </w:t>
      </w:r>
      <w:r w:rsidRPr="00E74023">
        <w:rPr>
          <w:szCs w:val="24"/>
        </w:rPr>
        <w:t xml:space="preserve">на сегодняшний день является </w:t>
      </w:r>
      <w:r>
        <w:rPr>
          <w:szCs w:val="24"/>
        </w:rPr>
        <w:t>с</w:t>
      </w:r>
      <w:r w:rsidRPr="00E74023">
        <w:rPr>
          <w:szCs w:val="24"/>
        </w:rPr>
        <w:t>вежезамороженная плазма (СЗП</w:t>
      </w:r>
      <w:r>
        <w:rPr>
          <w:szCs w:val="24"/>
        </w:rPr>
        <w:t>)</w:t>
      </w:r>
      <w:r w:rsidRPr="00E74023">
        <w:rPr>
          <w:szCs w:val="24"/>
        </w:rPr>
        <w:t xml:space="preserve">. Показаниями для ее применения при острой кровопотере являются удлинение хронометрических показателей коагулограммы более чем в 1,8 раз; изолированное снижение уровня одного из факторов свертывания на 20% и более или комплекса факторов на 40% и более. Кроме СЗП для коррекции нарушений гемостаза при острой кровопотере применяются криопреципитат, очищенные или генноинженерные препараты факторов свертывания или их комплексов, ингибиторы протеаз, ингибиторы фибринолиза, десмопрессин. Трансфузии СЗП показаны </w:t>
      </w:r>
      <w:r>
        <w:rPr>
          <w:szCs w:val="24"/>
        </w:rPr>
        <w:t xml:space="preserve">также </w:t>
      </w:r>
      <w:r w:rsidRPr="00E74023">
        <w:rPr>
          <w:szCs w:val="24"/>
        </w:rPr>
        <w:t xml:space="preserve">для </w:t>
      </w:r>
      <w:r w:rsidRPr="00E74023">
        <w:rPr>
          <w:color w:val="000000"/>
          <w:szCs w:val="24"/>
        </w:rPr>
        <w:t>возмещения объема при проведении</w:t>
      </w:r>
      <w:r w:rsidRPr="004C7AAC">
        <w:rPr>
          <w:color w:val="000000"/>
          <w:szCs w:val="24"/>
        </w:rPr>
        <w:t xml:space="preserve"> </w:t>
      </w:r>
      <w:r w:rsidRPr="004C7AAC">
        <w:rPr>
          <w:szCs w:val="24"/>
        </w:rPr>
        <w:t xml:space="preserve">процедур плазмафереза при гиперлейкоцитозе, </w:t>
      </w:r>
      <w:r>
        <w:rPr>
          <w:szCs w:val="24"/>
        </w:rPr>
        <w:t>Выбор конкретного вида компонента крови для гемотрансфузии (тип э</w:t>
      </w:r>
      <w:r>
        <w:rPr>
          <w:szCs w:val="24"/>
          <w:lang w:eastAsia="ru-RU"/>
        </w:rPr>
        <w:t>ритроцитосодержащего компонента</w:t>
      </w:r>
      <w:r w:rsidRPr="003B52EE">
        <w:rPr>
          <w:szCs w:val="24"/>
          <w:lang w:eastAsia="ru-RU"/>
        </w:rPr>
        <w:t xml:space="preserve"> крови</w:t>
      </w:r>
      <w:r>
        <w:rPr>
          <w:szCs w:val="24"/>
          <w:lang w:eastAsia="ru-RU"/>
        </w:rPr>
        <w:t xml:space="preserve">, тип </w:t>
      </w:r>
      <w:r w:rsidRPr="003B52EE">
        <w:rPr>
          <w:bCs/>
          <w:iCs/>
          <w:szCs w:val="24"/>
          <w:lang w:eastAsia="ru-RU"/>
        </w:rPr>
        <w:t>концентрата тромбоцитов</w:t>
      </w:r>
      <w:r>
        <w:rPr>
          <w:bCs/>
          <w:iCs/>
          <w:szCs w:val="24"/>
          <w:lang w:eastAsia="ru-RU"/>
        </w:rPr>
        <w:t xml:space="preserve">, тип препарата </w:t>
      </w:r>
      <w:r w:rsidRPr="003B52EE">
        <w:rPr>
          <w:iCs/>
          <w:szCs w:val="24"/>
        </w:rPr>
        <w:t>плазмы</w:t>
      </w:r>
      <w:r>
        <w:rPr>
          <w:iCs/>
          <w:szCs w:val="24"/>
        </w:rPr>
        <w:t xml:space="preserve">) осуществляется лечащим врачом или врачом-трансфузиологом в соответствии с клинической ситуаций и на основании </w:t>
      </w:r>
      <w:r w:rsidRPr="00EE003B">
        <w:rPr>
          <w:szCs w:val="24"/>
        </w:rPr>
        <w:t>Приказа Минздрава России от 28.10.2020 N 1170н</w:t>
      </w:r>
      <w:r w:rsidRPr="00EE003B">
        <w:rPr>
          <w:szCs w:val="24"/>
        </w:rPr>
        <w:br/>
        <w:t xml:space="preserve">"Об утверждении порядка оказания медицинской помощи населению по профилю "трансфузиология", Приказа Минздрава России от 20.10.2020 </w:t>
      </w:r>
      <w:r w:rsidRPr="00EE003B">
        <w:rPr>
          <w:szCs w:val="24"/>
          <w:lang w:val="en-US"/>
        </w:rPr>
        <w:t>N</w:t>
      </w:r>
      <w:r w:rsidRPr="00EE003B">
        <w:rPr>
          <w:szCs w:val="24"/>
        </w:rPr>
        <w:t xml:space="preserve"> 1134н «О порядке медицинского обследования реципиента, проведения проб на индивидуальную совместимость, включая биологическую пробу, при трансфузии донорской крови и (или) ее компонентов»</w:t>
      </w:r>
      <w:r>
        <w:rPr>
          <w:szCs w:val="24"/>
        </w:rPr>
        <w:t>, рекомендациями «Клиническое использование эритроцитсодержащих компонентов крови»  (2018</w:t>
      </w:r>
      <w:r w:rsidRPr="00360841">
        <w:rPr>
          <w:szCs w:val="24"/>
        </w:rPr>
        <w:t xml:space="preserve"> </w:t>
      </w:r>
      <w:r>
        <w:rPr>
          <w:szCs w:val="24"/>
        </w:rPr>
        <w:t>г</w:t>
      </w:r>
      <w:r w:rsidRPr="00360841">
        <w:rPr>
          <w:szCs w:val="24"/>
        </w:rPr>
        <w:t>.</w:t>
      </w:r>
      <w:r>
        <w:rPr>
          <w:szCs w:val="24"/>
        </w:rPr>
        <w:t xml:space="preserve">), </w:t>
      </w:r>
      <w:r w:rsidRPr="00106C1D">
        <w:rPr>
          <w:szCs w:val="24"/>
        </w:rPr>
        <w:t xml:space="preserve">Постановления от 22.06.2019 г. </w:t>
      </w:r>
      <w:r w:rsidRPr="00106C1D">
        <w:rPr>
          <w:szCs w:val="24"/>
          <w:lang w:val="en-US"/>
        </w:rPr>
        <w:t>N</w:t>
      </w:r>
      <w:r w:rsidRPr="00106C1D">
        <w:rPr>
          <w:szCs w:val="24"/>
        </w:rPr>
        <w:t xml:space="preserve"> 797 «Об утверждении правил заготовки, хранения, транспортировки и клинического использования донорской крови и ее компонентов и о признании утратившими силу некоторых актов Правительства Российской Федерации»,  другими нормативными актами.</w:t>
      </w:r>
    </w:p>
    <w:p w14:paraId="202F3D9F" w14:textId="77777777" w:rsidR="00D41B5F" w:rsidRDefault="00D41B5F" w:rsidP="00D41B5F">
      <w:pPr>
        <w:contextualSpacing/>
        <w:rPr>
          <w:b/>
          <w:szCs w:val="24"/>
          <w:lang w:eastAsia="ru-RU"/>
        </w:rPr>
      </w:pPr>
    </w:p>
    <w:p w14:paraId="4F5BAFF0" w14:textId="77777777" w:rsidR="00D41B5F" w:rsidRPr="00360841" w:rsidRDefault="00D41B5F" w:rsidP="00D41B5F">
      <w:pPr>
        <w:contextualSpacing/>
        <w:rPr>
          <w:i/>
          <w:szCs w:val="24"/>
          <w:u w:val="single"/>
          <w:lang w:eastAsia="ru-RU"/>
        </w:rPr>
      </w:pPr>
      <w:r w:rsidRPr="00360841">
        <w:rPr>
          <w:i/>
          <w:szCs w:val="24"/>
          <w:u w:val="single"/>
          <w:lang w:eastAsia="ru-RU"/>
        </w:rPr>
        <w:t>Трансфузии эритроцитосодержащих компонентов крови (ЭСК)</w:t>
      </w:r>
    </w:p>
    <w:p w14:paraId="0B79665A" w14:textId="77777777" w:rsidR="00D41B5F" w:rsidRPr="00FA3E28" w:rsidRDefault="00D41B5F" w:rsidP="00D41B5F">
      <w:pPr>
        <w:ind w:firstLine="708"/>
        <w:rPr>
          <w:rFonts w:eastAsia="Times New Roman"/>
          <w:szCs w:val="24"/>
          <w:u w:val="single"/>
        </w:rPr>
      </w:pPr>
      <w:r w:rsidRPr="00FA3E28">
        <w:rPr>
          <w:rFonts w:eastAsia="Times New Roman"/>
          <w:bCs/>
          <w:szCs w:val="24"/>
          <w:u w:val="single"/>
        </w:rPr>
        <w:t>Необходимые исследования до трансфузии</w:t>
      </w:r>
    </w:p>
    <w:p w14:paraId="4B584E35" w14:textId="77777777" w:rsidR="00D41B5F" w:rsidRDefault="00D41B5F" w:rsidP="00D41B5F">
      <w:pPr>
        <w:ind w:firstLine="708"/>
        <w:rPr>
          <w:rFonts w:eastAsia="Times New Roman"/>
          <w:szCs w:val="24"/>
        </w:rPr>
      </w:pPr>
      <w:r>
        <w:rPr>
          <w:rFonts w:eastAsia="Times New Roman"/>
          <w:szCs w:val="24"/>
        </w:rPr>
        <w:t xml:space="preserve">Всем гематологическим пациентам при поступлении в медицинскую организацию необходимо осуществить первичное определение группы крови в клиническом отделении по системе AB0 и резус-принадлежности с внесением результатов определения в медицинскую документацию. После первичного определения группы крови образец крови больного направляется в клинико-диагностическую лабораторию организации, осуществляющей клиническое использование донорской крови и ее компонентов, где проводят следующие подтверждающие исследования, c внесением в медицинскую документацию: </w:t>
      </w:r>
    </w:p>
    <w:p w14:paraId="15BD13FC" w14:textId="77777777" w:rsidR="00D41B5F" w:rsidRPr="00360841" w:rsidRDefault="00D41B5F" w:rsidP="0091350E">
      <w:pPr>
        <w:pStyle w:val="aff"/>
        <w:numPr>
          <w:ilvl w:val="0"/>
          <w:numId w:val="139"/>
        </w:numPr>
        <w:contextualSpacing/>
        <w:rPr>
          <w:szCs w:val="24"/>
        </w:rPr>
      </w:pPr>
      <w:r w:rsidRPr="00360841">
        <w:rPr>
          <w:rFonts w:eastAsia="Times New Roman"/>
          <w:szCs w:val="24"/>
        </w:rPr>
        <w:t>определение группы крови по системе AB0 и резус-принадлежности;</w:t>
      </w:r>
    </w:p>
    <w:p w14:paraId="11B45E07" w14:textId="77777777" w:rsidR="00D41B5F" w:rsidRPr="00360841" w:rsidRDefault="00D41B5F" w:rsidP="0091350E">
      <w:pPr>
        <w:pStyle w:val="aff"/>
        <w:numPr>
          <w:ilvl w:val="0"/>
          <w:numId w:val="139"/>
        </w:numPr>
        <w:contextualSpacing/>
        <w:rPr>
          <w:szCs w:val="24"/>
        </w:rPr>
      </w:pPr>
      <w:r w:rsidRPr="00360841">
        <w:rPr>
          <w:rFonts w:eastAsia="Times New Roman"/>
          <w:szCs w:val="24"/>
        </w:rPr>
        <w:t>определение антигена K;</w:t>
      </w:r>
    </w:p>
    <w:p w14:paraId="4F87DDDA" w14:textId="77777777" w:rsidR="00D41B5F" w:rsidRPr="00360841" w:rsidRDefault="00D41B5F" w:rsidP="0091350E">
      <w:pPr>
        <w:pStyle w:val="aff"/>
        <w:numPr>
          <w:ilvl w:val="0"/>
          <w:numId w:val="139"/>
        </w:numPr>
        <w:contextualSpacing/>
        <w:rPr>
          <w:szCs w:val="24"/>
        </w:rPr>
      </w:pPr>
      <w:r w:rsidRPr="00360841">
        <w:rPr>
          <w:rFonts w:eastAsia="Times New Roman"/>
          <w:szCs w:val="24"/>
        </w:rPr>
        <w:t>скрининг аллоиммунных антител с использованием не менее 3 образцов тест-эритроцитов;</w:t>
      </w:r>
    </w:p>
    <w:p w14:paraId="2A56CD96" w14:textId="77777777" w:rsidR="00D41B5F" w:rsidRPr="00360841" w:rsidRDefault="00D41B5F" w:rsidP="0091350E">
      <w:pPr>
        <w:pStyle w:val="aff"/>
        <w:numPr>
          <w:ilvl w:val="0"/>
          <w:numId w:val="139"/>
        </w:numPr>
        <w:contextualSpacing/>
        <w:rPr>
          <w:szCs w:val="24"/>
        </w:rPr>
      </w:pPr>
      <w:r w:rsidRPr="00360841">
        <w:rPr>
          <w:rFonts w:eastAsia="Times New Roman"/>
          <w:szCs w:val="24"/>
        </w:rPr>
        <w:t>определение антигенов эритроцитов C, c, E, e. При совпадении результатов определения антигенов эритроцитов C, c, E, e, K, проведенных дважды в организации, осуществляющей клиническое использование донорской крови и ее компонентов, антигены эритроцитов C, c, E, e, K  считаются установленными и в дальнейшем не определяются.</w:t>
      </w:r>
    </w:p>
    <w:p w14:paraId="5F19C1B7" w14:textId="77777777" w:rsidR="00D41B5F" w:rsidRDefault="00D41B5F" w:rsidP="00D41B5F">
      <w:pPr>
        <w:ind w:firstLine="708"/>
        <w:rPr>
          <w:szCs w:val="24"/>
        </w:rPr>
      </w:pPr>
      <w:r>
        <w:rPr>
          <w:rFonts w:eastAsia="Times New Roman"/>
          <w:szCs w:val="24"/>
        </w:rPr>
        <w:t>Не допускается внесение в медицинскую документацию результатов указанных выше исследований на основании данных медицинской документации, оформленной иными медицинскими организациями, в которых больному ранее была оказана медицинская помощь или проводилось медицинское обследование.</w:t>
      </w:r>
    </w:p>
    <w:p w14:paraId="7A297B98" w14:textId="77777777" w:rsidR="00D41B5F" w:rsidRDefault="00D41B5F" w:rsidP="00D41B5F">
      <w:pPr>
        <w:ind w:firstLine="708"/>
        <w:rPr>
          <w:rFonts w:eastAsia="Times New Roman"/>
          <w:szCs w:val="24"/>
        </w:rPr>
      </w:pPr>
      <w:r>
        <w:rPr>
          <w:rFonts w:eastAsia="Times New Roman"/>
          <w:szCs w:val="24"/>
        </w:rPr>
        <w:t>В целях профилактики реакций и осложнений в связи с трансфузией используются ЭСК, идентичные или совместимые по системе AB0, резус-принадлежности и K. При плановых трансфузиях ЭСК дополнительно учитывают совместимость донора и реципиента по антигенам эритроцитов C, c, E, e, С</w:t>
      </w:r>
      <w:r>
        <w:rPr>
          <w:rFonts w:eastAsia="Times New Roman"/>
          <w:szCs w:val="24"/>
          <w:vertAlign w:val="superscript"/>
          <w:lang w:val="en-US" w:eastAsia="ru-RU"/>
        </w:rPr>
        <w:t>W</w:t>
      </w:r>
      <w:r>
        <w:rPr>
          <w:rFonts w:eastAsia="Times New Roman"/>
          <w:szCs w:val="24"/>
        </w:rPr>
        <w:t>.</w:t>
      </w:r>
    </w:p>
    <w:p w14:paraId="24776890" w14:textId="77777777" w:rsidR="00D41B5F" w:rsidRDefault="00D41B5F" w:rsidP="00D41B5F">
      <w:pPr>
        <w:ind w:firstLine="708"/>
        <w:rPr>
          <w:rFonts w:eastAsia="Times New Roman"/>
          <w:szCs w:val="24"/>
        </w:rPr>
      </w:pPr>
      <w:r>
        <w:rPr>
          <w:rFonts w:eastAsia="Times New Roman"/>
          <w:szCs w:val="24"/>
          <w:lang w:eastAsia="ru-RU"/>
        </w:rPr>
        <w:t xml:space="preserve">Индивидуальный подбор компонентов крови осуществляется реципиентам, имеющим: </w:t>
      </w:r>
    </w:p>
    <w:p w14:paraId="13F316FC" w14:textId="77777777" w:rsidR="00D41B5F" w:rsidRPr="00360841" w:rsidRDefault="00D41B5F" w:rsidP="0091350E">
      <w:pPr>
        <w:pStyle w:val="aff"/>
        <w:numPr>
          <w:ilvl w:val="0"/>
          <w:numId w:val="140"/>
        </w:numPr>
        <w:contextualSpacing/>
        <w:rPr>
          <w:rFonts w:eastAsia="Times New Roman"/>
          <w:szCs w:val="24"/>
        </w:rPr>
      </w:pPr>
      <w:r w:rsidRPr="00360841">
        <w:rPr>
          <w:rFonts w:eastAsia="Times New Roman"/>
          <w:szCs w:val="24"/>
          <w:lang w:eastAsia="ru-RU"/>
        </w:rPr>
        <w:t>посттрансфузионные осложнения в анамнезе</w:t>
      </w:r>
    </w:p>
    <w:p w14:paraId="6FC57DA3" w14:textId="77777777" w:rsidR="00D41B5F" w:rsidRPr="00360841" w:rsidRDefault="00D41B5F" w:rsidP="0091350E">
      <w:pPr>
        <w:pStyle w:val="aff"/>
        <w:numPr>
          <w:ilvl w:val="0"/>
          <w:numId w:val="140"/>
        </w:numPr>
        <w:contextualSpacing/>
        <w:rPr>
          <w:rFonts w:eastAsia="Times New Roman"/>
          <w:szCs w:val="24"/>
          <w:lang w:eastAsia="ru-RU"/>
        </w:rPr>
      </w:pPr>
      <w:r w:rsidRPr="00360841">
        <w:rPr>
          <w:rFonts w:eastAsia="Times New Roman"/>
          <w:szCs w:val="24"/>
          <w:lang w:eastAsia="ru-RU"/>
        </w:rPr>
        <w:t>беременность</w:t>
      </w:r>
    </w:p>
    <w:p w14:paraId="0671C9FC" w14:textId="77777777" w:rsidR="00D41B5F" w:rsidRPr="00360841" w:rsidRDefault="00D41B5F" w:rsidP="0091350E">
      <w:pPr>
        <w:pStyle w:val="aff"/>
        <w:numPr>
          <w:ilvl w:val="0"/>
          <w:numId w:val="140"/>
        </w:numPr>
        <w:contextualSpacing/>
        <w:rPr>
          <w:rFonts w:eastAsia="Times New Roman"/>
          <w:szCs w:val="24"/>
          <w:lang w:eastAsia="ru-RU"/>
        </w:rPr>
      </w:pPr>
      <w:r w:rsidRPr="00360841">
        <w:rPr>
          <w:rFonts w:eastAsia="Times New Roman"/>
          <w:szCs w:val="24"/>
          <w:lang w:eastAsia="ru-RU"/>
        </w:rPr>
        <w:t>рождение детей с гемолитической болезнью новорожденного в анамнезе</w:t>
      </w:r>
    </w:p>
    <w:p w14:paraId="565E6E16" w14:textId="77777777" w:rsidR="00D41B5F" w:rsidRPr="00360841" w:rsidRDefault="00D41B5F" w:rsidP="0091350E">
      <w:pPr>
        <w:pStyle w:val="aff"/>
        <w:numPr>
          <w:ilvl w:val="0"/>
          <w:numId w:val="140"/>
        </w:numPr>
        <w:contextualSpacing/>
        <w:rPr>
          <w:rFonts w:eastAsia="Times New Roman"/>
          <w:szCs w:val="24"/>
        </w:rPr>
      </w:pPr>
      <w:r w:rsidRPr="00360841">
        <w:rPr>
          <w:rFonts w:eastAsia="Times New Roman"/>
          <w:szCs w:val="24"/>
          <w:lang w:eastAsia="ru-RU"/>
        </w:rPr>
        <w:t xml:space="preserve">аллоиммунные антитела. </w:t>
      </w:r>
    </w:p>
    <w:p w14:paraId="7FB21BE7" w14:textId="77777777" w:rsidR="00D41B5F" w:rsidRDefault="00D41B5F" w:rsidP="00D41B5F">
      <w:pPr>
        <w:ind w:firstLine="708"/>
        <w:rPr>
          <w:rFonts w:eastAsia="Times New Roman"/>
          <w:szCs w:val="24"/>
        </w:rPr>
      </w:pPr>
      <w:r w:rsidRPr="001A5953">
        <w:rPr>
          <w:rFonts w:eastAsia="Times New Roman"/>
          <w:szCs w:val="24"/>
        </w:rPr>
        <w:t>Индивидуальный подбор не отменяет постановку пробы на совместимость на плоскости</w:t>
      </w:r>
      <w:r>
        <w:rPr>
          <w:rFonts w:eastAsia="Times New Roman"/>
          <w:szCs w:val="24"/>
        </w:rPr>
        <w:t xml:space="preserve"> при комнатной температуре</w:t>
      </w:r>
      <w:r w:rsidRPr="001A5953">
        <w:rPr>
          <w:rFonts w:eastAsia="Times New Roman"/>
          <w:szCs w:val="24"/>
        </w:rPr>
        <w:t xml:space="preserve"> и биологическую пробу врачом, проводящим трансфузию.</w:t>
      </w:r>
    </w:p>
    <w:p w14:paraId="6EE56BEB" w14:textId="77777777" w:rsidR="00D41B5F" w:rsidRDefault="00D41B5F" w:rsidP="00D41B5F">
      <w:pPr>
        <w:ind w:firstLine="708"/>
        <w:rPr>
          <w:rFonts w:eastAsia="Times New Roman"/>
          <w:szCs w:val="24"/>
        </w:rPr>
      </w:pPr>
      <w:r>
        <w:rPr>
          <w:rFonts w:eastAsia="Times New Roman"/>
          <w:szCs w:val="24"/>
        </w:rPr>
        <w:t>При определении показаний к трансфузиям компонентов донорской крови обязательно проводятся следующие лабораторные исследования:</w:t>
      </w:r>
    </w:p>
    <w:p w14:paraId="726A1213" w14:textId="77777777" w:rsidR="00D41B5F" w:rsidRPr="00360841" w:rsidRDefault="00D41B5F" w:rsidP="0091350E">
      <w:pPr>
        <w:pStyle w:val="aff"/>
        <w:numPr>
          <w:ilvl w:val="0"/>
          <w:numId w:val="141"/>
        </w:numPr>
        <w:contextualSpacing/>
        <w:rPr>
          <w:rFonts w:eastAsia="Times New Roman"/>
          <w:szCs w:val="24"/>
        </w:rPr>
      </w:pPr>
      <w:r w:rsidRPr="00360841">
        <w:rPr>
          <w:rFonts w:eastAsia="Times New Roman"/>
          <w:szCs w:val="24"/>
        </w:rPr>
        <w:t>Перед трансфузией клеточных компонентов донорской крови (эритроцитная взвесь, концентрат тромбоцитов) - общий (клинический) анализ крови</w:t>
      </w:r>
    </w:p>
    <w:p w14:paraId="6A445EE8" w14:textId="77777777" w:rsidR="00D41B5F" w:rsidRPr="00360841" w:rsidRDefault="00D41B5F" w:rsidP="0091350E">
      <w:pPr>
        <w:pStyle w:val="aff"/>
        <w:numPr>
          <w:ilvl w:val="0"/>
          <w:numId w:val="141"/>
        </w:numPr>
        <w:contextualSpacing/>
        <w:rPr>
          <w:szCs w:val="24"/>
        </w:rPr>
      </w:pPr>
      <w:r w:rsidRPr="00360841">
        <w:rPr>
          <w:rFonts w:eastAsia="Times New Roman"/>
          <w:szCs w:val="24"/>
        </w:rPr>
        <w:t>Перед трансфузией СЗП, криопреципитата и криосупернатантной плазмы - коагулограмма.</w:t>
      </w:r>
    </w:p>
    <w:p w14:paraId="5BF9DBCC" w14:textId="77777777" w:rsidR="00D41B5F" w:rsidRPr="00360841" w:rsidRDefault="00D41B5F" w:rsidP="0091350E">
      <w:pPr>
        <w:pStyle w:val="aff"/>
        <w:numPr>
          <w:ilvl w:val="0"/>
          <w:numId w:val="141"/>
        </w:numPr>
        <w:contextualSpacing/>
        <w:rPr>
          <w:szCs w:val="24"/>
        </w:rPr>
      </w:pPr>
      <w:r w:rsidRPr="00360841">
        <w:rPr>
          <w:rFonts w:eastAsia="Times New Roman"/>
          <w:szCs w:val="24"/>
        </w:rPr>
        <w:t>После трансфузии компонентов крови</w:t>
      </w:r>
    </w:p>
    <w:p w14:paraId="1B720212" w14:textId="77777777" w:rsidR="00D41B5F" w:rsidRPr="004E4312" w:rsidRDefault="00D41B5F" w:rsidP="00D41B5F">
      <w:pPr>
        <w:rPr>
          <w:b/>
          <w:u w:val="single"/>
        </w:rPr>
      </w:pPr>
      <w:r w:rsidRPr="004E4312">
        <w:rPr>
          <w:u w:val="single"/>
        </w:rPr>
        <w:t>Показания к переливанию ЭСК</w:t>
      </w:r>
    </w:p>
    <w:p w14:paraId="7FC621A9" w14:textId="77777777" w:rsidR="00D41B5F" w:rsidRPr="003E19FB" w:rsidRDefault="00D41B5F" w:rsidP="0091350E">
      <w:pPr>
        <w:pStyle w:val="FitzBullet"/>
        <w:numPr>
          <w:ilvl w:val="0"/>
          <w:numId w:val="142"/>
        </w:numPr>
        <w:tabs>
          <w:tab w:val="clear" w:pos="317"/>
          <w:tab w:val="left" w:pos="144"/>
        </w:tabs>
        <w:spacing w:before="0" w:after="0" w:line="360" w:lineRule="auto"/>
      </w:pPr>
      <w:r w:rsidRPr="003E19FB">
        <w:t>Пациентам с хронической анемией переливание показано при уровне гемоглобина &lt; 60 г/л. В данном случае переливание донорских эритроцитов проводится только для коррекции важнейших симптомов, обусловленных анемией и не поддающихся основной патогенетической терапии.</w:t>
      </w:r>
    </w:p>
    <w:p w14:paraId="6F064847" w14:textId="77777777" w:rsidR="00D41B5F" w:rsidRPr="003E19FB" w:rsidRDefault="00D41B5F" w:rsidP="0091350E">
      <w:pPr>
        <w:pStyle w:val="FitzBullet"/>
        <w:numPr>
          <w:ilvl w:val="0"/>
          <w:numId w:val="142"/>
        </w:numPr>
        <w:tabs>
          <w:tab w:val="clear" w:pos="317"/>
          <w:tab w:val="left" w:pos="144"/>
        </w:tabs>
        <w:spacing w:before="0" w:after="0" w:line="360" w:lineRule="auto"/>
      </w:pPr>
      <w:r w:rsidRPr="003E19FB">
        <w:t>Пациентам с сепсисом, ишемической болезнью сердца (в том числе, инфарктом миокарда, стенокардией напряжения), миокардитом и другими кардиопатиями трансфузии эритроцитов рекомендованы при уровне гемоглобина &lt; 100 г/л.</w:t>
      </w:r>
    </w:p>
    <w:p w14:paraId="5F0FBD9C" w14:textId="77777777" w:rsidR="00D41B5F" w:rsidRPr="003E19FB" w:rsidRDefault="00D41B5F" w:rsidP="0091350E">
      <w:pPr>
        <w:pStyle w:val="FitzBullet"/>
        <w:numPr>
          <w:ilvl w:val="0"/>
          <w:numId w:val="142"/>
        </w:numPr>
        <w:tabs>
          <w:tab w:val="clear" w:pos="317"/>
          <w:tab w:val="left" w:pos="144"/>
        </w:tabs>
        <w:spacing w:before="0" w:after="0" w:line="360" w:lineRule="auto"/>
      </w:pPr>
      <w:r w:rsidRPr="003E19FB">
        <w:t>Пациентам старше 60 лет трансфузии эритроцитов показаны при уровне гемоглобина &lt; 100 г/л.</w:t>
      </w:r>
    </w:p>
    <w:p w14:paraId="79E9E036" w14:textId="77777777" w:rsidR="00D41B5F" w:rsidRPr="003E19FB" w:rsidRDefault="00D41B5F" w:rsidP="0091350E">
      <w:pPr>
        <w:pStyle w:val="FitzBullet"/>
        <w:numPr>
          <w:ilvl w:val="0"/>
          <w:numId w:val="142"/>
        </w:numPr>
        <w:tabs>
          <w:tab w:val="clear" w:pos="317"/>
          <w:tab w:val="left" w:pos="144"/>
        </w:tabs>
        <w:spacing w:before="0" w:after="0" w:line="360" w:lineRule="auto"/>
      </w:pPr>
      <w:r w:rsidRPr="003E19FB">
        <w:t>Беременным пациенткам с заболеваниями системы крови рекомендовано обеспечивать уровень гемоглобина в крови не менее 80 г/л.</w:t>
      </w:r>
    </w:p>
    <w:p w14:paraId="1C4B6FF4" w14:textId="77777777" w:rsidR="00D41B5F" w:rsidRPr="004E4312" w:rsidRDefault="00D41B5F" w:rsidP="00D41B5F">
      <w:pPr>
        <w:rPr>
          <w:b/>
          <w:u w:val="single"/>
        </w:rPr>
      </w:pPr>
      <w:r w:rsidRPr="004E4312">
        <w:rPr>
          <w:u w:val="single"/>
        </w:rPr>
        <w:t>Показания к ЭСК при острой анемии вследствие массивной кровопотери</w:t>
      </w:r>
    </w:p>
    <w:p w14:paraId="1512B2B1" w14:textId="77777777" w:rsidR="00D41B5F" w:rsidRPr="003E19FB" w:rsidRDefault="00D41B5F" w:rsidP="0091350E">
      <w:pPr>
        <w:pStyle w:val="FitzBullet"/>
        <w:numPr>
          <w:ilvl w:val="0"/>
          <w:numId w:val="142"/>
        </w:numPr>
        <w:tabs>
          <w:tab w:val="clear" w:pos="317"/>
          <w:tab w:val="left" w:pos="144"/>
        </w:tabs>
        <w:spacing w:before="0" w:after="0" w:line="360" w:lineRule="auto"/>
      </w:pPr>
      <w:r w:rsidRPr="003E19FB">
        <w:t>Кровопотеря, составляющая 15—30% от объема циркулирующей крови при наличии предшествующей анемии или сопутствующих кардиологических или пульмонологических заболеваниях.</w:t>
      </w:r>
    </w:p>
    <w:p w14:paraId="095DFBFB" w14:textId="77777777" w:rsidR="00D41B5F" w:rsidRPr="003E19FB" w:rsidRDefault="00D41B5F" w:rsidP="0091350E">
      <w:pPr>
        <w:pStyle w:val="FitzBullet"/>
        <w:numPr>
          <w:ilvl w:val="0"/>
          <w:numId w:val="142"/>
        </w:numPr>
        <w:tabs>
          <w:tab w:val="clear" w:pos="317"/>
          <w:tab w:val="left" w:pos="144"/>
        </w:tabs>
        <w:spacing w:before="0" w:after="0" w:line="360" w:lineRule="auto"/>
      </w:pPr>
      <w:r w:rsidRPr="003E19FB">
        <w:t>Уровень гемоглобина ниже 70—90 г/л при активном кровотечении.</w:t>
      </w:r>
    </w:p>
    <w:p w14:paraId="75989131" w14:textId="77777777" w:rsidR="00D41B5F" w:rsidRPr="003E19FB" w:rsidRDefault="00D41B5F" w:rsidP="0091350E">
      <w:pPr>
        <w:pStyle w:val="FitzBullet"/>
        <w:numPr>
          <w:ilvl w:val="0"/>
          <w:numId w:val="142"/>
        </w:numPr>
        <w:tabs>
          <w:tab w:val="clear" w:pos="317"/>
          <w:tab w:val="left" w:pos="144"/>
        </w:tabs>
        <w:spacing w:before="0" w:after="0" w:line="360" w:lineRule="auto"/>
      </w:pPr>
      <w:r w:rsidRPr="003E19FB">
        <w:t>Уровень гемоглобина &lt; 100 г/л у пациентов с черепно-мозговой травмой, субарахноидальным кровоизлиянием, хронической дыхательной недостаточностью, ишемической болезнью сердца, кардиохирургических пациентов, пожилых пациентов </w:t>
      </w:r>
    </w:p>
    <w:p w14:paraId="7906E9CD" w14:textId="77777777" w:rsidR="00D41B5F" w:rsidRDefault="00D41B5F" w:rsidP="0091350E">
      <w:pPr>
        <w:pStyle w:val="FitzBullet"/>
        <w:numPr>
          <w:ilvl w:val="0"/>
          <w:numId w:val="142"/>
        </w:numPr>
        <w:tabs>
          <w:tab w:val="clear" w:pos="317"/>
          <w:tab w:val="left" w:pos="144"/>
        </w:tabs>
        <w:spacing w:before="0" w:after="0" w:line="360" w:lineRule="auto"/>
      </w:pPr>
      <w:r w:rsidRPr="003E19FB">
        <w:t>Рекомендуется соблюдение формулы 1:1:1, обозначающей должное соотношение эритроцитов, СЗП и тромбоцитов.</w:t>
      </w:r>
    </w:p>
    <w:p w14:paraId="194457FC" w14:textId="77777777" w:rsidR="00D41B5F" w:rsidRPr="003E19FB" w:rsidRDefault="00D41B5F" w:rsidP="00D41B5F">
      <w:pPr>
        <w:pStyle w:val="FitzBullet"/>
        <w:spacing w:before="0" w:after="0" w:line="360" w:lineRule="auto"/>
        <w:ind w:left="720" w:firstLine="0"/>
      </w:pPr>
    </w:p>
    <w:p w14:paraId="6DF0116C" w14:textId="77777777" w:rsidR="00D41B5F" w:rsidRPr="00360841" w:rsidRDefault="00D41B5F" w:rsidP="00D41B5F">
      <w:pPr>
        <w:rPr>
          <w:bCs/>
          <w:i/>
          <w:iCs/>
          <w:szCs w:val="24"/>
          <w:u w:val="single"/>
          <w:lang w:eastAsia="ru-RU"/>
        </w:rPr>
      </w:pPr>
      <w:r w:rsidRPr="00360841">
        <w:rPr>
          <w:bCs/>
          <w:i/>
          <w:iCs/>
          <w:szCs w:val="24"/>
          <w:u w:val="single"/>
          <w:lang w:eastAsia="ru-RU"/>
        </w:rPr>
        <w:t>Трансфузии концентрата тромбоцитов</w:t>
      </w:r>
    </w:p>
    <w:p w14:paraId="2DD942E3" w14:textId="77777777" w:rsidR="00D41B5F" w:rsidRPr="003E19FB" w:rsidRDefault="00D41B5F" w:rsidP="00D41B5F">
      <w:pPr>
        <w:ind w:firstLine="709"/>
        <w:contextualSpacing/>
        <w:rPr>
          <w:color w:val="333333"/>
          <w:szCs w:val="24"/>
        </w:rPr>
      </w:pPr>
      <w:r>
        <w:rPr>
          <w:color w:val="373838"/>
          <w:szCs w:val="24"/>
        </w:rPr>
        <w:t xml:space="preserve">Считается, что </w:t>
      </w:r>
      <w:r w:rsidRPr="003E19FB">
        <w:rPr>
          <w:color w:val="333333"/>
          <w:szCs w:val="24"/>
        </w:rPr>
        <w:t>пороговый уровень тромбоцитов у пациентов в стационаре, при котором проводятся профилактические трансфузии концентрата тромбоцитов, составляет 10</w:t>
      </w:r>
      <w:r>
        <w:rPr>
          <w:color w:val="333333"/>
          <w:szCs w:val="24"/>
        </w:rPr>
        <w:t>х</w:t>
      </w:r>
      <w:r w:rsidRPr="003E19FB">
        <w:rPr>
          <w:color w:val="333333"/>
          <w:szCs w:val="24"/>
        </w:rPr>
        <w:t>10</w:t>
      </w:r>
      <w:r w:rsidRPr="003E19FB">
        <w:rPr>
          <w:color w:val="333333"/>
          <w:szCs w:val="24"/>
          <w:vertAlign w:val="superscript"/>
        </w:rPr>
        <w:t>9</w:t>
      </w:r>
      <w:r w:rsidRPr="003E19FB">
        <w:rPr>
          <w:color w:val="333333"/>
          <w:szCs w:val="24"/>
        </w:rPr>
        <w:t>/л при условии отсутствия факторов риска кровотечения. Для амбулаторных пациентов это значение может быть увеличено. Медицинские манипуляции, например, установка центрального венозного катетера (ЦВК), являются условием к проведению профилактических трансфузий концентрата тромбоцитов при количестве тромбоцитов в периферической крови 20</w:t>
      </w:r>
      <w:r>
        <w:rPr>
          <w:color w:val="333333"/>
          <w:szCs w:val="24"/>
        </w:rPr>
        <w:t>-30</w:t>
      </w:r>
      <w:r>
        <w:rPr>
          <w:szCs w:val="24"/>
        </w:rPr>
        <w:t>х</w:t>
      </w:r>
      <w:r w:rsidRPr="003E19FB">
        <w:rPr>
          <w:color w:val="333333"/>
          <w:szCs w:val="24"/>
        </w:rPr>
        <w:t>10</w:t>
      </w:r>
      <w:r w:rsidRPr="003E19FB">
        <w:rPr>
          <w:color w:val="333333"/>
          <w:szCs w:val="24"/>
          <w:vertAlign w:val="superscript"/>
        </w:rPr>
        <w:t>9</w:t>
      </w:r>
      <w:r w:rsidRPr="003E19FB">
        <w:rPr>
          <w:color w:val="333333"/>
          <w:szCs w:val="24"/>
        </w:rPr>
        <w:t>/л и ниже, а перед люмбальной пункцией или объемной операцией пороговый уровень тромбоцитов повышается до 50</w:t>
      </w:r>
      <w:r>
        <w:rPr>
          <w:color w:val="333333"/>
          <w:szCs w:val="24"/>
        </w:rPr>
        <w:t>х</w:t>
      </w:r>
      <w:r w:rsidRPr="003E19FB">
        <w:rPr>
          <w:color w:val="333333"/>
          <w:szCs w:val="24"/>
        </w:rPr>
        <w:t>10</w:t>
      </w:r>
      <w:r w:rsidRPr="003E19FB">
        <w:rPr>
          <w:color w:val="333333"/>
          <w:szCs w:val="24"/>
          <w:vertAlign w:val="superscript"/>
        </w:rPr>
        <w:t>9</w:t>
      </w:r>
      <w:r w:rsidRPr="003E19FB">
        <w:rPr>
          <w:color w:val="333333"/>
          <w:szCs w:val="24"/>
        </w:rPr>
        <w:t>/л</w:t>
      </w:r>
      <w:r>
        <w:rPr>
          <w:color w:val="333333"/>
          <w:szCs w:val="24"/>
        </w:rPr>
        <w:t>.</w:t>
      </w:r>
      <w:r>
        <w:rPr>
          <w:szCs w:val="24"/>
        </w:rPr>
        <w:t xml:space="preserve"> </w:t>
      </w:r>
    </w:p>
    <w:p w14:paraId="02E7D29D" w14:textId="77777777" w:rsidR="00D41B5F" w:rsidRDefault="00D41B5F" w:rsidP="00D41B5F">
      <w:pPr>
        <w:ind w:firstLine="709"/>
        <w:contextualSpacing/>
        <w:rPr>
          <w:bCs/>
          <w:szCs w:val="24"/>
        </w:rPr>
      </w:pPr>
      <w:r>
        <w:rPr>
          <w:szCs w:val="24"/>
        </w:rPr>
        <w:t>При некоторых гематологических заболеваниях, ассоциированных с повышенным риском геморрагических осложнений, пороговый уровень тромбоцитов должен быть увеличен. Так,  у  всех пациентов</w:t>
      </w:r>
      <w:r w:rsidRPr="003E19FB">
        <w:rPr>
          <w:szCs w:val="24"/>
        </w:rPr>
        <w:t xml:space="preserve"> с острым промиелоцитарным лейкозом (ОПЛ)</w:t>
      </w:r>
      <w:r>
        <w:rPr>
          <w:szCs w:val="24"/>
        </w:rPr>
        <w:t xml:space="preserve"> пороговый уровень тромбоцитов увеличен до </w:t>
      </w:r>
      <w:r w:rsidRPr="003E19FB">
        <w:rPr>
          <w:color w:val="333333"/>
          <w:szCs w:val="24"/>
        </w:rPr>
        <w:t>50</w:t>
      </w:r>
      <w:r>
        <w:rPr>
          <w:color w:val="333333"/>
          <w:szCs w:val="24"/>
        </w:rPr>
        <w:t>х</w:t>
      </w:r>
      <w:r w:rsidRPr="003E19FB">
        <w:rPr>
          <w:color w:val="333333"/>
          <w:szCs w:val="24"/>
        </w:rPr>
        <w:t>10</w:t>
      </w:r>
      <w:r w:rsidRPr="003E19FB">
        <w:rPr>
          <w:color w:val="333333"/>
          <w:szCs w:val="24"/>
          <w:vertAlign w:val="superscript"/>
        </w:rPr>
        <w:t>9</w:t>
      </w:r>
      <w:r w:rsidRPr="003E19FB">
        <w:rPr>
          <w:color w:val="333333"/>
          <w:szCs w:val="24"/>
        </w:rPr>
        <w:t>/л</w:t>
      </w:r>
      <w:r>
        <w:rPr>
          <w:szCs w:val="24"/>
        </w:rPr>
        <w:t>,</w:t>
      </w:r>
      <w:r w:rsidRPr="003E19FB">
        <w:rPr>
          <w:szCs w:val="24"/>
        </w:rPr>
        <w:t xml:space="preserve"> </w:t>
      </w:r>
      <w:r w:rsidRPr="003E19FB">
        <w:rPr>
          <w:bCs/>
          <w:szCs w:val="24"/>
        </w:rPr>
        <w:t>поскольку ОПЛ характеризуется тяжелым геморрагическим синдромом и избыточным активированным фибринолизом</w:t>
      </w:r>
      <w:r>
        <w:rPr>
          <w:bCs/>
          <w:szCs w:val="24"/>
        </w:rPr>
        <w:t xml:space="preserve">; у  </w:t>
      </w:r>
      <w:r w:rsidRPr="003E19FB">
        <w:rPr>
          <w:szCs w:val="24"/>
        </w:rPr>
        <w:t>беременны</w:t>
      </w:r>
      <w:r>
        <w:rPr>
          <w:szCs w:val="24"/>
        </w:rPr>
        <w:t>х</w:t>
      </w:r>
      <w:r w:rsidRPr="003E19FB">
        <w:rPr>
          <w:szCs w:val="24"/>
        </w:rPr>
        <w:t xml:space="preserve"> пациент</w:t>
      </w:r>
      <w:r>
        <w:rPr>
          <w:szCs w:val="24"/>
        </w:rPr>
        <w:t>ок</w:t>
      </w:r>
      <w:r w:rsidRPr="003E19FB">
        <w:rPr>
          <w:szCs w:val="24"/>
        </w:rPr>
        <w:t xml:space="preserve"> с </w:t>
      </w:r>
      <w:r>
        <w:rPr>
          <w:szCs w:val="24"/>
        </w:rPr>
        <w:t xml:space="preserve">другими </w:t>
      </w:r>
      <w:r w:rsidRPr="003E19FB">
        <w:rPr>
          <w:szCs w:val="24"/>
        </w:rPr>
        <w:t xml:space="preserve">опухолевыми </w:t>
      </w:r>
      <w:r>
        <w:rPr>
          <w:szCs w:val="24"/>
        </w:rPr>
        <w:t>гематологическими заболеваниями</w:t>
      </w:r>
      <w:r w:rsidRPr="003E19FB">
        <w:rPr>
          <w:bCs/>
          <w:szCs w:val="24"/>
        </w:rPr>
        <w:t xml:space="preserve"> пороговый уровень тромбоцитов составляет 30</w:t>
      </w:r>
      <w:r>
        <w:rPr>
          <w:bCs/>
          <w:szCs w:val="24"/>
        </w:rPr>
        <w:t>х</w:t>
      </w:r>
      <w:r w:rsidRPr="003E19FB">
        <w:rPr>
          <w:bCs/>
          <w:szCs w:val="24"/>
        </w:rPr>
        <w:t>10</w:t>
      </w:r>
      <w:r w:rsidRPr="003E19FB">
        <w:rPr>
          <w:bCs/>
          <w:szCs w:val="24"/>
          <w:vertAlign w:val="superscript"/>
        </w:rPr>
        <w:t>9</w:t>
      </w:r>
      <w:r w:rsidRPr="003E19FB">
        <w:rPr>
          <w:bCs/>
          <w:szCs w:val="24"/>
        </w:rPr>
        <w:t>/л.</w:t>
      </w:r>
    </w:p>
    <w:p w14:paraId="128783D7" w14:textId="77777777" w:rsidR="00D41B5F" w:rsidRPr="003E19FB" w:rsidRDefault="00D41B5F" w:rsidP="00D41B5F">
      <w:pPr>
        <w:ind w:firstLine="709"/>
        <w:contextualSpacing/>
        <w:rPr>
          <w:szCs w:val="24"/>
          <w:lang w:eastAsia="ru-RU"/>
        </w:rPr>
      </w:pPr>
      <w:r w:rsidRPr="003E19FB">
        <w:rPr>
          <w:szCs w:val="24"/>
          <w:lang w:eastAsia="ru-RU"/>
        </w:rPr>
        <w:t>Переливание тромбоцитов не показано при тромбоцитопении иммунного генеза, за исключением случаев, когда оно необходимо по жизненным показаниям при развивш</w:t>
      </w:r>
      <w:r>
        <w:rPr>
          <w:szCs w:val="24"/>
          <w:lang w:eastAsia="ru-RU"/>
        </w:rPr>
        <w:t>е</w:t>
      </w:r>
      <w:r w:rsidRPr="003E19FB">
        <w:rPr>
          <w:szCs w:val="24"/>
          <w:lang w:eastAsia="ru-RU"/>
        </w:rPr>
        <w:t>мся кровотечении.</w:t>
      </w:r>
      <w:r>
        <w:rPr>
          <w:szCs w:val="24"/>
          <w:lang w:eastAsia="ru-RU"/>
        </w:rPr>
        <w:t xml:space="preserve"> </w:t>
      </w:r>
      <w:r w:rsidRPr="003E19FB">
        <w:rPr>
          <w:szCs w:val="24"/>
          <w:lang w:eastAsia="ru-RU"/>
        </w:rPr>
        <w:t xml:space="preserve">При тромбоцитопатиях трансфузия тромбоцитов также </w:t>
      </w:r>
      <w:r>
        <w:rPr>
          <w:szCs w:val="24"/>
          <w:lang w:eastAsia="ru-RU"/>
        </w:rPr>
        <w:t xml:space="preserve">рутинно не показана, и </w:t>
      </w:r>
      <w:r w:rsidRPr="003E19FB">
        <w:rPr>
          <w:szCs w:val="24"/>
          <w:lang w:eastAsia="ru-RU"/>
        </w:rPr>
        <w:t>осуществляется только в неотложных ситуациях: при массивных кровотечениях, операциях, родах.</w:t>
      </w:r>
    </w:p>
    <w:p w14:paraId="73D9886D" w14:textId="77777777" w:rsidR="00D41B5F" w:rsidRDefault="00D41B5F" w:rsidP="00D41B5F">
      <w:pPr>
        <w:ind w:firstLine="709"/>
        <w:contextualSpacing/>
        <w:rPr>
          <w:szCs w:val="24"/>
        </w:rPr>
      </w:pPr>
      <w:r w:rsidRPr="002A1C4D">
        <w:rPr>
          <w:szCs w:val="24"/>
          <w:u w:val="single"/>
        </w:rPr>
        <w:t>Показания к переливанию концентрата тромбоцитов с профилактической целью</w:t>
      </w:r>
      <w:r w:rsidRPr="00BA458B">
        <w:rPr>
          <w:szCs w:val="24"/>
        </w:rPr>
        <w:t xml:space="preserve"> приведены в табл. 1.</w:t>
      </w:r>
    </w:p>
    <w:p w14:paraId="7B53ACB7" w14:textId="77777777" w:rsidR="00D41B5F" w:rsidRDefault="00D41B5F" w:rsidP="00D41B5F">
      <w:pPr>
        <w:contextualSpacing/>
        <w:rPr>
          <w:bCs/>
          <w:szCs w:val="24"/>
        </w:rPr>
      </w:pPr>
    </w:p>
    <w:p w14:paraId="5415D0B4" w14:textId="77777777" w:rsidR="00D41B5F" w:rsidRPr="0008195A" w:rsidRDefault="00D41B5F" w:rsidP="00D41B5F">
      <w:pPr>
        <w:contextualSpacing/>
        <w:rPr>
          <w:szCs w:val="24"/>
        </w:rPr>
      </w:pPr>
      <w:r w:rsidRPr="0008195A">
        <w:rPr>
          <w:bCs/>
          <w:szCs w:val="24"/>
        </w:rPr>
        <w:t>Таблица 1. Показания к переливанию концентрата тромбоцитов</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7"/>
        <w:gridCol w:w="2663"/>
        <w:gridCol w:w="3690"/>
      </w:tblGrid>
      <w:tr w:rsidR="00D41B5F" w:rsidRPr="004C7AAC" w14:paraId="2674C8B2" w14:textId="77777777" w:rsidTr="005A428D">
        <w:tc>
          <w:tcPr>
            <w:tcW w:w="3007" w:type="dxa"/>
            <w:vAlign w:val="center"/>
          </w:tcPr>
          <w:p w14:paraId="63F47CB4" w14:textId="77777777" w:rsidR="00D41B5F" w:rsidRPr="00BA458B" w:rsidRDefault="00D41B5F" w:rsidP="005A428D">
            <w:pPr>
              <w:pStyle w:val="Table-head-italic"/>
              <w:spacing w:line="360" w:lineRule="auto"/>
              <w:jc w:val="center"/>
              <w:rPr>
                <w:i w:val="0"/>
                <w:sz w:val="22"/>
                <w:szCs w:val="22"/>
                <w:lang w:val="ru-RU"/>
              </w:rPr>
            </w:pPr>
            <w:r w:rsidRPr="00BA458B">
              <w:rPr>
                <w:i w:val="0"/>
                <w:sz w:val="22"/>
                <w:szCs w:val="22"/>
                <w:lang w:val="ru-RU"/>
              </w:rPr>
              <w:t>Показание</w:t>
            </w:r>
          </w:p>
        </w:tc>
        <w:tc>
          <w:tcPr>
            <w:tcW w:w="2663" w:type="dxa"/>
            <w:vAlign w:val="center"/>
          </w:tcPr>
          <w:p w14:paraId="3560F423" w14:textId="77777777" w:rsidR="00D41B5F" w:rsidRPr="00BA458B" w:rsidRDefault="00D41B5F" w:rsidP="005A428D">
            <w:pPr>
              <w:pStyle w:val="Table-head-italic"/>
              <w:spacing w:line="360" w:lineRule="auto"/>
              <w:jc w:val="center"/>
              <w:rPr>
                <w:i w:val="0"/>
                <w:sz w:val="22"/>
                <w:szCs w:val="22"/>
                <w:lang w:val="ru-RU"/>
              </w:rPr>
            </w:pPr>
            <w:r w:rsidRPr="00BA458B">
              <w:rPr>
                <w:i w:val="0"/>
                <w:sz w:val="22"/>
                <w:szCs w:val="22"/>
                <w:lang w:val="ru-RU"/>
              </w:rPr>
              <w:t>Количество тромбоцитов в периферической крови</w:t>
            </w:r>
          </w:p>
        </w:tc>
        <w:tc>
          <w:tcPr>
            <w:tcW w:w="3690" w:type="dxa"/>
            <w:vAlign w:val="center"/>
          </w:tcPr>
          <w:p w14:paraId="6382A806" w14:textId="77777777" w:rsidR="00D41B5F" w:rsidRPr="00BA458B" w:rsidRDefault="00D41B5F" w:rsidP="005A428D">
            <w:pPr>
              <w:pStyle w:val="Table-head-italic"/>
              <w:spacing w:line="360" w:lineRule="auto"/>
              <w:jc w:val="center"/>
              <w:rPr>
                <w:i w:val="0"/>
                <w:sz w:val="22"/>
                <w:szCs w:val="22"/>
                <w:lang w:val="ru-RU"/>
              </w:rPr>
            </w:pPr>
            <w:r w:rsidRPr="00BA458B">
              <w:rPr>
                <w:i w:val="0"/>
                <w:sz w:val="22"/>
                <w:szCs w:val="22"/>
                <w:lang w:val="ru-RU"/>
              </w:rPr>
              <w:t>Примечания</w:t>
            </w:r>
          </w:p>
        </w:tc>
      </w:tr>
      <w:tr w:rsidR="00D41B5F" w:rsidRPr="004C7AAC" w14:paraId="38ED302D" w14:textId="77777777" w:rsidTr="005A428D">
        <w:tc>
          <w:tcPr>
            <w:tcW w:w="3007" w:type="dxa"/>
          </w:tcPr>
          <w:p w14:paraId="69441852" w14:textId="77777777" w:rsidR="00D41B5F" w:rsidRPr="00BA458B" w:rsidRDefault="00D41B5F" w:rsidP="005A428D">
            <w:pPr>
              <w:pStyle w:val="table-text-0"/>
              <w:spacing w:before="0" w:line="360" w:lineRule="auto"/>
              <w:rPr>
                <w:sz w:val="22"/>
                <w:szCs w:val="22"/>
                <w:lang w:val="ru-RU"/>
              </w:rPr>
            </w:pPr>
            <w:r w:rsidRPr="00BA458B">
              <w:rPr>
                <w:sz w:val="22"/>
                <w:szCs w:val="22"/>
                <w:lang w:val="ru-RU"/>
              </w:rPr>
              <w:t>Во время или после химиотерапии, в период миелотоксического агранулоцитоза</w:t>
            </w:r>
          </w:p>
        </w:tc>
        <w:tc>
          <w:tcPr>
            <w:tcW w:w="2663" w:type="dxa"/>
            <w:vAlign w:val="center"/>
          </w:tcPr>
          <w:p w14:paraId="746602D0" w14:textId="77777777" w:rsidR="00D41B5F" w:rsidRPr="00BA458B" w:rsidRDefault="00D41B5F" w:rsidP="005A428D">
            <w:pPr>
              <w:pStyle w:val="table-text-0"/>
              <w:spacing w:before="0" w:line="360" w:lineRule="auto"/>
              <w:rPr>
                <w:sz w:val="22"/>
                <w:szCs w:val="22"/>
                <w:lang w:val="ru-RU"/>
              </w:rPr>
            </w:pPr>
            <w:r>
              <w:rPr>
                <w:sz w:val="22"/>
                <w:szCs w:val="22"/>
                <w:lang w:val="ru-RU"/>
              </w:rPr>
              <w:t>М</w:t>
            </w:r>
            <w:r w:rsidRPr="00BA458B">
              <w:rPr>
                <w:sz w:val="22"/>
                <w:szCs w:val="22"/>
                <w:lang w:val="ru-RU"/>
              </w:rPr>
              <w:t>енее 10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0886DD87" w14:textId="77777777" w:rsidR="00D41B5F" w:rsidRPr="00A83EB7" w:rsidRDefault="00D41B5F" w:rsidP="005A428D">
            <w:pPr>
              <w:pStyle w:val="table-text-0"/>
              <w:spacing w:before="0" w:line="360" w:lineRule="auto"/>
              <w:rPr>
                <w:sz w:val="22"/>
                <w:szCs w:val="22"/>
                <w:lang w:val="ru-RU"/>
              </w:rPr>
            </w:pPr>
            <w:r w:rsidRPr="00A83EB7">
              <w:rPr>
                <w:sz w:val="22"/>
                <w:szCs w:val="22"/>
                <w:lang w:val="ru-RU"/>
              </w:rPr>
              <w:t>При синдроме повышенного потребления тромбоцитов* данный порог необходимо повысить</w:t>
            </w:r>
          </w:p>
        </w:tc>
      </w:tr>
      <w:tr w:rsidR="00D41B5F" w:rsidRPr="004C7AAC" w14:paraId="2CE59311" w14:textId="77777777" w:rsidTr="005A428D">
        <w:tc>
          <w:tcPr>
            <w:tcW w:w="3007" w:type="dxa"/>
          </w:tcPr>
          <w:p w14:paraId="7E5E07A9" w14:textId="77777777" w:rsidR="00D41B5F" w:rsidRPr="00BA458B" w:rsidRDefault="00D41B5F" w:rsidP="005A428D">
            <w:pPr>
              <w:pStyle w:val="table-text-0"/>
              <w:spacing w:before="0" w:line="360" w:lineRule="auto"/>
              <w:rPr>
                <w:sz w:val="22"/>
                <w:szCs w:val="22"/>
                <w:lang w:val="ru-RU"/>
              </w:rPr>
            </w:pPr>
            <w:r w:rsidRPr="00BA458B">
              <w:rPr>
                <w:sz w:val="22"/>
                <w:szCs w:val="22"/>
                <w:lang w:val="ru-RU"/>
              </w:rPr>
              <w:t>Установка ЦВК</w:t>
            </w:r>
          </w:p>
        </w:tc>
        <w:tc>
          <w:tcPr>
            <w:tcW w:w="2663" w:type="dxa"/>
            <w:vAlign w:val="center"/>
          </w:tcPr>
          <w:p w14:paraId="7858CC03" w14:textId="77777777" w:rsidR="00D41B5F" w:rsidRPr="00BA458B" w:rsidRDefault="00D41B5F" w:rsidP="005A428D">
            <w:pPr>
              <w:pStyle w:val="table-text-0"/>
              <w:spacing w:before="0" w:line="360" w:lineRule="auto"/>
              <w:rPr>
                <w:sz w:val="22"/>
                <w:szCs w:val="22"/>
                <w:lang w:val="ru-RU"/>
              </w:rPr>
            </w:pPr>
            <w:r>
              <w:rPr>
                <w:sz w:val="22"/>
                <w:szCs w:val="22"/>
                <w:lang w:val="ru-RU"/>
              </w:rPr>
              <w:t>М</w:t>
            </w:r>
            <w:r w:rsidRPr="00BA458B">
              <w:rPr>
                <w:sz w:val="22"/>
                <w:szCs w:val="22"/>
                <w:lang w:val="ru-RU"/>
              </w:rPr>
              <w:t>енее 30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01978568" w14:textId="77777777" w:rsidR="00D41B5F" w:rsidRPr="00A83EB7" w:rsidRDefault="00D41B5F" w:rsidP="005A428D">
            <w:pPr>
              <w:pStyle w:val="table-text-0"/>
              <w:spacing w:before="0" w:line="360" w:lineRule="auto"/>
              <w:jc w:val="center"/>
              <w:rPr>
                <w:sz w:val="22"/>
                <w:szCs w:val="22"/>
                <w:lang w:val="ru-RU"/>
              </w:rPr>
            </w:pPr>
            <w:r>
              <w:rPr>
                <w:sz w:val="22"/>
                <w:szCs w:val="22"/>
                <w:lang w:val="ru-RU"/>
              </w:rPr>
              <w:t>-</w:t>
            </w:r>
          </w:p>
        </w:tc>
      </w:tr>
      <w:tr w:rsidR="00D41B5F" w:rsidRPr="004C7AAC" w14:paraId="6503D72E" w14:textId="77777777" w:rsidTr="005A428D">
        <w:tc>
          <w:tcPr>
            <w:tcW w:w="3007" w:type="dxa"/>
          </w:tcPr>
          <w:p w14:paraId="7E47B410" w14:textId="77777777" w:rsidR="00D41B5F" w:rsidRPr="00BA458B" w:rsidRDefault="00D41B5F" w:rsidP="005A428D">
            <w:pPr>
              <w:pStyle w:val="table-text-0"/>
              <w:spacing w:before="0" w:line="360" w:lineRule="auto"/>
              <w:rPr>
                <w:sz w:val="22"/>
                <w:szCs w:val="22"/>
                <w:lang w:val="ru-RU"/>
              </w:rPr>
            </w:pPr>
            <w:r w:rsidRPr="00BA458B">
              <w:rPr>
                <w:sz w:val="22"/>
                <w:szCs w:val="22"/>
                <w:lang w:val="ru-RU"/>
              </w:rPr>
              <w:t>Люмбальная пункция</w:t>
            </w:r>
          </w:p>
        </w:tc>
        <w:tc>
          <w:tcPr>
            <w:tcW w:w="2663" w:type="dxa"/>
            <w:vAlign w:val="center"/>
          </w:tcPr>
          <w:p w14:paraId="1FD3BAB2" w14:textId="77777777" w:rsidR="00D41B5F" w:rsidRPr="00BA458B" w:rsidRDefault="00D41B5F" w:rsidP="005A428D">
            <w:pPr>
              <w:pStyle w:val="table-text-0"/>
              <w:spacing w:before="0" w:line="360" w:lineRule="auto"/>
              <w:rPr>
                <w:sz w:val="22"/>
                <w:szCs w:val="22"/>
                <w:lang w:val="ru-RU"/>
              </w:rPr>
            </w:pPr>
            <w:r>
              <w:rPr>
                <w:sz w:val="22"/>
                <w:szCs w:val="22"/>
                <w:lang w:val="ru-RU"/>
              </w:rPr>
              <w:t>М</w:t>
            </w:r>
            <w:r w:rsidRPr="00BA458B">
              <w:rPr>
                <w:sz w:val="22"/>
                <w:szCs w:val="22"/>
                <w:lang w:val="ru-RU"/>
              </w:rPr>
              <w:t>енее 50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18ADF7B0" w14:textId="77777777" w:rsidR="00D41B5F" w:rsidRPr="00A83EB7" w:rsidRDefault="00D41B5F" w:rsidP="005A428D">
            <w:pPr>
              <w:pStyle w:val="table-text-0"/>
              <w:spacing w:before="0" w:line="360" w:lineRule="auto"/>
              <w:jc w:val="center"/>
              <w:rPr>
                <w:sz w:val="22"/>
                <w:szCs w:val="22"/>
                <w:lang w:val="ru-RU"/>
              </w:rPr>
            </w:pPr>
            <w:r>
              <w:rPr>
                <w:sz w:val="22"/>
                <w:szCs w:val="22"/>
                <w:lang w:val="ru-RU"/>
              </w:rPr>
              <w:t>-</w:t>
            </w:r>
          </w:p>
        </w:tc>
      </w:tr>
      <w:tr w:rsidR="00D41B5F" w:rsidRPr="004C7AAC" w14:paraId="1A3EE77D" w14:textId="77777777" w:rsidTr="005A428D">
        <w:tc>
          <w:tcPr>
            <w:tcW w:w="3007" w:type="dxa"/>
          </w:tcPr>
          <w:p w14:paraId="5F62DB0C" w14:textId="77777777" w:rsidR="00D41B5F" w:rsidRPr="00BA458B" w:rsidRDefault="00D41B5F" w:rsidP="005A428D">
            <w:pPr>
              <w:pStyle w:val="table-text-0"/>
              <w:spacing w:before="0" w:line="360" w:lineRule="auto"/>
              <w:rPr>
                <w:sz w:val="22"/>
                <w:szCs w:val="22"/>
                <w:lang w:val="ru-RU"/>
              </w:rPr>
            </w:pPr>
            <w:r w:rsidRPr="00BA458B">
              <w:rPr>
                <w:sz w:val="22"/>
                <w:szCs w:val="22"/>
                <w:lang w:val="ru-RU"/>
              </w:rPr>
              <w:t>Объемные операции и малообъемные инвазивные вмешательства</w:t>
            </w:r>
          </w:p>
        </w:tc>
        <w:tc>
          <w:tcPr>
            <w:tcW w:w="2663" w:type="dxa"/>
            <w:vAlign w:val="center"/>
          </w:tcPr>
          <w:p w14:paraId="6E7A454E" w14:textId="77777777" w:rsidR="00D41B5F" w:rsidRPr="00BA458B" w:rsidRDefault="00D41B5F" w:rsidP="005A428D">
            <w:pPr>
              <w:pStyle w:val="table-text-0"/>
              <w:spacing w:before="0" w:line="360" w:lineRule="auto"/>
              <w:rPr>
                <w:sz w:val="22"/>
                <w:szCs w:val="22"/>
                <w:lang w:val="ru-RU"/>
              </w:rPr>
            </w:pPr>
            <w:r>
              <w:rPr>
                <w:sz w:val="22"/>
                <w:szCs w:val="22"/>
                <w:lang w:val="ru-RU"/>
              </w:rPr>
              <w:t>М</w:t>
            </w:r>
            <w:r w:rsidRPr="00BA458B">
              <w:rPr>
                <w:sz w:val="22"/>
                <w:szCs w:val="22"/>
                <w:lang w:val="ru-RU"/>
              </w:rPr>
              <w:t>енее 50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63C1BB64" w14:textId="77777777" w:rsidR="00D41B5F" w:rsidRPr="00A83EB7" w:rsidRDefault="00D41B5F" w:rsidP="005A428D">
            <w:pPr>
              <w:pStyle w:val="table-text-0"/>
              <w:spacing w:before="0" w:line="360" w:lineRule="auto"/>
              <w:rPr>
                <w:sz w:val="22"/>
                <w:szCs w:val="22"/>
                <w:lang w:val="ru-RU"/>
              </w:rPr>
            </w:pPr>
            <w:r w:rsidRPr="00A83EB7">
              <w:rPr>
                <w:sz w:val="22"/>
                <w:szCs w:val="22"/>
                <w:lang w:val="ru-RU"/>
              </w:rPr>
              <w:t>Помимо профилактической трансфузии, необходимо резервирование концентрата тромбоцитов для проведения операции. Доза определяется массой тела пациента, а количество трансфузий — объемом операции</w:t>
            </w:r>
          </w:p>
        </w:tc>
      </w:tr>
      <w:tr w:rsidR="00D41B5F" w:rsidRPr="004C7AAC" w14:paraId="6D8BC2AC" w14:textId="77777777" w:rsidTr="005A428D">
        <w:tc>
          <w:tcPr>
            <w:tcW w:w="3007" w:type="dxa"/>
          </w:tcPr>
          <w:p w14:paraId="7A43590F" w14:textId="77777777" w:rsidR="00D41B5F" w:rsidRPr="00BA458B" w:rsidRDefault="00D41B5F" w:rsidP="005A428D">
            <w:pPr>
              <w:pStyle w:val="table-text-0"/>
              <w:spacing w:before="0" w:line="360" w:lineRule="auto"/>
              <w:rPr>
                <w:sz w:val="22"/>
                <w:szCs w:val="22"/>
                <w:lang w:val="ru-RU"/>
              </w:rPr>
            </w:pPr>
            <w:r w:rsidRPr="00BA458B">
              <w:rPr>
                <w:sz w:val="22"/>
                <w:szCs w:val="22"/>
                <w:lang w:val="ru-RU"/>
              </w:rPr>
              <w:t>Беременные</w:t>
            </w:r>
          </w:p>
        </w:tc>
        <w:tc>
          <w:tcPr>
            <w:tcW w:w="2663" w:type="dxa"/>
          </w:tcPr>
          <w:p w14:paraId="04BC8C90" w14:textId="77777777" w:rsidR="00D41B5F" w:rsidRPr="00BA458B" w:rsidRDefault="00D41B5F" w:rsidP="005A428D">
            <w:pPr>
              <w:pStyle w:val="table-text-0"/>
              <w:spacing w:before="0" w:line="360" w:lineRule="auto"/>
              <w:rPr>
                <w:sz w:val="22"/>
                <w:szCs w:val="22"/>
                <w:lang w:val="ru-RU"/>
              </w:rPr>
            </w:pPr>
            <w:r>
              <w:rPr>
                <w:sz w:val="22"/>
                <w:szCs w:val="22"/>
                <w:lang w:val="ru-RU"/>
              </w:rPr>
              <w:t xml:space="preserve">Менее </w:t>
            </w:r>
            <w:r w:rsidRPr="00BA458B">
              <w:rPr>
                <w:sz w:val="22"/>
                <w:szCs w:val="22"/>
                <w:lang w:val="ru-RU"/>
              </w:rPr>
              <w:t>30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50692A62" w14:textId="77777777" w:rsidR="00D41B5F" w:rsidRPr="00A83EB7" w:rsidRDefault="00D41B5F" w:rsidP="005A428D">
            <w:pPr>
              <w:pStyle w:val="table-text-0"/>
              <w:spacing w:before="0" w:line="360" w:lineRule="auto"/>
              <w:jc w:val="center"/>
              <w:rPr>
                <w:sz w:val="22"/>
                <w:szCs w:val="22"/>
                <w:lang w:val="ru-RU"/>
              </w:rPr>
            </w:pPr>
            <w:r>
              <w:rPr>
                <w:sz w:val="22"/>
                <w:szCs w:val="22"/>
                <w:lang w:val="ru-RU"/>
              </w:rPr>
              <w:t>-</w:t>
            </w:r>
          </w:p>
        </w:tc>
      </w:tr>
      <w:tr w:rsidR="00D41B5F" w:rsidRPr="004C7AAC" w14:paraId="73B3D8AB" w14:textId="77777777" w:rsidTr="005A428D">
        <w:tc>
          <w:tcPr>
            <w:tcW w:w="3007" w:type="dxa"/>
          </w:tcPr>
          <w:p w14:paraId="25B82EDB" w14:textId="77777777" w:rsidR="00D41B5F" w:rsidRPr="00BA458B" w:rsidRDefault="00D41B5F" w:rsidP="005A428D">
            <w:pPr>
              <w:pStyle w:val="table-text-0"/>
              <w:spacing w:before="0" w:line="360" w:lineRule="auto"/>
              <w:rPr>
                <w:sz w:val="22"/>
                <w:szCs w:val="22"/>
                <w:lang w:val="ru-RU"/>
              </w:rPr>
            </w:pPr>
            <w:r>
              <w:rPr>
                <w:sz w:val="22"/>
                <w:szCs w:val="22"/>
                <w:lang w:val="ru-RU"/>
              </w:rPr>
              <w:t>Пациенты с</w:t>
            </w:r>
            <w:r w:rsidRPr="00BA458B">
              <w:rPr>
                <w:sz w:val="22"/>
                <w:szCs w:val="22"/>
                <w:lang w:val="ru-RU"/>
              </w:rPr>
              <w:t xml:space="preserve"> ОПЛ</w:t>
            </w:r>
          </w:p>
        </w:tc>
        <w:tc>
          <w:tcPr>
            <w:tcW w:w="2663" w:type="dxa"/>
          </w:tcPr>
          <w:p w14:paraId="25EA5077" w14:textId="77777777" w:rsidR="00D41B5F" w:rsidRPr="00BA458B" w:rsidRDefault="00D41B5F" w:rsidP="005A428D">
            <w:pPr>
              <w:pStyle w:val="table-text-0"/>
              <w:spacing w:before="0" w:line="360" w:lineRule="auto"/>
              <w:rPr>
                <w:sz w:val="22"/>
                <w:szCs w:val="22"/>
                <w:lang w:val="ru-RU"/>
              </w:rPr>
            </w:pPr>
            <w:r>
              <w:rPr>
                <w:sz w:val="22"/>
                <w:szCs w:val="22"/>
                <w:lang w:val="ru-RU"/>
              </w:rPr>
              <w:t>Менее</w:t>
            </w:r>
            <w:r w:rsidRPr="00BA458B">
              <w:rPr>
                <w:sz w:val="22"/>
                <w:szCs w:val="22"/>
                <w:lang w:val="ru-RU"/>
              </w:rPr>
              <w:t xml:space="preserve"> 50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291DB4F5" w14:textId="77777777" w:rsidR="00D41B5F" w:rsidRPr="00A83EB7" w:rsidRDefault="00D41B5F" w:rsidP="005A428D">
            <w:pPr>
              <w:pStyle w:val="table-text-0"/>
              <w:spacing w:before="0" w:line="360" w:lineRule="auto"/>
              <w:jc w:val="center"/>
              <w:rPr>
                <w:sz w:val="22"/>
                <w:szCs w:val="22"/>
                <w:lang w:val="ru-RU"/>
              </w:rPr>
            </w:pPr>
            <w:r>
              <w:rPr>
                <w:sz w:val="22"/>
                <w:szCs w:val="22"/>
                <w:lang w:val="ru-RU"/>
              </w:rPr>
              <w:t>-</w:t>
            </w:r>
          </w:p>
        </w:tc>
      </w:tr>
      <w:tr w:rsidR="00D41B5F" w:rsidRPr="004C7AAC" w14:paraId="65129C3A" w14:textId="77777777" w:rsidTr="005A428D">
        <w:tc>
          <w:tcPr>
            <w:tcW w:w="3007" w:type="dxa"/>
          </w:tcPr>
          <w:p w14:paraId="558C04C4" w14:textId="77777777" w:rsidR="00D41B5F" w:rsidRPr="00BA458B" w:rsidRDefault="00D41B5F" w:rsidP="005A428D">
            <w:pPr>
              <w:pStyle w:val="table-text-0"/>
              <w:spacing w:before="0" w:line="360" w:lineRule="auto"/>
              <w:rPr>
                <w:sz w:val="22"/>
                <w:szCs w:val="22"/>
                <w:lang w:val="ru-RU"/>
              </w:rPr>
            </w:pPr>
            <w:r w:rsidRPr="00BA458B">
              <w:rPr>
                <w:sz w:val="22"/>
                <w:szCs w:val="22"/>
                <w:lang w:val="ru-RU"/>
              </w:rPr>
              <w:t>ДВС</w:t>
            </w:r>
            <w:r>
              <w:rPr>
                <w:sz w:val="22"/>
                <w:szCs w:val="22"/>
                <w:lang w:val="ru-RU"/>
              </w:rPr>
              <w:t>-</w:t>
            </w:r>
            <w:r w:rsidRPr="00BA458B">
              <w:rPr>
                <w:sz w:val="22"/>
                <w:szCs w:val="22"/>
                <w:lang w:val="ru-RU"/>
              </w:rPr>
              <w:t>синдром</w:t>
            </w:r>
          </w:p>
        </w:tc>
        <w:tc>
          <w:tcPr>
            <w:tcW w:w="2663" w:type="dxa"/>
          </w:tcPr>
          <w:p w14:paraId="779FBBBA" w14:textId="77777777" w:rsidR="00D41B5F" w:rsidRPr="00BA458B" w:rsidRDefault="00D41B5F" w:rsidP="005A428D">
            <w:pPr>
              <w:pStyle w:val="table-text-0"/>
              <w:spacing w:before="0" w:line="360" w:lineRule="auto"/>
              <w:rPr>
                <w:sz w:val="22"/>
                <w:szCs w:val="22"/>
                <w:lang w:val="ru-RU"/>
              </w:rPr>
            </w:pPr>
            <w:r>
              <w:rPr>
                <w:sz w:val="22"/>
                <w:szCs w:val="22"/>
                <w:lang w:val="ru-RU"/>
              </w:rPr>
              <w:t>Менее</w:t>
            </w:r>
            <w:r w:rsidRPr="00BA458B">
              <w:rPr>
                <w:sz w:val="22"/>
                <w:szCs w:val="22"/>
                <w:lang w:val="ru-RU"/>
              </w:rPr>
              <w:t xml:space="preserve"> 50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45F1B752" w14:textId="77777777" w:rsidR="00D41B5F" w:rsidRPr="00A83EB7" w:rsidRDefault="00D41B5F" w:rsidP="005A428D">
            <w:pPr>
              <w:pStyle w:val="table-text-0"/>
              <w:spacing w:before="0" w:line="360" w:lineRule="auto"/>
              <w:rPr>
                <w:sz w:val="22"/>
                <w:szCs w:val="22"/>
                <w:lang w:val="ru-RU"/>
              </w:rPr>
            </w:pPr>
            <w:r w:rsidRPr="00A83EB7">
              <w:rPr>
                <w:sz w:val="22"/>
                <w:szCs w:val="22"/>
                <w:lang w:val="ru-RU"/>
              </w:rPr>
              <w:t>Как часть основной терапии ДВС- синдрома</w:t>
            </w:r>
          </w:p>
        </w:tc>
      </w:tr>
    </w:tbl>
    <w:p w14:paraId="16005C4D" w14:textId="77777777" w:rsidR="00D41B5F" w:rsidRPr="0008195A" w:rsidRDefault="00D41B5F" w:rsidP="00D41B5F">
      <w:pPr>
        <w:rPr>
          <w:b/>
        </w:rPr>
      </w:pPr>
      <w:r w:rsidRPr="0008195A">
        <w:t>* Сепсис, пульмонологические заболевания, лихорадка.</w:t>
      </w:r>
    </w:p>
    <w:p w14:paraId="26E1B9C9" w14:textId="77777777" w:rsidR="00D41B5F" w:rsidRDefault="00D41B5F" w:rsidP="00D41B5F">
      <w:pPr>
        <w:pStyle w:val="3"/>
        <w:spacing w:before="0" w:after="0"/>
        <w:ind w:firstLine="708"/>
        <w:rPr>
          <w:rFonts w:ascii="Times New Roman" w:hAnsi="Times New Roman" w:cs="Times New Roman"/>
          <w:b w:val="0"/>
          <w:sz w:val="24"/>
          <w:szCs w:val="24"/>
          <w:u w:val="single"/>
        </w:rPr>
      </w:pPr>
    </w:p>
    <w:p w14:paraId="3CA11642" w14:textId="77777777" w:rsidR="00D41B5F" w:rsidRPr="00287E25" w:rsidRDefault="00D41B5F" w:rsidP="00D41B5F">
      <w:pPr>
        <w:ind w:firstLine="708"/>
        <w:rPr>
          <w:b/>
          <w:u w:val="single"/>
        </w:rPr>
      </w:pPr>
      <w:r w:rsidRPr="00287E25">
        <w:rPr>
          <w:u w:val="single"/>
        </w:rPr>
        <w:t>Показания к переливанию концентрата тромбоцитов с лечебной целью.</w:t>
      </w:r>
    </w:p>
    <w:p w14:paraId="0ADFAB56" w14:textId="77777777" w:rsidR="00D41B5F" w:rsidRDefault="00D41B5F" w:rsidP="00D41B5F">
      <w:pPr>
        <w:ind w:firstLine="708"/>
        <w:rPr>
          <w:szCs w:val="24"/>
        </w:rPr>
      </w:pPr>
      <w:r w:rsidRPr="004C7AAC">
        <w:rPr>
          <w:bCs/>
          <w:szCs w:val="24"/>
        </w:rPr>
        <w:t>Наличие у пациента геморрагического синдрома</w:t>
      </w:r>
      <w:r>
        <w:rPr>
          <w:bCs/>
          <w:szCs w:val="24"/>
        </w:rPr>
        <w:t xml:space="preserve"> — </w:t>
      </w:r>
      <w:r w:rsidRPr="00A83EB7">
        <w:rPr>
          <w:bCs/>
          <w:szCs w:val="24"/>
        </w:rPr>
        <w:t>прямое показание к переливанию концентрата тромбоцитов независимо от лабораторных показателей. Оценка тяжести</w:t>
      </w:r>
      <w:r>
        <w:rPr>
          <w:bCs/>
          <w:szCs w:val="24"/>
        </w:rPr>
        <w:t xml:space="preserve"> </w:t>
      </w:r>
      <w:r w:rsidRPr="004C7AAC">
        <w:rPr>
          <w:bCs/>
          <w:szCs w:val="24"/>
        </w:rPr>
        <w:t>геморрагического синдрома проводится по шкале ВОЗ</w:t>
      </w:r>
      <w:r>
        <w:rPr>
          <w:bCs/>
          <w:szCs w:val="24"/>
        </w:rPr>
        <w:t xml:space="preserve"> (табл. 2)</w:t>
      </w:r>
      <w:r w:rsidRPr="004C7AAC">
        <w:rPr>
          <w:szCs w:val="24"/>
        </w:rPr>
        <w:t>.</w:t>
      </w:r>
    </w:p>
    <w:p w14:paraId="41BCAF0D" w14:textId="77777777" w:rsidR="00D41B5F" w:rsidRDefault="00D41B5F" w:rsidP="00D41B5F">
      <w:pPr>
        <w:rPr>
          <w:bCs/>
          <w:szCs w:val="24"/>
        </w:rPr>
      </w:pPr>
    </w:p>
    <w:p w14:paraId="7E945106" w14:textId="77777777" w:rsidR="00D41B5F" w:rsidRPr="002A1C4D" w:rsidRDefault="00D41B5F" w:rsidP="00D41B5F">
      <w:pPr>
        <w:rPr>
          <w:szCs w:val="24"/>
        </w:rPr>
      </w:pPr>
      <w:r w:rsidRPr="002A1C4D">
        <w:rPr>
          <w:bCs/>
          <w:szCs w:val="24"/>
        </w:rPr>
        <w:t>Таблица 2. Шкала кровотечений по ВОЗ</w:t>
      </w:r>
    </w:p>
    <w:tbl>
      <w:tblPr>
        <w:tblW w:w="0" w:type="auto"/>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96"/>
      </w:tblGrid>
      <w:tr w:rsidR="00D41B5F" w:rsidRPr="004C7AAC" w14:paraId="4DF4A626" w14:textId="77777777" w:rsidTr="005A428D">
        <w:tc>
          <w:tcPr>
            <w:tcW w:w="9121" w:type="dxa"/>
            <w:shd w:val="clear" w:color="auto" w:fill="auto"/>
          </w:tcPr>
          <w:p w14:paraId="1AF54213" w14:textId="77777777" w:rsidR="00D41B5F" w:rsidRPr="004C7AAC" w:rsidRDefault="00D41B5F" w:rsidP="005A428D">
            <w:pPr>
              <w:pStyle w:val="table-text-1"/>
              <w:spacing w:line="360" w:lineRule="auto"/>
              <w:rPr>
                <w:b/>
                <w:i/>
                <w:sz w:val="24"/>
                <w:szCs w:val="24"/>
              </w:rPr>
            </w:pPr>
            <w:r w:rsidRPr="002E0659">
              <w:rPr>
                <w:sz w:val="22"/>
                <w:szCs w:val="22"/>
              </w:rPr>
              <w:t>1 степень (не требует трансфузии)</w:t>
            </w:r>
          </w:p>
        </w:tc>
      </w:tr>
      <w:tr w:rsidR="00D41B5F" w:rsidRPr="004C7AAC" w14:paraId="688C7D5F" w14:textId="77777777" w:rsidTr="005A428D">
        <w:tc>
          <w:tcPr>
            <w:tcW w:w="9121" w:type="dxa"/>
            <w:shd w:val="clear" w:color="auto" w:fill="auto"/>
          </w:tcPr>
          <w:p w14:paraId="3D96D214" w14:textId="77777777" w:rsidR="00D41B5F" w:rsidRPr="002E0659" w:rsidRDefault="00D41B5F" w:rsidP="005A428D">
            <w:pPr>
              <w:pStyle w:val="table-text-0"/>
              <w:spacing w:before="0" w:line="360" w:lineRule="auto"/>
              <w:rPr>
                <w:sz w:val="22"/>
                <w:szCs w:val="22"/>
                <w:lang w:val="ru-RU"/>
              </w:rPr>
            </w:pPr>
            <w:r w:rsidRPr="002E0659">
              <w:rPr>
                <w:sz w:val="22"/>
                <w:szCs w:val="22"/>
                <w:lang w:val="ru-RU"/>
              </w:rPr>
              <w:t xml:space="preserve">Кровоточивость кожи и слизистых, включая </w:t>
            </w:r>
            <w:r>
              <w:rPr>
                <w:sz w:val="22"/>
                <w:szCs w:val="22"/>
                <w:lang w:val="ru-RU"/>
              </w:rPr>
              <w:t>полость рта</w:t>
            </w:r>
          </w:p>
          <w:p w14:paraId="5E060DAC" w14:textId="77777777" w:rsidR="00D41B5F" w:rsidRPr="002E0659" w:rsidRDefault="00D41B5F" w:rsidP="005A428D">
            <w:pPr>
              <w:pStyle w:val="table-text-0"/>
              <w:spacing w:before="0" w:line="360" w:lineRule="auto"/>
              <w:rPr>
                <w:sz w:val="22"/>
                <w:szCs w:val="22"/>
                <w:lang w:val="ru-RU"/>
              </w:rPr>
            </w:pPr>
            <w:r w:rsidRPr="002E0659">
              <w:rPr>
                <w:sz w:val="22"/>
                <w:szCs w:val="22"/>
                <w:lang w:val="ru-RU"/>
              </w:rPr>
              <w:t>Петехии менее 2</w:t>
            </w:r>
            <w:r>
              <w:rPr>
                <w:sz w:val="22"/>
                <w:szCs w:val="22"/>
                <w:lang w:val="ru-RU"/>
              </w:rPr>
              <w:t> </w:t>
            </w:r>
            <w:r w:rsidRPr="002E0659">
              <w:rPr>
                <w:sz w:val="22"/>
                <w:szCs w:val="22"/>
                <w:lang w:val="ru-RU"/>
              </w:rPr>
              <w:t>мм</w:t>
            </w:r>
          </w:p>
          <w:p w14:paraId="29477978" w14:textId="77777777" w:rsidR="00D41B5F" w:rsidRPr="002E0659" w:rsidRDefault="00D41B5F" w:rsidP="005A428D">
            <w:pPr>
              <w:pStyle w:val="table-text-0"/>
              <w:spacing w:before="0" w:line="360" w:lineRule="auto"/>
              <w:rPr>
                <w:sz w:val="22"/>
                <w:szCs w:val="22"/>
                <w:lang w:val="ru-RU"/>
              </w:rPr>
            </w:pPr>
            <w:r>
              <w:rPr>
                <w:sz w:val="22"/>
                <w:szCs w:val="22"/>
                <w:lang w:val="ru-RU"/>
              </w:rPr>
              <w:t>Пурпура менее 2,54 </w:t>
            </w:r>
            <w:r w:rsidRPr="002E0659">
              <w:rPr>
                <w:sz w:val="22"/>
                <w:szCs w:val="22"/>
                <w:lang w:val="ru-RU"/>
              </w:rPr>
              <w:t>см в диаметре</w:t>
            </w:r>
          </w:p>
          <w:p w14:paraId="360BBF58" w14:textId="77777777" w:rsidR="00D41B5F" w:rsidRPr="002E0659" w:rsidRDefault="00D41B5F" w:rsidP="005A428D">
            <w:pPr>
              <w:pStyle w:val="table-text-0"/>
              <w:spacing w:before="0" w:line="360" w:lineRule="auto"/>
              <w:rPr>
                <w:sz w:val="22"/>
                <w:szCs w:val="22"/>
                <w:lang w:val="ru-RU"/>
              </w:rPr>
            </w:pPr>
            <w:r>
              <w:rPr>
                <w:sz w:val="22"/>
                <w:szCs w:val="22"/>
                <w:lang w:val="ru-RU"/>
              </w:rPr>
              <w:t>Экхимозы (очаги менее 10 </w:t>
            </w:r>
            <w:r w:rsidRPr="002E0659">
              <w:rPr>
                <w:sz w:val="22"/>
                <w:szCs w:val="22"/>
                <w:lang w:val="ru-RU"/>
              </w:rPr>
              <w:t>см в диаметре)</w:t>
            </w:r>
          </w:p>
          <w:p w14:paraId="7BB86922" w14:textId="77777777" w:rsidR="00D41B5F" w:rsidRPr="002E0659" w:rsidRDefault="00D41B5F" w:rsidP="005A428D">
            <w:pPr>
              <w:pStyle w:val="table-text-0"/>
              <w:spacing w:before="0" w:line="360" w:lineRule="auto"/>
              <w:rPr>
                <w:sz w:val="22"/>
                <w:szCs w:val="22"/>
                <w:lang w:val="ru-RU"/>
              </w:rPr>
            </w:pPr>
            <w:r w:rsidRPr="002E0659">
              <w:rPr>
                <w:sz w:val="22"/>
                <w:szCs w:val="22"/>
                <w:lang w:val="ru-RU"/>
              </w:rPr>
              <w:t>Ротоглоточные кровотечения</w:t>
            </w:r>
          </w:p>
          <w:p w14:paraId="6CA63935" w14:textId="77777777" w:rsidR="00D41B5F" w:rsidRPr="002E0659" w:rsidRDefault="00D41B5F" w:rsidP="005A428D">
            <w:pPr>
              <w:pStyle w:val="table-text-0"/>
              <w:spacing w:before="0" w:line="360" w:lineRule="auto"/>
              <w:rPr>
                <w:sz w:val="22"/>
                <w:szCs w:val="22"/>
                <w:lang w:val="ru-RU"/>
              </w:rPr>
            </w:pPr>
            <w:r w:rsidRPr="002E0659">
              <w:rPr>
                <w:sz w:val="22"/>
                <w:szCs w:val="22"/>
                <w:lang w:val="ru-RU"/>
              </w:rPr>
              <w:t>Кровоизлияния в конъюнктиву</w:t>
            </w:r>
          </w:p>
          <w:p w14:paraId="3FED89D5" w14:textId="77777777" w:rsidR="00D41B5F" w:rsidRPr="002E0659" w:rsidRDefault="00D41B5F" w:rsidP="005A428D">
            <w:pPr>
              <w:pStyle w:val="table-text-0"/>
              <w:spacing w:before="0" w:line="360" w:lineRule="auto"/>
              <w:rPr>
                <w:sz w:val="22"/>
                <w:szCs w:val="22"/>
                <w:lang w:val="ru-RU"/>
              </w:rPr>
            </w:pPr>
            <w:r w:rsidRPr="002E0659">
              <w:rPr>
                <w:sz w:val="22"/>
                <w:szCs w:val="22"/>
                <w:lang w:val="ru-RU"/>
              </w:rPr>
              <w:t>Носовые кровотечения продолжительностью менее 1</w:t>
            </w:r>
            <w:r>
              <w:rPr>
                <w:sz w:val="22"/>
                <w:szCs w:val="22"/>
                <w:lang w:val="ru-RU"/>
              </w:rPr>
              <w:t> </w:t>
            </w:r>
            <w:r w:rsidRPr="002E0659">
              <w:rPr>
                <w:sz w:val="22"/>
                <w:szCs w:val="22"/>
                <w:lang w:val="ru-RU"/>
              </w:rPr>
              <w:t>часа</w:t>
            </w:r>
            <w:r>
              <w:rPr>
                <w:sz w:val="22"/>
                <w:szCs w:val="22"/>
                <w:lang w:val="ru-RU"/>
              </w:rPr>
              <w:t>,</w:t>
            </w:r>
            <w:r w:rsidRPr="002E0659">
              <w:rPr>
                <w:sz w:val="22"/>
                <w:szCs w:val="22"/>
                <w:lang w:val="ru-RU"/>
              </w:rPr>
              <w:t xml:space="preserve"> не требующие вмешательства</w:t>
            </w:r>
          </w:p>
          <w:p w14:paraId="16CD99A8" w14:textId="77777777" w:rsidR="00D41B5F" w:rsidRPr="002E0659" w:rsidRDefault="00D41B5F" w:rsidP="005A428D">
            <w:pPr>
              <w:pStyle w:val="table-text-0"/>
              <w:spacing w:before="0" w:line="360" w:lineRule="auto"/>
              <w:rPr>
                <w:sz w:val="22"/>
                <w:szCs w:val="22"/>
                <w:lang w:val="ru-RU"/>
              </w:rPr>
            </w:pPr>
            <w:r w:rsidRPr="002E0659">
              <w:rPr>
                <w:sz w:val="22"/>
                <w:szCs w:val="22"/>
                <w:lang w:val="ru-RU"/>
              </w:rPr>
              <w:t xml:space="preserve">Аномальные ациклические маточные кровотечения (менее </w:t>
            </w:r>
            <w:r>
              <w:rPr>
                <w:sz w:val="22"/>
                <w:szCs w:val="22"/>
                <w:lang w:val="ru-RU"/>
              </w:rPr>
              <w:t xml:space="preserve">двух </w:t>
            </w:r>
            <w:r w:rsidRPr="002E0659">
              <w:rPr>
                <w:sz w:val="22"/>
                <w:szCs w:val="22"/>
                <w:lang w:val="ru-RU"/>
              </w:rPr>
              <w:t xml:space="preserve">прокладок в </w:t>
            </w:r>
            <w:r>
              <w:rPr>
                <w:sz w:val="22"/>
                <w:szCs w:val="22"/>
                <w:lang w:val="ru-RU"/>
              </w:rPr>
              <w:t>сутки</w:t>
            </w:r>
            <w:r w:rsidRPr="002E0659">
              <w:rPr>
                <w:sz w:val="22"/>
                <w:szCs w:val="22"/>
                <w:lang w:val="ru-RU"/>
              </w:rPr>
              <w:t>)</w:t>
            </w:r>
          </w:p>
        </w:tc>
      </w:tr>
      <w:tr w:rsidR="00D41B5F" w:rsidRPr="004C7AAC" w14:paraId="0FBD3878" w14:textId="77777777" w:rsidTr="005A428D">
        <w:tc>
          <w:tcPr>
            <w:tcW w:w="9121" w:type="dxa"/>
            <w:shd w:val="clear" w:color="auto" w:fill="auto"/>
          </w:tcPr>
          <w:p w14:paraId="70B2A051" w14:textId="77777777" w:rsidR="00D41B5F" w:rsidRPr="00553E25" w:rsidRDefault="00D41B5F" w:rsidP="005A428D">
            <w:pPr>
              <w:pStyle w:val="table-text-1"/>
              <w:spacing w:line="360" w:lineRule="auto"/>
              <w:rPr>
                <w:sz w:val="22"/>
                <w:szCs w:val="22"/>
                <w:lang w:val="ru-RU"/>
              </w:rPr>
            </w:pPr>
            <w:r w:rsidRPr="00553E25">
              <w:rPr>
                <w:sz w:val="22"/>
                <w:szCs w:val="22"/>
                <w:lang w:val="ru-RU"/>
              </w:rPr>
              <w:t>2 степень (в основном не требуют трансфузии)</w:t>
            </w:r>
          </w:p>
        </w:tc>
      </w:tr>
      <w:tr w:rsidR="00D41B5F" w:rsidRPr="004C7AAC" w14:paraId="6F28BEA5" w14:textId="77777777" w:rsidTr="005A428D">
        <w:tc>
          <w:tcPr>
            <w:tcW w:w="9121" w:type="dxa"/>
            <w:shd w:val="clear" w:color="auto" w:fill="auto"/>
          </w:tcPr>
          <w:p w14:paraId="692BFC94" w14:textId="77777777" w:rsidR="00D41B5F" w:rsidRPr="002E0659" w:rsidRDefault="00D41B5F" w:rsidP="005A428D">
            <w:pPr>
              <w:pStyle w:val="table-text-0"/>
              <w:spacing w:before="0" w:line="360" w:lineRule="auto"/>
              <w:rPr>
                <w:sz w:val="22"/>
                <w:szCs w:val="22"/>
                <w:lang w:val="ru-RU"/>
              </w:rPr>
            </w:pPr>
            <w:r w:rsidRPr="002E0659">
              <w:rPr>
                <w:sz w:val="22"/>
                <w:szCs w:val="22"/>
                <w:lang w:val="ru-RU"/>
              </w:rPr>
              <w:t>Экхимозы (более 10</w:t>
            </w:r>
            <w:r>
              <w:rPr>
                <w:sz w:val="22"/>
                <w:szCs w:val="22"/>
                <w:lang w:val="ru-RU"/>
              </w:rPr>
              <w:t> </w:t>
            </w:r>
            <w:r w:rsidRPr="002E0659">
              <w:rPr>
                <w:sz w:val="22"/>
                <w:szCs w:val="22"/>
                <w:lang w:val="ru-RU"/>
              </w:rPr>
              <w:t>см в диаметре)</w:t>
            </w:r>
          </w:p>
          <w:p w14:paraId="5785A151" w14:textId="77777777" w:rsidR="00D41B5F" w:rsidRPr="002E0659" w:rsidRDefault="00D41B5F" w:rsidP="005A428D">
            <w:pPr>
              <w:pStyle w:val="table-text-0"/>
              <w:spacing w:before="0" w:line="360" w:lineRule="auto"/>
              <w:rPr>
                <w:sz w:val="22"/>
                <w:szCs w:val="22"/>
                <w:lang w:val="ru-RU"/>
              </w:rPr>
            </w:pPr>
            <w:r w:rsidRPr="002E0659">
              <w:rPr>
                <w:sz w:val="22"/>
                <w:szCs w:val="22"/>
                <w:lang w:val="ru-RU"/>
              </w:rPr>
              <w:t>Гематомы</w:t>
            </w:r>
          </w:p>
          <w:p w14:paraId="3C8A7B50" w14:textId="77777777" w:rsidR="00D41B5F" w:rsidRPr="002E0659" w:rsidRDefault="00D41B5F" w:rsidP="005A428D">
            <w:pPr>
              <w:pStyle w:val="table-text-0"/>
              <w:spacing w:before="0" w:line="360" w:lineRule="auto"/>
              <w:rPr>
                <w:sz w:val="22"/>
                <w:szCs w:val="22"/>
                <w:lang w:val="ru-RU"/>
              </w:rPr>
            </w:pPr>
            <w:r w:rsidRPr="002E0659">
              <w:rPr>
                <w:sz w:val="22"/>
                <w:szCs w:val="22"/>
                <w:lang w:val="ru-RU"/>
              </w:rPr>
              <w:t>Носовые кровотечения продолжительностью более 1</w:t>
            </w:r>
            <w:r>
              <w:rPr>
                <w:sz w:val="22"/>
                <w:szCs w:val="22"/>
                <w:lang w:val="ru-RU"/>
              </w:rPr>
              <w:t> </w:t>
            </w:r>
            <w:r w:rsidRPr="002E0659">
              <w:rPr>
                <w:sz w:val="22"/>
                <w:szCs w:val="22"/>
                <w:lang w:val="ru-RU"/>
              </w:rPr>
              <w:t>часа или требующие тампонады</w:t>
            </w:r>
          </w:p>
          <w:p w14:paraId="27A99291" w14:textId="77777777" w:rsidR="00D41B5F" w:rsidRPr="002E0659" w:rsidRDefault="00D41B5F" w:rsidP="005A428D">
            <w:pPr>
              <w:pStyle w:val="table-text-0"/>
              <w:spacing w:before="0" w:line="360" w:lineRule="auto"/>
              <w:rPr>
                <w:sz w:val="22"/>
                <w:szCs w:val="22"/>
                <w:lang w:val="ru-RU"/>
              </w:rPr>
            </w:pPr>
            <w:r w:rsidRPr="002E0659">
              <w:rPr>
                <w:sz w:val="22"/>
                <w:szCs w:val="22"/>
                <w:lang w:val="ru-RU"/>
              </w:rPr>
              <w:t>Кровоизлияния в сетчатку без ухудшения зрения</w:t>
            </w:r>
          </w:p>
          <w:p w14:paraId="2F688ABC" w14:textId="77777777" w:rsidR="00D41B5F" w:rsidRPr="002E0659" w:rsidRDefault="00D41B5F" w:rsidP="005A428D">
            <w:pPr>
              <w:pStyle w:val="table-text-0"/>
              <w:spacing w:before="0" w:line="360" w:lineRule="auto"/>
              <w:rPr>
                <w:sz w:val="22"/>
                <w:szCs w:val="22"/>
                <w:lang w:val="ru-RU"/>
              </w:rPr>
            </w:pPr>
            <w:r w:rsidRPr="002E0659">
              <w:rPr>
                <w:sz w:val="22"/>
                <w:szCs w:val="22"/>
                <w:lang w:val="ru-RU"/>
              </w:rPr>
              <w:t xml:space="preserve">Аномальные ациклические маточные кровотечения (более </w:t>
            </w:r>
            <w:r>
              <w:rPr>
                <w:sz w:val="22"/>
                <w:szCs w:val="22"/>
                <w:lang w:val="ru-RU"/>
              </w:rPr>
              <w:t xml:space="preserve">двух </w:t>
            </w:r>
            <w:r w:rsidRPr="002E0659">
              <w:rPr>
                <w:sz w:val="22"/>
                <w:szCs w:val="22"/>
                <w:lang w:val="ru-RU"/>
              </w:rPr>
              <w:t xml:space="preserve">прокладок в </w:t>
            </w:r>
            <w:r>
              <w:rPr>
                <w:sz w:val="22"/>
                <w:szCs w:val="22"/>
                <w:lang w:val="ru-RU"/>
              </w:rPr>
              <w:t>сутки</w:t>
            </w:r>
            <w:r w:rsidRPr="002E0659">
              <w:rPr>
                <w:sz w:val="22"/>
                <w:szCs w:val="22"/>
                <w:lang w:val="ru-RU"/>
              </w:rPr>
              <w:t>)</w:t>
            </w:r>
          </w:p>
          <w:p w14:paraId="589F21C4" w14:textId="77777777" w:rsidR="00D41B5F" w:rsidRPr="002E0659" w:rsidRDefault="00D41B5F" w:rsidP="005A428D">
            <w:pPr>
              <w:pStyle w:val="table-text-0"/>
              <w:spacing w:before="0" w:line="360" w:lineRule="auto"/>
              <w:rPr>
                <w:sz w:val="22"/>
                <w:szCs w:val="22"/>
                <w:lang w:val="ru-RU"/>
              </w:rPr>
            </w:pPr>
            <w:r w:rsidRPr="002E0659">
              <w:rPr>
                <w:sz w:val="22"/>
                <w:szCs w:val="22"/>
                <w:lang w:val="ru-RU"/>
              </w:rPr>
              <w:t>Мелена, рвота с кровью, кровохарканье, гематурия, стул с кровью</w:t>
            </w:r>
          </w:p>
          <w:p w14:paraId="6BDF4361" w14:textId="77777777" w:rsidR="00D41B5F" w:rsidRPr="00360841" w:rsidRDefault="00D41B5F" w:rsidP="005A428D">
            <w:pPr>
              <w:pStyle w:val="table-text-0"/>
              <w:spacing w:before="0" w:line="360" w:lineRule="auto"/>
              <w:rPr>
                <w:sz w:val="24"/>
                <w:szCs w:val="24"/>
                <w:lang w:val="ru-RU"/>
              </w:rPr>
            </w:pPr>
            <w:r w:rsidRPr="002E0659">
              <w:rPr>
                <w:sz w:val="22"/>
                <w:szCs w:val="22"/>
                <w:lang w:val="ru-RU"/>
              </w:rPr>
              <w:t>Кровотечения после инвазивных вмешательств, мышечно-суставные кровоизлияния</w:t>
            </w:r>
          </w:p>
        </w:tc>
      </w:tr>
      <w:tr w:rsidR="00D41B5F" w:rsidRPr="004C7AAC" w14:paraId="2DE2A5FC" w14:textId="77777777" w:rsidTr="005A428D">
        <w:tc>
          <w:tcPr>
            <w:tcW w:w="9121" w:type="dxa"/>
            <w:shd w:val="clear" w:color="auto" w:fill="auto"/>
          </w:tcPr>
          <w:p w14:paraId="0926BB0D" w14:textId="77777777" w:rsidR="00D41B5F" w:rsidRPr="004C7AAC" w:rsidRDefault="00D41B5F" w:rsidP="005A428D">
            <w:pPr>
              <w:pStyle w:val="table-text-1"/>
              <w:spacing w:line="360" w:lineRule="auto"/>
              <w:rPr>
                <w:b/>
                <w:i/>
                <w:sz w:val="24"/>
                <w:szCs w:val="24"/>
              </w:rPr>
            </w:pPr>
            <w:r w:rsidRPr="002E0659">
              <w:rPr>
                <w:sz w:val="22"/>
                <w:szCs w:val="22"/>
              </w:rPr>
              <w:t>3 степень (требуют трансфузии)</w:t>
            </w:r>
          </w:p>
        </w:tc>
      </w:tr>
      <w:tr w:rsidR="00D41B5F" w:rsidRPr="004C7AAC" w14:paraId="28F836DB" w14:textId="77777777" w:rsidTr="005A428D">
        <w:tc>
          <w:tcPr>
            <w:tcW w:w="9121" w:type="dxa"/>
            <w:shd w:val="clear" w:color="auto" w:fill="auto"/>
          </w:tcPr>
          <w:p w14:paraId="6B067A3A" w14:textId="77777777" w:rsidR="00D41B5F" w:rsidRPr="002E0659" w:rsidRDefault="00D41B5F" w:rsidP="005A428D">
            <w:pPr>
              <w:pStyle w:val="table-text-0"/>
              <w:spacing w:before="0" w:line="360" w:lineRule="auto"/>
              <w:rPr>
                <w:sz w:val="22"/>
                <w:szCs w:val="22"/>
                <w:lang w:val="ru-RU"/>
              </w:rPr>
            </w:pPr>
            <w:r w:rsidRPr="002E0659">
              <w:rPr>
                <w:sz w:val="22"/>
                <w:szCs w:val="22"/>
                <w:lang w:val="ru-RU"/>
              </w:rPr>
              <w:t>Мелена</w:t>
            </w:r>
          </w:p>
          <w:p w14:paraId="728C006C" w14:textId="77777777" w:rsidR="00D41B5F" w:rsidRPr="002E0659" w:rsidRDefault="00D41B5F" w:rsidP="005A428D">
            <w:pPr>
              <w:pStyle w:val="table-text-0"/>
              <w:spacing w:before="0" w:line="360" w:lineRule="auto"/>
              <w:rPr>
                <w:sz w:val="22"/>
                <w:szCs w:val="22"/>
                <w:lang w:val="ru-RU"/>
              </w:rPr>
            </w:pPr>
            <w:r w:rsidRPr="002E0659">
              <w:rPr>
                <w:sz w:val="22"/>
                <w:szCs w:val="22"/>
                <w:lang w:val="ru-RU"/>
              </w:rPr>
              <w:t>Рвота с кровью</w:t>
            </w:r>
          </w:p>
          <w:p w14:paraId="7FF92B16" w14:textId="77777777" w:rsidR="00D41B5F" w:rsidRPr="002E0659" w:rsidRDefault="00D41B5F" w:rsidP="005A428D">
            <w:pPr>
              <w:pStyle w:val="table-text-0"/>
              <w:spacing w:before="0" w:line="360" w:lineRule="auto"/>
              <w:rPr>
                <w:sz w:val="22"/>
                <w:szCs w:val="22"/>
                <w:lang w:val="ru-RU"/>
              </w:rPr>
            </w:pPr>
            <w:r w:rsidRPr="002E0659">
              <w:rPr>
                <w:sz w:val="22"/>
                <w:szCs w:val="22"/>
                <w:lang w:val="ru-RU"/>
              </w:rPr>
              <w:t>Кровохарканье</w:t>
            </w:r>
          </w:p>
          <w:p w14:paraId="14F6F4F0" w14:textId="77777777" w:rsidR="00D41B5F" w:rsidRPr="002E0659" w:rsidRDefault="00D41B5F" w:rsidP="005A428D">
            <w:pPr>
              <w:pStyle w:val="table-text-0"/>
              <w:spacing w:before="0" w:line="360" w:lineRule="auto"/>
              <w:rPr>
                <w:sz w:val="22"/>
                <w:szCs w:val="22"/>
                <w:lang w:val="ru-RU"/>
              </w:rPr>
            </w:pPr>
            <w:r w:rsidRPr="002E0659">
              <w:rPr>
                <w:sz w:val="22"/>
                <w:szCs w:val="22"/>
                <w:lang w:val="ru-RU"/>
              </w:rPr>
              <w:t>Гематурия</w:t>
            </w:r>
            <w:r>
              <w:rPr>
                <w:sz w:val="22"/>
                <w:szCs w:val="22"/>
                <w:lang w:val="ru-RU"/>
              </w:rPr>
              <w:t>,</w:t>
            </w:r>
            <w:r w:rsidRPr="002E0659">
              <w:rPr>
                <w:sz w:val="22"/>
                <w:szCs w:val="22"/>
                <w:lang w:val="ru-RU"/>
              </w:rPr>
              <w:t xml:space="preserve"> включая непрекращающееся кровотечение без свертывания </w:t>
            </w:r>
          </w:p>
          <w:p w14:paraId="611F5E19" w14:textId="77777777" w:rsidR="00D41B5F" w:rsidRPr="002E0659" w:rsidRDefault="00D41B5F" w:rsidP="005A428D">
            <w:pPr>
              <w:pStyle w:val="table-text-0"/>
              <w:spacing w:before="0" w:line="360" w:lineRule="auto"/>
              <w:rPr>
                <w:sz w:val="22"/>
                <w:szCs w:val="22"/>
                <w:lang w:val="ru-RU"/>
              </w:rPr>
            </w:pPr>
            <w:r w:rsidRPr="002E0659">
              <w:rPr>
                <w:sz w:val="22"/>
                <w:szCs w:val="22"/>
                <w:lang w:val="ru-RU"/>
              </w:rPr>
              <w:t>Аномальные маточные кровотечения</w:t>
            </w:r>
          </w:p>
          <w:p w14:paraId="0B69C6CB" w14:textId="77777777" w:rsidR="00D41B5F" w:rsidRPr="002E0659" w:rsidRDefault="00D41B5F" w:rsidP="005A428D">
            <w:pPr>
              <w:pStyle w:val="table-text-0"/>
              <w:spacing w:before="0" w:line="360" w:lineRule="auto"/>
              <w:rPr>
                <w:sz w:val="22"/>
                <w:szCs w:val="22"/>
                <w:lang w:val="ru-RU"/>
              </w:rPr>
            </w:pPr>
            <w:r w:rsidRPr="002E0659">
              <w:rPr>
                <w:sz w:val="22"/>
                <w:szCs w:val="22"/>
                <w:lang w:val="ru-RU"/>
              </w:rPr>
              <w:t>Стул с кровью</w:t>
            </w:r>
          </w:p>
          <w:p w14:paraId="73FC07D3" w14:textId="77777777" w:rsidR="00D41B5F" w:rsidRPr="002E0659" w:rsidRDefault="00D41B5F" w:rsidP="005A428D">
            <w:pPr>
              <w:pStyle w:val="table-text-0"/>
              <w:spacing w:before="0" w:line="360" w:lineRule="auto"/>
              <w:rPr>
                <w:sz w:val="22"/>
                <w:szCs w:val="22"/>
                <w:lang w:val="ru-RU"/>
              </w:rPr>
            </w:pPr>
            <w:r w:rsidRPr="002E0659">
              <w:rPr>
                <w:sz w:val="22"/>
                <w:szCs w:val="22"/>
                <w:lang w:val="ru-RU"/>
              </w:rPr>
              <w:t xml:space="preserve">Носовое кровотечение </w:t>
            </w:r>
          </w:p>
          <w:p w14:paraId="26C51EB1" w14:textId="77777777" w:rsidR="00D41B5F" w:rsidRPr="002E0659" w:rsidRDefault="00D41B5F" w:rsidP="005A428D">
            <w:pPr>
              <w:pStyle w:val="table-text-0"/>
              <w:spacing w:before="0" w:line="360" w:lineRule="auto"/>
              <w:rPr>
                <w:sz w:val="22"/>
                <w:szCs w:val="22"/>
                <w:lang w:val="ru-RU"/>
              </w:rPr>
            </w:pPr>
            <w:r w:rsidRPr="00A83EB7">
              <w:rPr>
                <w:sz w:val="22"/>
                <w:szCs w:val="22"/>
                <w:lang w:val="ru-RU"/>
              </w:rPr>
              <w:t>Ротоглоточное кровотечение</w:t>
            </w:r>
          </w:p>
          <w:p w14:paraId="73373BA6" w14:textId="77777777" w:rsidR="00D41B5F" w:rsidRPr="00360841" w:rsidRDefault="00D41B5F" w:rsidP="005A428D">
            <w:pPr>
              <w:pStyle w:val="table-text-0"/>
              <w:spacing w:before="0" w:line="360" w:lineRule="auto"/>
              <w:rPr>
                <w:sz w:val="24"/>
                <w:szCs w:val="24"/>
                <w:lang w:val="ru-RU"/>
              </w:rPr>
            </w:pPr>
            <w:r w:rsidRPr="002E0659">
              <w:rPr>
                <w:sz w:val="22"/>
                <w:szCs w:val="22"/>
                <w:lang w:val="ru-RU"/>
              </w:rPr>
              <w:t>Кровотечения после инвазивных вмешательств, мышечно-суставные кровоизлияния или кровоизлияния в мягкие ткани</w:t>
            </w:r>
          </w:p>
        </w:tc>
      </w:tr>
      <w:tr w:rsidR="00D41B5F" w:rsidRPr="004C7AAC" w14:paraId="77039DA7" w14:textId="77777777" w:rsidTr="005A428D">
        <w:tc>
          <w:tcPr>
            <w:tcW w:w="9121" w:type="dxa"/>
            <w:shd w:val="clear" w:color="auto" w:fill="auto"/>
          </w:tcPr>
          <w:p w14:paraId="555D4A98" w14:textId="77777777" w:rsidR="00D41B5F" w:rsidRPr="004C7AAC" w:rsidRDefault="00D41B5F" w:rsidP="005A428D">
            <w:pPr>
              <w:pStyle w:val="table-text-1"/>
              <w:spacing w:line="360" w:lineRule="auto"/>
              <w:rPr>
                <w:b/>
                <w:i/>
                <w:sz w:val="24"/>
                <w:szCs w:val="24"/>
              </w:rPr>
            </w:pPr>
            <w:r w:rsidRPr="002E0659">
              <w:rPr>
                <w:sz w:val="22"/>
                <w:szCs w:val="22"/>
              </w:rPr>
              <w:t>4 степень (требуют трансфузии)</w:t>
            </w:r>
          </w:p>
        </w:tc>
      </w:tr>
      <w:tr w:rsidR="00D41B5F" w:rsidRPr="004C7AAC" w14:paraId="249E68D4" w14:textId="77777777" w:rsidTr="005A428D">
        <w:tc>
          <w:tcPr>
            <w:tcW w:w="9121" w:type="dxa"/>
            <w:shd w:val="clear" w:color="auto" w:fill="auto"/>
          </w:tcPr>
          <w:p w14:paraId="60C41A35" w14:textId="77777777" w:rsidR="00D41B5F" w:rsidRPr="002E0659" w:rsidRDefault="00D41B5F" w:rsidP="005A428D">
            <w:pPr>
              <w:pStyle w:val="table-text-0"/>
              <w:spacing w:before="0" w:line="360" w:lineRule="auto"/>
              <w:rPr>
                <w:sz w:val="22"/>
                <w:szCs w:val="22"/>
                <w:lang w:val="ru-RU"/>
              </w:rPr>
            </w:pPr>
            <w:r w:rsidRPr="002E0659">
              <w:rPr>
                <w:sz w:val="22"/>
                <w:szCs w:val="22"/>
                <w:lang w:val="ru-RU"/>
              </w:rPr>
              <w:t>Кровоизлияния в сетчатку с нарушением зрения</w:t>
            </w:r>
          </w:p>
          <w:p w14:paraId="5E2E5DE9" w14:textId="77777777" w:rsidR="00D41B5F" w:rsidRPr="002E0659" w:rsidRDefault="00D41B5F" w:rsidP="005A428D">
            <w:pPr>
              <w:pStyle w:val="table-text-0"/>
              <w:spacing w:before="0" w:line="360" w:lineRule="auto"/>
              <w:rPr>
                <w:sz w:val="22"/>
                <w:szCs w:val="22"/>
                <w:lang w:val="ru-RU"/>
              </w:rPr>
            </w:pPr>
            <w:r w:rsidRPr="002E0659">
              <w:rPr>
                <w:sz w:val="22"/>
                <w:szCs w:val="22"/>
                <w:lang w:val="ru-RU"/>
              </w:rPr>
              <w:t xml:space="preserve">Нефатальные кровоизлияния в </w:t>
            </w:r>
            <w:r>
              <w:rPr>
                <w:sz w:val="22"/>
                <w:szCs w:val="22"/>
                <w:lang w:val="ru-RU"/>
              </w:rPr>
              <w:t>ЦНС</w:t>
            </w:r>
            <w:r w:rsidRPr="002E0659">
              <w:rPr>
                <w:sz w:val="22"/>
                <w:szCs w:val="22"/>
                <w:lang w:val="ru-RU"/>
              </w:rPr>
              <w:t xml:space="preserve"> с невро</w:t>
            </w:r>
            <w:r>
              <w:rPr>
                <w:sz w:val="22"/>
                <w:szCs w:val="22"/>
                <w:lang w:val="ru-RU"/>
              </w:rPr>
              <w:t>логической симптоматикой</w:t>
            </w:r>
          </w:p>
          <w:p w14:paraId="33D59ABF" w14:textId="77777777" w:rsidR="00D41B5F" w:rsidRPr="00360841" w:rsidRDefault="00D41B5F" w:rsidP="005A428D">
            <w:pPr>
              <w:pStyle w:val="table-text-0"/>
              <w:spacing w:before="0" w:line="360" w:lineRule="auto"/>
              <w:rPr>
                <w:sz w:val="24"/>
                <w:szCs w:val="24"/>
                <w:lang w:val="ru-RU"/>
              </w:rPr>
            </w:pPr>
            <w:r w:rsidRPr="002E0659">
              <w:rPr>
                <w:sz w:val="22"/>
                <w:szCs w:val="22"/>
                <w:lang w:val="ru-RU"/>
              </w:rPr>
              <w:t>Фатальные кровотечения вне зависимости от источника</w:t>
            </w:r>
          </w:p>
        </w:tc>
      </w:tr>
    </w:tbl>
    <w:p w14:paraId="6C2865E1" w14:textId="77777777" w:rsidR="00D41B5F" w:rsidRDefault="00D41B5F" w:rsidP="00D41B5F">
      <w:pPr>
        <w:pStyle w:val="3"/>
        <w:spacing w:before="0" w:after="0"/>
        <w:ind w:firstLine="708"/>
        <w:rPr>
          <w:rFonts w:ascii="Times New Roman" w:hAnsi="Times New Roman" w:cs="Times New Roman"/>
          <w:b w:val="0"/>
          <w:sz w:val="24"/>
          <w:szCs w:val="24"/>
          <w:u w:val="single"/>
        </w:rPr>
      </w:pPr>
    </w:p>
    <w:p w14:paraId="64D952E9" w14:textId="77777777" w:rsidR="00D41B5F" w:rsidRPr="00287E25" w:rsidRDefault="00D41B5F" w:rsidP="00D41B5F">
      <w:pPr>
        <w:ind w:firstLine="708"/>
        <w:rPr>
          <w:b/>
          <w:u w:val="single"/>
        </w:rPr>
      </w:pPr>
      <w:r w:rsidRPr="00287E25">
        <w:rPr>
          <w:u w:val="single"/>
        </w:rPr>
        <w:t>Расчет дозы концентрата тромбоцитов для трансфузий</w:t>
      </w:r>
    </w:p>
    <w:p w14:paraId="004E9D53" w14:textId="77777777" w:rsidR="00D41B5F" w:rsidRPr="001A1BC0" w:rsidRDefault="00D41B5F" w:rsidP="00D41B5F">
      <w:pPr>
        <w:ind w:firstLine="708"/>
        <w:rPr>
          <w:szCs w:val="24"/>
        </w:rPr>
      </w:pPr>
      <w:r w:rsidRPr="001A5953">
        <w:rPr>
          <w:rFonts w:eastAsia="Times New Roman"/>
          <w:szCs w:val="24"/>
        </w:rPr>
        <w:t>Количество концентрата тромбоцитов для трансфузии необходимо использовать из расчета 50-70х</w:t>
      </w:r>
      <w:r w:rsidRPr="001A5953">
        <w:rPr>
          <w:szCs w:val="24"/>
        </w:rPr>
        <w:t>10</w:t>
      </w:r>
      <w:r>
        <w:rPr>
          <w:szCs w:val="24"/>
          <w:vertAlign w:val="superscript"/>
        </w:rPr>
        <w:t>9</w:t>
      </w:r>
      <w:r w:rsidRPr="001A5953">
        <w:rPr>
          <w:szCs w:val="24"/>
        </w:rPr>
        <w:t xml:space="preserve"> тромбоцитов на 10</w:t>
      </w:r>
      <w:r>
        <w:rPr>
          <w:szCs w:val="24"/>
        </w:rPr>
        <w:t xml:space="preserve"> </w:t>
      </w:r>
      <w:r w:rsidRPr="001A5953">
        <w:rPr>
          <w:szCs w:val="24"/>
        </w:rPr>
        <w:t>кг массы тела реципиента или 200-2</w:t>
      </w:r>
      <w:r w:rsidRPr="001A5953">
        <w:rPr>
          <w:rFonts w:eastAsia="Times New Roman"/>
          <w:szCs w:val="24"/>
        </w:rPr>
        <w:t>50х</w:t>
      </w:r>
      <w:r w:rsidRPr="001A5953">
        <w:rPr>
          <w:szCs w:val="24"/>
        </w:rPr>
        <w:t>10</w:t>
      </w:r>
      <w:r>
        <w:rPr>
          <w:szCs w:val="24"/>
          <w:vertAlign w:val="superscript"/>
        </w:rPr>
        <w:t>9</w:t>
      </w:r>
      <w:r w:rsidRPr="001A5953">
        <w:rPr>
          <w:szCs w:val="24"/>
        </w:rPr>
        <w:t xml:space="preserve"> тромбоцитов на 1м</w:t>
      </w:r>
      <w:r w:rsidRPr="00A17D81">
        <w:rPr>
          <w:szCs w:val="24"/>
          <w:vertAlign w:val="superscript"/>
        </w:rPr>
        <w:t>2</w:t>
      </w:r>
      <w:r w:rsidRPr="001A5953">
        <w:rPr>
          <w:szCs w:val="24"/>
        </w:rPr>
        <w:t xml:space="preserve"> поверхности тела реципиента.</w:t>
      </w:r>
    </w:p>
    <w:p w14:paraId="62F6231C" w14:textId="77777777" w:rsidR="00D41B5F" w:rsidRDefault="00D41B5F" w:rsidP="00D41B5F">
      <w:pPr>
        <w:ind w:firstLine="708"/>
        <w:rPr>
          <w:szCs w:val="24"/>
        </w:rPr>
      </w:pPr>
      <w:r>
        <w:rPr>
          <w:szCs w:val="24"/>
        </w:rPr>
        <w:t>О</w:t>
      </w:r>
      <w:r w:rsidRPr="001A1BC0">
        <w:rPr>
          <w:szCs w:val="24"/>
        </w:rPr>
        <w:t xml:space="preserve">птимальная доза для лечебных трансфузий — спорный вопрос; на основании общего консенсуса, терапевтические трансфузии должны увеличить количество тромбоцитов до уровня, обеспечивающего адекватный гемостаз. </w:t>
      </w:r>
    </w:p>
    <w:p w14:paraId="17ADDE97" w14:textId="77777777" w:rsidR="00D41B5F" w:rsidRDefault="00D41B5F" w:rsidP="00D41B5F">
      <w:pPr>
        <w:ind w:firstLine="708"/>
        <w:rPr>
          <w:u w:val="single"/>
        </w:rPr>
      </w:pPr>
    </w:p>
    <w:p w14:paraId="0440FA8F" w14:textId="77777777" w:rsidR="00D41B5F" w:rsidRPr="00287E25" w:rsidRDefault="00D41B5F" w:rsidP="00D41B5F">
      <w:pPr>
        <w:ind w:firstLine="708"/>
        <w:rPr>
          <w:b/>
          <w:u w:val="single"/>
        </w:rPr>
      </w:pPr>
      <w:r w:rsidRPr="00287E25">
        <w:rPr>
          <w:u w:val="single"/>
        </w:rPr>
        <w:t>Критерии эффективности трансфузий концентрата тромбоцитов</w:t>
      </w:r>
    </w:p>
    <w:p w14:paraId="4BD9002A" w14:textId="77777777" w:rsidR="00D41B5F" w:rsidRPr="00A17D81" w:rsidRDefault="00D41B5F" w:rsidP="00D41B5F">
      <w:pPr>
        <w:ind w:firstLine="708"/>
        <w:contextualSpacing/>
        <w:rPr>
          <w:szCs w:val="24"/>
          <w:lang w:eastAsia="ru-RU"/>
        </w:rPr>
      </w:pPr>
      <w:r w:rsidRPr="003B6BB6">
        <w:rPr>
          <w:i/>
          <w:szCs w:val="24"/>
          <w:lang w:eastAsia="ru-RU"/>
        </w:rPr>
        <w:t xml:space="preserve">Клиническими критериями </w:t>
      </w:r>
      <w:r w:rsidRPr="00A17D81">
        <w:rPr>
          <w:szCs w:val="24"/>
          <w:lang w:eastAsia="ru-RU"/>
        </w:rPr>
        <w:t xml:space="preserve">эффективности трансфузии </w:t>
      </w:r>
      <w:r>
        <w:rPr>
          <w:szCs w:val="24"/>
          <w:lang w:eastAsia="ru-RU"/>
        </w:rPr>
        <w:t xml:space="preserve">концентрата </w:t>
      </w:r>
      <w:r w:rsidRPr="00A17D81">
        <w:rPr>
          <w:szCs w:val="24"/>
          <w:lang w:eastAsia="ru-RU"/>
        </w:rPr>
        <w:t>тромбоцитов являются прекращение или уменьшение выраженности спонтанной кровоточивости, отсутствие свежих геморрагий на коже и видимых слизистых.</w:t>
      </w:r>
    </w:p>
    <w:p w14:paraId="5EE81848" w14:textId="77777777" w:rsidR="00D41B5F" w:rsidRPr="00A17D81" w:rsidRDefault="00D41B5F" w:rsidP="00D41B5F">
      <w:pPr>
        <w:ind w:firstLine="708"/>
        <w:contextualSpacing/>
        <w:rPr>
          <w:szCs w:val="24"/>
          <w:lang w:eastAsia="ru-RU"/>
        </w:rPr>
      </w:pPr>
      <w:r w:rsidRPr="003B6BB6">
        <w:rPr>
          <w:i/>
          <w:szCs w:val="24"/>
          <w:lang w:eastAsia="ru-RU"/>
        </w:rPr>
        <w:t xml:space="preserve">Лабораторными </w:t>
      </w:r>
      <w:r>
        <w:rPr>
          <w:i/>
          <w:szCs w:val="24"/>
          <w:lang w:eastAsia="ru-RU"/>
        </w:rPr>
        <w:t>критериями</w:t>
      </w:r>
      <w:r w:rsidRPr="00A17D81">
        <w:rPr>
          <w:szCs w:val="24"/>
          <w:lang w:eastAsia="ru-RU"/>
        </w:rPr>
        <w:t xml:space="preserve"> эффективности переливания тромбоцитов являются увеличение количества циркулирующих тромбоцитов — абсолютный прирост тромбоцитов (АПТ) или скорректированный прирост тромбоцитов (СПТ) через 1 час и 18—24 ч после окончания трансфузии, а также показатели максимальной амплитуды на тромбоэластограмме.</w:t>
      </w:r>
    </w:p>
    <w:p w14:paraId="08F877DF" w14:textId="77777777" w:rsidR="00D41B5F" w:rsidRPr="00A17D81" w:rsidRDefault="00D41B5F" w:rsidP="00D41B5F">
      <w:pPr>
        <w:ind w:firstLine="708"/>
        <w:contextualSpacing/>
        <w:rPr>
          <w:bCs/>
          <w:szCs w:val="24"/>
        </w:rPr>
      </w:pPr>
      <w:r w:rsidRPr="00A17D81">
        <w:rPr>
          <w:color w:val="000000"/>
          <w:szCs w:val="24"/>
        </w:rPr>
        <w:t xml:space="preserve">Трансфузию считают эффективной, если абсолютный прирост тромбоцитов через 1 час составил </w:t>
      </w:r>
      <w:r w:rsidRPr="00A17D81">
        <w:rPr>
          <w:szCs w:val="24"/>
        </w:rPr>
        <w:t>10</w:t>
      </w:r>
      <w:r>
        <w:rPr>
          <w:szCs w:val="24"/>
        </w:rPr>
        <w:t>х</w:t>
      </w:r>
      <w:r w:rsidRPr="00A17D81">
        <w:rPr>
          <w:szCs w:val="24"/>
        </w:rPr>
        <w:t>10</w:t>
      </w:r>
      <w:r w:rsidRPr="00A17D81">
        <w:rPr>
          <w:szCs w:val="24"/>
          <w:vertAlign w:val="superscript"/>
        </w:rPr>
        <w:t>9</w:t>
      </w:r>
      <w:r w:rsidRPr="00A17D81">
        <w:rPr>
          <w:szCs w:val="24"/>
        </w:rPr>
        <w:t>/л от исходного уровня.</w:t>
      </w:r>
      <w:r>
        <w:rPr>
          <w:szCs w:val="24"/>
        </w:rPr>
        <w:t xml:space="preserve"> </w:t>
      </w:r>
      <w:r w:rsidRPr="00A17D81">
        <w:rPr>
          <w:bCs/>
          <w:szCs w:val="24"/>
        </w:rPr>
        <w:t>Для стандартизации оценки эффективности трансфузий скорректированный прирост тромбоцитов рассчитывается по формуле и выража</w:t>
      </w:r>
      <w:r>
        <w:rPr>
          <w:bCs/>
          <w:szCs w:val="24"/>
        </w:rPr>
        <w:t>ется в расчетных единицах (РЕ)</w:t>
      </w:r>
      <w:r w:rsidRPr="00A17D81">
        <w:rPr>
          <w:bCs/>
          <w:szCs w:val="24"/>
        </w:rPr>
        <w:t>:</w:t>
      </w:r>
    </w:p>
    <w:p w14:paraId="3F1B6733" w14:textId="77777777" w:rsidR="00D41B5F" w:rsidRPr="00A17D81" w:rsidRDefault="00D41B5F" w:rsidP="00D41B5F">
      <w:pPr>
        <w:pStyle w:val="formula"/>
        <w:spacing w:before="0" w:after="0" w:line="360" w:lineRule="auto"/>
        <w:rPr>
          <w:sz w:val="24"/>
          <w:szCs w:val="24"/>
        </w:rPr>
      </w:pPr>
      <w:r w:rsidRPr="00A17D81">
        <w:rPr>
          <w:sz w:val="24"/>
          <w:szCs w:val="24"/>
        </w:rPr>
        <w:t>СПТ = (АПТ </w:t>
      </w:r>
      <w:r>
        <w:rPr>
          <w:sz w:val="24"/>
          <w:szCs w:val="24"/>
        </w:rPr>
        <w:t xml:space="preserve">х </w:t>
      </w:r>
      <w:r w:rsidRPr="00A17D81">
        <w:rPr>
          <w:sz w:val="24"/>
          <w:szCs w:val="24"/>
        </w:rPr>
        <w:t>площадь поверхности тела, м</w:t>
      </w:r>
      <w:r w:rsidRPr="00A17D81">
        <w:rPr>
          <w:sz w:val="24"/>
          <w:szCs w:val="24"/>
          <w:vertAlign w:val="superscript"/>
        </w:rPr>
        <w:t>2</w:t>
      </w:r>
      <w:r w:rsidRPr="00A17D81">
        <w:rPr>
          <w:sz w:val="24"/>
          <w:szCs w:val="24"/>
        </w:rPr>
        <w:t xml:space="preserve">) / количество перелитых тромбоцитов </w:t>
      </w:r>
      <w:r>
        <w:rPr>
          <w:sz w:val="24"/>
          <w:szCs w:val="24"/>
        </w:rPr>
        <w:t>х</w:t>
      </w:r>
      <w:r w:rsidRPr="00A17D81">
        <w:rPr>
          <w:sz w:val="24"/>
          <w:szCs w:val="24"/>
        </w:rPr>
        <w:t> 10</w:t>
      </w:r>
      <w:r w:rsidRPr="00A17D81">
        <w:rPr>
          <w:sz w:val="24"/>
          <w:szCs w:val="24"/>
          <w:vertAlign w:val="superscript"/>
        </w:rPr>
        <w:t>11</w:t>
      </w:r>
    </w:p>
    <w:p w14:paraId="1952EA6B" w14:textId="77777777" w:rsidR="00D41B5F" w:rsidRPr="00D77CA7" w:rsidRDefault="00D41B5F" w:rsidP="00D41B5F">
      <w:pPr>
        <w:ind w:firstLine="227"/>
        <w:contextualSpacing/>
        <w:rPr>
          <w:szCs w:val="24"/>
        </w:rPr>
      </w:pPr>
      <w:r w:rsidRPr="00A17D81">
        <w:rPr>
          <w:szCs w:val="24"/>
        </w:rPr>
        <w:t>Трансфузию считают эффективной, если СПТ через 1 час составил &gt; 7,5 РЕ, а СПТ через 24 ч &gt; 4,5 РЕ.</w:t>
      </w:r>
      <w:r>
        <w:rPr>
          <w:szCs w:val="24"/>
        </w:rPr>
        <w:t xml:space="preserve"> </w:t>
      </w:r>
      <w:r w:rsidRPr="00A17D81">
        <w:rPr>
          <w:szCs w:val="24"/>
          <w:lang w:eastAsia="ru-RU"/>
        </w:rPr>
        <w:t>В случае неэффективности трансфузий необходимо определить возможные причины. При возникновении рефрактерности к трансфузиям или наличия в анамнезе посттрансфузионных реакций и осложнений показан индивидуал</w:t>
      </w:r>
      <w:r>
        <w:rPr>
          <w:szCs w:val="24"/>
          <w:lang w:eastAsia="ru-RU"/>
        </w:rPr>
        <w:t xml:space="preserve">ьный подбор тромбоцитов донора, применение плазмафереза (см. Приложение </w:t>
      </w:r>
      <w:r w:rsidRPr="00D77CA7">
        <w:rPr>
          <w:szCs w:val="24"/>
        </w:rPr>
        <w:t>«Лечебный цитаферез и плазмаферез при гематологических заболеваниях»</w:t>
      </w:r>
      <w:r w:rsidRPr="00D77CA7">
        <w:rPr>
          <w:szCs w:val="24"/>
          <w:lang w:eastAsia="ru-RU"/>
        </w:rPr>
        <w:t>).</w:t>
      </w:r>
    </w:p>
    <w:p w14:paraId="1CF7CB03" w14:textId="77777777" w:rsidR="00D41B5F" w:rsidRDefault="00D41B5F" w:rsidP="00D41B5F">
      <w:pPr>
        <w:rPr>
          <w:i/>
          <w:iCs/>
          <w:u w:val="single"/>
        </w:rPr>
      </w:pPr>
    </w:p>
    <w:p w14:paraId="6933F825" w14:textId="77777777" w:rsidR="00D41B5F" w:rsidRPr="00287E25" w:rsidRDefault="00D41B5F" w:rsidP="00D41B5F">
      <w:pPr>
        <w:rPr>
          <w:b/>
          <w:i/>
          <w:iCs/>
          <w:u w:val="single"/>
        </w:rPr>
      </w:pPr>
      <w:r w:rsidRPr="00287E25">
        <w:rPr>
          <w:i/>
          <w:iCs/>
          <w:u w:val="single"/>
        </w:rPr>
        <w:t>Трансфузии СЗП</w:t>
      </w:r>
    </w:p>
    <w:p w14:paraId="09C39D47" w14:textId="77777777" w:rsidR="00D41B5F" w:rsidRPr="00287E25" w:rsidRDefault="00D41B5F" w:rsidP="00D41B5F">
      <w:pPr>
        <w:ind w:firstLine="349"/>
        <w:rPr>
          <w:b/>
          <w:u w:val="single"/>
        </w:rPr>
      </w:pPr>
      <w:r w:rsidRPr="00287E25">
        <w:rPr>
          <w:u w:val="single"/>
        </w:rPr>
        <w:t>Показания к переливанию СЗП:</w:t>
      </w:r>
    </w:p>
    <w:p w14:paraId="30756D9B" w14:textId="77777777" w:rsidR="00D41B5F" w:rsidRPr="003B52EE" w:rsidRDefault="00D41B5F" w:rsidP="0091350E">
      <w:pPr>
        <w:pStyle w:val="FitzBullet"/>
        <w:numPr>
          <w:ilvl w:val="0"/>
          <w:numId w:val="143"/>
        </w:numPr>
        <w:tabs>
          <w:tab w:val="clear" w:pos="317"/>
          <w:tab w:val="left" w:pos="144"/>
        </w:tabs>
        <w:spacing w:before="0" w:after="0" w:line="360" w:lineRule="auto"/>
        <w:ind w:left="709"/>
      </w:pPr>
      <w:r w:rsidRPr="003B52EE">
        <w:t xml:space="preserve">Экстренная реверсия действия непрямых антикоагулянтов (варфарин); переливают </w:t>
      </w:r>
      <w:r>
        <w:t xml:space="preserve">СЗП из расчета </w:t>
      </w:r>
      <w:r w:rsidRPr="003B52EE">
        <w:t>5—8 мл/кг.</w:t>
      </w:r>
    </w:p>
    <w:p w14:paraId="23FAB1B8" w14:textId="77777777" w:rsidR="00D41B5F" w:rsidRPr="003B52EE" w:rsidRDefault="00D41B5F" w:rsidP="0091350E">
      <w:pPr>
        <w:pStyle w:val="FitzBullet"/>
        <w:numPr>
          <w:ilvl w:val="0"/>
          <w:numId w:val="143"/>
        </w:numPr>
        <w:tabs>
          <w:tab w:val="clear" w:pos="317"/>
          <w:tab w:val="left" w:pos="144"/>
        </w:tabs>
        <w:spacing w:before="0" w:after="0" w:line="360" w:lineRule="auto"/>
        <w:ind w:left="709"/>
      </w:pPr>
      <w:r w:rsidRPr="003B52EE">
        <w:t>Коррекция дефицита известного фактора свертывания, для которого нет в наличии специфического концентрата. Для достижения 30% концентрации факторов в плазме необходимо переливать СЗП в количестве 10—15 мл/кг.</w:t>
      </w:r>
    </w:p>
    <w:p w14:paraId="6380B496" w14:textId="77777777" w:rsidR="00D41B5F" w:rsidRPr="003B52EE" w:rsidRDefault="00D41B5F" w:rsidP="0091350E">
      <w:pPr>
        <w:pStyle w:val="FitzBullet"/>
        <w:numPr>
          <w:ilvl w:val="0"/>
          <w:numId w:val="143"/>
        </w:numPr>
        <w:tabs>
          <w:tab w:val="clear" w:pos="317"/>
          <w:tab w:val="left" w:pos="144"/>
        </w:tabs>
        <w:spacing w:before="0" w:after="0" w:line="360" w:lineRule="auto"/>
        <w:ind w:left="709"/>
      </w:pPr>
      <w:r w:rsidRPr="003B52EE">
        <w:t>Коррекция геморрагического синдрома при увеличении (&gt; 1,5 раз по сравнению с нормой) ПВ или АЧТВ.</w:t>
      </w:r>
    </w:p>
    <w:p w14:paraId="5B9CC90A" w14:textId="77777777" w:rsidR="00D41B5F" w:rsidRPr="003B52EE" w:rsidRDefault="00D41B5F" w:rsidP="0091350E">
      <w:pPr>
        <w:pStyle w:val="FitzBullet"/>
        <w:numPr>
          <w:ilvl w:val="0"/>
          <w:numId w:val="143"/>
        </w:numPr>
        <w:tabs>
          <w:tab w:val="clear" w:pos="317"/>
          <w:tab w:val="left" w:pos="144"/>
        </w:tabs>
        <w:spacing w:before="0" w:after="0" w:line="360" w:lineRule="auto"/>
        <w:ind w:left="709"/>
      </w:pPr>
      <w:r>
        <w:t>В</w:t>
      </w:r>
      <w:r w:rsidRPr="003B52EE">
        <w:t>озмещени</w:t>
      </w:r>
      <w:r>
        <w:t>е</w:t>
      </w:r>
      <w:r w:rsidRPr="003B52EE">
        <w:t xml:space="preserve"> объема при проведении плазмафереза.</w:t>
      </w:r>
    </w:p>
    <w:p w14:paraId="28D969B6" w14:textId="77777777" w:rsidR="00D41B5F" w:rsidRPr="003B52EE" w:rsidRDefault="00D41B5F" w:rsidP="0091350E">
      <w:pPr>
        <w:pStyle w:val="FitzBullet"/>
        <w:numPr>
          <w:ilvl w:val="0"/>
          <w:numId w:val="143"/>
        </w:numPr>
        <w:tabs>
          <w:tab w:val="clear" w:pos="317"/>
          <w:tab w:val="left" w:pos="144"/>
        </w:tabs>
        <w:spacing w:before="0" w:after="0" w:line="360" w:lineRule="auto"/>
        <w:ind w:left="709"/>
      </w:pPr>
      <w:r>
        <w:t>Д</w:t>
      </w:r>
      <w:r w:rsidRPr="003B52EE">
        <w:t>ефицит антитромбина III в ходе терапии аспарагиназой. СЗП вводят в дозе 3—3,5 мл/кг/сут.</w:t>
      </w:r>
    </w:p>
    <w:p w14:paraId="37B9463B" w14:textId="77777777" w:rsidR="00D41B5F" w:rsidRPr="003B52EE" w:rsidRDefault="00D41B5F" w:rsidP="0091350E">
      <w:pPr>
        <w:pStyle w:val="FitzBullet"/>
        <w:numPr>
          <w:ilvl w:val="0"/>
          <w:numId w:val="143"/>
        </w:numPr>
        <w:tabs>
          <w:tab w:val="clear" w:pos="317"/>
          <w:tab w:val="left" w:pos="144"/>
        </w:tabs>
        <w:spacing w:before="0" w:after="0" w:line="360" w:lineRule="auto"/>
        <w:ind w:left="709"/>
      </w:pPr>
      <w:r>
        <w:t>И</w:t>
      </w:r>
      <w:r w:rsidRPr="003B52EE">
        <w:t>нгибиторн</w:t>
      </w:r>
      <w:r>
        <w:t>ая</w:t>
      </w:r>
      <w:r w:rsidRPr="003B52EE">
        <w:t xml:space="preserve"> форм</w:t>
      </w:r>
      <w:r>
        <w:t>а</w:t>
      </w:r>
      <w:r w:rsidRPr="003B52EE">
        <w:t xml:space="preserve"> гемофилии </w:t>
      </w:r>
      <w:r w:rsidRPr="003B52EE">
        <w:rPr>
          <w:lang w:val="en-US"/>
        </w:rPr>
        <w:t>A</w:t>
      </w:r>
      <w:r w:rsidRPr="003B52EE">
        <w:t xml:space="preserve"> и массивны</w:t>
      </w:r>
      <w:r>
        <w:t>е</w:t>
      </w:r>
      <w:r w:rsidRPr="003B52EE">
        <w:t xml:space="preserve"> кровопотер</w:t>
      </w:r>
      <w:r>
        <w:t>и. П</w:t>
      </w:r>
      <w:r w:rsidRPr="003B52EE">
        <w:t>оказано переливание криосупернатантной плазмы (плазма со сниженной концентрацией фактора VIII).</w:t>
      </w:r>
    </w:p>
    <w:p w14:paraId="59C81A7A" w14:textId="77777777" w:rsidR="00D41B5F" w:rsidRPr="00287E25" w:rsidRDefault="00D41B5F" w:rsidP="00D41B5F">
      <w:pPr>
        <w:ind w:firstLine="349"/>
        <w:rPr>
          <w:b/>
          <w:u w:val="single"/>
        </w:rPr>
      </w:pPr>
      <w:r w:rsidRPr="00287E25">
        <w:rPr>
          <w:u w:val="single"/>
        </w:rPr>
        <w:t>Показания к переливанию криопреципитата</w:t>
      </w:r>
    </w:p>
    <w:p w14:paraId="6CAC9A60" w14:textId="77777777" w:rsidR="00D41B5F" w:rsidRPr="003B52EE" w:rsidRDefault="00D41B5F" w:rsidP="0091350E">
      <w:pPr>
        <w:pStyle w:val="FitzBullet"/>
        <w:numPr>
          <w:ilvl w:val="0"/>
          <w:numId w:val="144"/>
        </w:numPr>
        <w:tabs>
          <w:tab w:val="clear" w:pos="317"/>
          <w:tab w:val="left" w:pos="144"/>
        </w:tabs>
        <w:spacing w:before="0" w:after="0" w:line="360" w:lineRule="auto"/>
        <w:ind w:left="709"/>
      </w:pPr>
      <w:r w:rsidRPr="003B52EE">
        <w:t xml:space="preserve">Операции или роды у </w:t>
      </w:r>
      <w:r>
        <w:t>пациентов с</w:t>
      </w:r>
      <w:r w:rsidRPr="003B52EE">
        <w:t xml:space="preserve"> болезнью Виллебранда (при отсутствии эффекта десмопрессина).</w:t>
      </w:r>
    </w:p>
    <w:p w14:paraId="34AB4FD5" w14:textId="77777777" w:rsidR="00D41B5F" w:rsidRPr="003B52EE" w:rsidRDefault="00D41B5F" w:rsidP="0091350E">
      <w:pPr>
        <w:pStyle w:val="FitzBullet"/>
        <w:numPr>
          <w:ilvl w:val="0"/>
          <w:numId w:val="144"/>
        </w:numPr>
        <w:tabs>
          <w:tab w:val="clear" w:pos="317"/>
          <w:tab w:val="left" w:pos="144"/>
        </w:tabs>
        <w:spacing w:before="0" w:after="0" w:line="360" w:lineRule="auto"/>
        <w:ind w:left="709"/>
      </w:pPr>
      <w:r w:rsidRPr="003B52EE">
        <w:t>Гипофибриногенемия (&lt; 1 г/л).</w:t>
      </w:r>
    </w:p>
    <w:p w14:paraId="2B227B11" w14:textId="77777777" w:rsidR="00D41B5F" w:rsidRPr="003B52EE" w:rsidRDefault="00D41B5F" w:rsidP="0091350E">
      <w:pPr>
        <w:pStyle w:val="FitzBullet"/>
        <w:numPr>
          <w:ilvl w:val="0"/>
          <w:numId w:val="144"/>
        </w:numPr>
        <w:tabs>
          <w:tab w:val="clear" w:pos="317"/>
          <w:tab w:val="left" w:pos="144"/>
        </w:tabs>
        <w:spacing w:before="0" w:after="0" w:line="360" w:lineRule="auto"/>
        <w:ind w:left="709"/>
      </w:pPr>
      <w:r w:rsidRPr="003B52EE">
        <w:t>Болезнь Виллебранда с геморрагическими осложнениями.</w:t>
      </w:r>
    </w:p>
    <w:p w14:paraId="64D80919" w14:textId="77777777" w:rsidR="00D41B5F" w:rsidRPr="003B52EE" w:rsidRDefault="00D41B5F" w:rsidP="0091350E">
      <w:pPr>
        <w:pStyle w:val="FitzBullet"/>
        <w:numPr>
          <w:ilvl w:val="0"/>
          <w:numId w:val="144"/>
        </w:numPr>
        <w:tabs>
          <w:tab w:val="clear" w:pos="317"/>
          <w:tab w:val="left" w:pos="144"/>
        </w:tabs>
        <w:spacing w:before="0" w:after="0" w:line="360" w:lineRule="auto"/>
        <w:ind w:left="709"/>
      </w:pPr>
      <w:r>
        <w:t>П</w:t>
      </w:r>
      <w:r w:rsidRPr="003B52EE">
        <w:t>ериоперационн</w:t>
      </w:r>
      <w:r>
        <w:t>ый</w:t>
      </w:r>
      <w:r w:rsidRPr="003B52EE">
        <w:t xml:space="preserve"> период или массивны</w:t>
      </w:r>
      <w:r>
        <w:t>е</w:t>
      </w:r>
      <w:r w:rsidRPr="003B52EE">
        <w:t xml:space="preserve"> </w:t>
      </w:r>
      <w:r>
        <w:t>кровотечения при</w:t>
      </w:r>
      <w:r w:rsidRPr="003B52EE">
        <w:t xml:space="preserve"> уровне фибриногена &lt; 1,5 г/л.</w:t>
      </w:r>
    </w:p>
    <w:p w14:paraId="4EE200B0" w14:textId="77777777" w:rsidR="00D41B5F" w:rsidRPr="003B52EE" w:rsidRDefault="00D41B5F" w:rsidP="00D41B5F">
      <w:pPr>
        <w:ind w:firstLine="708"/>
        <w:rPr>
          <w:szCs w:val="24"/>
        </w:rPr>
      </w:pPr>
      <w:r w:rsidRPr="003B52EE">
        <w:rPr>
          <w:szCs w:val="24"/>
        </w:rPr>
        <w:t xml:space="preserve">Расчетная доза </w:t>
      </w:r>
      <w:r w:rsidRPr="00C019E2">
        <w:rPr>
          <w:iCs/>
          <w:szCs w:val="24"/>
        </w:rPr>
        <w:t>криопреципитата</w:t>
      </w:r>
      <w:r w:rsidRPr="003B52EE">
        <w:rPr>
          <w:szCs w:val="24"/>
        </w:rPr>
        <w:t xml:space="preserve"> составляет 1 ед на 5 кг массы тела </w:t>
      </w:r>
      <w:r>
        <w:rPr>
          <w:szCs w:val="24"/>
        </w:rPr>
        <w:t>пациента</w:t>
      </w:r>
      <w:r w:rsidRPr="003B52EE">
        <w:rPr>
          <w:szCs w:val="24"/>
        </w:rPr>
        <w:t xml:space="preserve"> или 15</w:t>
      </w:r>
      <w:r>
        <w:rPr>
          <w:szCs w:val="24"/>
        </w:rPr>
        <w:t>—20 ед при массе тела 70 кг</w:t>
      </w:r>
      <w:r w:rsidRPr="003B52EE">
        <w:rPr>
          <w:szCs w:val="24"/>
        </w:rPr>
        <w:t>. В 1 единице содержится: фибриногена не менее 140 мг, FVIII — не менее 70 МЕ.</w:t>
      </w:r>
    </w:p>
    <w:p w14:paraId="4F413C66" w14:textId="77777777" w:rsidR="00D41B5F" w:rsidRDefault="00D41B5F" w:rsidP="00D41B5F">
      <w:pPr>
        <w:ind w:firstLine="708"/>
        <w:rPr>
          <w:u w:val="single"/>
        </w:rPr>
      </w:pPr>
    </w:p>
    <w:p w14:paraId="14B6F471" w14:textId="77777777" w:rsidR="00D41B5F" w:rsidRPr="00287E25" w:rsidRDefault="00D41B5F" w:rsidP="00D41B5F">
      <w:pPr>
        <w:ind w:firstLine="708"/>
        <w:rPr>
          <w:b/>
          <w:u w:val="single"/>
        </w:rPr>
      </w:pPr>
      <w:r w:rsidRPr="00287E25">
        <w:rPr>
          <w:u w:val="single"/>
        </w:rPr>
        <w:t xml:space="preserve">Качество компонентов крови, применяемых при сопроводительной терапии гематологических пациентов </w:t>
      </w:r>
    </w:p>
    <w:p w14:paraId="49CC4F4B" w14:textId="77777777" w:rsidR="00D41B5F" w:rsidRPr="003B52EE" w:rsidRDefault="00D41B5F" w:rsidP="00D41B5F">
      <w:pPr>
        <w:ind w:firstLine="709"/>
        <w:rPr>
          <w:szCs w:val="24"/>
        </w:rPr>
      </w:pPr>
      <w:r>
        <w:rPr>
          <w:szCs w:val="24"/>
        </w:rPr>
        <w:t xml:space="preserve">При </w:t>
      </w:r>
      <w:r w:rsidRPr="003B52EE">
        <w:rPr>
          <w:szCs w:val="24"/>
        </w:rPr>
        <w:t>гематологически</w:t>
      </w:r>
      <w:r>
        <w:rPr>
          <w:szCs w:val="24"/>
        </w:rPr>
        <w:t>х заболеваниях с известными показаниями</w:t>
      </w:r>
      <w:r w:rsidRPr="003B52EE">
        <w:rPr>
          <w:szCs w:val="24"/>
        </w:rPr>
        <w:t xml:space="preserve"> </w:t>
      </w:r>
      <w:r>
        <w:rPr>
          <w:szCs w:val="24"/>
        </w:rPr>
        <w:t>к неоднократным</w:t>
      </w:r>
      <w:r w:rsidRPr="003B52EE">
        <w:rPr>
          <w:szCs w:val="24"/>
        </w:rPr>
        <w:t xml:space="preserve"> трансфузия</w:t>
      </w:r>
      <w:r>
        <w:rPr>
          <w:szCs w:val="24"/>
        </w:rPr>
        <w:t>м</w:t>
      </w:r>
      <w:r w:rsidRPr="003B52EE">
        <w:rPr>
          <w:szCs w:val="24"/>
        </w:rPr>
        <w:t xml:space="preserve"> компонентов крови</w:t>
      </w:r>
      <w:r>
        <w:rPr>
          <w:szCs w:val="24"/>
        </w:rPr>
        <w:t xml:space="preserve"> (лейкозы, лимфомы, миелодиспластические синдромы, апластическая анемия и др), </w:t>
      </w:r>
      <w:r w:rsidRPr="003B52EE">
        <w:rPr>
          <w:szCs w:val="24"/>
        </w:rPr>
        <w:t xml:space="preserve">с целью профилактики нежелательных реакций и осложнений, связанных с трансфузиями, </w:t>
      </w:r>
      <w:r>
        <w:rPr>
          <w:szCs w:val="24"/>
        </w:rPr>
        <w:t>рекомендуется</w:t>
      </w:r>
      <w:r w:rsidRPr="003B52EE">
        <w:rPr>
          <w:szCs w:val="24"/>
        </w:rPr>
        <w:t xml:space="preserve"> использование компонентов крови со следующими характеристиками:</w:t>
      </w:r>
    </w:p>
    <w:p w14:paraId="3E0ACB96" w14:textId="77777777" w:rsidR="00D41B5F" w:rsidRPr="003B52EE" w:rsidRDefault="00D41B5F" w:rsidP="0091350E">
      <w:pPr>
        <w:pStyle w:val="FitzBullet"/>
        <w:numPr>
          <w:ilvl w:val="0"/>
          <w:numId w:val="145"/>
        </w:numPr>
        <w:tabs>
          <w:tab w:val="clear" w:pos="317"/>
          <w:tab w:val="left" w:pos="144"/>
        </w:tabs>
        <w:spacing w:before="0" w:after="0" w:line="360" w:lineRule="auto"/>
        <w:ind w:left="709"/>
      </w:pPr>
      <w:r w:rsidRPr="003B52EE">
        <w:t>Лейкоредуцированные — содержание лейкоцитов в дозе переливаемой среды снижено до 1 </w:t>
      </w:r>
      <w:r>
        <w:t>х</w:t>
      </w:r>
      <w:r w:rsidRPr="003B52EE">
        <w:t xml:space="preserve"> 10</w:t>
      </w:r>
      <w:r w:rsidRPr="003B52EE">
        <w:rPr>
          <w:vertAlign w:val="superscript"/>
        </w:rPr>
        <w:t>6</w:t>
      </w:r>
      <w:r w:rsidRPr="003B52EE">
        <w:t> клеток.</w:t>
      </w:r>
    </w:p>
    <w:p w14:paraId="3F30FD14" w14:textId="77777777" w:rsidR="00D41B5F" w:rsidRPr="003B52EE" w:rsidRDefault="00D41B5F" w:rsidP="0091350E">
      <w:pPr>
        <w:pStyle w:val="FitzBullet"/>
        <w:numPr>
          <w:ilvl w:val="0"/>
          <w:numId w:val="145"/>
        </w:numPr>
        <w:tabs>
          <w:tab w:val="clear" w:pos="317"/>
          <w:tab w:val="left" w:pos="144"/>
        </w:tabs>
        <w:spacing w:before="0" w:after="0" w:line="360" w:lineRule="auto"/>
        <w:ind w:left="709"/>
      </w:pPr>
      <w:r w:rsidRPr="003B52EE">
        <w:t>Облученные эритроциты и тромбоциты (гамма-излучение или рентегновское излучение в дозе 25—50 Гр).</w:t>
      </w:r>
    </w:p>
    <w:p w14:paraId="5569BBF6" w14:textId="77777777" w:rsidR="00D41B5F" w:rsidRPr="003B52EE" w:rsidRDefault="00D41B5F" w:rsidP="0091350E">
      <w:pPr>
        <w:pStyle w:val="FitzBullet"/>
        <w:numPr>
          <w:ilvl w:val="0"/>
          <w:numId w:val="145"/>
        </w:numPr>
        <w:tabs>
          <w:tab w:val="clear" w:pos="317"/>
          <w:tab w:val="left" w:pos="144"/>
        </w:tabs>
        <w:spacing w:before="0" w:after="0" w:line="360" w:lineRule="auto"/>
        <w:ind w:left="709"/>
      </w:pPr>
      <w:r w:rsidRPr="003B52EE">
        <w:t>Ограничение использования донорской плазмы путем использования взвешивающих растворов для эритроцитов.</w:t>
      </w:r>
    </w:p>
    <w:p w14:paraId="545CA216" w14:textId="77777777" w:rsidR="00D41B5F" w:rsidRPr="003B52EE" w:rsidRDefault="00D41B5F" w:rsidP="0091350E">
      <w:pPr>
        <w:pStyle w:val="FitzBullet"/>
        <w:numPr>
          <w:ilvl w:val="0"/>
          <w:numId w:val="145"/>
        </w:numPr>
        <w:tabs>
          <w:tab w:val="clear" w:pos="317"/>
          <w:tab w:val="left" w:pos="144"/>
        </w:tabs>
        <w:spacing w:before="0" w:after="0" w:line="360" w:lineRule="auto"/>
        <w:ind w:left="709"/>
      </w:pPr>
      <w:r w:rsidRPr="003B52EE">
        <w:t>После исследования донорской крови на маркеры вирусных инфекций посредством молекулярно-биологических методов.</w:t>
      </w:r>
    </w:p>
    <w:p w14:paraId="00C2F80B" w14:textId="77777777" w:rsidR="00D41B5F" w:rsidRPr="00360841" w:rsidRDefault="00D41B5F" w:rsidP="0091350E">
      <w:pPr>
        <w:pStyle w:val="aff"/>
        <w:numPr>
          <w:ilvl w:val="0"/>
          <w:numId w:val="145"/>
        </w:numPr>
        <w:ind w:left="709"/>
        <w:contextualSpacing/>
        <w:rPr>
          <w:szCs w:val="24"/>
        </w:rPr>
      </w:pPr>
      <w:r w:rsidRPr="00360841">
        <w:rPr>
          <w:szCs w:val="24"/>
        </w:rPr>
        <w:t>С целью повышения безопасности трансфузий дополнительно могут применяться следующие технологии:</w:t>
      </w:r>
    </w:p>
    <w:p w14:paraId="52B26D80" w14:textId="77777777" w:rsidR="00D41B5F" w:rsidRPr="003B52EE" w:rsidRDefault="00D41B5F" w:rsidP="0091350E">
      <w:pPr>
        <w:pStyle w:val="FitzBullet"/>
        <w:numPr>
          <w:ilvl w:val="0"/>
          <w:numId w:val="145"/>
        </w:numPr>
        <w:tabs>
          <w:tab w:val="clear" w:pos="317"/>
          <w:tab w:val="left" w:pos="144"/>
        </w:tabs>
        <w:spacing w:before="0" w:after="0" w:line="360" w:lineRule="auto"/>
        <w:ind w:left="709"/>
      </w:pPr>
      <w:r w:rsidRPr="003B52EE">
        <w:t>Инактивация патогенов в концентрате тромбоцитов.</w:t>
      </w:r>
    </w:p>
    <w:p w14:paraId="221FA77D" w14:textId="77777777" w:rsidR="00D41B5F" w:rsidRPr="003B52EE" w:rsidRDefault="00D41B5F" w:rsidP="0091350E">
      <w:pPr>
        <w:pStyle w:val="FitzBullet"/>
        <w:numPr>
          <w:ilvl w:val="0"/>
          <w:numId w:val="145"/>
        </w:numPr>
        <w:tabs>
          <w:tab w:val="clear" w:pos="317"/>
          <w:tab w:val="left" w:pos="144"/>
        </w:tabs>
        <w:spacing w:before="0" w:after="0" w:line="360" w:lineRule="auto"/>
        <w:ind w:left="709"/>
      </w:pPr>
      <w:r w:rsidRPr="003B52EE">
        <w:t>Применение добавочных растворов для замещения донорской плазмы в концентрате тромбоцитов.</w:t>
      </w:r>
    </w:p>
    <w:p w14:paraId="33691923" w14:textId="77777777" w:rsidR="00D41B5F" w:rsidRPr="003B52EE" w:rsidRDefault="00D41B5F" w:rsidP="0091350E">
      <w:pPr>
        <w:pStyle w:val="FitzBullet"/>
        <w:numPr>
          <w:ilvl w:val="0"/>
          <w:numId w:val="145"/>
        </w:numPr>
        <w:tabs>
          <w:tab w:val="clear" w:pos="317"/>
          <w:tab w:val="left" w:pos="144"/>
        </w:tabs>
        <w:spacing w:before="0" w:after="0" w:line="360" w:lineRule="auto"/>
        <w:ind w:left="709"/>
      </w:pPr>
      <w:r w:rsidRPr="003B52EE">
        <w:t>Расширение спектра тестируемых маркеров вирусных инфекций (цитомегаловирус, вирус гепатита </w:t>
      </w:r>
      <w:r w:rsidRPr="003B52EE">
        <w:rPr>
          <w:lang w:val="en-US"/>
        </w:rPr>
        <w:t>B</w:t>
      </w:r>
      <w:r w:rsidRPr="003B52EE">
        <w:t xml:space="preserve">, </w:t>
      </w:r>
      <w:r w:rsidRPr="003B52EE">
        <w:rPr>
          <w:lang w:val="en-US"/>
        </w:rPr>
        <w:t>T</w:t>
      </w:r>
      <w:r w:rsidRPr="003B52EE">
        <w:t>-лимфотропный вирус человека и другие).</w:t>
      </w:r>
    </w:p>
    <w:p w14:paraId="61F62C6E" w14:textId="77777777" w:rsidR="00D41B5F" w:rsidRDefault="00D41B5F" w:rsidP="00D41B5F">
      <w:pPr>
        <w:ind w:firstLine="709"/>
        <w:rPr>
          <w:szCs w:val="24"/>
        </w:rPr>
      </w:pPr>
      <w:r w:rsidRPr="003B52EE">
        <w:rPr>
          <w:szCs w:val="24"/>
        </w:rPr>
        <w:t>Основные реакции и осложнения, связанные с трансфузией приведены в табл. 3.</w:t>
      </w:r>
    </w:p>
    <w:p w14:paraId="3C135433" w14:textId="77777777" w:rsidR="00D41B5F" w:rsidRDefault="00D41B5F" w:rsidP="00D41B5F">
      <w:pPr>
        <w:rPr>
          <w:bCs/>
          <w:szCs w:val="24"/>
        </w:rPr>
      </w:pPr>
    </w:p>
    <w:p w14:paraId="4C91F301" w14:textId="77777777" w:rsidR="00D41B5F" w:rsidRPr="008E43BE" w:rsidRDefault="00D41B5F" w:rsidP="00D41B5F">
      <w:pPr>
        <w:rPr>
          <w:szCs w:val="24"/>
        </w:rPr>
      </w:pPr>
      <w:r w:rsidRPr="008E43BE">
        <w:rPr>
          <w:bCs/>
          <w:szCs w:val="24"/>
        </w:rPr>
        <w:t>Таблица 3. Основные реакции и осложнения, связанные с трансфузией (переливанием) компонентов донорской крови</w:t>
      </w:r>
    </w:p>
    <w:tbl>
      <w:tblPr>
        <w:tblW w:w="9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10"/>
        <w:gridCol w:w="2340"/>
        <w:gridCol w:w="2520"/>
        <w:gridCol w:w="2284"/>
      </w:tblGrid>
      <w:tr w:rsidR="00D41B5F" w:rsidRPr="004C7AAC" w14:paraId="7A459A34" w14:textId="77777777" w:rsidTr="005A428D">
        <w:trPr>
          <w:jc w:val="center"/>
        </w:trPr>
        <w:tc>
          <w:tcPr>
            <w:tcW w:w="2110" w:type="dxa"/>
          </w:tcPr>
          <w:p w14:paraId="16245C56" w14:textId="77777777" w:rsidR="00D41B5F" w:rsidRPr="00CA11E8" w:rsidRDefault="00D41B5F" w:rsidP="005A428D">
            <w:pPr>
              <w:pStyle w:val="Table-head-italic"/>
              <w:spacing w:line="360" w:lineRule="auto"/>
              <w:jc w:val="center"/>
              <w:rPr>
                <w:i w:val="0"/>
                <w:sz w:val="22"/>
                <w:szCs w:val="22"/>
                <w:lang w:val="ru-RU"/>
              </w:rPr>
            </w:pPr>
            <w:r w:rsidRPr="00CA11E8">
              <w:rPr>
                <w:i w:val="0"/>
                <w:sz w:val="22"/>
                <w:szCs w:val="22"/>
                <w:lang w:val="ru-RU"/>
              </w:rPr>
              <w:t>Реакция (осложнение)</w:t>
            </w:r>
          </w:p>
        </w:tc>
        <w:tc>
          <w:tcPr>
            <w:tcW w:w="2340" w:type="dxa"/>
          </w:tcPr>
          <w:p w14:paraId="0BF70319" w14:textId="77777777" w:rsidR="00D41B5F" w:rsidRPr="00CA11E8" w:rsidRDefault="00D41B5F" w:rsidP="005A428D">
            <w:pPr>
              <w:pStyle w:val="Table-head-italic"/>
              <w:spacing w:line="360" w:lineRule="auto"/>
              <w:jc w:val="center"/>
              <w:rPr>
                <w:i w:val="0"/>
                <w:sz w:val="22"/>
                <w:szCs w:val="22"/>
                <w:lang w:val="ru-RU"/>
              </w:rPr>
            </w:pPr>
            <w:r w:rsidRPr="00CA11E8">
              <w:rPr>
                <w:i w:val="0"/>
                <w:sz w:val="22"/>
                <w:szCs w:val="22"/>
                <w:lang w:val="ru-RU"/>
              </w:rPr>
              <w:t>Причина</w:t>
            </w:r>
          </w:p>
        </w:tc>
        <w:tc>
          <w:tcPr>
            <w:tcW w:w="2520" w:type="dxa"/>
          </w:tcPr>
          <w:p w14:paraId="1E3E7DDF" w14:textId="77777777" w:rsidR="00D41B5F" w:rsidRPr="00CA11E8" w:rsidRDefault="00D41B5F" w:rsidP="005A428D">
            <w:pPr>
              <w:pStyle w:val="Table-head-italic"/>
              <w:spacing w:line="360" w:lineRule="auto"/>
              <w:jc w:val="center"/>
              <w:rPr>
                <w:i w:val="0"/>
                <w:sz w:val="22"/>
                <w:szCs w:val="22"/>
                <w:lang w:val="ru-RU"/>
              </w:rPr>
            </w:pPr>
            <w:r w:rsidRPr="00CA11E8">
              <w:rPr>
                <w:i w:val="0"/>
                <w:sz w:val="22"/>
                <w:szCs w:val="22"/>
                <w:lang w:val="ru-RU"/>
              </w:rPr>
              <w:t>Лечение</w:t>
            </w:r>
          </w:p>
        </w:tc>
        <w:tc>
          <w:tcPr>
            <w:tcW w:w="2284" w:type="dxa"/>
          </w:tcPr>
          <w:p w14:paraId="5E6F98CB" w14:textId="77777777" w:rsidR="00D41B5F" w:rsidRPr="00CA11E8" w:rsidRDefault="00D41B5F" w:rsidP="005A428D">
            <w:pPr>
              <w:pStyle w:val="Table-head-italic"/>
              <w:spacing w:line="360" w:lineRule="auto"/>
              <w:jc w:val="center"/>
              <w:rPr>
                <w:i w:val="0"/>
                <w:sz w:val="22"/>
                <w:szCs w:val="22"/>
                <w:lang w:val="ru-RU"/>
              </w:rPr>
            </w:pPr>
            <w:r w:rsidRPr="00CA11E8">
              <w:rPr>
                <w:i w:val="0"/>
                <w:sz w:val="22"/>
                <w:szCs w:val="22"/>
                <w:lang w:val="ru-RU"/>
              </w:rPr>
              <w:t>Обязательные и дополнительные лабораторные и инструментальные исследования*</w:t>
            </w:r>
          </w:p>
        </w:tc>
      </w:tr>
      <w:tr w:rsidR="00D41B5F" w:rsidRPr="004C7AAC" w14:paraId="12773736" w14:textId="77777777" w:rsidTr="005A428D">
        <w:trPr>
          <w:jc w:val="center"/>
        </w:trPr>
        <w:tc>
          <w:tcPr>
            <w:tcW w:w="2110" w:type="dxa"/>
            <w:vAlign w:val="center"/>
          </w:tcPr>
          <w:p w14:paraId="5B39C3C3"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 xml:space="preserve">Острая сердечно-сосудистая недостаточность, отек легких (синдром </w:t>
            </w:r>
            <w:r w:rsidRPr="00CA11E8">
              <w:rPr>
                <w:sz w:val="22"/>
                <w:szCs w:val="22"/>
              </w:rPr>
              <w:t>TACO</w:t>
            </w:r>
            <w:r w:rsidRPr="00CA11E8">
              <w:rPr>
                <w:sz w:val="22"/>
                <w:szCs w:val="22"/>
                <w:lang w:val="ru-RU"/>
              </w:rPr>
              <w:t xml:space="preserve">, от </w:t>
            </w:r>
            <w:r w:rsidRPr="00CA11E8">
              <w:rPr>
                <w:sz w:val="22"/>
                <w:szCs w:val="22"/>
              </w:rPr>
              <w:t>t</w:t>
            </w:r>
            <w:r w:rsidRPr="00CA11E8">
              <w:rPr>
                <w:sz w:val="22"/>
                <w:szCs w:val="22"/>
                <w:lang w:val="ru-RU"/>
              </w:rPr>
              <w:t>ransfusion associated circulatory overload)</w:t>
            </w:r>
          </w:p>
        </w:tc>
        <w:tc>
          <w:tcPr>
            <w:tcW w:w="2340" w:type="dxa"/>
          </w:tcPr>
          <w:p w14:paraId="5217E7E1"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Перегрузка объемом</w:t>
            </w:r>
          </w:p>
        </w:tc>
        <w:tc>
          <w:tcPr>
            <w:tcW w:w="2520" w:type="dxa"/>
          </w:tcPr>
          <w:p w14:paraId="7A278CFC"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 xml:space="preserve">Симптоматическая терапия отека легких </w:t>
            </w:r>
          </w:p>
        </w:tc>
        <w:tc>
          <w:tcPr>
            <w:tcW w:w="2284" w:type="dxa"/>
          </w:tcPr>
          <w:p w14:paraId="5A588F1D" w14:textId="77777777" w:rsidR="00D41B5F" w:rsidRPr="00CA11E8" w:rsidRDefault="00D41B5F" w:rsidP="005A428D">
            <w:pPr>
              <w:pStyle w:val="table-text-0"/>
              <w:spacing w:before="0" w:line="360" w:lineRule="auto"/>
              <w:rPr>
                <w:sz w:val="22"/>
                <w:szCs w:val="22"/>
                <w:lang w:val="ru-RU"/>
              </w:rPr>
            </w:pPr>
          </w:p>
        </w:tc>
      </w:tr>
      <w:tr w:rsidR="00D41B5F" w:rsidRPr="004C7AAC" w14:paraId="6F55D03A" w14:textId="77777777" w:rsidTr="005A428D">
        <w:trPr>
          <w:jc w:val="center"/>
        </w:trPr>
        <w:tc>
          <w:tcPr>
            <w:tcW w:w="2110" w:type="dxa"/>
          </w:tcPr>
          <w:p w14:paraId="028DC6C5"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 xml:space="preserve">Острое обусловленное трансфузией повреждение легких (синдром TRALI, от </w:t>
            </w:r>
            <w:r w:rsidRPr="00CA11E8">
              <w:rPr>
                <w:sz w:val="22"/>
                <w:szCs w:val="22"/>
              </w:rPr>
              <w:t>t</w:t>
            </w:r>
            <w:r w:rsidRPr="00CA11E8">
              <w:rPr>
                <w:sz w:val="22"/>
                <w:szCs w:val="22"/>
                <w:lang w:val="ru-RU"/>
              </w:rPr>
              <w:t>ransfusion-related acute lung injury)</w:t>
            </w:r>
          </w:p>
        </w:tc>
        <w:tc>
          <w:tcPr>
            <w:tcW w:w="2340" w:type="dxa"/>
          </w:tcPr>
          <w:p w14:paraId="140F373B"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Наличие донорских антилейкоцитарных антител в крови реципиента</w:t>
            </w:r>
          </w:p>
        </w:tc>
        <w:tc>
          <w:tcPr>
            <w:tcW w:w="2520" w:type="dxa"/>
          </w:tcPr>
          <w:p w14:paraId="26C686BD"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Глюкокортикоиды (преднизолон, 30—60 мг, или дексаметазон, по 4—8 мг)</w:t>
            </w:r>
          </w:p>
          <w:p w14:paraId="292BC2E6"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Симптоматическая терапия отека легких</w:t>
            </w:r>
          </w:p>
        </w:tc>
        <w:tc>
          <w:tcPr>
            <w:tcW w:w="2284" w:type="dxa"/>
          </w:tcPr>
          <w:p w14:paraId="0EE0BAEA"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Обязательные: рентгенография органов грудной клетки</w:t>
            </w:r>
          </w:p>
          <w:p w14:paraId="5E6F4FD0"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Дополнительные: тесты на антилейкоцитарные антитела и антитела к нейтрофилам в сыворотке</w:t>
            </w:r>
          </w:p>
        </w:tc>
      </w:tr>
      <w:tr w:rsidR="00D41B5F" w:rsidRPr="004C7AAC" w14:paraId="4F2C6C9C" w14:textId="77777777" w:rsidTr="005A428D">
        <w:trPr>
          <w:jc w:val="center"/>
        </w:trPr>
        <w:tc>
          <w:tcPr>
            <w:tcW w:w="2110" w:type="dxa"/>
          </w:tcPr>
          <w:p w14:paraId="4A222FF7"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Одышка, связанная с трансфузией (синдром TAD, от transfusion-associated dyspnea)</w:t>
            </w:r>
          </w:p>
        </w:tc>
        <w:tc>
          <w:tcPr>
            <w:tcW w:w="2340" w:type="dxa"/>
          </w:tcPr>
          <w:p w14:paraId="1C96E9FA"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Острый респираторный дистресс-синдром, развивающийся в течение 24 часов после трансфузии</w:t>
            </w:r>
          </w:p>
        </w:tc>
        <w:tc>
          <w:tcPr>
            <w:tcW w:w="2520" w:type="dxa"/>
          </w:tcPr>
          <w:p w14:paraId="649AEE17"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Симптоматическая терапия</w:t>
            </w:r>
          </w:p>
        </w:tc>
        <w:tc>
          <w:tcPr>
            <w:tcW w:w="2284" w:type="dxa"/>
          </w:tcPr>
          <w:p w14:paraId="26ACD321" w14:textId="77777777" w:rsidR="00D41B5F" w:rsidRPr="00CA11E8" w:rsidRDefault="00D41B5F" w:rsidP="005A428D">
            <w:pPr>
              <w:pStyle w:val="table-text-0"/>
              <w:spacing w:before="0" w:line="360" w:lineRule="auto"/>
              <w:rPr>
                <w:sz w:val="22"/>
                <w:szCs w:val="22"/>
                <w:lang w:val="ru-RU"/>
              </w:rPr>
            </w:pPr>
          </w:p>
        </w:tc>
      </w:tr>
      <w:tr w:rsidR="00D41B5F" w:rsidRPr="004C7AAC" w14:paraId="115315D2" w14:textId="77777777" w:rsidTr="005A428D">
        <w:trPr>
          <w:jc w:val="center"/>
        </w:trPr>
        <w:tc>
          <w:tcPr>
            <w:tcW w:w="2110" w:type="dxa"/>
            <w:vMerge w:val="restart"/>
          </w:tcPr>
          <w:p w14:paraId="764F6B6B"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Аллергические реакции (крапивница, анафилактический шок и др.)</w:t>
            </w:r>
          </w:p>
        </w:tc>
        <w:tc>
          <w:tcPr>
            <w:tcW w:w="2340" w:type="dxa"/>
          </w:tcPr>
          <w:p w14:paraId="5FD8E466"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Крапивница: наличие антител к белкам плазмы</w:t>
            </w:r>
          </w:p>
        </w:tc>
        <w:tc>
          <w:tcPr>
            <w:tcW w:w="2520" w:type="dxa"/>
          </w:tcPr>
          <w:p w14:paraId="1EBF1910"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Антигистаминные препараты (клемастин, 2%, 2 мг, или другой препарат с аналогичным действием)</w:t>
            </w:r>
          </w:p>
        </w:tc>
        <w:tc>
          <w:tcPr>
            <w:tcW w:w="2284" w:type="dxa"/>
          </w:tcPr>
          <w:p w14:paraId="243145E5" w14:textId="77777777" w:rsidR="00D41B5F" w:rsidRPr="00CA11E8" w:rsidRDefault="00D41B5F" w:rsidP="005A428D">
            <w:pPr>
              <w:pStyle w:val="table-text-0"/>
              <w:spacing w:before="0" w:line="360" w:lineRule="auto"/>
              <w:rPr>
                <w:sz w:val="22"/>
                <w:szCs w:val="22"/>
                <w:lang w:val="ru-RU"/>
              </w:rPr>
            </w:pPr>
          </w:p>
        </w:tc>
      </w:tr>
      <w:tr w:rsidR="00D41B5F" w:rsidRPr="004C7AAC" w14:paraId="21371E34" w14:textId="77777777" w:rsidTr="005A428D">
        <w:trPr>
          <w:jc w:val="center"/>
        </w:trPr>
        <w:tc>
          <w:tcPr>
            <w:tcW w:w="2110" w:type="dxa"/>
            <w:vMerge/>
            <w:vAlign w:val="center"/>
          </w:tcPr>
          <w:p w14:paraId="3B78D289" w14:textId="77777777" w:rsidR="00D41B5F" w:rsidRPr="00CA11E8" w:rsidRDefault="00D41B5F" w:rsidP="005A428D">
            <w:pPr>
              <w:pStyle w:val="table-text-0"/>
              <w:spacing w:before="0" w:line="360" w:lineRule="auto"/>
              <w:rPr>
                <w:sz w:val="22"/>
                <w:szCs w:val="22"/>
                <w:lang w:val="ru-RU"/>
              </w:rPr>
            </w:pPr>
          </w:p>
        </w:tc>
        <w:tc>
          <w:tcPr>
            <w:tcW w:w="2340" w:type="dxa"/>
          </w:tcPr>
          <w:p w14:paraId="2531A2EB"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Анафилактический шок: первичный иммунодефицит IgA у реципиента</w:t>
            </w:r>
          </w:p>
        </w:tc>
        <w:tc>
          <w:tcPr>
            <w:tcW w:w="2520" w:type="dxa"/>
          </w:tcPr>
          <w:p w14:paraId="7C43E058"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Противошоковая терапия</w:t>
            </w:r>
          </w:p>
        </w:tc>
        <w:tc>
          <w:tcPr>
            <w:tcW w:w="2284" w:type="dxa"/>
          </w:tcPr>
          <w:p w14:paraId="53027B0A"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Дополнительные: оценка уровня сывороточного IgA у реципиента</w:t>
            </w:r>
          </w:p>
        </w:tc>
      </w:tr>
      <w:tr w:rsidR="00D41B5F" w:rsidRPr="004C7AAC" w14:paraId="069D73E5" w14:textId="77777777" w:rsidTr="005A428D">
        <w:trPr>
          <w:jc w:val="center"/>
        </w:trPr>
        <w:tc>
          <w:tcPr>
            <w:tcW w:w="2110" w:type="dxa"/>
          </w:tcPr>
          <w:p w14:paraId="5A8E7620"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 xml:space="preserve">Пострансфузионная артериальная гипотония (HTR, от </w:t>
            </w:r>
            <w:r w:rsidRPr="00CA11E8">
              <w:rPr>
                <w:sz w:val="22"/>
                <w:szCs w:val="22"/>
              </w:rPr>
              <w:t>post</w:t>
            </w:r>
            <w:r w:rsidRPr="00CA11E8">
              <w:rPr>
                <w:sz w:val="22"/>
                <w:szCs w:val="22"/>
                <w:lang w:val="ru-RU"/>
              </w:rPr>
              <w:t>-</w:t>
            </w:r>
            <w:r w:rsidRPr="00CA11E8">
              <w:rPr>
                <w:sz w:val="22"/>
                <w:szCs w:val="22"/>
              </w:rPr>
              <w:t>transfusion</w:t>
            </w:r>
            <w:r w:rsidRPr="00CA11E8">
              <w:rPr>
                <w:sz w:val="22"/>
                <w:szCs w:val="22"/>
                <w:lang w:val="ru-RU"/>
              </w:rPr>
              <w:t xml:space="preserve"> </w:t>
            </w:r>
            <w:r w:rsidRPr="00CA11E8">
              <w:rPr>
                <w:sz w:val="22"/>
                <w:szCs w:val="22"/>
              </w:rPr>
              <w:t>hypotension</w:t>
            </w:r>
            <w:r w:rsidRPr="00CA11E8">
              <w:rPr>
                <w:sz w:val="22"/>
                <w:szCs w:val="22"/>
                <w:lang w:val="ru-RU"/>
              </w:rPr>
              <w:t>)</w:t>
            </w:r>
          </w:p>
        </w:tc>
        <w:tc>
          <w:tcPr>
            <w:tcW w:w="2340" w:type="dxa"/>
          </w:tcPr>
          <w:p w14:paraId="26567D2C"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Сосудистая реакция, обусловленная выбросом брадикинина</w:t>
            </w:r>
          </w:p>
        </w:tc>
        <w:tc>
          <w:tcPr>
            <w:tcW w:w="2520" w:type="dxa"/>
          </w:tcPr>
          <w:p w14:paraId="5F0CC8C4"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 xml:space="preserve">Симптоматическая терапия, в тяжелых случаях — применение вазопрессоров </w:t>
            </w:r>
          </w:p>
        </w:tc>
        <w:tc>
          <w:tcPr>
            <w:tcW w:w="2284" w:type="dxa"/>
          </w:tcPr>
          <w:p w14:paraId="087EE17F" w14:textId="77777777" w:rsidR="00D41B5F" w:rsidRPr="00CA11E8" w:rsidRDefault="00D41B5F" w:rsidP="005A428D">
            <w:pPr>
              <w:pStyle w:val="table-text-0"/>
              <w:spacing w:before="0" w:line="360" w:lineRule="auto"/>
              <w:rPr>
                <w:sz w:val="22"/>
                <w:szCs w:val="22"/>
                <w:lang w:val="ru-RU"/>
              </w:rPr>
            </w:pPr>
          </w:p>
        </w:tc>
      </w:tr>
      <w:tr w:rsidR="00D41B5F" w:rsidRPr="004C7AAC" w14:paraId="679089E6" w14:textId="77777777" w:rsidTr="005A428D">
        <w:trPr>
          <w:jc w:val="center"/>
        </w:trPr>
        <w:tc>
          <w:tcPr>
            <w:tcW w:w="2110" w:type="dxa"/>
          </w:tcPr>
          <w:p w14:paraId="6173D8DA"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Гипертермическая (фебрильная) негемолитическая реакция (FNHTR, от febrile non-hemolytic transfusion reaction)</w:t>
            </w:r>
          </w:p>
        </w:tc>
        <w:tc>
          <w:tcPr>
            <w:tcW w:w="2340" w:type="dxa"/>
          </w:tcPr>
          <w:p w14:paraId="34531A08"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Секреция цитокинов иммунокомпетентными клетками, сопровождающаяся повышением температуры тела реципиента выше 38</w:t>
            </w:r>
            <w:r w:rsidRPr="00CA11E8">
              <w:rPr>
                <w:rFonts w:ascii="Symbol" w:hAnsi="Symbol" w:cs="Symbol"/>
              </w:rPr>
              <w:t></w:t>
            </w:r>
            <w:r w:rsidRPr="00CA11E8">
              <w:rPr>
                <w:sz w:val="22"/>
                <w:szCs w:val="22"/>
                <w:lang w:val="ru-RU"/>
              </w:rPr>
              <w:t>С</w:t>
            </w:r>
          </w:p>
        </w:tc>
        <w:tc>
          <w:tcPr>
            <w:tcW w:w="2520" w:type="dxa"/>
          </w:tcPr>
          <w:p w14:paraId="731A81E4"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Антигистаминные препараты (клемастин 2%, 2 мг, или другой препарат с аналогичным действием)</w:t>
            </w:r>
          </w:p>
          <w:p w14:paraId="5AF5F1A0"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Наркотические анальгетики (промедол 2%, 2 мл)</w:t>
            </w:r>
          </w:p>
          <w:p w14:paraId="28437340"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Глюкокортикоиды (преднизолон, 30—60 мг, или дексаметазон, 4—8 мг)</w:t>
            </w:r>
          </w:p>
        </w:tc>
        <w:tc>
          <w:tcPr>
            <w:tcW w:w="2284" w:type="dxa"/>
          </w:tcPr>
          <w:p w14:paraId="3EA915D9"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Обязательные: бактериологическое исследование крови</w:t>
            </w:r>
          </w:p>
          <w:p w14:paraId="77B7F720"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Дополнительные: определение антилейкоцитарных антител, антитромбоцитарных антител, антител к нейтрофилам в сыворотке</w:t>
            </w:r>
          </w:p>
        </w:tc>
      </w:tr>
      <w:tr w:rsidR="00D41B5F" w:rsidRPr="004C7AAC" w14:paraId="489A9D77" w14:textId="77777777" w:rsidTr="005A428D">
        <w:trPr>
          <w:jc w:val="center"/>
        </w:trPr>
        <w:tc>
          <w:tcPr>
            <w:tcW w:w="2110" w:type="dxa"/>
            <w:vMerge w:val="restart"/>
          </w:tcPr>
          <w:p w14:paraId="2F071F63" w14:textId="77777777" w:rsidR="00D41B5F" w:rsidRPr="00360841" w:rsidRDefault="00D41B5F" w:rsidP="005A428D">
            <w:pPr>
              <w:pStyle w:val="table-text-0"/>
              <w:spacing w:before="0" w:line="360" w:lineRule="auto"/>
              <w:rPr>
                <w:sz w:val="22"/>
                <w:szCs w:val="22"/>
              </w:rPr>
            </w:pPr>
            <w:r w:rsidRPr="00CA11E8">
              <w:rPr>
                <w:sz w:val="22"/>
                <w:szCs w:val="22"/>
                <w:lang w:val="ru-RU"/>
              </w:rPr>
              <w:t>Острый</w:t>
            </w:r>
            <w:r w:rsidRPr="00360841">
              <w:rPr>
                <w:sz w:val="22"/>
                <w:szCs w:val="22"/>
              </w:rPr>
              <w:t xml:space="preserve"> </w:t>
            </w:r>
            <w:r w:rsidRPr="00CA11E8">
              <w:rPr>
                <w:sz w:val="22"/>
                <w:szCs w:val="22"/>
                <w:lang w:val="ru-RU"/>
              </w:rPr>
              <w:t>гемолиз</w:t>
            </w:r>
            <w:r w:rsidRPr="00360841">
              <w:rPr>
                <w:sz w:val="22"/>
                <w:szCs w:val="22"/>
              </w:rPr>
              <w:t xml:space="preserve"> (AHTR, </w:t>
            </w:r>
            <w:r w:rsidRPr="00CA11E8">
              <w:rPr>
                <w:sz w:val="22"/>
                <w:szCs w:val="22"/>
                <w:lang w:val="ru-RU"/>
              </w:rPr>
              <w:t>от</w:t>
            </w:r>
            <w:r w:rsidRPr="00360841">
              <w:rPr>
                <w:sz w:val="22"/>
                <w:szCs w:val="22"/>
              </w:rPr>
              <w:t xml:space="preserve"> acute hemolytic transfusion reaction)</w:t>
            </w:r>
          </w:p>
        </w:tc>
        <w:tc>
          <w:tcPr>
            <w:tcW w:w="2340" w:type="dxa"/>
          </w:tcPr>
          <w:p w14:paraId="3F4BE2D8"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 xml:space="preserve">Иммунная реакция: наличие у реципиента антител к аллоантигенам эритроцитов донора (ABO, резус-фактор и другая несовместимость) </w:t>
            </w:r>
          </w:p>
        </w:tc>
        <w:tc>
          <w:tcPr>
            <w:tcW w:w="2520" w:type="dxa"/>
            <w:vMerge w:val="restart"/>
          </w:tcPr>
          <w:p w14:paraId="5D4A560D"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Глюкокортикоиды (преднизолон, 30—60 мг, или дексаметазон, 4—8 мг)</w:t>
            </w:r>
          </w:p>
          <w:p w14:paraId="07D42BE9"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Форсированный диурез (NaCl 0,9%, 2000—3000 мл; фуросемид, 20—40 мг); проводится до купирования клинических проявлений гемолиза</w:t>
            </w:r>
          </w:p>
          <w:p w14:paraId="71A52E6E"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Контроль АД, ЦВД, объема и цвет мочи</w:t>
            </w:r>
          </w:p>
          <w:p w14:paraId="68F33947"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При неэффективности консервативной терапии или анурии —плазмаферез и гемодиализ</w:t>
            </w:r>
          </w:p>
        </w:tc>
        <w:tc>
          <w:tcPr>
            <w:tcW w:w="2284" w:type="dxa"/>
          </w:tcPr>
          <w:p w14:paraId="55E95ACB"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Обязательные: определение в сыворотке свободного гемоглобина, билирубина; анализ мочи на гемоглобинурию, гемосидеринурию</w:t>
            </w:r>
          </w:p>
          <w:p w14:paraId="744CFD34"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Дополнительные: прямая проба Кумбса, оценка химеризма эритроцитов в периферической крови реципиента</w:t>
            </w:r>
          </w:p>
        </w:tc>
      </w:tr>
      <w:tr w:rsidR="00D41B5F" w:rsidRPr="004C7AAC" w14:paraId="3BA5B2DA" w14:textId="77777777" w:rsidTr="005A428D">
        <w:trPr>
          <w:jc w:val="center"/>
        </w:trPr>
        <w:tc>
          <w:tcPr>
            <w:tcW w:w="2110" w:type="dxa"/>
            <w:vMerge/>
          </w:tcPr>
          <w:p w14:paraId="6E97B585" w14:textId="77777777" w:rsidR="00D41B5F" w:rsidRPr="00CA11E8" w:rsidRDefault="00D41B5F" w:rsidP="005A428D">
            <w:pPr>
              <w:pStyle w:val="table-text-0"/>
              <w:spacing w:before="0" w:line="360" w:lineRule="auto"/>
              <w:rPr>
                <w:sz w:val="22"/>
                <w:szCs w:val="22"/>
                <w:lang w:val="ru-RU"/>
              </w:rPr>
            </w:pPr>
          </w:p>
        </w:tc>
        <w:tc>
          <w:tcPr>
            <w:tcW w:w="2340" w:type="dxa"/>
          </w:tcPr>
          <w:p w14:paraId="4D1BA09C"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Неиммунная реакция: разрушение эритроцитов донора вследствие нарушения температурного режима или сроков хранения, несоблюдения правил подготовки к переливанию, смешивания с гипотоническим или гипертоническим растворами</w:t>
            </w:r>
          </w:p>
        </w:tc>
        <w:tc>
          <w:tcPr>
            <w:tcW w:w="2520" w:type="dxa"/>
            <w:vMerge/>
          </w:tcPr>
          <w:p w14:paraId="37ED4CBA" w14:textId="77777777" w:rsidR="00D41B5F" w:rsidRPr="00CA11E8" w:rsidRDefault="00D41B5F" w:rsidP="005A428D">
            <w:pPr>
              <w:pStyle w:val="table-text-0"/>
              <w:spacing w:before="0" w:line="360" w:lineRule="auto"/>
              <w:rPr>
                <w:sz w:val="22"/>
                <w:szCs w:val="22"/>
                <w:lang w:val="ru-RU"/>
              </w:rPr>
            </w:pPr>
          </w:p>
        </w:tc>
        <w:tc>
          <w:tcPr>
            <w:tcW w:w="2284" w:type="dxa"/>
          </w:tcPr>
          <w:p w14:paraId="25A53D0F"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Обязательные: определение в сыворотке свободного гемоглобина, билирубина; анализ мочи на гемоглобинурию, гемосидеринурию</w:t>
            </w:r>
          </w:p>
          <w:p w14:paraId="4F2438D9" w14:textId="77777777" w:rsidR="00D41B5F" w:rsidRPr="00CA11E8" w:rsidRDefault="00D41B5F" w:rsidP="005A428D">
            <w:pPr>
              <w:pStyle w:val="table-text-0"/>
              <w:spacing w:before="0" w:line="360" w:lineRule="auto"/>
              <w:rPr>
                <w:sz w:val="22"/>
                <w:szCs w:val="22"/>
                <w:lang w:val="ru-RU"/>
              </w:rPr>
            </w:pPr>
          </w:p>
        </w:tc>
      </w:tr>
      <w:tr w:rsidR="00D41B5F" w:rsidRPr="004C7AAC" w14:paraId="41869770" w14:textId="77777777" w:rsidTr="005A428D">
        <w:trPr>
          <w:jc w:val="center"/>
        </w:trPr>
        <w:tc>
          <w:tcPr>
            <w:tcW w:w="2110" w:type="dxa"/>
          </w:tcPr>
          <w:p w14:paraId="5ECB1CC0" w14:textId="77777777" w:rsidR="00D41B5F" w:rsidRPr="00360841" w:rsidRDefault="00D41B5F" w:rsidP="005A428D">
            <w:pPr>
              <w:pStyle w:val="table-text-0"/>
              <w:spacing w:before="0" w:line="360" w:lineRule="auto"/>
              <w:rPr>
                <w:sz w:val="22"/>
                <w:szCs w:val="22"/>
              </w:rPr>
            </w:pPr>
            <w:r w:rsidRPr="00CA11E8">
              <w:rPr>
                <w:sz w:val="22"/>
                <w:szCs w:val="22"/>
                <w:lang w:val="ru-RU"/>
              </w:rPr>
              <w:t>Отсроченный</w:t>
            </w:r>
            <w:r w:rsidRPr="00360841">
              <w:rPr>
                <w:sz w:val="22"/>
                <w:szCs w:val="22"/>
              </w:rPr>
              <w:t xml:space="preserve"> </w:t>
            </w:r>
            <w:r w:rsidRPr="00CA11E8">
              <w:rPr>
                <w:sz w:val="22"/>
                <w:szCs w:val="22"/>
                <w:lang w:val="ru-RU"/>
              </w:rPr>
              <w:t>гемолиз</w:t>
            </w:r>
            <w:r w:rsidRPr="00360841">
              <w:rPr>
                <w:sz w:val="22"/>
                <w:szCs w:val="22"/>
              </w:rPr>
              <w:t xml:space="preserve"> (DHTR, </w:t>
            </w:r>
            <w:r w:rsidRPr="00CA11E8">
              <w:rPr>
                <w:sz w:val="22"/>
                <w:szCs w:val="22"/>
                <w:lang w:val="ru-RU"/>
              </w:rPr>
              <w:t>от</w:t>
            </w:r>
            <w:r w:rsidRPr="00360841">
              <w:rPr>
                <w:sz w:val="22"/>
                <w:szCs w:val="22"/>
              </w:rPr>
              <w:t xml:space="preserve"> delayed hemolytic transfusion reaction)</w:t>
            </w:r>
          </w:p>
        </w:tc>
        <w:tc>
          <w:tcPr>
            <w:tcW w:w="2340" w:type="dxa"/>
          </w:tcPr>
          <w:p w14:paraId="311ADD80"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Внутриклеточный (тканевый) гемолиз в результате трансфузии несовместимых по аллоантигенам эритроцитов донора</w:t>
            </w:r>
          </w:p>
          <w:p w14:paraId="6EB0329E"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Аллоиммунизация отмечается в период от 24 часов до 28 дней после трансфузии</w:t>
            </w:r>
          </w:p>
        </w:tc>
        <w:tc>
          <w:tcPr>
            <w:tcW w:w="2520" w:type="dxa"/>
          </w:tcPr>
          <w:p w14:paraId="7892BD4C"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 xml:space="preserve"> Глюкокортикоиды (преднизолон, 30—60 мг, или дексаметазон, 4—8 мг)</w:t>
            </w:r>
          </w:p>
          <w:p w14:paraId="30750E03"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Форсированный диурез (NaCl 0,9%, 2000—3000 мл; фуросемид, 20—40 мг); проводится до купирования клинических проявлений гемолиза</w:t>
            </w:r>
          </w:p>
          <w:p w14:paraId="15A7573E"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Контроль АД, ЦВД, объема и цвет мочи</w:t>
            </w:r>
          </w:p>
          <w:p w14:paraId="4FCAAA4F"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При неэффективности консервативной терапии или анурии —плазмаферез и гемодиализ</w:t>
            </w:r>
          </w:p>
        </w:tc>
        <w:tc>
          <w:tcPr>
            <w:tcW w:w="2284" w:type="dxa"/>
          </w:tcPr>
          <w:p w14:paraId="2CF468CD"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Обязательные: определение в сыворотке свободного гемоглобина, билирубина; анализ мочи на гемоглобинурию, гемосидеринурию; прямая проба Кумбса</w:t>
            </w:r>
          </w:p>
          <w:p w14:paraId="37653A9E"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Дополнительные: выявление антиэритроцитарных аллоантител с новой специфичностью</w:t>
            </w:r>
          </w:p>
        </w:tc>
      </w:tr>
      <w:tr w:rsidR="00D41B5F" w:rsidRPr="004C7AAC" w14:paraId="3A6058B9" w14:textId="77777777" w:rsidTr="005A428D">
        <w:trPr>
          <w:jc w:val="center"/>
        </w:trPr>
        <w:tc>
          <w:tcPr>
            <w:tcW w:w="2110" w:type="dxa"/>
          </w:tcPr>
          <w:p w14:paraId="636C8DEF"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Отсроченная серологическая трансфузионная реакция (DSTR, от delayed serologic transfusion reaction)</w:t>
            </w:r>
          </w:p>
        </w:tc>
        <w:tc>
          <w:tcPr>
            <w:tcW w:w="2340" w:type="dxa"/>
          </w:tcPr>
          <w:p w14:paraId="568DF964"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Непосредственно после трансфузии признаки гемолиза отсутствуют; в срок от 24 ч до 28 дней после трансфузии у реципиента выявляются новые антиэритроцитарные аллоантитела</w:t>
            </w:r>
          </w:p>
        </w:tc>
        <w:tc>
          <w:tcPr>
            <w:tcW w:w="2520" w:type="dxa"/>
          </w:tcPr>
          <w:p w14:paraId="1FA55CED" w14:textId="77777777" w:rsidR="00D41B5F" w:rsidRPr="00CA11E8" w:rsidRDefault="00D41B5F" w:rsidP="005A428D">
            <w:pPr>
              <w:pStyle w:val="table-text-0"/>
              <w:spacing w:before="0" w:line="360" w:lineRule="auto"/>
              <w:rPr>
                <w:sz w:val="22"/>
                <w:szCs w:val="22"/>
                <w:lang w:val="ru-RU"/>
              </w:rPr>
            </w:pPr>
          </w:p>
        </w:tc>
        <w:tc>
          <w:tcPr>
            <w:tcW w:w="2284" w:type="dxa"/>
          </w:tcPr>
          <w:p w14:paraId="25EAC3A5"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Обязательные: прямая проба Кумбса</w:t>
            </w:r>
          </w:p>
        </w:tc>
      </w:tr>
      <w:tr w:rsidR="00D41B5F" w:rsidRPr="004C7AAC" w14:paraId="66DA56ED" w14:textId="77777777" w:rsidTr="005A428D">
        <w:trPr>
          <w:jc w:val="center"/>
        </w:trPr>
        <w:tc>
          <w:tcPr>
            <w:tcW w:w="2110" w:type="dxa"/>
          </w:tcPr>
          <w:p w14:paraId="1D388B80"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Посттрансфузионная реакция «трансплантат против хозяина» (TA-GVHD, от transfusion-associated graft-versus-host-disease)</w:t>
            </w:r>
          </w:p>
        </w:tc>
        <w:tc>
          <w:tcPr>
            <w:tcW w:w="2340" w:type="dxa"/>
          </w:tcPr>
          <w:p w14:paraId="1D4C5C42"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Введение иммунокомпетентных клеток донора (</w:t>
            </w:r>
            <w:r w:rsidRPr="00CA11E8">
              <w:rPr>
                <w:sz w:val="22"/>
                <w:szCs w:val="22"/>
              </w:rPr>
              <w:t>T</w:t>
            </w:r>
            <w:r w:rsidRPr="00CA11E8">
              <w:rPr>
                <w:sz w:val="22"/>
                <w:szCs w:val="22"/>
                <w:lang w:val="ru-RU"/>
              </w:rPr>
              <w:t xml:space="preserve">-лимфоцитов) иммунокомпрометированному реципиенту приводит к их пролиферации и дифференцировке в организме реципиента, что вызывает повреждение клеток реципиента, экспрессирующих HLA-антигены </w:t>
            </w:r>
            <w:r w:rsidRPr="00CA11E8">
              <w:rPr>
                <w:sz w:val="22"/>
                <w:szCs w:val="22"/>
              </w:rPr>
              <w:t>I</w:t>
            </w:r>
            <w:r w:rsidRPr="00CA11E8">
              <w:rPr>
                <w:sz w:val="22"/>
                <w:szCs w:val="22"/>
                <w:lang w:val="ru-RU"/>
              </w:rPr>
              <w:t xml:space="preserve"> и </w:t>
            </w:r>
            <w:r w:rsidRPr="00CA11E8">
              <w:rPr>
                <w:sz w:val="22"/>
                <w:szCs w:val="22"/>
              </w:rPr>
              <w:t>II</w:t>
            </w:r>
            <w:r w:rsidRPr="00CA11E8">
              <w:rPr>
                <w:sz w:val="22"/>
                <w:szCs w:val="22"/>
                <w:lang w:val="ru-RU"/>
              </w:rPr>
              <w:t> классов (кожа, ЖКТ, печень, селезенка, костный мозг)</w:t>
            </w:r>
          </w:p>
          <w:p w14:paraId="157C10A5"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Характерны кожная эритема, диарея, поражение печени с гепатомегалией</w:t>
            </w:r>
          </w:p>
          <w:p w14:paraId="5397340D"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Синдром может развиваться в сроки от 2 дней до 6 недель после трансфузии</w:t>
            </w:r>
          </w:p>
        </w:tc>
        <w:tc>
          <w:tcPr>
            <w:tcW w:w="2520" w:type="dxa"/>
          </w:tcPr>
          <w:p w14:paraId="6AB4B3B5"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Глюкокортикоиды</w:t>
            </w:r>
          </w:p>
        </w:tc>
        <w:tc>
          <w:tcPr>
            <w:tcW w:w="2284" w:type="dxa"/>
          </w:tcPr>
          <w:p w14:paraId="315F108E"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Обязательные: общий и биохимический (активность АЛТ, АСТ, ЩФ, уровень билирубина) анализ крови, коагулограмма (уровень фибриногена), биопсия кожи с гистологическим исследованием (при наличии кожной эритемы)</w:t>
            </w:r>
          </w:p>
          <w:p w14:paraId="270ADD59"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Дополнительные: исследование химеризма лейкоцитов; УЗИ брюшной полости</w:t>
            </w:r>
          </w:p>
        </w:tc>
      </w:tr>
      <w:tr w:rsidR="00D41B5F" w:rsidRPr="004C7AAC" w14:paraId="056D96F6" w14:textId="77777777" w:rsidTr="005A428D">
        <w:trPr>
          <w:jc w:val="center"/>
        </w:trPr>
        <w:tc>
          <w:tcPr>
            <w:tcW w:w="2110" w:type="dxa"/>
          </w:tcPr>
          <w:p w14:paraId="6145B9C2"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Пострансфузионная пурпура (PTP, от post-transfusion purpura)</w:t>
            </w:r>
          </w:p>
        </w:tc>
        <w:tc>
          <w:tcPr>
            <w:tcW w:w="2340" w:type="dxa"/>
          </w:tcPr>
          <w:p w14:paraId="4AF42463"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Образование антител к тромбоцитам или лейкоцитам (анти-HLA, анти-HPA) через 5—12 дней после трансфузии, проявляющееся выраженной тромбоцитопенией и геморрагическим синдромом</w:t>
            </w:r>
          </w:p>
        </w:tc>
        <w:tc>
          <w:tcPr>
            <w:tcW w:w="2520" w:type="dxa"/>
          </w:tcPr>
          <w:p w14:paraId="1324CCCC"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 xml:space="preserve">Глюкокортикоиды </w:t>
            </w:r>
          </w:p>
        </w:tc>
        <w:tc>
          <w:tcPr>
            <w:tcW w:w="2284" w:type="dxa"/>
          </w:tcPr>
          <w:p w14:paraId="05D177FE"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Обязательные: общий анализ крови, выявление антилейкоцитарных аллоантител (анти-HLA) в сыворотке</w:t>
            </w:r>
          </w:p>
          <w:p w14:paraId="4FF5027F"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Дополнительные: выявление антитромбоцитарных антител (анти-HPA) в сыворотке</w:t>
            </w:r>
          </w:p>
        </w:tc>
      </w:tr>
      <w:tr w:rsidR="00D41B5F" w:rsidRPr="004C7AAC" w14:paraId="6D8970B7" w14:textId="77777777" w:rsidTr="005A428D">
        <w:trPr>
          <w:jc w:val="center"/>
        </w:trPr>
        <w:tc>
          <w:tcPr>
            <w:tcW w:w="2110" w:type="dxa"/>
            <w:vMerge w:val="restart"/>
          </w:tcPr>
          <w:p w14:paraId="58450028"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Другие</w:t>
            </w:r>
          </w:p>
        </w:tc>
        <w:tc>
          <w:tcPr>
            <w:tcW w:w="2340" w:type="dxa"/>
          </w:tcPr>
          <w:p w14:paraId="6A23DF7C"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Септический шок при переливании инфицированного компонента крови</w:t>
            </w:r>
          </w:p>
        </w:tc>
        <w:tc>
          <w:tcPr>
            <w:tcW w:w="2520" w:type="dxa"/>
          </w:tcPr>
          <w:p w14:paraId="7D4199E5"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Антибактериальная терапия широкого спектра действия, противошоковая терапия</w:t>
            </w:r>
          </w:p>
        </w:tc>
        <w:tc>
          <w:tcPr>
            <w:tcW w:w="2284" w:type="dxa"/>
          </w:tcPr>
          <w:p w14:paraId="58B9DE13"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Обязательные: бактериологическое исследование крови</w:t>
            </w:r>
          </w:p>
        </w:tc>
      </w:tr>
      <w:tr w:rsidR="00D41B5F" w:rsidRPr="004C7AAC" w14:paraId="383EF2FC" w14:textId="77777777" w:rsidTr="005A428D">
        <w:trPr>
          <w:jc w:val="center"/>
        </w:trPr>
        <w:tc>
          <w:tcPr>
            <w:tcW w:w="2110" w:type="dxa"/>
            <w:vMerge/>
          </w:tcPr>
          <w:p w14:paraId="4CB61950" w14:textId="77777777" w:rsidR="00D41B5F" w:rsidRPr="00CA11E8" w:rsidRDefault="00D41B5F" w:rsidP="005A428D">
            <w:pPr>
              <w:pStyle w:val="table-text-0"/>
              <w:spacing w:before="0" w:line="360" w:lineRule="auto"/>
              <w:rPr>
                <w:sz w:val="22"/>
                <w:szCs w:val="22"/>
                <w:lang w:val="ru-RU"/>
              </w:rPr>
            </w:pPr>
          </w:p>
        </w:tc>
        <w:tc>
          <w:tcPr>
            <w:tcW w:w="2340" w:type="dxa"/>
          </w:tcPr>
          <w:p w14:paraId="00F5DD38"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Перегрузка железом (гемосидероз) органов в результате множественных переливаний эритроцитов</w:t>
            </w:r>
          </w:p>
        </w:tc>
        <w:tc>
          <w:tcPr>
            <w:tcW w:w="2520" w:type="dxa"/>
          </w:tcPr>
          <w:p w14:paraId="733467EF"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Комплексообразующие средства (деферазирокс, 15—20 мг/кг или другой препарат с аналогичным действием)</w:t>
            </w:r>
          </w:p>
        </w:tc>
        <w:tc>
          <w:tcPr>
            <w:tcW w:w="2284" w:type="dxa"/>
          </w:tcPr>
          <w:p w14:paraId="3C843DAD"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Обязательные: определение уровня ферритина в сыворотке (не должен превышать 1000 мкг/л)</w:t>
            </w:r>
          </w:p>
        </w:tc>
      </w:tr>
    </w:tbl>
    <w:p w14:paraId="61FC7EEB" w14:textId="77777777" w:rsidR="00D41B5F" w:rsidRPr="008E43BE" w:rsidRDefault="00D41B5F" w:rsidP="00D41B5F">
      <w:pPr>
        <w:rPr>
          <w:sz w:val="20"/>
          <w:szCs w:val="20"/>
        </w:rPr>
      </w:pPr>
      <w:r w:rsidRPr="008E43BE">
        <w:rPr>
          <w:sz w:val="20"/>
          <w:szCs w:val="20"/>
        </w:rPr>
        <w:t>* Контейнер с компонентом крови, при трансфузии которого возникла реакция или осложнение, передается в установленном порядке для оценки параметров качества и безопасности.</w:t>
      </w:r>
    </w:p>
    <w:p w14:paraId="2E9DE140" w14:textId="77777777" w:rsidR="00D41B5F" w:rsidRDefault="00D41B5F" w:rsidP="00D41B5F">
      <w:pPr>
        <w:ind w:firstLine="708"/>
        <w:rPr>
          <w:szCs w:val="24"/>
        </w:rPr>
      </w:pPr>
    </w:p>
    <w:p w14:paraId="79D732F5" w14:textId="77777777" w:rsidR="00D41B5F" w:rsidRDefault="00D41B5F" w:rsidP="00D41B5F">
      <w:pPr>
        <w:ind w:firstLine="708"/>
        <w:rPr>
          <w:szCs w:val="24"/>
        </w:rPr>
      </w:pPr>
      <w:r w:rsidRPr="002D194B">
        <w:rPr>
          <w:szCs w:val="24"/>
        </w:rPr>
        <w:t>Степень тяжести посттрансфузионных реакции и осложнений можно определить по шкале</w:t>
      </w:r>
      <w:r>
        <w:rPr>
          <w:szCs w:val="24"/>
        </w:rPr>
        <w:t>,</w:t>
      </w:r>
      <w:r w:rsidRPr="002D194B">
        <w:rPr>
          <w:szCs w:val="24"/>
        </w:rPr>
        <w:t xml:space="preserve"> приведенной в табл</w:t>
      </w:r>
      <w:r>
        <w:rPr>
          <w:szCs w:val="24"/>
        </w:rPr>
        <w:t>. </w:t>
      </w:r>
      <w:r w:rsidRPr="002D194B">
        <w:rPr>
          <w:szCs w:val="24"/>
        </w:rPr>
        <w:t>4.</w:t>
      </w:r>
    </w:p>
    <w:p w14:paraId="4FCAD19F" w14:textId="77777777" w:rsidR="00D41B5F" w:rsidRDefault="00D41B5F" w:rsidP="00D41B5F">
      <w:pPr>
        <w:rPr>
          <w:bCs/>
          <w:szCs w:val="24"/>
        </w:rPr>
      </w:pPr>
    </w:p>
    <w:p w14:paraId="32D89AE7" w14:textId="77777777" w:rsidR="00D41B5F" w:rsidRPr="008E43BE" w:rsidRDefault="00D41B5F" w:rsidP="00D41B5F">
      <w:pPr>
        <w:rPr>
          <w:szCs w:val="24"/>
        </w:rPr>
      </w:pPr>
      <w:r w:rsidRPr="008E43BE">
        <w:rPr>
          <w:bCs/>
          <w:szCs w:val="24"/>
        </w:rPr>
        <w:t>Таблица 4. Шкала степени тяжести реакции или осложнения</w:t>
      </w: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0"/>
        <w:gridCol w:w="7380"/>
      </w:tblGrid>
      <w:tr w:rsidR="00D41B5F" w:rsidRPr="004C7AAC" w14:paraId="3F4FD16B" w14:textId="77777777" w:rsidTr="005A428D">
        <w:tc>
          <w:tcPr>
            <w:tcW w:w="1800" w:type="dxa"/>
          </w:tcPr>
          <w:p w14:paraId="3ABB571A" w14:textId="77777777" w:rsidR="00D41B5F" w:rsidRPr="002F2E09" w:rsidRDefault="00D41B5F" w:rsidP="005A428D">
            <w:pPr>
              <w:pStyle w:val="Table-head-italic"/>
              <w:spacing w:line="360" w:lineRule="auto"/>
              <w:rPr>
                <w:i w:val="0"/>
                <w:sz w:val="22"/>
                <w:szCs w:val="22"/>
                <w:lang w:val="ru-RU"/>
              </w:rPr>
            </w:pPr>
            <w:r w:rsidRPr="002F2E09">
              <w:rPr>
                <w:i w:val="0"/>
                <w:sz w:val="22"/>
                <w:szCs w:val="22"/>
                <w:lang w:val="ru-RU"/>
              </w:rPr>
              <w:t>Категори</w:t>
            </w:r>
            <w:r>
              <w:rPr>
                <w:i w:val="0"/>
                <w:sz w:val="22"/>
                <w:szCs w:val="22"/>
                <w:lang w:val="ru-RU"/>
              </w:rPr>
              <w:t>я</w:t>
            </w:r>
          </w:p>
        </w:tc>
        <w:tc>
          <w:tcPr>
            <w:tcW w:w="7380" w:type="dxa"/>
          </w:tcPr>
          <w:p w14:paraId="4009495A" w14:textId="77777777" w:rsidR="00D41B5F" w:rsidRPr="002F2E09" w:rsidRDefault="00D41B5F" w:rsidP="005A428D">
            <w:pPr>
              <w:pStyle w:val="Table-head-italic"/>
              <w:spacing w:line="360" w:lineRule="auto"/>
              <w:rPr>
                <w:i w:val="0"/>
                <w:sz w:val="22"/>
                <w:szCs w:val="22"/>
                <w:lang w:val="ru-RU"/>
              </w:rPr>
            </w:pPr>
            <w:r>
              <w:rPr>
                <w:i w:val="0"/>
                <w:sz w:val="22"/>
                <w:szCs w:val="22"/>
                <w:lang w:val="ru-RU"/>
              </w:rPr>
              <w:t>Определение</w:t>
            </w:r>
          </w:p>
        </w:tc>
      </w:tr>
      <w:tr w:rsidR="00D41B5F" w:rsidRPr="004C7AAC" w14:paraId="16EC420E" w14:textId="77777777" w:rsidTr="005A428D">
        <w:tc>
          <w:tcPr>
            <w:tcW w:w="1800" w:type="dxa"/>
          </w:tcPr>
          <w:p w14:paraId="7421D9E6" w14:textId="77777777" w:rsidR="00D41B5F" w:rsidRPr="002F2E09" w:rsidRDefault="00D41B5F" w:rsidP="005A428D">
            <w:pPr>
              <w:pStyle w:val="table-text-0"/>
              <w:spacing w:before="0" w:line="360" w:lineRule="auto"/>
              <w:rPr>
                <w:sz w:val="22"/>
                <w:szCs w:val="22"/>
                <w:lang w:val="ru-RU"/>
              </w:rPr>
            </w:pPr>
            <w:r w:rsidRPr="002F2E09">
              <w:rPr>
                <w:sz w:val="22"/>
                <w:szCs w:val="22"/>
                <w:lang w:val="ru-RU"/>
              </w:rPr>
              <w:t>0</w:t>
            </w:r>
          </w:p>
        </w:tc>
        <w:tc>
          <w:tcPr>
            <w:tcW w:w="7380" w:type="dxa"/>
          </w:tcPr>
          <w:p w14:paraId="51B13933" w14:textId="77777777" w:rsidR="00D41B5F" w:rsidRPr="002F2E09" w:rsidRDefault="00D41B5F" w:rsidP="005A428D">
            <w:pPr>
              <w:pStyle w:val="table-text-0"/>
              <w:spacing w:before="0" w:line="360" w:lineRule="auto"/>
              <w:rPr>
                <w:sz w:val="22"/>
                <w:szCs w:val="22"/>
                <w:lang w:val="ru-RU"/>
              </w:rPr>
            </w:pPr>
            <w:r w:rsidRPr="002F2E09">
              <w:rPr>
                <w:sz w:val="22"/>
                <w:szCs w:val="22"/>
                <w:lang w:val="ru-RU"/>
              </w:rPr>
              <w:t>Реакци</w:t>
            </w:r>
            <w:r>
              <w:rPr>
                <w:sz w:val="22"/>
                <w:szCs w:val="22"/>
                <w:lang w:val="ru-RU"/>
              </w:rPr>
              <w:t>и</w:t>
            </w:r>
            <w:r w:rsidRPr="002F2E09">
              <w:rPr>
                <w:sz w:val="22"/>
                <w:szCs w:val="22"/>
                <w:lang w:val="ru-RU"/>
              </w:rPr>
              <w:t xml:space="preserve"> и осложнений нет</w:t>
            </w:r>
          </w:p>
        </w:tc>
      </w:tr>
      <w:tr w:rsidR="00D41B5F" w:rsidRPr="004C7AAC" w14:paraId="15D3142F" w14:textId="77777777" w:rsidTr="005A428D">
        <w:tc>
          <w:tcPr>
            <w:tcW w:w="1800" w:type="dxa"/>
          </w:tcPr>
          <w:p w14:paraId="00AED57A" w14:textId="77777777" w:rsidR="00D41B5F" w:rsidRPr="002F2E09" w:rsidRDefault="00D41B5F" w:rsidP="005A428D">
            <w:pPr>
              <w:pStyle w:val="table-text-0"/>
              <w:spacing w:before="0" w:line="360" w:lineRule="auto"/>
              <w:rPr>
                <w:sz w:val="22"/>
                <w:szCs w:val="22"/>
                <w:lang w:val="ru-RU"/>
              </w:rPr>
            </w:pPr>
            <w:r w:rsidRPr="002F2E09">
              <w:rPr>
                <w:sz w:val="22"/>
                <w:szCs w:val="22"/>
                <w:lang w:val="ru-RU"/>
              </w:rPr>
              <w:t>1</w:t>
            </w:r>
          </w:p>
        </w:tc>
        <w:tc>
          <w:tcPr>
            <w:tcW w:w="7380" w:type="dxa"/>
          </w:tcPr>
          <w:p w14:paraId="4E405A3F" w14:textId="77777777" w:rsidR="00D41B5F" w:rsidRPr="002F2E09" w:rsidRDefault="00D41B5F" w:rsidP="005A428D">
            <w:pPr>
              <w:pStyle w:val="table-text-0"/>
              <w:spacing w:before="0" w:line="360" w:lineRule="auto"/>
              <w:rPr>
                <w:sz w:val="22"/>
                <w:szCs w:val="22"/>
                <w:lang w:val="ru-RU"/>
              </w:rPr>
            </w:pPr>
            <w:r w:rsidRPr="002F2E09">
              <w:rPr>
                <w:sz w:val="22"/>
                <w:szCs w:val="22"/>
                <w:lang w:val="ru-RU"/>
              </w:rPr>
              <w:t>Легкой степени: температура &lt;</w:t>
            </w:r>
            <w:r>
              <w:rPr>
                <w:sz w:val="22"/>
                <w:szCs w:val="22"/>
                <w:lang w:val="ru-RU"/>
              </w:rPr>
              <w:t> </w:t>
            </w:r>
            <w:r w:rsidRPr="002F2E09">
              <w:rPr>
                <w:sz w:val="22"/>
                <w:szCs w:val="22"/>
                <w:lang w:val="ru-RU"/>
              </w:rPr>
              <w:t>38</w:t>
            </w:r>
            <w:r w:rsidRPr="003511FE">
              <w:rPr>
                <w:rFonts w:ascii="Symbol" w:hAnsi="Symbol" w:cs="Symbol"/>
              </w:rPr>
              <w:t></w:t>
            </w:r>
            <w:r>
              <w:rPr>
                <w:sz w:val="22"/>
                <w:szCs w:val="22"/>
              </w:rPr>
              <w:t>C</w:t>
            </w:r>
            <w:r w:rsidRPr="002F2E09">
              <w:rPr>
                <w:sz w:val="22"/>
                <w:szCs w:val="22"/>
                <w:lang w:val="ru-RU"/>
              </w:rPr>
              <w:t xml:space="preserve">, другие незначительные симптомы, без долгосрочных </w:t>
            </w:r>
            <w:r>
              <w:rPr>
                <w:sz w:val="22"/>
                <w:szCs w:val="22"/>
                <w:lang w:val="ru-RU"/>
              </w:rPr>
              <w:t xml:space="preserve">патологических </w:t>
            </w:r>
            <w:r w:rsidRPr="002F2E09">
              <w:rPr>
                <w:sz w:val="22"/>
                <w:szCs w:val="22"/>
                <w:lang w:val="ru-RU"/>
              </w:rPr>
              <w:t xml:space="preserve">последствий. </w:t>
            </w:r>
            <w:r w:rsidRPr="002F2E09">
              <w:rPr>
                <w:sz w:val="22"/>
                <w:szCs w:val="22"/>
                <w:u w:val="single"/>
                <w:lang w:val="ru-RU"/>
              </w:rPr>
              <w:t>Не требует</w:t>
            </w:r>
            <w:r>
              <w:rPr>
                <w:sz w:val="22"/>
                <w:szCs w:val="22"/>
                <w:u w:val="single"/>
                <w:lang w:val="ru-RU"/>
              </w:rPr>
              <w:t xml:space="preserve"> </w:t>
            </w:r>
            <w:r w:rsidRPr="002F2E09">
              <w:rPr>
                <w:sz w:val="22"/>
                <w:szCs w:val="22"/>
                <w:u w:val="single"/>
                <w:lang w:val="ru-RU"/>
              </w:rPr>
              <w:t>терапевтического вмешательства</w:t>
            </w:r>
          </w:p>
        </w:tc>
      </w:tr>
      <w:tr w:rsidR="00D41B5F" w:rsidRPr="004C7AAC" w14:paraId="0E6ED3F9" w14:textId="77777777" w:rsidTr="005A428D">
        <w:tc>
          <w:tcPr>
            <w:tcW w:w="1800" w:type="dxa"/>
          </w:tcPr>
          <w:p w14:paraId="5DBA003A" w14:textId="77777777" w:rsidR="00D41B5F" w:rsidRPr="002F2E09" w:rsidRDefault="00D41B5F" w:rsidP="005A428D">
            <w:pPr>
              <w:pStyle w:val="table-text-0"/>
              <w:spacing w:before="0" w:line="360" w:lineRule="auto"/>
              <w:rPr>
                <w:sz w:val="22"/>
                <w:szCs w:val="22"/>
                <w:lang w:val="ru-RU"/>
              </w:rPr>
            </w:pPr>
            <w:r w:rsidRPr="002F2E09">
              <w:rPr>
                <w:sz w:val="22"/>
                <w:szCs w:val="22"/>
                <w:lang w:val="ru-RU"/>
              </w:rPr>
              <w:t>2</w:t>
            </w:r>
          </w:p>
        </w:tc>
        <w:tc>
          <w:tcPr>
            <w:tcW w:w="7380" w:type="dxa"/>
          </w:tcPr>
          <w:p w14:paraId="43A790E7" w14:textId="77777777" w:rsidR="00D41B5F" w:rsidRPr="002F2E09" w:rsidRDefault="00D41B5F" w:rsidP="005A428D">
            <w:pPr>
              <w:pStyle w:val="table-text-0"/>
              <w:spacing w:before="0" w:line="360" w:lineRule="auto"/>
              <w:rPr>
                <w:sz w:val="22"/>
                <w:szCs w:val="22"/>
                <w:lang w:val="ru-RU"/>
              </w:rPr>
            </w:pPr>
            <w:r w:rsidRPr="002F2E09">
              <w:rPr>
                <w:sz w:val="22"/>
                <w:szCs w:val="22"/>
                <w:lang w:val="ru-RU"/>
              </w:rPr>
              <w:t>Средней степени: симптомы, требующие терапевтического вмешательства, стабильные гемодинамические и вентиляционные показатели, возможны долгосрочные последствия (например</w:t>
            </w:r>
            <w:r>
              <w:rPr>
                <w:sz w:val="22"/>
                <w:szCs w:val="22"/>
                <w:lang w:val="ru-RU"/>
              </w:rPr>
              <w:t>,</w:t>
            </w:r>
            <w:r w:rsidRPr="002F2E09">
              <w:rPr>
                <w:sz w:val="22"/>
                <w:szCs w:val="22"/>
                <w:lang w:val="ru-RU"/>
              </w:rPr>
              <w:t xml:space="preserve"> аллосенсибилизация в качестве причины рефрактерности к трансфузиям)</w:t>
            </w:r>
          </w:p>
        </w:tc>
      </w:tr>
      <w:tr w:rsidR="00D41B5F" w:rsidRPr="004C7AAC" w14:paraId="00E3C372" w14:textId="77777777" w:rsidTr="005A428D">
        <w:tc>
          <w:tcPr>
            <w:tcW w:w="1800" w:type="dxa"/>
          </w:tcPr>
          <w:p w14:paraId="4CC6BA11" w14:textId="77777777" w:rsidR="00D41B5F" w:rsidRPr="002F2E09" w:rsidRDefault="00D41B5F" w:rsidP="005A428D">
            <w:pPr>
              <w:pStyle w:val="table-text-0"/>
              <w:spacing w:before="0" w:line="360" w:lineRule="auto"/>
              <w:rPr>
                <w:sz w:val="22"/>
                <w:szCs w:val="22"/>
                <w:lang w:val="ru-RU"/>
              </w:rPr>
            </w:pPr>
            <w:r w:rsidRPr="002F2E09">
              <w:rPr>
                <w:sz w:val="22"/>
                <w:szCs w:val="22"/>
                <w:lang w:val="ru-RU"/>
              </w:rPr>
              <w:t>3</w:t>
            </w:r>
          </w:p>
        </w:tc>
        <w:tc>
          <w:tcPr>
            <w:tcW w:w="7380" w:type="dxa"/>
          </w:tcPr>
          <w:p w14:paraId="7EDD0A5E" w14:textId="77777777" w:rsidR="00D41B5F" w:rsidRPr="002F2E09" w:rsidRDefault="00D41B5F" w:rsidP="005A428D">
            <w:pPr>
              <w:pStyle w:val="table-text-0"/>
              <w:spacing w:before="0" w:line="360" w:lineRule="auto"/>
              <w:rPr>
                <w:sz w:val="22"/>
                <w:szCs w:val="22"/>
                <w:lang w:val="ru-RU"/>
              </w:rPr>
            </w:pPr>
            <w:r w:rsidRPr="002F2E09">
              <w:rPr>
                <w:sz w:val="22"/>
                <w:szCs w:val="22"/>
                <w:lang w:val="ru-RU"/>
              </w:rPr>
              <w:t>Тяжелой степени (непосредственная угроза жизни реципиента): нестабильные гемодинамичес</w:t>
            </w:r>
            <w:r>
              <w:rPr>
                <w:sz w:val="22"/>
                <w:szCs w:val="22"/>
                <w:lang w:val="ru-RU"/>
              </w:rPr>
              <w:t>кие и вентиляционные показатели</w:t>
            </w:r>
          </w:p>
        </w:tc>
      </w:tr>
      <w:tr w:rsidR="00D41B5F" w:rsidRPr="00CA11E8" w14:paraId="4338F8B9" w14:textId="77777777" w:rsidTr="005A428D">
        <w:tc>
          <w:tcPr>
            <w:tcW w:w="1800" w:type="dxa"/>
          </w:tcPr>
          <w:p w14:paraId="3CCD934D"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4</w:t>
            </w:r>
          </w:p>
        </w:tc>
        <w:tc>
          <w:tcPr>
            <w:tcW w:w="7380" w:type="dxa"/>
          </w:tcPr>
          <w:p w14:paraId="3598D53B" w14:textId="77777777" w:rsidR="00D41B5F" w:rsidRPr="00CA11E8" w:rsidRDefault="00D41B5F" w:rsidP="005A428D">
            <w:pPr>
              <w:pStyle w:val="table-text-0"/>
              <w:spacing w:before="0" w:line="360" w:lineRule="auto"/>
              <w:rPr>
                <w:sz w:val="22"/>
                <w:szCs w:val="22"/>
                <w:lang w:val="ru-RU"/>
              </w:rPr>
            </w:pPr>
            <w:r w:rsidRPr="00CA11E8">
              <w:rPr>
                <w:sz w:val="22"/>
                <w:szCs w:val="22"/>
                <w:lang w:val="ru-RU"/>
              </w:rPr>
              <w:t>Смерть от осложнения, выявленного в первые 24 часов после трансфузии</w:t>
            </w:r>
          </w:p>
        </w:tc>
      </w:tr>
    </w:tbl>
    <w:p w14:paraId="7BAAA533" w14:textId="77777777" w:rsidR="00D41B5F" w:rsidRDefault="00D41B5F" w:rsidP="00D41B5F">
      <w:pPr>
        <w:jc w:val="center"/>
        <w:rPr>
          <w:b/>
          <w:bCs/>
          <w:szCs w:val="24"/>
        </w:rPr>
      </w:pPr>
    </w:p>
    <w:p w14:paraId="5C90871E" w14:textId="77777777" w:rsidR="00D41B5F" w:rsidRPr="00360841" w:rsidRDefault="00D41B5F" w:rsidP="00D41B5F">
      <w:pPr>
        <w:rPr>
          <w:bCs/>
          <w:i/>
          <w:szCs w:val="24"/>
          <w:u w:val="single"/>
        </w:rPr>
      </w:pPr>
      <w:r w:rsidRPr="00360841">
        <w:rPr>
          <w:bCs/>
          <w:i/>
          <w:szCs w:val="24"/>
          <w:u w:val="single"/>
        </w:rPr>
        <w:t>Премедикация перед проведением трансфузии компонентов донорской крови</w:t>
      </w:r>
    </w:p>
    <w:p w14:paraId="2F9C71D3" w14:textId="77777777" w:rsidR="00D41B5F" w:rsidRDefault="00D41B5F" w:rsidP="00D41B5F">
      <w:pPr>
        <w:ind w:firstLine="709"/>
        <w:rPr>
          <w:bCs/>
          <w:szCs w:val="24"/>
        </w:rPr>
      </w:pPr>
      <w:r>
        <w:rPr>
          <w:bCs/>
          <w:szCs w:val="24"/>
        </w:rPr>
        <w:t xml:space="preserve">Для профилактики нежелательных реакций на трансфузию при неоднократном проведении трансфузий компонентов крови может потребоваться премедикация. </w:t>
      </w:r>
      <w:r w:rsidRPr="00BC3659">
        <w:rPr>
          <w:bCs/>
          <w:szCs w:val="24"/>
        </w:rPr>
        <w:t>Алгоритм выбора премедикации перед проведением трансфузии компонентов донорской крови</w:t>
      </w:r>
      <w:r>
        <w:rPr>
          <w:bCs/>
          <w:szCs w:val="24"/>
        </w:rPr>
        <w:t xml:space="preserve"> приведен в табл.5.</w:t>
      </w:r>
    </w:p>
    <w:p w14:paraId="1FC78305" w14:textId="77777777" w:rsidR="00D41B5F" w:rsidRDefault="00D41B5F" w:rsidP="00D41B5F">
      <w:pPr>
        <w:rPr>
          <w:bCs/>
          <w:szCs w:val="24"/>
        </w:rPr>
      </w:pPr>
    </w:p>
    <w:p w14:paraId="43FA28B7" w14:textId="77777777" w:rsidR="00D41B5F" w:rsidRPr="00BC3659" w:rsidRDefault="00D41B5F" w:rsidP="00D41B5F">
      <w:pPr>
        <w:rPr>
          <w:bCs/>
          <w:szCs w:val="24"/>
        </w:rPr>
      </w:pPr>
      <w:r>
        <w:rPr>
          <w:bCs/>
          <w:szCs w:val="24"/>
        </w:rPr>
        <w:t>Таблица 5. В</w:t>
      </w:r>
      <w:r w:rsidRPr="00BC3659">
        <w:rPr>
          <w:bCs/>
          <w:szCs w:val="24"/>
        </w:rPr>
        <w:t>ыбор премедикации перед проведением трансфузии компонентов донорской крови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1"/>
        <w:gridCol w:w="2550"/>
        <w:gridCol w:w="4525"/>
      </w:tblGrid>
      <w:tr w:rsidR="00D41B5F" w:rsidRPr="00915AAD" w14:paraId="3393529D" w14:textId="77777777" w:rsidTr="005A428D">
        <w:tc>
          <w:tcPr>
            <w:tcW w:w="3208" w:type="dxa"/>
            <w:shd w:val="clear" w:color="auto" w:fill="auto"/>
          </w:tcPr>
          <w:p w14:paraId="6EF8BC69" w14:textId="77777777" w:rsidR="00D41B5F" w:rsidRPr="007A2B03" w:rsidRDefault="00D41B5F" w:rsidP="005A428D">
            <w:pPr>
              <w:jc w:val="center"/>
              <w:rPr>
                <w:bCs/>
              </w:rPr>
            </w:pPr>
            <w:r w:rsidRPr="007A2B03">
              <w:rPr>
                <w:bCs/>
              </w:rPr>
              <w:t>Вид реакции или осложнения, связанный с переливанием донорской крови и/или её компонентов, зафиксированных при предыдущих трансфузиях</w:t>
            </w:r>
          </w:p>
        </w:tc>
        <w:tc>
          <w:tcPr>
            <w:tcW w:w="3082" w:type="dxa"/>
            <w:shd w:val="clear" w:color="auto" w:fill="auto"/>
          </w:tcPr>
          <w:p w14:paraId="5760F05E" w14:textId="77777777" w:rsidR="00D41B5F" w:rsidRPr="007A2B03" w:rsidRDefault="00D41B5F" w:rsidP="005A428D">
            <w:pPr>
              <w:jc w:val="center"/>
              <w:rPr>
                <w:bCs/>
              </w:rPr>
            </w:pPr>
            <w:r w:rsidRPr="007A2B03">
              <w:rPr>
                <w:bCs/>
              </w:rPr>
              <w:t>Наименование компонента донорской крови, показанного для предстоящей трансфузии</w:t>
            </w:r>
          </w:p>
        </w:tc>
        <w:tc>
          <w:tcPr>
            <w:tcW w:w="8270" w:type="dxa"/>
            <w:shd w:val="clear" w:color="auto" w:fill="auto"/>
          </w:tcPr>
          <w:p w14:paraId="3CF23977" w14:textId="77777777" w:rsidR="00D41B5F" w:rsidRPr="007A2B03" w:rsidRDefault="00D41B5F" w:rsidP="005A428D">
            <w:pPr>
              <w:jc w:val="center"/>
              <w:rPr>
                <w:bCs/>
              </w:rPr>
            </w:pPr>
            <w:r w:rsidRPr="007A2B03">
              <w:rPr>
                <w:bCs/>
              </w:rPr>
              <w:t>Премедикация перед предстоящей трансфузией</w:t>
            </w:r>
          </w:p>
        </w:tc>
      </w:tr>
      <w:tr w:rsidR="00D41B5F" w:rsidRPr="00915AAD" w14:paraId="4AC7087B" w14:textId="77777777" w:rsidTr="005A428D">
        <w:tc>
          <w:tcPr>
            <w:tcW w:w="14560" w:type="dxa"/>
            <w:gridSpan w:val="3"/>
            <w:shd w:val="clear" w:color="auto" w:fill="auto"/>
          </w:tcPr>
          <w:p w14:paraId="35D51658" w14:textId="77777777" w:rsidR="00D41B5F" w:rsidRPr="007A2B03" w:rsidRDefault="00D41B5F" w:rsidP="005A428D">
            <w:pPr>
              <w:jc w:val="center"/>
              <w:rPr>
                <w:b/>
                <w:bCs/>
              </w:rPr>
            </w:pPr>
            <w:r w:rsidRPr="007A2B03">
              <w:rPr>
                <w:b/>
                <w:bCs/>
              </w:rPr>
              <w:t>А. Пациент без трансфузий донорской крови и/или её компонентов в анамнезе</w:t>
            </w:r>
          </w:p>
        </w:tc>
      </w:tr>
      <w:tr w:rsidR="00D41B5F" w:rsidRPr="00915AAD" w14:paraId="45FD8A04" w14:textId="77777777" w:rsidTr="005A428D">
        <w:tc>
          <w:tcPr>
            <w:tcW w:w="3208" w:type="dxa"/>
            <w:shd w:val="clear" w:color="auto" w:fill="auto"/>
          </w:tcPr>
          <w:p w14:paraId="509D40B5" w14:textId="77777777" w:rsidR="00D41B5F" w:rsidRPr="007A2B03" w:rsidRDefault="00D41B5F" w:rsidP="005A428D">
            <w:r w:rsidRPr="007A2B03">
              <w:t>-</w:t>
            </w:r>
          </w:p>
        </w:tc>
        <w:tc>
          <w:tcPr>
            <w:tcW w:w="3082" w:type="dxa"/>
            <w:shd w:val="clear" w:color="auto" w:fill="auto"/>
          </w:tcPr>
          <w:p w14:paraId="3BC83A6B" w14:textId="77777777" w:rsidR="00D41B5F" w:rsidRPr="007A2B03" w:rsidRDefault="00D41B5F" w:rsidP="005A428D">
            <w:r w:rsidRPr="007A2B03">
              <w:t>Любой компонент донорской крови</w:t>
            </w:r>
          </w:p>
        </w:tc>
        <w:tc>
          <w:tcPr>
            <w:tcW w:w="8270" w:type="dxa"/>
            <w:shd w:val="clear" w:color="auto" w:fill="auto"/>
          </w:tcPr>
          <w:p w14:paraId="0B75EC79" w14:textId="77777777" w:rsidR="00D41B5F" w:rsidRPr="007A2B03" w:rsidRDefault="00D41B5F" w:rsidP="005A428D">
            <w:r w:rsidRPr="007A2B03">
              <w:t>10 мл 10% кальция глюконата в 100 мл 0,9% раствора NaC</w:t>
            </w:r>
            <w:r w:rsidRPr="007A2B03">
              <w:rPr>
                <w:lang w:val="en-US"/>
              </w:rPr>
              <w:t>l</w:t>
            </w:r>
            <w:r w:rsidRPr="007A2B03">
              <w:t xml:space="preserve"> в/в капельно</w:t>
            </w:r>
          </w:p>
        </w:tc>
      </w:tr>
      <w:tr w:rsidR="00D41B5F" w:rsidRPr="00915AAD" w14:paraId="05E0BCDB" w14:textId="77777777" w:rsidTr="005A428D">
        <w:tc>
          <w:tcPr>
            <w:tcW w:w="14560" w:type="dxa"/>
            <w:gridSpan w:val="3"/>
            <w:shd w:val="clear" w:color="auto" w:fill="auto"/>
          </w:tcPr>
          <w:p w14:paraId="2AA48DCD" w14:textId="77777777" w:rsidR="00D41B5F" w:rsidRPr="007A2B03" w:rsidRDefault="00D41B5F" w:rsidP="005A428D">
            <w:pPr>
              <w:jc w:val="center"/>
              <w:rPr>
                <w:b/>
                <w:bCs/>
              </w:rPr>
            </w:pPr>
            <w:r w:rsidRPr="007A2B03">
              <w:rPr>
                <w:b/>
                <w:bCs/>
              </w:rPr>
              <w:t>Б. Пациент с трансфузией донорской крови и/или её компонентов без реакций или осложнений в анамнезе*</w:t>
            </w:r>
          </w:p>
        </w:tc>
      </w:tr>
      <w:tr w:rsidR="00D41B5F" w:rsidRPr="00915AAD" w14:paraId="71651CCB" w14:textId="77777777" w:rsidTr="005A428D">
        <w:tc>
          <w:tcPr>
            <w:tcW w:w="3208" w:type="dxa"/>
            <w:shd w:val="clear" w:color="auto" w:fill="auto"/>
          </w:tcPr>
          <w:p w14:paraId="19B9C6B2" w14:textId="77777777" w:rsidR="00D41B5F" w:rsidRPr="007A2B03" w:rsidRDefault="00D41B5F" w:rsidP="005A428D">
            <w:r w:rsidRPr="007A2B03">
              <w:t>-</w:t>
            </w:r>
          </w:p>
        </w:tc>
        <w:tc>
          <w:tcPr>
            <w:tcW w:w="3082" w:type="dxa"/>
            <w:shd w:val="clear" w:color="auto" w:fill="auto"/>
          </w:tcPr>
          <w:p w14:paraId="070869CB" w14:textId="77777777" w:rsidR="00D41B5F" w:rsidRPr="007A2B03" w:rsidRDefault="00D41B5F" w:rsidP="005A428D">
            <w:r w:rsidRPr="007A2B03">
              <w:t>Любой компонент донорской крови</w:t>
            </w:r>
          </w:p>
        </w:tc>
        <w:tc>
          <w:tcPr>
            <w:tcW w:w="8270" w:type="dxa"/>
            <w:shd w:val="clear" w:color="auto" w:fill="auto"/>
          </w:tcPr>
          <w:p w14:paraId="68CF3D07" w14:textId="77777777" w:rsidR="00D41B5F" w:rsidRPr="007A2B03" w:rsidRDefault="00D41B5F" w:rsidP="005A428D">
            <w:r w:rsidRPr="007A2B03">
              <w:t>10 мл 10% кальция глюконата в 100 мл 0,9% раствора NaC</w:t>
            </w:r>
            <w:r w:rsidRPr="007A2B03">
              <w:rPr>
                <w:lang w:val="en-US"/>
              </w:rPr>
              <w:t>l</w:t>
            </w:r>
            <w:r w:rsidRPr="007A2B03">
              <w:t xml:space="preserve"> в/в капельно</w:t>
            </w:r>
          </w:p>
        </w:tc>
      </w:tr>
      <w:tr w:rsidR="00D41B5F" w:rsidRPr="00915AAD" w14:paraId="79E30552" w14:textId="77777777" w:rsidTr="005A428D">
        <w:tc>
          <w:tcPr>
            <w:tcW w:w="14560" w:type="dxa"/>
            <w:gridSpan w:val="3"/>
            <w:shd w:val="clear" w:color="auto" w:fill="auto"/>
          </w:tcPr>
          <w:p w14:paraId="4F0E7D20" w14:textId="77777777" w:rsidR="00D41B5F" w:rsidRPr="007A2B03" w:rsidRDefault="00D41B5F" w:rsidP="005A428D">
            <w:pPr>
              <w:jc w:val="center"/>
              <w:rPr>
                <w:b/>
                <w:bCs/>
              </w:rPr>
            </w:pPr>
            <w:r w:rsidRPr="007A2B03">
              <w:rPr>
                <w:b/>
                <w:bCs/>
              </w:rPr>
              <w:t>В. Пациент с трансфузией донорской крови и/или её компонентов с реакциями или осложнениями на в анамнезе</w:t>
            </w:r>
          </w:p>
        </w:tc>
      </w:tr>
      <w:tr w:rsidR="00D41B5F" w:rsidRPr="00915AAD" w14:paraId="3B034CA6" w14:textId="77777777" w:rsidTr="005A428D">
        <w:tc>
          <w:tcPr>
            <w:tcW w:w="14560" w:type="dxa"/>
            <w:gridSpan w:val="3"/>
            <w:shd w:val="clear" w:color="auto" w:fill="auto"/>
          </w:tcPr>
          <w:p w14:paraId="15500CAF" w14:textId="77777777" w:rsidR="00D41B5F" w:rsidRPr="007A2B03" w:rsidRDefault="00D41B5F" w:rsidP="0091350E">
            <w:pPr>
              <w:pStyle w:val="aff"/>
              <w:numPr>
                <w:ilvl w:val="0"/>
                <w:numId w:val="134"/>
              </w:numPr>
              <w:contextualSpacing/>
              <w:rPr>
                <w:b/>
                <w:bCs/>
              </w:rPr>
            </w:pPr>
            <w:r w:rsidRPr="007A2B03">
              <w:rPr>
                <w:b/>
                <w:bCs/>
              </w:rPr>
              <w:t>Аллергические реакции (крапивница, бронхоспазм, отек Квинке, анафилактический шок и др.) в зависимости от степени тяжести</w:t>
            </w:r>
          </w:p>
        </w:tc>
      </w:tr>
      <w:tr w:rsidR="00D41B5F" w:rsidRPr="00915AAD" w14:paraId="700EAD9F" w14:textId="77777777" w:rsidTr="005A428D">
        <w:tc>
          <w:tcPr>
            <w:tcW w:w="3208" w:type="dxa"/>
            <w:shd w:val="clear" w:color="auto" w:fill="auto"/>
          </w:tcPr>
          <w:p w14:paraId="08A04331" w14:textId="77777777" w:rsidR="00D41B5F" w:rsidRPr="007A2B03" w:rsidRDefault="00D41B5F" w:rsidP="0091350E">
            <w:pPr>
              <w:pStyle w:val="aff"/>
              <w:numPr>
                <w:ilvl w:val="0"/>
                <w:numId w:val="128"/>
              </w:numPr>
              <w:ind w:left="0"/>
              <w:contextualSpacing/>
            </w:pPr>
            <w:r w:rsidRPr="007A2B03">
              <w:t>Аллергические реакции легкой степени</w:t>
            </w:r>
          </w:p>
          <w:p w14:paraId="073E5BD6" w14:textId="77777777" w:rsidR="00D41B5F" w:rsidRPr="007A2B03" w:rsidRDefault="00D41B5F" w:rsidP="005A428D"/>
        </w:tc>
        <w:tc>
          <w:tcPr>
            <w:tcW w:w="3082" w:type="dxa"/>
            <w:shd w:val="clear" w:color="auto" w:fill="auto"/>
          </w:tcPr>
          <w:p w14:paraId="7E55DA95" w14:textId="77777777" w:rsidR="00D41B5F" w:rsidRPr="007A2B03" w:rsidRDefault="00D41B5F" w:rsidP="005A428D">
            <w:r w:rsidRPr="007A2B03">
              <w:t>Любой компонент донорской крови</w:t>
            </w:r>
          </w:p>
        </w:tc>
        <w:tc>
          <w:tcPr>
            <w:tcW w:w="8270" w:type="dxa"/>
            <w:shd w:val="clear" w:color="auto" w:fill="auto"/>
          </w:tcPr>
          <w:p w14:paraId="3EAF8F06" w14:textId="77777777" w:rsidR="00D41B5F" w:rsidRPr="007A2B03" w:rsidRDefault="00D41B5F" w:rsidP="005A428D">
            <w:r w:rsidRPr="007A2B03">
              <w:t>10 мл 10% кальция глюконата в 100 мл 0,9% раствора NaC</w:t>
            </w:r>
            <w:r w:rsidRPr="007A2B03">
              <w:rPr>
                <w:lang w:val="en-US"/>
              </w:rPr>
              <w:t>l</w:t>
            </w:r>
            <w:r w:rsidRPr="007A2B03">
              <w:t xml:space="preserve"> в/в капельно</w:t>
            </w:r>
          </w:p>
        </w:tc>
      </w:tr>
      <w:tr w:rsidR="00D41B5F" w:rsidRPr="00915AAD" w14:paraId="60CE99DD" w14:textId="77777777" w:rsidTr="005A428D">
        <w:tc>
          <w:tcPr>
            <w:tcW w:w="3208" w:type="dxa"/>
            <w:vMerge w:val="restart"/>
            <w:shd w:val="clear" w:color="auto" w:fill="auto"/>
          </w:tcPr>
          <w:p w14:paraId="7E27A1CC" w14:textId="77777777" w:rsidR="00D41B5F" w:rsidRPr="007A2B03" w:rsidRDefault="00D41B5F" w:rsidP="0091350E">
            <w:pPr>
              <w:pStyle w:val="aff"/>
              <w:numPr>
                <w:ilvl w:val="0"/>
                <w:numId w:val="128"/>
              </w:numPr>
              <w:ind w:left="0"/>
              <w:contextualSpacing/>
            </w:pPr>
            <w:r w:rsidRPr="007A2B03">
              <w:t>Аллергические реакции средней тяжести (протекающие без нарушений гемодинамических и вентиляционных показателей)</w:t>
            </w:r>
          </w:p>
        </w:tc>
        <w:tc>
          <w:tcPr>
            <w:tcW w:w="3082" w:type="dxa"/>
            <w:shd w:val="clear" w:color="auto" w:fill="auto"/>
          </w:tcPr>
          <w:p w14:paraId="517704D2" w14:textId="77777777" w:rsidR="00D41B5F" w:rsidRPr="007A2B03" w:rsidRDefault="00D41B5F" w:rsidP="005A428D">
            <w:r w:rsidRPr="007A2B03">
              <w:t>Компонент донорской крови, вызвавший реакцию ранее</w:t>
            </w:r>
          </w:p>
        </w:tc>
        <w:tc>
          <w:tcPr>
            <w:tcW w:w="8270" w:type="dxa"/>
            <w:shd w:val="clear" w:color="auto" w:fill="auto"/>
          </w:tcPr>
          <w:p w14:paraId="5E00D3EA" w14:textId="77777777" w:rsidR="00D41B5F" w:rsidRPr="007A2B03" w:rsidRDefault="00D41B5F" w:rsidP="005A428D">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tc>
      </w:tr>
      <w:tr w:rsidR="00D41B5F" w:rsidRPr="00915AAD" w14:paraId="0A81B46B" w14:textId="77777777" w:rsidTr="005A428D">
        <w:tc>
          <w:tcPr>
            <w:tcW w:w="3208" w:type="dxa"/>
            <w:vMerge/>
            <w:shd w:val="clear" w:color="auto" w:fill="auto"/>
          </w:tcPr>
          <w:p w14:paraId="70F195AA" w14:textId="77777777" w:rsidR="00D41B5F" w:rsidRPr="007A2B03" w:rsidRDefault="00D41B5F" w:rsidP="0091350E">
            <w:pPr>
              <w:pStyle w:val="aff"/>
              <w:numPr>
                <w:ilvl w:val="0"/>
                <w:numId w:val="128"/>
              </w:numPr>
              <w:ind w:left="0"/>
              <w:contextualSpacing/>
            </w:pPr>
          </w:p>
        </w:tc>
        <w:tc>
          <w:tcPr>
            <w:tcW w:w="3082" w:type="dxa"/>
            <w:shd w:val="clear" w:color="auto" w:fill="auto"/>
          </w:tcPr>
          <w:p w14:paraId="7F07878D" w14:textId="77777777" w:rsidR="00D41B5F" w:rsidRPr="007A2B03" w:rsidRDefault="00D41B5F" w:rsidP="005A428D">
            <w:r w:rsidRPr="007A2B03">
              <w:t>Другие компоненты донорской крови (не вызывавшие реакции ранее)</w:t>
            </w:r>
          </w:p>
        </w:tc>
        <w:tc>
          <w:tcPr>
            <w:tcW w:w="8270" w:type="dxa"/>
            <w:shd w:val="clear" w:color="auto" w:fill="auto"/>
          </w:tcPr>
          <w:p w14:paraId="5EE82288" w14:textId="77777777" w:rsidR="00D41B5F" w:rsidRPr="007A2B03" w:rsidRDefault="00D41B5F" w:rsidP="005A428D">
            <w:r w:rsidRPr="007A2B03">
              <w:t>10 мл 10% кальция глюконата в 100 мл 0,9% раствора NaC</w:t>
            </w:r>
            <w:r w:rsidRPr="007A2B03">
              <w:rPr>
                <w:lang w:val="en-US"/>
              </w:rPr>
              <w:t>l</w:t>
            </w:r>
            <w:r w:rsidRPr="007A2B03">
              <w:t xml:space="preserve"> в/в капельно</w:t>
            </w:r>
          </w:p>
        </w:tc>
      </w:tr>
      <w:tr w:rsidR="00D41B5F" w:rsidRPr="00915AAD" w14:paraId="3B310BA7" w14:textId="77777777" w:rsidTr="005A428D">
        <w:tc>
          <w:tcPr>
            <w:tcW w:w="3208" w:type="dxa"/>
            <w:shd w:val="clear" w:color="auto" w:fill="auto"/>
          </w:tcPr>
          <w:p w14:paraId="2CF32DC3" w14:textId="77777777" w:rsidR="00D41B5F" w:rsidRPr="007A2B03" w:rsidRDefault="00D41B5F" w:rsidP="0091350E">
            <w:pPr>
              <w:pStyle w:val="aff"/>
              <w:numPr>
                <w:ilvl w:val="0"/>
                <w:numId w:val="128"/>
              </w:numPr>
              <w:ind w:left="0"/>
              <w:contextualSpacing/>
            </w:pPr>
            <w:r w:rsidRPr="007A2B03">
              <w:t>Тяжелые аллергические реакции (протекающие с нарушением гемодинамических и вентиляционных показателей)</w:t>
            </w:r>
          </w:p>
        </w:tc>
        <w:tc>
          <w:tcPr>
            <w:tcW w:w="3082" w:type="dxa"/>
            <w:shd w:val="clear" w:color="auto" w:fill="auto"/>
          </w:tcPr>
          <w:p w14:paraId="082F50DC" w14:textId="77777777" w:rsidR="00D41B5F" w:rsidRPr="007A2B03" w:rsidRDefault="00D41B5F" w:rsidP="005A428D">
            <w:r w:rsidRPr="007A2B03">
              <w:t>Любой компонент донорской крови</w:t>
            </w:r>
          </w:p>
        </w:tc>
        <w:tc>
          <w:tcPr>
            <w:tcW w:w="8270" w:type="dxa"/>
            <w:shd w:val="clear" w:color="auto" w:fill="auto"/>
          </w:tcPr>
          <w:p w14:paraId="1A3DB22F" w14:textId="77777777" w:rsidR="00D41B5F" w:rsidRPr="007A2B03" w:rsidRDefault="00D41B5F" w:rsidP="005A428D">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p w14:paraId="4BE979A2" w14:textId="77777777" w:rsidR="00D41B5F" w:rsidRPr="007A2B03" w:rsidRDefault="00D41B5F" w:rsidP="005A428D">
            <w:pPr>
              <w:pStyle w:val="aff"/>
              <w:ind w:left="0"/>
            </w:pPr>
            <w:r w:rsidRPr="007A2B03">
              <w:t>Возможно разовое применение глюкокортикостероидов** (</w:t>
            </w:r>
            <w:r w:rsidRPr="007A2B03">
              <w:rPr>
                <w:shd w:val="clear" w:color="auto" w:fill="FFFFFF"/>
              </w:rPr>
              <w:t>следует </w:t>
            </w:r>
            <w:r w:rsidRPr="007A2B03">
              <w:rPr>
                <w:rStyle w:val="affc"/>
                <w:shd w:val="clear" w:color="auto" w:fill="FFFFFF"/>
              </w:rPr>
              <w:t>соотнести</w:t>
            </w:r>
            <w:r w:rsidRPr="007A2B03">
              <w:rPr>
                <w:shd w:val="clear" w:color="auto" w:fill="FFFFFF"/>
              </w:rPr>
              <w:t> потенциальные </w:t>
            </w:r>
            <w:r w:rsidRPr="007A2B03">
              <w:rPr>
                <w:rStyle w:val="affc"/>
                <w:shd w:val="clear" w:color="auto" w:fill="FFFFFF"/>
              </w:rPr>
              <w:t>риски</w:t>
            </w:r>
            <w:r w:rsidRPr="007A2B03">
              <w:rPr>
                <w:shd w:val="clear" w:color="auto" w:fill="FFFFFF"/>
              </w:rPr>
              <w:t> и ожидаемую </w:t>
            </w:r>
            <w:r w:rsidRPr="007A2B03">
              <w:rPr>
                <w:rStyle w:val="affc"/>
                <w:shd w:val="clear" w:color="auto" w:fill="FFFFFF"/>
              </w:rPr>
              <w:t>пользу</w:t>
            </w:r>
            <w:r w:rsidRPr="007A2B03">
              <w:t>).</w:t>
            </w:r>
          </w:p>
          <w:p w14:paraId="56EC1D68" w14:textId="77777777" w:rsidR="00D41B5F" w:rsidRPr="007A2B03" w:rsidRDefault="00D41B5F" w:rsidP="005A428D">
            <w:r w:rsidRPr="007A2B03">
              <w:t>Уменьшение скорости трансфузии.</w:t>
            </w:r>
          </w:p>
        </w:tc>
      </w:tr>
      <w:tr w:rsidR="00D41B5F" w:rsidRPr="00915AAD" w14:paraId="7A5334F0" w14:textId="77777777" w:rsidTr="005A428D">
        <w:tc>
          <w:tcPr>
            <w:tcW w:w="14560" w:type="dxa"/>
            <w:gridSpan w:val="3"/>
            <w:shd w:val="clear" w:color="auto" w:fill="auto"/>
          </w:tcPr>
          <w:p w14:paraId="6398DC95" w14:textId="77777777" w:rsidR="00D41B5F" w:rsidRPr="007A2B03" w:rsidRDefault="00D41B5F" w:rsidP="0091350E">
            <w:pPr>
              <w:pStyle w:val="aff"/>
              <w:numPr>
                <w:ilvl w:val="0"/>
                <w:numId w:val="133"/>
              </w:numPr>
              <w:contextualSpacing/>
              <w:jc w:val="center"/>
              <w:rPr>
                <w:b/>
                <w:bCs/>
              </w:rPr>
            </w:pPr>
            <w:r w:rsidRPr="007A2B03">
              <w:rPr>
                <w:b/>
                <w:bCs/>
              </w:rPr>
              <w:t>Однократная гипертермическая фебрильная негемолитическая реакция (ФНР) в анамнезе</w:t>
            </w:r>
          </w:p>
        </w:tc>
      </w:tr>
      <w:tr w:rsidR="00D41B5F" w:rsidRPr="00915AAD" w14:paraId="175AFACA" w14:textId="77777777" w:rsidTr="005A428D">
        <w:tc>
          <w:tcPr>
            <w:tcW w:w="3208" w:type="dxa"/>
            <w:shd w:val="clear" w:color="auto" w:fill="auto"/>
          </w:tcPr>
          <w:p w14:paraId="6522E235" w14:textId="77777777" w:rsidR="00D41B5F" w:rsidRPr="007A2B03" w:rsidRDefault="00D41B5F" w:rsidP="0091350E">
            <w:pPr>
              <w:pStyle w:val="aff"/>
              <w:numPr>
                <w:ilvl w:val="0"/>
                <w:numId w:val="128"/>
              </w:numPr>
              <w:ind w:left="0"/>
              <w:contextualSpacing/>
            </w:pPr>
            <w:r w:rsidRPr="007A2B03">
              <w:t>Однократная ФНР в анамнезе</w:t>
            </w:r>
          </w:p>
        </w:tc>
        <w:tc>
          <w:tcPr>
            <w:tcW w:w="3082" w:type="dxa"/>
            <w:shd w:val="clear" w:color="auto" w:fill="auto"/>
          </w:tcPr>
          <w:p w14:paraId="064CF163" w14:textId="77777777" w:rsidR="00D41B5F" w:rsidRPr="007A2B03" w:rsidRDefault="00D41B5F" w:rsidP="005A428D">
            <w:r w:rsidRPr="007A2B03">
              <w:t>Любой компонент донорской крови</w:t>
            </w:r>
          </w:p>
        </w:tc>
        <w:tc>
          <w:tcPr>
            <w:tcW w:w="8270" w:type="dxa"/>
            <w:shd w:val="clear" w:color="auto" w:fill="auto"/>
          </w:tcPr>
          <w:p w14:paraId="50D5062E" w14:textId="77777777" w:rsidR="00D41B5F" w:rsidRPr="007A2B03" w:rsidRDefault="00D41B5F" w:rsidP="005A428D">
            <w:r w:rsidRPr="007A2B03">
              <w:t>10 мл 10% кальция глюконата в 100 мл 0,9% раствора NaC</w:t>
            </w:r>
            <w:r w:rsidRPr="007A2B03">
              <w:rPr>
                <w:lang w:val="en-US"/>
              </w:rPr>
              <w:t>l</w:t>
            </w:r>
            <w:r w:rsidRPr="007A2B03">
              <w:t xml:space="preserve"> в/в капельно</w:t>
            </w:r>
          </w:p>
        </w:tc>
      </w:tr>
      <w:tr w:rsidR="00D41B5F" w:rsidRPr="00915AAD" w14:paraId="6351F7CE" w14:textId="77777777" w:rsidTr="005A428D">
        <w:tc>
          <w:tcPr>
            <w:tcW w:w="14560" w:type="dxa"/>
            <w:gridSpan w:val="3"/>
            <w:shd w:val="clear" w:color="auto" w:fill="auto"/>
          </w:tcPr>
          <w:p w14:paraId="1853D653" w14:textId="77777777" w:rsidR="00D41B5F" w:rsidRPr="007A2B03" w:rsidRDefault="00D41B5F" w:rsidP="0091350E">
            <w:pPr>
              <w:pStyle w:val="aff"/>
              <w:numPr>
                <w:ilvl w:val="0"/>
                <w:numId w:val="133"/>
              </w:numPr>
              <w:contextualSpacing/>
              <w:jc w:val="center"/>
              <w:rPr>
                <w:b/>
                <w:bCs/>
              </w:rPr>
            </w:pPr>
            <w:r w:rsidRPr="007A2B03">
              <w:rPr>
                <w:b/>
                <w:bCs/>
              </w:rPr>
              <w:t>Многократные (≥2) гипертермические фебрильные негемолитические реакции (ФНР) в анамнезе</w:t>
            </w:r>
          </w:p>
        </w:tc>
      </w:tr>
      <w:tr w:rsidR="00D41B5F" w:rsidRPr="00915AAD" w14:paraId="64876F5C" w14:textId="77777777" w:rsidTr="005A428D">
        <w:tc>
          <w:tcPr>
            <w:tcW w:w="3208" w:type="dxa"/>
            <w:vMerge w:val="restart"/>
            <w:shd w:val="clear" w:color="auto" w:fill="auto"/>
          </w:tcPr>
          <w:p w14:paraId="5A9C88E1" w14:textId="77777777" w:rsidR="00D41B5F" w:rsidRPr="007A2B03" w:rsidRDefault="00D41B5F" w:rsidP="0091350E">
            <w:pPr>
              <w:pStyle w:val="aff"/>
              <w:numPr>
                <w:ilvl w:val="0"/>
                <w:numId w:val="130"/>
              </w:numPr>
              <w:ind w:left="0"/>
              <w:contextualSpacing/>
            </w:pPr>
            <w:r w:rsidRPr="007A2B03">
              <w:t>Протекающие без потрясающего озноба</w:t>
            </w:r>
          </w:p>
        </w:tc>
        <w:tc>
          <w:tcPr>
            <w:tcW w:w="3082" w:type="dxa"/>
            <w:shd w:val="clear" w:color="auto" w:fill="auto"/>
          </w:tcPr>
          <w:p w14:paraId="423C00EC" w14:textId="77777777" w:rsidR="00D41B5F" w:rsidRPr="007A2B03" w:rsidRDefault="00D41B5F" w:rsidP="005A428D">
            <w:r w:rsidRPr="007A2B03">
              <w:t>Компонент донорской крови, вызвавший реакцию ранее</w:t>
            </w:r>
          </w:p>
        </w:tc>
        <w:tc>
          <w:tcPr>
            <w:tcW w:w="8270" w:type="dxa"/>
            <w:shd w:val="clear" w:color="auto" w:fill="auto"/>
          </w:tcPr>
          <w:p w14:paraId="12FC27C4" w14:textId="77777777" w:rsidR="00D41B5F" w:rsidRPr="007A2B03" w:rsidRDefault="00D41B5F" w:rsidP="005A428D">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p w14:paraId="6E8E4F5C" w14:textId="77777777" w:rsidR="00D41B5F" w:rsidRPr="007A2B03" w:rsidRDefault="00D41B5F" w:rsidP="005A428D">
            <w:r w:rsidRPr="007A2B03">
              <w:t>При сохраняющихся ФНР, несмотря на добавление антигистаминных препаратов, дополнительно за 60 минут до трансфузии ввести 250-650 мг парацетамола в 250 мл 0,9% раствора NaC</w:t>
            </w:r>
            <w:r w:rsidRPr="007A2B03">
              <w:rPr>
                <w:lang w:val="en-US"/>
              </w:rPr>
              <w:t>l</w:t>
            </w:r>
            <w:r w:rsidRPr="007A2B03">
              <w:t xml:space="preserve"> в/в капельно (не рекомендовано у пациентов с нейтропенией, глубокой тромбоцитопенией).</w:t>
            </w:r>
          </w:p>
        </w:tc>
      </w:tr>
      <w:tr w:rsidR="00D41B5F" w:rsidRPr="00915AAD" w14:paraId="0B79256B" w14:textId="77777777" w:rsidTr="005A428D">
        <w:tc>
          <w:tcPr>
            <w:tcW w:w="3208" w:type="dxa"/>
            <w:vMerge/>
            <w:shd w:val="clear" w:color="auto" w:fill="auto"/>
          </w:tcPr>
          <w:p w14:paraId="3AC80ED7" w14:textId="77777777" w:rsidR="00D41B5F" w:rsidRPr="007A2B03" w:rsidRDefault="00D41B5F" w:rsidP="0091350E">
            <w:pPr>
              <w:pStyle w:val="aff"/>
              <w:numPr>
                <w:ilvl w:val="0"/>
                <w:numId w:val="130"/>
              </w:numPr>
              <w:ind w:left="0"/>
              <w:contextualSpacing/>
            </w:pPr>
          </w:p>
        </w:tc>
        <w:tc>
          <w:tcPr>
            <w:tcW w:w="3082" w:type="dxa"/>
            <w:shd w:val="clear" w:color="auto" w:fill="auto"/>
          </w:tcPr>
          <w:p w14:paraId="27EE0F98" w14:textId="77777777" w:rsidR="00D41B5F" w:rsidRPr="007A2B03" w:rsidRDefault="00D41B5F" w:rsidP="005A428D">
            <w:r w:rsidRPr="007A2B03">
              <w:t>Другие компоненты донорской крови (не вызывавшие реакции ранее)</w:t>
            </w:r>
          </w:p>
        </w:tc>
        <w:tc>
          <w:tcPr>
            <w:tcW w:w="8270" w:type="dxa"/>
            <w:shd w:val="clear" w:color="auto" w:fill="auto"/>
          </w:tcPr>
          <w:p w14:paraId="72D90A9D" w14:textId="77777777" w:rsidR="00D41B5F" w:rsidRPr="007A2B03" w:rsidRDefault="00D41B5F" w:rsidP="005A428D">
            <w:r w:rsidRPr="007A2B03">
              <w:t>10 мл 10% кальция глюконата в 100 мл 0,9% раствора NaC</w:t>
            </w:r>
            <w:r w:rsidRPr="007A2B03">
              <w:rPr>
                <w:lang w:val="en-US"/>
              </w:rPr>
              <w:t>l</w:t>
            </w:r>
            <w:r w:rsidRPr="007A2B03">
              <w:t xml:space="preserve"> в/в капельно</w:t>
            </w:r>
          </w:p>
        </w:tc>
      </w:tr>
      <w:tr w:rsidR="00D41B5F" w:rsidRPr="00915AAD" w14:paraId="3FB85753" w14:textId="77777777" w:rsidTr="005A428D">
        <w:tc>
          <w:tcPr>
            <w:tcW w:w="3208" w:type="dxa"/>
            <w:vMerge w:val="restart"/>
            <w:shd w:val="clear" w:color="auto" w:fill="auto"/>
          </w:tcPr>
          <w:p w14:paraId="419D416E" w14:textId="77777777" w:rsidR="00D41B5F" w:rsidRPr="007A2B03" w:rsidRDefault="00D41B5F" w:rsidP="0091350E">
            <w:pPr>
              <w:pStyle w:val="aff"/>
              <w:numPr>
                <w:ilvl w:val="0"/>
                <w:numId w:val="130"/>
              </w:numPr>
              <w:ind w:left="0"/>
              <w:contextualSpacing/>
            </w:pPr>
            <w:r w:rsidRPr="007A2B03">
              <w:t>Протекающие с потрясающим ознобом</w:t>
            </w:r>
          </w:p>
        </w:tc>
        <w:tc>
          <w:tcPr>
            <w:tcW w:w="3082" w:type="dxa"/>
            <w:shd w:val="clear" w:color="auto" w:fill="auto"/>
          </w:tcPr>
          <w:p w14:paraId="48E3DE58" w14:textId="77777777" w:rsidR="00D41B5F" w:rsidRPr="007A2B03" w:rsidRDefault="00D41B5F" w:rsidP="005A428D">
            <w:r w:rsidRPr="007A2B03">
              <w:t>Компонент донорской крови, вызвавший реакцию ранее</w:t>
            </w:r>
          </w:p>
        </w:tc>
        <w:tc>
          <w:tcPr>
            <w:tcW w:w="8270" w:type="dxa"/>
            <w:shd w:val="clear" w:color="auto" w:fill="auto"/>
          </w:tcPr>
          <w:p w14:paraId="68D5B773" w14:textId="77777777" w:rsidR="00D41B5F" w:rsidRPr="007A2B03" w:rsidRDefault="00D41B5F" w:rsidP="005A428D">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 В случае сохранения тяжелых реакций возможно дополнительное введение 0,5-1 мл 2% промедола в 100 мл 0,9% раствора NaC</w:t>
            </w:r>
            <w:r w:rsidRPr="007A2B03">
              <w:rPr>
                <w:lang w:val="en-US"/>
              </w:rPr>
              <w:t>l</w:t>
            </w:r>
            <w:r w:rsidRPr="007A2B03">
              <w:t xml:space="preserve"> в/в капельно (до или параллельно с трансфузией).</w:t>
            </w:r>
          </w:p>
          <w:p w14:paraId="69EB9CAD" w14:textId="77777777" w:rsidR="00D41B5F" w:rsidRPr="007A2B03" w:rsidRDefault="00D41B5F" w:rsidP="005A428D">
            <w:pPr>
              <w:pStyle w:val="aff"/>
              <w:ind w:left="0"/>
            </w:pPr>
            <w:r w:rsidRPr="007A2B03">
              <w:t>Возможно разовое применение глюкокортикостероидов** (</w:t>
            </w:r>
            <w:r w:rsidRPr="007A2B03">
              <w:rPr>
                <w:shd w:val="clear" w:color="auto" w:fill="FFFFFF"/>
              </w:rPr>
              <w:t>следует </w:t>
            </w:r>
            <w:r w:rsidRPr="007A2B03">
              <w:rPr>
                <w:rStyle w:val="affc"/>
                <w:shd w:val="clear" w:color="auto" w:fill="FFFFFF"/>
              </w:rPr>
              <w:t>соотнести</w:t>
            </w:r>
            <w:r w:rsidRPr="007A2B03">
              <w:rPr>
                <w:shd w:val="clear" w:color="auto" w:fill="FFFFFF"/>
              </w:rPr>
              <w:t> потенциальные </w:t>
            </w:r>
            <w:r w:rsidRPr="007A2B03">
              <w:rPr>
                <w:rStyle w:val="affc"/>
                <w:shd w:val="clear" w:color="auto" w:fill="FFFFFF"/>
              </w:rPr>
              <w:t>риски</w:t>
            </w:r>
            <w:r w:rsidRPr="007A2B03">
              <w:rPr>
                <w:shd w:val="clear" w:color="auto" w:fill="FFFFFF"/>
              </w:rPr>
              <w:t> и ожидаемую </w:t>
            </w:r>
            <w:r w:rsidRPr="007A2B03">
              <w:rPr>
                <w:rStyle w:val="affc"/>
                <w:shd w:val="clear" w:color="auto" w:fill="FFFFFF"/>
              </w:rPr>
              <w:t>пользу</w:t>
            </w:r>
            <w:r w:rsidRPr="007A2B03">
              <w:t>).</w:t>
            </w:r>
          </w:p>
          <w:p w14:paraId="0EE69A41" w14:textId="77777777" w:rsidR="00D41B5F" w:rsidRPr="007A2B03" w:rsidRDefault="00D41B5F" w:rsidP="005A428D">
            <w:r w:rsidRPr="007A2B03">
              <w:t>Уменьшение скорости трансфузии.</w:t>
            </w:r>
          </w:p>
        </w:tc>
      </w:tr>
      <w:tr w:rsidR="00D41B5F" w:rsidRPr="00915AAD" w14:paraId="5B77608B" w14:textId="77777777" w:rsidTr="005A428D">
        <w:tc>
          <w:tcPr>
            <w:tcW w:w="3208" w:type="dxa"/>
            <w:vMerge/>
            <w:shd w:val="clear" w:color="auto" w:fill="auto"/>
          </w:tcPr>
          <w:p w14:paraId="1DFAEF55" w14:textId="77777777" w:rsidR="00D41B5F" w:rsidRPr="007A2B03" w:rsidRDefault="00D41B5F" w:rsidP="0091350E">
            <w:pPr>
              <w:pStyle w:val="aff"/>
              <w:numPr>
                <w:ilvl w:val="0"/>
                <w:numId w:val="130"/>
              </w:numPr>
              <w:ind w:left="0"/>
              <w:contextualSpacing/>
            </w:pPr>
          </w:p>
        </w:tc>
        <w:tc>
          <w:tcPr>
            <w:tcW w:w="3082" w:type="dxa"/>
            <w:shd w:val="clear" w:color="auto" w:fill="auto"/>
          </w:tcPr>
          <w:p w14:paraId="3EBC6419" w14:textId="77777777" w:rsidR="00D41B5F" w:rsidRPr="007A2B03" w:rsidRDefault="00D41B5F" w:rsidP="005A428D">
            <w:r w:rsidRPr="007A2B03">
              <w:t>Другие компоненты донорской крови (не вызывавшие реакции ранее)</w:t>
            </w:r>
          </w:p>
        </w:tc>
        <w:tc>
          <w:tcPr>
            <w:tcW w:w="8270" w:type="dxa"/>
            <w:shd w:val="clear" w:color="auto" w:fill="auto"/>
          </w:tcPr>
          <w:p w14:paraId="5C58F337" w14:textId="77777777" w:rsidR="00D41B5F" w:rsidRPr="007A2B03" w:rsidRDefault="00D41B5F" w:rsidP="005A428D">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tc>
      </w:tr>
      <w:tr w:rsidR="00D41B5F" w:rsidRPr="00915AAD" w14:paraId="2C875A5E" w14:textId="77777777" w:rsidTr="005A428D">
        <w:tc>
          <w:tcPr>
            <w:tcW w:w="14560" w:type="dxa"/>
            <w:gridSpan w:val="3"/>
            <w:shd w:val="clear" w:color="auto" w:fill="auto"/>
          </w:tcPr>
          <w:p w14:paraId="0DBF8CFD" w14:textId="77777777" w:rsidR="00D41B5F" w:rsidRPr="007A2B03" w:rsidRDefault="00D41B5F" w:rsidP="0091350E">
            <w:pPr>
              <w:pStyle w:val="aff"/>
              <w:numPr>
                <w:ilvl w:val="0"/>
                <w:numId w:val="133"/>
              </w:numPr>
              <w:contextualSpacing/>
              <w:jc w:val="center"/>
              <w:rPr>
                <w:b/>
                <w:bCs/>
              </w:rPr>
            </w:pPr>
            <w:r w:rsidRPr="007A2B03">
              <w:rPr>
                <w:b/>
                <w:bCs/>
              </w:rPr>
              <w:t>Отсроченная серологическая трансфузионная реакция:</w:t>
            </w:r>
          </w:p>
          <w:p w14:paraId="08908D3F" w14:textId="77777777" w:rsidR="00D41B5F" w:rsidRPr="007A2B03" w:rsidRDefault="00D41B5F" w:rsidP="005A428D">
            <w:pPr>
              <w:ind w:left="360"/>
              <w:rPr>
                <w:b/>
                <w:bCs/>
              </w:rPr>
            </w:pPr>
            <w:r w:rsidRPr="007A2B03">
              <w:t>установленное наличие антиэритроцитарных антител: положительная непрямая проба Кумбса при определении индивидуальной совместимости крови донора и реципиента в лаборатории иммуногематологии или если таковая не проводилась, ЛИБО предполагаемое - при эритроцитарном химеризме</w:t>
            </w:r>
          </w:p>
        </w:tc>
      </w:tr>
      <w:tr w:rsidR="00D41B5F" w:rsidRPr="00915AAD" w14:paraId="7A664BDC" w14:textId="77777777" w:rsidTr="005A428D">
        <w:tc>
          <w:tcPr>
            <w:tcW w:w="3208" w:type="dxa"/>
            <w:shd w:val="clear" w:color="auto" w:fill="auto"/>
          </w:tcPr>
          <w:p w14:paraId="5FA28FA1" w14:textId="77777777" w:rsidR="00D41B5F" w:rsidRPr="007A2B03" w:rsidRDefault="00D41B5F" w:rsidP="005A428D">
            <w:r w:rsidRPr="007A2B03">
              <w:t xml:space="preserve">Отсроченная серологическая трансфузионная реакция </w:t>
            </w:r>
          </w:p>
        </w:tc>
        <w:tc>
          <w:tcPr>
            <w:tcW w:w="3082" w:type="dxa"/>
            <w:shd w:val="clear" w:color="auto" w:fill="auto"/>
          </w:tcPr>
          <w:p w14:paraId="7A6CF843" w14:textId="77777777" w:rsidR="00D41B5F" w:rsidRPr="007A2B03" w:rsidRDefault="00D41B5F" w:rsidP="005A428D">
            <w:r w:rsidRPr="007A2B03">
              <w:t>Любой компонент донорской крови</w:t>
            </w:r>
          </w:p>
        </w:tc>
        <w:tc>
          <w:tcPr>
            <w:tcW w:w="8270" w:type="dxa"/>
            <w:shd w:val="clear" w:color="auto" w:fill="auto"/>
          </w:tcPr>
          <w:p w14:paraId="417D2E4E" w14:textId="77777777" w:rsidR="00D41B5F" w:rsidRPr="007A2B03" w:rsidRDefault="00D41B5F" w:rsidP="005A428D">
            <w:r w:rsidRPr="007A2B03">
              <w:t>10 мл 10% кальция глюконата в 100 мл 0,9% раствора NaC</w:t>
            </w:r>
            <w:r w:rsidRPr="007A2B03">
              <w:rPr>
                <w:lang w:val="en-US"/>
              </w:rPr>
              <w:t>l</w:t>
            </w:r>
            <w:r w:rsidRPr="007A2B03">
              <w:t xml:space="preserve"> в/в капельно.</w:t>
            </w:r>
          </w:p>
        </w:tc>
      </w:tr>
      <w:tr w:rsidR="00D41B5F" w:rsidRPr="00915AAD" w14:paraId="62F9B04C" w14:textId="77777777" w:rsidTr="005A428D">
        <w:tc>
          <w:tcPr>
            <w:tcW w:w="14560" w:type="dxa"/>
            <w:gridSpan w:val="3"/>
            <w:shd w:val="clear" w:color="auto" w:fill="auto"/>
          </w:tcPr>
          <w:p w14:paraId="41793BD8" w14:textId="77777777" w:rsidR="00D41B5F" w:rsidRPr="007A2B03" w:rsidRDefault="00D41B5F" w:rsidP="0091350E">
            <w:pPr>
              <w:pStyle w:val="aff"/>
              <w:numPr>
                <w:ilvl w:val="0"/>
                <w:numId w:val="133"/>
              </w:numPr>
              <w:contextualSpacing/>
              <w:jc w:val="center"/>
              <w:rPr>
                <w:b/>
                <w:bCs/>
              </w:rPr>
            </w:pPr>
            <w:r w:rsidRPr="007A2B03">
              <w:rPr>
                <w:b/>
                <w:bCs/>
              </w:rPr>
              <w:t>Острый или отсроченный иммунный гемолиз</w:t>
            </w:r>
          </w:p>
        </w:tc>
      </w:tr>
      <w:tr w:rsidR="00D41B5F" w:rsidRPr="00915AAD" w14:paraId="753BA378" w14:textId="77777777" w:rsidTr="005A428D">
        <w:tc>
          <w:tcPr>
            <w:tcW w:w="3208" w:type="dxa"/>
            <w:shd w:val="clear" w:color="auto" w:fill="auto"/>
          </w:tcPr>
          <w:p w14:paraId="1FED43DB" w14:textId="77777777" w:rsidR="00D41B5F" w:rsidRPr="007A2B03" w:rsidRDefault="00D41B5F" w:rsidP="0091350E">
            <w:pPr>
              <w:pStyle w:val="aff"/>
              <w:numPr>
                <w:ilvl w:val="0"/>
                <w:numId w:val="131"/>
              </w:numPr>
              <w:ind w:left="0"/>
              <w:contextualSpacing/>
            </w:pPr>
            <w:r w:rsidRPr="007A2B03">
              <w:t>Гемолиз в анамнезе (клинических признаков гемолиза в настоящее время нет)</w:t>
            </w:r>
          </w:p>
        </w:tc>
        <w:tc>
          <w:tcPr>
            <w:tcW w:w="3082" w:type="dxa"/>
            <w:shd w:val="clear" w:color="auto" w:fill="auto"/>
          </w:tcPr>
          <w:p w14:paraId="6C50DFC7" w14:textId="77777777" w:rsidR="00D41B5F" w:rsidRPr="007A2B03" w:rsidRDefault="00D41B5F" w:rsidP="005A428D">
            <w:r w:rsidRPr="007A2B03">
              <w:t>Любой компонент донорской крови</w:t>
            </w:r>
          </w:p>
        </w:tc>
        <w:tc>
          <w:tcPr>
            <w:tcW w:w="8270" w:type="dxa"/>
            <w:shd w:val="clear" w:color="auto" w:fill="auto"/>
          </w:tcPr>
          <w:p w14:paraId="75A5D079" w14:textId="77777777" w:rsidR="00D41B5F" w:rsidRPr="007A2B03" w:rsidRDefault="00D41B5F" w:rsidP="005A428D">
            <w:r w:rsidRPr="007A2B03">
              <w:t>10 мл 10% кальция глюконата в 100 мл 0,9% раствора NaC</w:t>
            </w:r>
            <w:r w:rsidRPr="007A2B03">
              <w:rPr>
                <w:lang w:val="en-US"/>
              </w:rPr>
              <w:t>l</w:t>
            </w:r>
            <w:r w:rsidRPr="007A2B03">
              <w:t xml:space="preserve"> в/в капельно</w:t>
            </w:r>
          </w:p>
        </w:tc>
      </w:tr>
      <w:tr w:rsidR="00D41B5F" w:rsidRPr="00915AAD" w14:paraId="58F5EEF2" w14:textId="77777777" w:rsidTr="005A428D">
        <w:tc>
          <w:tcPr>
            <w:tcW w:w="3208" w:type="dxa"/>
            <w:vMerge w:val="restart"/>
            <w:shd w:val="clear" w:color="auto" w:fill="auto"/>
          </w:tcPr>
          <w:p w14:paraId="0BFB39FE" w14:textId="77777777" w:rsidR="00D41B5F" w:rsidRPr="007A2B03" w:rsidRDefault="00D41B5F" w:rsidP="0091350E">
            <w:pPr>
              <w:pStyle w:val="aff"/>
              <w:numPr>
                <w:ilvl w:val="0"/>
                <w:numId w:val="131"/>
              </w:numPr>
              <w:ind w:left="0"/>
              <w:contextualSpacing/>
            </w:pPr>
            <w:r w:rsidRPr="007A2B03">
              <w:t>Активный гемолиз (признаки гемолиза сохраняются)</w:t>
            </w:r>
          </w:p>
        </w:tc>
        <w:tc>
          <w:tcPr>
            <w:tcW w:w="3082" w:type="dxa"/>
            <w:shd w:val="clear" w:color="auto" w:fill="auto"/>
          </w:tcPr>
          <w:p w14:paraId="3FEC8171" w14:textId="77777777" w:rsidR="00D41B5F" w:rsidRPr="007A2B03" w:rsidRDefault="00D41B5F" w:rsidP="005A428D">
            <w:r w:rsidRPr="007A2B03">
              <w:t>Эритроцитсодержащие компоненты донорской крови</w:t>
            </w:r>
          </w:p>
        </w:tc>
        <w:tc>
          <w:tcPr>
            <w:tcW w:w="8270" w:type="dxa"/>
            <w:shd w:val="clear" w:color="auto" w:fill="auto"/>
          </w:tcPr>
          <w:p w14:paraId="6F2EA06B" w14:textId="77777777" w:rsidR="00D41B5F" w:rsidRPr="007A2B03" w:rsidRDefault="00D41B5F" w:rsidP="005A428D">
            <w:r w:rsidRPr="007A2B03">
              <w:t>10 мл 10% кальция глюконата в 250-500 мл 0,9% раствора NaC</w:t>
            </w:r>
            <w:r w:rsidRPr="007A2B03">
              <w:rPr>
                <w:lang w:val="en-US"/>
              </w:rPr>
              <w:t>l</w:t>
            </w:r>
            <w:r w:rsidRPr="007A2B03">
              <w:t xml:space="preserve"> в/в капельно.</w:t>
            </w:r>
          </w:p>
          <w:p w14:paraId="6ACD16F0" w14:textId="77777777" w:rsidR="00D41B5F" w:rsidRPr="007A2B03" w:rsidRDefault="00D41B5F" w:rsidP="005A428D">
            <w:r w:rsidRPr="007A2B03">
              <w:t>При высоком риске дальнейшего усиления иммунного гемолиза следует индивидуально рассмотреть возможность введения глюкокортикостероидов**, ритуксимаба.</w:t>
            </w:r>
          </w:p>
        </w:tc>
      </w:tr>
      <w:tr w:rsidR="00D41B5F" w:rsidRPr="00915AAD" w14:paraId="3EA0D7CF" w14:textId="77777777" w:rsidTr="005A428D">
        <w:tc>
          <w:tcPr>
            <w:tcW w:w="3208" w:type="dxa"/>
            <w:vMerge/>
            <w:shd w:val="clear" w:color="auto" w:fill="auto"/>
          </w:tcPr>
          <w:p w14:paraId="6DDC9A32" w14:textId="77777777" w:rsidR="00D41B5F" w:rsidRPr="007A2B03" w:rsidRDefault="00D41B5F" w:rsidP="005A428D"/>
        </w:tc>
        <w:tc>
          <w:tcPr>
            <w:tcW w:w="3082" w:type="dxa"/>
            <w:shd w:val="clear" w:color="auto" w:fill="auto"/>
          </w:tcPr>
          <w:p w14:paraId="431459AA" w14:textId="77777777" w:rsidR="00D41B5F" w:rsidRPr="007A2B03" w:rsidRDefault="00D41B5F" w:rsidP="005A428D">
            <w:r w:rsidRPr="007A2B03">
              <w:t>Концентрат тромбоцитов, свежезамороженная плазма, криопреципитат, криосупернатант</w:t>
            </w:r>
          </w:p>
        </w:tc>
        <w:tc>
          <w:tcPr>
            <w:tcW w:w="8270" w:type="dxa"/>
            <w:shd w:val="clear" w:color="auto" w:fill="auto"/>
          </w:tcPr>
          <w:p w14:paraId="7EC09F01" w14:textId="77777777" w:rsidR="00D41B5F" w:rsidRPr="007A2B03" w:rsidRDefault="00D41B5F" w:rsidP="005A428D">
            <w:r w:rsidRPr="007A2B03">
              <w:t>10 мл 10% кальция глюконата в 500 мл 0,9% раствора NaC</w:t>
            </w:r>
            <w:r w:rsidRPr="007A2B03">
              <w:rPr>
                <w:lang w:val="en-US"/>
              </w:rPr>
              <w:t>l</w:t>
            </w:r>
            <w:r w:rsidRPr="007A2B03">
              <w:t xml:space="preserve"> в/в капельно</w:t>
            </w:r>
          </w:p>
        </w:tc>
      </w:tr>
      <w:tr w:rsidR="00D41B5F" w:rsidRPr="00915AAD" w14:paraId="4FA0B460" w14:textId="77777777" w:rsidTr="005A428D">
        <w:tc>
          <w:tcPr>
            <w:tcW w:w="14560" w:type="dxa"/>
            <w:gridSpan w:val="3"/>
            <w:shd w:val="clear" w:color="auto" w:fill="auto"/>
          </w:tcPr>
          <w:p w14:paraId="3B83F026" w14:textId="77777777" w:rsidR="00D41B5F" w:rsidRPr="007A2B03" w:rsidRDefault="00D41B5F" w:rsidP="0091350E">
            <w:pPr>
              <w:pStyle w:val="aff"/>
              <w:numPr>
                <w:ilvl w:val="0"/>
                <w:numId w:val="133"/>
              </w:numPr>
              <w:contextualSpacing/>
              <w:jc w:val="center"/>
              <w:rPr>
                <w:b/>
                <w:bCs/>
              </w:rPr>
            </w:pPr>
            <w:r w:rsidRPr="007A2B03">
              <w:rPr>
                <w:b/>
                <w:bCs/>
              </w:rPr>
              <w:t>Посттрансфузионная болезнь «трансплантат против хозяина»</w:t>
            </w:r>
          </w:p>
        </w:tc>
      </w:tr>
      <w:tr w:rsidR="00D41B5F" w:rsidRPr="00915AAD" w14:paraId="0A3B48B1" w14:textId="77777777" w:rsidTr="005A428D">
        <w:tc>
          <w:tcPr>
            <w:tcW w:w="3208" w:type="dxa"/>
            <w:shd w:val="clear" w:color="auto" w:fill="auto"/>
          </w:tcPr>
          <w:p w14:paraId="6334A728" w14:textId="77777777" w:rsidR="00D41B5F" w:rsidRPr="007A2B03" w:rsidRDefault="00D41B5F" w:rsidP="005A428D">
            <w:r w:rsidRPr="007A2B03">
              <w:t>Посттрансфузионная болезнь «трансплантат против хозяина»</w:t>
            </w:r>
          </w:p>
        </w:tc>
        <w:tc>
          <w:tcPr>
            <w:tcW w:w="3082" w:type="dxa"/>
            <w:shd w:val="clear" w:color="auto" w:fill="auto"/>
          </w:tcPr>
          <w:p w14:paraId="75FD9307" w14:textId="77777777" w:rsidR="00D41B5F" w:rsidRPr="007A2B03" w:rsidRDefault="00D41B5F" w:rsidP="005A428D">
            <w:r w:rsidRPr="007A2B03">
              <w:t>Любой компонент донорской крови</w:t>
            </w:r>
          </w:p>
        </w:tc>
        <w:tc>
          <w:tcPr>
            <w:tcW w:w="8270" w:type="dxa"/>
            <w:shd w:val="clear" w:color="auto" w:fill="auto"/>
          </w:tcPr>
          <w:p w14:paraId="1BFE6A28" w14:textId="77777777" w:rsidR="00D41B5F" w:rsidRPr="007A2B03" w:rsidRDefault="00D41B5F" w:rsidP="005A428D">
            <w:r w:rsidRPr="007A2B03">
              <w:t>10 мл 10% кальция глюконата в 100 мл 0,9% раствора NaC</w:t>
            </w:r>
            <w:r w:rsidRPr="007A2B03">
              <w:rPr>
                <w:lang w:val="en-US"/>
              </w:rPr>
              <w:t>l</w:t>
            </w:r>
            <w:r w:rsidRPr="007A2B03">
              <w:t xml:space="preserve"> в/в капельно</w:t>
            </w:r>
          </w:p>
        </w:tc>
      </w:tr>
      <w:tr w:rsidR="00D41B5F" w:rsidRPr="00915AAD" w14:paraId="4DE3479A" w14:textId="77777777" w:rsidTr="005A428D">
        <w:tc>
          <w:tcPr>
            <w:tcW w:w="14560" w:type="dxa"/>
            <w:gridSpan w:val="3"/>
            <w:shd w:val="clear" w:color="auto" w:fill="auto"/>
          </w:tcPr>
          <w:p w14:paraId="1F605EB5" w14:textId="77777777" w:rsidR="00D41B5F" w:rsidRPr="007A2B03" w:rsidRDefault="00D41B5F" w:rsidP="0091350E">
            <w:pPr>
              <w:pStyle w:val="aff"/>
              <w:numPr>
                <w:ilvl w:val="0"/>
                <w:numId w:val="133"/>
              </w:numPr>
              <w:contextualSpacing/>
              <w:jc w:val="center"/>
              <w:rPr>
                <w:b/>
                <w:bCs/>
              </w:rPr>
            </w:pPr>
            <w:r w:rsidRPr="007A2B03">
              <w:rPr>
                <w:b/>
                <w:bCs/>
              </w:rPr>
              <w:t xml:space="preserve">Посттрансфузионная пурпура: </w:t>
            </w:r>
          </w:p>
          <w:p w14:paraId="4F1E0644" w14:textId="77777777" w:rsidR="00D41B5F" w:rsidRPr="007A2B03" w:rsidRDefault="00D41B5F" w:rsidP="005A428D">
            <w:pPr>
              <w:rPr>
                <w:b/>
                <w:bCs/>
              </w:rPr>
            </w:pPr>
            <w:r w:rsidRPr="007A2B03">
              <w:t>наличие антилейкоцитарных и (или) специфических антитромбоцитарных антител, рефрактерность к трансфузиям тромбоцитсодержащих сред</w:t>
            </w:r>
          </w:p>
        </w:tc>
      </w:tr>
      <w:tr w:rsidR="00D41B5F" w:rsidRPr="00915AAD" w14:paraId="35BE7E59" w14:textId="77777777" w:rsidTr="005A428D">
        <w:tc>
          <w:tcPr>
            <w:tcW w:w="3208" w:type="dxa"/>
            <w:vMerge w:val="restart"/>
            <w:shd w:val="clear" w:color="auto" w:fill="auto"/>
          </w:tcPr>
          <w:p w14:paraId="233EC42D" w14:textId="77777777" w:rsidR="00D41B5F" w:rsidRPr="007A2B03" w:rsidRDefault="00D41B5F" w:rsidP="005A428D">
            <w:r w:rsidRPr="007A2B03">
              <w:t xml:space="preserve">Посттрансфузионная пурпура </w:t>
            </w:r>
          </w:p>
        </w:tc>
        <w:tc>
          <w:tcPr>
            <w:tcW w:w="3082" w:type="dxa"/>
            <w:shd w:val="clear" w:color="auto" w:fill="auto"/>
          </w:tcPr>
          <w:p w14:paraId="39F8B509" w14:textId="77777777" w:rsidR="00D41B5F" w:rsidRPr="007A2B03" w:rsidRDefault="00D41B5F" w:rsidP="005A428D">
            <w:r w:rsidRPr="007A2B03">
              <w:t>Индивидуально подобранный концентрат тромбоцитов методом адгезии на твердой фазе / в лимфоцитотоксическом тесте</w:t>
            </w:r>
          </w:p>
        </w:tc>
        <w:tc>
          <w:tcPr>
            <w:tcW w:w="8270" w:type="dxa"/>
            <w:shd w:val="clear" w:color="auto" w:fill="auto"/>
          </w:tcPr>
          <w:p w14:paraId="1545E713" w14:textId="77777777" w:rsidR="00D41B5F" w:rsidRPr="007A2B03" w:rsidRDefault="00D41B5F" w:rsidP="005A428D">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tc>
      </w:tr>
      <w:tr w:rsidR="00D41B5F" w:rsidRPr="00915AAD" w14:paraId="1070041C" w14:textId="77777777" w:rsidTr="005A428D">
        <w:tc>
          <w:tcPr>
            <w:tcW w:w="3208" w:type="dxa"/>
            <w:vMerge/>
            <w:shd w:val="clear" w:color="auto" w:fill="auto"/>
          </w:tcPr>
          <w:p w14:paraId="6801E9E1" w14:textId="77777777" w:rsidR="00D41B5F" w:rsidRPr="007A2B03" w:rsidRDefault="00D41B5F" w:rsidP="005A428D"/>
        </w:tc>
        <w:tc>
          <w:tcPr>
            <w:tcW w:w="3082" w:type="dxa"/>
            <w:shd w:val="clear" w:color="auto" w:fill="auto"/>
          </w:tcPr>
          <w:p w14:paraId="2C765CDE" w14:textId="77777777" w:rsidR="00D41B5F" w:rsidRPr="007A2B03" w:rsidRDefault="00D41B5F" w:rsidP="005A428D">
            <w:r w:rsidRPr="007A2B03">
              <w:t>Концентрат тромбоцитов с невозможностью проведения индивидуального подбора</w:t>
            </w:r>
          </w:p>
        </w:tc>
        <w:tc>
          <w:tcPr>
            <w:tcW w:w="8270" w:type="dxa"/>
            <w:shd w:val="clear" w:color="auto" w:fill="auto"/>
          </w:tcPr>
          <w:p w14:paraId="53D57B5A" w14:textId="77777777" w:rsidR="00D41B5F" w:rsidRPr="007A2B03" w:rsidRDefault="00D41B5F" w:rsidP="005A428D">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p w14:paraId="3FEA0935" w14:textId="77777777" w:rsidR="00D41B5F" w:rsidRPr="007A2B03" w:rsidRDefault="00D41B5F" w:rsidP="005A428D">
            <w:r w:rsidRPr="007A2B03">
              <w:t>Индивидуально рассмотреть возможность разового введения глюкокортикостероидов** с целью снижения дальнейшей аллоиммунизации и уменьшения выраженности возможной посттрансфузионной реакции или осложнений на данную трансфузию (</w:t>
            </w:r>
            <w:r w:rsidRPr="007A2B03">
              <w:rPr>
                <w:shd w:val="clear" w:color="auto" w:fill="FFFFFF"/>
              </w:rPr>
              <w:t>следует </w:t>
            </w:r>
            <w:r w:rsidRPr="007A2B03">
              <w:rPr>
                <w:rStyle w:val="affc"/>
                <w:shd w:val="clear" w:color="auto" w:fill="FFFFFF"/>
              </w:rPr>
              <w:t>соотнести</w:t>
            </w:r>
            <w:r w:rsidRPr="007A2B03">
              <w:rPr>
                <w:shd w:val="clear" w:color="auto" w:fill="FFFFFF"/>
              </w:rPr>
              <w:t> потенциальные </w:t>
            </w:r>
            <w:r w:rsidRPr="007A2B03">
              <w:rPr>
                <w:rStyle w:val="affc"/>
                <w:shd w:val="clear" w:color="auto" w:fill="FFFFFF"/>
              </w:rPr>
              <w:t>риски</w:t>
            </w:r>
            <w:r w:rsidRPr="007A2B03">
              <w:rPr>
                <w:shd w:val="clear" w:color="auto" w:fill="FFFFFF"/>
              </w:rPr>
              <w:t> и ожидаемую </w:t>
            </w:r>
            <w:r w:rsidRPr="007A2B03">
              <w:rPr>
                <w:rStyle w:val="affc"/>
                <w:shd w:val="clear" w:color="auto" w:fill="FFFFFF"/>
              </w:rPr>
              <w:t>пользу</w:t>
            </w:r>
            <w:r w:rsidRPr="007A2B03">
              <w:t>).</w:t>
            </w:r>
          </w:p>
        </w:tc>
      </w:tr>
      <w:tr w:rsidR="00D41B5F" w:rsidRPr="00915AAD" w14:paraId="4CC47F40" w14:textId="77777777" w:rsidTr="005A428D">
        <w:tc>
          <w:tcPr>
            <w:tcW w:w="3208" w:type="dxa"/>
            <w:vMerge/>
            <w:shd w:val="clear" w:color="auto" w:fill="auto"/>
          </w:tcPr>
          <w:p w14:paraId="345A4F15" w14:textId="77777777" w:rsidR="00D41B5F" w:rsidRPr="007A2B03" w:rsidRDefault="00D41B5F" w:rsidP="005A428D"/>
        </w:tc>
        <w:tc>
          <w:tcPr>
            <w:tcW w:w="3082" w:type="dxa"/>
            <w:shd w:val="clear" w:color="auto" w:fill="auto"/>
          </w:tcPr>
          <w:p w14:paraId="0798B937" w14:textId="77777777" w:rsidR="00D41B5F" w:rsidRPr="007A2B03" w:rsidRDefault="00D41B5F" w:rsidP="005A428D">
            <w:r w:rsidRPr="007A2B03">
              <w:t>Другие компоненты донорской крови</w:t>
            </w:r>
          </w:p>
        </w:tc>
        <w:tc>
          <w:tcPr>
            <w:tcW w:w="8270" w:type="dxa"/>
            <w:shd w:val="clear" w:color="auto" w:fill="auto"/>
          </w:tcPr>
          <w:p w14:paraId="09062BA1" w14:textId="77777777" w:rsidR="00D41B5F" w:rsidRPr="007A2B03" w:rsidRDefault="00D41B5F" w:rsidP="005A428D">
            <w:r w:rsidRPr="007A2B03">
              <w:t>10 мл 10% кальция глюконата в 100 мл 0,9% раствора NaC</w:t>
            </w:r>
            <w:r w:rsidRPr="007A2B03">
              <w:rPr>
                <w:lang w:val="en-US"/>
              </w:rPr>
              <w:t>l</w:t>
            </w:r>
            <w:r w:rsidRPr="007A2B03">
              <w:t xml:space="preserve"> в/в капельно</w:t>
            </w:r>
          </w:p>
        </w:tc>
      </w:tr>
    </w:tbl>
    <w:p w14:paraId="2952AA32" w14:textId="77777777" w:rsidR="00D41B5F" w:rsidRPr="00BC3659" w:rsidRDefault="00D41B5F" w:rsidP="00D41B5F">
      <w:pPr>
        <w:rPr>
          <w:sz w:val="20"/>
          <w:szCs w:val="20"/>
        </w:rPr>
      </w:pPr>
      <w:r w:rsidRPr="00915AAD">
        <w:rPr>
          <w:szCs w:val="24"/>
        </w:rPr>
        <w:t xml:space="preserve">* </w:t>
      </w:r>
      <w:r w:rsidRPr="00BC3659">
        <w:rPr>
          <w:sz w:val="20"/>
          <w:szCs w:val="20"/>
        </w:rPr>
        <w:t>Предшествующие реакции и осложнения, связанные с трансфузией донорской крови и (или) ее компонентов, не влияющие на объем последующей премедикации при проведении трансфузионной терапии:</w:t>
      </w:r>
    </w:p>
    <w:p w14:paraId="635801E0" w14:textId="77777777" w:rsidR="00D41B5F" w:rsidRPr="00BC3659" w:rsidRDefault="00D41B5F" w:rsidP="0091350E">
      <w:pPr>
        <w:pStyle w:val="aff"/>
        <w:numPr>
          <w:ilvl w:val="0"/>
          <w:numId w:val="132"/>
        </w:numPr>
        <w:contextualSpacing/>
        <w:rPr>
          <w:sz w:val="20"/>
          <w:szCs w:val="20"/>
        </w:rPr>
      </w:pPr>
      <w:r w:rsidRPr="00BC3659">
        <w:rPr>
          <w:sz w:val="20"/>
          <w:szCs w:val="20"/>
        </w:rPr>
        <w:t>Иммунные:</w:t>
      </w:r>
    </w:p>
    <w:p w14:paraId="424CD3AE" w14:textId="77777777" w:rsidR="00D41B5F" w:rsidRPr="00BC3659" w:rsidRDefault="00D41B5F" w:rsidP="0091350E">
      <w:pPr>
        <w:pStyle w:val="aff"/>
        <w:numPr>
          <w:ilvl w:val="0"/>
          <w:numId w:val="127"/>
        </w:numPr>
        <w:contextualSpacing/>
        <w:rPr>
          <w:sz w:val="20"/>
          <w:szCs w:val="20"/>
        </w:rPr>
      </w:pPr>
      <w:r w:rsidRPr="00BC3659">
        <w:rPr>
          <w:sz w:val="20"/>
          <w:szCs w:val="20"/>
        </w:rPr>
        <w:t>Обусловленное трансфузией острое повреждение легких</w:t>
      </w:r>
    </w:p>
    <w:p w14:paraId="186183DE" w14:textId="77777777" w:rsidR="00D41B5F" w:rsidRPr="00BC3659" w:rsidRDefault="00D41B5F" w:rsidP="0091350E">
      <w:pPr>
        <w:pStyle w:val="aff"/>
        <w:numPr>
          <w:ilvl w:val="0"/>
          <w:numId w:val="127"/>
        </w:numPr>
        <w:contextualSpacing/>
        <w:rPr>
          <w:sz w:val="20"/>
          <w:szCs w:val="20"/>
        </w:rPr>
      </w:pPr>
      <w:r w:rsidRPr="00BC3659">
        <w:rPr>
          <w:sz w:val="20"/>
          <w:szCs w:val="20"/>
        </w:rPr>
        <w:t>Обусловленная трансфузией одышка</w:t>
      </w:r>
    </w:p>
    <w:p w14:paraId="700CA454" w14:textId="77777777" w:rsidR="00D41B5F" w:rsidRPr="00BC3659" w:rsidRDefault="00D41B5F" w:rsidP="0091350E">
      <w:pPr>
        <w:pStyle w:val="aff"/>
        <w:numPr>
          <w:ilvl w:val="0"/>
          <w:numId w:val="132"/>
        </w:numPr>
        <w:contextualSpacing/>
        <w:rPr>
          <w:sz w:val="20"/>
          <w:szCs w:val="20"/>
        </w:rPr>
      </w:pPr>
      <w:r w:rsidRPr="00BC3659">
        <w:rPr>
          <w:sz w:val="20"/>
          <w:szCs w:val="20"/>
        </w:rPr>
        <w:t>Неиммуные:</w:t>
      </w:r>
    </w:p>
    <w:p w14:paraId="30090BB3" w14:textId="77777777" w:rsidR="00D41B5F" w:rsidRPr="00BC3659" w:rsidRDefault="00D41B5F" w:rsidP="0091350E">
      <w:pPr>
        <w:pStyle w:val="aff"/>
        <w:numPr>
          <w:ilvl w:val="0"/>
          <w:numId w:val="129"/>
        </w:numPr>
        <w:contextualSpacing/>
        <w:rPr>
          <w:sz w:val="20"/>
          <w:szCs w:val="20"/>
        </w:rPr>
      </w:pPr>
      <w:r w:rsidRPr="00BC3659">
        <w:rPr>
          <w:sz w:val="20"/>
          <w:szCs w:val="20"/>
        </w:rPr>
        <w:t>Обусловленная трансфузией циркуляторная перегрузка</w:t>
      </w:r>
    </w:p>
    <w:p w14:paraId="66129C21" w14:textId="77777777" w:rsidR="00D41B5F" w:rsidRPr="00BC3659" w:rsidRDefault="00D41B5F" w:rsidP="0091350E">
      <w:pPr>
        <w:pStyle w:val="aff"/>
        <w:numPr>
          <w:ilvl w:val="0"/>
          <w:numId w:val="129"/>
        </w:numPr>
        <w:contextualSpacing/>
        <w:rPr>
          <w:sz w:val="20"/>
          <w:szCs w:val="20"/>
        </w:rPr>
      </w:pPr>
      <w:r w:rsidRPr="00BC3659">
        <w:rPr>
          <w:sz w:val="20"/>
          <w:szCs w:val="20"/>
        </w:rPr>
        <w:t>Посттрансфузионная гипертензия</w:t>
      </w:r>
    </w:p>
    <w:p w14:paraId="72FC907A" w14:textId="77777777" w:rsidR="00D41B5F" w:rsidRPr="00BC3659" w:rsidRDefault="00D41B5F" w:rsidP="0091350E">
      <w:pPr>
        <w:pStyle w:val="aff"/>
        <w:numPr>
          <w:ilvl w:val="0"/>
          <w:numId w:val="129"/>
        </w:numPr>
        <w:contextualSpacing/>
        <w:rPr>
          <w:sz w:val="20"/>
          <w:szCs w:val="20"/>
        </w:rPr>
      </w:pPr>
      <w:r w:rsidRPr="00BC3659">
        <w:rPr>
          <w:sz w:val="20"/>
          <w:szCs w:val="20"/>
        </w:rPr>
        <w:t>Острый неиммунный гемолиз</w:t>
      </w:r>
    </w:p>
    <w:p w14:paraId="5E3F8723" w14:textId="77777777" w:rsidR="00D41B5F" w:rsidRPr="00BC3659" w:rsidRDefault="00D41B5F" w:rsidP="0091350E">
      <w:pPr>
        <w:pStyle w:val="aff"/>
        <w:numPr>
          <w:ilvl w:val="0"/>
          <w:numId w:val="129"/>
        </w:numPr>
        <w:contextualSpacing/>
        <w:rPr>
          <w:sz w:val="20"/>
          <w:szCs w:val="20"/>
        </w:rPr>
      </w:pPr>
      <w:r w:rsidRPr="00BC3659">
        <w:rPr>
          <w:sz w:val="20"/>
          <w:szCs w:val="20"/>
        </w:rPr>
        <w:t>Септический шок</w:t>
      </w:r>
    </w:p>
    <w:p w14:paraId="46303C6E" w14:textId="77777777" w:rsidR="00D41B5F" w:rsidRPr="00BC3659" w:rsidRDefault="00D41B5F" w:rsidP="0091350E">
      <w:pPr>
        <w:pStyle w:val="aff"/>
        <w:numPr>
          <w:ilvl w:val="0"/>
          <w:numId w:val="129"/>
        </w:numPr>
        <w:contextualSpacing/>
        <w:rPr>
          <w:sz w:val="20"/>
          <w:szCs w:val="20"/>
        </w:rPr>
      </w:pPr>
      <w:r w:rsidRPr="00BC3659">
        <w:rPr>
          <w:sz w:val="20"/>
          <w:szCs w:val="20"/>
        </w:rPr>
        <w:t>Хроническая перегрузка железом</w:t>
      </w:r>
    </w:p>
    <w:p w14:paraId="438B2552" w14:textId="77777777" w:rsidR="00D41B5F" w:rsidRPr="00BC3659" w:rsidRDefault="00D41B5F" w:rsidP="00D41B5F">
      <w:pPr>
        <w:rPr>
          <w:sz w:val="20"/>
          <w:szCs w:val="20"/>
        </w:rPr>
      </w:pPr>
      <w:r w:rsidRPr="00BC3659">
        <w:rPr>
          <w:sz w:val="20"/>
          <w:szCs w:val="20"/>
        </w:rPr>
        <w:t xml:space="preserve">** Решение вопроса о введении глюкокортикостероидов и выбор дозы зависит от выраженности посттрансфузионной реакции или осложнения в анамнезе, степени тяжести сопутствующей патологии – инфекционные осложнения (особенно в период глубокой нейтропении), сахарный диабет, артериальная гипертензия и другие. Глюкокортикостероидные препараты в эквивалентных дозировках, применяемые в качестве премедикации перед трансфузией: 10-50 мг преднизолона, либо 2-6 мг дексаметазона, либо 25-100 мг гидрокортизона, либо 62,5-250 мг метилпреднизолона. </w:t>
      </w:r>
    </w:p>
    <w:p w14:paraId="4C23A111" w14:textId="77777777" w:rsidR="00D41B5F" w:rsidRDefault="00D41B5F" w:rsidP="00D41B5F">
      <w:pPr>
        <w:rPr>
          <w:b/>
          <w:szCs w:val="24"/>
        </w:rPr>
      </w:pPr>
    </w:p>
    <w:p w14:paraId="0DE6E0B2" w14:textId="77777777" w:rsidR="00D41B5F" w:rsidRPr="00360841" w:rsidRDefault="00D41B5F" w:rsidP="00D41B5F">
      <w:pPr>
        <w:rPr>
          <w:i/>
          <w:szCs w:val="24"/>
          <w:u w:val="single"/>
        </w:rPr>
      </w:pPr>
      <w:r w:rsidRPr="00360841">
        <w:rPr>
          <w:i/>
          <w:szCs w:val="24"/>
          <w:u w:val="single"/>
        </w:rPr>
        <w:t xml:space="preserve">Лечебный плазмаферез в терапии рефрактерности к трансфузиям тромбоцитов </w:t>
      </w:r>
    </w:p>
    <w:p w14:paraId="6D46C622" w14:textId="77777777" w:rsidR="00D41B5F" w:rsidRPr="003A7159" w:rsidRDefault="00D41B5F" w:rsidP="00D41B5F">
      <w:pPr>
        <w:pStyle w:val="aff"/>
        <w:ind w:left="0" w:firstLine="709"/>
        <w:rPr>
          <w:szCs w:val="24"/>
        </w:rPr>
      </w:pPr>
      <w:r w:rsidRPr="003A7159">
        <w:rPr>
          <w:szCs w:val="24"/>
        </w:rPr>
        <w:t xml:space="preserve">Если с помощью индивидуального подбора донорских </w:t>
      </w:r>
      <w:r>
        <w:rPr>
          <w:szCs w:val="24"/>
        </w:rPr>
        <w:t>т</w:t>
      </w:r>
      <w:r w:rsidRPr="003A7159">
        <w:rPr>
          <w:szCs w:val="24"/>
        </w:rPr>
        <w:t xml:space="preserve">ромбоцитов не удаётся получить достаточный прирост тромбоцитов и клинический эффект от  трансфузий </w:t>
      </w:r>
      <w:r>
        <w:rPr>
          <w:szCs w:val="24"/>
        </w:rPr>
        <w:t>концентрата тромбоцитов</w:t>
      </w:r>
      <w:r w:rsidRPr="003A7159">
        <w:rPr>
          <w:szCs w:val="24"/>
        </w:rPr>
        <w:t xml:space="preserve">, то для улучшения эффективности индивидуального подбора пары «донор-реципиент» к терапии добавляют процедуры плазмафереза. В основе развивающейся рефрактерности к трансфузиям </w:t>
      </w:r>
      <w:r>
        <w:rPr>
          <w:szCs w:val="24"/>
        </w:rPr>
        <w:t>концентрата тромбоцитов</w:t>
      </w:r>
      <w:r w:rsidRPr="003A7159">
        <w:rPr>
          <w:szCs w:val="24"/>
        </w:rPr>
        <w:t xml:space="preserve"> лежит аллосенсибилизация реципиента лейкоцитарными и тромбоцитарными антигенами донорских клеток крови. </w:t>
      </w:r>
      <w:r>
        <w:rPr>
          <w:szCs w:val="24"/>
        </w:rPr>
        <w:t>В этом случае ц</w:t>
      </w:r>
      <w:r w:rsidRPr="003A7159">
        <w:rPr>
          <w:szCs w:val="24"/>
        </w:rPr>
        <w:t>елью проведения ПА является уменьшение концентрации циркулирующих аллоантител и иммунных комплексов.</w:t>
      </w:r>
    </w:p>
    <w:p w14:paraId="4F2BEC67" w14:textId="77777777" w:rsidR="00D41B5F" w:rsidRPr="003A7159" w:rsidRDefault="00D41B5F" w:rsidP="00D41B5F">
      <w:pPr>
        <w:pStyle w:val="aff"/>
        <w:ind w:left="0" w:firstLine="709"/>
        <w:rPr>
          <w:szCs w:val="24"/>
        </w:rPr>
      </w:pPr>
      <w:r w:rsidRPr="003A7159">
        <w:rPr>
          <w:szCs w:val="24"/>
        </w:rPr>
        <w:t>Для преод</w:t>
      </w:r>
      <w:r>
        <w:rPr>
          <w:szCs w:val="24"/>
        </w:rPr>
        <w:t>о</w:t>
      </w:r>
      <w:r w:rsidRPr="003A7159">
        <w:rPr>
          <w:szCs w:val="24"/>
        </w:rPr>
        <w:t xml:space="preserve">ления рефрактерности к трансфузиям </w:t>
      </w:r>
      <w:r>
        <w:rPr>
          <w:szCs w:val="24"/>
        </w:rPr>
        <w:t>концентрата тромбоцитов</w:t>
      </w:r>
      <w:r w:rsidRPr="003A7159">
        <w:rPr>
          <w:szCs w:val="24"/>
        </w:rPr>
        <w:t xml:space="preserve"> в большинстве случаев достаточно провести 5-6 процедур (от 2 до 15 процедур) ПА в сочетании с индивидуальным подбором тромбоцитов. </w:t>
      </w:r>
    </w:p>
    <w:p w14:paraId="6319148A" w14:textId="77777777" w:rsidR="00D41B5F" w:rsidRPr="00736DDC" w:rsidRDefault="00D41B5F" w:rsidP="0091350E">
      <w:pPr>
        <w:pStyle w:val="aff"/>
        <w:numPr>
          <w:ilvl w:val="0"/>
          <w:numId w:val="135"/>
        </w:numPr>
        <w:contextualSpacing/>
        <w:rPr>
          <w:szCs w:val="24"/>
        </w:rPr>
      </w:pPr>
      <w:r w:rsidRPr="00736DDC">
        <w:rPr>
          <w:szCs w:val="24"/>
        </w:rPr>
        <w:t xml:space="preserve">ПА проводятся 2-3 раза в неделю с интервалом 2-3 дня. </w:t>
      </w:r>
    </w:p>
    <w:p w14:paraId="5435EC44" w14:textId="77777777" w:rsidR="00D41B5F" w:rsidRPr="00736DDC" w:rsidRDefault="00D41B5F" w:rsidP="0091350E">
      <w:pPr>
        <w:pStyle w:val="aff"/>
        <w:numPr>
          <w:ilvl w:val="0"/>
          <w:numId w:val="135"/>
        </w:numPr>
        <w:contextualSpacing/>
        <w:rPr>
          <w:szCs w:val="24"/>
        </w:rPr>
      </w:pPr>
      <w:r w:rsidRPr="00736DDC">
        <w:rPr>
          <w:szCs w:val="24"/>
        </w:rPr>
        <w:t>Объём удаляемой плазмы:</w:t>
      </w:r>
      <w:r>
        <w:rPr>
          <w:szCs w:val="24"/>
        </w:rPr>
        <w:t xml:space="preserve"> </w:t>
      </w:r>
      <w:r w:rsidRPr="00736DDC">
        <w:rPr>
          <w:szCs w:val="24"/>
        </w:rPr>
        <w:t xml:space="preserve">за одну процедуру удаляется 0,5 </w:t>
      </w:r>
      <w:r>
        <w:rPr>
          <w:szCs w:val="24"/>
        </w:rPr>
        <w:t>ОЦП</w:t>
      </w:r>
      <w:r w:rsidRPr="00736DDC">
        <w:rPr>
          <w:szCs w:val="24"/>
        </w:rPr>
        <w:t>, в среднем 1500</w:t>
      </w:r>
      <w:r>
        <w:rPr>
          <w:szCs w:val="24"/>
        </w:rPr>
        <w:t xml:space="preserve"> </w:t>
      </w:r>
      <w:r w:rsidRPr="00736DDC">
        <w:rPr>
          <w:szCs w:val="24"/>
        </w:rPr>
        <w:t>мл</w:t>
      </w:r>
      <w:r>
        <w:rPr>
          <w:szCs w:val="24"/>
        </w:rPr>
        <w:t xml:space="preserve"> (1000 – </w:t>
      </w:r>
      <w:r w:rsidRPr="00736DDC">
        <w:rPr>
          <w:szCs w:val="24"/>
        </w:rPr>
        <w:t>2000</w:t>
      </w:r>
      <w:r>
        <w:rPr>
          <w:szCs w:val="24"/>
        </w:rPr>
        <w:t xml:space="preserve"> </w:t>
      </w:r>
      <w:r w:rsidRPr="00736DDC">
        <w:rPr>
          <w:szCs w:val="24"/>
        </w:rPr>
        <w:t>мл)</w:t>
      </w:r>
      <w:r>
        <w:rPr>
          <w:szCs w:val="24"/>
        </w:rPr>
        <w:t>.</w:t>
      </w:r>
    </w:p>
    <w:p w14:paraId="33B5C964" w14:textId="77777777" w:rsidR="00D41B5F" w:rsidRPr="003A7159" w:rsidRDefault="00D41B5F" w:rsidP="00D41B5F">
      <w:pPr>
        <w:ind w:firstLine="709"/>
        <w:rPr>
          <w:szCs w:val="24"/>
        </w:rPr>
      </w:pPr>
      <w:r w:rsidRPr="003A7159">
        <w:rPr>
          <w:szCs w:val="24"/>
        </w:rPr>
        <w:t>С целью предупреждения  дополнительной аллоиммунизации антигенами донорских клеток крови и белками донорской плазмы замещение объёма удалённой плазмы проводится 5%, 10%, 20% раствором альбумина и раствором</w:t>
      </w:r>
      <w:r>
        <w:rPr>
          <w:szCs w:val="24"/>
        </w:rPr>
        <w:t xml:space="preserve"> натрия хлорида 0,9%</w:t>
      </w:r>
      <w:r w:rsidRPr="003A7159">
        <w:rPr>
          <w:szCs w:val="24"/>
        </w:rPr>
        <w:t>.</w:t>
      </w:r>
    </w:p>
    <w:p w14:paraId="5FFBCF40" w14:textId="77777777" w:rsidR="00D41B5F" w:rsidRDefault="00D41B5F" w:rsidP="00D41B5F">
      <w:pPr>
        <w:ind w:firstLine="709"/>
        <w:rPr>
          <w:szCs w:val="24"/>
        </w:rPr>
      </w:pPr>
      <w:r w:rsidRPr="003A7159">
        <w:rPr>
          <w:szCs w:val="24"/>
        </w:rPr>
        <w:t xml:space="preserve">Соотношение раствора 5% альбумина и </w:t>
      </w:r>
      <w:r>
        <w:rPr>
          <w:szCs w:val="24"/>
        </w:rPr>
        <w:t>р</w:t>
      </w:r>
      <w:r w:rsidRPr="00623297">
        <w:rPr>
          <w:szCs w:val="24"/>
        </w:rPr>
        <w:t>аствор</w:t>
      </w:r>
      <w:r>
        <w:rPr>
          <w:szCs w:val="24"/>
        </w:rPr>
        <w:t>а</w:t>
      </w:r>
      <w:r w:rsidRPr="00623297">
        <w:rPr>
          <w:szCs w:val="24"/>
        </w:rPr>
        <w:t xml:space="preserve"> </w:t>
      </w:r>
      <w:r>
        <w:rPr>
          <w:szCs w:val="24"/>
        </w:rPr>
        <w:t xml:space="preserve">натрия хлорида 0,9% </w:t>
      </w:r>
      <w:r w:rsidRPr="003A7159">
        <w:rPr>
          <w:szCs w:val="24"/>
        </w:rPr>
        <w:t>1:1 при уровне общего белка ≥ 65г/л</w:t>
      </w:r>
      <w:r>
        <w:rPr>
          <w:szCs w:val="24"/>
        </w:rPr>
        <w:t xml:space="preserve">: </w:t>
      </w:r>
    </w:p>
    <w:p w14:paraId="5A4AC6DB" w14:textId="77777777" w:rsidR="00D41B5F" w:rsidRPr="009A1835" w:rsidRDefault="00D41B5F" w:rsidP="0091350E">
      <w:pPr>
        <w:pStyle w:val="aff"/>
        <w:numPr>
          <w:ilvl w:val="0"/>
          <w:numId w:val="136"/>
        </w:numPr>
        <w:contextualSpacing/>
        <w:rPr>
          <w:szCs w:val="24"/>
        </w:rPr>
      </w:pPr>
      <w:r w:rsidRPr="009A1835">
        <w:rPr>
          <w:szCs w:val="24"/>
        </w:rPr>
        <w:t xml:space="preserve">Альбумин 5% - (500мл – 1000мл) в среднем 800 мл; </w:t>
      </w:r>
    </w:p>
    <w:p w14:paraId="01BB9C06" w14:textId="77777777" w:rsidR="00D41B5F" w:rsidRPr="009A1835" w:rsidRDefault="00D41B5F" w:rsidP="0091350E">
      <w:pPr>
        <w:pStyle w:val="aff"/>
        <w:numPr>
          <w:ilvl w:val="0"/>
          <w:numId w:val="136"/>
        </w:numPr>
        <w:contextualSpacing/>
        <w:rPr>
          <w:szCs w:val="24"/>
        </w:rPr>
      </w:pPr>
      <w:r>
        <w:rPr>
          <w:szCs w:val="24"/>
        </w:rPr>
        <w:t>Р</w:t>
      </w:r>
      <w:r w:rsidRPr="00623297">
        <w:rPr>
          <w:szCs w:val="24"/>
        </w:rPr>
        <w:t xml:space="preserve">аствор </w:t>
      </w:r>
      <w:r>
        <w:rPr>
          <w:szCs w:val="24"/>
        </w:rPr>
        <w:t xml:space="preserve">натрия хлорида 0,9% </w:t>
      </w:r>
      <w:r w:rsidRPr="009A1835">
        <w:rPr>
          <w:szCs w:val="24"/>
        </w:rPr>
        <w:t>в среднем 800 мл (500 – 1000 мл).</w:t>
      </w:r>
    </w:p>
    <w:p w14:paraId="155D4B34" w14:textId="77777777" w:rsidR="00D41B5F" w:rsidRDefault="00D41B5F" w:rsidP="00D41B5F">
      <w:pPr>
        <w:rPr>
          <w:szCs w:val="24"/>
          <w:u w:val="single"/>
        </w:rPr>
      </w:pPr>
    </w:p>
    <w:p w14:paraId="371AC623" w14:textId="77777777" w:rsidR="00D41B5F" w:rsidRDefault="00D41B5F" w:rsidP="00D41B5F">
      <w:pPr>
        <w:ind w:firstLine="709"/>
        <w:rPr>
          <w:szCs w:val="24"/>
          <w:u w:val="single"/>
        </w:rPr>
      </w:pPr>
      <w:r w:rsidRPr="00623297">
        <w:rPr>
          <w:szCs w:val="24"/>
          <w:u w:val="single"/>
        </w:rPr>
        <w:t>Методические аспекты проведения ПА при тромбоцитопении, рефрактерной к трансфузиям концентрата тромбоцитов:</w:t>
      </w:r>
      <w:r>
        <w:rPr>
          <w:szCs w:val="24"/>
          <w:u w:val="single"/>
        </w:rPr>
        <w:t xml:space="preserve"> </w:t>
      </w:r>
    </w:p>
    <w:p w14:paraId="192FF8B2" w14:textId="77777777" w:rsidR="00D41B5F" w:rsidRPr="00623297" w:rsidRDefault="00D41B5F" w:rsidP="0091350E">
      <w:pPr>
        <w:pStyle w:val="aff"/>
        <w:numPr>
          <w:ilvl w:val="0"/>
          <w:numId w:val="137"/>
        </w:numPr>
        <w:contextualSpacing/>
        <w:rPr>
          <w:szCs w:val="24"/>
          <w:u w:val="single"/>
        </w:rPr>
      </w:pPr>
      <w:r w:rsidRPr="00623297">
        <w:rPr>
          <w:szCs w:val="24"/>
        </w:rPr>
        <w:t>При наличии глубокой  тромбоцитопении (≤ 20х10</w:t>
      </w:r>
      <w:r w:rsidRPr="00623297">
        <w:rPr>
          <w:szCs w:val="24"/>
          <w:vertAlign w:val="superscript"/>
        </w:rPr>
        <w:t>9</w:t>
      </w:r>
      <w:r w:rsidRPr="00623297">
        <w:rPr>
          <w:szCs w:val="24"/>
        </w:rPr>
        <w:t>/л) перед началом  проведения процедуры ПА необходимо провести трансфузию 4 – 6 доз тромбоцитов, заказать концентрат тромбоцитов для трансфузии после окончания процедуры ПА.</w:t>
      </w:r>
    </w:p>
    <w:p w14:paraId="60647F2E" w14:textId="77777777" w:rsidR="00D41B5F" w:rsidRPr="00C62ED8" w:rsidRDefault="00D41B5F" w:rsidP="0091350E">
      <w:pPr>
        <w:pStyle w:val="aff"/>
        <w:numPr>
          <w:ilvl w:val="0"/>
          <w:numId w:val="137"/>
        </w:numPr>
        <w:contextualSpacing/>
        <w:rPr>
          <w:szCs w:val="24"/>
        </w:rPr>
      </w:pPr>
      <w:r w:rsidRPr="00C62ED8">
        <w:rPr>
          <w:szCs w:val="24"/>
        </w:rPr>
        <w:t>После проведённой процедуры ПА уровень общего белка плазмы должен быть ≥ 50г/л; если уровень общего белка плазмы будет меньше, то требуется дополнительное введение альбумина.</w:t>
      </w:r>
    </w:p>
    <w:p w14:paraId="0A700299" w14:textId="77777777" w:rsidR="00D41B5F" w:rsidRDefault="00D41B5F" w:rsidP="0091350E">
      <w:pPr>
        <w:pStyle w:val="aff"/>
        <w:numPr>
          <w:ilvl w:val="0"/>
          <w:numId w:val="137"/>
        </w:numPr>
        <w:contextualSpacing/>
        <w:rPr>
          <w:szCs w:val="24"/>
        </w:rPr>
      </w:pPr>
      <w:r w:rsidRPr="00623297">
        <w:rPr>
          <w:szCs w:val="24"/>
        </w:rPr>
        <w:t xml:space="preserve">После каждых 2 – 3 процедур ПА необходим контроль уровня сывороточного белка и коагулограммы для исключения дефицита факторов свёртывания крови и развития геморрагического синдрома. При сохранении дефицита факторов свёртывания крови замещение объёма удалённой плазмы надо проводить СЗП + р-ром 5% альбумина  и </w:t>
      </w:r>
      <w:r>
        <w:rPr>
          <w:szCs w:val="24"/>
        </w:rPr>
        <w:t>р</w:t>
      </w:r>
      <w:r w:rsidRPr="00623297">
        <w:rPr>
          <w:szCs w:val="24"/>
        </w:rPr>
        <w:t>аствор</w:t>
      </w:r>
      <w:r>
        <w:rPr>
          <w:szCs w:val="24"/>
        </w:rPr>
        <w:t>ом</w:t>
      </w:r>
      <w:r w:rsidRPr="00623297">
        <w:rPr>
          <w:szCs w:val="24"/>
        </w:rPr>
        <w:t xml:space="preserve"> </w:t>
      </w:r>
      <w:r>
        <w:rPr>
          <w:szCs w:val="24"/>
        </w:rPr>
        <w:t>натрия хлорида 0,9%</w:t>
      </w:r>
      <w:r w:rsidRPr="00623297">
        <w:rPr>
          <w:szCs w:val="24"/>
        </w:rPr>
        <w:t xml:space="preserve">. </w:t>
      </w:r>
    </w:p>
    <w:p w14:paraId="062056DE" w14:textId="77777777" w:rsidR="00D41B5F" w:rsidRPr="00623297" w:rsidRDefault="00D41B5F" w:rsidP="0091350E">
      <w:pPr>
        <w:pStyle w:val="aff"/>
        <w:numPr>
          <w:ilvl w:val="0"/>
          <w:numId w:val="137"/>
        </w:numPr>
        <w:contextualSpacing/>
        <w:rPr>
          <w:szCs w:val="24"/>
        </w:rPr>
      </w:pPr>
      <w:r w:rsidRPr="00623297">
        <w:rPr>
          <w:szCs w:val="24"/>
        </w:rPr>
        <w:t xml:space="preserve">Соотношение СЗП + раствора 5% альбумина и </w:t>
      </w:r>
      <w:r>
        <w:rPr>
          <w:szCs w:val="24"/>
        </w:rPr>
        <w:t>р</w:t>
      </w:r>
      <w:r w:rsidRPr="00623297">
        <w:rPr>
          <w:szCs w:val="24"/>
        </w:rPr>
        <w:t>аствор</w:t>
      </w:r>
      <w:r>
        <w:rPr>
          <w:szCs w:val="24"/>
        </w:rPr>
        <w:t>а</w:t>
      </w:r>
      <w:r w:rsidRPr="00623297">
        <w:rPr>
          <w:szCs w:val="24"/>
        </w:rPr>
        <w:t xml:space="preserve"> </w:t>
      </w:r>
      <w:r>
        <w:rPr>
          <w:szCs w:val="24"/>
        </w:rPr>
        <w:t xml:space="preserve">натрия хлорида 0,9% </w:t>
      </w:r>
      <w:r w:rsidRPr="00623297">
        <w:rPr>
          <w:szCs w:val="24"/>
        </w:rPr>
        <w:t xml:space="preserve">1:1 при уровне общего белка ≥ 65г/л </w:t>
      </w:r>
    </w:p>
    <w:p w14:paraId="21B1275E" w14:textId="06950EFE" w:rsidR="00D41B5F" w:rsidRPr="00623297" w:rsidRDefault="00D41B5F" w:rsidP="0091350E">
      <w:pPr>
        <w:pStyle w:val="aff"/>
        <w:numPr>
          <w:ilvl w:val="0"/>
          <w:numId w:val="138"/>
        </w:numPr>
        <w:contextualSpacing/>
        <w:rPr>
          <w:szCs w:val="24"/>
        </w:rPr>
      </w:pPr>
      <w:r w:rsidRPr="00623297">
        <w:rPr>
          <w:szCs w:val="24"/>
        </w:rPr>
        <w:t>СЗП –  в среднем 500</w:t>
      </w:r>
      <w:r>
        <w:rPr>
          <w:szCs w:val="24"/>
        </w:rPr>
        <w:t xml:space="preserve"> </w:t>
      </w:r>
      <w:r w:rsidRPr="00623297">
        <w:rPr>
          <w:szCs w:val="24"/>
        </w:rPr>
        <w:t>мл</w:t>
      </w:r>
      <w:r>
        <w:rPr>
          <w:szCs w:val="24"/>
        </w:rPr>
        <w:t xml:space="preserve"> (500</w:t>
      </w:r>
      <w:r w:rsidR="00275BAA">
        <w:rPr>
          <w:szCs w:val="24"/>
        </w:rPr>
        <w:t>-</w:t>
      </w:r>
      <w:r w:rsidRPr="00623297">
        <w:rPr>
          <w:szCs w:val="24"/>
        </w:rPr>
        <w:t>1000</w:t>
      </w:r>
      <w:r>
        <w:rPr>
          <w:szCs w:val="24"/>
        </w:rPr>
        <w:t xml:space="preserve"> </w:t>
      </w:r>
      <w:r w:rsidRPr="00623297">
        <w:rPr>
          <w:szCs w:val="24"/>
        </w:rPr>
        <w:t>мл);</w:t>
      </w:r>
    </w:p>
    <w:p w14:paraId="243FF4C7" w14:textId="2FD2C43A" w:rsidR="00D41B5F" w:rsidRPr="00623297" w:rsidRDefault="00D41B5F" w:rsidP="0091350E">
      <w:pPr>
        <w:pStyle w:val="aff"/>
        <w:numPr>
          <w:ilvl w:val="0"/>
          <w:numId w:val="138"/>
        </w:numPr>
        <w:contextualSpacing/>
        <w:rPr>
          <w:szCs w:val="24"/>
        </w:rPr>
      </w:pPr>
      <w:r>
        <w:rPr>
          <w:szCs w:val="24"/>
        </w:rPr>
        <w:t xml:space="preserve">Альбумин 5%  200 – </w:t>
      </w:r>
      <w:r w:rsidRPr="00623297">
        <w:rPr>
          <w:szCs w:val="24"/>
        </w:rPr>
        <w:t>300мл (10</w:t>
      </w:r>
      <w:r w:rsidR="00275BAA">
        <w:rPr>
          <w:szCs w:val="24"/>
        </w:rPr>
        <w:t>-</w:t>
      </w:r>
      <w:r w:rsidRPr="00623297">
        <w:rPr>
          <w:szCs w:val="24"/>
        </w:rPr>
        <w:t>15</w:t>
      </w:r>
      <w:r w:rsidR="00E040DB">
        <w:rPr>
          <w:szCs w:val="24"/>
        </w:rPr>
        <w:t> </w:t>
      </w:r>
      <w:r w:rsidRPr="00623297">
        <w:rPr>
          <w:szCs w:val="24"/>
        </w:rPr>
        <w:t>г);</w:t>
      </w:r>
    </w:p>
    <w:p w14:paraId="449E2F8A" w14:textId="77777777" w:rsidR="00D41B5F" w:rsidRPr="00623297" w:rsidRDefault="00D41B5F" w:rsidP="0091350E">
      <w:pPr>
        <w:pStyle w:val="aff"/>
        <w:numPr>
          <w:ilvl w:val="0"/>
          <w:numId w:val="138"/>
        </w:numPr>
        <w:contextualSpacing/>
        <w:rPr>
          <w:szCs w:val="24"/>
        </w:rPr>
      </w:pPr>
      <w:r>
        <w:rPr>
          <w:szCs w:val="24"/>
        </w:rPr>
        <w:t>Р</w:t>
      </w:r>
      <w:r w:rsidRPr="00623297">
        <w:rPr>
          <w:szCs w:val="24"/>
        </w:rPr>
        <w:t xml:space="preserve">аствор </w:t>
      </w:r>
      <w:r>
        <w:rPr>
          <w:szCs w:val="24"/>
        </w:rPr>
        <w:t xml:space="preserve">натрия хлорида 0,9% </w:t>
      </w:r>
      <w:r w:rsidRPr="00623297">
        <w:rPr>
          <w:szCs w:val="24"/>
        </w:rPr>
        <w:t>в среднем 800</w:t>
      </w:r>
      <w:r>
        <w:rPr>
          <w:szCs w:val="24"/>
        </w:rPr>
        <w:t xml:space="preserve"> </w:t>
      </w:r>
      <w:r w:rsidRPr="00623297">
        <w:rPr>
          <w:szCs w:val="24"/>
        </w:rPr>
        <w:t>мл</w:t>
      </w:r>
      <w:r>
        <w:rPr>
          <w:szCs w:val="24"/>
        </w:rPr>
        <w:t xml:space="preserve"> </w:t>
      </w:r>
      <w:r w:rsidRPr="003A7159">
        <w:rPr>
          <w:szCs w:val="24"/>
        </w:rPr>
        <w:t>(500 – 1000</w:t>
      </w:r>
      <w:r>
        <w:rPr>
          <w:szCs w:val="24"/>
        </w:rPr>
        <w:t xml:space="preserve"> </w:t>
      </w:r>
      <w:r w:rsidRPr="003A7159">
        <w:rPr>
          <w:szCs w:val="24"/>
        </w:rPr>
        <w:t>мл)</w:t>
      </w:r>
      <w:r>
        <w:rPr>
          <w:szCs w:val="24"/>
        </w:rPr>
        <w:t>.</w:t>
      </w:r>
      <w:r w:rsidRPr="00623297">
        <w:rPr>
          <w:szCs w:val="24"/>
        </w:rPr>
        <w:t xml:space="preserve"> </w:t>
      </w:r>
    </w:p>
    <w:p w14:paraId="03929249" w14:textId="77777777" w:rsidR="00D41B5F" w:rsidRPr="003A7159" w:rsidRDefault="00D41B5F" w:rsidP="00D41B5F">
      <w:pPr>
        <w:ind w:firstLine="709"/>
        <w:rPr>
          <w:szCs w:val="24"/>
        </w:rPr>
      </w:pPr>
      <w:r w:rsidRPr="003A7159">
        <w:rPr>
          <w:szCs w:val="24"/>
        </w:rPr>
        <w:t>Соотношение СЗП + раствора 5% альбумина и раствора</w:t>
      </w:r>
      <w:r>
        <w:rPr>
          <w:szCs w:val="24"/>
        </w:rPr>
        <w:t xml:space="preserve"> натрия хлорида 0,9% </w:t>
      </w:r>
      <w:r w:rsidRPr="003A7159">
        <w:rPr>
          <w:szCs w:val="24"/>
        </w:rPr>
        <w:t xml:space="preserve"> </w:t>
      </w:r>
      <w:r>
        <w:rPr>
          <w:szCs w:val="24"/>
        </w:rPr>
        <w:t xml:space="preserve">составляет </w:t>
      </w:r>
      <w:r w:rsidRPr="003A7159">
        <w:rPr>
          <w:szCs w:val="24"/>
        </w:rPr>
        <w:t xml:space="preserve">2:1 при уровне общего белка </w:t>
      </w:r>
      <w:r>
        <w:rPr>
          <w:szCs w:val="24"/>
        </w:rPr>
        <w:t xml:space="preserve"> ≤ 55г/л:</w:t>
      </w:r>
    </w:p>
    <w:p w14:paraId="2902A322" w14:textId="5ABD3437" w:rsidR="00D41B5F" w:rsidRPr="00767D08" w:rsidRDefault="00D41B5F" w:rsidP="0091350E">
      <w:pPr>
        <w:pStyle w:val="aff"/>
        <w:numPr>
          <w:ilvl w:val="0"/>
          <w:numId w:val="138"/>
        </w:numPr>
        <w:contextualSpacing/>
        <w:rPr>
          <w:szCs w:val="24"/>
        </w:rPr>
      </w:pPr>
      <w:r w:rsidRPr="00C02A00">
        <w:rPr>
          <w:szCs w:val="24"/>
        </w:rPr>
        <w:t xml:space="preserve">СЗП </w:t>
      </w:r>
      <w:r>
        <w:rPr>
          <w:szCs w:val="24"/>
        </w:rPr>
        <w:t>–</w:t>
      </w:r>
      <w:r w:rsidRPr="00C02A00">
        <w:rPr>
          <w:szCs w:val="24"/>
        </w:rPr>
        <w:t xml:space="preserve"> </w:t>
      </w:r>
      <w:r w:rsidRPr="00767D08">
        <w:rPr>
          <w:szCs w:val="24"/>
        </w:rPr>
        <w:t>в среднем 800</w:t>
      </w:r>
      <w:r>
        <w:rPr>
          <w:szCs w:val="24"/>
        </w:rPr>
        <w:t xml:space="preserve"> </w:t>
      </w:r>
      <w:r w:rsidRPr="00767D08">
        <w:rPr>
          <w:szCs w:val="24"/>
        </w:rPr>
        <w:t>мл</w:t>
      </w:r>
      <w:r>
        <w:rPr>
          <w:szCs w:val="24"/>
        </w:rPr>
        <w:t xml:space="preserve"> </w:t>
      </w:r>
      <w:r w:rsidRPr="00C02A00">
        <w:rPr>
          <w:szCs w:val="24"/>
        </w:rPr>
        <w:t>(500 – 1000</w:t>
      </w:r>
      <w:r w:rsidR="00E040DB">
        <w:rPr>
          <w:szCs w:val="24"/>
        </w:rPr>
        <w:t> </w:t>
      </w:r>
      <w:r w:rsidRPr="00C02A00">
        <w:rPr>
          <w:szCs w:val="24"/>
        </w:rPr>
        <w:t>мл)</w:t>
      </w:r>
      <w:r w:rsidRPr="00767D08">
        <w:rPr>
          <w:szCs w:val="24"/>
        </w:rPr>
        <w:t xml:space="preserve">; </w:t>
      </w:r>
    </w:p>
    <w:p w14:paraId="6539140F" w14:textId="2D8691CF" w:rsidR="00D41B5F" w:rsidRPr="00767D08" w:rsidRDefault="00D41B5F" w:rsidP="0091350E">
      <w:pPr>
        <w:pStyle w:val="aff"/>
        <w:numPr>
          <w:ilvl w:val="0"/>
          <w:numId w:val="138"/>
        </w:numPr>
        <w:contextualSpacing/>
        <w:rPr>
          <w:szCs w:val="24"/>
        </w:rPr>
      </w:pPr>
      <w:r>
        <w:rPr>
          <w:szCs w:val="24"/>
        </w:rPr>
        <w:t>Альбумин 5%</w:t>
      </w:r>
      <w:r w:rsidRPr="00C02A00">
        <w:rPr>
          <w:szCs w:val="24"/>
        </w:rPr>
        <w:t xml:space="preserve"> 200</w:t>
      </w:r>
      <w:r w:rsidR="00275BAA">
        <w:rPr>
          <w:szCs w:val="24"/>
        </w:rPr>
        <w:t>-</w:t>
      </w:r>
      <w:r w:rsidRPr="00767D08">
        <w:rPr>
          <w:szCs w:val="24"/>
        </w:rPr>
        <w:t>300</w:t>
      </w:r>
      <w:r w:rsidR="00E040DB">
        <w:rPr>
          <w:szCs w:val="24"/>
        </w:rPr>
        <w:t> </w:t>
      </w:r>
      <w:r w:rsidRPr="00767D08">
        <w:rPr>
          <w:szCs w:val="24"/>
        </w:rPr>
        <w:t>мл (10-15</w:t>
      </w:r>
      <w:r w:rsidR="00E040DB">
        <w:rPr>
          <w:szCs w:val="24"/>
        </w:rPr>
        <w:t> </w:t>
      </w:r>
      <w:r w:rsidRPr="00767D08">
        <w:rPr>
          <w:szCs w:val="24"/>
        </w:rPr>
        <w:t>г);</w:t>
      </w:r>
    </w:p>
    <w:p w14:paraId="59C372F1" w14:textId="677DA0DD" w:rsidR="00D41B5F" w:rsidRPr="00C02A00" w:rsidRDefault="00D41B5F" w:rsidP="0091350E">
      <w:pPr>
        <w:pStyle w:val="aff"/>
        <w:numPr>
          <w:ilvl w:val="0"/>
          <w:numId w:val="138"/>
        </w:numPr>
        <w:contextualSpacing/>
        <w:rPr>
          <w:szCs w:val="24"/>
        </w:rPr>
      </w:pPr>
      <w:r w:rsidRPr="00C02A00">
        <w:rPr>
          <w:szCs w:val="24"/>
        </w:rPr>
        <w:t>Раствор натрия хлорида 0,9% –</w:t>
      </w:r>
      <w:r>
        <w:rPr>
          <w:szCs w:val="24"/>
        </w:rPr>
        <w:t xml:space="preserve"> </w:t>
      </w:r>
      <w:r w:rsidRPr="00C02A00">
        <w:rPr>
          <w:szCs w:val="24"/>
        </w:rPr>
        <w:t>в среднем 500</w:t>
      </w:r>
      <w:r w:rsidR="00E040DB">
        <w:rPr>
          <w:szCs w:val="24"/>
        </w:rPr>
        <w:t> </w:t>
      </w:r>
      <w:r w:rsidRPr="00C02A00">
        <w:rPr>
          <w:szCs w:val="24"/>
        </w:rPr>
        <w:t>мл (500</w:t>
      </w:r>
      <w:r w:rsidR="00275BAA">
        <w:rPr>
          <w:szCs w:val="24"/>
        </w:rPr>
        <w:t>-</w:t>
      </w:r>
      <w:r w:rsidRPr="00C02A00">
        <w:rPr>
          <w:szCs w:val="24"/>
        </w:rPr>
        <w:t>1000</w:t>
      </w:r>
      <w:r w:rsidR="00E040DB">
        <w:rPr>
          <w:szCs w:val="24"/>
        </w:rPr>
        <w:t> </w:t>
      </w:r>
      <w:r w:rsidRPr="00C02A00">
        <w:rPr>
          <w:szCs w:val="24"/>
        </w:rPr>
        <w:t>мл)</w:t>
      </w:r>
      <w:r>
        <w:rPr>
          <w:szCs w:val="24"/>
        </w:rPr>
        <w:t>.</w:t>
      </w:r>
      <w:r w:rsidRPr="00C02A00">
        <w:rPr>
          <w:szCs w:val="24"/>
        </w:rPr>
        <w:t xml:space="preserve">   </w:t>
      </w:r>
    </w:p>
    <w:p w14:paraId="3A1D6C2E" w14:textId="77777777" w:rsidR="00D41B5F" w:rsidRPr="003A7159" w:rsidRDefault="00D41B5F" w:rsidP="00D41B5F">
      <w:pPr>
        <w:pStyle w:val="aff"/>
        <w:ind w:left="0" w:firstLine="709"/>
        <w:rPr>
          <w:szCs w:val="24"/>
        </w:rPr>
      </w:pPr>
      <w:r w:rsidRPr="003A7159">
        <w:rPr>
          <w:szCs w:val="24"/>
        </w:rPr>
        <w:t xml:space="preserve">С целью профилактики цитратной реакции на каждый 1л СЗП вводится </w:t>
      </w:r>
      <w:r>
        <w:rPr>
          <w:szCs w:val="24"/>
        </w:rPr>
        <w:t>внутривенно 5мл раствора к</w:t>
      </w:r>
      <w:r w:rsidRPr="003A7159">
        <w:rPr>
          <w:szCs w:val="24"/>
        </w:rPr>
        <w:t xml:space="preserve">альция глюконата 10% или 5мл раствора </w:t>
      </w:r>
      <w:r>
        <w:rPr>
          <w:szCs w:val="24"/>
        </w:rPr>
        <w:t>к</w:t>
      </w:r>
      <w:r w:rsidRPr="003A7159">
        <w:rPr>
          <w:szCs w:val="24"/>
        </w:rPr>
        <w:t>альция хлорида 10%.</w:t>
      </w:r>
    </w:p>
    <w:p w14:paraId="15CBF861" w14:textId="77777777" w:rsidR="00D41B5F" w:rsidRDefault="00D41B5F" w:rsidP="00D41B5F">
      <w:pPr>
        <w:pStyle w:val="aff"/>
        <w:ind w:left="0" w:firstLine="709"/>
        <w:rPr>
          <w:szCs w:val="24"/>
        </w:rPr>
      </w:pPr>
      <w:r w:rsidRPr="003A7159">
        <w:rPr>
          <w:szCs w:val="24"/>
        </w:rPr>
        <w:t xml:space="preserve">При наличии негемолитической посттрансфузионной реакции на трансфузии СЗП перед процедурой необходима премедикация (антигистаминные препараты, 10% раствор </w:t>
      </w:r>
      <w:r>
        <w:rPr>
          <w:szCs w:val="24"/>
        </w:rPr>
        <w:t>к</w:t>
      </w:r>
      <w:r w:rsidRPr="003A7159">
        <w:rPr>
          <w:szCs w:val="24"/>
        </w:rPr>
        <w:t>альция глюконата 10</w:t>
      </w:r>
      <w:r>
        <w:rPr>
          <w:szCs w:val="24"/>
        </w:rPr>
        <w:t xml:space="preserve"> </w:t>
      </w:r>
      <w:r w:rsidRPr="003A7159">
        <w:rPr>
          <w:szCs w:val="24"/>
        </w:rPr>
        <w:t>мл).</w:t>
      </w:r>
    </w:p>
    <w:p w14:paraId="4D0468A5" w14:textId="727516D6" w:rsidR="00D41B5F" w:rsidRDefault="00D41B5F" w:rsidP="00D41B5F">
      <w:pPr>
        <w:pStyle w:val="afffff0"/>
        <w:spacing w:after="0" w:line="360" w:lineRule="auto"/>
        <w:rPr>
          <w:i w:val="0"/>
          <w:lang w:val="ru-RU"/>
        </w:rPr>
      </w:pPr>
    </w:p>
    <w:p w14:paraId="7484962E" w14:textId="60A21AF7" w:rsidR="00E040DB" w:rsidRPr="00E040DB" w:rsidRDefault="007F3425" w:rsidP="00E040DB">
      <w:pPr>
        <w:pStyle w:val="2"/>
        <w:ind w:firstLine="0"/>
      </w:pPr>
      <w:bookmarkStart w:id="73" w:name="_Toc65104126"/>
      <w:r>
        <w:t xml:space="preserve">Приложение А3.6. </w:t>
      </w:r>
      <w:r w:rsidR="00E040DB" w:rsidRPr="008F721B">
        <w:t>Лечение гематологического пациента в отделении реанимации и интенсивной терапии</w:t>
      </w:r>
      <w:bookmarkEnd w:id="73"/>
    </w:p>
    <w:p w14:paraId="2EBA7584" w14:textId="77777777" w:rsidR="00E040DB" w:rsidRPr="008F721B" w:rsidRDefault="00E040DB" w:rsidP="00E040DB">
      <w:pPr>
        <w:ind w:firstLine="709"/>
        <w:rPr>
          <w:szCs w:val="24"/>
        </w:rPr>
      </w:pPr>
      <w:r w:rsidRPr="008F721B">
        <w:rPr>
          <w:szCs w:val="24"/>
        </w:rPr>
        <w:t>У пациентов с гематологическими заболеваниями на этапах диагностики, лечения, наблюдения могут развиваться различные критические состояния вследствие разнообразных причин. Одна из наиболее частых причин, приводящих к этому – цитопения, которая возникает в результате опухолевой инфильтрации костного мозга или по причине проводимой химиотерапии, и может осложниться тяжелой инфекцией (пневмония, сепсис и др.) или жизнеугрожающими кровотечениями. Также при лечении впервые диагностированного онкогематологического заболевания может развиться синдром массивного лизиса</w:t>
      </w:r>
      <w:r w:rsidRPr="00B563E0">
        <w:rPr>
          <w:szCs w:val="24"/>
        </w:rPr>
        <w:t xml:space="preserve"> </w:t>
      </w:r>
      <w:r>
        <w:rPr>
          <w:szCs w:val="24"/>
        </w:rPr>
        <w:t>опухоли, сопровождающейся</w:t>
      </w:r>
      <w:r w:rsidRPr="008F721B">
        <w:rPr>
          <w:szCs w:val="24"/>
        </w:rPr>
        <w:t xml:space="preserve"> острой почечной недостаточностью (ОПН), метаболическими нарушениями, острой дыхательной недостаточностью (ОДН). Для лечения этих критических состояний и поддержания жизнеобеспечения требуется перевод пациентов в отделение реанимации и интенсивной</w:t>
      </w:r>
      <w:r>
        <w:rPr>
          <w:szCs w:val="24"/>
        </w:rPr>
        <w:t xml:space="preserve"> терапии (ОРИТ). </w:t>
      </w:r>
    </w:p>
    <w:p w14:paraId="423B0259" w14:textId="77777777" w:rsidR="00E040DB" w:rsidRPr="008F721B" w:rsidRDefault="00E040DB" w:rsidP="00E040DB">
      <w:pPr>
        <w:ind w:firstLine="708"/>
        <w:rPr>
          <w:szCs w:val="24"/>
        </w:rPr>
      </w:pPr>
      <w:r w:rsidRPr="008F721B">
        <w:rPr>
          <w:szCs w:val="24"/>
        </w:rPr>
        <w:t xml:space="preserve">Интенсивная терапия критических состояний, возникших у пациентов с онкогематологическими заболеваниями во время химиотерапии (ХТ), – это нередко единственный путь к их излечению, в ней нуждается почти четверть больных с гемобластозами, без нее невозможно полноценно реализовать индукционную химиотерапию у больных с жизнеугрожающими состояниями. </w:t>
      </w:r>
    </w:p>
    <w:p w14:paraId="6CD5EF6A" w14:textId="77777777" w:rsidR="00E040DB" w:rsidRPr="003C0A4C" w:rsidRDefault="00E040DB" w:rsidP="00E040DB">
      <w:pPr>
        <w:ind w:firstLine="708"/>
        <w:rPr>
          <w:szCs w:val="24"/>
        </w:rPr>
      </w:pPr>
      <w:r w:rsidRPr="008F721B">
        <w:rPr>
          <w:szCs w:val="24"/>
        </w:rPr>
        <w:t xml:space="preserve">Необходимость создания специализированных ОРИТ для гематологических пациентов обусловлена как высокой частотой развития критических осложнений во время индукционных курсов ХТ, так и успешным лечением этих осложнений и последующей благоприятной долгосрочной перспективой при достижении ремиссии заболевания. Наличие критических синдромов и жизнеугрожающих состояний не является противопоказанием для проведения ХТ. Так, от 15% до 47% больных </w:t>
      </w:r>
      <w:r w:rsidRPr="003C0A4C">
        <w:rPr>
          <w:szCs w:val="24"/>
        </w:rPr>
        <w:t xml:space="preserve">онкогематологическими заболеваниями нуждаются в переводе в ОРИТ во время лечения (таб. 1). </w:t>
      </w:r>
    </w:p>
    <w:p w14:paraId="664EA29A" w14:textId="77777777" w:rsidR="00E040DB" w:rsidRPr="003C0A4C" w:rsidRDefault="00E040DB" w:rsidP="00E040DB">
      <w:pPr>
        <w:rPr>
          <w:szCs w:val="24"/>
        </w:rPr>
      </w:pPr>
    </w:p>
    <w:p w14:paraId="71C0D9C4" w14:textId="77777777" w:rsidR="00E040DB" w:rsidRPr="008F721B" w:rsidRDefault="00E040DB" w:rsidP="00E040DB">
      <w:pPr>
        <w:rPr>
          <w:szCs w:val="24"/>
        </w:rPr>
      </w:pPr>
      <w:r w:rsidRPr="003C0A4C">
        <w:rPr>
          <w:szCs w:val="24"/>
        </w:rPr>
        <w:t>Таблица 1. Потребность в переводе в ОРИТ пациентов с острыми миелоидными лейкозами</w:t>
      </w:r>
      <w:r w:rsidRPr="008F721B">
        <w:rPr>
          <w:szCs w:val="24"/>
        </w:rPr>
        <w:t xml:space="preserve"> (ОМЛ)</w:t>
      </w:r>
    </w:p>
    <w:tbl>
      <w:tblPr>
        <w:tblStyle w:val="affa"/>
        <w:tblW w:w="4914" w:type="pct"/>
        <w:tblLook w:val="04A0" w:firstRow="1" w:lastRow="0" w:firstColumn="1" w:lastColumn="0" w:noHBand="0" w:noVBand="1"/>
      </w:tblPr>
      <w:tblGrid>
        <w:gridCol w:w="3995"/>
        <w:gridCol w:w="5190"/>
      </w:tblGrid>
      <w:tr w:rsidR="00E040DB" w:rsidRPr="009D0B15" w14:paraId="59421AEE" w14:textId="77777777" w:rsidTr="005A428D">
        <w:trPr>
          <w:trHeight w:val="1014"/>
        </w:trPr>
        <w:tc>
          <w:tcPr>
            <w:tcW w:w="2175" w:type="pct"/>
            <w:vAlign w:val="center"/>
          </w:tcPr>
          <w:p w14:paraId="0E6F1CA8" w14:textId="77777777" w:rsidR="00E040DB" w:rsidRPr="009D0B15" w:rsidRDefault="00E040DB" w:rsidP="005A428D">
            <w:pPr>
              <w:jc w:val="center"/>
              <w:rPr>
                <w:szCs w:val="24"/>
              </w:rPr>
            </w:pPr>
            <w:r w:rsidRPr="009D0B15">
              <w:rPr>
                <w:szCs w:val="24"/>
              </w:rPr>
              <w:t>Источник</w:t>
            </w:r>
          </w:p>
        </w:tc>
        <w:tc>
          <w:tcPr>
            <w:tcW w:w="2825" w:type="pct"/>
          </w:tcPr>
          <w:p w14:paraId="57AB1499" w14:textId="77777777" w:rsidR="00E040DB" w:rsidRPr="009D0B15" w:rsidRDefault="00E040DB" w:rsidP="005A428D">
            <w:pPr>
              <w:jc w:val="center"/>
              <w:rPr>
                <w:szCs w:val="24"/>
              </w:rPr>
            </w:pPr>
            <w:r w:rsidRPr="009D0B15">
              <w:rPr>
                <w:szCs w:val="24"/>
              </w:rPr>
              <w:t>Доля пациентов, переведенных в ОРИТ (%)</w:t>
            </w:r>
          </w:p>
        </w:tc>
      </w:tr>
      <w:tr w:rsidR="00E040DB" w:rsidRPr="009D0B15" w14:paraId="521CAEAE" w14:textId="77777777" w:rsidTr="005A428D">
        <w:trPr>
          <w:trHeight w:val="1014"/>
        </w:trPr>
        <w:tc>
          <w:tcPr>
            <w:tcW w:w="2175" w:type="pct"/>
          </w:tcPr>
          <w:p w14:paraId="58100522" w14:textId="38123943" w:rsidR="00E040DB" w:rsidRPr="009D0B15" w:rsidRDefault="00E040DB" w:rsidP="005A428D">
            <w:pPr>
              <w:rPr>
                <w:szCs w:val="24"/>
              </w:rPr>
            </w:pPr>
            <w:r w:rsidRPr="009D0B15">
              <w:rPr>
                <w:szCs w:val="24"/>
                <w:lang w:val="en-US"/>
              </w:rPr>
              <w:t xml:space="preserve">Roze des Ordons A. </w:t>
            </w:r>
            <w:r w:rsidRPr="009D0B15">
              <w:rPr>
                <w:szCs w:val="24"/>
              </w:rPr>
              <w:t>и</w:t>
            </w:r>
            <w:r w:rsidRPr="009D0B15">
              <w:rPr>
                <w:szCs w:val="24"/>
                <w:lang w:val="en-US"/>
              </w:rPr>
              <w:t xml:space="preserve"> </w:t>
            </w:r>
            <w:r w:rsidRPr="009D0B15">
              <w:rPr>
                <w:szCs w:val="24"/>
              </w:rPr>
              <w:t>соавт</w:t>
            </w:r>
            <w:r w:rsidRPr="009D0B15">
              <w:rPr>
                <w:szCs w:val="24"/>
                <w:lang w:val="en-US"/>
              </w:rPr>
              <w:t xml:space="preserve">., 2010 </w:t>
            </w:r>
            <w:r w:rsidRPr="009D0B15">
              <w:rPr>
                <w:szCs w:val="24"/>
              </w:rPr>
              <w:fldChar w:fldCharType="begin" w:fldLock="1"/>
            </w:r>
            <w:r w:rsidR="00C65573">
              <w:rPr>
                <w:szCs w:val="24"/>
                <w:lang w:val="en-US"/>
              </w:rPr>
              <w:instrText>ADDIN CSL_CITATION {"citationItems":[{"id":"ITEM-1","itemData":{"DOI":"10.1186/1471-2407-10-516","ISSN":"14712407","PMID":"20920175","abstract":"Background: There is limited epidemiologic data on patients with acute myelogenous (myeloid) leukemia (AML) requiring life-sustaining therapies in the intensive care unit (ICU). Our objectives were to describe the clinical characteristics and outcomes in critically ill AML patients.Methods: This was a retrospective case-control study. Cases were defined as adult patients with a primary diagnosis of AML admitted to ICU at the University of Alberta Hospital between January 1st2002 and June 30th2008. Each case was matched by age, sex, and illness severity (ICU only) to two control groups: hospitalized AML controls, and non-AML ICU controls. Data were extracted on demographics, course of hospitalization, and clinical outcomes.Results: In total, 45 AML patients with available data were admitted to ICU. Mean (SD) age was 54.8 (13.1) years and 28.9% were female. Primary diagnoses were sepsis (32.6%) and respiratory failure (37.3%). Mean (SD) APACHE II score was 30.3 (10.3), SOFA score 12.6 (4.0) with 62.2% receiving mechanical ventilation, 55.6% vasoactive therapy, and 26.7% renal replacement therapy. Crude in-hospital, 90-day and 1-year mortality was 44.4%, 51.1% and 71.1%, respectively. AML cases had significantly higher adjusted-hazards of death (HR 2.23; 95% CI, 1.38-3.60, p = 0.001) compared to both non-AML ICU controls (HR 1.69; 95% CI, 1.11-2.58, p = 0.02) and hospitalized AML controls (OR 1.0, reference variable). Factors associated with ICU mortality by univariate analysis included older age, AML subtype, higher baseline SOFA score, no change or an increase in early SOFA score, shock, vasoactive therapy and mechanical ventilation. Active chemotherapy in ICU was associated with lower mortality.Conclusions: AML patients may represent a minority of all critically ill admissions; however, are not uncommonly supported in ICU. These AML patients are characterized by high illness severity, multi-organ dysfunction, and high treatment intensity and have a higher risk of death when compared with matched hospitalized AML or non-AML ICU controls. The absence of early improvement in organ failure may be a useful predictor for mortality for AML patients admitted to ICU. © 2010 Roze des Ordons et al; licensee BioMed Central Ltd.","author":[{"dropping-particle":"","family":"Roze des Ordons","given":"Amanda L.","non-dropping-particle":"","parse-names":false,"suffix":""},{"dropping-particle":"","family":"Chan","given":"Kris","non-dropping-particle":"","parse-names":false,"suffix":""},{"dropping-particle":"","family":"Mirza","given":"Imran","non-dropping-particle":"","parse-names":false,"suffix":""},{"dropping-particle":"","family":"Townsend","given":"Derek R.","non-dropping-particle":"","parse-names":false,"suffix":""},{"dropping-particle":"","family":"Bagshaw","given":"Sean M.","non-dropping-particle":"","parse-names":false,"suffix":""}],"container-title":"BMC Cancer","id":"ITEM-1","issued":{"date-parts":[["2010","9","28"]]},"page":"516","title":"Clinical characteristics and outcomes of patients with acute myelogenous leukemia admitted to intensive care: A case-control study","type":"article-journal","volume":"10"},"uris":["http://www.mendeley.com/documents/?uuid=de27b039-3812-4b08-96fa-07054eeb2151"]}],"mendeley":{"formattedCitation":"[210]","plainTextFormattedCitation":"[210]","previouslyFormattedCitation":"[210]"},"properties":{"noteIndex":0},"schema":"https://github.com/citation-style-language/schema/raw/master/csl-citation.json"}</w:instrText>
            </w:r>
            <w:r w:rsidRPr="009D0B15">
              <w:rPr>
                <w:szCs w:val="24"/>
              </w:rPr>
              <w:fldChar w:fldCharType="separate"/>
            </w:r>
            <w:r w:rsidR="00275BAA" w:rsidRPr="00275BAA">
              <w:rPr>
                <w:noProof/>
                <w:szCs w:val="24"/>
              </w:rPr>
              <w:t>[210]</w:t>
            </w:r>
            <w:r w:rsidRPr="009D0B15">
              <w:rPr>
                <w:szCs w:val="24"/>
              </w:rPr>
              <w:fldChar w:fldCharType="end"/>
            </w:r>
            <w:r w:rsidRPr="009D0B15">
              <w:rPr>
                <w:szCs w:val="24"/>
              </w:rPr>
              <w:t xml:space="preserve"> </w:t>
            </w:r>
          </w:p>
        </w:tc>
        <w:tc>
          <w:tcPr>
            <w:tcW w:w="2825" w:type="pct"/>
          </w:tcPr>
          <w:p w14:paraId="79A1E009" w14:textId="77777777" w:rsidR="00E040DB" w:rsidRPr="009D0B15" w:rsidRDefault="00E040DB" w:rsidP="005A428D">
            <w:pPr>
              <w:jc w:val="center"/>
              <w:rPr>
                <w:szCs w:val="24"/>
              </w:rPr>
            </w:pPr>
            <w:r w:rsidRPr="009D0B15">
              <w:rPr>
                <w:szCs w:val="24"/>
              </w:rPr>
              <w:t>13%</w:t>
            </w:r>
          </w:p>
        </w:tc>
      </w:tr>
      <w:tr w:rsidR="00E040DB" w:rsidRPr="009D0B15" w14:paraId="7FB7AFA7" w14:textId="77777777" w:rsidTr="005A428D">
        <w:trPr>
          <w:trHeight w:val="989"/>
        </w:trPr>
        <w:tc>
          <w:tcPr>
            <w:tcW w:w="2175" w:type="pct"/>
          </w:tcPr>
          <w:p w14:paraId="31663B54" w14:textId="37389D4C" w:rsidR="00E040DB" w:rsidRPr="009D0B15" w:rsidRDefault="00E040DB" w:rsidP="005A428D">
            <w:pPr>
              <w:rPr>
                <w:szCs w:val="24"/>
              </w:rPr>
            </w:pPr>
            <w:r w:rsidRPr="009D0B15">
              <w:rPr>
                <w:szCs w:val="24"/>
              </w:rPr>
              <w:t xml:space="preserve">Schellongowski P. и соавт., 2011 </w:t>
            </w:r>
            <w:r w:rsidRPr="009D0B15">
              <w:rPr>
                <w:szCs w:val="24"/>
              </w:rPr>
              <w:fldChar w:fldCharType="begin" w:fldLock="1"/>
            </w:r>
            <w:r w:rsidR="00C65573">
              <w:rPr>
                <w:szCs w:val="24"/>
              </w:rPr>
              <w:instrText>ADDIN CSL_CITATION {"citationItems":[{"id":"ITEM-1","itemData":{"DOI":"10.3324/haematol.2010.031583","ISBN":"1592-8721","ISSN":"03906078","PMID":"21071501","abstract":"Acute myeloid leukemia is a life-threatening disease associated with high mortality rates. A substantial number of patients require intensive care. This investigation analyzes risk factors predicting admission to the intensive care unit in patients with acute myeloid leukemia eligible for induction chemotherapy, the outcome of these patients, and prognostic factors predicting their survival.","author":[{"dropping-particle":"","family":"Schellongowski","given":"Peter","non-dropping-particle":"","parse-names":false,"suffix":""},{"dropping-particle":"","family":"Staudinger","given":"Thomas","non-dropping-particle":"","parse-names":false,"suffix":""},{"dropping-particle":"","family":"Kundi","given":"Michael","non-dropping-particle":"","parse-names":false,"suffix":""},{"dropping-particle":"","family":"Laczika","given":"Klaus","non-dropping-particle":"","parse-names":false,"suffix":""},{"dropping-particle":"","family":"Locker","given":"Gottfried J.","non-dropping-particle":"","parse-names":false,"suffix":""},{"dropping-particle":"","family":"Bojic","given":"Andja","non-dropping-particle":"","parse-names":false,"suffix":""},{"dropping-particle":"","family":"Robak","given":"Oliver","non-dropping-particle":"","parse-names":false,"suffix":""},{"dropping-particle":"","family":"Fuhrmann","given":"Valentin","non-dropping-particle":"","parse-names":false,"suffix":""},{"dropping-particle":"","family":"Jäger","given":"Ulrich","non-dropping-particle":"","parse-names":false,"suffix":""},{"dropping-particle":"","family":"Valent","given":"Peter","non-dropping-particle":"","parse-names":false,"suffix":""},{"dropping-particle":"","family":"Sperr","given":"Wolfgang R.","non-dropping-particle":"","parse-names":false,"suffix":""}],"container-title":"Haematologica","id":"ITEM-1","issue":"2","issued":{"date-parts":[["2011","2"]]},"page":"231-237","title":"Prognostic factors for intensive care unit admission, intensive care outcome, and post-intensive care survival in patients with de novo acute myeloid leukemia: a single center experience","type":"article-journal","volume":"96"},"uris":["http://www.mendeley.com/documents/?uuid=7251567b-1fba-40bf-b96a-3bcd8583314e"]}],"mendeley":{"formattedCitation":"[211]","plainTextFormattedCitation":"[211]","previouslyFormattedCitation":"[211]"},"properties":{"noteIndex":0},"schema":"https://github.com/citation-style-language/schema/raw/master/csl-citation.json"}</w:instrText>
            </w:r>
            <w:r w:rsidRPr="009D0B15">
              <w:rPr>
                <w:szCs w:val="24"/>
              </w:rPr>
              <w:fldChar w:fldCharType="separate"/>
            </w:r>
            <w:r w:rsidR="00275BAA" w:rsidRPr="00275BAA">
              <w:rPr>
                <w:noProof/>
                <w:szCs w:val="24"/>
              </w:rPr>
              <w:t>[211]</w:t>
            </w:r>
            <w:r w:rsidRPr="009D0B15">
              <w:rPr>
                <w:szCs w:val="24"/>
              </w:rPr>
              <w:fldChar w:fldCharType="end"/>
            </w:r>
          </w:p>
        </w:tc>
        <w:tc>
          <w:tcPr>
            <w:tcW w:w="2825" w:type="pct"/>
          </w:tcPr>
          <w:p w14:paraId="39FED17E" w14:textId="77777777" w:rsidR="00E040DB" w:rsidRPr="009D0B15" w:rsidRDefault="00E040DB" w:rsidP="005A428D">
            <w:pPr>
              <w:jc w:val="center"/>
              <w:rPr>
                <w:szCs w:val="24"/>
              </w:rPr>
            </w:pPr>
            <w:r w:rsidRPr="009D0B15">
              <w:rPr>
                <w:szCs w:val="24"/>
              </w:rPr>
              <w:t>15,6%</w:t>
            </w:r>
          </w:p>
        </w:tc>
      </w:tr>
      <w:tr w:rsidR="00E040DB" w:rsidRPr="009D0B15" w14:paraId="5BEAA1BA" w14:textId="77777777" w:rsidTr="005A428D">
        <w:trPr>
          <w:trHeight w:val="494"/>
        </w:trPr>
        <w:tc>
          <w:tcPr>
            <w:tcW w:w="2175" w:type="pct"/>
          </w:tcPr>
          <w:p w14:paraId="44DA948D" w14:textId="3DDC5D77" w:rsidR="00E040DB" w:rsidRPr="009D0B15" w:rsidRDefault="00E040DB" w:rsidP="005A428D">
            <w:pPr>
              <w:rPr>
                <w:szCs w:val="24"/>
              </w:rPr>
            </w:pPr>
            <w:r w:rsidRPr="009D0B15">
              <w:rPr>
                <w:szCs w:val="24"/>
              </w:rPr>
              <w:t xml:space="preserve">Lengline E. и соавт., 2012 </w:t>
            </w:r>
            <w:r w:rsidRPr="009D0B15">
              <w:rPr>
                <w:szCs w:val="24"/>
              </w:rPr>
              <w:fldChar w:fldCharType="begin" w:fldLock="1"/>
            </w:r>
            <w:r w:rsidR="00C65573">
              <w:rPr>
                <w:szCs w:val="24"/>
              </w:rPr>
              <w:instrText>ADDIN CSL_CITATION {"citationItems":[{"id":"ITEM-1","itemData":{"DOI":"10.3109/10428194.2011.649752","PMID":"22233111","abstract":"Patients with acute myeloid leukemia (AML) may present with early complications from sepsis or leukemic infiltration. Benefits from early in-intensive care unit (ICU) hematological management was evaluated in 42 adults with newly diagnosed AML with hematological risk of early death (age 46 years, French-American-British [FAB] M4/5 58%, leukocytes 103 × 109/L) first admitted to the ICU without immediate life support (early-ICU). Controls were 42 patients primarily admitted to hematology wards, matched for age, leukocytes and FAB subtype. Twenty (47.6%) control patients were subsequently admitted to the ICU (late-ICU). Late-ICU patients presented with increased respiratory and cardiac rates, decreased oxygen saturation (SpO2) and blood pressure, at hospital admission. Late-ICU admission resulted in increased use of mechanical ventilation (60% vs. 33%) and vasopressors (60% vs. 16%), longer ICU stay (9 [6-25] vs. 5 [2-9] days) and decreased ICU survival (65% vs. 79%). Direct admission to the ICU of patients with high-risk AML with physiological disturbances but no organ dysfunction is associated with improved outcomes. © 2012 Informa UK, Ltd.","author":[{"dropping-particle":"","family":"Lengliné","given":"Etienne","non-dropping-particle":"","parse-names":false,"suffix":""},{"dropping-particle":"","family":"Raffoux","given":"Emmanuel","non-dropping-particle":"","parse-names":false,"suffix":""},{"dropping-particle":"","family":"Lemiale","given":"Virginie","non-dropping-particle":"","parse-names":false,"suffix":""},{"dropping-particle":"","family":"Darmon","given":"Michael","non-dropping-particle":"","parse-names":false,"suffix":""},{"dropping-particle":"","family":"Canet","given":"Emmanuel","non-dropping-particle":"","parse-names":false,"suffix":""},{"dropping-particle":"","family":"Boissel","given":"Nicolas","non-dropping-particle":"","parse-names":false,"suffix":""},{"dropping-particle":"","family":"Schlemmer","given":"Benoît","non-dropping-particle":"","parse-names":false,"suffix":""},{"dropping-particle":"","family":"Dombret","given":"Hervé","non-dropping-particle":"","parse-names":false,"suffix":""},{"dropping-particle":"","family":"Azoulay","given":"Elie","non-dropping-particle":"","parse-names":false,"suffix":""}],"container-title":"Leukemia and Lymphoma","id":"ITEM-1","issue":"7","issued":{"date-parts":[["2012","7"]]},"page":"1352-1359","publisher":"Leuk Lymphoma","title":"Intensive care unit management of patients with newly diagnosed acute myeloid leukemia with no organ failure","type":"article-journal","volume":"53"},"uris":["http://www.mendeley.com/documents/?uuid=582c8f9c-fe0f-4501-acd7-a5c2928f9ff7"]}],"mendeley":{"formattedCitation":"[212]","plainTextFormattedCitation":"[212]","previouslyFormattedCitation":"[212]"},"properties":{"noteIndex":0},"schema":"https://github.com/citation-style-language/schema/raw/master/csl-citation.json"}</w:instrText>
            </w:r>
            <w:r w:rsidRPr="009D0B15">
              <w:rPr>
                <w:szCs w:val="24"/>
              </w:rPr>
              <w:fldChar w:fldCharType="separate"/>
            </w:r>
            <w:r w:rsidR="00275BAA" w:rsidRPr="00275BAA">
              <w:rPr>
                <w:noProof/>
                <w:szCs w:val="24"/>
              </w:rPr>
              <w:t>[212]</w:t>
            </w:r>
            <w:r w:rsidRPr="009D0B15">
              <w:rPr>
                <w:szCs w:val="24"/>
              </w:rPr>
              <w:fldChar w:fldCharType="end"/>
            </w:r>
          </w:p>
        </w:tc>
        <w:tc>
          <w:tcPr>
            <w:tcW w:w="2825" w:type="pct"/>
          </w:tcPr>
          <w:p w14:paraId="1081BADE" w14:textId="77777777" w:rsidR="00E040DB" w:rsidRPr="009D0B15" w:rsidRDefault="00E040DB" w:rsidP="005A428D">
            <w:pPr>
              <w:jc w:val="center"/>
              <w:rPr>
                <w:szCs w:val="24"/>
              </w:rPr>
            </w:pPr>
            <w:r w:rsidRPr="009D0B15">
              <w:rPr>
                <w:szCs w:val="24"/>
              </w:rPr>
              <w:t>47,6%</w:t>
            </w:r>
          </w:p>
        </w:tc>
      </w:tr>
      <w:tr w:rsidR="00E040DB" w:rsidRPr="009D0B15" w14:paraId="44F19E19" w14:textId="77777777" w:rsidTr="005A428D">
        <w:trPr>
          <w:trHeight w:val="494"/>
        </w:trPr>
        <w:tc>
          <w:tcPr>
            <w:tcW w:w="2175" w:type="pct"/>
          </w:tcPr>
          <w:p w14:paraId="534B368F" w14:textId="1EE81758" w:rsidR="00E040DB" w:rsidRPr="009D0B15" w:rsidRDefault="00E040DB" w:rsidP="005A428D">
            <w:pPr>
              <w:rPr>
                <w:szCs w:val="24"/>
              </w:rPr>
            </w:pPr>
            <w:r w:rsidRPr="009D0B15">
              <w:rPr>
                <w:szCs w:val="24"/>
              </w:rPr>
              <w:t>Ja</w:t>
            </w:r>
            <w:r w:rsidRPr="009D0B15">
              <w:rPr>
                <w:szCs w:val="24"/>
                <w:lang w:val="en-US"/>
              </w:rPr>
              <w:t>c</w:t>
            </w:r>
            <w:r w:rsidRPr="009D0B15">
              <w:rPr>
                <w:szCs w:val="24"/>
              </w:rPr>
              <w:t>kson K. и соавт., 201</w:t>
            </w:r>
            <w:r w:rsidRPr="009D0B15">
              <w:rPr>
                <w:szCs w:val="24"/>
                <w:lang w:val="en-US"/>
              </w:rPr>
              <w:t>3</w:t>
            </w:r>
            <w:r w:rsidRPr="009D0B15">
              <w:rPr>
                <w:szCs w:val="24"/>
              </w:rPr>
              <w:t xml:space="preserve"> </w:t>
            </w:r>
            <w:r w:rsidRPr="009D0B15">
              <w:rPr>
                <w:szCs w:val="24"/>
              </w:rPr>
              <w:fldChar w:fldCharType="begin" w:fldLock="1"/>
            </w:r>
            <w:r w:rsidR="00C65573">
              <w:rPr>
                <w:szCs w:val="24"/>
              </w:rPr>
              <w:instrText>ADDIN CSL_CITATION {"citationItems":[{"id":"ITEM-1","itemData":{"DOI":"10.3109/10428194.2013.796045","ISBN":"6173176211","ISSN":"1029-2403","PMID":"23597137","abstract":"Patients receiving treatment for acute myeloid leukemia (AML) commonly experience life-threatening complications requiring intensive care unit (ICU) support. This is a retrospective study of 505 patients with newly diagnosed AML who were treated with intensive chemotherapy between January 1999 and December 2010. Eighty-three patients (16.4%) were identified who had required 92 ICU admissions. The indication for ICU admission was hemodynamic instability in 47.0% of patients and respiratory impairment in 42.2%. The underlying pathology was most commonly infection (77.1%). Vasopressors were required in 67.5% of admissions, mechanical ventilation in 60.2% and hemodialysis in 15.7%. Rates of survival to hospital discharge and 12 months were 59.0% and 41.3%, respectively. Mechanical ventilation use and higher fibrinogen were independently associated with mortality prior to hospital discharge, and mechanical ventilation use and AML cytogenetic risk group were predictive of mortality within 12 months of ICU admission. By providing a more accurate estimation of a patient's chance of recovery, such prognostic factors may contribute to decision-making about the appropriateness of admission to the ICU or continuation of intensive life-sustaining measures.","author":[{"dropping-particle":"","family":"Jackson","given":"Kathryn","non-dropping-particle":"","parse-names":false,"suffix":""},{"dropping-particle":"","family":"Mollee","given":"Peter","non-dropping-particle":"","parse-names":false,"suffix":""},{"dropping-particle":"","family":"Morris","given":"Kirk","non-dropping-particle":"","parse-names":false,"suffix":""},{"dropping-particle":"","family":"Butler","given":"Jason","non-dropping-particle":"","parse-names":false,"suffix":""},{"dropping-particle":"","family":"Jackson","given":"Dwane","non-dropping-particle":"","parse-names":false,"suffix":""},{"dropping-particle":"","family":"Kruger","given":"Peter","non-dropping-particle":"","parse-names":false,"suffix":""},{"dropping-particle":"","family":"Klein","given":"Kerenaftali","non-dropping-particle":"","parse-names":false,"suffix":""},{"dropping-particle":"","family":"Kennedy","given":"Glen","non-dropping-particle":"","parse-names":false,"suffix":""}],"container-title":"Leukemia &amp; lymphoma","id":"ITEM-1","issue":"April","issued":{"date-parts":[["2013","1"]]},"page":"1-8","publisher":"Leuk Lymphoma","title":"Outcomes and prognostic factors for patients with acute myeloid leukemia admitted to the intensive care unit","type":"article-journal","volume":"55"},"uris":["http://www.mendeley.com/documents/?uuid=af5715ea-f420-4629-9acb-36739876454f"]}],"mendeley":{"formattedCitation":"[213]","plainTextFormattedCitation":"[213]","previouslyFormattedCitation":"[213]"},"properties":{"noteIndex":0},"schema":"https://github.com/citation-style-language/schema/raw/master/csl-citation.json"}</w:instrText>
            </w:r>
            <w:r w:rsidRPr="009D0B15">
              <w:rPr>
                <w:szCs w:val="24"/>
              </w:rPr>
              <w:fldChar w:fldCharType="separate"/>
            </w:r>
            <w:r w:rsidR="00275BAA" w:rsidRPr="00275BAA">
              <w:rPr>
                <w:noProof/>
                <w:szCs w:val="24"/>
              </w:rPr>
              <w:t>[213]</w:t>
            </w:r>
            <w:r w:rsidRPr="009D0B15">
              <w:rPr>
                <w:szCs w:val="24"/>
              </w:rPr>
              <w:fldChar w:fldCharType="end"/>
            </w:r>
            <w:r w:rsidRPr="009D0B15">
              <w:rPr>
                <w:szCs w:val="24"/>
              </w:rPr>
              <w:t xml:space="preserve"> </w:t>
            </w:r>
          </w:p>
        </w:tc>
        <w:tc>
          <w:tcPr>
            <w:tcW w:w="2825" w:type="pct"/>
          </w:tcPr>
          <w:p w14:paraId="0778EB90" w14:textId="77777777" w:rsidR="00E040DB" w:rsidRPr="009D0B15" w:rsidRDefault="00E040DB" w:rsidP="005A428D">
            <w:pPr>
              <w:jc w:val="center"/>
              <w:rPr>
                <w:szCs w:val="24"/>
              </w:rPr>
            </w:pPr>
            <w:r w:rsidRPr="009D0B15">
              <w:rPr>
                <w:szCs w:val="24"/>
              </w:rPr>
              <w:t>16,4%</w:t>
            </w:r>
          </w:p>
        </w:tc>
      </w:tr>
      <w:tr w:rsidR="00E040DB" w:rsidRPr="009D0B15" w14:paraId="6B1CF606" w14:textId="77777777" w:rsidTr="005A428D">
        <w:trPr>
          <w:trHeight w:val="518"/>
        </w:trPr>
        <w:tc>
          <w:tcPr>
            <w:tcW w:w="2175" w:type="pct"/>
          </w:tcPr>
          <w:p w14:paraId="044AF40F" w14:textId="2E1979B8" w:rsidR="00E040DB" w:rsidRPr="009D0B15" w:rsidRDefault="00E040DB" w:rsidP="005A428D">
            <w:pPr>
              <w:rPr>
                <w:szCs w:val="24"/>
              </w:rPr>
            </w:pPr>
            <w:r w:rsidRPr="009D0B15">
              <w:rPr>
                <w:szCs w:val="24"/>
              </w:rPr>
              <w:t xml:space="preserve">Pohlen M. и соавт., 2016 </w:t>
            </w:r>
            <w:r w:rsidRPr="009D0B15">
              <w:rPr>
                <w:szCs w:val="24"/>
              </w:rPr>
              <w:fldChar w:fldCharType="begin" w:fldLock="1"/>
            </w:r>
            <w:r w:rsidR="00C65573">
              <w:rPr>
                <w:szCs w:val="24"/>
              </w:rPr>
              <w:instrText>ADDIN CSL_CITATION {"citationItems":[{"id":"ITEM-1","itemData":{"DOI":"10.1371/journal.pone.0160871","ISSN":"19326203","PMID":"27575819","abstract":"Background: This retrospective, multicenter study aimed to reveal risk predictors for mortality in the intensive care unit (ICU) as well as survival after ICU discharge in patients with acute myeloid leukemia (AML) requiring treatment in the ICU. Methods and Results: Multivariate analysis of data for 187 adults with AML treated in the ICU in one institution revealed the following as independent prognostic factors for death in the ICU: arterial oxygen partial pressure below 72 mmHg, active AML and systemic inflammatory response syndrome upon ICU admission, and need for hemodialysis and mechanical ventilation in the ICU. Based on these variables, we developed an ICU mortality score and validated the score in an independent cohort of 264 patients treated in the ICU in three additional tertiary hospitals. Compared with the Simplified Acute Physiology Score (SAPS) II, the Logistic Organ Dysfunction (LOD) score, and the Sequential Organ Failure Assessment (SOFA) score, our score yielded a better prediction of ICU mortality in the receiver operator characteristics (ROC) analysis (AUC = 0.913 vs. AUC = 0.710 [SAPS II], AUC = 0.708 [LOD], and 0.770 [SOFA] in the training cohort; AUC = 0.841 for the developed score vs. AUC = 0.730 [SAPSII], AUC = 0.773 [LOD], and 0.783 [SOFA] in the validation cohort). Factors predicting decreased survival after ICU discharge were as follows: relapse or refractory disease, previous allogeneic stem cell transplantation, time between hospital admission and ICU admission, time spent in ICU, impaired diuresis, Glasgow Coma Scale &lt;8 and hematocrit of ≥25% at ICU admission. Based on these factors, an ICU survival score was created and used for risk stratification into three risk groups. This stratification discriminated distinct survival rates after ICU discharge. Conclusions: Our data emphasize that although individual risks differ widely depending on the patient and disease status, a substantial portion of critically ill patients with AML benefit from intensive care.","author":[{"dropping-particle":"","family":"Pohlen","given":"Michele","non-dropping-particle":"","parse-names":false,"suffix":""},{"dropping-particle":"","family":"Thoennissen","given":"Nils H.","non-dropping-particle":"","parse-names":false,"suffix":""},{"dropping-particle":"","family":"Braess","given":"Jan","non-dropping-particle":"","parse-names":false,"suffix":""},{"dropping-particle":"","family":"Thudium","given":"Johannes","non-dropping-particle":"","parse-names":false,"suffix":""},{"dropping-particle":"","family":"Schmid","given":"Christoph","non-dropping-particle":"","parse-names":false,"suffix":""},{"dropping-particle":"","family":"Kochanek","given":"Matthias","non-dropping-particle":"","parse-names":false,"suffix":""},{"dropping-particle":"","family":"Kreuzer","given":"Karl Anton","non-dropping-particle":"","parse-names":false,"suffix":""},{"dropping-particle":"","family":"Lebiedz","given":"Pia","non-dropping-particle":"","parse-names":false,"suffix":""},{"dropping-particle":"","family":"Görlich","given":"Dennis","non-dropping-particle":"","parse-names":false,"suffix":""},{"dropping-particle":"","family":"Gerth","given":"Hans U.","non-dropping-particle":"","parse-names":false,"suffix":""},{"dropping-particle":"","family":"Rohde","given":"Christian","non-dropping-particle":"","parse-names":false,"suffix":""},{"dropping-particle":"","family":"Kessler","given":"Torsten","non-dropping-particle":"","parse-names":false,"suffix":""},{"dropping-particle":"","family":"Müller-Tidow","given":"Carsten","non-dropping-particle":"","parse-names":false,"suffix":""},{"dropping-particle":"","family":"Stelljes","given":"Matthias","non-dropping-particle":"","parse-names":false,"suffix":""},{"dropping-particle":"","family":"Büchner","given":"Thomas","non-dropping-particle":"","parse-names":false,"suffix":""},{"dropping-particle":"","family":"Schlimok","given":"Günter","non-dropping-particle":"","parse-names":false,"suffix":""},{"dropping-particle":"","family":"Hallek","given":"Michael","non-dropping-particle":"","parse-names":false,"suffix":""},{"dropping-particle":"","family":"Waltenberger","given":"Johannes","non-dropping-particle":"","parse-names":false,"suffix":""},{"dropping-particle":"","family":"Hiddemann","given":"Wolfgang","non-dropping-particle":"","parse-names":false,"suffix":""},{"dropping-particle":"","family":"Berdel","given":"Wolfgang E.","non-dropping-particle":"","parse-names":false,"suffix":""},{"dropping-particle":"","family":"Heilmeier","given":"Bernhard","non-dropping-particle":"","parse-names":false,"suffix":""},{"dropping-particle":"","family":"Krug","given":"Utz","non-dropping-particle":"","parse-names":false,"suffix":""}],"container-title":"PLoS ONE","id":"ITEM-1","issue":"8","issued":{"date-parts":[["2016","8","1"]]},"publisher":"Public Library of Science","title":"Patients with acute myeloid leukemia admitted to intensive care units: Outcome analysis and risk prediction","type":"article-journal","volume":"11"},"uris":["http://www.mendeley.com/documents/?uuid=5f391b78-828e-332c-8944-ee3664eb5d7f"]}],"mendeley":{"formattedCitation":"[214]","plainTextFormattedCitation":"[214]","previouslyFormattedCitation":"[214]"},"properties":{"noteIndex":0},"schema":"https://github.com/citation-style-language/schema/raw/master/csl-citation.json"}</w:instrText>
            </w:r>
            <w:r w:rsidRPr="009D0B15">
              <w:rPr>
                <w:szCs w:val="24"/>
              </w:rPr>
              <w:fldChar w:fldCharType="separate"/>
            </w:r>
            <w:r w:rsidR="00275BAA" w:rsidRPr="00275BAA">
              <w:rPr>
                <w:noProof/>
                <w:szCs w:val="24"/>
              </w:rPr>
              <w:t>[214]</w:t>
            </w:r>
            <w:r w:rsidRPr="009D0B15">
              <w:rPr>
                <w:szCs w:val="24"/>
              </w:rPr>
              <w:fldChar w:fldCharType="end"/>
            </w:r>
          </w:p>
        </w:tc>
        <w:tc>
          <w:tcPr>
            <w:tcW w:w="2825" w:type="pct"/>
          </w:tcPr>
          <w:p w14:paraId="4A81A828" w14:textId="77777777" w:rsidR="00E040DB" w:rsidRPr="009D0B15" w:rsidRDefault="00E040DB" w:rsidP="005A428D">
            <w:pPr>
              <w:jc w:val="center"/>
              <w:rPr>
                <w:szCs w:val="24"/>
              </w:rPr>
            </w:pPr>
            <w:r w:rsidRPr="009D0B15">
              <w:rPr>
                <w:szCs w:val="24"/>
              </w:rPr>
              <w:t>13%</w:t>
            </w:r>
          </w:p>
        </w:tc>
      </w:tr>
      <w:tr w:rsidR="00E040DB" w:rsidRPr="009D0B15" w14:paraId="187E3FEE" w14:textId="77777777" w:rsidTr="005A428D">
        <w:trPr>
          <w:trHeight w:val="469"/>
        </w:trPr>
        <w:tc>
          <w:tcPr>
            <w:tcW w:w="2175" w:type="pct"/>
          </w:tcPr>
          <w:p w14:paraId="511728CF" w14:textId="40FB1C2D" w:rsidR="00E040DB" w:rsidRPr="009D0B15" w:rsidRDefault="00E040DB" w:rsidP="005A428D">
            <w:pPr>
              <w:rPr>
                <w:szCs w:val="24"/>
              </w:rPr>
            </w:pPr>
            <w:r w:rsidRPr="009D0B15">
              <w:rPr>
                <w:szCs w:val="24"/>
              </w:rPr>
              <w:t xml:space="preserve">Halpern A. и соавт., 2017 </w:t>
            </w:r>
            <w:r w:rsidRPr="009D0B15">
              <w:rPr>
                <w:szCs w:val="24"/>
              </w:rPr>
              <w:fldChar w:fldCharType="begin" w:fldLock="1"/>
            </w:r>
            <w:r w:rsidR="00C65573">
              <w:rPr>
                <w:szCs w:val="24"/>
              </w:rPr>
              <w:instrText>ADDIN CSL_CITATION {"citationItems":[{"id":"ITEM-1","itemData":{"DOI":"10.1001/jamaoncol.2016.4858","ISSN":"23742445","PMID":"27832254","abstract":"IMPORTANCE Adults with acutemyeloid leukemia (AML) commonly require support in the intensive care unit (ICU), but risk factors for admission to the ICU and adverse outcomes remain poorly defined. OBJECTIVE To examine risk factors, mortality, length of stay, and cost associated with admission to the ICU for patients with AML. DESIGN, SETTING, AND PARTICIPANTS This study extracted information from the University HealthSystem Consortium database on patients 18 years or older with AML who were hospitalized for any cause between January 1, 2004, and December 31, 2012. The University HealthSystem Consortium database contains demographic, clinical, and cost variables prospectively abstracted by certified coders from discharge summaries. Outcomes were analyzed using univariate and multivariable statistical techniques. Data analysis was performed from November 15, 2013, to August 15, 2016. MAIN OUTCOMES AND MEASURES Primary outcomeswere admission to the ICU and inpatient mortality among patients requiring ICU care. Secondary outcomes included length of stay in the ICU, total hospitalization length of stay, and cost. RESULTS Of the 43 249 patients with AML (mean [SD] age, 59.5 [16.6] years; 23 939 men and 19 310 women), 11 277 (26.1%) were admitted to the ICU. On multivariable analysis (with results reported as odds ratios [95%CIs]), independent risk factors for admission to the ICU included age younger than 80 years (1.56 [1.42-1.70]), hospitalization in the South (1.81 [1.71-1.92]), hospitalization at a low-or medium-volume hospital (1.25 [1.19-1.31]), number of comorbidities (10.64 [8.89-12.62] for 5 vs none), sepsis (4.61 [4.34-4.89]), invasive fungal infection (1.24 [1.11-1.39]), and pneumonia (1.73 [1.63-1.82]). In-hospital mortality was higher for patients requiring ICU care (4857 of 11 277 [43.1%] vs 2959 of 31 972 [9.3%]). On multivariable analysis, independent risk factors for death in patients requiring ICU care included age 60 years or older (1.16 [1.06-1.26]), nonwhite race/ethnicity (1.18 [1.07-1.30]), hospitalization on theWest coast (1.19 [1.06-1.34]), number of comorbidities (18.76 [13.7-25.67] for 5 vs none), sepsis (2.94 [2.70-3.21]), invasive fungal infection (1.20 [1.02-1.42]), and pneumonia (1.13 [1.04-1.24]). Mean costs of hospitalization were higher for patients requiring ICU care ($83 354 vs $41 973) and increased with each comorbidity, from $50 543 for patients with no comorbidities to $124 820 for those with 5 or more comorbidities. CON…","author":[{"dropping-particle":"","family":"Halpern","given":"Anna B.","non-dropping-particle":"","parse-names":false,"suffix":""},{"dropping-particle":"","family":"Culakova","given":"Eva","non-dropping-particle":"","parse-names":false,"suffix":""},{"dropping-particle":"","family":"Walter","given":"Roland B.","non-dropping-particle":"","parse-names":false,"suffix":""},{"dropping-particle":"","family":"Lyman","given":"Gary H.","non-dropping-particle":"","parse-names":false,"suffix":""}],"container-title":"JAMA Oncology","id":"ITEM-1","issue":"3","issued":{"date-parts":[["2017","3","1"]]},"page":"374-381","publisher":"American Medical Association","title":"Association of risk factors, mortality, and care costs of adults with acute myeloid leukemia with admission to the intensive care unit","type":"article-journal","volume":"3"},"uris":["http://www.mendeley.com/documents/?uuid=0f83ff95-f484-4138-a3c5-751314b29b70"]}],"mendeley":{"formattedCitation":"[215]","plainTextFormattedCitation":"[215]","previouslyFormattedCitation":"[215]"},"properties":{"noteIndex":0},"schema":"https://github.com/citation-style-language/schema/raw/master/csl-citation.json"}</w:instrText>
            </w:r>
            <w:r w:rsidRPr="009D0B15">
              <w:rPr>
                <w:szCs w:val="24"/>
              </w:rPr>
              <w:fldChar w:fldCharType="separate"/>
            </w:r>
            <w:r w:rsidR="00275BAA" w:rsidRPr="00275BAA">
              <w:rPr>
                <w:noProof/>
                <w:szCs w:val="24"/>
              </w:rPr>
              <w:t>[215]</w:t>
            </w:r>
            <w:r w:rsidRPr="009D0B15">
              <w:rPr>
                <w:szCs w:val="24"/>
              </w:rPr>
              <w:fldChar w:fldCharType="end"/>
            </w:r>
          </w:p>
        </w:tc>
        <w:tc>
          <w:tcPr>
            <w:tcW w:w="2825" w:type="pct"/>
          </w:tcPr>
          <w:p w14:paraId="008564F2" w14:textId="77777777" w:rsidR="00E040DB" w:rsidRPr="009D0B15" w:rsidRDefault="00E040DB" w:rsidP="005A428D">
            <w:pPr>
              <w:jc w:val="center"/>
              <w:rPr>
                <w:szCs w:val="24"/>
              </w:rPr>
            </w:pPr>
            <w:r w:rsidRPr="009D0B15">
              <w:rPr>
                <w:szCs w:val="24"/>
              </w:rPr>
              <w:t>26,1%</w:t>
            </w:r>
          </w:p>
        </w:tc>
      </w:tr>
    </w:tbl>
    <w:p w14:paraId="3E6740CA" w14:textId="77777777" w:rsidR="00E040DB" w:rsidRPr="008F721B" w:rsidRDefault="00E040DB" w:rsidP="00E040DB">
      <w:pPr>
        <w:rPr>
          <w:szCs w:val="24"/>
        </w:rPr>
      </w:pPr>
    </w:p>
    <w:p w14:paraId="1A2D549F" w14:textId="77777777" w:rsidR="00E040DB" w:rsidRPr="003C0A4C" w:rsidRDefault="00E040DB" w:rsidP="00E040DB">
      <w:pPr>
        <w:ind w:firstLine="709"/>
        <w:rPr>
          <w:szCs w:val="24"/>
        </w:rPr>
      </w:pPr>
      <w:r w:rsidRPr="003C0A4C">
        <w:rPr>
          <w:szCs w:val="24"/>
        </w:rPr>
        <w:t xml:space="preserve">В ряде исследований (табл. 2) определены основные жизнеугрожающие синдромы, при которых требуется перевод больных гемобластозами в ОРИТ: ОДН в 30–51% случаев, сепсис и СШ в 8 – 42%, острая патология ЦНС - в 7 – 17%, кровотечения - в 1 – 22%, ОПН -  в 3,2 – 5%. Медиана пребывания в ОРИТ обычно составляет от 3 до 13 суток (0-97). Жизнеугрожающие состояния у этих больных развиваются преимущественно в начале лечения, а стоимость лечения от 2 до 20 раз выше по сравнению со стоимостью лечения пациентов в ОРИТ без онкогематологических заболеваний. </w:t>
      </w:r>
    </w:p>
    <w:p w14:paraId="581421A4" w14:textId="77777777" w:rsidR="00E040DB" w:rsidRPr="003C0A4C" w:rsidRDefault="00E040DB" w:rsidP="00E040DB">
      <w:pPr>
        <w:rPr>
          <w:szCs w:val="24"/>
        </w:rPr>
      </w:pPr>
    </w:p>
    <w:p w14:paraId="175B6E2B" w14:textId="77777777" w:rsidR="00E040DB" w:rsidRPr="008F721B" w:rsidRDefault="00E040DB" w:rsidP="00E040DB">
      <w:pPr>
        <w:rPr>
          <w:szCs w:val="24"/>
        </w:rPr>
      </w:pPr>
      <w:r w:rsidRPr="003C0A4C">
        <w:rPr>
          <w:szCs w:val="24"/>
        </w:rPr>
        <w:t>Таблица 2. Причины перевода в ОРИТ пациентов с гемобластозами</w:t>
      </w:r>
    </w:p>
    <w:tbl>
      <w:tblPr>
        <w:tblStyle w:val="affa"/>
        <w:tblW w:w="5000" w:type="pct"/>
        <w:tblLayout w:type="fixed"/>
        <w:tblLook w:val="04A0" w:firstRow="1" w:lastRow="0" w:firstColumn="1" w:lastColumn="0" w:noHBand="0" w:noVBand="1"/>
      </w:tblPr>
      <w:tblGrid>
        <w:gridCol w:w="2392"/>
        <w:gridCol w:w="794"/>
        <w:gridCol w:w="916"/>
        <w:gridCol w:w="1138"/>
        <w:gridCol w:w="1284"/>
        <w:gridCol w:w="852"/>
        <w:gridCol w:w="963"/>
        <w:gridCol w:w="1007"/>
      </w:tblGrid>
      <w:tr w:rsidR="00E040DB" w:rsidRPr="008F721B" w14:paraId="153291D5" w14:textId="77777777" w:rsidTr="005A428D">
        <w:trPr>
          <w:trHeight w:val="401"/>
        </w:trPr>
        <w:tc>
          <w:tcPr>
            <w:tcW w:w="1279" w:type="pct"/>
            <w:vMerge w:val="restart"/>
          </w:tcPr>
          <w:p w14:paraId="299E1614" w14:textId="77777777" w:rsidR="00E040DB" w:rsidRPr="008F721B" w:rsidRDefault="00E040DB" w:rsidP="005A428D">
            <w:pPr>
              <w:rPr>
                <w:szCs w:val="24"/>
              </w:rPr>
            </w:pPr>
            <w:r w:rsidRPr="008F721B">
              <w:rPr>
                <w:szCs w:val="24"/>
              </w:rPr>
              <w:t>Источник</w:t>
            </w:r>
          </w:p>
        </w:tc>
        <w:tc>
          <w:tcPr>
            <w:tcW w:w="3721" w:type="pct"/>
            <w:gridSpan w:val="7"/>
          </w:tcPr>
          <w:p w14:paraId="30C1C86C" w14:textId="77777777" w:rsidR="00E040DB" w:rsidRPr="008F721B" w:rsidRDefault="00E040DB" w:rsidP="005A428D">
            <w:pPr>
              <w:jc w:val="center"/>
              <w:rPr>
                <w:szCs w:val="24"/>
              </w:rPr>
            </w:pPr>
            <w:r w:rsidRPr="008F721B">
              <w:rPr>
                <w:szCs w:val="24"/>
              </w:rPr>
              <w:t>Причины перевода в ОРИТ</w:t>
            </w:r>
          </w:p>
        </w:tc>
      </w:tr>
      <w:tr w:rsidR="00E040DB" w:rsidRPr="008F721B" w14:paraId="63350912" w14:textId="77777777" w:rsidTr="005A428D">
        <w:trPr>
          <w:cantSplit/>
          <w:trHeight w:val="2544"/>
        </w:trPr>
        <w:tc>
          <w:tcPr>
            <w:tcW w:w="1279" w:type="pct"/>
            <w:vMerge/>
          </w:tcPr>
          <w:p w14:paraId="50114D81" w14:textId="77777777" w:rsidR="00E040DB" w:rsidRPr="008F721B" w:rsidRDefault="00E040DB" w:rsidP="005A428D">
            <w:pPr>
              <w:rPr>
                <w:szCs w:val="24"/>
              </w:rPr>
            </w:pPr>
          </w:p>
        </w:tc>
        <w:tc>
          <w:tcPr>
            <w:tcW w:w="425" w:type="pct"/>
            <w:textDirection w:val="btLr"/>
          </w:tcPr>
          <w:p w14:paraId="42D71F63" w14:textId="77777777" w:rsidR="00E040DB" w:rsidRPr="008F721B" w:rsidRDefault="00E040DB" w:rsidP="005A428D">
            <w:pPr>
              <w:ind w:left="113" w:right="113"/>
              <w:rPr>
                <w:szCs w:val="24"/>
              </w:rPr>
            </w:pPr>
            <w:r w:rsidRPr="008F721B">
              <w:rPr>
                <w:szCs w:val="24"/>
              </w:rPr>
              <w:t>ОДН, %</w:t>
            </w:r>
          </w:p>
        </w:tc>
        <w:tc>
          <w:tcPr>
            <w:tcW w:w="490" w:type="pct"/>
            <w:textDirection w:val="btLr"/>
          </w:tcPr>
          <w:p w14:paraId="51DBE46B" w14:textId="77777777" w:rsidR="00E040DB" w:rsidRPr="008F721B" w:rsidRDefault="00E040DB" w:rsidP="005A428D">
            <w:pPr>
              <w:ind w:left="113" w:right="113"/>
              <w:rPr>
                <w:szCs w:val="24"/>
              </w:rPr>
            </w:pPr>
            <w:r w:rsidRPr="008F721B">
              <w:rPr>
                <w:szCs w:val="24"/>
              </w:rPr>
              <w:t>Сепсис, СШ, %</w:t>
            </w:r>
          </w:p>
        </w:tc>
        <w:tc>
          <w:tcPr>
            <w:tcW w:w="609" w:type="pct"/>
            <w:textDirection w:val="btLr"/>
          </w:tcPr>
          <w:p w14:paraId="7BD6B356" w14:textId="77777777" w:rsidR="00E040DB" w:rsidRPr="008F721B" w:rsidRDefault="00E040DB" w:rsidP="005A428D">
            <w:pPr>
              <w:ind w:left="113" w:right="113"/>
              <w:rPr>
                <w:szCs w:val="24"/>
              </w:rPr>
            </w:pPr>
            <w:r w:rsidRPr="008F721B">
              <w:rPr>
                <w:szCs w:val="24"/>
              </w:rPr>
              <w:t>Острая патология</w:t>
            </w:r>
          </w:p>
          <w:p w14:paraId="76AADB9B" w14:textId="77777777" w:rsidR="00E040DB" w:rsidRPr="008F721B" w:rsidRDefault="00E040DB" w:rsidP="005A428D">
            <w:pPr>
              <w:ind w:left="113" w:right="113"/>
              <w:rPr>
                <w:szCs w:val="24"/>
              </w:rPr>
            </w:pPr>
            <w:r w:rsidRPr="008F721B">
              <w:rPr>
                <w:szCs w:val="24"/>
              </w:rPr>
              <w:t>ЦНС, %</w:t>
            </w:r>
          </w:p>
        </w:tc>
        <w:tc>
          <w:tcPr>
            <w:tcW w:w="687" w:type="pct"/>
            <w:textDirection w:val="btLr"/>
          </w:tcPr>
          <w:p w14:paraId="13B7C2C5" w14:textId="77777777" w:rsidR="00E040DB" w:rsidRPr="008F721B" w:rsidRDefault="00E040DB" w:rsidP="005A428D">
            <w:pPr>
              <w:ind w:left="113" w:right="113"/>
              <w:rPr>
                <w:szCs w:val="24"/>
              </w:rPr>
            </w:pPr>
            <w:r w:rsidRPr="008F721B">
              <w:rPr>
                <w:szCs w:val="24"/>
              </w:rPr>
              <w:t>Нарушение ритма сердца, %</w:t>
            </w:r>
          </w:p>
        </w:tc>
        <w:tc>
          <w:tcPr>
            <w:tcW w:w="456" w:type="pct"/>
            <w:textDirection w:val="btLr"/>
          </w:tcPr>
          <w:p w14:paraId="0BB7C3FB" w14:textId="77777777" w:rsidR="00E040DB" w:rsidRPr="008F721B" w:rsidRDefault="00E040DB" w:rsidP="005A428D">
            <w:pPr>
              <w:ind w:left="113" w:right="113"/>
              <w:rPr>
                <w:szCs w:val="24"/>
              </w:rPr>
            </w:pPr>
            <w:r w:rsidRPr="008F721B">
              <w:rPr>
                <w:szCs w:val="24"/>
              </w:rPr>
              <w:t>ОПН, %</w:t>
            </w:r>
          </w:p>
        </w:tc>
        <w:tc>
          <w:tcPr>
            <w:tcW w:w="515" w:type="pct"/>
            <w:textDirection w:val="btLr"/>
          </w:tcPr>
          <w:p w14:paraId="23E62171" w14:textId="77777777" w:rsidR="00E040DB" w:rsidRPr="008F721B" w:rsidRDefault="00E040DB" w:rsidP="005A428D">
            <w:pPr>
              <w:ind w:left="113" w:right="113"/>
              <w:rPr>
                <w:szCs w:val="24"/>
              </w:rPr>
            </w:pPr>
            <w:r w:rsidRPr="008F721B">
              <w:rPr>
                <w:szCs w:val="24"/>
              </w:rPr>
              <w:t>Кровотечения, %</w:t>
            </w:r>
          </w:p>
        </w:tc>
        <w:tc>
          <w:tcPr>
            <w:tcW w:w="536" w:type="pct"/>
            <w:textDirection w:val="btLr"/>
          </w:tcPr>
          <w:p w14:paraId="4E9DBACD" w14:textId="77777777" w:rsidR="00E040DB" w:rsidRPr="008F721B" w:rsidRDefault="00E040DB" w:rsidP="005A428D">
            <w:pPr>
              <w:ind w:left="113" w:right="113"/>
              <w:rPr>
                <w:szCs w:val="24"/>
              </w:rPr>
            </w:pPr>
            <w:r w:rsidRPr="008F721B">
              <w:rPr>
                <w:szCs w:val="24"/>
              </w:rPr>
              <w:t>Прочее,</w:t>
            </w:r>
          </w:p>
          <w:p w14:paraId="141420A5" w14:textId="77777777" w:rsidR="00E040DB" w:rsidRPr="008F721B" w:rsidRDefault="00E040DB" w:rsidP="005A428D">
            <w:pPr>
              <w:ind w:left="113" w:right="113"/>
              <w:rPr>
                <w:szCs w:val="24"/>
              </w:rPr>
            </w:pPr>
            <w:r w:rsidRPr="008F721B">
              <w:rPr>
                <w:szCs w:val="24"/>
              </w:rPr>
              <w:t>%</w:t>
            </w:r>
          </w:p>
        </w:tc>
      </w:tr>
      <w:tr w:rsidR="00E040DB" w:rsidRPr="008F721B" w14:paraId="16DBA3A3" w14:textId="77777777" w:rsidTr="005A428D">
        <w:trPr>
          <w:trHeight w:val="802"/>
        </w:trPr>
        <w:tc>
          <w:tcPr>
            <w:tcW w:w="1279" w:type="pct"/>
          </w:tcPr>
          <w:p w14:paraId="04A9DB0C" w14:textId="46B468C9" w:rsidR="00E040DB" w:rsidRPr="00B563E0" w:rsidRDefault="00E040DB" w:rsidP="005A428D">
            <w:pPr>
              <w:rPr>
                <w:szCs w:val="24"/>
              </w:rPr>
            </w:pPr>
            <w:r w:rsidRPr="008F721B">
              <w:rPr>
                <w:szCs w:val="24"/>
              </w:rPr>
              <w:t>Воробьев А.И. и соавт.</w:t>
            </w:r>
            <w:r>
              <w:rPr>
                <w:szCs w:val="24"/>
              </w:rPr>
              <w:t>,</w:t>
            </w:r>
            <w:r w:rsidRPr="00B563E0">
              <w:rPr>
                <w:szCs w:val="24"/>
              </w:rPr>
              <w:t xml:space="preserve"> 1993 </w:t>
            </w:r>
            <w:r>
              <w:rPr>
                <w:szCs w:val="24"/>
                <w:lang w:val="en-US"/>
              </w:rPr>
              <w:fldChar w:fldCharType="begin" w:fldLock="1"/>
            </w:r>
            <w:r w:rsidR="00C65573">
              <w:rPr>
                <w:szCs w:val="24"/>
                <w:lang w:val="en-US"/>
              </w:rPr>
              <w:instrText>ADDIN CSL_CITATION {"citationItems":[{"id":"ITEM-1","itemData":{"author":[{"dropping-particle":"","family":"Воробьев","given":"А.И.","non-dropping-particle":"","parse-names":false,"suffix":""},{"dropping-particle":"","family":"Горелов","given":"В.Г.","non-dropping-particle":"","parse-names":false,"suffix":""},{"dropping-particle":"","family":"Городецкий","given":"В.М.","non-dropping-particle":"","parse-names":false,"suffix":""},{"dropping-particle":"","family":"Шулутко","given":"Е.М.","non-dropping-particle":"","parse-names":false,"suffix":""}],"container-title":"Терапевтический архив","id":"ITEM-1","issue":"7","issued":{"date-parts":[["1993"]]},"page":"3-6","title":"Критические состояния при гемобластозах (типичные формы и выживаемость в условиях отделения реанимации).","type":"article-journal","volume":"65"},"uris":["http://www.mendeley.com/documents/?uuid=c4b05bf5-f5dc-4551-a590-5854faa101d0"]}],"mendeley":{"formattedCitation":"[216]","plainTextFormattedCitation":"[216]","previouslyFormattedCitation":"[216]"},"properties":{"noteIndex":0},"schema":"https://github.com/citation-style-language/schema/raw/master/csl-citation.json"}</w:instrText>
            </w:r>
            <w:r>
              <w:rPr>
                <w:szCs w:val="24"/>
                <w:lang w:val="en-US"/>
              </w:rPr>
              <w:fldChar w:fldCharType="separate"/>
            </w:r>
            <w:r w:rsidR="00275BAA" w:rsidRPr="00275BAA">
              <w:rPr>
                <w:noProof/>
                <w:szCs w:val="24"/>
              </w:rPr>
              <w:t>[216]</w:t>
            </w:r>
            <w:r>
              <w:rPr>
                <w:szCs w:val="24"/>
                <w:lang w:val="en-US"/>
              </w:rPr>
              <w:fldChar w:fldCharType="end"/>
            </w:r>
          </w:p>
        </w:tc>
        <w:tc>
          <w:tcPr>
            <w:tcW w:w="425" w:type="pct"/>
          </w:tcPr>
          <w:p w14:paraId="0345173B" w14:textId="77777777" w:rsidR="00E040DB" w:rsidRPr="008F721B" w:rsidRDefault="00E040DB" w:rsidP="005A428D">
            <w:pPr>
              <w:jc w:val="center"/>
              <w:rPr>
                <w:szCs w:val="24"/>
              </w:rPr>
            </w:pPr>
            <w:r w:rsidRPr="008F721B">
              <w:rPr>
                <w:szCs w:val="24"/>
              </w:rPr>
              <w:t>43</w:t>
            </w:r>
          </w:p>
        </w:tc>
        <w:tc>
          <w:tcPr>
            <w:tcW w:w="490" w:type="pct"/>
          </w:tcPr>
          <w:p w14:paraId="0C98EAEF" w14:textId="77777777" w:rsidR="00E040DB" w:rsidRPr="008F721B" w:rsidRDefault="00E040DB" w:rsidP="005A428D">
            <w:pPr>
              <w:jc w:val="center"/>
              <w:rPr>
                <w:szCs w:val="24"/>
              </w:rPr>
            </w:pPr>
            <w:r w:rsidRPr="008F721B">
              <w:rPr>
                <w:szCs w:val="24"/>
              </w:rPr>
              <w:t>16</w:t>
            </w:r>
          </w:p>
        </w:tc>
        <w:tc>
          <w:tcPr>
            <w:tcW w:w="609" w:type="pct"/>
          </w:tcPr>
          <w:p w14:paraId="617984A7" w14:textId="77777777" w:rsidR="00E040DB" w:rsidRPr="008F721B" w:rsidRDefault="00E040DB" w:rsidP="005A428D">
            <w:pPr>
              <w:jc w:val="center"/>
              <w:rPr>
                <w:szCs w:val="24"/>
              </w:rPr>
            </w:pPr>
            <w:r w:rsidRPr="008F721B">
              <w:rPr>
                <w:szCs w:val="24"/>
              </w:rPr>
              <w:t>н/д*</w:t>
            </w:r>
          </w:p>
        </w:tc>
        <w:tc>
          <w:tcPr>
            <w:tcW w:w="687" w:type="pct"/>
          </w:tcPr>
          <w:p w14:paraId="0DE2E37D" w14:textId="77777777" w:rsidR="00E040DB" w:rsidRPr="008F721B" w:rsidRDefault="00E040DB" w:rsidP="005A428D">
            <w:pPr>
              <w:jc w:val="center"/>
              <w:rPr>
                <w:szCs w:val="24"/>
              </w:rPr>
            </w:pPr>
            <w:r w:rsidRPr="008F721B">
              <w:rPr>
                <w:szCs w:val="24"/>
              </w:rPr>
              <w:t>н/д</w:t>
            </w:r>
          </w:p>
        </w:tc>
        <w:tc>
          <w:tcPr>
            <w:tcW w:w="456" w:type="pct"/>
          </w:tcPr>
          <w:p w14:paraId="543DDB05" w14:textId="77777777" w:rsidR="00E040DB" w:rsidRPr="008F721B" w:rsidRDefault="00E040DB" w:rsidP="005A428D">
            <w:pPr>
              <w:jc w:val="center"/>
              <w:rPr>
                <w:szCs w:val="24"/>
              </w:rPr>
            </w:pPr>
            <w:r w:rsidRPr="008F721B">
              <w:rPr>
                <w:szCs w:val="24"/>
              </w:rPr>
              <w:t>5</w:t>
            </w:r>
          </w:p>
        </w:tc>
        <w:tc>
          <w:tcPr>
            <w:tcW w:w="515" w:type="pct"/>
          </w:tcPr>
          <w:p w14:paraId="640839E3" w14:textId="77777777" w:rsidR="00E040DB" w:rsidRPr="008F721B" w:rsidRDefault="00E040DB" w:rsidP="005A428D">
            <w:pPr>
              <w:jc w:val="center"/>
              <w:rPr>
                <w:szCs w:val="24"/>
              </w:rPr>
            </w:pPr>
            <w:r w:rsidRPr="008F721B">
              <w:rPr>
                <w:szCs w:val="24"/>
              </w:rPr>
              <w:t>16</w:t>
            </w:r>
          </w:p>
        </w:tc>
        <w:tc>
          <w:tcPr>
            <w:tcW w:w="536" w:type="pct"/>
          </w:tcPr>
          <w:p w14:paraId="2AA1A8F6" w14:textId="77777777" w:rsidR="00E040DB" w:rsidRPr="008F721B" w:rsidRDefault="00E040DB" w:rsidP="005A428D">
            <w:pPr>
              <w:jc w:val="center"/>
              <w:rPr>
                <w:szCs w:val="24"/>
              </w:rPr>
            </w:pPr>
            <w:r w:rsidRPr="008F721B">
              <w:rPr>
                <w:szCs w:val="24"/>
              </w:rPr>
              <w:t>20</w:t>
            </w:r>
          </w:p>
        </w:tc>
      </w:tr>
      <w:tr w:rsidR="00E040DB" w:rsidRPr="008F721B" w14:paraId="03A576E3" w14:textId="77777777" w:rsidTr="005A428D">
        <w:trPr>
          <w:trHeight w:val="822"/>
        </w:trPr>
        <w:tc>
          <w:tcPr>
            <w:tcW w:w="1279" w:type="pct"/>
          </w:tcPr>
          <w:p w14:paraId="03215586" w14:textId="45AF271D" w:rsidR="00E040DB" w:rsidRPr="008F721B" w:rsidRDefault="00E040DB" w:rsidP="005A428D">
            <w:pPr>
              <w:rPr>
                <w:szCs w:val="24"/>
              </w:rPr>
            </w:pPr>
            <w:r w:rsidRPr="008F721B">
              <w:rPr>
                <w:szCs w:val="24"/>
              </w:rPr>
              <w:t>Галстян Г.М. и соавт.</w:t>
            </w:r>
            <w:r>
              <w:rPr>
                <w:szCs w:val="24"/>
              </w:rPr>
              <w:t xml:space="preserve">, 2011 </w:t>
            </w:r>
            <w:r>
              <w:rPr>
                <w:szCs w:val="24"/>
              </w:rPr>
              <w:fldChar w:fldCharType="begin" w:fldLock="1"/>
            </w:r>
            <w:r w:rsidR="00C65573">
              <w:rPr>
                <w:szCs w:val="24"/>
              </w:rPr>
              <w:instrText>ADDIN CSL_CITATION {"citationItems":[{"id":"ITEM-1","itemData":{"author":[{"dropping-particle":"","family":"Галстян","given":"Г.М.","non-dropping-particle":"","parse-names":false,"suffix":""},{"dropping-particle":"","family":"Городецкий","given":"В.М.","non-dropping-particle":"","parse-names":false,"suffix":""}],"container-title":"Клиническая онкогематология","id":"ITEM-1","issue":"1","issued":{"date-parts":[["2011"]]},"page":"75-78","title":"Опыт работы отделения реанимации и интенсивной терапии ФГБУ ГНЦ МЗиСР РФ","type":"article-journal","volume":"4"},"uris":["http://www.mendeley.com/documents/?uuid=7a2aad90-732f-4da0-a3ce-4939d049189b"]}],"mendeley":{"formattedCitation":"[217]","plainTextFormattedCitation":"[217]","previouslyFormattedCitation":"[217]"},"properties":{"noteIndex":0},"schema":"https://github.com/citation-style-language/schema/raw/master/csl-citation.json"}</w:instrText>
            </w:r>
            <w:r>
              <w:rPr>
                <w:szCs w:val="24"/>
              </w:rPr>
              <w:fldChar w:fldCharType="separate"/>
            </w:r>
            <w:r w:rsidR="00275BAA" w:rsidRPr="00275BAA">
              <w:rPr>
                <w:noProof/>
                <w:szCs w:val="24"/>
              </w:rPr>
              <w:t>[217]</w:t>
            </w:r>
            <w:r>
              <w:rPr>
                <w:szCs w:val="24"/>
              </w:rPr>
              <w:fldChar w:fldCharType="end"/>
            </w:r>
          </w:p>
        </w:tc>
        <w:tc>
          <w:tcPr>
            <w:tcW w:w="425" w:type="pct"/>
          </w:tcPr>
          <w:p w14:paraId="30DA96B9" w14:textId="77777777" w:rsidR="00E040DB" w:rsidRPr="008F721B" w:rsidRDefault="00E040DB" w:rsidP="005A428D">
            <w:pPr>
              <w:jc w:val="center"/>
              <w:rPr>
                <w:szCs w:val="24"/>
              </w:rPr>
            </w:pPr>
            <w:r w:rsidRPr="008F721B">
              <w:rPr>
                <w:szCs w:val="24"/>
              </w:rPr>
              <w:t>30</w:t>
            </w:r>
          </w:p>
        </w:tc>
        <w:tc>
          <w:tcPr>
            <w:tcW w:w="490" w:type="pct"/>
          </w:tcPr>
          <w:p w14:paraId="4CD51505" w14:textId="77777777" w:rsidR="00E040DB" w:rsidRPr="008F721B" w:rsidRDefault="00E040DB" w:rsidP="005A428D">
            <w:pPr>
              <w:jc w:val="center"/>
              <w:rPr>
                <w:szCs w:val="24"/>
              </w:rPr>
            </w:pPr>
            <w:r w:rsidRPr="008F721B">
              <w:rPr>
                <w:szCs w:val="24"/>
              </w:rPr>
              <w:t>22</w:t>
            </w:r>
          </w:p>
        </w:tc>
        <w:tc>
          <w:tcPr>
            <w:tcW w:w="609" w:type="pct"/>
          </w:tcPr>
          <w:p w14:paraId="25943B2F" w14:textId="77777777" w:rsidR="00E040DB" w:rsidRPr="008F721B" w:rsidRDefault="00E040DB" w:rsidP="005A428D">
            <w:pPr>
              <w:jc w:val="center"/>
              <w:rPr>
                <w:szCs w:val="24"/>
              </w:rPr>
            </w:pPr>
            <w:r w:rsidRPr="008F721B">
              <w:rPr>
                <w:szCs w:val="24"/>
              </w:rPr>
              <w:t>7</w:t>
            </w:r>
          </w:p>
        </w:tc>
        <w:tc>
          <w:tcPr>
            <w:tcW w:w="687" w:type="pct"/>
          </w:tcPr>
          <w:p w14:paraId="42AF2FCC" w14:textId="77777777" w:rsidR="00E040DB" w:rsidRPr="008F721B" w:rsidRDefault="00E040DB" w:rsidP="005A428D">
            <w:pPr>
              <w:jc w:val="center"/>
              <w:rPr>
                <w:szCs w:val="24"/>
              </w:rPr>
            </w:pPr>
            <w:r w:rsidRPr="008F721B">
              <w:rPr>
                <w:szCs w:val="24"/>
              </w:rPr>
              <w:t>11</w:t>
            </w:r>
          </w:p>
        </w:tc>
        <w:tc>
          <w:tcPr>
            <w:tcW w:w="456" w:type="pct"/>
          </w:tcPr>
          <w:p w14:paraId="55C98804" w14:textId="77777777" w:rsidR="00E040DB" w:rsidRPr="008F721B" w:rsidRDefault="00E040DB" w:rsidP="005A428D">
            <w:pPr>
              <w:jc w:val="center"/>
              <w:rPr>
                <w:szCs w:val="24"/>
              </w:rPr>
            </w:pPr>
            <w:r w:rsidRPr="008F721B">
              <w:rPr>
                <w:szCs w:val="24"/>
              </w:rPr>
              <w:t>н/д</w:t>
            </w:r>
          </w:p>
        </w:tc>
        <w:tc>
          <w:tcPr>
            <w:tcW w:w="515" w:type="pct"/>
          </w:tcPr>
          <w:p w14:paraId="2F73D24D" w14:textId="77777777" w:rsidR="00E040DB" w:rsidRPr="008F721B" w:rsidRDefault="00E040DB" w:rsidP="005A428D">
            <w:pPr>
              <w:jc w:val="center"/>
              <w:rPr>
                <w:szCs w:val="24"/>
              </w:rPr>
            </w:pPr>
            <w:r w:rsidRPr="008F721B">
              <w:rPr>
                <w:szCs w:val="24"/>
              </w:rPr>
              <w:t>н/д</w:t>
            </w:r>
          </w:p>
        </w:tc>
        <w:tc>
          <w:tcPr>
            <w:tcW w:w="536" w:type="pct"/>
          </w:tcPr>
          <w:p w14:paraId="0957AD71" w14:textId="77777777" w:rsidR="00E040DB" w:rsidRPr="008F721B" w:rsidRDefault="00E040DB" w:rsidP="005A428D">
            <w:pPr>
              <w:jc w:val="center"/>
              <w:rPr>
                <w:szCs w:val="24"/>
              </w:rPr>
            </w:pPr>
            <w:r w:rsidRPr="008F721B">
              <w:rPr>
                <w:szCs w:val="24"/>
              </w:rPr>
              <w:t>30</w:t>
            </w:r>
          </w:p>
        </w:tc>
      </w:tr>
      <w:tr w:rsidR="00E040DB" w:rsidRPr="008F721B" w14:paraId="5528EBA9" w14:textId="77777777" w:rsidTr="005A428D">
        <w:trPr>
          <w:trHeight w:val="822"/>
        </w:trPr>
        <w:tc>
          <w:tcPr>
            <w:tcW w:w="1279" w:type="pct"/>
          </w:tcPr>
          <w:p w14:paraId="7DCE83BB" w14:textId="7BD03911" w:rsidR="00E040DB" w:rsidRPr="00B563E0" w:rsidRDefault="00E040DB" w:rsidP="005A428D">
            <w:pPr>
              <w:rPr>
                <w:szCs w:val="24"/>
                <w:lang w:val="en-US"/>
              </w:rPr>
            </w:pPr>
            <w:r w:rsidRPr="008F721B">
              <w:rPr>
                <w:szCs w:val="24"/>
              </w:rPr>
              <w:t>Lamia E. и соавт.</w:t>
            </w:r>
            <w:r>
              <w:rPr>
                <w:szCs w:val="24"/>
                <w:lang w:val="en-US"/>
              </w:rPr>
              <w:t>, 2006</w:t>
            </w:r>
            <w:r w:rsidRPr="008F721B">
              <w:rPr>
                <w:szCs w:val="24"/>
              </w:rPr>
              <w:t xml:space="preserve"> </w:t>
            </w:r>
            <w:r>
              <w:rPr>
                <w:szCs w:val="24"/>
              </w:rPr>
              <w:fldChar w:fldCharType="begin" w:fldLock="1"/>
            </w:r>
            <w:r w:rsidR="00C65573">
              <w:rPr>
                <w:szCs w:val="24"/>
              </w:rPr>
              <w:instrText>ADDIN CSL_CITATION {"citationItems":[{"id":"ITEM-1","itemData":{"DOI":"10.1007/s00134-006-0286-3","ISSN":"03424642","PMID":"16896863","abstract":"Objective: To determine whether severity and organ failure scores over the first 3 days in an ICU predict in-hospital mortality in onco-hematological malignancy patients. Design and setting: Retrospective study in a 22-bed medical ICU. Patients: 92 consecutive patients with onco-hematological malignancies including 20 hematopoietic stem cell transplantation (HSCT) patients (11 with allogenic HSCT). Measurements: Simplified Acute Physiology Score (SAPS) II, Organ Dysfunction and/or Infection (ODIN) score, Logistic Organ Dysfunction System (LODS), and Sequential Organ Failure Assessment (SOFA) score were recorded on admission. The change in each score (Δ score) during the first 3 days in the ICU was calculated as follows: severity or organ failure score on day 3 minus severity or organ failure score on day 1, divided by severity or organ failure score on day 1. Results: In-hospital mortality was 58%. Using multivariate analysis in-hospital mortality was predicted by all scores on day 1 and all Δ scores. Areas under the receiver operating characteristics curves were similar for SAPS II (0.78), ODIN (0.78), LODS (0.83), and SOFA (0.78) scores at day 1. They were also similar for ΔSAPS II, ΔODIN, ΔLODS, and ΔSOFA. Similar results were observed when excluding patients with allogenic HSCT. Conclusion: Severity and three organ failure scores on day 1 and Δ scores perform similarly in predicting in-hospital mortality in ICU onco-hematological malignancy patients but do not predict individual outcome. Decision to admit such patients to the ICU or to forgo life-sustaining therapies should not be based on these scores. © 2006 Springer-Verlag.","author":[{"dropping-particle":"","family":"Lamia","given":"B.","non-dropping-particle":"","parse-names":false,"suffix":""},{"dropping-particle":"","family":"Hellot","given":"M. F.","non-dropping-particle":"","parse-names":false,"suffix":""},{"dropping-particle":"","family":"Girault","given":"C.","non-dropping-particle":"","parse-names":false,"suffix":""},{"dropping-particle":"","family":"Tamion","given":"F.","non-dropping-particle":"","parse-names":false,"suffix":""},{"dropping-particle":"","family":"Dachraoui","given":"F.","non-dropping-particle":"","parse-names":false,"suffix":""},{"dropping-particle":"","family":"Lenain","given":"P.","non-dropping-particle":"","parse-names":false,"suffix":""},{"dropping-particle":"","family":"Bonmarchand","given":"G.","non-dropping-particle":"","parse-names":false,"suffix":""}],"container-title":"Intensive Care Medicine","id":"ITEM-1","issue":"10","issued":{"date-parts":[["2006","10"]]},"page":"1560-1568","publisher":"Intensive Care Med","title":"Changes in severity and organ failure scores as prognostic factors in onco-hematological malignancy patients admitted to the ICU","type":"article-journal","volume":"32"},"uris":["http://www.mendeley.com/documents/?uuid=60d1cf7f-4ed6-3d0a-991e-cc8b33d27c7f"]}],"mendeley":{"formattedCitation":"[218]","plainTextFormattedCitation":"[218]","previouslyFormattedCitation":"[218]"},"properties":{"noteIndex":0},"schema":"https://github.com/citation-style-language/schema/raw/master/csl-citation.json"}</w:instrText>
            </w:r>
            <w:r>
              <w:rPr>
                <w:szCs w:val="24"/>
              </w:rPr>
              <w:fldChar w:fldCharType="separate"/>
            </w:r>
            <w:r w:rsidR="00275BAA" w:rsidRPr="00275BAA">
              <w:rPr>
                <w:noProof/>
                <w:szCs w:val="24"/>
              </w:rPr>
              <w:t>[218]</w:t>
            </w:r>
            <w:r>
              <w:rPr>
                <w:szCs w:val="24"/>
              </w:rPr>
              <w:fldChar w:fldCharType="end"/>
            </w:r>
          </w:p>
        </w:tc>
        <w:tc>
          <w:tcPr>
            <w:tcW w:w="425" w:type="pct"/>
          </w:tcPr>
          <w:p w14:paraId="76A08FA5" w14:textId="77777777" w:rsidR="00E040DB" w:rsidRPr="008F721B" w:rsidRDefault="00E040DB" w:rsidP="005A428D">
            <w:pPr>
              <w:jc w:val="center"/>
              <w:rPr>
                <w:szCs w:val="24"/>
              </w:rPr>
            </w:pPr>
            <w:r w:rsidRPr="008F721B">
              <w:rPr>
                <w:szCs w:val="24"/>
              </w:rPr>
              <w:t>51</w:t>
            </w:r>
          </w:p>
        </w:tc>
        <w:tc>
          <w:tcPr>
            <w:tcW w:w="490" w:type="pct"/>
          </w:tcPr>
          <w:p w14:paraId="08B3B0BE" w14:textId="77777777" w:rsidR="00E040DB" w:rsidRPr="008F721B" w:rsidRDefault="00E040DB" w:rsidP="005A428D">
            <w:pPr>
              <w:jc w:val="center"/>
              <w:rPr>
                <w:szCs w:val="24"/>
              </w:rPr>
            </w:pPr>
            <w:r w:rsidRPr="008F721B">
              <w:rPr>
                <w:szCs w:val="24"/>
              </w:rPr>
              <w:t>36</w:t>
            </w:r>
          </w:p>
        </w:tc>
        <w:tc>
          <w:tcPr>
            <w:tcW w:w="609" w:type="pct"/>
          </w:tcPr>
          <w:p w14:paraId="70902FFA" w14:textId="77777777" w:rsidR="00E040DB" w:rsidRPr="008F721B" w:rsidRDefault="00E040DB" w:rsidP="005A428D">
            <w:pPr>
              <w:jc w:val="center"/>
              <w:rPr>
                <w:szCs w:val="24"/>
              </w:rPr>
            </w:pPr>
            <w:r w:rsidRPr="008F721B">
              <w:rPr>
                <w:szCs w:val="24"/>
              </w:rPr>
              <w:t>13</w:t>
            </w:r>
          </w:p>
        </w:tc>
        <w:tc>
          <w:tcPr>
            <w:tcW w:w="687" w:type="pct"/>
          </w:tcPr>
          <w:p w14:paraId="668D8A8C" w14:textId="77777777" w:rsidR="00E040DB" w:rsidRPr="008F721B" w:rsidRDefault="00E040DB" w:rsidP="005A428D">
            <w:pPr>
              <w:jc w:val="center"/>
              <w:rPr>
                <w:szCs w:val="24"/>
              </w:rPr>
            </w:pPr>
            <w:r w:rsidRPr="008F721B">
              <w:rPr>
                <w:szCs w:val="24"/>
              </w:rPr>
              <w:t>н/д</w:t>
            </w:r>
          </w:p>
        </w:tc>
        <w:tc>
          <w:tcPr>
            <w:tcW w:w="456" w:type="pct"/>
          </w:tcPr>
          <w:p w14:paraId="5F08F918" w14:textId="77777777" w:rsidR="00E040DB" w:rsidRPr="008F721B" w:rsidRDefault="00E040DB" w:rsidP="005A428D">
            <w:pPr>
              <w:jc w:val="center"/>
              <w:rPr>
                <w:szCs w:val="24"/>
              </w:rPr>
            </w:pPr>
            <w:r w:rsidRPr="008F721B">
              <w:rPr>
                <w:szCs w:val="24"/>
              </w:rPr>
              <w:t>н/д</w:t>
            </w:r>
          </w:p>
        </w:tc>
        <w:tc>
          <w:tcPr>
            <w:tcW w:w="515" w:type="pct"/>
          </w:tcPr>
          <w:p w14:paraId="7648FE8F" w14:textId="77777777" w:rsidR="00E040DB" w:rsidRPr="008F721B" w:rsidRDefault="00E040DB" w:rsidP="005A428D">
            <w:pPr>
              <w:jc w:val="center"/>
              <w:rPr>
                <w:szCs w:val="24"/>
              </w:rPr>
            </w:pPr>
            <w:r w:rsidRPr="008F721B">
              <w:rPr>
                <w:szCs w:val="24"/>
              </w:rPr>
              <w:t>н/д</w:t>
            </w:r>
          </w:p>
        </w:tc>
        <w:tc>
          <w:tcPr>
            <w:tcW w:w="536" w:type="pct"/>
          </w:tcPr>
          <w:p w14:paraId="695AA2EA" w14:textId="77777777" w:rsidR="00E040DB" w:rsidRPr="008F721B" w:rsidRDefault="00E040DB" w:rsidP="005A428D">
            <w:pPr>
              <w:jc w:val="center"/>
              <w:rPr>
                <w:szCs w:val="24"/>
              </w:rPr>
            </w:pPr>
            <w:r w:rsidRPr="008F721B">
              <w:rPr>
                <w:szCs w:val="24"/>
              </w:rPr>
              <w:t>н/д</w:t>
            </w:r>
          </w:p>
        </w:tc>
      </w:tr>
      <w:tr w:rsidR="00E040DB" w:rsidRPr="008F721B" w14:paraId="765AE043" w14:textId="77777777" w:rsidTr="005A428D">
        <w:trPr>
          <w:trHeight w:val="822"/>
        </w:trPr>
        <w:tc>
          <w:tcPr>
            <w:tcW w:w="1279" w:type="pct"/>
          </w:tcPr>
          <w:p w14:paraId="1DE58784" w14:textId="01F1E558" w:rsidR="00E040DB" w:rsidRPr="008F721B" w:rsidRDefault="00E040DB" w:rsidP="005A428D">
            <w:pPr>
              <w:rPr>
                <w:szCs w:val="24"/>
              </w:rPr>
            </w:pPr>
            <w:r w:rsidRPr="008F721B">
              <w:rPr>
                <w:iCs/>
                <w:szCs w:val="24"/>
              </w:rPr>
              <w:t xml:space="preserve">Evison K. </w:t>
            </w:r>
            <w:r w:rsidRPr="008F721B">
              <w:rPr>
                <w:szCs w:val="24"/>
              </w:rPr>
              <w:t>и соавт.</w:t>
            </w:r>
            <w:r>
              <w:rPr>
                <w:szCs w:val="24"/>
                <w:lang w:val="en-US"/>
              </w:rPr>
              <w:t xml:space="preserve">, 2001 </w:t>
            </w:r>
            <w:r>
              <w:rPr>
                <w:szCs w:val="24"/>
                <w:lang w:val="en-US"/>
              </w:rPr>
              <w:fldChar w:fldCharType="begin" w:fldLock="1"/>
            </w:r>
            <w:r w:rsidR="00C65573">
              <w:rPr>
                <w:szCs w:val="24"/>
                <w:lang w:val="en-US"/>
              </w:rPr>
              <w:instrText>ADDIN CSL_CITATION {"citationItems":[{"id":"ITEM-1","itemData":{"author":[{"dropping-particle":"","family":"Evison","given":"J M","non-dropping-particle":"","parse-names":false,"suffix":""},{"dropping-particle":"","family":"Rickenbacher","given":"P","non-dropping-particle":"","parse-names":false,"suffix":""},{"dropping-particle":"","family":"Ritz","given":"R","non-dropping-particle":"","parse-names":false,"suffix":""},{"dropping-particle":"","family":"Gratwohl","given":"A","non-dropping-particle":"","parse-names":false,"suffix":""},{"dropping-particle":"","family":"Haberthür","given":"Ch","non-dropping-particle":"","parse-names":false,"suffix":""},{"dropping-particle":"","family":"Elsasser","given":"S","non-dropping-particle":"","parse-names":false,"suffix":""},{"dropping-particle":"","family":"Passweg","given":"J R","non-dropping-particle":"","parse-names":false,"suffix":""}],"id":"ITEM-1","issued":{"date-parts":[["2001"]]},"title":"Intensive care unit admission in patients with haematological disease: incidence, outcome and prognostic factors","type":"report"},"uris":["http://www.mendeley.com/documents/?uuid=8277399e-d82b-32b3-af97-33e3d2b5e10b"]}],"mendeley":{"formattedCitation":"[219]","plainTextFormattedCitation":"[219]","previouslyFormattedCitation":"[219]"},"properties":{"noteIndex":0},"schema":"https://github.com/citation-style-language/schema/raw/master/csl-citation.json"}</w:instrText>
            </w:r>
            <w:r>
              <w:rPr>
                <w:szCs w:val="24"/>
                <w:lang w:val="en-US"/>
              </w:rPr>
              <w:fldChar w:fldCharType="separate"/>
            </w:r>
            <w:r w:rsidR="00275BAA" w:rsidRPr="00275BAA">
              <w:rPr>
                <w:noProof/>
                <w:szCs w:val="24"/>
                <w:lang w:val="en-US"/>
              </w:rPr>
              <w:t>[219]</w:t>
            </w:r>
            <w:r>
              <w:rPr>
                <w:szCs w:val="24"/>
                <w:lang w:val="en-US"/>
              </w:rPr>
              <w:fldChar w:fldCharType="end"/>
            </w:r>
            <w:r w:rsidRPr="008F721B">
              <w:rPr>
                <w:szCs w:val="24"/>
              </w:rPr>
              <w:t xml:space="preserve"> </w:t>
            </w:r>
          </w:p>
        </w:tc>
        <w:tc>
          <w:tcPr>
            <w:tcW w:w="425" w:type="pct"/>
          </w:tcPr>
          <w:p w14:paraId="098C939F" w14:textId="77777777" w:rsidR="00E040DB" w:rsidRPr="008F721B" w:rsidRDefault="00E040DB" w:rsidP="005A428D">
            <w:pPr>
              <w:jc w:val="center"/>
              <w:rPr>
                <w:szCs w:val="24"/>
              </w:rPr>
            </w:pPr>
            <w:r w:rsidRPr="008F721B">
              <w:rPr>
                <w:szCs w:val="24"/>
              </w:rPr>
              <w:t>31</w:t>
            </w:r>
          </w:p>
        </w:tc>
        <w:tc>
          <w:tcPr>
            <w:tcW w:w="490" w:type="pct"/>
          </w:tcPr>
          <w:p w14:paraId="7107E4DE" w14:textId="77777777" w:rsidR="00E040DB" w:rsidRPr="008F721B" w:rsidRDefault="00E040DB" w:rsidP="005A428D">
            <w:pPr>
              <w:jc w:val="center"/>
              <w:rPr>
                <w:szCs w:val="24"/>
              </w:rPr>
            </w:pPr>
            <w:r w:rsidRPr="008F721B">
              <w:rPr>
                <w:szCs w:val="24"/>
              </w:rPr>
              <w:t>19</w:t>
            </w:r>
          </w:p>
        </w:tc>
        <w:tc>
          <w:tcPr>
            <w:tcW w:w="609" w:type="pct"/>
          </w:tcPr>
          <w:p w14:paraId="56E41BFF" w14:textId="77777777" w:rsidR="00E040DB" w:rsidRPr="008F721B" w:rsidRDefault="00E040DB" w:rsidP="005A428D">
            <w:pPr>
              <w:jc w:val="center"/>
              <w:rPr>
                <w:szCs w:val="24"/>
              </w:rPr>
            </w:pPr>
            <w:r w:rsidRPr="008F721B">
              <w:rPr>
                <w:szCs w:val="24"/>
              </w:rPr>
              <w:t>8</w:t>
            </w:r>
          </w:p>
        </w:tc>
        <w:tc>
          <w:tcPr>
            <w:tcW w:w="687" w:type="pct"/>
          </w:tcPr>
          <w:p w14:paraId="0812EF84" w14:textId="77777777" w:rsidR="00E040DB" w:rsidRPr="008F721B" w:rsidRDefault="00E040DB" w:rsidP="005A428D">
            <w:pPr>
              <w:jc w:val="center"/>
              <w:rPr>
                <w:szCs w:val="24"/>
              </w:rPr>
            </w:pPr>
            <w:r w:rsidRPr="008F721B">
              <w:rPr>
                <w:szCs w:val="24"/>
              </w:rPr>
              <w:t>10</w:t>
            </w:r>
          </w:p>
        </w:tc>
        <w:tc>
          <w:tcPr>
            <w:tcW w:w="456" w:type="pct"/>
          </w:tcPr>
          <w:p w14:paraId="597B4151" w14:textId="77777777" w:rsidR="00E040DB" w:rsidRPr="008F721B" w:rsidRDefault="00E040DB" w:rsidP="005A428D">
            <w:pPr>
              <w:jc w:val="center"/>
              <w:rPr>
                <w:szCs w:val="24"/>
              </w:rPr>
            </w:pPr>
            <w:r w:rsidRPr="008F721B">
              <w:rPr>
                <w:szCs w:val="24"/>
              </w:rPr>
              <w:t>н/д</w:t>
            </w:r>
          </w:p>
        </w:tc>
        <w:tc>
          <w:tcPr>
            <w:tcW w:w="515" w:type="pct"/>
          </w:tcPr>
          <w:p w14:paraId="68859A43" w14:textId="77777777" w:rsidR="00E040DB" w:rsidRPr="008F721B" w:rsidRDefault="00E040DB" w:rsidP="005A428D">
            <w:pPr>
              <w:jc w:val="center"/>
              <w:rPr>
                <w:szCs w:val="24"/>
              </w:rPr>
            </w:pPr>
            <w:r w:rsidRPr="008F721B">
              <w:rPr>
                <w:szCs w:val="24"/>
              </w:rPr>
              <w:t>1</w:t>
            </w:r>
          </w:p>
        </w:tc>
        <w:tc>
          <w:tcPr>
            <w:tcW w:w="536" w:type="pct"/>
          </w:tcPr>
          <w:p w14:paraId="687BF45F" w14:textId="77777777" w:rsidR="00E040DB" w:rsidRPr="008F721B" w:rsidRDefault="00E040DB" w:rsidP="005A428D">
            <w:pPr>
              <w:jc w:val="center"/>
              <w:rPr>
                <w:szCs w:val="24"/>
              </w:rPr>
            </w:pPr>
            <w:r w:rsidRPr="008F721B">
              <w:rPr>
                <w:szCs w:val="24"/>
              </w:rPr>
              <w:t>31</w:t>
            </w:r>
          </w:p>
        </w:tc>
      </w:tr>
      <w:tr w:rsidR="00E040DB" w:rsidRPr="008F721B" w14:paraId="7D01A2C8" w14:textId="77777777" w:rsidTr="005A428D">
        <w:trPr>
          <w:trHeight w:val="822"/>
        </w:trPr>
        <w:tc>
          <w:tcPr>
            <w:tcW w:w="1279" w:type="pct"/>
          </w:tcPr>
          <w:p w14:paraId="175A5EEE" w14:textId="471B93F4" w:rsidR="00E040DB" w:rsidRPr="008F721B" w:rsidRDefault="00E040DB" w:rsidP="005A428D">
            <w:pPr>
              <w:rPr>
                <w:szCs w:val="24"/>
              </w:rPr>
            </w:pPr>
            <w:r w:rsidRPr="008F721B">
              <w:rPr>
                <w:szCs w:val="24"/>
              </w:rPr>
              <w:t>Silfvast D. и соавт.</w:t>
            </w:r>
            <w:r>
              <w:rPr>
                <w:szCs w:val="24"/>
              </w:rPr>
              <w:t>,</w:t>
            </w:r>
            <w:r>
              <w:rPr>
                <w:szCs w:val="24"/>
                <w:lang w:val="en-US"/>
              </w:rPr>
              <w:t xml:space="preserve"> 2003 </w:t>
            </w:r>
            <w:r>
              <w:rPr>
                <w:szCs w:val="24"/>
                <w:lang w:val="en-US"/>
              </w:rPr>
              <w:fldChar w:fldCharType="begin" w:fldLock="1"/>
            </w:r>
            <w:r w:rsidR="00C65573">
              <w:rPr>
                <w:szCs w:val="24"/>
                <w:lang w:val="en-US"/>
              </w:rPr>
              <w:instrText>ADDIN CSL_CITATION {"citationItems":[{"id":"ITEM-1","itemData":{"DOI":"10.1034/j.1399-6576.2003.00058.x","ISSN":"00015172","PMID":"12648196","abstract":"Background: The number of failing organs systems in ICU patients with haematological malignancy is associated with outcome. The objective of this study was to assess short and long-term survival in these patients with special reference to multiple organ failure reflected by the SOFA (Sequential Organ Failure Assessment) score. Methods: Retrospective chart review of haematological patients admitted to the 10-bed intensive care unit (ICU) of a tertiary level academic teaching hospital from 1994 to 1998. Of 31 admitted patients with the diagnosis of haematological malignancy, the charts of 30 were available for analysis. Results: Univariate logistic regression analysis of factors previously shown to influence survival revealed that only admission SOFA score and untreated status of haematological disease were significantly associated with survival (P &lt; 0.05). ICU, 3-month and one-year survival rates were 57% (17/30), 23% (7/30) and 20% (6/30), respectively. If maximal SOFA score during the ICU stay was included in a multivariate model comprising treatment status and effect, admission day SOFA and APACHE II scores, mechanical ventilation, renal replacement therapy and neutropenia, the maximal SOFA score became the only independent variable. All patients with an admission SOFA score exceeding 11 died in hospital. Leave-one-out method revealed that admission SOFA scores and the status of haematological disease (untreated or not) correctly classified 83% (25 of 30) of patients to survivors or non-survivors. Conclusions: Multiple organ failure assessed as SOFA score on admission and status of disease were associated with outcome in critically ill patients with haematological malignancy. © Acta Anaesthesiologica Scandinavica.","author":[{"dropping-particle":"","family":"Silfvast","given":"Tom","non-dropping-particle":"","parse-names":false,"suffix":""},{"dropping-particle":"","family":"Pettilä","given":"V.","non-dropping-particle":"","parse-names":false,"suffix":""},{"dropping-particle":"","family":"Ihalainen","given":"A.","non-dropping-particle":"","parse-names":false,"suffix":""},{"dropping-particle":"","family":"Elonen","given":"E.","non-dropping-particle":"","parse-names":false,"suffix":""}],"container-title":"Acta Anaesthesiologica Scandinavica","id":"ITEM-1","issue":"3","issued":{"date-parts":[["2003","3"]]},"page":"301-306","publisher":"Acta Anaesthesiol Scand","title":"Multiple organ failure and outcome of critically ill patients with haematological malignancy","type":"article-journal","volume":"47"},"uris":["http://www.mendeley.com/documents/?uuid=5fc24cc0-6c9a-3083-a5f5-1a250846badc"]}],"mendeley":{"formattedCitation":"[220]","plainTextFormattedCitation":"[220]","previouslyFormattedCitation":"[220]"},"properties":{"noteIndex":0},"schema":"https://github.com/citation-style-language/schema/raw/master/csl-citation.json"}</w:instrText>
            </w:r>
            <w:r>
              <w:rPr>
                <w:szCs w:val="24"/>
                <w:lang w:val="en-US"/>
              </w:rPr>
              <w:fldChar w:fldCharType="separate"/>
            </w:r>
            <w:r w:rsidR="00275BAA" w:rsidRPr="00275BAA">
              <w:rPr>
                <w:noProof/>
                <w:szCs w:val="24"/>
                <w:lang w:val="en-US"/>
              </w:rPr>
              <w:t>[220]</w:t>
            </w:r>
            <w:r>
              <w:rPr>
                <w:szCs w:val="24"/>
                <w:lang w:val="en-US"/>
              </w:rPr>
              <w:fldChar w:fldCharType="end"/>
            </w:r>
            <w:r w:rsidRPr="008F721B">
              <w:rPr>
                <w:szCs w:val="24"/>
              </w:rPr>
              <w:t xml:space="preserve"> </w:t>
            </w:r>
          </w:p>
        </w:tc>
        <w:tc>
          <w:tcPr>
            <w:tcW w:w="425" w:type="pct"/>
          </w:tcPr>
          <w:p w14:paraId="00F89C38" w14:textId="77777777" w:rsidR="00E040DB" w:rsidRPr="008F721B" w:rsidRDefault="00E040DB" w:rsidP="005A428D">
            <w:pPr>
              <w:jc w:val="center"/>
              <w:rPr>
                <w:szCs w:val="24"/>
              </w:rPr>
            </w:pPr>
            <w:r w:rsidRPr="008F721B">
              <w:rPr>
                <w:szCs w:val="24"/>
              </w:rPr>
              <w:t>50</w:t>
            </w:r>
          </w:p>
        </w:tc>
        <w:tc>
          <w:tcPr>
            <w:tcW w:w="490" w:type="pct"/>
          </w:tcPr>
          <w:p w14:paraId="5C8DB5F5" w14:textId="77777777" w:rsidR="00E040DB" w:rsidRPr="008F721B" w:rsidRDefault="00E040DB" w:rsidP="005A428D">
            <w:pPr>
              <w:jc w:val="center"/>
              <w:rPr>
                <w:szCs w:val="24"/>
              </w:rPr>
            </w:pPr>
            <w:r w:rsidRPr="008F721B">
              <w:rPr>
                <w:szCs w:val="24"/>
              </w:rPr>
              <w:t>23</w:t>
            </w:r>
          </w:p>
        </w:tc>
        <w:tc>
          <w:tcPr>
            <w:tcW w:w="609" w:type="pct"/>
          </w:tcPr>
          <w:p w14:paraId="438A58E3" w14:textId="77777777" w:rsidR="00E040DB" w:rsidRPr="008F721B" w:rsidRDefault="00E040DB" w:rsidP="005A428D">
            <w:pPr>
              <w:jc w:val="center"/>
              <w:rPr>
                <w:szCs w:val="24"/>
              </w:rPr>
            </w:pPr>
            <w:r w:rsidRPr="008F721B">
              <w:rPr>
                <w:szCs w:val="24"/>
              </w:rPr>
              <w:t>10</w:t>
            </w:r>
          </w:p>
        </w:tc>
        <w:tc>
          <w:tcPr>
            <w:tcW w:w="687" w:type="pct"/>
          </w:tcPr>
          <w:p w14:paraId="2D80DC73" w14:textId="77777777" w:rsidR="00E040DB" w:rsidRPr="008F721B" w:rsidRDefault="00E040DB" w:rsidP="005A428D">
            <w:pPr>
              <w:jc w:val="center"/>
              <w:rPr>
                <w:szCs w:val="24"/>
              </w:rPr>
            </w:pPr>
            <w:r w:rsidRPr="008F721B">
              <w:rPr>
                <w:szCs w:val="24"/>
              </w:rPr>
              <w:t>10</w:t>
            </w:r>
          </w:p>
        </w:tc>
        <w:tc>
          <w:tcPr>
            <w:tcW w:w="456" w:type="pct"/>
          </w:tcPr>
          <w:p w14:paraId="4395F567" w14:textId="77777777" w:rsidR="00E040DB" w:rsidRPr="008F721B" w:rsidRDefault="00E040DB" w:rsidP="005A428D">
            <w:pPr>
              <w:jc w:val="center"/>
              <w:rPr>
                <w:szCs w:val="24"/>
              </w:rPr>
            </w:pPr>
            <w:r w:rsidRPr="008F721B">
              <w:rPr>
                <w:szCs w:val="24"/>
              </w:rPr>
              <w:t>н/д</w:t>
            </w:r>
          </w:p>
        </w:tc>
        <w:tc>
          <w:tcPr>
            <w:tcW w:w="515" w:type="pct"/>
          </w:tcPr>
          <w:p w14:paraId="6AF45126" w14:textId="77777777" w:rsidR="00E040DB" w:rsidRPr="008F721B" w:rsidRDefault="00E040DB" w:rsidP="005A428D">
            <w:pPr>
              <w:jc w:val="center"/>
              <w:rPr>
                <w:szCs w:val="24"/>
              </w:rPr>
            </w:pPr>
            <w:r w:rsidRPr="008F721B">
              <w:rPr>
                <w:szCs w:val="24"/>
              </w:rPr>
              <w:t>н/д</w:t>
            </w:r>
          </w:p>
        </w:tc>
        <w:tc>
          <w:tcPr>
            <w:tcW w:w="536" w:type="pct"/>
          </w:tcPr>
          <w:p w14:paraId="39DA0BC0" w14:textId="77777777" w:rsidR="00E040DB" w:rsidRPr="008F721B" w:rsidRDefault="00E040DB" w:rsidP="005A428D">
            <w:pPr>
              <w:jc w:val="center"/>
              <w:rPr>
                <w:szCs w:val="24"/>
              </w:rPr>
            </w:pPr>
            <w:r w:rsidRPr="008F721B">
              <w:rPr>
                <w:szCs w:val="24"/>
              </w:rPr>
              <w:t>7</w:t>
            </w:r>
          </w:p>
        </w:tc>
      </w:tr>
      <w:tr w:rsidR="00E040DB" w:rsidRPr="008F721B" w14:paraId="7D0380DF" w14:textId="77777777" w:rsidTr="005A428D">
        <w:trPr>
          <w:trHeight w:val="802"/>
        </w:trPr>
        <w:tc>
          <w:tcPr>
            <w:tcW w:w="1279" w:type="pct"/>
          </w:tcPr>
          <w:p w14:paraId="42CED149" w14:textId="731E8A0B" w:rsidR="00E040DB" w:rsidRPr="008F721B" w:rsidRDefault="00E040DB" w:rsidP="005A428D">
            <w:pPr>
              <w:rPr>
                <w:szCs w:val="24"/>
              </w:rPr>
            </w:pPr>
            <w:r w:rsidRPr="008F721B">
              <w:rPr>
                <w:szCs w:val="24"/>
              </w:rPr>
              <w:t>Benoit F. и соавт.</w:t>
            </w:r>
            <w:r>
              <w:rPr>
                <w:szCs w:val="24"/>
                <w:lang w:val="en-US"/>
              </w:rPr>
              <w:t xml:space="preserve">, 2003 </w:t>
            </w:r>
            <w:r>
              <w:rPr>
                <w:szCs w:val="24"/>
                <w:lang w:val="en-US"/>
              </w:rPr>
              <w:fldChar w:fldCharType="begin" w:fldLock="1"/>
            </w:r>
            <w:r w:rsidR="00C65573">
              <w:rPr>
                <w:szCs w:val="24"/>
                <w:lang w:val="en-US"/>
              </w:rPr>
              <w:instrText>ADDIN CSL_CITATION {"citationItems":[{"id":"ITEM-1","itemData":{"DOI":"10.1097/00003246-200301000-00017","ISSN":"00903493","PMID":"12545002","abstract":"Objectives: To assess the outcome and to identify early prognostic indicators in a global population of patients with hematologic malignancy admitted to the intensive care unit for a life-threatening complication. Design: Retrospective observational study. Setting: Medical intensive care unit at a tertiary university hospital. Patients: A total of 124 consecutive critically ill patients with a hematologic malignancy admitted to the intensive care unit during a 3.5-yr period. Measurements: We collected variables at admission and during admission and identified predictors of in-hospital mortality by stepwise logistic regression analysis. Main Results: Mean Acute Physiology and Chronic Health Evaluation II score was 26 ± 7.7. Sixty-one percent had a high-grade malignancy, and 27% had active disease. Thirty-five percent were leukopenic (leukocyte count, &lt;1.0 × 109/L) at admission. Respiratory failure (48%), sepsis (18.5%), and neurologic impairment (17%) were the major reasons for admission at the intensive care unit. Seventy-one percent of the patients required ventilatory support for a median duration of 6 (3-17) days, 46% received vasopressors at admission, and 26.6% needed renal replacement therapy during their intensive care unit stay. A recent bacteremia precipitating intensive care unit admission was found in 21.8% of the patients. Crude intensive care unit, in-hospital, and 6-month mortality rates were 42%, 54%, and 66%, respectively. Four variables were independently associated with outcome in a multivariate logistic regression analysis: leukopenia (odds ratio, 2.9; 95% confidence interval, 1.1-7.7), vasopressors (odds ratio, 3.74; 95% confidence interval, 1.4-9.8), and urea of &gt;0.75 g/L (&gt;12 mmol/L) (odds ratio, 9.4; 95% confidence interval, 4.2-26) at admission were associated with poor outcome, whereas recent bacteremia (odds ratio, 0.17; 95% confidence interval, 0.05-0.58) was associated with better prognosis. Using these variables, we arbitrarily categorized our population into three groups for survival analysis: a low-risk group (low urea with or without either leukopenia or vasopressors, n = 60), an intermediate-risk group (high urea or a combination of leukopenia and vasopressors, n = 34), and a high-risk group (high urea in combination with leukopenia or vasopressors, n = 27). Patients with a bacteremia prompting intensive care unit admission were allocated to a one-step-lower risk group. Survival probabilities at 30 days and 6 months were…","author":[{"dropping-particle":"","family":"Benoit","given":"Dominique D.","non-dropping-particle":"","parse-names":false,"suffix":""},{"dropping-particle":"","family":"Vandewoude","given":"Koenraad H.","non-dropping-particle":"","parse-names":false,"suffix":""},{"dropping-particle":"","family":"Decruyenaere","given":"Johan M.","non-dropping-particle":"","parse-names":false,"suffix":""},{"dropping-particle":"","family":"Hoste","given":"Eric A.","non-dropping-particle":"","parse-names":false,"suffix":""},{"dropping-particle":"","family":"Colardyn","given":"Francis A.","non-dropping-particle":"","parse-names":false,"suffix":""}],"container-title":"Critical Care Medicine","id":"ITEM-1","issue":"1","issued":{"date-parts":[["2003","1","1"]]},"page":"104-112","publisher":"Crit Care Med","title":"Outcome and early prognostic indicators in patients with a hematologic malignancy admitted to the intensive care unit for a life-threatening complication","type":"article-journal","volume":"31"},"uris":["http://www.mendeley.com/documents/?uuid=77f24265-1122-3e43-a99f-99e5c497051b"]}],"mendeley":{"formattedCitation":"[221]","plainTextFormattedCitation":"[221]","previouslyFormattedCitation":"[221]"},"properties":{"noteIndex":0},"schema":"https://github.com/citation-style-language/schema/raw/master/csl-citation.json"}</w:instrText>
            </w:r>
            <w:r>
              <w:rPr>
                <w:szCs w:val="24"/>
                <w:lang w:val="en-US"/>
              </w:rPr>
              <w:fldChar w:fldCharType="separate"/>
            </w:r>
            <w:r w:rsidR="00275BAA" w:rsidRPr="00275BAA">
              <w:rPr>
                <w:noProof/>
                <w:szCs w:val="24"/>
                <w:lang w:val="en-US"/>
              </w:rPr>
              <w:t>[221]</w:t>
            </w:r>
            <w:r>
              <w:rPr>
                <w:szCs w:val="24"/>
                <w:lang w:val="en-US"/>
              </w:rPr>
              <w:fldChar w:fldCharType="end"/>
            </w:r>
            <w:r w:rsidRPr="008F721B">
              <w:rPr>
                <w:szCs w:val="24"/>
              </w:rPr>
              <w:t xml:space="preserve"> </w:t>
            </w:r>
          </w:p>
        </w:tc>
        <w:tc>
          <w:tcPr>
            <w:tcW w:w="425" w:type="pct"/>
          </w:tcPr>
          <w:p w14:paraId="133FB676" w14:textId="77777777" w:rsidR="00E040DB" w:rsidRPr="008F721B" w:rsidRDefault="00E040DB" w:rsidP="005A428D">
            <w:pPr>
              <w:jc w:val="center"/>
              <w:rPr>
                <w:szCs w:val="24"/>
              </w:rPr>
            </w:pPr>
            <w:r w:rsidRPr="008F721B">
              <w:rPr>
                <w:szCs w:val="24"/>
              </w:rPr>
              <w:t>39,5</w:t>
            </w:r>
          </w:p>
        </w:tc>
        <w:tc>
          <w:tcPr>
            <w:tcW w:w="490" w:type="pct"/>
          </w:tcPr>
          <w:p w14:paraId="0E4797A6" w14:textId="77777777" w:rsidR="00E040DB" w:rsidRPr="008F721B" w:rsidRDefault="00E040DB" w:rsidP="005A428D">
            <w:pPr>
              <w:jc w:val="center"/>
              <w:rPr>
                <w:szCs w:val="24"/>
              </w:rPr>
            </w:pPr>
            <w:r w:rsidRPr="008F721B">
              <w:rPr>
                <w:szCs w:val="24"/>
              </w:rPr>
              <w:t>18,5</w:t>
            </w:r>
          </w:p>
        </w:tc>
        <w:tc>
          <w:tcPr>
            <w:tcW w:w="609" w:type="pct"/>
          </w:tcPr>
          <w:p w14:paraId="6B91796B" w14:textId="77777777" w:rsidR="00E040DB" w:rsidRPr="008F721B" w:rsidRDefault="00E040DB" w:rsidP="005A428D">
            <w:pPr>
              <w:jc w:val="center"/>
              <w:rPr>
                <w:szCs w:val="24"/>
              </w:rPr>
            </w:pPr>
            <w:r w:rsidRPr="008F721B">
              <w:rPr>
                <w:szCs w:val="24"/>
              </w:rPr>
              <w:t>17</w:t>
            </w:r>
          </w:p>
        </w:tc>
        <w:tc>
          <w:tcPr>
            <w:tcW w:w="687" w:type="pct"/>
          </w:tcPr>
          <w:p w14:paraId="46EBEDF7" w14:textId="77777777" w:rsidR="00E040DB" w:rsidRPr="008F721B" w:rsidRDefault="00E040DB" w:rsidP="005A428D">
            <w:pPr>
              <w:jc w:val="center"/>
              <w:rPr>
                <w:szCs w:val="24"/>
              </w:rPr>
            </w:pPr>
            <w:r w:rsidRPr="008F721B">
              <w:rPr>
                <w:szCs w:val="24"/>
              </w:rPr>
              <w:t>13</w:t>
            </w:r>
          </w:p>
        </w:tc>
        <w:tc>
          <w:tcPr>
            <w:tcW w:w="456" w:type="pct"/>
          </w:tcPr>
          <w:p w14:paraId="6414EC61" w14:textId="77777777" w:rsidR="00E040DB" w:rsidRPr="008F721B" w:rsidRDefault="00E040DB" w:rsidP="005A428D">
            <w:pPr>
              <w:jc w:val="center"/>
              <w:rPr>
                <w:szCs w:val="24"/>
              </w:rPr>
            </w:pPr>
            <w:r w:rsidRPr="008F721B">
              <w:rPr>
                <w:szCs w:val="24"/>
              </w:rPr>
              <w:t>н/д</w:t>
            </w:r>
          </w:p>
        </w:tc>
        <w:tc>
          <w:tcPr>
            <w:tcW w:w="515" w:type="pct"/>
          </w:tcPr>
          <w:p w14:paraId="11BD224D" w14:textId="77777777" w:rsidR="00E040DB" w:rsidRPr="008F721B" w:rsidRDefault="00E040DB" w:rsidP="005A428D">
            <w:pPr>
              <w:jc w:val="center"/>
              <w:rPr>
                <w:szCs w:val="24"/>
              </w:rPr>
            </w:pPr>
            <w:r w:rsidRPr="008F721B">
              <w:rPr>
                <w:szCs w:val="24"/>
              </w:rPr>
              <w:t>2</w:t>
            </w:r>
          </w:p>
        </w:tc>
        <w:tc>
          <w:tcPr>
            <w:tcW w:w="536" w:type="pct"/>
          </w:tcPr>
          <w:p w14:paraId="1FD9AE61" w14:textId="77777777" w:rsidR="00E040DB" w:rsidRPr="008F721B" w:rsidRDefault="00E040DB" w:rsidP="005A428D">
            <w:pPr>
              <w:jc w:val="center"/>
              <w:rPr>
                <w:szCs w:val="24"/>
              </w:rPr>
            </w:pPr>
            <w:r w:rsidRPr="008F721B">
              <w:rPr>
                <w:szCs w:val="24"/>
              </w:rPr>
              <w:t>10</w:t>
            </w:r>
          </w:p>
        </w:tc>
      </w:tr>
      <w:tr w:rsidR="00E040DB" w:rsidRPr="008F721B" w14:paraId="3F5CB12F" w14:textId="77777777" w:rsidTr="005A428D">
        <w:trPr>
          <w:trHeight w:val="822"/>
        </w:trPr>
        <w:tc>
          <w:tcPr>
            <w:tcW w:w="1279" w:type="pct"/>
          </w:tcPr>
          <w:p w14:paraId="0A73EFB7" w14:textId="12481678" w:rsidR="00E040DB" w:rsidRPr="008F721B" w:rsidRDefault="00E040DB" w:rsidP="005A428D">
            <w:pPr>
              <w:rPr>
                <w:szCs w:val="24"/>
              </w:rPr>
            </w:pPr>
            <w:r w:rsidRPr="008F721B">
              <w:rPr>
                <w:szCs w:val="24"/>
              </w:rPr>
              <w:t xml:space="preserve"> Schellongowski P. и соавт.</w:t>
            </w:r>
            <w:r>
              <w:rPr>
                <w:szCs w:val="24"/>
                <w:lang w:val="en-US"/>
              </w:rPr>
              <w:t xml:space="preserve">, 2011 </w:t>
            </w:r>
            <w:r>
              <w:rPr>
                <w:szCs w:val="24"/>
                <w:lang w:val="en-US"/>
              </w:rPr>
              <w:fldChar w:fldCharType="begin" w:fldLock="1"/>
            </w:r>
            <w:r w:rsidR="00C65573">
              <w:rPr>
                <w:szCs w:val="24"/>
                <w:lang w:val="en-US"/>
              </w:rPr>
              <w:instrText>ADDIN CSL_CITATION {"citationItems":[{"id":"ITEM-1","itemData":{"DOI":"10.3324/haematol.2010.031583","ISBN":"1592-8721","ISSN":"03906078","PMID":"21071501","abstract":"Acute myeloid leukemia is a life-threatening disease associated with high mortality rates. A substantial number of patients require intensive care. This investigation analyzes risk factors predicting admission to the intensive care unit in patients with acute myeloid leukemia eligible for induction chemotherapy, the outcome of these patients, and prognostic factors predicting their survival.","author":[{"dropping-particle":"","family":"Schellongowski","given":"Peter","non-dropping-particle":"","parse-names":false,"suffix":""},{"dropping-particle":"","family":"Staudinger","given":"Thomas","non-dropping-particle":"","parse-names":false,"suffix":""},{"dropping-particle":"","family":"Kundi","given":"Michael","non-dropping-particle":"","parse-names":false,"suffix":""},{"dropping-particle":"","family":"Laczika","given":"Klaus","non-dropping-particle":"","parse-names":false,"suffix":""},{"dropping-particle":"","family":"Locker","given":"Gottfried J.","non-dropping-particle":"","parse-names":false,"suffix":""},{"dropping-particle":"","family":"Bojic","given":"Andja","non-dropping-particle":"","parse-names":false,"suffix":""},{"dropping-particle":"","family":"Robak","given":"Oliver","non-dropping-particle":"","parse-names":false,"suffix":""},{"dropping-particle":"","family":"Fuhrmann","given":"Valentin","non-dropping-particle":"","parse-names":false,"suffix":""},{"dropping-particle":"","family":"Jäger","given":"Ulrich","non-dropping-particle":"","parse-names":false,"suffix":""},{"dropping-particle":"","family":"Valent","given":"Peter","non-dropping-particle":"","parse-names":false,"suffix":""},{"dropping-particle":"","family":"Sperr","given":"Wolfgang R.","non-dropping-particle":"","parse-names":false,"suffix":""}],"container-title":"Haematologica","id":"ITEM-1","issue":"2","issued":{"date-parts":[["2011","2"]]},"page":"231-237","title":"Prognostic factors for intensive care unit admission, intensive care outcome, and post-intensive care survival in patients with de novo acute myeloid leukemia: a single center experience","type":"article-journal","volume":"96"},"uris":["http://www.mendeley.com/documents/?uuid=7251567b-1fba-40bf-b96a-3bcd8583314e"]}],"mendeley":{"formattedCitation":"[211]","plainTextFormattedCitation":"[211]","previouslyFormattedCitation":"[211]"},"properties":{"noteIndex":0},"schema":"https://github.com/citation-style-language/schema/raw/master/csl-citation.json"}</w:instrText>
            </w:r>
            <w:r>
              <w:rPr>
                <w:szCs w:val="24"/>
                <w:lang w:val="en-US"/>
              </w:rPr>
              <w:fldChar w:fldCharType="separate"/>
            </w:r>
            <w:r w:rsidR="00275BAA" w:rsidRPr="00275BAA">
              <w:rPr>
                <w:noProof/>
                <w:szCs w:val="24"/>
                <w:lang w:val="en-US"/>
              </w:rPr>
              <w:t>[211]</w:t>
            </w:r>
            <w:r>
              <w:rPr>
                <w:szCs w:val="24"/>
                <w:lang w:val="en-US"/>
              </w:rPr>
              <w:fldChar w:fldCharType="end"/>
            </w:r>
            <w:r w:rsidRPr="008F721B">
              <w:rPr>
                <w:szCs w:val="24"/>
              </w:rPr>
              <w:t xml:space="preserve"> </w:t>
            </w:r>
          </w:p>
        </w:tc>
        <w:tc>
          <w:tcPr>
            <w:tcW w:w="425" w:type="pct"/>
          </w:tcPr>
          <w:p w14:paraId="1CBFE6F8" w14:textId="77777777" w:rsidR="00E040DB" w:rsidRPr="008F721B" w:rsidRDefault="00E040DB" w:rsidP="005A428D">
            <w:pPr>
              <w:jc w:val="center"/>
              <w:rPr>
                <w:szCs w:val="24"/>
              </w:rPr>
            </w:pPr>
            <w:r w:rsidRPr="008F721B">
              <w:rPr>
                <w:szCs w:val="24"/>
              </w:rPr>
              <w:t>50</w:t>
            </w:r>
          </w:p>
        </w:tc>
        <w:tc>
          <w:tcPr>
            <w:tcW w:w="490" w:type="pct"/>
          </w:tcPr>
          <w:p w14:paraId="090C875F" w14:textId="77777777" w:rsidR="00E040DB" w:rsidRPr="008F721B" w:rsidRDefault="00E040DB" w:rsidP="005A428D">
            <w:pPr>
              <w:jc w:val="center"/>
              <w:rPr>
                <w:szCs w:val="24"/>
              </w:rPr>
            </w:pPr>
            <w:r w:rsidRPr="008F721B">
              <w:rPr>
                <w:szCs w:val="24"/>
              </w:rPr>
              <w:t>8</w:t>
            </w:r>
          </w:p>
        </w:tc>
        <w:tc>
          <w:tcPr>
            <w:tcW w:w="609" w:type="pct"/>
          </w:tcPr>
          <w:p w14:paraId="40B201BB" w14:textId="77777777" w:rsidR="00E040DB" w:rsidRPr="008F721B" w:rsidRDefault="00E040DB" w:rsidP="005A428D">
            <w:pPr>
              <w:jc w:val="center"/>
              <w:rPr>
                <w:szCs w:val="24"/>
              </w:rPr>
            </w:pPr>
            <w:r w:rsidRPr="008F721B">
              <w:rPr>
                <w:szCs w:val="24"/>
              </w:rPr>
              <w:t>н/д</w:t>
            </w:r>
          </w:p>
        </w:tc>
        <w:tc>
          <w:tcPr>
            <w:tcW w:w="687" w:type="pct"/>
          </w:tcPr>
          <w:p w14:paraId="07F941F2" w14:textId="77777777" w:rsidR="00E040DB" w:rsidRPr="008F721B" w:rsidRDefault="00E040DB" w:rsidP="005A428D">
            <w:pPr>
              <w:jc w:val="center"/>
              <w:rPr>
                <w:szCs w:val="24"/>
              </w:rPr>
            </w:pPr>
            <w:r w:rsidRPr="008F721B">
              <w:rPr>
                <w:szCs w:val="24"/>
              </w:rPr>
              <w:t>3,2</w:t>
            </w:r>
          </w:p>
        </w:tc>
        <w:tc>
          <w:tcPr>
            <w:tcW w:w="456" w:type="pct"/>
          </w:tcPr>
          <w:p w14:paraId="0063A0AF" w14:textId="77777777" w:rsidR="00E040DB" w:rsidRPr="008F721B" w:rsidRDefault="00E040DB" w:rsidP="005A428D">
            <w:pPr>
              <w:jc w:val="center"/>
              <w:rPr>
                <w:szCs w:val="24"/>
              </w:rPr>
            </w:pPr>
            <w:r w:rsidRPr="008F721B">
              <w:rPr>
                <w:szCs w:val="24"/>
              </w:rPr>
              <w:t>3,2</w:t>
            </w:r>
          </w:p>
        </w:tc>
        <w:tc>
          <w:tcPr>
            <w:tcW w:w="515" w:type="pct"/>
          </w:tcPr>
          <w:p w14:paraId="0917FCCB" w14:textId="77777777" w:rsidR="00E040DB" w:rsidRPr="008F721B" w:rsidRDefault="00E040DB" w:rsidP="005A428D">
            <w:pPr>
              <w:jc w:val="center"/>
              <w:rPr>
                <w:szCs w:val="24"/>
              </w:rPr>
            </w:pPr>
            <w:r w:rsidRPr="008F721B">
              <w:rPr>
                <w:szCs w:val="24"/>
              </w:rPr>
              <w:t>22</w:t>
            </w:r>
          </w:p>
        </w:tc>
        <w:tc>
          <w:tcPr>
            <w:tcW w:w="536" w:type="pct"/>
          </w:tcPr>
          <w:p w14:paraId="7849B975" w14:textId="77777777" w:rsidR="00E040DB" w:rsidRPr="008F721B" w:rsidRDefault="00E040DB" w:rsidP="005A428D">
            <w:pPr>
              <w:jc w:val="center"/>
              <w:rPr>
                <w:szCs w:val="24"/>
              </w:rPr>
            </w:pPr>
            <w:r w:rsidRPr="008F721B">
              <w:rPr>
                <w:szCs w:val="24"/>
              </w:rPr>
              <w:t>н/д</w:t>
            </w:r>
          </w:p>
        </w:tc>
      </w:tr>
      <w:tr w:rsidR="00E040DB" w:rsidRPr="008F721B" w14:paraId="594D6665" w14:textId="77777777" w:rsidTr="005A428D">
        <w:trPr>
          <w:trHeight w:val="822"/>
        </w:trPr>
        <w:tc>
          <w:tcPr>
            <w:tcW w:w="1279" w:type="pct"/>
          </w:tcPr>
          <w:p w14:paraId="62063429" w14:textId="0BA71C97" w:rsidR="00E040DB" w:rsidRPr="008F721B" w:rsidRDefault="00E040DB" w:rsidP="005A428D">
            <w:pPr>
              <w:rPr>
                <w:szCs w:val="24"/>
              </w:rPr>
            </w:pPr>
            <w:r w:rsidRPr="008F721B">
              <w:rPr>
                <w:szCs w:val="24"/>
              </w:rPr>
              <w:t>Grgić M. и соавт.</w:t>
            </w:r>
            <w:r>
              <w:rPr>
                <w:szCs w:val="24"/>
                <w:lang w:val="en-US"/>
              </w:rPr>
              <w:t xml:space="preserve">, 2014 </w:t>
            </w:r>
            <w:r>
              <w:rPr>
                <w:szCs w:val="24"/>
                <w:lang w:val="en-US"/>
              </w:rPr>
              <w:fldChar w:fldCharType="begin" w:fldLock="1"/>
            </w:r>
            <w:r w:rsidR="00C65573">
              <w:rPr>
                <w:szCs w:val="24"/>
                <w:lang w:val="en-US"/>
              </w:rPr>
              <w:instrText>ADDIN CSL_CITATION {"citationItems":[{"id":"ITEM-1","itemData":{"DOI":"10.1179/1607845414Y.0000000206","ISSN":"16078454","PMID":"25310461","abstract":"Objectives: To analyze clinical characteristics, treatment, outcomes of critically ill patients with hematologic malignancies (HM) admitted to the medical intensive care unit (ICU) and to identify predictors of adverse outcome. Methods:We analyzed prospectively 170 patients. Data included: demographic characteristics, hematologic diagnosis, reasons for ICU admission, transplant status, the presence of neutropenia, acute physiology and chronic health evaluation-II and sequential organ failure assessment scores, and level of organ support. Predictors of ICU mortality were evaluated using univariate and multivariate analysis. Results: In total, 73% of patients had high-grade malignancy, 47.6% received intensive chemotherapy before admission, and 30% underwent hematologic stem cell transplantation procedure. In total, 116 (68.2%) of patients were mechanically ventilated; 88 (51.8%) required invasive mechanical ventilation (MV). Noninvasive ventilation started in 28 (16.5%) patients and was successful in 11 (6.5%). The ICU mortality rate was 53.5%, and the mortality of MV patients was 75.9%. Need for vasopressors at admission and MV were identified as independent predictors of fatal outcome. Conclusion: The ICU mortality of critically ill patients with HM is high, particularly in the group of MV. Need for vasopressors at admission and MV were independent predictors of ICU mortality. Majority of patients required invasive MV due to severe respiratory failure and non-invasive MV was sufficient only in small number of cases with favorable outcome.","author":[{"dropping-particle":"","family":"Medić","given":"Marijana Grgić","non-dropping-particle":"","parse-names":false,"suffix":""},{"dropping-particle":"","family":"Gornik","given":"Ivan","non-dropping-particle":"","parse-names":false,"suffix":""},{"dropping-particle":"","family":"Gornik","given":"Ivan","non-dropping-particle":"","parse-names":false,"suffix":""},{"dropping-particle":"","family":"Gašparović","given":"Vladimir","non-dropping-particle":"","parse-names":false,"suffix":""},{"dropping-particle":"","family":"Gašparović","given":"Vladimir","non-dropping-particle":"","parse-names":false,"suffix":""}],"container-title":"Hematology","id":"ITEM-1","issue":"5","issued":{"date-parts":[["2015"]]},"page":"247-253","publisher":"Maney Publishing","title":"Hematologic malignancies in the medical intensive care unit – Outcomes and prognostic factors","type":"article-journal","volume":"20"},"uris":["http://www.mendeley.com/documents/?uuid=fb502aa6-e4e8-3f2b-9965-ccaad23e1eee"]}],"mendeley":{"formattedCitation":"[222]","plainTextFormattedCitation":"[222]","previouslyFormattedCitation":"[222]"},"properties":{"noteIndex":0},"schema":"https://github.com/citation-style-language/schema/raw/master/csl-citation.json"}</w:instrText>
            </w:r>
            <w:r>
              <w:rPr>
                <w:szCs w:val="24"/>
                <w:lang w:val="en-US"/>
              </w:rPr>
              <w:fldChar w:fldCharType="separate"/>
            </w:r>
            <w:r w:rsidR="00275BAA" w:rsidRPr="00275BAA">
              <w:rPr>
                <w:noProof/>
                <w:szCs w:val="24"/>
                <w:lang w:val="en-US"/>
              </w:rPr>
              <w:t>[222]</w:t>
            </w:r>
            <w:r>
              <w:rPr>
                <w:szCs w:val="24"/>
                <w:lang w:val="en-US"/>
              </w:rPr>
              <w:fldChar w:fldCharType="end"/>
            </w:r>
            <w:r w:rsidRPr="008F721B">
              <w:rPr>
                <w:szCs w:val="24"/>
              </w:rPr>
              <w:t xml:space="preserve"> </w:t>
            </w:r>
          </w:p>
        </w:tc>
        <w:tc>
          <w:tcPr>
            <w:tcW w:w="425" w:type="pct"/>
          </w:tcPr>
          <w:p w14:paraId="230BEBCD" w14:textId="77777777" w:rsidR="00E040DB" w:rsidRPr="008F721B" w:rsidRDefault="00E040DB" w:rsidP="005A428D">
            <w:pPr>
              <w:jc w:val="center"/>
              <w:rPr>
                <w:szCs w:val="24"/>
              </w:rPr>
            </w:pPr>
            <w:r w:rsidRPr="008F721B">
              <w:rPr>
                <w:szCs w:val="24"/>
              </w:rPr>
              <w:t>45</w:t>
            </w:r>
          </w:p>
        </w:tc>
        <w:tc>
          <w:tcPr>
            <w:tcW w:w="490" w:type="pct"/>
          </w:tcPr>
          <w:p w14:paraId="1B61E853" w14:textId="77777777" w:rsidR="00E040DB" w:rsidRPr="008F721B" w:rsidRDefault="00E040DB" w:rsidP="005A428D">
            <w:pPr>
              <w:jc w:val="center"/>
              <w:rPr>
                <w:szCs w:val="24"/>
              </w:rPr>
            </w:pPr>
            <w:r w:rsidRPr="008F721B">
              <w:rPr>
                <w:szCs w:val="24"/>
              </w:rPr>
              <w:t>37</w:t>
            </w:r>
          </w:p>
        </w:tc>
        <w:tc>
          <w:tcPr>
            <w:tcW w:w="609" w:type="pct"/>
          </w:tcPr>
          <w:p w14:paraId="161A6B42" w14:textId="77777777" w:rsidR="00E040DB" w:rsidRPr="008F721B" w:rsidRDefault="00E040DB" w:rsidP="005A428D">
            <w:pPr>
              <w:jc w:val="center"/>
              <w:rPr>
                <w:szCs w:val="24"/>
              </w:rPr>
            </w:pPr>
            <w:r w:rsidRPr="008F721B">
              <w:rPr>
                <w:szCs w:val="24"/>
              </w:rPr>
              <w:t>5</w:t>
            </w:r>
          </w:p>
        </w:tc>
        <w:tc>
          <w:tcPr>
            <w:tcW w:w="687" w:type="pct"/>
          </w:tcPr>
          <w:p w14:paraId="0E9171CF" w14:textId="77777777" w:rsidR="00E040DB" w:rsidRPr="008F721B" w:rsidRDefault="00E040DB" w:rsidP="005A428D">
            <w:pPr>
              <w:jc w:val="center"/>
              <w:rPr>
                <w:szCs w:val="24"/>
              </w:rPr>
            </w:pPr>
            <w:r w:rsidRPr="008F721B">
              <w:rPr>
                <w:szCs w:val="24"/>
              </w:rPr>
              <w:t>н/д</w:t>
            </w:r>
          </w:p>
        </w:tc>
        <w:tc>
          <w:tcPr>
            <w:tcW w:w="456" w:type="pct"/>
          </w:tcPr>
          <w:p w14:paraId="7CC7D9D4" w14:textId="77777777" w:rsidR="00E040DB" w:rsidRPr="008F721B" w:rsidRDefault="00E040DB" w:rsidP="005A428D">
            <w:pPr>
              <w:jc w:val="center"/>
              <w:rPr>
                <w:szCs w:val="24"/>
              </w:rPr>
            </w:pPr>
            <w:r w:rsidRPr="008F721B">
              <w:rPr>
                <w:szCs w:val="24"/>
              </w:rPr>
              <w:t>н/д</w:t>
            </w:r>
          </w:p>
        </w:tc>
        <w:tc>
          <w:tcPr>
            <w:tcW w:w="515" w:type="pct"/>
          </w:tcPr>
          <w:p w14:paraId="19FC8CBC" w14:textId="77777777" w:rsidR="00E040DB" w:rsidRPr="008F721B" w:rsidRDefault="00E040DB" w:rsidP="005A428D">
            <w:pPr>
              <w:jc w:val="center"/>
              <w:rPr>
                <w:szCs w:val="24"/>
              </w:rPr>
            </w:pPr>
            <w:r w:rsidRPr="008F721B">
              <w:rPr>
                <w:szCs w:val="24"/>
              </w:rPr>
              <w:t>н/д</w:t>
            </w:r>
          </w:p>
        </w:tc>
        <w:tc>
          <w:tcPr>
            <w:tcW w:w="536" w:type="pct"/>
          </w:tcPr>
          <w:p w14:paraId="08AFBF5F" w14:textId="77777777" w:rsidR="00E040DB" w:rsidRPr="008F721B" w:rsidRDefault="00E040DB" w:rsidP="005A428D">
            <w:pPr>
              <w:jc w:val="center"/>
              <w:rPr>
                <w:szCs w:val="24"/>
              </w:rPr>
            </w:pPr>
            <w:r w:rsidRPr="008F721B">
              <w:rPr>
                <w:szCs w:val="24"/>
              </w:rPr>
              <w:t>13</w:t>
            </w:r>
          </w:p>
        </w:tc>
      </w:tr>
      <w:tr w:rsidR="00E040DB" w:rsidRPr="008F721B" w14:paraId="6C23D4A7" w14:textId="77777777" w:rsidTr="005A428D">
        <w:trPr>
          <w:trHeight w:val="401"/>
        </w:trPr>
        <w:tc>
          <w:tcPr>
            <w:tcW w:w="1279" w:type="pct"/>
          </w:tcPr>
          <w:p w14:paraId="095E0417" w14:textId="4C7F506C" w:rsidR="00E040DB" w:rsidRPr="008F721B" w:rsidRDefault="00E040DB" w:rsidP="005A428D">
            <w:pPr>
              <w:rPr>
                <w:szCs w:val="24"/>
              </w:rPr>
            </w:pPr>
            <w:r w:rsidRPr="008F721B">
              <w:rPr>
                <w:szCs w:val="24"/>
              </w:rPr>
              <w:t>Jackson K. и соавт.</w:t>
            </w:r>
            <w:r>
              <w:rPr>
                <w:szCs w:val="24"/>
              </w:rPr>
              <w:t xml:space="preserve">, 2014 </w:t>
            </w:r>
            <w:r>
              <w:rPr>
                <w:szCs w:val="24"/>
                <w:lang w:val="en-US"/>
              </w:rPr>
              <w:fldChar w:fldCharType="begin" w:fldLock="1"/>
            </w:r>
            <w:r w:rsidR="00C65573">
              <w:rPr>
                <w:szCs w:val="24"/>
                <w:lang w:val="en-US"/>
              </w:rPr>
              <w:instrText>ADDIN CSL_CITATION {"citationItems":[{"id":"ITEM-1","itemData":{"DOI":"10.3109/10428194.2013.796045","ISBN":"6173176211","ISSN":"1029-2403","PMID":"23597137","abstract":"Patients receiving treatment for acute myeloid leukemia (AML) commonly experience life-threatening complications requiring intensive care unit (ICU) support. This is a retrospective study of 505 patients with newly diagnosed AML who were treated with intensive chemotherapy between January 1999 and December 2010. Eighty-three patients (16.4%) were identified who had required 92 ICU admissions. The indication for ICU admission was hemodynamic instability in 47.0% of patients and respiratory impairment in 42.2%. The underlying pathology was most commonly infection (77.1%). Vasopressors were required in 67.5% of admissions, mechanical ventilation in 60.2% and hemodialysis in 15.7%. Rates of survival to hospital discharge and 12 months were 59.0% and 41.3%, respectively. Mechanical ventilation use and higher fibrinogen were independently associated with mortality prior to hospital discharge, and mechanical ventilation use and AML cytogenetic risk group were predictive of mortality within 12 months of ICU admission. By providing a more accurate estimation of a patient's chance of recovery, such prognostic factors may contribute to decision-making about the appropriateness of admission to the ICU or continuation of intensive life-sustaining measures.","author":[{"dropping-particle":"","family":"Jackson","given":"Kathryn","non-dropping-particle":"","parse-names":false,"suffix":""},{"dropping-particle":"","family":"Mollee","given":"Peter","non-dropping-particle":"","parse-names":false,"suffix":""},{"dropping-particle":"","family":"Morris","given":"Kirk","non-dropping-particle":"","parse-names":false,"suffix":""},{"dropping-particle":"","family":"Butler","given":"Jason","non-dropping-particle":"","parse-names":false,"suffix":""},{"dropping-particle":"","family":"Jackson","given":"Dwane","non-dropping-particle":"","parse-names":false,"suffix":""},{"dropping-particle":"","family":"Kruger","given":"Peter","non-dropping-particle":"","parse-names":false,"suffix":""},{"dropping-particle":"","family":"Klein","given":"Kerenaftali","non-dropping-particle":"","parse-names":false,"suffix":""},{"dropping-particle":"","family":"Kennedy","given":"Glen","non-dropping-particle":"","parse-names":false,"suffix":""}],"container-title":"Leukemia &amp; lymphoma","id":"ITEM-1","issue":"April","issued":{"date-parts":[["2013","1"]]},"page":"1-8","publisher":"Leuk Lymphoma","title":"Outcomes and prognostic factors for patients with acute myeloid leukemia admitted to the intensive care unit","type":"article-journal","volume":"55"},"uris":["http://www.mendeley.com/documents/?uuid=af5715ea-f420-4629-9acb-36739876454f"]}],"mendeley":{"formattedCitation":"[213]","plainTextFormattedCitation":"[213]","previouslyFormattedCitation":"[213]"},"properties":{"noteIndex":0},"schema":"https://github.com/citation-style-language/schema/raw/master/csl-citation.json"}</w:instrText>
            </w:r>
            <w:r>
              <w:rPr>
                <w:szCs w:val="24"/>
                <w:lang w:val="en-US"/>
              </w:rPr>
              <w:fldChar w:fldCharType="separate"/>
            </w:r>
            <w:r w:rsidR="00275BAA" w:rsidRPr="00275BAA">
              <w:rPr>
                <w:noProof/>
                <w:szCs w:val="24"/>
                <w:lang w:val="en-US"/>
              </w:rPr>
              <w:t>[213]</w:t>
            </w:r>
            <w:r>
              <w:rPr>
                <w:szCs w:val="24"/>
                <w:lang w:val="en-US"/>
              </w:rPr>
              <w:fldChar w:fldCharType="end"/>
            </w:r>
            <w:r w:rsidRPr="008F721B">
              <w:rPr>
                <w:szCs w:val="24"/>
              </w:rPr>
              <w:t xml:space="preserve"> </w:t>
            </w:r>
          </w:p>
        </w:tc>
        <w:tc>
          <w:tcPr>
            <w:tcW w:w="425" w:type="pct"/>
          </w:tcPr>
          <w:p w14:paraId="76CFA032" w14:textId="77777777" w:rsidR="00E040DB" w:rsidRPr="008F721B" w:rsidRDefault="00E040DB" w:rsidP="005A428D">
            <w:pPr>
              <w:jc w:val="center"/>
              <w:rPr>
                <w:szCs w:val="24"/>
              </w:rPr>
            </w:pPr>
            <w:r w:rsidRPr="008F721B">
              <w:rPr>
                <w:szCs w:val="24"/>
              </w:rPr>
              <w:t>47</w:t>
            </w:r>
          </w:p>
        </w:tc>
        <w:tc>
          <w:tcPr>
            <w:tcW w:w="490" w:type="pct"/>
          </w:tcPr>
          <w:p w14:paraId="1641A710" w14:textId="77777777" w:rsidR="00E040DB" w:rsidRPr="008F721B" w:rsidRDefault="00E040DB" w:rsidP="005A428D">
            <w:pPr>
              <w:jc w:val="center"/>
              <w:rPr>
                <w:szCs w:val="24"/>
              </w:rPr>
            </w:pPr>
            <w:r w:rsidRPr="008F721B">
              <w:rPr>
                <w:szCs w:val="24"/>
              </w:rPr>
              <w:t>42</w:t>
            </w:r>
          </w:p>
        </w:tc>
        <w:tc>
          <w:tcPr>
            <w:tcW w:w="609" w:type="pct"/>
          </w:tcPr>
          <w:p w14:paraId="6FB2BEE4" w14:textId="77777777" w:rsidR="00E040DB" w:rsidRPr="008F721B" w:rsidRDefault="00E040DB" w:rsidP="005A428D">
            <w:pPr>
              <w:jc w:val="center"/>
              <w:rPr>
                <w:szCs w:val="24"/>
              </w:rPr>
            </w:pPr>
            <w:r w:rsidRPr="008F721B">
              <w:rPr>
                <w:szCs w:val="24"/>
              </w:rPr>
              <w:t>н/д</w:t>
            </w:r>
          </w:p>
        </w:tc>
        <w:tc>
          <w:tcPr>
            <w:tcW w:w="687" w:type="pct"/>
          </w:tcPr>
          <w:p w14:paraId="375225DE" w14:textId="77777777" w:rsidR="00E040DB" w:rsidRPr="008F721B" w:rsidRDefault="00E040DB" w:rsidP="005A428D">
            <w:pPr>
              <w:jc w:val="center"/>
              <w:rPr>
                <w:szCs w:val="24"/>
              </w:rPr>
            </w:pPr>
            <w:r w:rsidRPr="008F721B">
              <w:rPr>
                <w:szCs w:val="24"/>
              </w:rPr>
              <w:t>н/д</w:t>
            </w:r>
          </w:p>
        </w:tc>
        <w:tc>
          <w:tcPr>
            <w:tcW w:w="456" w:type="pct"/>
          </w:tcPr>
          <w:p w14:paraId="658384FF" w14:textId="77777777" w:rsidR="00E040DB" w:rsidRPr="008F721B" w:rsidRDefault="00E040DB" w:rsidP="005A428D">
            <w:pPr>
              <w:jc w:val="center"/>
              <w:rPr>
                <w:szCs w:val="24"/>
              </w:rPr>
            </w:pPr>
            <w:r w:rsidRPr="008F721B">
              <w:rPr>
                <w:szCs w:val="24"/>
              </w:rPr>
              <w:t>н/д</w:t>
            </w:r>
          </w:p>
        </w:tc>
        <w:tc>
          <w:tcPr>
            <w:tcW w:w="515" w:type="pct"/>
          </w:tcPr>
          <w:p w14:paraId="01921231" w14:textId="77777777" w:rsidR="00E040DB" w:rsidRPr="008F721B" w:rsidRDefault="00E040DB" w:rsidP="005A428D">
            <w:pPr>
              <w:jc w:val="center"/>
              <w:rPr>
                <w:szCs w:val="24"/>
              </w:rPr>
            </w:pPr>
            <w:r w:rsidRPr="008F721B">
              <w:rPr>
                <w:szCs w:val="24"/>
              </w:rPr>
              <w:t>7,2</w:t>
            </w:r>
          </w:p>
        </w:tc>
        <w:tc>
          <w:tcPr>
            <w:tcW w:w="536" w:type="pct"/>
          </w:tcPr>
          <w:p w14:paraId="5BD09653" w14:textId="77777777" w:rsidR="00E040DB" w:rsidRPr="008F721B" w:rsidRDefault="00E040DB" w:rsidP="005A428D">
            <w:pPr>
              <w:jc w:val="center"/>
              <w:rPr>
                <w:szCs w:val="24"/>
              </w:rPr>
            </w:pPr>
            <w:r w:rsidRPr="008F721B">
              <w:rPr>
                <w:szCs w:val="24"/>
              </w:rPr>
              <w:t>н/д</w:t>
            </w:r>
          </w:p>
        </w:tc>
      </w:tr>
      <w:tr w:rsidR="00E040DB" w:rsidRPr="008F721B" w14:paraId="08A58901" w14:textId="77777777" w:rsidTr="005A428D">
        <w:trPr>
          <w:trHeight w:val="401"/>
        </w:trPr>
        <w:tc>
          <w:tcPr>
            <w:tcW w:w="1279" w:type="pct"/>
          </w:tcPr>
          <w:p w14:paraId="35A2028E" w14:textId="7CFF0C74" w:rsidR="00E040DB" w:rsidRPr="008F721B" w:rsidRDefault="00E040DB" w:rsidP="005A428D">
            <w:pPr>
              <w:rPr>
                <w:szCs w:val="24"/>
              </w:rPr>
            </w:pPr>
            <w:r w:rsidRPr="008F721B">
              <w:rPr>
                <w:szCs w:val="24"/>
              </w:rPr>
              <w:t>Ahmed T. и соавт.</w:t>
            </w:r>
            <w:r>
              <w:rPr>
                <w:szCs w:val="24"/>
                <w:lang w:val="en-US"/>
              </w:rPr>
              <w:t>, 2017</w:t>
            </w:r>
            <w:r w:rsidRPr="008F721B">
              <w:rPr>
                <w:szCs w:val="24"/>
              </w:rPr>
              <w:t xml:space="preserve"> </w:t>
            </w:r>
            <w:r>
              <w:rPr>
                <w:szCs w:val="24"/>
              </w:rPr>
              <w:fldChar w:fldCharType="begin" w:fldLock="1"/>
            </w:r>
            <w:r w:rsidR="00C65573">
              <w:rPr>
                <w:szCs w:val="24"/>
              </w:rPr>
              <w:instrText>ADDIN CSL_CITATION {"citationItems":[{"id":"ITEM-1","itemData":{"DOI":"10.1016/j.leukres.2017.09.017","ISSN":"18735835","PMID":"28985622","abstract":"Patients with Acute Myeloid Leukemia (AML) have compromised marrow function and chemotherapy causes further suppression. As a result complications are frequent, and patients may require admission to the intensive care unit (ICU). How codes status changes when these events occur and how those changes influence outcome are largely unknown. Outcomes for adult patients with AML, undergoing induction chemotherapy, and transferred to the ICU between January 2000 and December 2013 were analyzed. 94 patients were included. Median survival was 1.3 months. At 3 and 6 months overall survival (OS) was 27% and 18% respectively. Respiratory failure was the most common reason for transfer to ICU (88%), with 63% requiring mechanical ventilation at transfer. Other reasons included: cardiac arrest (18%), septic shock (17%), hypotension (9%), and acute renal failure (9%). The most frequent interventions were mechanical ventilation in 85%, vasopressors in 62%, and hemodialysis in 30%. Following transfer 55 patients (58%) had a change in code status. Overall, 46 patients (49%) changed from Full Code (FC) to Comfort Care (CC), 7 (7%) from FC to Do Not Resuscitate (DNR), and 2 (2%) from DNR to CC. For the entire cohort, ICU mortality (IM) was 61% and hospital mortality (HM) was 71%. For FC or DNR patients, IM was 30% and HM was 41%. For CC patients, IM was 90% and HM was 100%. Overall, 27 patients (29%) survived to discharge. Of those discharged, 22 (81%) were alive at 3 months and 17 (63%) were alive at 6 months. In conclusion, patients that required ICU admission during induction chemotherapy have a poor prognosis. Code status changed during the ICU stay for the majority of patients and always to a less aggressive status.","author":[{"dropping-particle":"","family":"Ahmed","given":"Tamjeed","non-dropping-particle":"","parse-names":false,"suffix":""},{"dropping-particle":"","family":"Koch","given":"Abby L.","non-dropping-particle":"","parse-names":false,"suffix":""},{"dropping-particle":"","family":"Isom","given":"Scott","non-dropping-particle":"","parse-names":false,"suffix":""},{"dropping-particle":"","family":"Klepin","given":"Heidi D.","non-dropping-particle":"","parse-names":false,"suffix":""},{"dropping-particle":"","family":"Bishop","given":"Jonathan M.","non-dropping-particle":"","parse-names":false,"suffix":""},{"dropping-particle":"","family":"Ellis","given":"Leslie R.","non-dropping-particle":"","parse-names":false,"suffix":""},{"dropping-particle":"","family":"Berenzon","given":"Dmitriy","non-dropping-particle":"","parse-names":false,"suffix":""},{"dropping-particle":"","family":"Howard","given":"Dianna","non-dropping-particle":"","parse-names":false,"suffix":""},{"dropping-particle":"","family":"Lyerly","given":"Susan","non-dropping-particle":"","parse-names":false,"suffix":""},{"dropping-particle":"","family":"Powell","given":"Bayard L.","non-dropping-particle":"","parse-names":false,"suffix":""},{"dropping-particle":"","family":"Pardee","given":"Timothy S.","non-dropping-particle":"","parse-names":false,"suffix":""}],"container-title":"Leukemia Research","id":"ITEM-1","issued":{"date-parts":[["2017","11","1"]]},"page":"51-55","publisher":"Elsevier Ltd","title":"Outcomes and changes in code status of patients with acute myeloid leukemia undergoing induction chemotherapy who were transferred to the intensive care unit","type":"article-journal","volume":"62"},"uris":["http://www.mendeley.com/documents/?uuid=06d1336d-0ad4-3138-ba61-9709dde152aa"]}],"mendeley":{"formattedCitation":"[223]","plainTextFormattedCitation":"[223]","previouslyFormattedCitation":"[223]"},"properties":{"noteIndex":0},"schema":"https://github.com/citation-style-language/schema/raw/master/csl-citation.json"}</w:instrText>
            </w:r>
            <w:r>
              <w:rPr>
                <w:szCs w:val="24"/>
              </w:rPr>
              <w:fldChar w:fldCharType="separate"/>
            </w:r>
            <w:r w:rsidR="00275BAA" w:rsidRPr="00275BAA">
              <w:rPr>
                <w:noProof/>
                <w:szCs w:val="24"/>
              </w:rPr>
              <w:t>[223]</w:t>
            </w:r>
            <w:r>
              <w:rPr>
                <w:szCs w:val="24"/>
              </w:rPr>
              <w:fldChar w:fldCharType="end"/>
            </w:r>
          </w:p>
        </w:tc>
        <w:tc>
          <w:tcPr>
            <w:tcW w:w="425" w:type="pct"/>
          </w:tcPr>
          <w:p w14:paraId="2348CD0A" w14:textId="77777777" w:rsidR="00E040DB" w:rsidRPr="008F721B" w:rsidRDefault="00E040DB" w:rsidP="005A428D">
            <w:pPr>
              <w:jc w:val="center"/>
              <w:rPr>
                <w:szCs w:val="24"/>
              </w:rPr>
            </w:pPr>
            <w:r w:rsidRPr="008F721B">
              <w:rPr>
                <w:szCs w:val="24"/>
              </w:rPr>
              <w:t>88</w:t>
            </w:r>
          </w:p>
        </w:tc>
        <w:tc>
          <w:tcPr>
            <w:tcW w:w="490" w:type="pct"/>
          </w:tcPr>
          <w:p w14:paraId="3AEECF1A" w14:textId="77777777" w:rsidR="00E040DB" w:rsidRPr="008F721B" w:rsidRDefault="00E040DB" w:rsidP="005A428D">
            <w:pPr>
              <w:jc w:val="center"/>
              <w:rPr>
                <w:szCs w:val="24"/>
              </w:rPr>
            </w:pPr>
            <w:r w:rsidRPr="008F721B">
              <w:rPr>
                <w:szCs w:val="24"/>
              </w:rPr>
              <w:t>17</w:t>
            </w:r>
          </w:p>
        </w:tc>
        <w:tc>
          <w:tcPr>
            <w:tcW w:w="609" w:type="pct"/>
          </w:tcPr>
          <w:p w14:paraId="768BE372" w14:textId="77777777" w:rsidR="00E040DB" w:rsidRPr="008F721B" w:rsidRDefault="00E040DB" w:rsidP="005A428D">
            <w:pPr>
              <w:jc w:val="center"/>
              <w:rPr>
                <w:szCs w:val="24"/>
              </w:rPr>
            </w:pPr>
            <w:r w:rsidRPr="008F721B">
              <w:rPr>
                <w:szCs w:val="24"/>
              </w:rPr>
              <w:t>н/д</w:t>
            </w:r>
          </w:p>
        </w:tc>
        <w:tc>
          <w:tcPr>
            <w:tcW w:w="687" w:type="pct"/>
          </w:tcPr>
          <w:p w14:paraId="6FA185CC" w14:textId="77777777" w:rsidR="00E040DB" w:rsidRPr="008F721B" w:rsidRDefault="00E040DB" w:rsidP="005A428D">
            <w:pPr>
              <w:jc w:val="center"/>
              <w:rPr>
                <w:szCs w:val="24"/>
              </w:rPr>
            </w:pPr>
            <w:r w:rsidRPr="008F721B">
              <w:rPr>
                <w:szCs w:val="24"/>
              </w:rPr>
              <w:t>18</w:t>
            </w:r>
          </w:p>
        </w:tc>
        <w:tc>
          <w:tcPr>
            <w:tcW w:w="456" w:type="pct"/>
          </w:tcPr>
          <w:p w14:paraId="2296C6D7" w14:textId="77777777" w:rsidR="00E040DB" w:rsidRPr="008F721B" w:rsidRDefault="00E040DB" w:rsidP="005A428D">
            <w:pPr>
              <w:jc w:val="center"/>
              <w:rPr>
                <w:szCs w:val="24"/>
              </w:rPr>
            </w:pPr>
            <w:r w:rsidRPr="008F721B">
              <w:rPr>
                <w:szCs w:val="24"/>
              </w:rPr>
              <w:t>8,5</w:t>
            </w:r>
          </w:p>
        </w:tc>
        <w:tc>
          <w:tcPr>
            <w:tcW w:w="515" w:type="pct"/>
          </w:tcPr>
          <w:p w14:paraId="0D56F6F5" w14:textId="77777777" w:rsidR="00E040DB" w:rsidRPr="008F721B" w:rsidRDefault="00E040DB" w:rsidP="005A428D">
            <w:pPr>
              <w:jc w:val="center"/>
              <w:rPr>
                <w:szCs w:val="24"/>
              </w:rPr>
            </w:pPr>
            <w:r w:rsidRPr="008F721B">
              <w:rPr>
                <w:szCs w:val="24"/>
              </w:rPr>
              <w:t>2,1</w:t>
            </w:r>
          </w:p>
        </w:tc>
        <w:tc>
          <w:tcPr>
            <w:tcW w:w="536" w:type="pct"/>
          </w:tcPr>
          <w:p w14:paraId="5C4CC81B" w14:textId="77777777" w:rsidR="00E040DB" w:rsidRPr="008F721B" w:rsidRDefault="00E040DB" w:rsidP="005A428D">
            <w:pPr>
              <w:jc w:val="center"/>
              <w:rPr>
                <w:szCs w:val="24"/>
              </w:rPr>
            </w:pPr>
            <w:r w:rsidRPr="008F721B">
              <w:rPr>
                <w:szCs w:val="24"/>
              </w:rPr>
              <w:t>н/д</w:t>
            </w:r>
          </w:p>
        </w:tc>
      </w:tr>
    </w:tbl>
    <w:p w14:paraId="5185B2FE" w14:textId="77777777" w:rsidR="00E040DB" w:rsidRPr="008F721B" w:rsidRDefault="00E040DB" w:rsidP="00E040DB">
      <w:pPr>
        <w:ind w:firstLine="709"/>
        <w:rPr>
          <w:szCs w:val="24"/>
        </w:rPr>
      </w:pPr>
      <w:r w:rsidRPr="008F721B">
        <w:rPr>
          <w:szCs w:val="24"/>
        </w:rPr>
        <w:t>* н/д – нет данных.</w:t>
      </w:r>
    </w:p>
    <w:p w14:paraId="1130ACFE" w14:textId="77777777" w:rsidR="00E040DB" w:rsidRDefault="00E040DB" w:rsidP="00E040DB">
      <w:pPr>
        <w:ind w:firstLine="709"/>
        <w:rPr>
          <w:szCs w:val="24"/>
        </w:rPr>
      </w:pPr>
    </w:p>
    <w:p w14:paraId="13694346" w14:textId="77777777" w:rsidR="00E040DB" w:rsidRPr="008F721B" w:rsidRDefault="00E040DB" w:rsidP="00E040DB">
      <w:pPr>
        <w:ind w:firstLine="709"/>
        <w:rPr>
          <w:szCs w:val="24"/>
        </w:rPr>
      </w:pPr>
      <w:r w:rsidRPr="008F721B">
        <w:rPr>
          <w:szCs w:val="24"/>
        </w:rPr>
        <w:t>Нередки иные причины перевода в ОРИТ гематологических пациентов – внезапно резвившиеся судороги в результате острой надпочечниковой недостаточности и гипонатриемии, отек головного</w:t>
      </w:r>
      <w:r w:rsidRPr="00B563E0">
        <w:rPr>
          <w:szCs w:val="24"/>
        </w:rPr>
        <w:t xml:space="preserve"> </w:t>
      </w:r>
      <w:r>
        <w:rPr>
          <w:szCs w:val="24"/>
        </w:rPr>
        <w:t>мозга, судорожный</w:t>
      </w:r>
      <w:r w:rsidRPr="008F721B">
        <w:rPr>
          <w:szCs w:val="24"/>
        </w:rPr>
        <w:t xml:space="preserve"> синдром в результате инфекции центральной нервной системы</w:t>
      </w:r>
      <w:r>
        <w:rPr>
          <w:szCs w:val="24"/>
        </w:rPr>
        <w:t xml:space="preserve"> (ЦНС), удлинение </w:t>
      </w:r>
      <w:r w:rsidRPr="008F721B">
        <w:rPr>
          <w:szCs w:val="24"/>
        </w:rPr>
        <w:t xml:space="preserve"> электрической систолы сердца и развитие желудочковой тахикардии по типу «torsades-de-puantes» и др. </w:t>
      </w:r>
    </w:p>
    <w:p w14:paraId="48469458" w14:textId="77777777" w:rsidR="00E040DB" w:rsidRPr="009D0B15" w:rsidRDefault="00E040DB" w:rsidP="00E040DB">
      <w:pPr>
        <w:ind w:firstLine="709"/>
        <w:rPr>
          <w:szCs w:val="24"/>
        </w:rPr>
      </w:pPr>
      <w:r w:rsidRPr="008F721B">
        <w:rPr>
          <w:szCs w:val="24"/>
        </w:rPr>
        <w:t xml:space="preserve">Для лечения жизнеугрожающих осложнений у гематологических пациентов в ОРИТ чаще всего </w:t>
      </w:r>
      <w:r w:rsidRPr="009D0B15">
        <w:rPr>
          <w:szCs w:val="24"/>
        </w:rPr>
        <w:t xml:space="preserve">используют следующие методы поддержания жизнеобеспечения: ИВЛ у 50 – 66% больных; вазопрессорная терапия у 8 – 75,6% больных, заместительная почечная терапия у 3,2 – 61% больных (таб. 3). </w:t>
      </w:r>
    </w:p>
    <w:p w14:paraId="56B5CB7C" w14:textId="77777777" w:rsidR="00E040DB" w:rsidRPr="009D0B15" w:rsidRDefault="00E040DB" w:rsidP="00E040DB">
      <w:pPr>
        <w:rPr>
          <w:szCs w:val="24"/>
        </w:rPr>
      </w:pPr>
    </w:p>
    <w:p w14:paraId="174C33E2" w14:textId="77777777" w:rsidR="00E040DB" w:rsidRPr="008F721B" w:rsidRDefault="00E040DB" w:rsidP="00E040DB">
      <w:pPr>
        <w:rPr>
          <w:szCs w:val="24"/>
        </w:rPr>
      </w:pPr>
      <w:r w:rsidRPr="009D0B15">
        <w:rPr>
          <w:szCs w:val="24"/>
        </w:rPr>
        <w:t xml:space="preserve"> Таблица 3. Потребность в</w:t>
      </w:r>
      <w:r w:rsidRPr="008F721B">
        <w:rPr>
          <w:szCs w:val="24"/>
        </w:rPr>
        <w:t xml:space="preserve"> различных методиках жизнеобеспечения у пациентов с с онкогематологическими заболеваниями</w:t>
      </w:r>
    </w:p>
    <w:tbl>
      <w:tblPr>
        <w:tblStyle w:val="affa"/>
        <w:tblW w:w="9427" w:type="dxa"/>
        <w:tblLook w:val="04A0" w:firstRow="1" w:lastRow="0" w:firstColumn="1" w:lastColumn="0" w:noHBand="0" w:noVBand="1"/>
      </w:tblPr>
      <w:tblGrid>
        <w:gridCol w:w="2422"/>
        <w:gridCol w:w="2140"/>
        <w:gridCol w:w="2447"/>
        <w:gridCol w:w="2418"/>
      </w:tblGrid>
      <w:tr w:rsidR="00E040DB" w:rsidRPr="008F721B" w14:paraId="53D40CAC" w14:textId="77777777" w:rsidTr="005A428D">
        <w:trPr>
          <w:trHeight w:val="1247"/>
        </w:trPr>
        <w:tc>
          <w:tcPr>
            <w:tcW w:w="2422" w:type="dxa"/>
          </w:tcPr>
          <w:p w14:paraId="616F24CA" w14:textId="77777777" w:rsidR="00E040DB" w:rsidRPr="008F721B" w:rsidRDefault="00E040DB" w:rsidP="005A428D">
            <w:pPr>
              <w:jc w:val="center"/>
              <w:rPr>
                <w:szCs w:val="24"/>
              </w:rPr>
            </w:pPr>
            <w:r w:rsidRPr="008F721B">
              <w:rPr>
                <w:szCs w:val="24"/>
              </w:rPr>
              <w:t>Источник</w:t>
            </w:r>
          </w:p>
        </w:tc>
        <w:tc>
          <w:tcPr>
            <w:tcW w:w="2140" w:type="dxa"/>
          </w:tcPr>
          <w:p w14:paraId="7FE3425B" w14:textId="77777777" w:rsidR="00E040DB" w:rsidRPr="008F721B" w:rsidRDefault="00E040DB" w:rsidP="005A428D">
            <w:pPr>
              <w:jc w:val="center"/>
              <w:rPr>
                <w:szCs w:val="24"/>
              </w:rPr>
            </w:pPr>
            <w:r w:rsidRPr="008F721B">
              <w:rPr>
                <w:szCs w:val="24"/>
              </w:rPr>
              <w:t>ИВЛ, %</w:t>
            </w:r>
          </w:p>
        </w:tc>
        <w:tc>
          <w:tcPr>
            <w:tcW w:w="2447" w:type="dxa"/>
          </w:tcPr>
          <w:p w14:paraId="4C758941" w14:textId="77777777" w:rsidR="00E040DB" w:rsidRPr="008F721B" w:rsidRDefault="00E040DB" w:rsidP="005A428D">
            <w:pPr>
              <w:jc w:val="center"/>
              <w:rPr>
                <w:szCs w:val="24"/>
              </w:rPr>
            </w:pPr>
            <w:r w:rsidRPr="008F721B">
              <w:rPr>
                <w:szCs w:val="24"/>
              </w:rPr>
              <w:t>Заместительная почечная терапия, %</w:t>
            </w:r>
          </w:p>
        </w:tc>
        <w:tc>
          <w:tcPr>
            <w:tcW w:w="2418" w:type="dxa"/>
          </w:tcPr>
          <w:p w14:paraId="541F678A" w14:textId="77777777" w:rsidR="00E040DB" w:rsidRPr="008F721B" w:rsidRDefault="00E040DB" w:rsidP="005A428D">
            <w:pPr>
              <w:jc w:val="center"/>
              <w:rPr>
                <w:szCs w:val="24"/>
              </w:rPr>
            </w:pPr>
            <w:r w:rsidRPr="008F721B">
              <w:rPr>
                <w:szCs w:val="24"/>
              </w:rPr>
              <w:t>Вазопрессоры, %</w:t>
            </w:r>
          </w:p>
        </w:tc>
      </w:tr>
      <w:tr w:rsidR="00E040DB" w:rsidRPr="008F721B" w14:paraId="7E44666E" w14:textId="77777777" w:rsidTr="005A428D">
        <w:trPr>
          <w:trHeight w:val="805"/>
        </w:trPr>
        <w:tc>
          <w:tcPr>
            <w:tcW w:w="2422" w:type="dxa"/>
          </w:tcPr>
          <w:p w14:paraId="08F6FFC6" w14:textId="3E7BC03F" w:rsidR="00E040DB" w:rsidRPr="008F721B" w:rsidRDefault="00E040DB" w:rsidP="005A428D">
            <w:pPr>
              <w:jc w:val="center"/>
              <w:rPr>
                <w:szCs w:val="24"/>
              </w:rPr>
            </w:pPr>
            <w:r w:rsidRPr="008F721B">
              <w:rPr>
                <w:szCs w:val="24"/>
              </w:rPr>
              <w:t>Jackson K. и соавт.</w:t>
            </w:r>
            <w:r w:rsidRPr="00854947">
              <w:rPr>
                <w:szCs w:val="24"/>
              </w:rPr>
              <w:t xml:space="preserve">, 2014 </w:t>
            </w:r>
            <w:r>
              <w:rPr>
                <w:szCs w:val="24"/>
                <w:lang w:val="en-US"/>
              </w:rPr>
              <w:fldChar w:fldCharType="begin" w:fldLock="1"/>
            </w:r>
            <w:r w:rsidR="00C65573">
              <w:rPr>
                <w:szCs w:val="24"/>
                <w:lang w:val="en-US"/>
              </w:rPr>
              <w:instrText>ADDIN CSL_CITATION {"citationItems":[{"id":"ITEM-1","itemData":{"DOI":"10.3109/10428194.2013.796045","ISBN":"6173176211","ISSN":"1029-2403","PMID":"23597137","abstract":"Patients receiving treatment for acute myeloid leukemia (AML) commonly experience life-threatening complications requiring intensive care unit (ICU) support. This is a retrospective study of 505 patients with newly diagnosed AML who were treated with intensive chemotherapy between January 1999 and December 2010. Eighty-three patients (16.4%) were identified who had required 92 ICU admissions. The indication for ICU admission was hemodynamic instability in 47.0% of patients and respiratory impairment in 42.2%. The underlying pathology was most commonly infection (77.1%). Vasopressors were required in 67.5% of admissions, mechanical ventilation in 60.2% and hemodialysis in 15.7%. Rates of survival to hospital discharge and 12 months were 59.0% and 41.3%, respectively. Mechanical ventilation use and higher fibrinogen were independently associated with mortality prior to hospital discharge, and mechanical ventilation use and AML cytogenetic risk group were predictive of mortality within 12 months of ICU admission. By providing a more accurate estimation of a patient's chance of recovery, such prognostic factors may contribute to decision-making about the appropriateness of admission to the ICU or continuation of intensive life-sustaining measures.","author":[{"dropping-particle":"","family":"Jackson","given":"Kathryn","non-dropping-particle":"","parse-names":false,"suffix":""},{"dropping-particle":"","family":"Mollee","given":"Peter","non-dropping-particle":"","parse-names":false,"suffix":""},{"dropping-particle":"","family":"Morris","given":"Kirk","non-dropping-particle":"","parse-names":false,"suffix":""},{"dropping-particle":"","family":"Butler","given":"Jason","non-dropping-particle":"","parse-names":false,"suffix":""},{"dropping-particle":"","family":"Jackson","given":"Dwane","non-dropping-particle":"","parse-names":false,"suffix":""},{"dropping-particle":"","family":"Kruger","given":"Peter","non-dropping-particle":"","parse-names":false,"suffix":""},{"dropping-particle":"","family":"Klein","given":"Kerenaftali","non-dropping-particle":"","parse-names":false,"suffix":""},{"dropping-particle":"","family":"Kennedy","given":"Glen","non-dropping-particle":"","parse-names":false,"suffix":""}],"container-title":"Leukemia &amp; lymphoma","id":"ITEM-1","issue":"April","issued":{"date-parts":[["2013","1"]]},"page":"1-8","publisher":"Leuk Lymphoma","title":"Outcomes and prognostic factors for patients with acute myeloid leukemia admitted to the intensive care unit","type":"article-journal","volume":"55"},"uris":["http://www.mendeley.com/documents/?uuid=af5715ea-f420-4629-9acb-36739876454f"]}],"mendeley":{"formattedCitation":"[213]","plainTextFormattedCitation":"[213]","previouslyFormattedCitation":"[213]"},"properties":{"noteIndex":0},"schema":"https://github.com/citation-style-language/schema/raw/master/csl-citation.json"}</w:instrText>
            </w:r>
            <w:r>
              <w:rPr>
                <w:szCs w:val="24"/>
                <w:lang w:val="en-US"/>
              </w:rPr>
              <w:fldChar w:fldCharType="separate"/>
            </w:r>
            <w:r w:rsidR="00275BAA" w:rsidRPr="00275BAA">
              <w:rPr>
                <w:noProof/>
                <w:szCs w:val="24"/>
                <w:lang w:val="en-US"/>
              </w:rPr>
              <w:t>[213]</w:t>
            </w:r>
            <w:r>
              <w:rPr>
                <w:szCs w:val="24"/>
                <w:lang w:val="en-US"/>
              </w:rPr>
              <w:fldChar w:fldCharType="end"/>
            </w:r>
            <w:r w:rsidRPr="008F721B">
              <w:rPr>
                <w:szCs w:val="24"/>
              </w:rPr>
              <w:t xml:space="preserve"> </w:t>
            </w:r>
          </w:p>
        </w:tc>
        <w:tc>
          <w:tcPr>
            <w:tcW w:w="2140" w:type="dxa"/>
          </w:tcPr>
          <w:p w14:paraId="06BF07E1" w14:textId="77777777" w:rsidR="00E040DB" w:rsidRPr="008F721B" w:rsidRDefault="00E040DB" w:rsidP="005A428D">
            <w:pPr>
              <w:jc w:val="center"/>
              <w:rPr>
                <w:szCs w:val="24"/>
              </w:rPr>
            </w:pPr>
            <w:r w:rsidRPr="008F721B">
              <w:rPr>
                <w:szCs w:val="24"/>
              </w:rPr>
              <w:t>60</w:t>
            </w:r>
          </w:p>
        </w:tc>
        <w:tc>
          <w:tcPr>
            <w:tcW w:w="2447" w:type="dxa"/>
          </w:tcPr>
          <w:p w14:paraId="699DF803" w14:textId="77777777" w:rsidR="00E040DB" w:rsidRPr="008F721B" w:rsidRDefault="00E040DB" w:rsidP="005A428D">
            <w:pPr>
              <w:jc w:val="center"/>
              <w:rPr>
                <w:szCs w:val="24"/>
              </w:rPr>
            </w:pPr>
            <w:r w:rsidRPr="008F721B">
              <w:rPr>
                <w:szCs w:val="24"/>
              </w:rPr>
              <w:t>15,7</w:t>
            </w:r>
          </w:p>
        </w:tc>
        <w:tc>
          <w:tcPr>
            <w:tcW w:w="2418" w:type="dxa"/>
          </w:tcPr>
          <w:p w14:paraId="6C406A8C" w14:textId="77777777" w:rsidR="00E040DB" w:rsidRPr="008F721B" w:rsidRDefault="00E040DB" w:rsidP="005A428D">
            <w:pPr>
              <w:jc w:val="center"/>
              <w:rPr>
                <w:szCs w:val="24"/>
              </w:rPr>
            </w:pPr>
            <w:r w:rsidRPr="008F721B">
              <w:rPr>
                <w:szCs w:val="24"/>
              </w:rPr>
              <w:t>67,5</w:t>
            </w:r>
          </w:p>
        </w:tc>
      </w:tr>
      <w:tr w:rsidR="00E040DB" w:rsidRPr="008F721B" w14:paraId="40C5B6A5" w14:textId="77777777" w:rsidTr="005A428D">
        <w:trPr>
          <w:trHeight w:val="657"/>
        </w:trPr>
        <w:tc>
          <w:tcPr>
            <w:tcW w:w="2422" w:type="dxa"/>
          </w:tcPr>
          <w:p w14:paraId="211A879E" w14:textId="59E06371" w:rsidR="00E040DB" w:rsidRPr="009D0B15" w:rsidRDefault="00E040DB" w:rsidP="005A428D">
            <w:pPr>
              <w:jc w:val="center"/>
              <w:rPr>
                <w:szCs w:val="24"/>
              </w:rPr>
            </w:pPr>
            <w:r w:rsidRPr="008F721B">
              <w:rPr>
                <w:szCs w:val="24"/>
                <w:lang w:val="en-US"/>
              </w:rPr>
              <w:t xml:space="preserve">Roze des Ordons A. </w:t>
            </w:r>
            <w:r w:rsidRPr="008F721B">
              <w:rPr>
                <w:szCs w:val="24"/>
              </w:rPr>
              <w:t>и</w:t>
            </w:r>
            <w:r w:rsidRPr="008F721B">
              <w:rPr>
                <w:szCs w:val="24"/>
                <w:lang w:val="en-US"/>
              </w:rPr>
              <w:t xml:space="preserve"> </w:t>
            </w:r>
            <w:r w:rsidRPr="008F721B">
              <w:rPr>
                <w:szCs w:val="24"/>
              </w:rPr>
              <w:t>соавт</w:t>
            </w:r>
            <w:r w:rsidRPr="008F721B">
              <w:rPr>
                <w:szCs w:val="24"/>
                <w:lang w:val="en-US"/>
              </w:rPr>
              <w:t>.</w:t>
            </w:r>
            <w:r>
              <w:rPr>
                <w:szCs w:val="24"/>
                <w:lang w:val="en-US"/>
              </w:rPr>
              <w:t xml:space="preserve">, 2010 </w:t>
            </w:r>
            <w:r>
              <w:rPr>
                <w:szCs w:val="24"/>
                <w:lang w:val="en-US"/>
              </w:rPr>
              <w:fldChar w:fldCharType="begin" w:fldLock="1"/>
            </w:r>
            <w:r w:rsidR="00C65573">
              <w:rPr>
                <w:szCs w:val="24"/>
                <w:lang w:val="en-US"/>
              </w:rPr>
              <w:instrText>ADDIN CSL_CITATION {"citationItems":[{"id":"ITEM-1","itemData":{"DOI":"10.1186/1471-2407-10-516","ISSN":"14712407","PMID":"20920175","abstract":"Background: There is limited epidemiologic data on patients with acute myelogenous (myeloid) leukemia (AML) requiring life-sustaining therapies in the intensive care unit (ICU). Our objectives were to describe the clinical characteristics and outcomes in critically ill AML patients.Methods: This was a retrospective case-control study. Cases were defined as adult patients with a primary diagnosis of AML admitted to ICU at the University of Alberta Hospital between January 1st2002 and June 30th2008. Each case was matched by age, sex, and illness severity (ICU only) to two control groups: hospitalized AML controls, and non-AML ICU controls. Data were extracted on demographics, course of hospitalization, and clinical outcomes.Results: In total, 45 AML patients with available data were admitted to ICU. Mean (SD) age was 54.8 (13.1) years and 28.9% were female. Primary diagnoses were sepsis (32.6%) and respiratory failure (37.3%). Mean (SD) APACHE II score was 30.3 (10.3), SOFA score 12.6 (4.0) with 62.2% receiving mechanical ventilation, 55.6% vasoactive therapy, and 26.7% renal replacement therapy. Crude in-hospital, 90-day and 1-year mortality was 44.4%, 51.1% and 71.1%, respectively. AML cases had significantly higher adjusted-hazards of death (HR 2.23; 95% CI, 1.38-3.60, p = 0.001) compared to both non-AML ICU controls (HR 1.69; 95% CI, 1.11-2.58, p = 0.02) and hospitalized AML controls (OR 1.0, reference variable). Factors associated with ICU mortality by univariate analysis included older age, AML subtype, higher baseline SOFA score, no change or an increase in early SOFA score, shock, vasoactive therapy and mechanical ventilation. Active chemotherapy in ICU was associated with lower mortality.Conclusions: AML patients may represent a minority of all critically ill admissions; however, are not uncommonly supported in ICU. These AML patients are characterized by high illness severity, multi-organ dysfunction, and high treatment intensity and have a higher risk of death when compared with matched hospitalized AML or non-AML ICU controls. The absence of early improvement in organ failure may be a useful predictor for mortality for AML patients admitted to ICU. © 2010 Roze des Ordons et al; licensee BioMed Central Ltd.","author":[{"dropping-particle":"","family":"Roze des Ordons","given":"Amanda L.","non-dropping-particle":"","parse-names":false,"suffix":""},{"dropping-particle":"","family":"Chan","given":"Kris","non-dropping-particle":"","parse-names":false,"suffix":""},{"dropping-particle":"","family":"Mirza","given":"Imran","non-dropping-particle":"","parse-names":false,"suffix":""},{"dropping-particle":"","family":"Townsend","given":"Derek R.","non-dropping-particle":"","parse-names":false,"suffix":""},{"dropping-particle":"","family":"Bagshaw","given":"Sean M.","non-dropping-particle":"","parse-names":false,"suffix":""}],"container-title":"BMC Cancer","id":"ITEM-1","issued":{"date-parts":[["2010","9","28"]]},"page":"516","title":"Clinical characteristics and outcomes of patients with acute myelogenous leukemia admitted to intensive care: A case-control study","type":"article-journal","volume":"10"},"uris":["http://www.mendeley.com/documents/?uuid=de27b039-3812-4b08-96fa-07054eeb2151"]}],"mendeley":{"formattedCitation":"[210]","plainTextFormattedCitation":"[210]","previouslyFormattedCitation":"[210]"},"properties":{"noteIndex":0},"schema":"https://github.com/citation-style-language/schema/raw/master/csl-citation.json"}</w:instrText>
            </w:r>
            <w:r>
              <w:rPr>
                <w:szCs w:val="24"/>
                <w:lang w:val="en-US"/>
              </w:rPr>
              <w:fldChar w:fldCharType="separate"/>
            </w:r>
            <w:r w:rsidR="00275BAA" w:rsidRPr="00275BAA">
              <w:rPr>
                <w:noProof/>
                <w:szCs w:val="24"/>
              </w:rPr>
              <w:t>[210]</w:t>
            </w:r>
            <w:r>
              <w:rPr>
                <w:szCs w:val="24"/>
                <w:lang w:val="en-US"/>
              </w:rPr>
              <w:fldChar w:fldCharType="end"/>
            </w:r>
            <w:r w:rsidRPr="009D0B15">
              <w:rPr>
                <w:szCs w:val="24"/>
              </w:rPr>
              <w:t xml:space="preserve"> </w:t>
            </w:r>
          </w:p>
        </w:tc>
        <w:tc>
          <w:tcPr>
            <w:tcW w:w="2140" w:type="dxa"/>
          </w:tcPr>
          <w:p w14:paraId="11D18368" w14:textId="77777777" w:rsidR="00E040DB" w:rsidRPr="008F721B" w:rsidRDefault="00E040DB" w:rsidP="005A428D">
            <w:pPr>
              <w:jc w:val="center"/>
              <w:rPr>
                <w:szCs w:val="24"/>
              </w:rPr>
            </w:pPr>
            <w:r w:rsidRPr="008F721B">
              <w:rPr>
                <w:szCs w:val="24"/>
              </w:rPr>
              <w:t>66</w:t>
            </w:r>
          </w:p>
        </w:tc>
        <w:tc>
          <w:tcPr>
            <w:tcW w:w="2447" w:type="dxa"/>
          </w:tcPr>
          <w:p w14:paraId="2DAAD971" w14:textId="77777777" w:rsidR="00E040DB" w:rsidRPr="008F721B" w:rsidRDefault="00E040DB" w:rsidP="005A428D">
            <w:pPr>
              <w:jc w:val="center"/>
              <w:rPr>
                <w:szCs w:val="24"/>
              </w:rPr>
            </w:pPr>
            <w:r w:rsidRPr="008F721B">
              <w:rPr>
                <w:szCs w:val="24"/>
              </w:rPr>
              <w:t>47,8</w:t>
            </w:r>
          </w:p>
        </w:tc>
        <w:tc>
          <w:tcPr>
            <w:tcW w:w="2418" w:type="dxa"/>
          </w:tcPr>
          <w:p w14:paraId="0E64816C" w14:textId="77777777" w:rsidR="00E040DB" w:rsidRPr="008F721B" w:rsidRDefault="00E040DB" w:rsidP="005A428D">
            <w:pPr>
              <w:jc w:val="center"/>
              <w:rPr>
                <w:szCs w:val="24"/>
              </w:rPr>
            </w:pPr>
            <w:r w:rsidRPr="008F721B">
              <w:rPr>
                <w:szCs w:val="24"/>
              </w:rPr>
              <w:t>75,6</w:t>
            </w:r>
          </w:p>
        </w:tc>
      </w:tr>
      <w:tr w:rsidR="00E040DB" w:rsidRPr="008F721B" w14:paraId="589678D1" w14:textId="77777777" w:rsidTr="005A428D">
        <w:trPr>
          <w:trHeight w:val="825"/>
        </w:trPr>
        <w:tc>
          <w:tcPr>
            <w:tcW w:w="2422" w:type="dxa"/>
          </w:tcPr>
          <w:p w14:paraId="7BFCAA6F" w14:textId="587DA0FE" w:rsidR="00E040DB" w:rsidRPr="009D0B15" w:rsidRDefault="00E040DB" w:rsidP="005A428D">
            <w:pPr>
              <w:jc w:val="center"/>
              <w:rPr>
                <w:szCs w:val="24"/>
                <w:lang w:val="en-US"/>
              </w:rPr>
            </w:pPr>
            <w:r w:rsidRPr="008F721B">
              <w:rPr>
                <w:szCs w:val="24"/>
              </w:rPr>
              <w:t>Wohlfarth P. и соавт.</w:t>
            </w:r>
            <w:r>
              <w:rPr>
                <w:szCs w:val="24"/>
              </w:rPr>
              <w:t>,</w:t>
            </w:r>
            <w:r>
              <w:rPr>
                <w:szCs w:val="24"/>
                <w:lang w:val="en-US"/>
              </w:rPr>
              <w:t xml:space="preserve"> 2014 </w:t>
            </w:r>
            <w:r>
              <w:rPr>
                <w:szCs w:val="24"/>
                <w:lang w:val="en-US"/>
              </w:rPr>
              <w:fldChar w:fldCharType="begin" w:fldLock="1"/>
            </w:r>
            <w:r w:rsidR="00C65573">
              <w:rPr>
                <w:szCs w:val="24"/>
                <w:lang w:val="en-US"/>
              </w:rPr>
              <w:instrText>ADDIN CSL_CITATION {"citationItems":[{"id":"ITEM-1","itemData":{"DOI":"10.1007/s00277-014-2141-x","ISSN":"14320584","PMID":"24997682","abstract":"Prognostic factors and outcomes of cancer patients with acute organ failure receiving chemotherapy (CT) in the intensive care unit (ICU) are still incompletely described. We therefore retrospectively studied all patients who received CT in any ICU of our institution between October 2006 and November 2013. Fifty-six patients with hematologic (n = 49; 87.5 %) or solid (n = 7; 12.5 %) malignancies, of which 20 (36 %) were diagnosed in the ICU, were analyzed [m/f ratio, 33:23; median age, 47 years (IQR 32 to 62); Charlson Comorbidity Index (CCI), 3 (2 to 5); Simplified Acute Physiology Score II (SAPS II), 50 (39 to 61)]. The main reasons for admission were acute respiratory failure, acute kidney failure, and septic shock. Mechanical ventilation and vasopressors were employed in 34 patients (61 %) respectively, hemofiltration in 22 (39 %), and extracorporeal life support in 7 (13 %). Twenty-seven patients (48 %) received their first CT in the ICU. Intention of therapy was cure in 46 patients (82 %). Tumor lysis syndrome (TLS) developed in 20 patients (36 %). ICU and hospital survival was 75 and 59 %. Hospital survivors were significantly younger; had lower CCI, SAPS II, and TLS risk scores; presented less often with septic shock; were less likely to develop TLS; and received vasopressors, hemofiltration, and thrombocyte transfusions in lower proportions. After discharge, 88 % continued CT and 69 % of 1-year survivors were in complete remission. Probability of 1- and 2-year survival was 41 and 38 %, respectively. Conclusively, administration of CT in selected ICU cancer patients was feasible and associated with considerable long-term survival as well as long-term disease-free survival. © 2014 Springer-Verlag.","author":[{"dropping-particle":"","family":"Wohlfarth","given":"Philipp","non-dropping-particle":"","parse-names":false,"suffix":""},{"dropping-particle":"","family":"Staudinger","given":"Thomas","non-dropping-particle":"","parse-names":false,"suffix":""},{"dropping-particle":"","family":"Sperr","given":"Wolfgang R.","non-dropping-particle":"","parse-names":false,"suffix":""},{"dropping-particle":"","family":"Bojic","given":"Andja","non-dropping-particle":"","parse-names":false,"suffix":""},{"dropping-particle":"","family":"Robak","given":"Oliver","non-dropping-particle":"","parse-names":false,"suffix":""},{"dropping-particle":"","family":"Hermann","given":"Alexander","non-dropping-particle":"","parse-names":false,"suffix":""},{"dropping-particle":"","family":"Laczika","given":"Klaus","non-dropping-particle":"","parse-names":false,"suffix":""},{"dropping-particle":"","family":"Carlström","given":"Alexander","non-dropping-particle":"","parse-names":false,"suffix":""},{"dropping-particle":"","family":"Riss","given":"Katharina","non-dropping-particle":"","parse-names":false,"suffix":""},{"dropping-particle":"","family":"Rabitsch","given":"Werner","non-dropping-particle":"","parse-names":false,"suffix":""},{"dropping-particle":"","family":"Bojic","given":"Marija","non-dropping-particle":"","parse-names":false,"suffix":""},{"dropping-particle":"","family":"Knoebl","given":"Paul","non-dropping-particle":"","parse-names":false,"suffix":""},{"dropping-particle":"","family":"Locker","given":"Gottfried J.","non-dropping-particle":"","parse-names":false,"suffix":""},{"dropping-particle":"","family":"Obiditsch","given":"Maria","non-dropping-particle":"","parse-names":false,"suffix":""},{"dropping-particle":"","family":"Fuhrmann","given":"Valentin","non-dropping-particle":"","parse-names":false,"suffix":""},{"dropping-particle":"","family":"Schellongowski","given":"Peter","non-dropping-particle":"","parse-names":false,"suffix":""}],"container-title":"Annals of Hematology","id":"ITEM-1","issue":"10","issued":{"date-parts":[["2014","10","1"]]},"page":"1629-1636","publisher":"Springer Verlag","title":"Prognostic factors, long-term survival, and outcome of cancer patients receiving chemotherapy in the intensive care unit","type":"article-journal","volume":"93"},"uris":["http://www.mendeley.com/documents/?uuid=0733d133-5580-3a03-ba29-b76fb0421e62"]}],"mendeley":{"formattedCitation":"[224]","plainTextFormattedCitation":"[224]","previouslyFormattedCitation":"[224]"},"properties":{"noteIndex":0},"schema":"https://github.com/citation-style-language/schema/raw/master/csl-citation.json"}</w:instrText>
            </w:r>
            <w:r>
              <w:rPr>
                <w:szCs w:val="24"/>
                <w:lang w:val="en-US"/>
              </w:rPr>
              <w:fldChar w:fldCharType="separate"/>
            </w:r>
            <w:r w:rsidR="00275BAA" w:rsidRPr="00275BAA">
              <w:rPr>
                <w:noProof/>
                <w:szCs w:val="24"/>
                <w:lang w:val="en-US"/>
              </w:rPr>
              <w:t>[224]</w:t>
            </w:r>
            <w:r>
              <w:rPr>
                <w:szCs w:val="24"/>
                <w:lang w:val="en-US"/>
              </w:rPr>
              <w:fldChar w:fldCharType="end"/>
            </w:r>
          </w:p>
        </w:tc>
        <w:tc>
          <w:tcPr>
            <w:tcW w:w="2140" w:type="dxa"/>
          </w:tcPr>
          <w:p w14:paraId="27236401" w14:textId="77777777" w:rsidR="00E040DB" w:rsidRPr="008F721B" w:rsidRDefault="00E040DB" w:rsidP="005A428D">
            <w:pPr>
              <w:jc w:val="center"/>
              <w:rPr>
                <w:szCs w:val="24"/>
              </w:rPr>
            </w:pPr>
            <w:r w:rsidRPr="008F721B">
              <w:rPr>
                <w:szCs w:val="24"/>
              </w:rPr>
              <w:t>61</w:t>
            </w:r>
          </w:p>
        </w:tc>
        <w:tc>
          <w:tcPr>
            <w:tcW w:w="2447" w:type="dxa"/>
          </w:tcPr>
          <w:p w14:paraId="13C041A0" w14:textId="77777777" w:rsidR="00E040DB" w:rsidRPr="008F721B" w:rsidRDefault="00E040DB" w:rsidP="005A428D">
            <w:pPr>
              <w:jc w:val="center"/>
              <w:rPr>
                <w:szCs w:val="24"/>
              </w:rPr>
            </w:pPr>
            <w:r w:rsidRPr="008F721B">
              <w:rPr>
                <w:szCs w:val="24"/>
              </w:rPr>
              <w:t>61</w:t>
            </w:r>
          </w:p>
        </w:tc>
        <w:tc>
          <w:tcPr>
            <w:tcW w:w="2418" w:type="dxa"/>
          </w:tcPr>
          <w:p w14:paraId="51A240A2" w14:textId="77777777" w:rsidR="00E040DB" w:rsidRPr="008F721B" w:rsidRDefault="00E040DB" w:rsidP="005A428D">
            <w:pPr>
              <w:jc w:val="center"/>
              <w:rPr>
                <w:szCs w:val="24"/>
              </w:rPr>
            </w:pPr>
            <w:r w:rsidRPr="008F721B">
              <w:rPr>
                <w:szCs w:val="24"/>
              </w:rPr>
              <w:t>39</w:t>
            </w:r>
          </w:p>
        </w:tc>
      </w:tr>
      <w:tr w:rsidR="00E040DB" w:rsidRPr="008F721B" w14:paraId="09839CBF" w14:textId="77777777" w:rsidTr="005A428D">
        <w:trPr>
          <w:trHeight w:val="840"/>
        </w:trPr>
        <w:tc>
          <w:tcPr>
            <w:tcW w:w="2422" w:type="dxa"/>
          </w:tcPr>
          <w:p w14:paraId="1FA5CE55" w14:textId="711CBD34" w:rsidR="00E040DB" w:rsidRPr="008F721B" w:rsidRDefault="00E040DB" w:rsidP="005A428D">
            <w:pPr>
              <w:jc w:val="center"/>
              <w:rPr>
                <w:szCs w:val="24"/>
              </w:rPr>
            </w:pPr>
            <w:r w:rsidRPr="008F721B">
              <w:rPr>
                <w:szCs w:val="24"/>
              </w:rPr>
              <w:t>Schellongowski P.и соавт.</w:t>
            </w:r>
            <w:r>
              <w:rPr>
                <w:szCs w:val="24"/>
              </w:rPr>
              <w:t>,</w:t>
            </w:r>
            <w:r>
              <w:rPr>
                <w:szCs w:val="24"/>
                <w:lang w:val="en-US"/>
              </w:rPr>
              <w:t xml:space="preserve"> 2010 </w:t>
            </w:r>
            <w:r>
              <w:rPr>
                <w:szCs w:val="24"/>
                <w:lang w:val="en-US"/>
              </w:rPr>
              <w:fldChar w:fldCharType="begin" w:fldLock="1"/>
            </w:r>
            <w:r w:rsidR="00C65573">
              <w:rPr>
                <w:szCs w:val="24"/>
                <w:lang w:val="en-US"/>
              </w:rPr>
              <w:instrText>ADDIN CSL_CITATION {"citationItems":[{"id":"ITEM-1","itemData":{"DOI":"10.3324/haematol.2010.031583","ISBN":"1592-8721","ISSN":"03906078","PMID":"21071501","abstract":"Acute myeloid leukemia is a life-threatening disease associated with high mortality rates. A substantial number of patients require intensive care. This investigation analyzes risk factors predicting admission to the intensive care unit in patients with acute myeloid leukemia eligible for induction chemotherapy, the outcome of these patients, and prognostic factors predicting their survival.","author":[{"dropping-particle":"","family":"Schellongowski","given":"Peter","non-dropping-particle":"","parse-names":false,"suffix":""},{"dropping-particle":"","family":"Staudinger","given":"Thomas","non-dropping-particle":"","parse-names":false,"suffix":""},{"dropping-particle":"","family":"Kundi","given":"Michael","non-dropping-particle":"","parse-names":false,"suffix":""},{"dropping-particle":"","family":"Laczika","given":"Klaus","non-dropping-particle":"","parse-names":false,"suffix":""},{"dropping-particle":"","family":"Locker","given":"Gottfried J.","non-dropping-particle":"","parse-names":false,"suffix":""},{"dropping-particle":"","family":"Bojic","given":"Andja","non-dropping-particle":"","parse-names":false,"suffix":""},{"dropping-particle":"","family":"Robak","given":"Oliver","non-dropping-particle":"","parse-names":false,"suffix":""},{"dropping-particle":"","family":"Fuhrmann","given":"Valentin","non-dropping-particle":"","parse-names":false,"suffix":""},{"dropping-particle":"","family":"Jäger","given":"Ulrich","non-dropping-particle":"","parse-names":false,"suffix":""},{"dropping-particle":"","family":"Valent","given":"Peter","non-dropping-particle":"","parse-names":false,"suffix":""},{"dropping-particle":"","family":"Sperr","given":"Wolfgang R.","non-dropping-particle":"","parse-names":false,"suffix":""}],"container-title":"Haematologica","id":"ITEM-1","issue":"2","issued":{"date-parts":[["2011","2"]]},"page":"231-237","title":"Prognostic factors for intensive care unit admission, intensive care outcome, and post-intensive care survival in patients with de novo acute myeloid leukemia: a single center experience","type":"article-journal","volume":"96"},"uris":["http://www.mendeley.com/documents/?uuid=7251567b-1fba-40bf-b96a-3bcd8583314e"]}],"mendeley":{"formattedCitation":"[211]","plainTextFormattedCitation":"[211]","previouslyFormattedCitation":"[211]"},"properties":{"noteIndex":0},"schema":"https://github.com/citation-style-language/schema/raw/master/csl-citation.json"}</w:instrText>
            </w:r>
            <w:r>
              <w:rPr>
                <w:szCs w:val="24"/>
                <w:lang w:val="en-US"/>
              </w:rPr>
              <w:fldChar w:fldCharType="separate"/>
            </w:r>
            <w:r w:rsidR="00275BAA" w:rsidRPr="00275BAA">
              <w:rPr>
                <w:noProof/>
                <w:szCs w:val="24"/>
                <w:lang w:val="en-US"/>
              </w:rPr>
              <w:t>[211]</w:t>
            </w:r>
            <w:r>
              <w:rPr>
                <w:szCs w:val="24"/>
                <w:lang w:val="en-US"/>
              </w:rPr>
              <w:fldChar w:fldCharType="end"/>
            </w:r>
            <w:r w:rsidRPr="008F721B">
              <w:rPr>
                <w:szCs w:val="24"/>
              </w:rPr>
              <w:t xml:space="preserve"> </w:t>
            </w:r>
          </w:p>
        </w:tc>
        <w:tc>
          <w:tcPr>
            <w:tcW w:w="2140" w:type="dxa"/>
          </w:tcPr>
          <w:p w14:paraId="36E955A4" w14:textId="77777777" w:rsidR="00E040DB" w:rsidRPr="008F721B" w:rsidRDefault="00E040DB" w:rsidP="005A428D">
            <w:pPr>
              <w:jc w:val="center"/>
              <w:rPr>
                <w:szCs w:val="24"/>
              </w:rPr>
            </w:pPr>
            <w:r w:rsidRPr="008F721B">
              <w:rPr>
                <w:szCs w:val="24"/>
              </w:rPr>
              <w:t>50</w:t>
            </w:r>
          </w:p>
        </w:tc>
        <w:tc>
          <w:tcPr>
            <w:tcW w:w="2447" w:type="dxa"/>
          </w:tcPr>
          <w:p w14:paraId="30874859" w14:textId="77777777" w:rsidR="00E040DB" w:rsidRPr="008F721B" w:rsidRDefault="00E040DB" w:rsidP="005A428D">
            <w:pPr>
              <w:jc w:val="center"/>
              <w:rPr>
                <w:szCs w:val="24"/>
              </w:rPr>
            </w:pPr>
            <w:r w:rsidRPr="008F721B">
              <w:rPr>
                <w:szCs w:val="24"/>
              </w:rPr>
              <w:t>3,2</w:t>
            </w:r>
          </w:p>
        </w:tc>
        <w:tc>
          <w:tcPr>
            <w:tcW w:w="2418" w:type="dxa"/>
          </w:tcPr>
          <w:p w14:paraId="50EF5B05" w14:textId="77777777" w:rsidR="00E040DB" w:rsidRPr="008F721B" w:rsidRDefault="00E040DB" w:rsidP="005A428D">
            <w:pPr>
              <w:jc w:val="center"/>
              <w:rPr>
                <w:szCs w:val="24"/>
              </w:rPr>
            </w:pPr>
            <w:r w:rsidRPr="008F721B">
              <w:rPr>
                <w:szCs w:val="24"/>
              </w:rPr>
              <w:t>8</w:t>
            </w:r>
          </w:p>
        </w:tc>
      </w:tr>
      <w:tr w:rsidR="00E040DB" w:rsidRPr="008F721B" w14:paraId="2EC6EA6A" w14:textId="77777777" w:rsidTr="005A428D">
        <w:trPr>
          <w:trHeight w:val="805"/>
        </w:trPr>
        <w:tc>
          <w:tcPr>
            <w:tcW w:w="2422" w:type="dxa"/>
          </w:tcPr>
          <w:p w14:paraId="1920FB45" w14:textId="6EF578C7" w:rsidR="00E040DB" w:rsidRPr="008F721B" w:rsidRDefault="00E040DB" w:rsidP="005A428D">
            <w:pPr>
              <w:jc w:val="center"/>
              <w:rPr>
                <w:szCs w:val="24"/>
              </w:rPr>
            </w:pPr>
            <w:r w:rsidRPr="008F721B">
              <w:rPr>
                <w:szCs w:val="24"/>
              </w:rPr>
              <w:t>Ahmed T. и соавт.</w:t>
            </w:r>
            <w:r>
              <w:rPr>
                <w:szCs w:val="24"/>
              </w:rPr>
              <w:t xml:space="preserve">, 2017 </w:t>
            </w:r>
            <w:r>
              <w:rPr>
                <w:szCs w:val="24"/>
              </w:rPr>
              <w:fldChar w:fldCharType="begin" w:fldLock="1"/>
            </w:r>
            <w:r w:rsidR="00C65573">
              <w:rPr>
                <w:szCs w:val="24"/>
              </w:rPr>
              <w:instrText>ADDIN CSL_CITATION {"citationItems":[{"id":"ITEM-1","itemData":{"DOI":"10.1016/j.leukres.2017.09.017","ISSN":"18735835","PMID":"28985622","abstract":"Patients with Acute Myeloid Leukemia (AML) have compromised marrow function and chemotherapy causes further suppression. As a result complications are frequent, and patients may require admission to the intensive care unit (ICU). How codes status changes when these events occur and how those changes influence outcome are largely unknown. Outcomes for adult patients with AML, undergoing induction chemotherapy, and transferred to the ICU between January 2000 and December 2013 were analyzed. 94 patients were included. Median survival was 1.3 months. At 3 and 6 months overall survival (OS) was 27% and 18% respectively. Respiratory failure was the most common reason for transfer to ICU (88%), with 63% requiring mechanical ventilation at transfer. Other reasons included: cardiac arrest (18%), septic shock (17%), hypotension (9%), and acute renal failure (9%). The most frequent interventions were mechanical ventilation in 85%, vasopressors in 62%, and hemodialysis in 30%. Following transfer 55 patients (58%) had a change in code status. Overall, 46 patients (49%) changed from Full Code (FC) to Comfort Care (CC), 7 (7%) from FC to Do Not Resuscitate (DNR), and 2 (2%) from DNR to CC. For the entire cohort, ICU mortality (IM) was 61% and hospital mortality (HM) was 71%. For FC or DNR patients, IM was 30% and HM was 41%. For CC patients, IM was 90% and HM was 100%. Overall, 27 patients (29%) survived to discharge. Of those discharged, 22 (81%) were alive at 3 months and 17 (63%) were alive at 6 months. In conclusion, patients that required ICU admission during induction chemotherapy have a poor prognosis. Code status changed during the ICU stay for the majority of patients and always to a less aggressive status.","author":[{"dropping-particle":"","family":"Ahmed","given":"Tamjeed","non-dropping-particle":"","parse-names":false,"suffix":""},{"dropping-particle":"","family":"Koch","given":"Abby L.","non-dropping-particle":"","parse-names":false,"suffix":""},{"dropping-particle":"","family":"Isom","given":"Scott","non-dropping-particle":"","parse-names":false,"suffix":""},{"dropping-particle":"","family":"Klepin","given":"Heidi D.","non-dropping-particle":"","parse-names":false,"suffix":""},{"dropping-particle":"","family":"Bishop","given":"Jonathan M.","non-dropping-particle":"","parse-names":false,"suffix":""},{"dropping-particle":"","family":"Ellis","given":"Leslie R.","non-dropping-particle":"","parse-names":false,"suffix":""},{"dropping-particle":"","family":"Berenzon","given":"Dmitriy","non-dropping-particle":"","parse-names":false,"suffix":""},{"dropping-particle":"","family":"Howard","given":"Dianna","non-dropping-particle":"","parse-names":false,"suffix":""},{"dropping-particle":"","family":"Lyerly","given":"Susan","non-dropping-particle":"","parse-names":false,"suffix":""},{"dropping-particle":"","family":"Powell","given":"Bayard L.","non-dropping-particle":"","parse-names":false,"suffix":""},{"dropping-particle":"","family":"Pardee","given":"Timothy S.","non-dropping-particle":"","parse-names":false,"suffix":""}],"container-title":"Leukemia Research","id":"ITEM-1","issued":{"date-parts":[["2017","11","1"]]},"page":"51-55","publisher":"Elsevier Ltd","title":"Outcomes and changes in code status of patients with acute myeloid leukemia undergoing induction chemotherapy who were transferred to the intensive care unit","type":"article-journal","volume":"62"},"uris":["http://www.mendeley.com/documents/?uuid=06d1336d-0ad4-3138-ba61-9709dde152aa"]}],"mendeley":{"formattedCitation":"[223]","plainTextFormattedCitation":"[223]","previouslyFormattedCitation":"[223]"},"properties":{"noteIndex":0},"schema":"https://github.com/citation-style-language/schema/raw/master/csl-citation.json"}</w:instrText>
            </w:r>
            <w:r>
              <w:rPr>
                <w:szCs w:val="24"/>
              </w:rPr>
              <w:fldChar w:fldCharType="separate"/>
            </w:r>
            <w:r w:rsidR="00275BAA" w:rsidRPr="00275BAA">
              <w:rPr>
                <w:noProof/>
                <w:szCs w:val="24"/>
              </w:rPr>
              <w:t>[223]</w:t>
            </w:r>
            <w:r>
              <w:rPr>
                <w:szCs w:val="24"/>
              </w:rPr>
              <w:fldChar w:fldCharType="end"/>
            </w:r>
            <w:r w:rsidRPr="008F721B">
              <w:rPr>
                <w:szCs w:val="24"/>
              </w:rPr>
              <w:t xml:space="preserve"> </w:t>
            </w:r>
          </w:p>
        </w:tc>
        <w:tc>
          <w:tcPr>
            <w:tcW w:w="2140" w:type="dxa"/>
          </w:tcPr>
          <w:p w14:paraId="21543C2B" w14:textId="77777777" w:rsidR="00E040DB" w:rsidRPr="008F721B" w:rsidRDefault="00E040DB" w:rsidP="005A428D">
            <w:pPr>
              <w:jc w:val="center"/>
              <w:rPr>
                <w:szCs w:val="24"/>
              </w:rPr>
            </w:pPr>
            <w:r w:rsidRPr="008F721B">
              <w:rPr>
                <w:szCs w:val="24"/>
              </w:rPr>
              <w:t>85</w:t>
            </w:r>
          </w:p>
        </w:tc>
        <w:tc>
          <w:tcPr>
            <w:tcW w:w="2447" w:type="dxa"/>
          </w:tcPr>
          <w:p w14:paraId="3794F6A4" w14:textId="77777777" w:rsidR="00E040DB" w:rsidRPr="008F721B" w:rsidRDefault="00E040DB" w:rsidP="005A428D">
            <w:pPr>
              <w:jc w:val="center"/>
              <w:rPr>
                <w:szCs w:val="24"/>
              </w:rPr>
            </w:pPr>
            <w:r w:rsidRPr="008F721B">
              <w:rPr>
                <w:szCs w:val="24"/>
              </w:rPr>
              <w:t>30</w:t>
            </w:r>
          </w:p>
        </w:tc>
        <w:tc>
          <w:tcPr>
            <w:tcW w:w="2418" w:type="dxa"/>
          </w:tcPr>
          <w:p w14:paraId="68C6D42E" w14:textId="77777777" w:rsidR="00E040DB" w:rsidRPr="008F721B" w:rsidRDefault="00E040DB" w:rsidP="005A428D">
            <w:pPr>
              <w:jc w:val="center"/>
              <w:rPr>
                <w:szCs w:val="24"/>
              </w:rPr>
            </w:pPr>
            <w:r w:rsidRPr="008F721B">
              <w:rPr>
                <w:szCs w:val="24"/>
              </w:rPr>
              <w:t>62</w:t>
            </w:r>
          </w:p>
        </w:tc>
      </w:tr>
    </w:tbl>
    <w:p w14:paraId="201BA818" w14:textId="77777777" w:rsidR="00E040DB" w:rsidRPr="008F721B" w:rsidRDefault="00E040DB" w:rsidP="00E040DB">
      <w:pPr>
        <w:ind w:firstLine="284"/>
        <w:rPr>
          <w:szCs w:val="24"/>
        </w:rPr>
      </w:pPr>
    </w:p>
    <w:p w14:paraId="600C7469" w14:textId="77777777" w:rsidR="00E040DB" w:rsidRPr="008F721B" w:rsidRDefault="00E040DB" w:rsidP="00E040DB">
      <w:pPr>
        <w:ind w:firstLine="709"/>
        <w:rPr>
          <w:szCs w:val="24"/>
        </w:rPr>
      </w:pPr>
      <w:r w:rsidRPr="008F721B">
        <w:rPr>
          <w:szCs w:val="24"/>
        </w:rPr>
        <w:t>В тоже время, именно проведение интенсивной терапии в сочетании с программным лечением (в том числе, химиотерапией), несмотря на критические синдромы, в дальнейшем дает возможность достичь ремиссии гематологического заболевания, а не просто пережить критическое состояние.</w:t>
      </w:r>
    </w:p>
    <w:p w14:paraId="58DADC39" w14:textId="77777777" w:rsidR="00E040DB" w:rsidRDefault="00E040DB" w:rsidP="00E040DB">
      <w:pPr>
        <w:pStyle w:val="2"/>
        <w:spacing w:before="0"/>
        <w:ind w:firstLine="708"/>
      </w:pPr>
    </w:p>
    <w:p w14:paraId="5F3F6F1D" w14:textId="77777777" w:rsidR="00E040DB" w:rsidRPr="00854947" w:rsidRDefault="00E040DB" w:rsidP="00E040DB">
      <w:pPr>
        <w:ind w:firstLine="708"/>
        <w:rPr>
          <w:szCs w:val="24"/>
          <w:u w:val="single"/>
        </w:rPr>
      </w:pPr>
      <w:r w:rsidRPr="00854947">
        <w:rPr>
          <w:szCs w:val="24"/>
          <w:u w:val="single"/>
        </w:rPr>
        <w:t>Показания к переводу в ОРИТ у гематологических пациентов</w:t>
      </w:r>
    </w:p>
    <w:p w14:paraId="1F96A7C5" w14:textId="77777777" w:rsidR="00E040DB" w:rsidRPr="008F721B" w:rsidRDefault="00E040DB" w:rsidP="00E040DB">
      <w:pPr>
        <w:ind w:firstLine="709"/>
        <w:rPr>
          <w:szCs w:val="24"/>
        </w:rPr>
      </w:pPr>
      <w:r w:rsidRPr="008F721B">
        <w:rPr>
          <w:szCs w:val="24"/>
        </w:rPr>
        <w:t>Критическими синдромами, требующими перевода в ОРИТ являются: сепсис, септический шок (СШ), ОДН, ОПН, острое нарушение мозгового кровообращения (ОНМК) по ишемическому или геморрагическому типу, синдром массивного лизиса опухоли, жизнеугрожающее нарушение сердечного ритма, массивное желудочно-кишечное кровотечение.</w:t>
      </w:r>
    </w:p>
    <w:p w14:paraId="71AEEA2F" w14:textId="77777777" w:rsidR="00E040DB" w:rsidRPr="008F721B" w:rsidRDefault="00E040DB" w:rsidP="00E040DB">
      <w:pPr>
        <w:ind w:firstLine="709"/>
        <w:contextualSpacing/>
        <w:rPr>
          <w:szCs w:val="24"/>
        </w:rPr>
      </w:pPr>
      <w:r w:rsidRPr="008F721B">
        <w:rPr>
          <w:szCs w:val="24"/>
        </w:rPr>
        <w:t xml:space="preserve">Диагноз </w:t>
      </w:r>
      <w:r w:rsidRPr="008F721B">
        <w:rPr>
          <w:i/>
          <w:szCs w:val="24"/>
        </w:rPr>
        <w:t xml:space="preserve">сепсиса </w:t>
      </w:r>
      <w:r w:rsidRPr="008F721B">
        <w:rPr>
          <w:szCs w:val="24"/>
        </w:rPr>
        <w:t xml:space="preserve">устанавливается согласно критериям, которые приняты на 3 медународной конференции по согласованию определения сепсиса и СШ. Сепсисом считается жизнеугрожающее состояние с дисфункцией органов и систем в результате дизрегуляторного ответа организма на инфекционный процесс. В качестве диагностического критерия используют шкалу тяжести больных </w:t>
      </w:r>
      <w:r w:rsidRPr="008F721B">
        <w:rPr>
          <w:szCs w:val="24"/>
          <w:lang w:val="en-US"/>
        </w:rPr>
        <w:t>SOFA</w:t>
      </w:r>
      <w:r w:rsidRPr="008F721B">
        <w:rPr>
          <w:szCs w:val="24"/>
        </w:rPr>
        <w:t xml:space="preserve">. Резкое повышение по шкале </w:t>
      </w:r>
      <w:r w:rsidRPr="008F721B">
        <w:rPr>
          <w:szCs w:val="24"/>
          <w:lang w:val="en-US"/>
        </w:rPr>
        <w:t>SOFA</w:t>
      </w:r>
      <w:r w:rsidRPr="008F721B">
        <w:rPr>
          <w:szCs w:val="24"/>
        </w:rPr>
        <w:t xml:space="preserve"> более чем на 2 балла по сравнению с предыдущим состоянием больного вместе с предполагаемым инфекционным процессом являются необходимыми критериями для установления диагноза сепсиса.</w:t>
      </w:r>
    </w:p>
    <w:p w14:paraId="5E5B0110" w14:textId="77777777" w:rsidR="00E040DB" w:rsidRPr="008F721B" w:rsidRDefault="00E040DB" w:rsidP="00E040DB">
      <w:pPr>
        <w:ind w:firstLine="709"/>
        <w:contextualSpacing/>
        <w:rPr>
          <w:szCs w:val="24"/>
        </w:rPr>
      </w:pPr>
      <w:r w:rsidRPr="008F721B">
        <w:rPr>
          <w:i/>
          <w:szCs w:val="24"/>
        </w:rPr>
        <w:t>Диагноз СШ</w:t>
      </w:r>
      <w:r w:rsidRPr="008F721B">
        <w:rPr>
          <w:szCs w:val="24"/>
        </w:rPr>
        <w:t xml:space="preserve"> устанавливаливают при выявлении сепсиса, который протекает с органной дисфункцией, а именно с оценкой в более чем 2 балла по шкале SOFA и артериальной гипотензией, которая сохраняется после инфузии 2000 мл кристаллоидных растворов, и требует для своей коррекции введения инотропных и/или вазопрессорных препаратов, с повышением концентрации лактата артериальной крови более 2,0 ммоль/л. </w:t>
      </w:r>
    </w:p>
    <w:p w14:paraId="6444A38B" w14:textId="61058850" w:rsidR="00E040DB" w:rsidRPr="008F721B" w:rsidRDefault="00E040DB" w:rsidP="00E040DB">
      <w:pPr>
        <w:ind w:firstLine="709"/>
        <w:contextualSpacing/>
        <w:rPr>
          <w:szCs w:val="24"/>
        </w:rPr>
      </w:pPr>
      <w:r w:rsidRPr="008F721B">
        <w:rPr>
          <w:i/>
          <w:szCs w:val="24"/>
        </w:rPr>
        <w:t>ОДН</w:t>
      </w:r>
      <w:r w:rsidRPr="008F721B">
        <w:rPr>
          <w:szCs w:val="24"/>
        </w:rPr>
        <w:t xml:space="preserve"> устанваливается при наличии следующих критериев (одного или нескольких): тахипноэ (число дыханий в покое более 30 в 1 мин), артериальная гипоксемия (парциальное давление кислорода в артериальной крови ниже 60 мм рт.ст. при дыхании воздухом или снижение PaO</w:t>
      </w:r>
      <w:r w:rsidRPr="008F721B">
        <w:rPr>
          <w:szCs w:val="24"/>
          <w:vertAlign w:val="subscript"/>
        </w:rPr>
        <w:t>2</w:t>
      </w:r>
      <w:r w:rsidRPr="008F721B">
        <w:rPr>
          <w:szCs w:val="24"/>
        </w:rPr>
        <w:t>/FiO</w:t>
      </w:r>
      <w:r w:rsidRPr="008F721B">
        <w:rPr>
          <w:szCs w:val="24"/>
          <w:vertAlign w:val="subscript"/>
        </w:rPr>
        <w:t>2</w:t>
      </w:r>
      <w:r w:rsidRPr="008F721B">
        <w:rPr>
          <w:szCs w:val="24"/>
        </w:rPr>
        <w:t xml:space="preserve"> менее 300); гиперкапния (повышение парциального давления углекислого газа в артериальной крови выше 50 мм рт.ст.) </w:t>
      </w:r>
      <w:r w:rsidRPr="008F721B">
        <w:rPr>
          <w:szCs w:val="24"/>
        </w:rPr>
        <w:fldChar w:fldCharType="begin" w:fldLock="1"/>
      </w:r>
      <w:r w:rsidR="00C65573">
        <w:rPr>
          <w:szCs w:val="24"/>
        </w:rPr>
        <w:instrText>ADDIN CSL_CITATION {"citationItems":[{"id":"ITEM-1","itemData":{"DOI":"10.1001/jama.2017.21907","ISSN":"0098-7484","abstract":"&lt;h3&gt;Importance&lt;/h3&gt;&lt;p&gt;Acute respiratory distress syndrome (ARDS) is a life-threatening form of respiratory failure that affects approximately 200 000 patients each year in the United States, resulting in nearly 75 000 deaths annually. Globally, ARDS accounts for 10% of intensive care unit admissions, representing more than 3 million patients with ARDS annually.&lt;/p&gt;&lt;h3&gt;Objective&lt;/h3&gt;&lt;p&gt;To review advances in diagnosis and treatment of ARDS over the last 5 years.&lt;/p&gt;&lt;h3&gt;Evidence Review&lt;/h3&gt;&lt;p&gt;We searched MEDLINE, EMBASE, and the Cochrane Database of Systematic Reviews from 2012 to 2017 focusing on randomized clinical trials, meta-analyses, systematic reviews, and clinical practice guidelines. Articles were identified for full text review with manual review of bibliographies generating additional references.&lt;/p&gt;&lt;h3&gt;Findings&lt;/h3&gt;&lt;p&gt;After screening 1662 citations, 31 articles detailing major advances in the diagnosis or treatment of ARDS were selected. The Berlin definition proposed 3 categories of ARDS based on the severity of hypoxemia: mild (200 mm Hg&amp;lt;Pao&lt;sub&gt;2&lt;/sub&gt;/Fio&lt;sub&gt;2&lt;/sub&gt;≤300 mm Hg), moderate (100 mm Hg&amp;lt;Pao&lt;sub&gt;2&lt;/sub&gt;/Fio&lt;sub&gt;2&lt;/sub&gt;≤200 mm Hg), and severe (Pao&lt;sub&gt;2&lt;/sub&gt;/Fio&lt;sub&gt;2&lt;/sub&gt;≤100 mm Hg), along with explicit criteria related to timing of the syndrome’s onset, origin of edema, and the chest radiograph findings. The Berlin definition has significantly greater predictive validity for mortality than the prior American-European Consensus Conference definition. Clinician interpretation of the origin of edema and chest radiograph criteria may be less reliable in making a diagnosis of ARDS. The cornerstone of management remains mechanical ventilation, with a goal to minimize ventilator-induced lung injury (VILI). Aspirin was not effective in preventing ARDS in patients at high-risk for the syndrome. Adjunctive interventions to further minimize VILI, such as prone positioning in patients with a Pao&lt;sub&gt;2&lt;/sub&gt;/Fio&lt;sub&gt;2&lt;/sub&gt;ratio less than 150 mm Hg, were associated with a significant mortality benefit whereas others (eg, extracorporeal carbon dioxide removal) remain experimental. Pharmacologic therapies such as β&lt;sub&gt;2&lt;/sub&gt;agonists, statins, and keratinocyte growth factor, which targeted pathophysiologic alterations in ARDS, were not beneficial and demonstrated possible harm. Recent guidelines on mechanical ventilation in ARDS provide evidence-based recommendations related to 6 interventions, including low tidal volume and inspirato…","author":[{"dropping-particle":"","family":"Fan","given":"Eddy","non-dropping-particle":"","parse-names":false,"suffix":""},{"dropping-particle":"","family":"Brodie","given":"Daniel","non-dropping-particle":"","parse-names":false,"suffix":""},{"dropping-particle":"","family":"Slutsky","given":"Arthur S.","non-dropping-particle":"","parse-names":false,"suffix":""}],"container-title":"JAMA","id":"ITEM-1","issue":"7","issued":{"date-parts":[["2018","2"]]},"page":"698","publisher":"American Medical Association","title":"Acute Respiratory Distress Syndrome","type":"article-journal","volume":"319"},"uris":["http://www.mendeley.com/documents/?uuid=37eba551-50b1-49af-8755-8b098396bb63"]}],"mendeley":{"formattedCitation":"[225]","plainTextFormattedCitation":"[225]","previouslyFormattedCitation":"[225]"},"properties":{"noteIndex":0},"schema":"https://github.com/citation-style-language/schema/raw/master/csl-citation.json"}</w:instrText>
      </w:r>
      <w:r w:rsidRPr="008F721B">
        <w:rPr>
          <w:szCs w:val="24"/>
        </w:rPr>
        <w:fldChar w:fldCharType="separate"/>
      </w:r>
      <w:r w:rsidR="00275BAA" w:rsidRPr="00275BAA">
        <w:rPr>
          <w:noProof/>
          <w:szCs w:val="24"/>
        </w:rPr>
        <w:t>[225]</w:t>
      </w:r>
      <w:r w:rsidRPr="008F721B">
        <w:rPr>
          <w:szCs w:val="24"/>
        </w:rPr>
        <w:fldChar w:fldCharType="end"/>
      </w:r>
      <w:r w:rsidRPr="008F721B">
        <w:rPr>
          <w:szCs w:val="24"/>
        </w:rPr>
        <w:t xml:space="preserve">. Для уточнения характера повреждения легких необходимо провести КТ исследования органов грудной клетки. Это необходимо как для наблюдения за динамикой так и для определения сегмента, где будет выполняться бронхоальвеолярный лаваж. </w:t>
      </w:r>
    </w:p>
    <w:p w14:paraId="3842F871" w14:textId="77777777" w:rsidR="00E040DB" w:rsidRPr="008F721B" w:rsidRDefault="00E040DB" w:rsidP="00E040DB">
      <w:pPr>
        <w:ind w:firstLine="709"/>
        <w:contextualSpacing/>
        <w:rPr>
          <w:szCs w:val="24"/>
        </w:rPr>
      </w:pPr>
      <w:r w:rsidRPr="008F721B">
        <w:rPr>
          <w:iCs/>
          <w:szCs w:val="24"/>
        </w:rPr>
        <w:t xml:space="preserve">Для </w:t>
      </w:r>
      <w:r w:rsidRPr="008F721B">
        <w:rPr>
          <w:i/>
          <w:szCs w:val="24"/>
        </w:rPr>
        <w:t>ОНМК</w:t>
      </w:r>
      <w:r w:rsidRPr="008F721B">
        <w:rPr>
          <w:szCs w:val="24"/>
        </w:rPr>
        <w:t xml:space="preserve"> типично внезапное появление очаговой неврологической симптоматики и/или общемозговых нарушений (угнетение сознания, головная боль, тошнота и/или рвота). Диагноз ОНМК подтверждается при проведении магнитно-резонансной томографии и/или компьютерной томографии головного мозга (по показаниям с контрастированием), по результатам которых выставляется вариант ОНМК: ишемический или геморрагический.</w:t>
      </w:r>
    </w:p>
    <w:p w14:paraId="7C41E4EF" w14:textId="77777777" w:rsidR="00E040DB" w:rsidRPr="008F721B" w:rsidRDefault="00E040DB" w:rsidP="00E040DB">
      <w:pPr>
        <w:ind w:firstLine="709"/>
        <w:contextualSpacing/>
        <w:rPr>
          <w:szCs w:val="24"/>
        </w:rPr>
      </w:pPr>
      <w:r w:rsidRPr="008F721B">
        <w:rPr>
          <w:i/>
          <w:szCs w:val="24"/>
        </w:rPr>
        <w:t xml:space="preserve"> ОПН</w:t>
      </w:r>
      <w:r w:rsidRPr="008F721B">
        <w:rPr>
          <w:szCs w:val="24"/>
        </w:rPr>
        <w:t xml:space="preserve"> принято считать повышение сывороточной концентрации креатинина более 200 мкмоль/л в двух последовательных исследованиях в течение 12часов и/или олигурию (диурез менее 0,5 мл/кг/час) за тот же промежуток времени.</w:t>
      </w:r>
    </w:p>
    <w:p w14:paraId="06F89585" w14:textId="77777777" w:rsidR="00E040DB" w:rsidRPr="008F721B" w:rsidRDefault="00E040DB" w:rsidP="00E040DB">
      <w:pPr>
        <w:ind w:firstLine="709"/>
        <w:contextualSpacing/>
        <w:rPr>
          <w:szCs w:val="24"/>
        </w:rPr>
      </w:pPr>
      <w:r w:rsidRPr="008F721B">
        <w:rPr>
          <w:szCs w:val="24"/>
        </w:rPr>
        <w:t xml:space="preserve">К </w:t>
      </w:r>
      <w:r w:rsidRPr="008F721B">
        <w:rPr>
          <w:i/>
          <w:szCs w:val="24"/>
        </w:rPr>
        <w:t>жизнеугрожающими нарушениями сердечного ритма</w:t>
      </w:r>
      <w:r w:rsidRPr="008F721B">
        <w:rPr>
          <w:szCs w:val="24"/>
        </w:rPr>
        <w:t xml:space="preserve"> относят желудочковую тахикардию, фибрилляцию предсердий, сопровождающуюся снижением среднего артериального давления ниже 65 мм рт.ст. или систолического артериального давления ниже 80 мм рт.ст., атриовентрикулярную блокаду III степени. </w:t>
      </w:r>
    </w:p>
    <w:p w14:paraId="098CC9FD" w14:textId="77777777" w:rsidR="00E040DB" w:rsidRPr="008F721B" w:rsidRDefault="00E040DB" w:rsidP="00E040DB">
      <w:pPr>
        <w:ind w:firstLine="709"/>
        <w:contextualSpacing/>
        <w:rPr>
          <w:szCs w:val="24"/>
        </w:rPr>
      </w:pPr>
      <w:r w:rsidRPr="008F721B">
        <w:rPr>
          <w:szCs w:val="24"/>
        </w:rPr>
        <w:t xml:space="preserve">При массивных желудочно-кишечных кровотечениях требуется перевод больных в ОРИТ для стабилизации состояния и проведения экстренных эндоскопических исследований. </w:t>
      </w:r>
    </w:p>
    <w:p w14:paraId="792DAB00" w14:textId="77777777" w:rsidR="00E040DB" w:rsidRDefault="00E040DB" w:rsidP="00E040DB">
      <w:pPr>
        <w:ind w:firstLine="709"/>
        <w:contextualSpacing/>
        <w:rPr>
          <w:b/>
          <w:szCs w:val="24"/>
        </w:rPr>
      </w:pPr>
    </w:p>
    <w:p w14:paraId="680612C3" w14:textId="77777777" w:rsidR="00E040DB" w:rsidRPr="003C0A4C" w:rsidRDefault="00E040DB" w:rsidP="00E040DB">
      <w:pPr>
        <w:ind w:firstLine="709"/>
        <w:contextualSpacing/>
        <w:rPr>
          <w:i/>
          <w:szCs w:val="24"/>
          <w:u w:val="single"/>
        </w:rPr>
      </w:pPr>
      <w:r w:rsidRPr="003C0A4C">
        <w:rPr>
          <w:i/>
          <w:szCs w:val="24"/>
          <w:u w:val="single"/>
        </w:rPr>
        <w:t>Задачи врача – реаниматолога</w:t>
      </w:r>
    </w:p>
    <w:p w14:paraId="4C0AB51B" w14:textId="77777777" w:rsidR="00E040DB" w:rsidRPr="008F721B" w:rsidRDefault="00E040DB" w:rsidP="00E040DB">
      <w:pPr>
        <w:ind w:firstLine="709"/>
        <w:contextualSpacing/>
        <w:rPr>
          <w:szCs w:val="24"/>
        </w:rPr>
      </w:pPr>
      <w:r w:rsidRPr="008F721B">
        <w:rPr>
          <w:szCs w:val="24"/>
        </w:rPr>
        <w:t>При поступлении в ОРИТ гематологического пациента врач – реаниматолог решает несколько задач:</w:t>
      </w:r>
    </w:p>
    <w:p w14:paraId="51D2A6B9" w14:textId="77777777" w:rsidR="00E040DB" w:rsidRPr="003C0A4C" w:rsidRDefault="00E040DB" w:rsidP="0091350E">
      <w:pPr>
        <w:pStyle w:val="aff"/>
        <w:numPr>
          <w:ilvl w:val="0"/>
          <w:numId w:val="146"/>
        </w:numPr>
        <w:contextualSpacing/>
        <w:rPr>
          <w:szCs w:val="24"/>
        </w:rPr>
      </w:pPr>
      <w:r w:rsidRPr="003C0A4C">
        <w:rPr>
          <w:szCs w:val="24"/>
        </w:rPr>
        <w:t>диагностика и установление этиологической причины развития жизнеугрожающего состояния (осмотр, опрос, анамнез, клинико-лабораторные и инструментальные методы);</w:t>
      </w:r>
    </w:p>
    <w:p w14:paraId="1952DFDA" w14:textId="77777777" w:rsidR="00E040DB" w:rsidRPr="003C0A4C" w:rsidRDefault="00E040DB" w:rsidP="0091350E">
      <w:pPr>
        <w:pStyle w:val="aff"/>
        <w:numPr>
          <w:ilvl w:val="0"/>
          <w:numId w:val="146"/>
        </w:numPr>
        <w:contextualSpacing/>
        <w:rPr>
          <w:szCs w:val="24"/>
        </w:rPr>
      </w:pPr>
      <w:r w:rsidRPr="003C0A4C">
        <w:rPr>
          <w:szCs w:val="24"/>
        </w:rPr>
        <w:t>манипуляции, направленные на обеспечение сосудистого доступа (установка центрального венозного катетера, периферических венозных доступов), поддержание проходимости дыхательных путей (установка воздуховода, интубация трахеи), инвазивного мониторинга показателей гемодинамики (установка артериального катетера), декомпрессия желудка, катетеризация мочевого пузыря;</w:t>
      </w:r>
    </w:p>
    <w:p w14:paraId="1B625D1A" w14:textId="77777777" w:rsidR="00E040DB" w:rsidRPr="003C0A4C" w:rsidRDefault="00E040DB" w:rsidP="0091350E">
      <w:pPr>
        <w:pStyle w:val="aff"/>
        <w:numPr>
          <w:ilvl w:val="0"/>
          <w:numId w:val="146"/>
        </w:numPr>
        <w:contextualSpacing/>
        <w:rPr>
          <w:szCs w:val="24"/>
        </w:rPr>
      </w:pPr>
      <w:r w:rsidRPr="003C0A4C">
        <w:rPr>
          <w:szCs w:val="24"/>
        </w:rPr>
        <w:t>стабилизация состояния пациента с применением методик протезирования жизненно-важных органов (ИВЛ, вазопрессорная поддержка, заместительная почечная терапия);</w:t>
      </w:r>
    </w:p>
    <w:p w14:paraId="279A7D0C" w14:textId="77777777" w:rsidR="00E040DB" w:rsidRPr="003C0A4C" w:rsidRDefault="00E040DB" w:rsidP="0091350E">
      <w:pPr>
        <w:pStyle w:val="aff"/>
        <w:numPr>
          <w:ilvl w:val="0"/>
          <w:numId w:val="146"/>
        </w:numPr>
        <w:contextualSpacing/>
        <w:rPr>
          <w:szCs w:val="24"/>
        </w:rPr>
      </w:pPr>
      <w:r w:rsidRPr="003C0A4C">
        <w:rPr>
          <w:szCs w:val="24"/>
        </w:rPr>
        <w:t>проведение сопроводительной терапии, которая включает в себя антибиотическую (как противогрибковую, так и противовирусную) терапию, инфузионную, гемостатическую терапию, нутритивную поддержку и др.</w:t>
      </w:r>
    </w:p>
    <w:p w14:paraId="6CBBFD96" w14:textId="77777777" w:rsidR="00E040DB" w:rsidRPr="003C0A4C" w:rsidRDefault="00E040DB" w:rsidP="0091350E">
      <w:pPr>
        <w:pStyle w:val="aff"/>
        <w:numPr>
          <w:ilvl w:val="0"/>
          <w:numId w:val="146"/>
        </w:numPr>
        <w:contextualSpacing/>
        <w:rPr>
          <w:szCs w:val="24"/>
        </w:rPr>
      </w:pPr>
      <w:r w:rsidRPr="003C0A4C">
        <w:rPr>
          <w:szCs w:val="24"/>
        </w:rPr>
        <w:t>контроль лабораторных и витальных показателей пациента;</w:t>
      </w:r>
    </w:p>
    <w:p w14:paraId="02FC6798" w14:textId="77777777" w:rsidR="00E040DB" w:rsidRPr="003C0A4C" w:rsidRDefault="00E040DB" w:rsidP="0091350E">
      <w:pPr>
        <w:pStyle w:val="aff"/>
        <w:numPr>
          <w:ilvl w:val="0"/>
          <w:numId w:val="146"/>
        </w:numPr>
        <w:contextualSpacing/>
        <w:rPr>
          <w:szCs w:val="24"/>
        </w:rPr>
      </w:pPr>
      <w:r w:rsidRPr="003C0A4C">
        <w:rPr>
          <w:szCs w:val="24"/>
        </w:rPr>
        <w:t>организация консультаций специалистов при необходимости;</w:t>
      </w:r>
    </w:p>
    <w:p w14:paraId="281EEEB0" w14:textId="77777777" w:rsidR="00E040DB" w:rsidRPr="003C0A4C" w:rsidRDefault="00E040DB" w:rsidP="0091350E">
      <w:pPr>
        <w:pStyle w:val="aff"/>
        <w:numPr>
          <w:ilvl w:val="0"/>
          <w:numId w:val="146"/>
        </w:numPr>
        <w:contextualSpacing/>
        <w:rPr>
          <w:szCs w:val="24"/>
        </w:rPr>
      </w:pPr>
      <w:r w:rsidRPr="003C0A4C">
        <w:rPr>
          <w:szCs w:val="24"/>
        </w:rPr>
        <w:t>выполнение диагностических и лечебных манипуляций и исследований (проведение спиннномозговой/люмбальной пункции, наложение дилятационной трахеостомы и/или гастростомы).</w:t>
      </w:r>
    </w:p>
    <w:p w14:paraId="45B79FD2" w14:textId="77777777" w:rsidR="00E040DB" w:rsidRPr="008F721B" w:rsidRDefault="00E040DB" w:rsidP="00E040DB">
      <w:pPr>
        <w:ind w:firstLine="709"/>
        <w:contextualSpacing/>
        <w:rPr>
          <w:szCs w:val="24"/>
        </w:rPr>
      </w:pPr>
    </w:p>
    <w:p w14:paraId="307B0984" w14:textId="77777777" w:rsidR="00E040DB" w:rsidRPr="003C0A4C" w:rsidRDefault="00E040DB" w:rsidP="00E040DB">
      <w:pPr>
        <w:ind w:firstLine="709"/>
        <w:contextualSpacing/>
        <w:rPr>
          <w:i/>
          <w:szCs w:val="24"/>
          <w:u w:val="single"/>
        </w:rPr>
      </w:pPr>
      <w:r w:rsidRPr="003C0A4C">
        <w:rPr>
          <w:i/>
          <w:szCs w:val="24"/>
          <w:u w:val="single"/>
        </w:rPr>
        <w:t>Алгоритм действия врача при поступлении гематологического пациента в ОРИТ</w:t>
      </w:r>
    </w:p>
    <w:p w14:paraId="7B28D8B4" w14:textId="77777777" w:rsidR="00E040DB" w:rsidRPr="003C0A4C" w:rsidRDefault="00E040DB" w:rsidP="00E040DB">
      <w:pPr>
        <w:ind w:firstLine="709"/>
        <w:contextualSpacing/>
        <w:rPr>
          <w:szCs w:val="24"/>
          <w:u w:val="single"/>
        </w:rPr>
      </w:pPr>
      <w:r w:rsidRPr="003C0A4C">
        <w:rPr>
          <w:szCs w:val="24"/>
          <w:u w:val="single"/>
        </w:rPr>
        <w:t xml:space="preserve">Перечень основных диагностических исследований (лабораторные): </w:t>
      </w:r>
    </w:p>
    <w:p w14:paraId="690E63BB" w14:textId="77777777" w:rsidR="00E040DB" w:rsidRPr="008F721B" w:rsidRDefault="00E040DB" w:rsidP="0091350E">
      <w:pPr>
        <w:pStyle w:val="aff"/>
        <w:numPr>
          <w:ilvl w:val="0"/>
          <w:numId w:val="146"/>
        </w:numPr>
        <w:contextualSpacing/>
        <w:rPr>
          <w:szCs w:val="24"/>
        </w:rPr>
      </w:pPr>
      <w:r w:rsidRPr="008F721B">
        <w:rPr>
          <w:szCs w:val="24"/>
        </w:rPr>
        <w:t>Общий (клинический) анализ крови развернутый;</w:t>
      </w:r>
    </w:p>
    <w:p w14:paraId="6814DDF7" w14:textId="77777777" w:rsidR="00E040DB" w:rsidRPr="008F721B" w:rsidRDefault="00E040DB" w:rsidP="0091350E">
      <w:pPr>
        <w:pStyle w:val="aff"/>
        <w:numPr>
          <w:ilvl w:val="0"/>
          <w:numId w:val="146"/>
        </w:numPr>
        <w:contextualSpacing/>
        <w:rPr>
          <w:szCs w:val="24"/>
        </w:rPr>
      </w:pPr>
      <w:r w:rsidRPr="008F721B">
        <w:rPr>
          <w:szCs w:val="24"/>
        </w:rPr>
        <w:t>Анализ крови биохимический (мочевина, креатинин, билирубин (в том числе по фракциям), мочевая кислота, панкреатическая аимлаза, амилаза, липаза, альбумин, АЛТ/АСТ, КФК/КФК-МВ, глюкоза, калий, натрий, кальций ионизированный, хлор);</w:t>
      </w:r>
    </w:p>
    <w:p w14:paraId="03942F31" w14:textId="77777777" w:rsidR="00E040DB" w:rsidRPr="008F721B" w:rsidRDefault="00E040DB" w:rsidP="0091350E">
      <w:pPr>
        <w:pStyle w:val="aff"/>
        <w:numPr>
          <w:ilvl w:val="0"/>
          <w:numId w:val="146"/>
        </w:numPr>
        <w:contextualSpacing/>
        <w:rPr>
          <w:szCs w:val="24"/>
        </w:rPr>
      </w:pPr>
      <w:r w:rsidRPr="008F721B">
        <w:rPr>
          <w:szCs w:val="24"/>
        </w:rPr>
        <w:t xml:space="preserve">Коагулограмма; (АЧТВ, протромбин по Квику, тромбиновое время, фибриноген, антитромбин </w:t>
      </w:r>
      <w:r w:rsidRPr="003C0A4C">
        <w:rPr>
          <w:szCs w:val="24"/>
        </w:rPr>
        <w:t>III</w:t>
      </w:r>
      <w:r w:rsidRPr="008F721B">
        <w:rPr>
          <w:szCs w:val="24"/>
        </w:rPr>
        <w:t>);</w:t>
      </w:r>
    </w:p>
    <w:p w14:paraId="66E311D6" w14:textId="77777777" w:rsidR="00E040DB" w:rsidRPr="008F721B" w:rsidRDefault="00E040DB" w:rsidP="0091350E">
      <w:pPr>
        <w:pStyle w:val="aff"/>
        <w:numPr>
          <w:ilvl w:val="0"/>
          <w:numId w:val="146"/>
        </w:numPr>
        <w:contextualSpacing/>
        <w:rPr>
          <w:szCs w:val="24"/>
        </w:rPr>
      </w:pPr>
      <w:r w:rsidRPr="008F721B">
        <w:rPr>
          <w:szCs w:val="24"/>
        </w:rPr>
        <w:t>Общий анализ мочи;</w:t>
      </w:r>
    </w:p>
    <w:p w14:paraId="303030EF" w14:textId="77777777" w:rsidR="00E040DB" w:rsidRPr="008F721B" w:rsidRDefault="00E040DB" w:rsidP="0091350E">
      <w:pPr>
        <w:pStyle w:val="aff"/>
        <w:numPr>
          <w:ilvl w:val="0"/>
          <w:numId w:val="146"/>
        </w:numPr>
        <w:contextualSpacing/>
        <w:rPr>
          <w:szCs w:val="24"/>
        </w:rPr>
      </w:pPr>
      <w:r w:rsidRPr="008F721B">
        <w:rPr>
          <w:szCs w:val="24"/>
        </w:rPr>
        <w:t>Тромбоэластография;</w:t>
      </w:r>
    </w:p>
    <w:p w14:paraId="43D213C5" w14:textId="77777777" w:rsidR="00E040DB" w:rsidRPr="008F721B" w:rsidRDefault="00E040DB" w:rsidP="0091350E">
      <w:pPr>
        <w:pStyle w:val="aff"/>
        <w:numPr>
          <w:ilvl w:val="0"/>
          <w:numId w:val="146"/>
        </w:numPr>
        <w:contextualSpacing/>
        <w:rPr>
          <w:szCs w:val="24"/>
        </w:rPr>
      </w:pPr>
      <w:r w:rsidRPr="008F721B">
        <w:rPr>
          <w:szCs w:val="24"/>
        </w:rPr>
        <w:t>Микробиологическое (культуральное) исследование крови на стерильность (вена/катетер);</w:t>
      </w:r>
    </w:p>
    <w:p w14:paraId="6D4D4953" w14:textId="77777777" w:rsidR="00E040DB" w:rsidRPr="008F721B" w:rsidRDefault="00E040DB" w:rsidP="0091350E">
      <w:pPr>
        <w:pStyle w:val="aff"/>
        <w:numPr>
          <w:ilvl w:val="0"/>
          <w:numId w:val="146"/>
        </w:numPr>
        <w:contextualSpacing/>
        <w:rPr>
          <w:szCs w:val="24"/>
        </w:rPr>
      </w:pPr>
      <w:r w:rsidRPr="008F721B">
        <w:rPr>
          <w:szCs w:val="24"/>
        </w:rPr>
        <w:t>Микробиологическое (культуральное) исследование мочи на бактериальные патогены;</w:t>
      </w:r>
    </w:p>
    <w:p w14:paraId="4902F069" w14:textId="77777777" w:rsidR="00E040DB" w:rsidRPr="008F721B" w:rsidRDefault="00E040DB" w:rsidP="0091350E">
      <w:pPr>
        <w:pStyle w:val="aff"/>
        <w:numPr>
          <w:ilvl w:val="0"/>
          <w:numId w:val="146"/>
        </w:numPr>
        <w:contextualSpacing/>
        <w:rPr>
          <w:szCs w:val="24"/>
        </w:rPr>
      </w:pPr>
      <w:r w:rsidRPr="008F721B">
        <w:rPr>
          <w:szCs w:val="24"/>
        </w:rPr>
        <w:t>Микробиологическое (культуральное) исследование кала на аэробные и факультативно – анаэробные микроорганизмы;</w:t>
      </w:r>
    </w:p>
    <w:p w14:paraId="10CDBE58" w14:textId="77777777" w:rsidR="00E040DB" w:rsidRPr="008F721B" w:rsidRDefault="00E040DB" w:rsidP="0091350E">
      <w:pPr>
        <w:pStyle w:val="aff"/>
        <w:numPr>
          <w:ilvl w:val="0"/>
          <w:numId w:val="146"/>
        </w:numPr>
        <w:contextualSpacing/>
        <w:rPr>
          <w:szCs w:val="24"/>
        </w:rPr>
      </w:pPr>
      <w:r w:rsidRPr="008F721B">
        <w:rPr>
          <w:szCs w:val="24"/>
        </w:rPr>
        <w:t xml:space="preserve">Микробиологическое (культуральное) исследование бронхоальвеолярной лаважной жидкости (на пневмоцисты, грибы, бактериальные патогены); </w:t>
      </w:r>
    </w:p>
    <w:p w14:paraId="400BF369" w14:textId="77777777" w:rsidR="00E040DB" w:rsidRPr="008F721B" w:rsidRDefault="00E040DB" w:rsidP="0091350E">
      <w:pPr>
        <w:pStyle w:val="aff"/>
        <w:numPr>
          <w:ilvl w:val="0"/>
          <w:numId w:val="146"/>
        </w:numPr>
        <w:contextualSpacing/>
        <w:rPr>
          <w:szCs w:val="24"/>
        </w:rPr>
      </w:pPr>
      <w:r w:rsidRPr="008F721B">
        <w:rPr>
          <w:szCs w:val="24"/>
        </w:rPr>
        <w:t>Микроскопическое исследование лаважной жидкости;</w:t>
      </w:r>
    </w:p>
    <w:p w14:paraId="2585DAE3" w14:textId="77777777" w:rsidR="00E040DB" w:rsidRPr="008F721B" w:rsidRDefault="00E040DB" w:rsidP="0091350E">
      <w:pPr>
        <w:pStyle w:val="aff"/>
        <w:numPr>
          <w:ilvl w:val="0"/>
          <w:numId w:val="146"/>
        </w:numPr>
        <w:contextualSpacing/>
        <w:rPr>
          <w:szCs w:val="24"/>
        </w:rPr>
      </w:pPr>
      <w:r w:rsidRPr="008F721B">
        <w:rPr>
          <w:szCs w:val="24"/>
        </w:rPr>
        <w:t>Цитологическое исследование клеток спинномозговой жидкости;</w:t>
      </w:r>
    </w:p>
    <w:p w14:paraId="1B2B04D8" w14:textId="77777777" w:rsidR="00E040DB" w:rsidRPr="008F721B" w:rsidRDefault="00E040DB" w:rsidP="0091350E">
      <w:pPr>
        <w:pStyle w:val="aff"/>
        <w:numPr>
          <w:ilvl w:val="0"/>
          <w:numId w:val="146"/>
        </w:numPr>
        <w:contextualSpacing/>
        <w:rPr>
          <w:szCs w:val="24"/>
        </w:rPr>
      </w:pPr>
      <w:r w:rsidRPr="008F721B">
        <w:rPr>
          <w:szCs w:val="24"/>
        </w:rPr>
        <w:t>Микроскопическое исследование спинномозговой жидкости, подсчет клеток в счетной камере (подсчет цитоза);</w:t>
      </w:r>
    </w:p>
    <w:p w14:paraId="5C6585CB" w14:textId="77777777" w:rsidR="00E040DB" w:rsidRPr="008F721B" w:rsidRDefault="00E040DB" w:rsidP="0091350E">
      <w:pPr>
        <w:pStyle w:val="aff"/>
        <w:numPr>
          <w:ilvl w:val="0"/>
          <w:numId w:val="146"/>
        </w:numPr>
        <w:contextualSpacing/>
        <w:rPr>
          <w:szCs w:val="24"/>
        </w:rPr>
      </w:pPr>
      <w:r w:rsidRPr="008F721B">
        <w:rPr>
          <w:szCs w:val="24"/>
        </w:rPr>
        <w:t>Микробиологическое (культуральное) исследование спинномозговой жидкости на криптококк (</w:t>
      </w:r>
      <w:r w:rsidRPr="003C0A4C">
        <w:rPr>
          <w:szCs w:val="24"/>
        </w:rPr>
        <w:t>Cryptococcus neoformans</w:t>
      </w:r>
      <w:r w:rsidRPr="008F721B">
        <w:rPr>
          <w:szCs w:val="24"/>
        </w:rPr>
        <w:t>);</w:t>
      </w:r>
    </w:p>
    <w:p w14:paraId="3DCAA6D8" w14:textId="77777777" w:rsidR="00E040DB" w:rsidRPr="008F721B" w:rsidRDefault="00E040DB" w:rsidP="0091350E">
      <w:pPr>
        <w:pStyle w:val="aff"/>
        <w:numPr>
          <w:ilvl w:val="0"/>
          <w:numId w:val="146"/>
        </w:numPr>
        <w:contextualSpacing/>
        <w:rPr>
          <w:szCs w:val="24"/>
        </w:rPr>
      </w:pPr>
      <w:r w:rsidRPr="008F721B">
        <w:rPr>
          <w:szCs w:val="24"/>
        </w:rPr>
        <w:t>Определение ДНК вирусов простого герпеса, вируса герпеса 6 типа, цитомегалловируса и Эпштена-Барр (</w:t>
      </w:r>
      <w:r w:rsidRPr="003C0A4C">
        <w:rPr>
          <w:szCs w:val="24"/>
        </w:rPr>
        <w:t>HSV</w:t>
      </w:r>
      <w:r w:rsidRPr="008F721B">
        <w:rPr>
          <w:szCs w:val="24"/>
        </w:rPr>
        <w:t xml:space="preserve">–1,2; </w:t>
      </w:r>
      <w:r w:rsidRPr="003C0A4C">
        <w:rPr>
          <w:szCs w:val="24"/>
        </w:rPr>
        <w:t>HHV</w:t>
      </w:r>
      <w:r w:rsidRPr="008F721B">
        <w:rPr>
          <w:szCs w:val="24"/>
        </w:rPr>
        <w:t xml:space="preserve"> – 6; </w:t>
      </w:r>
      <w:r w:rsidRPr="003C0A4C">
        <w:rPr>
          <w:szCs w:val="24"/>
        </w:rPr>
        <w:t>CMV</w:t>
      </w:r>
      <w:r w:rsidRPr="008F721B">
        <w:rPr>
          <w:szCs w:val="24"/>
        </w:rPr>
        <w:t xml:space="preserve">, </w:t>
      </w:r>
      <w:r w:rsidRPr="003C0A4C">
        <w:rPr>
          <w:szCs w:val="24"/>
        </w:rPr>
        <w:t>EBV</w:t>
      </w:r>
      <w:r w:rsidRPr="008F721B">
        <w:rPr>
          <w:szCs w:val="24"/>
        </w:rPr>
        <w:t>)  в крови, спинномозговой и лаважной жидкости;</w:t>
      </w:r>
    </w:p>
    <w:p w14:paraId="226F8E1A" w14:textId="77777777" w:rsidR="00E040DB" w:rsidRPr="008F721B" w:rsidRDefault="00E040DB" w:rsidP="0091350E">
      <w:pPr>
        <w:pStyle w:val="aff"/>
        <w:numPr>
          <w:ilvl w:val="0"/>
          <w:numId w:val="146"/>
        </w:numPr>
        <w:contextualSpacing/>
        <w:rPr>
          <w:szCs w:val="24"/>
        </w:rPr>
      </w:pPr>
      <w:r w:rsidRPr="008F721B">
        <w:rPr>
          <w:szCs w:val="24"/>
        </w:rPr>
        <w:t>Определение антител (</w:t>
      </w:r>
      <w:r w:rsidRPr="003C0A4C">
        <w:rPr>
          <w:szCs w:val="24"/>
        </w:rPr>
        <w:t>IgG</w:t>
      </w:r>
      <w:r w:rsidRPr="008F721B">
        <w:rPr>
          <w:szCs w:val="24"/>
        </w:rPr>
        <w:t xml:space="preserve"> и </w:t>
      </w:r>
      <w:r w:rsidRPr="003C0A4C">
        <w:rPr>
          <w:szCs w:val="24"/>
        </w:rPr>
        <w:t>IgM</w:t>
      </w:r>
      <w:r w:rsidRPr="008F721B">
        <w:rPr>
          <w:szCs w:val="24"/>
        </w:rPr>
        <w:t xml:space="preserve">) к </w:t>
      </w:r>
      <w:r w:rsidRPr="003C0A4C">
        <w:rPr>
          <w:szCs w:val="24"/>
        </w:rPr>
        <w:t>Mycoplasma pneumoniae, Legionella pneumophilia,  Chlamydia pneumoniae</w:t>
      </w:r>
      <w:r w:rsidRPr="008F721B">
        <w:rPr>
          <w:szCs w:val="24"/>
        </w:rPr>
        <w:t xml:space="preserve"> в крови;</w:t>
      </w:r>
    </w:p>
    <w:p w14:paraId="2CAB48EC" w14:textId="77777777" w:rsidR="00E040DB" w:rsidRPr="00854947" w:rsidRDefault="00E040DB" w:rsidP="0091350E">
      <w:pPr>
        <w:pStyle w:val="aff"/>
        <w:numPr>
          <w:ilvl w:val="0"/>
          <w:numId w:val="146"/>
        </w:numPr>
        <w:contextualSpacing/>
        <w:rPr>
          <w:szCs w:val="24"/>
          <w:lang w:val="en-US"/>
        </w:rPr>
      </w:pPr>
      <w:r w:rsidRPr="008F721B">
        <w:rPr>
          <w:szCs w:val="24"/>
        </w:rPr>
        <w:t>Антиген</w:t>
      </w:r>
      <w:r w:rsidRPr="00854947">
        <w:rPr>
          <w:szCs w:val="24"/>
          <w:lang w:val="en-US"/>
        </w:rPr>
        <w:t xml:space="preserve"> Legionella pneumophilia </w:t>
      </w:r>
      <w:r w:rsidRPr="008F721B">
        <w:rPr>
          <w:szCs w:val="24"/>
        </w:rPr>
        <w:t>в</w:t>
      </w:r>
      <w:r w:rsidRPr="00854947">
        <w:rPr>
          <w:szCs w:val="24"/>
          <w:lang w:val="en-US"/>
        </w:rPr>
        <w:t xml:space="preserve"> </w:t>
      </w:r>
      <w:r w:rsidRPr="008F721B">
        <w:rPr>
          <w:szCs w:val="24"/>
        </w:rPr>
        <w:t>моче</w:t>
      </w:r>
      <w:r w:rsidRPr="00854947">
        <w:rPr>
          <w:szCs w:val="24"/>
          <w:lang w:val="en-US"/>
        </w:rPr>
        <w:t>.</w:t>
      </w:r>
    </w:p>
    <w:p w14:paraId="42195888" w14:textId="77777777" w:rsidR="00E040DB" w:rsidRPr="00854947" w:rsidRDefault="00E040DB" w:rsidP="00E040DB">
      <w:pPr>
        <w:ind w:firstLine="709"/>
        <w:contextualSpacing/>
        <w:rPr>
          <w:szCs w:val="24"/>
          <w:u w:val="single"/>
          <w:lang w:val="en-US"/>
        </w:rPr>
      </w:pPr>
    </w:p>
    <w:p w14:paraId="6166283B" w14:textId="77777777" w:rsidR="00E040DB" w:rsidRPr="003C0A4C" w:rsidRDefault="00E040DB" w:rsidP="00E040DB">
      <w:pPr>
        <w:ind w:firstLine="709"/>
        <w:contextualSpacing/>
        <w:rPr>
          <w:szCs w:val="24"/>
          <w:u w:val="single"/>
        </w:rPr>
      </w:pPr>
      <w:r w:rsidRPr="003C0A4C">
        <w:rPr>
          <w:szCs w:val="24"/>
          <w:u w:val="single"/>
        </w:rPr>
        <w:t>Перечень основных диагностических исследований (инструментальные):</w:t>
      </w:r>
    </w:p>
    <w:p w14:paraId="27223C92" w14:textId="77777777" w:rsidR="00E040DB" w:rsidRPr="008F721B" w:rsidRDefault="00E040DB" w:rsidP="0091350E">
      <w:pPr>
        <w:pStyle w:val="aff"/>
        <w:numPr>
          <w:ilvl w:val="0"/>
          <w:numId w:val="146"/>
        </w:numPr>
        <w:contextualSpacing/>
        <w:rPr>
          <w:szCs w:val="24"/>
        </w:rPr>
      </w:pPr>
      <w:r w:rsidRPr="008F721B">
        <w:rPr>
          <w:szCs w:val="24"/>
        </w:rPr>
        <w:t>Компьютерная томография органов грудной клетки, брюшной полости, головного мозга (с контрастным усилением);</w:t>
      </w:r>
    </w:p>
    <w:p w14:paraId="677A7E69" w14:textId="77777777" w:rsidR="00E040DB" w:rsidRPr="008F721B" w:rsidRDefault="00E040DB" w:rsidP="0091350E">
      <w:pPr>
        <w:pStyle w:val="aff"/>
        <w:numPr>
          <w:ilvl w:val="0"/>
          <w:numId w:val="146"/>
        </w:numPr>
        <w:contextualSpacing/>
        <w:rPr>
          <w:szCs w:val="24"/>
        </w:rPr>
      </w:pPr>
      <w:r w:rsidRPr="008F721B">
        <w:rPr>
          <w:szCs w:val="24"/>
        </w:rPr>
        <w:t xml:space="preserve">Магнитно-резонансная томография головного мозга (с контрастным усиленеием); </w:t>
      </w:r>
    </w:p>
    <w:p w14:paraId="61506606" w14:textId="77777777" w:rsidR="00E040DB" w:rsidRPr="008F721B" w:rsidRDefault="00E040DB" w:rsidP="0091350E">
      <w:pPr>
        <w:pStyle w:val="aff"/>
        <w:numPr>
          <w:ilvl w:val="0"/>
          <w:numId w:val="146"/>
        </w:numPr>
        <w:contextualSpacing/>
        <w:rPr>
          <w:szCs w:val="24"/>
        </w:rPr>
      </w:pPr>
      <w:r w:rsidRPr="008F721B">
        <w:rPr>
          <w:szCs w:val="24"/>
        </w:rPr>
        <w:t>Фибробронхосокпия с выполнением бронхоальвеолярного лаважа;</w:t>
      </w:r>
    </w:p>
    <w:p w14:paraId="6466D2E3" w14:textId="77777777" w:rsidR="00E040DB" w:rsidRPr="008F721B" w:rsidRDefault="00E040DB" w:rsidP="0091350E">
      <w:pPr>
        <w:pStyle w:val="aff"/>
        <w:numPr>
          <w:ilvl w:val="0"/>
          <w:numId w:val="146"/>
        </w:numPr>
        <w:contextualSpacing/>
        <w:rPr>
          <w:szCs w:val="24"/>
        </w:rPr>
      </w:pPr>
      <w:r w:rsidRPr="008F721B">
        <w:rPr>
          <w:szCs w:val="24"/>
        </w:rPr>
        <w:t>Эзофагогастродуоденоскпия (диагностическая и/или лечебная);</w:t>
      </w:r>
    </w:p>
    <w:p w14:paraId="57B53F15" w14:textId="77777777" w:rsidR="00E040DB" w:rsidRPr="008F721B" w:rsidRDefault="00E040DB" w:rsidP="0091350E">
      <w:pPr>
        <w:pStyle w:val="aff"/>
        <w:numPr>
          <w:ilvl w:val="0"/>
          <w:numId w:val="146"/>
        </w:numPr>
        <w:contextualSpacing/>
        <w:rPr>
          <w:szCs w:val="24"/>
        </w:rPr>
      </w:pPr>
      <w:r w:rsidRPr="008F721B">
        <w:rPr>
          <w:szCs w:val="24"/>
        </w:rPr>
        <w:t>Колоноскопия (диагностическая и/или лечебная);</w:t>
      </w:r>
    </w:p>
    <w:p w14:paraId="5F41E2B1" w14:textId="77777777" w:rsidR="00E040DB" w:rsidRPr="008F721B" w:rsidRDefault="00E040DB" w:rsidP="0091350E">
      <w:pPr>
        <w:pStyle w:val="aff"/>
        <w:numPr>
          <w:ilvl w:val="0"/>
          <w:numId w:val="146"/>
        </w:numPr>
        <w:contextualSpacing/>
        <w:rPr>
          <w:szCs w:val="24"/>
        </w:rPr>
      </w:pPr>
      <w:r w:rsidRPr="008F721B">
        <w:rPr>
          <w:szCs w:val="24"/>
        </w:rPr>
        <w:t>Ультразвуковое исследование сосудов нижних конечностей;</w:t>
      </w:r>
    </w:p>
    <w:p w14:paraId="7DA286E0" w14:textId="77777777" w:rsidR="00E040DB" w:rsidRPr="008F721B" w:rsidRDefault="00E040DB" w:rsidP="0091350E">
      <w:pPr>
        <w:pStyle w:val="aff"/>
        <w:numPr>
          <w:ilvl w:val="0"/>
          <w:numId w:val="146"/>
        </w:numPr>
        <w:contextualSpacing/>
        <w:rPr>
          <w:szCs w:val="24"/>
        </w:rPr>
      </w:pPr>
      <w:r w:rsidRPr="008F721B">
        <w:rPr>
          <w:szCs w:val="24"/>
        </w:rPr>
        <w:t>Электрокардиография;</w:t>
      </w:r>
    </w:p>
    <w:p w14:paraId="5F1D32C3" w14:textId="77777777" w:rsidR="00E040DB" w:rsidRPr="008F721B" w:rsidRDefault="00E040DB" w:rsidP="0091350E">
      <w:pPr>
        <w:pStyle w:val="aff"/>
        <w:numPr>
          <w:ilvl w:val="0"/>
          <w:numId w:val="146"/>
        </w:numPr>
        <w:contextualSpacing/>
        <w:rPr>
          <w:szCs w:val="24"/>
        </w:rPr>
      </w:pPr>
      <w:r w:rsidRPr="008F721B">
        <w:rPr>
          <w:szCs w:val="24"/>
        </w:rPr>
        <w:t>Эхокардиография;</w:t>
      </w:r>
    </w:p>
    <w:p w14:paraId="7E31588C" w14:textId="77777777" w:rsidR="00E040DB" w:rsidRPr="008F721B" w:rsidRDefault="00E040DB" w:rsidP="0091350E">
      <w:pPr>
        <w:pStyle w:val="aff"/>
        <w:numPr>
          <w:ilvl w:val="0"/>
          <w:numId w:val="146"/>
        </w:numPr>
        <w:contextualSpacing/>
        <w:rPr>
          <w:szCs w:val="24"/>
        </w:rPr>
      </w:pPr>
      <w:r w:rsidRPr="008F721B">
        <w:rPr>
          <w:szCs w:val="24"/>
        </w:rPr>
        <w:t>Электроэнцефалограмма;</w:t>
      </w:r>
    </w:p>
    <w:p w14:paraId="461F00C6" w14:textId="77777777" w:rsidR="00E040DB" w:rsidRPr="008F721B" w:rsidRDefault="00E040DB" w:rsidP="0091350E">
      <w:pPr>
        <w:pStyle w:val="aff"/>
        <w:numPr>
          <w:ilvl w:val="0"/>
          <w:numId w:val="146"/>
        </w:numPr>
        <w:contextualSpacing/>
        <w:rPr>
          <w:szCs w:val="24"/>
        </w:rPr>
      </w:pPr>
      <w:r w:rsidRPr="008F721B">
        <w:rPr>
          <w:szCs w:val="24"/>
        </w:rPr>
        <w:t>Измерение центрального венозного давления;</w:t>
      </w:r>
    </w:p>
    <w:p w14:paraId="2E6D86F8" w14:textId="77777777" w:rsidR="00E040DB" w:rsidRPr="008F721B" w:rsidRDefault="00E040DB" w:rsidP="0091350E">
      <w:pPr>
        <w:pStyle w:val="aff"/>
        <w:numPr>
          <w:ilvl w:val="0"/>
          <w:numId w:val="146"/>
        </w:numPr>
        <w:contextualSpacing/>
        <w:rPr>
          <w:szCs w:val="24"/>
        </w:rPr>
      </w:pPr>
      <w:r w:rsidRPr="008F721B">
        <w:rPr>
          <w:szCs w:val="24"/>
        </w:rPr>
        <w:t>Инвазивный мониторинг гемодинамики;</w:t>
      </w:r>
    </w:p>
    <w:p w14:paraId="3ADFA62B" w14:textId="77777777" w:rsidR="00E040DB" w:rsidRPr="008F721B" w:rsidRDefault="00E040DB" w:rsidP="0091350E">
      <w:pPr>
        <w:pStyle w:val="aff"/>
        <w:numPr>
          <w:ilvl w:val="0"/>
          <w:numId w:val="146"/>
        </w:numPr>
        <w:contextualSpacing/>
        <w:rPr>
          <w:szCs w:val="24"/>
        </w:rPr>
      </w:pPr>
      <w:r w:rsidRPr="008F721B">
        <w:rPr>
          <w:szCs w:val="24"/>
        </w:rPr>
        <w:t xml:space="preserve">Прикроватный мониторинг (артериальное давление, ЧСС, </w:t>
      </w:r>
      <w:r w:rsidRPr="003C0A4C">
        <w:rPr>
          <w:szCs w:val="24"/>
        </w:rPr>
        <w:t xml:space="preserve">SpO2, </w:t>
      </w:r>
      <w:r w:rsidRPr="008F721B">
        <w:rPr>
          <w:szCs w:val="24"/>
        </w:rPr>
        <w:t>ЧД);</w:t>
      </w:r>
    </w:p>
    <w:p w14:paraId="30F6A3CD" w14:textId="77777777" w:rsidR="00E040DB" w:rsidRDefault="00E040DB" w:rsidP="00E040DB">
      <w:pPr>
        <w:ind w:firstLine="709"/>
        <w:contextualSpacing/>
        <w:rPr>
          <w:szCs w:val="24"/>
          <w:u w:val="single"/>
        </w:rPr>
      </w:pPr>
    </w:p>
    <w:p w14:paraId="00F6C3B2" w14:textId="77777777" w:rsidR="00E040DB" w:rsidRPr="003C0A4C" w:rsidRDefault="00E040DB" w:rsidP="00E040DB">
      <w:pPr>
        <w:ind w:firstLine="709"/>
        <w:contextualSpacing/>
        <w:rPr>
          <w:szCs w:val="24"/>
          <w:u w:val="single"/>
        </w:rPr>
      </w:pPr>
      <w:r w:rsidRPr="003C0A4C">
        <w:rPr>
          <w:szCs w:val="24"/>
          <w:u w:val="single"/>
        </w:rPr>
        <w:t>Манипуляции направленные на обеспечение жизнеподдержания, контроля состояния пациента:</w:t>
      </w:r>
    </w:p>
    <w:p w14:paraId="15BE3D70" w14:textId="77777777" w:rsidR="00E040DB" w:rsidRPr="008F721B" w:rsidRDefault="00E040DB" w:rsidP="0091350E">
      <w:pPr>
        <w:pStyle w:val="aff"/>
        <w:numPr>
          <w:ilvl w:val="0"/>
          <w:numId w:val="146"/>
        </w:numPr>
        <w:contextualSpacing/>
        <w:rPr>
          <w:szCs w:val="24"/>
        </w:rPr>
      </w:pPr>
      <w:r w:rsidRPr="008F721B">
        <w:rPr>
          <w:szCs w:val="24"/>
        </w:rPr>
        <w:t>Катетеризация центральной (подключичной, яремной) вены;</w:t>
      </w:r>
    </w:p>
    <w:p w14:paraId="3E47A6E3" w14:textId="77777777" w:rsidR="00E040DB" w:rsidRPr="008F721B" w:rsidRDefault="00E040DB" w:rsidP="0091350E">
      <w:pPr>
        <w:pStyle w:val="aff"/>
        <w:numPr>
          <w:ilvl w:val="0"/>
          <w:numId w:val="146"/>
        </w:numPr>
        <w:contextualSpacing/>
        <w:rPr>
          <w:szCs w:val="24"/>
        </w:rPr>
      </w:pPr>
      <w:r w:rsidRPr="008F721B">
        <w:rPr>
          <w:szCs w:val="24"/>
        </w:rPr>
        <w:t>Установка катетера для проведения заместительной почечной терапии, плазмафереза и лейкоцитафереза;</w:t>
      </w:r>
    </w:p>
    <w:p w14:paraId="5DDA3675" w14:textId="77777777" w:rsidR="00E040DB" w:rsidRPr="008F721B" w:rsidRDefault="00E040DB" w:rsidP="0091350E">
      <w:pPr>
        <w:pStyle w:val="aff"/>
        <w:numPr>
          <w:ilvl w:val="0"/>
          <w:numId w:val="146"/>
        </w:numPr>
        <w:contextualSpacing/>
        <w:rPr>
          <w:szCs w:val="24"/>
        </w:rPr>
      </w:pPr>
      <w:r w:rsidRPr="008F721B">
        <w:rPr>
          <w:szCs w:val="24"/>
        </w:rPr>
        <w:t>Установка артериального катетера для инвазивного мониторинга артериального давления и параметров оксигенации;</w:t>
      </w:r>
    </w:p>
    <w:p w14:paraId="1767FC86" w14:textId="77777777" w:rsidR="00E040DB" w:rsidRPr="008F721B" w:rsidRDefault="00E040DB" w:rsidP="0091350E">
      <w:pPr>
        <w:pStyle w:val="aff"/>
        <w:numPr>
          <w:ilvl w:val="0"/>
          <w:numId w:val="146"/>
        </w:numPr>
        <w:contextualSpacing/>
        <w:rPr>
          <w:szCs w:val="24"/>
        </w:rPr>
      </w:pPr>
      <w:r w:rsidRPr="008F721B">
        <w:rPr>
          <w:szCs w:val="24"/>
        </w:rPr>
        <w:t>Интубация трахеи, установка трахеостомы;</w:t>
      </w:r>
    </w:p>
    <w:p w14:paraId="0B4F683D" w14:textId="77777777" w:rsidR="00E040DB" w:rsidRPr="008F721B" w:rsidRDefault="00E040DB" w:rsidP="0091350E">
      <w:pPr>
        <w:pStyle w:val="aff"/>
        <w:numPr>
          <w:ilvl w:val="0"/>
          <w:numId w:val="146"/>
        </w:numPr>
        <w:contextualSpacing/>
        <w:rPr>
          <w:szCs w:val="24"/>
        </w:rPr>
      </w:pPr>
      <w:r w:rsidRPr="008F721B">
        <w:rPr>
          <w:szCs w:val="24"/>
        </w:rPr>
        <w:t>Выполнение дилятационной трахеостомии;</w:t>
      </w:r>
    </w:p>
    <w:p w14:paraId="005EB18C" w14:textId="77777777" w:rsidR="00E040DB" w:rsidRPr="008F721B" w:rsidRDefault="00E040DB" w:rsidP="0091350E">
      <w:pPr>
        <w:pStyle w:val="aff"/>
        <w:numPr>
          <w:ilvl w:val="0"/>
          <w:numId w:val="146"/>
        </w:numPr>
        <w:contextualSpacing/>
        <w:rPr>
          <w:szCs w:val="24"/>
        </w:rPr>
      </w:pPr>
      <w:r w:rsidRPr="008F721B">
        <w:rPr>
          <w:szCs w:val="24"/>
        </w:rPr>
        <w:t>Дренирование плевральной полости;</w:t>
      </w:r>
    </w:p>
    <w:p w14:paraId="4BCE02FA" w14:textId="77777777" w:rsidR="00E040DB" w:rsidRPr="008F721B" w:rsidRDefault="00E040DB" w:rsidP="0091350E">
      <w:pPr>
        <w:pStyle w:val="aff"/>
        <w:numPr>
          <w:ilvl w:val="0"/>
          <w:numId w:val="146"/>
        </w:numPr>
        <w:contextualSpacing/>
        <w:rPr>
          <w:szCs w:val="24"/>
        </w:rPr>
      </w:pPr>
      <w:r w:rsidRPr="008F721B">
        <w:rPr>
          <w:szCs w:val="24"/>
        </w:rPr>
        <w:t>Пункция и дренирование перикарда;</w:t>
      </w:r>
    </w:p>
    <w:p w14:paraId="395516BA" w14:textId="77777777" w:rsidR="00E040DB" w:rsidRPr="008F721B" w:rsidRDefault="00E040DB" w:rsidP="0091350E">
      <w:pPr>
        <w:pStyle w:val="aff"/>
        <w:numPr>
          <w:ilvl w:val="0"/>
          <w:numId w:val="146"/>
        </w:numPr>
        <w:contextualSpacing/>
        <w:rPr>
          <w:szCs w:val="24"/>
        </w:rPr>
      </w:pPr>
      <w:r w:rsidRPr="008F721B">
        <w:rPr>
          <w:szCs w:val="24"/>
        </w:rPr>
        <w:t>Установка мочевого катетера, желудочного зонда;</w:t>
      </w:r>
    </w:p>
    <w:p w14:paraId="1055A0A2" w14:textId="77777777" w:rsidR="00E040DB" w:rsidRDefault="00E040DB" w:rsidP="00E040DB">
      <w:pPr>
        <w:ind w:firstLine="709"/>
        <w:contextualSpacing/>
        <w:rPr>
          <w:szCs w:val="24"/>
          <w:u w:val="single"/>
        </w:rPr>
      </w:pPr>
    </w:p>
    <w:p w14:paraId="40003022" w14:textId="77777777" w:rsidR="00E040DB" w:rsidRPr="003C0A4C" w:rsidRDefault="00E040DB" w:rsidP="00E040DB">
      <w:pPr>
        <w:ind w:firstLine="709"/>
        <w:contextualSpacing/>
        <w:rPr>
          <w:szCs w:val="24"/>
          <w:u w:val="single"/>
        </w:rPr>
      </w:pPr>
      <w:r w:rsidRPr="003C0A4C">
        <w:rPr>
          <w:szCs w:val="24"/>
          <w:u w:val="single"/>
        </w:rPr>
        <w:t>Основные методики жизнеобеспечения:</w:t>
      </w:r>
    </w:p>
    <w:p w14:paraId="6243548D" w14:textId="77777777" w:rsidR="00E040DB" w:rsidRPr="008F721B" w:rsidRDefault="00E040DB" w:rsidP="0091350E">
      <w:pPr>
        <w:pStyle w:val="aff"/>
        <w:numPr>
          <w:ilvl w:val="0"/>
          <w:numId w:val="146"/>
        </w:numPr>
        <w:contextualSpacing/>
        <w:rPr>
          <w:szCs w:val="24"/>
        </w:rPr>
      </w:pPr>
      <w:r w:rsidRPr="008F721B">
        <w:rPr>
          <w:szCs w:val="24"/>
        </w:rPr>
        <w:t>Для оксигенотерапии используются носовые катетеры, маска, маска с резервуаром, высокопоточные носовые канюли;</w:t>
      </w:r>
    </w:p>
    <w:p w14:paraId="4C0F9B02" w14:textId="77777777" w:rsidR="00E040DB" w:rsidRPr="008F721B" w:rsidRDefault="00E040DB" w:rsidP="0091350E">
      <w:pPr>
        <w:pStyle w:val="aff"/>
        <w:numPr>
          <w:ilvl w:val="0"/>
          <w:numId w:val="146"/>
        </w:numPr>
        <w:contextualSpacing/>
        <w:rPr>
          <w:szCs w:val="24"/>
        </w:rPr>
      </w:pPr>
      <w:r w:rsidRPr="008F721B">
        <w:rPr>
          <w:szCs w:val="24"/>
        </w:rPr>
        <w:t>Механическая вентиляция легких: неинвазивная вентиляция легких (НИВЛ), ИВЛ;</w:t>
      </w:r>
    </w:p>
    <w:p w14:paraId="0DBA8A40" w14:textId="77777777" w:rsidR="00E040DB" w:rsidRPr="008F721B" w:rsidRDefault="00E040DB" w:rsidP="0091350E">
      <w:pPr>
        <w:pStyle w:val="aff"/>
        <w:numPr>
          <w:ilvl w:val="0"/>
          <w:numId w:val="146"/>
        </w:numPr>
        <w:contextualSpacing/>
        <w:rPr>
          <w:szCs w:val="24"/>
        </w:rPr>
      </w:pPr>
      <w:r w:rsidRPr="008F721B">
        <w:rPr>
          <w:szCs w:val="24"/>
        </w:rPr>
        <w:t>Плазмаферез и лейкоцитаферез;</w:t>
      </w:r>
    </w:p>
    <w:p w14:paraId="485669A7" w14:textId="77777777" w:rsidR="00E040DB" w:rsidRPr="008F721B" w:rsidRDefault="00E040DB" w:rsidP="0091350E">
      <w:pPr>
        <w:pStyle w:val="aff"/>
        <w:numPr>
          <w:ilvl w:val="0"/>
          <w:numId w:val="146"/>
        </w:numPr>
        <w:contextualSpacing/>
        <w:rPr>
          <w:szCs w:val="24"/>
        </w:rPr>
      </w:pPr>
      <w:r w:rsidRPr="008F721B">
        <w:rPr>
          <w:szCs w:val="24"/>
        </w:rPr>
        <w:t>Заместительная почечная терапия (гемодиафильтрация  и гемодиализ);</w:t>
      </w:r>
    </w:p>
    <w:p w14:paraId="3620128C" w14:textId="77777777" w:rsidR="00E040DB" w:rsidRDefault="00E040DB" w:rsidP="00E040DB">
      <w:pPr>
        <w:ind w:firstLine="709"/>
        <w:rPr>
          <w:b/>
          <w:szCs w:val="24"/>
        </w:rPr>
      </w:pPr>
    </w:p>
    <w:p w14:paraId="07744766" w14:textId="77777777" w:rsidR="00E040DB" w:rsidRPr="008F721B" w:rsidRDefault="00E040DB" w:rsidP="00E040DB">
      <w:pPr>
        <w:ind w:firstLine="709"/>
        <w:rPr>
          <w:szCs w:val="24"/>
        </w:rPr>
      </w:pPr>
      <w:r w:rsidRPr="003C0A4C">
        <w:rPr>
          <w:szCs w:val="24"/>
          <w:u w:val="single"/>
        </w:rPr>
        <w:t>Консультации специалистов:</w:t>
      </w:r>
      <w:r w:rsidRPr="008F721B">
        <w:rPr>
          <w:b/>
          <w:szCs w:val="24"/>
        </w:rPr>
        <w:t xml:space="preserve"> </w:t>
      </w:r>
      <w:r w:rsidRPr="008F721B">
        <w:rPr>
          <w:szCs w:val="24"/>
        </w:rPr>
        <w:t>невропатолога, кардиолога, эндокринолога, хирурга и др. по показаниям</w:t>
      </w:r>
    </w:p>
    <w:p w14:paraId="12E3D2EC" w14:textId="77777777" w:rsidR="00E040DB" w:rsidRDefault="00E040DB" w:rsidP="00E040DB">
      <w:pPr>
        <w:ind w:firstLine="709"/>
        <w:rPr>
          <w:b/>
          <w:szCs w:val="24"/>
        </w:rPr>
      </w:pPr>
    </w:p>
    <w:p w14:paraId="491F6A6C" w14:textId="77777777" w:rsidR="00E040DB" w:rsidRPr="003C0A4C" w:rsidRDefault="00E040DB" w:rsidP="00E040DB">
      <w:pPr>
        <w:ind w:firstLine="709"/>
        <w:contextualSpacing/>
        <w:rPr>
          <w:szCs w:val="24"/>
          <w:u w:val="single"/>
        </w:rPr>
      </w:pPr>
      <w:r w:rsidRPr="003C0A4C">
        <w:rPr>
          <w:szCs w:val="24"/>
          <w:u w:val="single"/>
        </w:rPr>
        <w:t>Перечень основных медикаментозных препаратов, использующих в ОРИТ у пациентов с гематологическими заболеваниями.</w:t>
      </w:r>
    </w:p>
    <w:p w14:paraId="55427E09" w14:textId="77777777" w:rsidR="00E040DB" w:rsidRPr="008F721B" w:rsidRDefault="00E040DB" w:rsidP="0091350E">
      <w:pPr>
        <w:pStyle w:val="aff"/>
        <w:numPr>
          <w:ilvl w:val="0"/>
          <w:numId w:val="146"/>
        </w:numPr>
        <w:contextualSpacing/>
        <w:rPr>
          <w:szCs w:val="24"/>
        </w:rPr>
      </w:pPr>
      <w:r w:rsidRPr="008F721B">
        <w:rPr>
          <w:szCs w:val="24"/>
        </w:rPr>
        <w:t>Антибактериальные, противогрибковые, противовирусные препараты (с примерной суточной дозировкой без перерасчета на вес и без поправок на скорость клубочковой фильтрации), внутривенные формы:</w:t>
      </w:r>
      <w:r w:rsidRPr="003C0A4C">
        <w:rPr>
          <w:szCs w:val="24"/>
        </w:rPr>
        <w:t xml:space="preserve"> </w:t>
      </w:r>
    </w:p>
    <w:p w14:paraId="72EA0013" w14:textId="77777777" w:rsidR="00E040DB" w:rsidRPr="008F721B" w:rsidRDefault="00E040DB" w:rsidP="0091350E">
      <w:pPr>
        <w:pStyle w:val="aff"/>
        <w:numPr>
          <w:ilvl w:val="0"/>
          <w:numId w:val="146"/>
        </w:numPr>
        <w:contextualSpacing/>
        <w:rPr>
          <w:szCs w:val="24"/>
        </w:rPr>
      </w:pPr>
      <w:r w:rsidRPr="008F721B">
        <w:rPr>
          <w:szCs w:val="24"/>
        </w:rPr>
        <w:t>меропенем 3 гр/сут, имипенем/циластатин 2000 мг/сут, дорипенем 1500 мг/сут полимиксин В 150 мг/сут, ванкомицин 2 гр/сут, линезолид 1200 мг/сут, даптомицин 500 мг/сут, амикацин 1500 мг, цефтазидим/авиабактам 5 гр/сут, тигециклин 100 мг/сут, метронидазол 1500 мг/сут, триметоприм/сульфаметаксозол (20 мг триметоприма на 1 кг), анидулафунгин 200 мг/сут, вориконазол 600 мг/сут, амфотерицин В (липосомальный комплекс) 350 мг/сут, ацикловир 750 мг/сут, ганцикловир 250 мг/сут, эритромицин 300 мг/сут (как прокинетическое средство).</w:t>
      </w:r>
    </w:p>
    <w:p w14:paraId="1611CCD2" w14:textId="77777777" w:rsidR="00E040DB" w:rsidRPr="008F721B" w:rsidRDefault="00E040DB" w:rsidP="0091350E">
      <w:pPr>
        <w:pStyle w:val="aff"/>
        <w:numPr>
          <w:ilvl w:val="0"/>
          <w:numId w:val="146"/>
        </w:numPr>
        <w:contextualSpacing/>
        <w:rPr>
          <w:szCs w:val="24"/>
        </w:rPr>
      </w:pPr>
      <w:r w:rsidRPr="008F721B">
        <w:rPr>
          <w:szCs w:val="24"/>
        </w:rPr>
        <w:t>Вазоактивные препараты (дозировка и скорость введения широко варьирует в зависимости от клинической ситуации), внутривенные формы:</w:t>
      </w:r>
    </w:p>
    <w:p w14:paraId="43EB47C4" w14:textId="77777777" w:rsidR="00E040DB" w:rsidRPr="008F721B" w:rsidRDefault="00E040DB" w:rsidP="0091350E">
      <w:pPr>
        <w:pStyle w:val="aff"/>
        <w:numPr>
          <w:ilvl w:val="0"/>
          <w:numId w:val="146"/>
        </w:numPr>
        <w:contextualSpacing/>
        <w:rPr>
          <w:szCs w:val="24"/>
        </w:rPr>
      </w:pPr>
      <w:r w:rsidRPr="008F721B">
        <w:rPr>
          <w:szCs w:val="24"/>
        </w:rPr>
        <w:t>норадреналин, адреналин, добутамин, допамин, фенилэфрин, атропин.</w:t>
      </w:r>
    </w:p>
    <w:p w14:paraId="342CFBE0" w14:textId="77777777" w:rsidR="00E040DB" w:rsidRPr="008F721B" w:rsidRDefault="00E040DB" w:rsidP="0091350E">
      <w:pPr>
        <w:pStyle w:val="aff"/>
        <w:numPr>
          <w:ilvl w:val="0"/>
          <w:numId w:val="146"/>
        </w:numPr>
        <w:contextualSpacing/>
        <w:rPr>
          <w:szCs w:val="24"/>
        </w:rPr>
      </w:pPr>
      <w:r w:rsidRPr="008F721B">
        <w:rPr>
          <w:szCs w:val="24"/>
        </w:rPr>
        <w:t>Антиаритмические препараты, внутривенные формы:</w:t>
      </w:r>
      <w:r w:rsidRPr="003C0A4C">
        <w:rPr>
          <w:szCs w:val="24"/>
        </w:rPr>
        <w:t xml:space="preserve"> </w:t>
      </w:r>
    </w:p>
    <w:p w14:paraId="3CC799C4" w14:textId="77777777" w:rsidR="00E040DB" w:rsidRPr="008F721B" w:rsidRDefault="00E040DB" w:rsidP="0091350E">
      <w:pPr>
        <w:pStyle w:val="aff"/>
        <w:numPr>
          <w:ilvl w:val="0"/>
          <w:numId w:val="146"/>
        </w:numPr>
        <w:contextualSpacing/>
        <w:rPr>
          <w:szCs w:val="24"/>
        </w:rPr>
      </w:pPr>
      <w:r w:rsidRPr="008F721B">
        <w:rPr>
          <w:szCs w:val="24"/>
        </w:rPr>
        <w:t>амиодарон, лидокаин 10%, новокаинамид, метопролол, атропин.</w:t>
      </w:r>
    </w:p>
    <w:p w14:paraId="5062C26D" w14:textId="77777777" w:rsidR="00E040DB" w:rsidRPr="008F721B" w:rsidRDefault="00E040DB" w:rsidP="0091350E">
      <w:pPr>
        <w:pStyle w:val="aff"/>
        <w:numPr>
          <w:ilvl w:val="0"/>
          <w:numId w:val="146"/>
        </w:numPr>
        <w:contextualSpacing/>
        <w:rPr>
          <w:szCs w:val="24"/>
        </w:rPr>
      </w:pPr>
      <w:r w:rsidRPr="008F721B">
        <w:rPr>
          <w:szCs w:val="24"/>
        </w:rPr>
        <w:t xml:space="preserve">Препараты, влияющие на нейромышечное проведение, седативные и противосудорожные, антипсихотические внутривенные формы: </w:t>
      </w:r>
    </w:p>
    <w:p w14:paraId="77C9C1B6" w14:textId="77777777" w:rsidR="00E040DB" w:rsidRPr="008F721B" w:rsidRDefault="00E040DB" w:rsidP="0091350E">
      <w:pPr>
        <w:pStyle w:val="aff"/>
        <w:numPr>
          <w:ilvl w:val="0"/>
          <w:numId w:val="146"/>
        </w:numPr>
        <w:contextualSpacing/>
        <w:rPr>
          <w:szCs w:val="24"/>
        </w:rPr>
      </w:pPr>
      <w:r w:rsidRPr="008F721B">
        <w:rPr>
          <w:szCs w:val="24"/>
        </w:rPr>
        <w:t>пипекурония бромид, цис-атракуриум, мидазолам, диазепам, феназепам, галоперидол, пропофол, кетамин, габапентин, левитерацитам, вальпроевая кислота.</w:t>
      </w:r>
    </w:p>
    <w:p w14:paraId="12195576" w14:textId="77777777" w:rsidR="00E040DB" w:rsidRPr="003C0A4C" w:rsidRDefault="00E040DB" w:rsidP="0091350E">
      <w:pPr>
        <w:pStyle w:val="aff"/>
        <w:numPr>
          <w:ilvl w:val="0"/>
          <w:numId w:val="146"/>
        </w:numPr>
        <w:contextualSpacing/>
        <w:rPr>
          <w:szCs w:val="24"/>
        </w:rPr>
      </w:pPr>
      <w:r w:rsidRPr="008F721B">
        <w:rPr>
          <w:szCs w:val="24"/>
        </w:rPr>
        <w:t>Анальгетики:</w:t>
      </w:r>
      <w:r w:rsidRPr="003C0A4C">
        <w:rPr>
          <w:szCs w:val="24"/>
        </w:rPr>
        <w:t xml:space="preserve"> </w:t>
      </w:r>
    </w:p>
    <w:p w14:paraId="70F04A89" w14:textId="77777777" w:rsidR="00E040DB" w:rsidRPr="003C0A4C" w:rsidRDefault="00E040DB" w:rsidP="0091350E">
      <w:pPr>
        <w:pStyle w:val="aff"/>
        <w:numPr>
          <w:ilvl w:val="0"/>
          <w:numId w:val="146"/>
        </w:numPr>
        <w:contextualSpacing/>
        <w:rPr>
          <w:szCs w:val="24"/>
        </w:rPr>
      </w:pPr>
      <w:r w:rsidRPr="008F721B">
        <w:rPr>
          <w:szCs w:val="24"/>
        </w:rPr>
        <w:t>трансдермальная форма фентанила, в/в раствор фентнила, промедола, трамадола. Нефопам, парацетамол, кетанол.</w:t>
      </w:r>
    </w:p>
    <w:p w14:paraId="4D684C3A" w14:textId="77777777" w:rsidR="00E040DB" w:rsidRPr="008F721B" w:rsidRDefault="00E040DB" w:rsidP="0091350E">
      <w:pPr>
        <w:pStyle w:val="aff"/>
        <w:numPr>
          <w:ilvl w:val="0"/>
          <w:numId w:val="146"/>
        </w:numPr>
        <w:contextualSpacing/>
        <w:rPr>
          <w:szCs w:val="24"/>
        </w:rPr>
      </w:pPr>
      <w:r w:rsidRPr="008F721B">
        <w:rPr>
          <w:szCs w:val="24"/>
        </w:rPr>
        <w:t>Инфузионная терапия и парентеральное питание:</w:t>
      </w:r>
      <w:r w:rsidRPr="003C0A4C">
        <w:rPr>
          <w:szCs w:val="24"/>
        </w:rPr>
        <w:t xml:space="preserve"> </w:t>
      </w:r>
    </w:p>
    <w:p w14:paraId="35411A9F" w14:textId="77777777" w:rsidR="00E040DB" w:rsidRPr="008F721B" w:rsidRDefault="00E040DB" w:rsidP="0091350E">
      <w:pPr>
        <w:pStyle w:val="aff"/>
        <w:numPr>
          <w:ilvl w:val="0"/>
          <w:numId w:val="146"/>
        </w:numPr>
        <w:contextualSpacing/>
        <w:rPr>
          <w:szCs w:val="24"/>
        </w:rPr>
      </w:pPr>
      <w:r w:rsidRPr="008F721B">
        <w:rPr>
          <w:szCs w:val="24"/>
        </w:rPr>
        <w:t xml:space="preserve">изотонический раствор натрия хлорида, сбалансированные кристаллоидные растворы (рингер-лактат, стерофундин), вольювен, раствор глюкозы 5% и 20%. Смеси для парентерального питания (3 в 1): оликлиномель </w:t>
      </w:r>
      <w:r w:rsidRPr="003C0A4C">
        <w:rPr>
          <w:szCs w:val="24"/>
        </w:rPr>
        <w:t>N</w:t>
      </w:r>
      <w:r w:rsidRPr="008F721B">
        <w:rPr>
          <w:szCs w:val="24"/>
        </w:rPr>
        <w:t>7, нутрифлекс140/80, кабивен центральный и периферический.</w:t>
      </w:r>
    </w:p>
    <w:p w14:paraId="1DA71F87" w14:textId="77777777" w:rsidR="00E040DB" w:rsidRPr="008F721B" w:rsidRDefault="00E040DB" w:rsidP="0091350E">
      <w:pPr>
        <w:pStyle w:val="aff"/>
        <w:numPr>
          <w:ilvl w:val="0"/>
          <w:numId w:val="146"/>
        </w:numPr>
        <w:contextualSpacing/>
        <w:rPr>
          <w:szCs w:val="24"/>
        </w:rPr>
      </w:pPr>
      <w:r w:rsidRPr="008F721B">
        <w:rPr>
          <w:szCs w:val="24"/>
        </w:rPr>
        <w:t xml:space="preserve">Антигистаминные и противорвотные препараты, внутривенные формы: блокаторы </w:t>
      </w:r>
      <w:r w:rsidRPr="003C0A4C">
        <w:rPr>
          <w:szCs w:val="24"/>
        </w:rPr>
        <w:t>H1</w:t>
      </w:r>
      <w:r w:rsidRPr="008F721B">
        <w:rPr>
          <w:szCs w:val="24"/>
        </w:rPr>
        <w:t xml:space="preserve"> – первого поколения (дифенгидрамин), супрастин, метоклопрамид, ондансетрон.</w:t>
      </w:r>
    </w:p>
    <w:p w14:paraId="2F7148BF" w14:textId="77777777" w:rsidR="00E040DB" w:rsidRPr="008F721B" w:rsidRDefault="00E040DB" w:rsidP="0091350E">
      <w:pPr>
        <w:pStyle w:val="aff"/>
        <w:numPr>
          <w:ilvl w:val="0"/>
          <w:numId w:val="146"/>
        </w:numPr>
        <w:contextualSpacing/>
        <w:rPr>
          <w:szCs w:val="24"/>
        </w:rPr>
      </w:pPr>
      <w:r w:rsidRPr="008F721B">
        <w:rPr>
          <w:szCs w:val="24"/>
        </w:rPr>
        <w:t xml:space="preserve">Прочие препараты, применяющиеся у гематологических пациентов, находящихся в ОРИТ, внутривенные формы: </w:t>
      </w:r>
    </w:p>
    <w:p w14:paraId="2800A4E6" w14:textId="77777777" w:rsidR="00E040DB" w:rsidRPr="008F721B" w:rsidRDefault="00E040DB" w:rsidP="0091350E">
      <w:pPr>
        <w:pStyle w:val="aff"/>
        <w:numPr>
          <w:ilvl w:val="0"/>
          <w:numId w:val="146"/>
        </w:numPr>
        <w:contextualSpacing/>
        <w:rPr>
          <w:szCs w:val="24"/>
        </w:rPr>
      </w:pPr>
      <w:r w:rsidRPr="008F721B">
        <w:rPr>
          <w:szCs w:val="24"/>
        </w:rPr>
        <w:t>фуросемид, маннитол, натрия гидрокарбонат, дексаметазон, метилпреднизолон, преднизолон, тиамин, цианкобаламин, витамин К1, пиридоксин, инсулин, транексамовая кислота, растворы солей кальция и калия.</w:t>
      </w:r>
    </w:p>
    <w:p w14:paraId="3BC2D968" w14:textId="77777777" w:rsidR="00E040DB" w:rsidRPr="008F721B" w:rsidRDefault="00E040DB" w:rsidP="0091350E">
      <w:pPr>
        <w:pStyle w:val="aff"/>
        <w:numPr>
          <w:ilvl w:val="0"/>
          <w:numId w:val="146"/>
        </w:numPr>
        <w:contextualSpacing/>
        <w:rPr>
          <w:szCs w:val="24"/>
        </w:rPr>
      </w:pPr>
      <w:r w:rsidRPr="008F721B">
        <w:rPr>
          <w:szCs w:val="24"/>
        </w:rPr>
        <w:t>Цитостатики, иммунодепрессанты, иммуноглобулины и иная специфическая и сопроводительная терапия основного гематологического заболевания по клиническим показаниям в период пребывания пациента в ОРИТ.</w:t>
      </w:r>
    </w:p>
    <w:p w14:paraId="3D1B3A0E" w14:textId="77777777" w:rsidR="00E040DB" w:rsidRPr="008F721B" w:rsidRDefault="00E040DB" w:rsidP="00E040DB">
      <w:pPr>
        <w:ind w:firstLine="709"/>
        <w:rPr>
          <w:szCs w:val="24"/>
        </w:rPr>
      </w:pPr>
      <w:r w:rsidRPr="008F721B">
        <w:rPr>
          <w:szCs w:val="24"/>
        </w:rPr>
        <w:t xml:space="preserve">Также у гематологических пациентов в ОРИТ производятся заместительные гемокомпонентные трансфузии при наличии показаний: </w:t>
      </w:r>
    </w:p>
    <w:p w14:paraId="588F0BAB" w14:textId="77777777" w:rsidR="00E040DB" w:rsidRPr="008F721B" w:rsidRDefault="00E040DB" w:rsidP="0091350E">
      <w:pPr>
        <w:pStyle w:val="aff"/>
        <w:numPr>
          <w:ilvl w:val="0"/>
          <w:numId w:val="146"/>
        </w:numPr>
        <w:contextualSpacing/>
        <w:rPr>
          <w:szCs w:val="24"/>
        </w:rPr>
      </w:pPr>
      <w:r w:rsidRPr="008F721B">
        <w:rPr>
          <w:szCs w:val="24"/>
        </w:rPr>
        <w:t>трансфузия эритроцитсодержащих компонентов крови обычно проводится при снижении концентрации гемоглобина менее 60 г/л (у больных среднего возраста и без сопутствующей сердечной патологии; при наличии сердечно-сосудистой патологии и в пожилом возрасте трансфузии эритроцитсодержащих компонентов крови проводится при более высокой концентрации гемоглобина в крови, по клиническим показаниям);</w:t>
      </w:r>
    </w:p>
    <w:p w14:paraId="02BF7E22" w14:textId="77777777" w:rsidR="00E040DB" w:rsidRPr="008F721B" w:rsidRDefault="00E040DB" w:rsidP="0091350E">
      <w:pPr>
        <w:pStyle w:val="aff"/>
        <w:numPr>
          <w:ilvl w:val="0"/>
          <w:numId w:val="146"/>
        </w:numPr>
        <w:contextualSpacing/>
        <w:rPr>
          <w:szCs w:val="24"/>
        </w:rPr>
      </w:pPr>
      <w:r w:rsidRPr="008F721B">
        <w:rPr>
          <w:szCs w:val="24"/>
        </w:rPr>
        <w:t>концентрат тромбоцитов в ОРИТ используется как с лечебной целью, так и с профилактической; обычно трансфузии концентрата тромбоцитов проводят при снижении концентрации тромбоцитов менее 20х10</w:t>
      </w:r>
      <w:r w:rsidRPr="009D0B15">
        <w:rPr>
          <w:szCs w:val="24"/>
          <w:vertAlign w:val="superscript"/>
        </w:rPr>
        <w:t>9</w:t>
      </w:r>
      <w:r w:rsidRPr="008F721B">
        <w:rPr>
          <w:szCs w:val="24"/>
        </w:rPr>
        <w:t>/л;</w:t>
      </w:r>
    </w:p>
    <w:p w14:paraId="07569E1F" w14:textId="77777777" w:rsidR="00E040DB" w:rsidRPr="008F721B" w:rsidRDefault="00E040DB" w:rsidP="0091350E">
      <w:pPr>
        <w:pStyle w:val="aff"/>
        <w:numPr>
          <w:ilvl w:val="0"/>
          <w:numId w:val="146"/>
        </w:numPr>
        <w:contextualSpacing/>
        <w:rPr>
          <w:szCs w:val="24"/>
        </w:rPr>
      </w:pPr>
      <w:r w:rsidRPr="008F721B">
        <w:rPr>
          <w:szCs w:val="24"/>
        </w:rPr>
        <w:t xml:space="preserve">показанием к трансфузии криопреципитата является снижение концентрации фибриногена менее 1,0 г/л при отсутствии геморрагического синдрома или при снижении менее 2,0 г/л при наличии геморрагического синдрома; </w:t>
      </w:r>
    </w:p>
    <w:p w14:paraId="20FCAE7C" w14:textId="77777777" w:rsidR="00E040DB" w:rsidRPr="008F721B" w:rsidRDefault="00E040DB" w:rsidP="0091350E">
      <w:pPr>
        <w:pStyle w:val="aff"/>
        <w:numPr>
          <w:ilvl w:val="0"/>
          <w:numId w:val="146"/>
        </w:numPr>
        <w:contextualSpacing/>
        <w:rPr>
          <w:szCs w:val="24"/>
        </w:rPr>
      </w:pPr>
      <w:r w:rsidRPr="008F721B">
        <w:rPr>
          <w:szCs w:val="24"/>
        </w:rPr>
        <w:t xml:space="preserve">трансфузию свежезамороженной плазмы (СЗП) производят при массивных кровотечениях в зависимости от клинико-лабораторных показателей. </w:t>
      </w:r>
    </w:p>
    <w:p w14:paraId="18BE7D64" w14:textId="77777777" w:rsidR="00E040DB" w:rsidRPr="008F721B" w:rsidRDefault="00E040DB" w:rsidP="00E040DB">
      <w:pPr>
        <w:ind w:firstLine="708"/>
        <w:rPr>
          <w:szCs w:val="24"/>
        </w:rPr>
      </w:pPr>
    </w:p>
    <w:p w14:paraId="10537FED" w14:textId="1CD31AC8" w:rsidR="00C65573" w:rsidRPr="00C65573" w:rsidRDefault="00904B36" w:rsidP="00C65573">
      <w:pPr>
        <w:pStyle w:val="2"/>
        <w:ind w:firstLine="0"/>
      </w:pPr>
      <w:bookmarkStart w:id="74" w:name="_Toc65104127"/>
      <w:r>
        <w:t xml:space="preserve">Приложение А3.7. </w:t>
      </w:r>
      <w:r w:rsidR="00C65573" w:rsidRPr="00CC66C1">
        <w:t>Инфузионная терапия у гематологических пациентов</w:t>
      </w:r>
      <w:bookmarkEnd w:id="74"/>
    </w:p>
    <w:p w14:paraId="5BCC2371" w14:textId="77777777" w:rsidR="00C65573" w:rsidRPr="00CC66C1" w:rsidRDefault="00C65573" w:rsidP="00C65573">
      <w:pPr>
        <w:ind w:firstLine="709"/>
        <w:rPr>
          <w:szCs w:val="24"/>
        </w:rPr>
      </w:pPr>
      <w:r w:rsidRPr="00CC66C1">
        <w:rPr>
          <w:szCs w:val="24"/>
        </w:rPr>
        <w:t>Особое место в сопроводительной терапии пациентов с онкогематологическими заболеваниями занимает инфузионная терапия (ИТ). Она используется почти у всех пациентов, находящихся на стационарном лечении. Однако некорректное ее применение может приводить к тяжелым осложнениям. Инфузионные растворы должны рассматриваться как лекарственные препараты со своими показаниями и противопоказаниями. Необходим обоснованный выбор типа раствора, его количества и темпа введения. Несмотря на накопленный опыт использования ИТ (первое сообщение о применении внутривенной инфузии раствора солей у больных холерой появилось почти 200 лет назад), концепции и схемы ИТ продолжают развиваться.</w:t>
      </w:r>
    </w:p>
    <w:p w14:paraId="417898EB" w14:textId="77777777" w:rsidR="00C65573" w:rsidRPr="00CC66C1" w:rsidRDefault="00C65573" w:rsidP="00C65573">
      <w:pPr>
        <w:ind w:firstLine="709"/>
        <w:rPr>
          <w:szCs w:val="24"/>
        </w:rPr>
      </w:pPr>
      <w:r w:rsidRPr="00CC66C1">
        <w:rPr>
          <w:szCs w:val="24"/>
        </w:rPr>
        <w:t>ИТ в гематологии используется для решения таких задач, как создание гемоделюции и форсированного диуреза для профилактики синдрома лизиса опухоли, возмещение жидкостных потерь в результате диареи, лихорадки, сепсиса, кровотечения, депонирования в полостях организма и коррекция электролитных расстройств.</w:t>
      </w:r>
    </w:p>
    <w:p w14:paraId="4A8F344E" w14:textId="77777777" w:rsidR="00C65573" w:rsidRDefault="00C65573" w:rsidP="00C65573">
      <w:pPr>
        <w:ind w:firstLine="709"/>
        <w:rPr>
          <w:i/>
          <w:szCs w:val="24"/>
        </w:rPr>
      </w:pPr>
    </w:p>
    <w:p w14:paraId="72D6725E" w14:textId="77777777" w:rsidR="00C65573" w:rsidRPr="00CC66C1" w:rsidRDefault="00C65573" w:rsidP="00C65573">
      <w:pPr>
        <w:ind w:firstLine="709"/>
        <w:rPr>
          <w:i/>
          <w:szCs w:val="24"/>
          <w:u w:val="single"/>
        </w:rPr>
      </w:pPr>
      <w:r w:rsidRPr="00CC66C1">
        <w:rPr>
          <w:i/>
          <w:szCs w:val="24"/>
          <w:u w:val="single"/>
        </w:rPr>
        <w:t>Виды инфузионных растворов</w:t>
      </w:r>
    </w:p>
    <w:p w14:paraId="27EE7EC7" w14:textId="77777777" w:rsidR="00C65573" w:rsidRPr="00CC66C1" w:rsidRDefault="00C65573" w:rsidP="00C65573">
      <w:pPr>
        <w:ind w:firstLine="709"/>
        <w:rPr>
          <w:szCs w:val="24"/>
        </w:rPr>
      </w:pPr>
      <w:r w:rsidRPr="00CC66C1">
        <w:rPr>
          <w:szCs w:val="24"/>
        </w:rPr>
        <w:t xml:space="preserve">Кристаллоиды и коллоиды – два основных типа растворов, которые используются для ИТ в медицине. Кристаллоиды – это растворы солей и глюкозы, которые могут легко премещаться за пределы сосудистого русла посредством диффузии в отличие от коллоидов, представляющие собой растворы крупных молекул (гидроксиэтилкрахмала (ГЭК), альбумина), благодаря которым после инфузии преимущественно остаются в русле и увеличивают коллоидно-осмотическое давление, тем самым удерживая жидкость в просвете сосуда. Однако коллоидные растворы (в частности растворы ГЭК первого и второго поколения) обладают более широким спектром побочных эффектов: нефротоксичность, способность вызывать гипокоагуляцию. Поэтому высокая способность удерживать жидкость в сосудистом русле в сочетании с потенциальной опасностью у коллоидов против низкой коллоидно-осмотической способности и относительной безопасности кристаллоидов являются предметом спора в выборе наилучшего типа раствора для инфузии. Но коллоиды и кристаллоиды не являются взаимоисключающими растворами, а используются в различных клинических ситуациях. Преимущественно для поддерживающей ИТ и при коррекции </w:t>
      </w:r>
      <w:r w:rsidRPr="00CC66C1">
        <w:rPr>
          <w:i/>
          <w:szCs w:val="24"/>
        </w:rPr>
        <w:t>дегидратации</w:t>
      </w:r>
      <w:r w:rsidRPr="00CC66C1">
        <w:rPr>
          <w:szCs w:val="24"/>
        </w:rPr>
        <w:t xml:space="preserve"> в результате потери жидкости с перспирацией, лихорадкой, диареей, когда обезвоживаются все жидкостные пространства организма (сосудистое русло, интерстиций, внутриклеточная жидкость) используют сбалансированные кристаллоидные растворы. В экстренных ситуациях, например при массивном кровотечении (</w:t>
      </w:r>
      <w:r w:rsidRPr="00CC66C1">
        <w:rPr>
          <w:i/>
          <w:szCs w:val="24"/>
        </w:rPr>
        <w:t>гиповолемия</w:t>
      </w:r>
      <w:r w:rsidRPr="00CC66C1">
        <w:rPr>
          <w:szCs w:val="24"/>
        </w:rPr>
        <w:t>), когда требуется быстрое восполнение объема циркулирующей крови для поддержания гемодинамики и, соответственно, доставки кислорода тканям, используют комбинацию коллоидных и кристаллоидных растворов.</w:t>
      </w:r>
    </w:p>
    <w:p w14:paraId="0382713D" w14:textId="21F1D1A9" w:rsidR="00C65573" w:rsidRPr="00CC66C1" w:rsidRDefault="00C65573" w:rsidP="00C65573">
      <w:pPr>
        <w:ind w:firstLine="709"/>
        <w:rPr>
          <w:szCs w:val="24"/>
        </w:rPr>
      </w:pPr>
      <w:r w:rsidRPr="00CC66C1">
        <w:rPr>
          <w:i/>
          <w:szCs w:val="24"/>
        </w:rPr>
        <w:t xml:space="preserve">Изотонический 0,9% раствор натрия хлорида (0,9% </w:t>
      </w:r>
      <w:r w:rsidRPr="00CC66C1">
        <w:rPr>
          <w:i/>
          <w:szCs w:val="24"/>
          <w:lang w:val="en-US"/>
        </w:rPr>
        <w:t>NaCl</w:t>
      </w:r>
      <w:r w:rsidRPr="00CC66C1">
        <w:rPr>
          <w:i/>
          <w:szCs w:val="24"/>
        </w:rPr>
        <w:t>),</w:t>
      </w:r>
      <w:r w:rsidRPr="00CC66C1">
        <w:rPr>
          <w:szCs w:val="24"/>
        </w:rPr>
        <w:t xml:space="preserve"> который исторически принято было называть физиологическим, таковым не является. Это связано с его высокой концентрацией ионов натрия 154 ммоль/л и хлорида 154 ммоль/л, что выше, чем в плазме здорового человека (см. таб. 1), и с отсутствием буфера. Поэтому инфузия изотонического раствора хлорида натрия может привести к гиперхлоремическому метаболическому ацидозу с развитием хлорид-индуцированного спазма почечных капилляров с последующей острой почечной недостаточностью</w:t>
      </w:r>
      <w:r w:rsidRPr="0048699E">
        <w:rPr>
          <w:szCs w:val="24"/>
        </w:rPr>
        <w:t xml:space="preserve"> </w:t>
      </w:r>
      <w:r w:rsidRPr="00CC66C1">
        <w:rPr>
          <w:szCs w:val="24"/>
        </w:rPr>
        <w:fldChar w:fldCharType="begin" w:fldLock="1"/>
      </w:r>
      <w:r w:rsidR="0004555D">
        <w:rPr>
          <w:szCs w:val="24"/>
        </w:rPr>
        <w:instrText>ADDIN CSL_CITATION {"citationItems":[{"id":"ITEM-1","itemData":{"DOI":"10.1001/jama.2015.12334","ISSN":"15383598","abstract":"IMPORTANCE: Saline (0.9% sodium chloride) is the most commonly administered intravenous fluid; however, its use may be associated with acute kidney injury (AKI) and increased mortality. OBJECTIVE: To determine the effect of a buffered crystalloid compared with saline on renal complications in patients admitted to the intensive care unit (ICU). DESIGN AND SETTING: Double-blind, cluster randomized, double-crossover trial conducted in 4 ICUs in New Zealand from April 2014 through October 2014. Three ICUs were general medical and surgical ICUs; 1ICU had a predominance of cardiothoracic and vascular surgical patients. PARTICIPANTS: All patients admitted to the ICU requiring crystalloid fluid therapy were eligible for inclusion. Patients with established AKI requiring renal replacement therapy (RRT) were excluded. All 2278 eligible patients were enrolled; 1152 of 1162 patients (99.1%) receiving buffered crystalloid and 1110 of 1116 patients (99.5%) receiving saline were analyzed. INTERVENTIONS: Participating ICUs were assigned a masked study fluid, either saline or a buffered crystalloid, for alternating 7-week treatment blocks. Two ICUs commenced using 1 fluid and the other 2 commenced using the alternative fluid. Two crossovers occurred so that each ICU used each fluid twice over the 28 weeks of the study. The treating clinician determined the rate and frequency of fluid administration. MAIN OUTCOMES AND MEASURES: The primary outcome was proportion of patients with AKI (defined as a rise in serum creatinine level of at least 2-fold or a serum creatinine level of ≥3.96 mg/dL with an increase of ≥0.5 mg/dL); main secondary outcomes were incidence of RRT use and in-hospital mortality. RESULTS: In the buffered crystalloid group, 102 of 1067 patients (9.6%) developed AKI within 90 days after enrollment compared with 94 of 1025 patients (9.2%) in the saline group (absolute difference, 0.4% [95% CI, -2.1% to 2.9%]; relative risk [RR], 1.04 [95% CI, 0.80 to 1.36]; P =.77). In the buffered crystalloid group, RRT was used in 38 of 1152 patients (3.3%) compared with 38 of 1110 patients (3.4%) in the saline group (absolute difference, -0.1% [95% CI, -1.6% to 1.4%]; RR, 0.96 [95% CI, 0.62 to 1.50]; P =.91). Overall, 87 of 1152 patients (7.6%) in the buffered crystalloid group and 95 of 1110 patients (8.6%) in the saline group died in the hospital (absolute difference, -1.0% [95% CI, -3.3% to 1.2%]; RR, 0.88 [95% CI, 0.67 to 1.17]; P=.40). CONCLUSIONS AND RELEVANCE: Amon…","author":[{"dropping-particle":"","family":"Young","given":"Paul","non-dropping-particle":"","parse-names":false,"suffix":""},{"dropping-particle":"","family":"Bailey","given":"Michael","non-dropping-particle":"","parse-names":false,"suffix":""},{"dropping-particle":"","family":"Beasley","given":"Richard","non-dropping-particle":"","parse-names":false,"suffix":""},{"dropping-particle":"","family":"Henderson","given":"Seton","non-dropping-particle":"","parse-names":false,"suffix":""},{"dropping-particle":"","family":"Mackle","given":"Diane","non-dropping-particle":"","parse-names":false,"suffix":""},{"dropping-particle":"","family":"McArthur","given":"Colin","non-dropping-particle":"","parse-names":false,"suffix":""},{"dropping-particle":"","family":"McGuinness","given":"Shay","non-dropping-particle":"","parse-names":false,"suffix":""},{"dropping-particle":"","family":"Mehrtens","given":"Jan","non-dropping-particle":"","parse-names":false,"suffix":""},{"dropping-particle":"","family":"Myburgh","given":"John","non-dropping-particle":"","parse-names":false,"suffix":""},{"dropping-particle":"","family":"Psirides","given":"Alex","non-dropping-particle":"","parse-names":false,"suffix":""},{"dropping-particle":"","family":"Reddy","given":"Sumeet","non-dropping-particle":"","parse-names":false,"suffix":""},{"dropping-particle":"","family":"Bellomo","given":"Rinaldo","non-dropping-particle":"","parse-names":false,"suffix":""},{"dropping-particle":"","family":"Hunt","given":"Anna","non-dropping-particle":"","parse-names":false,"suffix":""},{"dropping-particle":"","family":"Hurford","given":"Sally","non-dropping-particle":"","parse-names":false,"suffix":""},{"dropping-particle":"","family":"Navarra","given":"Leanlove","non-dropping-particle":"","parse-names":false,"suffix":""},{"dropping-particle":"","family":"Jason-Smith","given":"Adelaide","non-dropping-particle":"","parse-names":false,"suffix":""},{"dropping-particle":"","family":"Andrews","given":"Lynn","non-dropping-particle":"","parse-names":false,"suffix":""},{"dropping-particle":"","family":"Hitchings","given":"Louise","non-dropping-particle":"","parse-names":false,"suffix":""},{"dropping-particle":"","family":"Closey","given":"David","non-dropping-particle":"","parse-names":false,"suffix":""},{"dropping-particle":"","family":"Parker","given":"Kim","non-dropping-particle":"","parse-names":false,"suffix":""},{"dropping-particle":"","family":"Minto","given":"Emmeline","non-dropping-particle":"","parse-names":false,"suffix":""},{"dropping-particle":"","family":"Morris","given":"Anna","non-dropping-particle":"","parse-names":false,"suffix":""},{"dropping-particle":"","family":"McConnochie","given":"Rachael","non-dropping-particle":"","parse-names":false,"suffix":""},{"dropping-particle":"","family":"Chen","given":"Yan","non-dropping-particle":"","parse-names":false,"suffix":""},{"dropping-particle":"","family":"Newby","given":"Lynette","non-dropping-particle":"","parse-names":false,"suffix":""},{"dropping-particle":"","family":"Parke","given":"Rachael","non-dropping-particle":"","parse-names":false,"suffix":""},{"dropping-particle":"","family":"McCarthy","given":"Lianne","non-dropping-particle":"","parse-names":false,"suffix":""},{"dropping-particle":"","family":"Gilder","given":"Eileen","non-dropping-particle":"","parse-names":false,"suffix":""},{"dropping-particle":"","family":"Lammert","given":"Andrea","non-dropping-particle":"","parse-names":false,"suffix":""},{"dropping-particle":"","family":"Long","given":"Stephanie","non-dropping-particle":"","parse-names":false,"suffix":""},{"dropping-particle":"","family":"Cowdrey","given":"Keri Anne","non-dropping-particle":"","parse-names":false,"suffix":""},{"dropping-particle":"","family":"Perner","given":"Anders","non-dropping-particle":"","parse-names":false,"suffix":""},{"dropping-particle":"","family":"Morgan","given":"John","non-dropping-particle":"","parse-names":false,"suffix":""},{"dropping-particle":"","family":"Forbes","given":"Andrew","non-dropping-particle":"","parse-names":false,"suffix":""}],"container-title":"JAMA - Journal of the American Medical Association","id":"ITEM-1","issue":"16","issued":{"date-parts":[["2015","10"]]},"page":"1701-1710","publisher":"American Medical Association","title":"Effect of a buffered crystalloid solution vs saline on acute kidney injury among patients in the intensive care unit: The SPLIT randomized clinical trial","type":"article-journal","volume":"314"},"uris":["http://www.mendeley.com/documents/?uuid=2c88c5d9-bfcc-3520-b6bd-db50c835be5e","http://www.mendeley.com/documents/?uuid=14481e58-7f37-4980-972f-c16576e0318f"]}],"mendeley":{"formattedCitation":"[226]","plainTextFormattedCitation":"[226]","previouslyFormattedCitation":"[226]"},"properties":{"noteIndex":0},"schema":"https://github.com/citation-style-language/schema/raw/master/csl-citation.json"}</w:instrText>
      </w:r>
      <w:r w:rsidRPr="00CC66C1">
        <w:rPr>
          <w:szCs w:val="24"/>
        </w:rPr>
        <w:fldChar w:fldCharType="end"/>
      </w:r>
      <w:r w:rsidR="008143D9">
        <w:rPr>
          <w:szCs w:val="24"/>
        </w:rPr>
        <w:t>[226]</w:t>
      </w:r>
      <w:r w:rsidR="0021488B">
        <w:rPr>
          <w:szCs w:val="24"/>
        </w:rPr>
        <w:t>[226]</w:t>
      </w:r>
      <w:r w:rsidR="002701C3">
        <w:rPr>
          <w:szCs w:val="24"/>
        </w:rPr>
        <w:t>[226]</w:t>
      </w:r>
      <w:r w:rsidR="0004555D">
        <w:rPr>
          <w:szCs w:val="24"/>
        </w:rPr>
        <w:t>[226]</w:t>
      </w:r>
      <w:r>
        <w:rPr>
          <w:szCs w:val="24"/>
        </w:rPr>
        <w:t>[226][1]</w:t>
      </w:r>
      <w:r w:rsidRPr="00CC66C1">
        <w:rPr>
          <w:szCs w:val="24"/>
        </w:rPr>
        <w:t xml:space="preserve">. </w:t>
      </w:r>
    </w:p>
    <w:p w14:paraId="3E3ED593" w14:textId="77777777" w:rsidR="00C65573" w:rsidRPr="00CC66C1" w:rsidRDefault="00C65573" w:rsidP="00C65573">
      <w:pPr>
        <w:ind w:firstLine="709"/>
        <w:rPr>
          <w:szCs w:val="24"/>
        </w:rPr>
      </w:pPr>
      <w:r w:rsidRPr="00CC66C1">
        <w:rPr>
          <w:szCs w:val="24"/>
        </w:rPr>
        <w:t xml:space="preserve">Введение 1000 мл 0,9% натрия хлорида увеличивает объем плазмы на 275 мл, а интерстициальной жидкости на 875 мл,  суммарно 1100 мл  (на 100 мл больше за счет диффузии воды из внутриклеточного пространства в интерстиций под действием концентрационного градиента, который создается ионами </w:t>
      </w:r>
      <w:r w:rsidRPr="00CC66C1">
        <w:rPr>
          <w:szCs w:val="24"/>
          <w:lang w:val="en-US"/>
        </w:rPr>
        <w:t>Na</w:t>
      </w:r>
      <w:r w:rsidRPr="00CC66C1">
        <w:rPr>
          <w:szCs w:val="24"/>
        </w:rPr>
        <w:t xml:space="preserve">).   Принимая во внимание побочные эффекты, следует избегать использования 0,9% </w:t>
      </w:r>
      <w:r w:rsidRPr="00CC66C1">
        <w:rPr>
          <w:szCs w:val="24"/>
          <w:lang w:val="en-US"/>
        </w:rPr>
        <w:t>NaCl</w:t>
      </w:r>
      <w:r w:rsidRPr="00CC66C1">
        <w:rPr>
          <w:szCs w:val="24"/>
        </w:rPr>
        <w:t xml:space="preserve"> для ИТ и применять его в качестве растворителя для фармакологических препаратов. </w:t>
      </w:r>
    </w:p>
    <w:p w14:paraId="0B944CE2" w14:textId="77777777" w:rsidR="00C65573" w:rsidRPr="00CC66C1" w:rsidRDefault="00C65573" w:rsidP="00C65573">
      <w:pPr>
        <w:ind w:firstLine="709"/>
        <w:rPr>
          <w:szCs w:val="24"/>
        </w:rPr>
      </w:pPr>
      <w:r w:rsidRPr="00CC66C1">
        <w:rPr>
          <w:i/>
          <w:szCs w:val="24"/>
        </w:rPr>
        <w:t>Сбалансированные кристаллоидные растворы (Стерофундин, Плазмалит, Рингер-лактат (таб.1))</w:t>
      </w:r>
      <w:r w:rsidRPr="00CC66C1">
        <w:rPr>
          <w:szCs w:val="24"/>
        </w:rPr>
        <w:t xml:space="preserve"> обладают меньшим количеством побочных эффектов за счет снижения концентрации ионов натрия и добавления буфера в раствор, что частично решает проблемы периферических отеков: низкая концентрация ионов натрия в растворе не создает градиент для диффузии воды из внутриклеточного пространства, как это происходит при использовании 0,9% натрия хлорида, а находящийся в растворе  буфер предотвращает развитие ацидоза. Однако раствор Рингер-лактата</w:t>
      </w:r>
      <w:r w:rsidRPr="00CC66C1">
        <w:rPr>
          <w:i/>
          <w:szCs w:val="24"/>
        </w:rPr>
        <w:t xml:space="preserve"> </w:t>
      </w:r>
      <w:r w:rsidRPr="00CC66C1">
        <w:rPr>
          <w:szCs w:val="24"/>
        </w:rPr>
        <w:t xml:space="preserve">является гипоосмолярным – 256 ммоль/л, что делает его непригодным для использования у пациентов с отеком головного мозга. В настоящее время раствор Рингер-лактата успешно применяется для коррекции гипернатриемии, инфузионной терапии во время лечения сепсиса, панкреатита и др. </w:t>
      </w:r>
    </w:p>
    <w:p w14:paraId="535643D5" w14:textId="77777777" w:rsidR="00C65573" w:rsidRPr="00CC66C1" w:rsidRDefault="00C65573" w:rsidP="00C65573">
      <w:pPr>
        <w:ind w:firstLine="709"/>
        <w:rPr>
          <w:szCs w:val="24"/>
        </w:rPr>
      </w:pPr>
      <w:r w:rsidRPr="00CC66C1">
        <w:rPr>
          <w:szCs w:val="24"/>
        </w:rPr>
        <w:t xml:space="preserve">Следует помнить, что у пациентов с циркуляторным шоком (тканевой гипоксией) и с заболеваниями печени лактат из раствора не будет метаболизироваться в анаэробных условиях до бикарбоната, что может приводить к гиперлактатаемии. Следует ограничивать проведение ИТ раствором Рингер-лактата у пациентов с циркуляторным шоком. Необходимо с осторожностью использовать раствор Рингер – Лактата для разведения эритроцитарной массы, так как находящийся в растворе кальций может связать цитрат (антикоагулянт для компонентов крови) и вызвать образование сгустков крови в пакете с компонентами крови.  </w:t>
      </w:r>
    </w:p>
    <w:p w14:paraId="2F751207" w14:textId="77777777" w:rsidR="00C65573" w:rsidRPr="00CC66C1" w:rsidRDefault="00C65573" w:rsidP="00C65573">
      <w:pPr>
        <w:ind w:firstLine="708"/>
        <w:rPr>
          <w:szCs w:val="24"/>
        </w:rPr>
      </w:pPr>
      <w:r w:rsidRPr="00CC66C1">
        <w:rPr>
          <w:szCs w:val="24"/>
        </w:rPr>
        <w:t xml:space="preserve">Современные растворы, такие как </w:t>
      </w:r>
      <w:r w:rsidRPr="00CC66C1">
        <w:rPr>
          <w:i/>
          <w:szCs w:val="24"/>
        </w:rPr>
        <w:t>Стерофундин, Плазмалит</w:t>
      </w:r>
      <w:r w:rsidRPr="00CC66C1">
        <w:rPr>
          <w:szCs w:val="24"/>
        </w:rPr>
        <w:t xml:space="preserve"> и др.,  содержат в себе меньшую концентрацию кальция за счет добавления ионов магния, а в качестве буфера – ацетат. Таким образом, у этих растворов также имеется ряд преимуществ перед изотоническим раствором натрия и раствором Рингер-лактат: более низкая концентрация хлорида уменьшает риск развития гиперхлоремического ацидоза, а применение ацетата в качестве буфера дает возможность применять эти растворы у больных с печеночной недостаточностью и циркуляторным шоком без риска ятрогенной гиперлактатемии. Эти растворы также подходят для проведения регидратации при снижении объема жидкости при диареи, рвоте, лихорадке. </w:t>
      </w:r>
    </w:p>
    <w:p w14:paraId="3941739B" w14:textId="77777777" w:rsidR="00C65573" w:rsidRPr="00CC66C1" w:rsidRDefault="00C65573" w:rsidP="00C65573">
      <w:pPr>
        <w:ind w:firstLine="709"/>
        <w:rPr>
          <w:szCs w:val="24"/>
        </w:rPr>
      </w:pPr>
      <w:r w:rsidRPr="00CC66C1">
        <w:rPr>
          <w:szCs w:val="24"/>
        </w:rPr>
        <w:t xml:space="preserve">Не рекомендуется использование изотонического раствора  натрия хлорида у пациентов с гиперкалиемией и почечной недостаточностью (например, при синдроме лизиса опухоли) вместо сбалансированных кристаллоидных растворов, несмотря на наличие в составе последних ионов калия, так как ацидоз, возникающий при использовании 0,9% раствора натрия хлорида, может усугубить гиперкалиемию за счет трансклеточного сдвига калия, который происходит для поддержания электронейтральности плазмы во время ацидоза. Введение же сбалансированного кристаллоидного инфузионного раствора с концентрацией калия 4 ммоль/л больному с гиперкалиемией будет уменьшать концентрацию калия в сторону значения концентрации калия в вводимом растворе.     </w:t>
      </w:r>
    </w:p>
    <w:p w14:paraId="1EFCCBB7" w14:textId="77777777" w:rsidR="00C65573" w:rsidRPr="00CC66C1" w:rsidRDefault="00C65573" w:rsidP="00C65573">
      <w:pPr>
        <w:ind w:firstLine="709"/>
        <w:rPr>
          <w:szCs w:val="24"/>
        </w:rPr>
      </w:pPr>
      <w:r w:rsidRPr="00CC66C1">
        <w:rPr>
          <w:szCs w:val="24"/>
        </w:rPr>
        <w:t xml:space="preserve">Растворы глюкозы в настоящее время для инфузионной терапии практически не применяются. Это связано как с побочными эффектами – гипергликемия  и повышение концентрации лактата крови, так и с низкой волемической активностью 5% раствора глюкозы: при инфузии 1000 мл 5% раствора глюкозы только 100 мл остается в сосудистом русле, объем жидкости в интерстициальном пространстве увеличивается на 250 мл, 650 мл раствора перемещается во внутриклеточное пространство. </w:t>
      </w:r>
    </w:p>
    <w:p w14:paraId="631FED1E" w14:textId="77777777" w:rsidR="00C65573" w:rsidRDefault="00C65573" w:rsidP="00C65573">
      <w:pPr>
        <w:ind w:firstLine="709"/>
        <w:rPr>
          <w:szCs w:val="24"/>
        </w:rPr>
      </w:pPr>
    </w:p>
    <w:p w14:paraId="5AD8763B" w14:textId="77777777" w:rsidR="00C65573" w:rsidRPr="00CC66C1" w:rsidRDefault="00C65573" w:rsidP="00C65573">
      <w:pPr>
        <w:ind w:firstLine="709"/>
        <w:rPr>
          <w:szCs w:val="24"/>
        </w:rPr>
      </w:pPr>
      <w:r w:rsidRPr="00CC66C1">
        <w:rPr>
          <w:szCs w:val="24"/>
        </w:rPr>
        <w:t>Таблица 1. Кристаллоидные растворы</w:t>
      </w:r>
    </w:p>
    <w:tbl>
      <w:tblPr>
        <w:tblStyle w:val="affa"/>
        <w:tblW w:w="0" w:type="auto"/>
        <w:tblLook w:val="04A0" w:firstRow="1" w:lastRow="0" w:firstColumn="1" w:lastColumn="0" w:noHBand="0" w:noVBand="1"/>
      </w:tblPr>
      <w:tblGrid>
        <w:gridCol w:w="1900"/>
        <w:gridCol w:w="1859"/>
        <w:gridCol w:w="1841"/>
        <w:gridCol w:w="1861"/>
        <w:gridCol w:w="1885"/>
      </w:tblGrid>
      <w:tr w:rsidR="00C65573" w:rsidRPr="00CC66C1" w14:paraId="736DBCF8" w14:textId="77777777" w:rsidTr="005A428D">
        <w:tc>
          <w:tcPr>
            <w:tcW w:w="1914" w:type="dxa"/>
          </w:tcPr>
          <w:p w14:paraId="3D3CA993" w14:textId="77777777" w:rsidR="00C65573" w:rsidRPr="00CC66C1" w:rsidRDefault="00C65573" w:rsidP="005A428D">
            <w:pPr>
              <w:jc w:val="center"/>
              <w:rPr>
                <w:b/>
                <w:szCs w:val="24"/>
              </w:rPr>
            </w:pPr>
            <w:r w:rsidRPr="00CC66C1">
              <w:rPr>
                <w:b/>
                <w:szCs w:val="24"/>
              </w:rPr>
              <w:t>Компоненты</w:t>
            </w:r>
          </w:p>
        </w:tc>
        <w:tc>
          <w:tcPr>
            <w:tcW w:w="1914" w:type="dxa"/>
          </w:tcPr>
          <w:p w14:paraId="5B4234B5" w14:textId="77777777" w:rsidR="00C65573" w:rsidRPr="00CC66C1" w:rsidRDefault="00C65573" w:rsidP="005A428D">
            <w:pPr>
              <w:jc w:val="center"/>
              <w:rPr>
                <w:b/>
                <w:szCs w:val="24"/>
              </w:rPr>
            </w:pPr>
            <w:r w:rsidRPr="00CC66C1">
              <w:rPr>
                <w:b/>
                <w:szCs w:val="24"/>
              </w:rPr>
              <w:t>Плазма</w:t>
            </w:r>
          </w:p>
        </w:tc>
        <w:tc>
          <w:tcPr>
            <w:tcW w:w="1914" w:type="dxa"/>
          </w:tcPr>
          <w:p w14:paraId="15ECE876" w14:textId="77777777" w:rsidR="00C65573" w:rsidRPr="00CC66C1" w:rsidRDefault="00C65573" w:rsidP="005A428D">
            <w:pPr>
              <w:jc w:val="center"/>
              <w:rPr>
                <w:b/>
                <w:szCs w:val="24"/>
                <w:lang w:val="en-US"/>
              </w:rPr>
            </w:pPr>
            <w:r w:rsidRPr="00CC66C1">
              <w:rPr>
                <w:b/>
                <w:szCs w:val="24"/>
              </w:rPr>
              <w:t xml:space="preserve">0,9% </w:t>
            </w:r>
            <w:r w:rsidRPr="00CC66C1">
              <w:rPr>
                <w:b/>
                <w:szCs w:val="24"/>
                <w:lang w:val="en-US"/>
              </w:rPr>
              <w:t>NaCl</w:t>
            </w:r>
          </w:p>
        </w:tc>
        <w:tc>
          <w:tcPr>
            <w:tcW w:w="1914" w:type="dxa"/>
          </w:tcPr>
          <w:p w14:paraId="3C9EAF24" w14:textId="77777777" w:rsidR="00C65573" w:rsidRPr="00CC66C1" w:rsidRDefault="00C65573" w:rsidP="005A428D">
            <w:pPr>
              <w:jc w:val="center"/>
              <w:rPr>
                <w:b/>
                <w:szCs w:val="24"/>
              </w:rPr>
            </w:pPr>
            <w:r w:rsidRPr="00CC66C1">
              <w:rPr>
                <w:b/>
                <w:szCs w:val="24"/>
              </w:rPr>
              <w:t>Рингер-лактат</w:t>
            </w:r>
          </w:p>
        </w:tc>
        <w:tc>
          <w:tcPr>
            <w:tcW w:w="1915" w:type="dxa"/>
          </w:tcPr>
          <w:p w14:paraId="2EB1BB5D" w14:textId="77777777" w:rsidR="00C65573" w:rsidRPr="00CC66C1" w:rsidRDefault="00C65573" w:rsidP="005A428D">
            <w:pPr>
              <w:jc w:val="center"/>
              <w:rPr>
                <w:b/>
                <w:szCs w:val="24"/>
              </w:rPr>
            </w:pPr>
            <w:r w:rsidRPr="00CC66C1">
              <w:rPr>
                <w:b/>
                <w:szCs w:val="24"/>
              </w:rPr>
              <w:t>Плазмалит</w:t>
            </w:r>
          </w:p>
        </w:tc>
      </w:tr>
      <w:tr w:rsidR="00C65573" w:rsidRPr="00CC66C1" w14:paraId="655F98D4" w14:textId="77777777" w:rsidTr="005A428D">
        <w:tc>
          <w:tcPr>
            <w:tcW w:w="1914" w:type="dxa"/>
          </w:tcPr>
          <w:p w14:paraId="53F75C4C" w14:textId="77777777" w:rsidR="00C65573" w:rsidRPr="00CC66C1" w:rsidRDefault="00C65573" w:rsidP="005A428D">
            <w:pPr>
              <w:jc w:val="center"/>
              <w:rPr>
                <w:szCs w:val="24"/>
              </w:rPr>
            </w:pPr>
            <w:r w:rsidRPr="00CC66C1">
              <w:rPr>
                <w:szCs w:val="24"/>
              </w:rPr>
              <w:t>Натрий (ммоль/л)</w:t>
            </w:r>
          </w:p>
        </w:tc>
        <w:tc>
          <w:tcPr>
            <w:tcW w:w="1914" w:type="dxa"/>
          </w:tcPr>
          <w:p w14:paraId="539CA028" w14:textId="77777777" w:rsidR="00C65573" w:rsidRPr="00CC66C1" w:rsidRDefault="00C65573" w:rsidP="005A428D">
            <w:pPr>
              <w:jc w:val="center"/>
              <w:rPr>
                <w:szCs w:val="24"/>
              </w:rPr>
            </w:pPr>
            <w:r w:rsidRPr="00CC66C1">
              <w:rPr>
                <w:szCs w:val="24"/>
              </w:rPr>
              <w:t>135-145</w:t>
            </w:r>
          </w:p>
        </w:tc>
        <w:tc>
          <w:tcPr>
            <w:tcW w:w="1914" w:type="dxa"/>
          </w:tcPr>
          <w:p w14:paraId="3AB9027C" w14:textId="77777777" w:rsidR="00C65573" w:rsidRPr="00CC66C1" w:rsidRDefault="00C65573" w:rsidP="005A428D">
            <w:pPr>
              <w:jc w:val="center"/>
              <w:rPr>
                <w:szCs w:val="24"/>
                <w:lang w:val="en-US"/>
              </w:rPr>
            </w:pPr>
            <w:r w:rsidRPr="00CC66C1">
              <w:rPr>
                <w:szCs w:val="24"/>
                <w:lang w:val="en-US"/>
              </w:rPr>
              <w:t>154</w:t>
            </w:r>
          </w:p>
        </w:tc>
        <w:tc>
          <w:tcPr>
            <w:tcW w:w="1914" w:type="dxa"/>
          </w:tcPr>
          <w:p w14:paraId="66A134B9" w14:textId="77777777" w:rsidR="00C65573" w:rsidRPr="00CC66C1" w:rsidRDefault="00C65573" w:rsidP="005A428D">
            <w:pPr>
              <w:jc w:val="center"/>
              <w:rPr>
                <w:szCs w:val="24"/>
                <w:lang w:val="en-US"/>
              </w:rPr>
            </w:pPr>
            <w:r w:rsidRPr="00CC66C1">
              <w:rPr>
                <w:szCs w:val="24"/>
                <w:lang w:val="en-US"/>
              </w:rPr>
              <w:t>130</w:t>
            </w:r>
          </w:p>
        </w:tc>
        <w:tc>
          <w:tcPr>
            <w:tcW w:w="1915" w:type="dxa"/>
          </w:tcPr>
          <w:p w14:paraId="517089B4" w14:textId="77777777" w:rsidR="00C65573" w:rsidRPr="00CC66C1" w:rsidRDefault="00C65573" w:rsidP="005A428D">
            <w:pPr>
              <w:jc w:val="center"/>
              <w:rPr>
                <w:szCs w:val="24"/>
              </w:rPr>
            </w:pPr>
            <w:r w:rsidRPr="00CC66C1">
              <w:rPr>
                <w:szCs w:val="24"/>
              </w:rPr>
              <w:t>140</w:t>
            </w:r>
          </w:p>
        </w:tc>
      </w:tr>
      <w:tr w:rsidR="00C65573" w:rsidRPr="00CC66C1" w14:paraId="3125D73F" w14:textId="77777777" w:rsidTr="005A428D">
        <w:tc>
          <w:tcPr>
            <w:tcW w:w="1914" w:type="dxa"/>
          </w:tcPr>
          <w:p w14:paraId="1F76E013" w14:textId="77777777" w:rsidR="00C65573" w:rsidRPr="00CC66C1" w:rsidRDefault="00C65573" w:rsidP="005A428D">
            <w:pPr>
              <w:jc w:val="center"/>
              <w:rPr>
                <w:szCs w:val="24"/>
              </w:rPr>
            </w:pPr>
            <w:r w:rsidRPr="00CC66C1">
              <w:rPr>
                <w:szCs w:val="24"/>
              </w:rPr>
              <w:t>Хлорид (ммоль/л)</w:t>
            </w:r>
          </w:p>
        </w:tc>
        <w:tc>
          <w:tcPr>
            <w:tcW w:w="1914" w:type="dxa"/>
          </w:tcPr>
          <w:p w14:paraId="2E7EF153" w14:textId="77777777" w:rsidR="00C65573" w:rsidRPr="00CC66C1" w:rsidRDefault="00C65573" w:rsidP="005A428D">
            <w:pPr>
              <w:jc w:val="center"/>
              <w:rPr>
                <w:szCs w:val="24"/>
              </w:rPr>
            </w:pPr>
            <w:r w:rsidRPr="00CC66C1">
              <w:rPr>
                <w:szCs w:val="24"/>
              </w:rPr>
              <w:t>98-106</w:t>
            </w:r>
          </w:p>
        </w:tc>
        <w:tc>
          <w:tcPr>
            <w:tcW w:w="1914" w:type="dxa"/>
          </w:tcPr>
          <w:p w14:paraId="56FCCE60" w14:textId="77777777" w:rsidR="00C65573" w:rsidRPr="00CC66C1" w:rsidRDefault="00C65573" w:rsidP="005A428D">
            <w:pPr>
              <w:jc w:val="center"/>
              <w:rPr>
                <w:szCs w:val="24"/>
                <w:lang w:val="en-US"/>
              </w:rPr>
            </w:pPr>
            <w:r w:rsidRPr="00CC66C1">
              <w:rPr>
                <w:szCs w:val="24"/>
                <w:lang w:val="en-US"/>
              </w:rPr>
              <w:t>154</w:t>
            </w:r>
          </w:p>
        </w:tc>
        <w:tc>
          <w:tcPr>
            <w:tcW w:w="1914" w:type="dxa"/>
          </w:tcPr>
          <w:p w14:paraId="3B860ED1" w14:textId="77777777" w:rsidR="00C65573" w:rsidRPr="00CC66C1" w:rsidRDefault="00C65573" w:rsidP="005A428D">
            <w:pPr>
              <w:jc w:val="center"/>
              <w:rPr>
                <w:szCs w:val="24"/>
                <w:lang w:val="en-US"/>
              </w:rPr>
            </w:pPr>
            <w:r w:rsidRPr="00CC66C1">
              <w:rPr>
                <w:szCs w:val="24"/>
                <w:lang w:val="en-US"/>
              </w:rPr>
              <w:t>109</w:t>
            </w:r>
          </w:p>
        </w:tc>
        <w:tc>
          <w:tcPr>
            <w:tcW w:w="1915" w:type="dxa"/>
          </w:tcPr>
          <w:p w14:paraId="20F34EE1" w14:textId="77777777" w:rsidR="00C65573" w:rsidRPr="00CC66C1" w:rsidRDefault="00C65573" w:rsidP="005A428D">
            <w:pPr>
              <w:jc w:val="center"/>
              <w:rPr>
                <w:szCs w:val="24"/>
              </w:rPr>
            </w:pPr>
            <w:r w:rsidRPr="00CC66C1">
              <w:rPr>
                <w:szCs w:val="24"/>
              </w:rPr>
              <w:t>98</w:t>
            </w:r>
          </w:p>
        </w:tc>
      </w:tr>
      <w:tr w:rsidR="00C65573" w:rsidRPr="00CC66C1" w14:paraId="34E74407" w14:textId="77777777" w:rsidTr="005A428D">
        <w:tc>
          <w:tcPr>
            <w:tcW w:w="1914" w:type="dxa"/>
          </w:tcPr>
          <w:p w14:paraId="13BF46A2" w14:textId="77777777" w:rsidR="00C65573" w:rsidRPr="00CC66C1" w:rsidRDefault="00C65573" w:rsidP="005A428D">
            <w:pPr>
              <w:jc w:val="center"/>
              <w:rPr>
                <w:szCs w:val="24"/>
              </w:rPr>
            </w:pPr>
            <w:r w:rsidRPr="00CC66C1">
              <w:rPr>
                <w:szCs w:val="24"/>
              </w:rPr>
              <w:t>Калий (ммоль/л)</w:t>
            </w:r>
          </w:p>
        </w:tc>
        <w:tc>
          <w:tcPr>
            <w:tcW w:w="1914" w:type="dxa"/>
          </w:tcPr>
          <w:p w14:paraId="2C0577EA" w14:textId="77777777" w:rsidR="00C65573" w:rsidRPr="00CC66C1" w:rsidRDefault="00C65573" w:rsidP="005A428D">
            <w:pPr>
              <w:jc w:val="center"/>
              <w:rPr>
                <w:szCs w:val="24"/>
              </w:rPr>
            </w:pPr>
            <w:r w:rsidRPr="00CC66C1">
              <w:rPr>
                <w:szCs w:val="24"/>
              </w:rPr>
              <w:t>3,5-5,0</w:t>
            </w:r>
          </w:p>
        </w:tc>
        <w:tc>
          <w:tcPr>
            <w:tcW w:w="1914" w:type="dxa"/>
          </w:tcPr>
          <w:p w14:paraId="68D61549" w14:textId="77777777" w:rsidR="00C65573" w:rsidRPr="00CC66C1" w:rsidRDefault="00C65573" w:rsidP="005A428D">
            <w:pPr>
              <w:jc w:val="center"/>
              <w:rPr>
                <w:szCs w:val="24"/>
                <w:lang w:val="en-US"/>
              </w:rPr>
            </w:pPr>
            <w:r w:rsidRPr="00CC66C1">
              <w:rPr>
                <w:szCs w:val="24"/>
                <w:lang w:val="en-US"/>
              </w:rPr>
              <w:t>-</w:t>
            </w:r>
          </w:p>
        </w:tc>
        <w:tc>
          <w:tcPr>
            <w:tcW w:w="1914" w:type="dxa"/>
          </w:tcPr>
          <w:p w14:paraId="77FB8415" w14:textId="77777777" w:rsidR="00C65573" w:rsidRPr="00CC66C1" w:rsidRDefault="00C65573" w:rsidP="005A428D">
            <w:pPr>
              <w:jc w:val="center"/>
              <w:rPr>
                <w:szCs w:val="24"/>
                <w:lang w:val="en-US"/>
              </w:rPr>
            </w:pPr>
            <w:r w:rsidRPr="00CC66C1">
              <w:rPr>
                <w:szCs w:val="24"/>
                <w:lang w:val="en-US"/>
              </w:rPr>
              <w:t>4</w:t>
            </w:r>
          </w:p>
        </w:tc>
        <w:tc>
          <w:tcPr>
            <w:tcW w:w="1915" w:type="dxa"/>
          </w:tcPr>
          <w:p w14:paraId="07070F6C" w14:textId="77777777" w:rsidR="00C65573" w:rsidRPr="00CC66C1" w:rsidRDefault="00C65573" w:rsidP="005A428D">
            <w:pPr>
              <w:jc w:val="center"/>
              <w:rPr>
                <w:szCs w:val="24"/>
              </w:rPr>
            </w:pPr>
            <w:r w:rsidRPr="00CC66C1">
              <w:rPr>
                <w:szCs w:val="24"/>
              </w:rPr>
              <w:t>5</w:t>
            </w:r>
          </w:p>
        </w:tc>
      </w:tr>
      <w:tr w:rsidR="00C65573" w:rsidRPr="00CC66C1" w14:paraId="6632EEC7" w14:textId="77777777" w:rsidTr="005A428D">
        <w:tc>
          <w:tcPr>
            <w:tcW w:w="1914" w:type="dxa"/>
          </w:tcPr>
          <w:p w14:paraId="27299750" w14:textId="77777777" w:rsidR="00C65573" w:rsidRPr="00CC66C1" w:rsidRDefault="00C65573" w:rsidP="005A428D">
            <w:pPr>
              <w:jc w:val="center"/>
              <w:rPr>
                <w:szCs w:val="24"/>
              </w:rPr>
            </w:pPr>
            <w:r w:rsidRPr="00CC66C1">
              <w:rPr>
                <w:szCs w:val="24"/>
              </w:rPr>
              <w:t>Кальций (мг/дл)</w:t>
            </w:r>
          </w:p>
        </w:tc>
        <w:tc>
          <w:tcPr>
            <w:tcW w:w="1914" w:type="dxa"/>
          </w:tcPr>
          <w:p w14:paraId="019E9894" w14:textId="77777777" w:rsidR="00C65573" w:rsidRPr="00CC66C1" w:rsidRDefault="00C65573" w:rsidP="005A428D">
            <w:pPr>
              <w:jc w:val="center"/>
              <w:rPr>
                <w:szCs w:val="24"/>
              </w:rPr>
            </w:pPr>
            <w:r w:rsidRPr="00CC66C1">
              <w:rPr>
                <w:szCs w:val="24"/>
              </w:rPr>
              <w:t>3,0-4,5</w:t>
            </w:r>
          </w:p>
        </w:tc>
        <w:tc>
          <w:tcPr>
            <w:tcW w:w="1914" w:type="dxa"/>
          </w:tcPr>
          <w:p w14:paraId="3C50284D" w14:textId="77777777" w:rsidR="00C65573" w:rsidRPr="00CC66C1" w:rsidRDefault="00C65573" w:rsidP="005A428D">
            <w:pPr>
              <w:jc w:val="center"/>
              <w:rPr>
                <w:szCs w:val="24"/>
                <w:lang w:val="en-US"/>
              </w:rPr>
            </w:pPr>
            <w:r w:rsidRPr="00CC66C1">
              <w:rPr>
                <w:szCs w:val="24"/>
                <w:lang w:val="en-US"/>
              </w:rPr>
              <w:t>-</w:t>
            </w:r>
          </w:p>
        </w:tc>
        <w:tc>
          <w:tcPr>
            <w:tcW w:w="1914" w:type="dxa"/>
          </w:tcPr>
          <w:p w14:paraId="6A26F733" w14:textId="77777777" w:rsidR="00C65573" w:rsidRPr="00CC66C1" w:rsidRDefault="00C65573" w:rsidP="005A428D">
            <w:pPr>
              <w:jc w:val="center"/>
              <w:rPr>
                <w:szCs w:val="24"/>
                <w:lang w:val="en-US"/>
              </w:rPr>
            </w:pPr>
            <w:r w:rsidRPr="00CC66C1">
              <w:rPr>
                <w:szCs w:val="24"/>
                <w:lang w:val="en-US"/>
              </w:rPr>
              <w:t>4</w:t>
            </w:r>
          </w:p>
        </w:tc>
        <w:tc>
          <w:tcPr>
            <w:tcW w:w="1915" w:type="dxa"/>
          </w:tcPr>
          <w:p w14:paraId="73E6540A" w14:textId="77777777" w:rsidR="00C65573" w:rsidRPr="00CC66C1" w:rsidRDefault="00C65573" w:rsidP="005A428D">
            <w:pPr>
              <w:jc w:val="center"/>
              <w:rPr>
                <w:szCs w:val="24"/>
              </w:rPr>
            </w:pPr>
            <w:r w:rsidRPr="00CC66C1">
              <w:rPr>
                <w:szCs w:val="24"/>
              </w:rPr>
              <w:t>-</w:t>
            </w:r>
          </w:p>
        </w:tc>
      </w:tr>
      <w:tr w:rsidR="00C65573" w:rsidRPr="00CC66C1" w14:paraId="171FE28F" w14:textId="77777777" w:rsidTr="005A428D">
        <w:tc>
          <w:tcPr>
            <w:tcW w:w="1914" w:type="dxa"/>
          </w:tcPr>
          <w:p w14:paraId="4AFF3EE7" w14:textId="77777777" w:rsidR="00C65573" w:rsidRPr="00CC66C1" w:rsidRDefault="00C65573" w:rsidP="005A428D">
            <w:pPr>
              <w:jc w:val="center"/>
              <w:rPr>
                <w:szCs w:val="24"/>
              </w:rPr>
            </w:pPr>
            <w:r w:rsidRPr="00CC66C1">
              <w:rPr>
                <w:szCs w:val="24"/>
              </w:rPr>
              <w:t>Магний (ммоль/л)</w:t>
            </w:r>
          </w:p>
        </w:tc>
        <w:tc>
          <w:tcPr>
            <w:tcW w:w="1914" w:type="dxa"/>
          </w:tcPr>
          <w:p w14:paraId="3D1D125D" w14:textId="77777777" w:rsidR="00C65573" w:rsidRPr="00CC66C1" w:rsidRDefault="00C65573" w:rsidP="005A428D">
            <w:pPr>
              <w:jc w:val="center"/>
              <w:rPr>
                <w:szCs w:val="24"/>
              </w:rPr>
            </w:pPr>
            <w:r w:rsidRPr="00CC66C1">
              <w:rPr>
                <w:szCs w:val="24"/>
              </w:rPr>
              <w:t>0,7-1,2</w:t>
            </w:r>
          </w:p>
        </w:tc>
        <w:tc>
          <w:tcPr>
            <w:tcW w:w="1914" w:type="dxa"/>
          </w:tcPr>
          <w:p w14:paraId="1F564996" w14:textId="77777777" w:rsidR="00C65573" w:rsidRPr="00CC66C1" w:rsidRDefault="00C65573" w:rsidP="005A428D">
            <w:pPr>
              <w:jc w:val="center"/>
              <w:rPr>
                <w:szCs w:val="24"/>
                <w:lang w:val="en-US"/>
              </w:rPr>
            </w:pPr>
            <w:r w:rsidRPr="00CC66C1">
              <w:rPr>
                <w:szCs w:val="24"/>
                <w:lang w:val="en-US"/>
              </w:rPr>
              <w:t>-</w:t>
            </w:r>
          </w:p>
        </w:tc>
        <w:tc>
          <w:tcPr>
            <w:tcW w:w="1914" w:type="dxa"/>
          </w:tcPr>
          <w:p w14:paraId="4C51C420" w14:textId="77777777" w:rsidR="00C65573" w:rsidRPr="00CC66C1" w:rsidRDefault="00C65573" w:rsidP="005A428D">
            <w:pPr>
              <w:jc w:val="center"/>
              <w:rPr>
                <w:szCs w:val="24"/>
                <w:lang w:val="en-US"/>
              </w:rPr>
            </w:pPr>
            <w:r w:rsidRPr="00CC66C1">
              <w:rPr>
                <w:szCs w:val="24"/>
                <w:lang w:val="en-US"/>
              </w:rPr>
              <w:t>-</w:t>
            </w:r>
          </w:p>
        </w:tc>
        <w:tc>
          <w:tcPr>
            <w:tcW w:w="1915" w:type="dxa"/>
          </w:tcPr>
          <w:p w14:paraId="77DDE826" w14:textId="77777777" w:rsidR="00C65573" w:rsidRPr="00CC66C1" w:rsidRDefault="00C65573" w:rsidP="005A428D">
            <w:pPr>
              <w:jc w:val="center"/>
              <w:rPr>
                <w:szCs w:val="24"/>
              </w:rPr>
            </w:pPr>
            <w:r w:rsidRPr="00CC66C1">
              <w:rPr>
                <w:szCs w:val="24"/>
              </w:rPr>
              <w:t>3</w:t>
            </w:r>
          </w:p>
        </w:tc>
      </w:tr>
      <w:tr w:rsidR="00C65573" w:rsidRPr="00CC66C1" w14:paraId="695512E1" w14:textId="77777777" w:rsidTr="005A428D">
        <w:tc>
          <w:tcPr>
            <w:tcW w:w="1914" w:type="dxa"/>
          </w:tcPr>
          <w:p w14:paraId="3D433907" w14:textId="77777777" w:rsidR="00C65573" w:rsidRPr="00CC66C1" w:rsidRDefault="00C65573" w:rsidP="005A428D">
            <w:pPr>
              <w:jc w:val="center"/>
              <w:rPr>
                <w:szCs w:val="24"/>
              </w:rPr>
            </w:pPr>
            <w:r w:rsidRPr="00CC66C1">
              <w:rPr>
                <w:szCs w:val="24"/>
              </w:rPr>
              <w:t>Буфер (ммоль/л)</w:t>
            </w:r>
          </w:p>
        </w:tc>
        <w:tc>
          <w:tcPr>
            <w:tcW w:w="1914" w:type="dxa"/>
          </w:tcPr>
          <w:p w14:paraId="56EF9A68" w14:textId="77777777" w:rsidR="00C65573" w:rsidRPr="00CC66C1" w:rsidRDefault="00C65573" w:rsidP="005A428D">
            <w:pPr>
              <w:jc w:val="center"/>
              <w:rPr>
                <w:szCs w:val="24"/>
                <w:vertAlign w:val="subscript"/>
                <w:lang w:val="en-US"/>
              </w:rPr>
            </w:pPr>
            <w:r w:rsidRPr="00CC66C1">
              <w:rPr>
                <w:szCs w:val="24"/>
                <w:lang w:val="en-US"/>
              </w:rPr>
              <w:t>HCO</w:t>
            </w:r>
            <w:r w:rsidRPr="00CC66C1">
              <w:rPr>
                <w:szCs w:val="24"/>
                <w:vertAlign w:val="superscript"/>
                <w:lang w:val="en-US"/>
              </w:rPr>
              <w:t>-</w:t>
            </w:r>
            <w:r w:rsidRPr="00CC66C1">
              <w:rPr>
                <w:szCs w:val="24"/>
                <w:vertAlign w:val="subscript"/>
                <w:lang w:val="en-US"/>
              </w:rPr>
              <w:t>3</w:t>
            </w:r>
          </w:p>
          <w:p w14:paraId="410371F4" w14:textId="77777777" w:rsidR="00C65573" w:rsidRPr="00CC66C1" w:rsidRDefault="00C65573" w:rsidP="005A428D">
            <w:pPr>
              <w:jc w:val="center"/>
              <w:rPr>
                <w:szCs w:val="24"/>
                <w:lang w:val="en-US"/>
              </w:rPr>
            </w:pPr>
            <w:r w:rsidRPr="00CC66C1">
              <w:rPr>
                <w:szCs w:val="24"/>
                <w:lang w:val="en-US"/>
              </w:rPr>
              <w:t>(22-28)</w:t>
            </w:r>
          </w:p>
        </w:tc>
        <w:tc>
          <w:tcPr>
            <w:tcW w:w="1914" w:type="dxa"/>
          </w:tcPr>
          <w:p w14:paraId="3C37863E" w14:textId="77777777" w:rsidR="00C65573" w:rsidRPr="00CC66C1" w:rsidRDefault="00C65573" w:rsidP="005A428D">
            <w:pPr>
              <w:jc w:val="center"/>
              <w:rPr>
                <w:szCs w:val="24"/>
                <w:lang w:val="en-US"/>
              </w:rPr>
            </w:pPr>
            <w:r w:rsidRPr="00CC66C1">
              <w:rPr>
                <w:szCs w:val="24"/>
                <w:lang w:val="en-US"/>
              </w:rPr>
              <w:t>-</w:t>
            </w:r>
          </w:p>
        </w:tc>
        <w:tc>
          <w:tcPr>
            <w:tcW w:w="1914" w:type="dxa"/>
          </w:tcPr>
          <w:p w14:paraId="3925C1E1" w14:textId="77777777" w:rsidR="00C65573" w:rsidRPr="00CC66C1" w:rsidRDefault="00C65573" w:rsidP="005A428D">
            <w:pPr>
              <w:jc w:val="center"/>
              <w:rPr>
                <w:szCs w:val="24"/>
              </w:rPr>
            </w:pPr>
            <w:r w:rsidRPr="00CC66C1">
              <w:rPr>
                <w:szCs w:val="24"/>
              </w:rPr>
              <w:t>Лактат (28)</w:t>
            </w:r>
          </w:p>
        </w:tc>
        <w:tc>
          <w:tcPr>
            <w:tcW w:w="1915" w:type="dxa"/>
          </w:tcPr>
          <w:p w14:paraId="788BA7E8" w14:textId="77777777" w:rsidR="00C65573" w:rsidRPr="00CC66C1" w:rsidRDefault="00C65573" w:rsidP="005A428D">
            <w:pPr>
              <w:jc w:val="center"/>
              <w:rPr>
                <w:szCs w:val="24"/>
              </w:rPr>
            </w:pPr>
            <w:r w:rsidRPr="00CC66C1">
              <w:rPr>
                <w:szCs w:val="24"/>
              </w:rPr>
              <w:t>Ацетат (27)</w:t>
            </w:r>
          </w:p>
          <w:p w14:paraId="20B560F3" w14:textId="77777777" w:rsidR="00C65573" w:rsidRPr="00CC66C1" w:rsidRDefault="00C65573" w:rsidP="005A428D">
            <w:pPr>
              <w:jc w:val="center"/>
              <w:rPr>
                <w:szCs w:val="24"/>
              </w:rPr>
            </w:pPr>
            <w:r w:rsidRPr="00CC66C1">
              <w:rPr>
                <w:szCs w:val="24"/>
              </w:rPr>
              <w:t>Глюканат (23)</w:t>
            </w:r>
          </w:p>
        </w:tc>
      </w:tr>
      <w:tr w:rsidR="00C65573" w:rsidRPr="00CC66C1" w14:paraId="3CB99BDA" w14:textId="77777777" w:rsidTr="005A428D">
        <w:tc>
          <w:tcPr>
            <w:tcW w:w="1914" w:type="dxa"/>
          </w:tcPr>
          <w:p w14:paraId="7FC24250" w14:textId="77777777" w:rsidR="00C65573" w:rsidRPr="00CC66C1" w:rsidRDefault="00C65573" w:rsidP="005A428D">
            <w:pPr>
              <w:jc w:val="center"/>
              <w:rPr>
                <w:szCs w:val="24"/>
              </w:rPr>
            </w:pPr>
            <w:r w:rsidRPr="00CC66C1">
              <w:rPr>
                <w:szCs w:val="24"/>
              </w:rPr>
              <w:t>Осмолярность  (мОсм/л)</w:t>
            </w:r>
          </w:p>
        </w:tc>
        <w:tc>
          <w:tcPr>
            <w:tcW w:w="1914" w:type="dxa"/>
          </w:tcPr>
          <w:p w14:paraId="5A76EB93" w14:textId="77777777" w:rsidR="00C65573" w:rsidRPr="00CC66C1" w:rsidRDefault="00C65573" w:rsidP="005A428D">
            <w:pPr>
              <w:jc w:val="center"/>
              <w:rPr>
                <w:szCs w:val="24"/>
                <w:lang w:val="en-US"/>
              </w:rPr>
            </w:pPr>
            <w:r w:rsidRPr="00CC66C1">
              <w:rPr>
                <w:szCs w:val="24"/>
                <w:lang w:val="en-US"/>
              </w:rPr>
              <w:t>290</w:t>
            </w:r>
          </w:p>
        </w:tc>
        <w:tc>
          <w:tcPr>
            <w:tcW w:w="1914" w:type="dxa"/>
          </w:tcPr>
          <w:p w14:paraId="1F3851A1" w14:textId="77777777" w:rsidR="00C65573" w:rsidRPr="00CC66C1" w:rsidRDefault="00C65573" w:rsidP="005A428D">
            <w:pPr>
              <w:jc w:val="center"/>
              <w:rPr>
                <w:szCs w:val="24"/>
                <w:lang w:val="en-US"/>
              </w:rPr>
            </w:pPr>
            <w:r w:rsidRPr="00CC66C1">
              <w:rPr>
                <w:szCs w:val="24"/>
                <w:lang w:val="en-US"/>
              </w:rPr>
              <w:t>308</w:t>
            </w:r>
          </w:p>
        </w:tc>
        <w:tc>
          <w:tcPr>
            <w:tcW w:w="1914" w:type="dxa"/>
          </w:tcPr>
          <w:p w14:paraId="4EA03E31" w14:textId="77777777" w:rsidR="00C65573" w:rsidRPr="00CC66C1" w:rsidRDefault="00C65573" w:rsidP="005A428D">
            <w:pPr>
              <w:jc w:val="center"/>
              <w:rPr>
                <w:szCs w:val="24"/>
              </w:rPr>
            </w:pPr>
            <w:r w:rsidRPr="00CC66C1">
              <w:rPr>
                <w:szCs w:val="24"/>
              </w:rPr>
              <w:t>273</w:t>
            </w:r>
          </w:p>
        </w:tc>
        <w:tc>
          <w:tcPr>
            <w:tcW w:w="1915" w:type="dxa"/>
          </w:tcPr>
          <w:p w14:paraId="747EBA2F" w14:textId="77777777" w:rsidR="00C65573" w:rsidRPr="00CC66C1" w:rsidRDefault="00C65573" w:rsidP="005A428D">
            <w:pPr>
              <w:jc w:val="center"/>
              <w:rPr>
                <w:szCs w:val="24"/>
              </w:rPr>
            </w:pPr>
            <w:r w:rsidRPr="00CC66C1">
              <w:rPr>
                <w:szCs w:val="24"/>
              </w:rPr>
              <w:t>295</w:t>
            </w:r>
          </w:p>
        </w:tc>
      </w:tr>
    </w:tbl>
    <w:p w14:paraId="379CE0EC" w14:textId="77777777" w:rsidR="00C65573" w:rsidRPr="00CC66C1" w:rsidRDefault="00C65573" w:rsidP="00C65573">
      <w:pPr>
        <w:ind w:firstLine="709"/>
        <w:rPr>
          <w:szCs w:val="24"/>
        </w:rPr>
      </w:pPr>
    </w:p>
    <w:p w14:paraId="186D98B3" w14:textId="77777777" w:rsidR="00C65573" w:rsidRPr="00CC66C1" w:rsidRDefault="00C65573" w:rsidP="00C65573">
      <w:pPr>
        <w:ind w:firstLine="709"/>
        <w:rPr>
          <w:i/>
          <w:szCs w:val="24"/>
          <w:u w:val="single"/>
        </w:rPr>
      </w:pPr>
      <w:r w:rsidRPr="00CC66C1">
        <w:rPr>
          <w:i/>
          <w:szCs w:val="24"/>
          <w:u w:val="single"/>
        </w:rPr>
        <w:t>Показания к проведению инфузионной терапии</w:t>
      </w:r>
    </w:p>
    <w:p w14:paraId="3F87D222" w14:textId="77777777" w:rsidR="00C65573" w:rsidRPr="00CC66C1" w:rsidRDefault="00C65573" w:rsidP="00C65573">
      <w:pPr>
        <w:ind w:firstLine="709"/>
        <w:rPr>
          <w:szCs w:val="24"/>
        </w:rPr>
      </w:pPr>
      <w:r w:rsidRPr="00CC66C1">
        <w:rPr>
          <w:szCs w:val="24"/>
        </w:rPr>
        <w:t>Основными показаниями для инфузионной терапии у пацментов с онкогематологическими заболеваниями (лейкозы, лимфомы) являются:</w:t>
      </w:r>
    </w:p>
    <w:p w14:paraId="58954AA7" w14:textId="77777777" w:rsidR="00C65573" w:rsidRPr="00CC66C1" w:rsidRDefault="00C65573" w:rsidP="0091350E">
      <w:pPr>
        <w:pStyle w:val="aff"/>
        <w:numPr>
          <w:ilvl w:val="0"/>
          <w:numId w:val="147"/>
        </w:numPr>
        <w:contextualSpacing/>
        <w:rPr>
          <w:szCs w:val="24"/>
        </w:rPr>
      </w:pPr>
      <w:r w:rsidRPr="00CC66C1">
        <w:rPr>
          <w:szCs w:val="24"/>
        </w:rPr>
        <w:t>Дегидратация,</w:t>
      </w:r>
      <w:r w:rsidRPr="00CC66C1">
        <w:rPr>
          <w:i/>
          <w:szCs w:val="24"/>
        </w:rPr>
        <w:t xml:space="preserve"> </w:t>
      </w:r>
      <w:r w:rsidRPr="00CC66C1">
        <w:rPr>
          <w:szCs w:val="24"/>
        </w:rPr>
        <w:t>причинами которой могут быть диарея, перспирация (вследствие лихорадки), рвота, алиментарная недостаточность.</w:t>
      </w:r>
    </w:p>
    <w:p w14:paraId="725DBC83" w14:textId="77777777" w:rsidR="00C65573" w:rsidRPr="00CC66C1" w:rsidRDefault="00C65573" w:rsidP="0091350E">
      <w:pPr>
        <w:pStyle w:val="aff"/>
        <w:numPr>
          <w:ilvl w:val="0"/>
          <w:numId w:val="147"/>
        </w:numPr>
        <w:contextualSpacing/>
        <w:rPr>
          <w:szCs w:val="24"/>
        </w:rPr>
      </w:pPr>
      <w:r w:rsidRPr="00CC66C1">
        <w:rPr>
          <w:szCs w:val="24"/>
        </w:rPr>
        <w:t>Гиповолемия или дефицит объема циркулирующей крови (например, при кровотечении у гематологических пациентов).</w:t>
      </w:r>
    </w:p>
    <w:p w14:paraId="1115D13F" w14:textId="77777777" w:rsidR="00C65573" w:rsidRPr="00CC66C1" w:rsidRDefault="00C65573" w:rsidP="0091350E">
      <w:pPr>
        <w:pStyle w:val="aff"/>
        <w:numPr>
          <w:ilvl w:val="0"/>
          <w:numId w:val="147"/>
        </w:numPr>
        <w:contextualSpacing/>
        <w:rPr>
          <w:szCs w:val="24"/>
        </w:rPr>
      </w:pPr>
      <w:r w:rsidRPr="00CC66C1">
        <w:rPr>
          <w:szCs w:val="24"/>
        </w:rPr>
        <w:t xml:space="preserve">Проведение форсированного диуреза для профилактики синдрома лизиса опухоли. </w:t>
      </w:r>
    </w:p>
    <w:p w14:paraId="0D0927D8" w14:textId="77777777" w:rsidR="00C65573" w:rsidRPr="00CC66C1" w:rsidRDefault="00C65573" w:rsidP="0091350E">
      <w:pPr>
        <w:pStyle w:val="aff"/>
        <w:numPr>
          <w:ilvl w:val="0"/>
          <w:numId w:val="147"/>
        </w:numPr>
        <w:contextualSpacing/>
        <w:rPr>
          <w:szCs w:val="24"/>
        </w:rPr>
      </w:pPr>
      <w:r w:rsidRPr="00CC66C1">
        <w:rPr>
          <w:szCs w:val="24"/>
        </w:rPr>
        <w:t xml:space="preserve">Проведение терапевтической гемоделюции (для лечения ишемических и тромботических осложнений). </w:t>
      </w:r>
    </w:p>
    <w:p w14:paraId="334A47A9" w14:textId="77777777" w:rsidR="00C65573" w:rsidRPr="00CC66C1" w:rsidRDefault="00C65573" w:rsidP="0091350E">
      <w:pPr>
        <w:pStyle w:val="aff"/>
        <w:numPr>
          <w:ilvl w:val="0"/>
          <w:numId w:val="147"/>
        </w:numPr>
        <w:contextualSpacing/>
        <w:rPr>
          <w:szCs w:val="24"/>
        </w:rPr>
      </w:pPr>
      <w:r w:rsidRPr="00CC66C1">
        <w:rPr>
          <w:szCs w:val="24"/>
        </w:rPr>
        <w:t xml:space="preserve">Коррекция электролитных нарушений. </w:t>
      </w:r>
    </w:p>
    <w:p w14:paraId="43ABEF18" w14:textId="77777777" w:rsidR="00C65573" w:rsidRPr="00CC66C1" w:rsidRDefault="00C65573" w:rsidP="0091350E">
      <w:pPr>
        <w:pStyle w:val="aff"/>
        <w:numPr>
          <w:ilvl w:val="0"/>
          <w:numId w:val="147"/>
        </w:numPr>
        <w:contextualSpacing/>
        <w:rPr>
          <w:szCs w:val="24"/>
        </w:rPr>
      </w:pPr>
      <w:r w:rsidRPr="00CC66C1">
        <w:rPr>
          <w:szCs w:val="24"/>
        </w:rPr>
        <w:t xml:space="preserve">Дезинтоксикационная терапия. </w:t>
      </w:r>
    </w:p>
    <w:p w14:paraId="3600373F" w14:textId="77777777" w:rsidR="00C65573" w:rsidRDefault="00C65573" w:rsidP="00C65573">
      <w:pPr>
        <w:ind w:firstLine="709"/>
        <w:rPr>
          <w:b/>
          <w:szCs w:val="24"/>
        </w:rPr>
      </w:pPr>
    </w:p>
    <w:p w14:paraId="41544953" w14:textId="33DDC98D" w:rsidR="00C65573" w:rsidRPr="0048699E" w:rsidRDefault="00C65573" w:rsidP="00C65573">
      <w:pPr>
        <w:ind w:firstLine="709"/>
        <w:rPr>
          <w:i/>
          <w:szCs w:val="24"/>
          <w:u w:val="single"/>
          <w:lang w:val="en-US"/>
        </w:rPr>
      </w:pPr>
      <w:r w:rsidRPr="00CC66C1">
        <w:rPr>
          <w:i/>
          <w:szCs w:val="24"/>
          <w:u w:val="single"/>
        </w:rPr>
        <w:t>Выбор инфузионных растворов</w:t>
      </w:r>
      <w:r>
        <w:rPr>
          <w:i/>
          <w:szCs w:val="24"/>
          <w:u w:val="single"/>
        </w:rPr>
        <w:t xml:space="preserve"> </w:t>
      </w:r>
      <w:r>
        <w:rPr>
          <w:i/>
          <w:szCs w:val="24"/>
          <w:u w:val="single"/>
        </w:rPr>
        <w:fldChar w:fldCharType="begin" w:fldLock="1"/>
      </w:r>
      <w:r w:rsidR="0004555D">
        <w:rPr>
          <w:i/>
          <w:szCs w:val="24"/>
          <w:u w:val="single"/>
        </w:rPr>
        <w:instrText>ADDIN CSL_CITATION {"citationItems":[{"id":"ITEM-1","itemData":{"DOI":"10.1007/s40620-016-0363-9","ISSN":"17246059","PMID":"27900717","abstract":"The topic of intravenous (IV) fluids may be regarded as “reverse nephrology”, because nephrologists usually treat to remove fluids rather than to infuse them. However, because nephrology is deeply rooted in fluid, electrolyte, and acid-base balance, IV fluids belong in the realm of our specialty. The field of IV fluid therapy is in motion due to the increasing use of balanced crystalloids, partly fueled by the advent of new solutions. This review aims to capture these recent developments by critically evaluating the current evidence base. It will review both indications and complications of IV fluid therapy, including the characteristics of the currently available solutions. It will also cover the use of IV fluids in specific settings such as kidney transplantation and pediatrics. Finally, this review will address the pathogenesis of saline-induced hyperchloremic acidosis, its potential effect on outcomes, and the question if this should lead to a definitive switch to balanced solutions.","author":[{"dropping-particle":"","family":"Hoorn","given":"Ewout J.","non-dropping-particle":"","parse-names":false,"suffix":""}],"container-title":"Journal of Nephrology","id":"ITEM-1","issue":"4","issued":{"date-parts":[["2017","8","1"]]},"page":"485-492","publisher":"Springer New York LLC","title":"Intravenous fluids: balancing solutions","type":"article","volume":"30"},"uris":["http://www.mendeley.com/documents/?uuid=5b8712a4-69fa-3f35-a7d0-5673405bd845"]}],"mendeley":{"formattedCitation":"[227]","plainTextFormattedCitation":"[227]","previouslyFormattedCitation":"[227]"},"properties":{"noteIndex":0},"schema":"https://github.com/citation-style-language/schema/raw/master/csl-citation.json"}</w:instrText>
      </w:r>
      <w:r>
        <w:rPr>
          <w:i/>
          <w:szCs w:val="24"/>
          <w:u w:val="single"/>
        </w:rPr>
        <w:fldChar w:fldCharType="separate"/>
      </w:r>
      <w:r w:rsidRPr="00C65573">
        <w:rPr>
          <w:noProof/>
          <w:szCs w:val="24"/>
        </w:rPr>
        <w:t>[227]</w:t>
      </w:r>
      <w:r>
        <w:rPr>
          <w:i/>
          <w:szCs w:val="24"/>
          <w:u w:val="single"/>
        </w:rPr>
        <w:fldChar w:fldCharType="end"/>
      </w:r>
    </w:p>
    <w:p w14:paraId="598DBC09" w14:textId="77777777" w:rsidR="00C65573" w:rsidRPr="00CC66C1" w:rsidRDefault="00C65573" w:rsidP="00C65573">
      <w:pPr>
        <w:ind w:firstLine="709"/>
        <w:rPr>
          <w:szCs w:val="24"/>
        </w:rPr>
      </w:pPr>
      <w:r w:rsidRPr="00CC66C1">
        <w:rPr>
          <w:szCs w:val="24"/>
        </w:rPr>
        <w:t>Сбалансированные полиэлектролитные растворы применяются для коррекции дегидратации, форсированного диуреза, терапевтической гемоделюции.</w:t>
      </w:r>
    </w:p>
    <w:p w14:paraId="2D7378AB" w14:textId="77777777" w:rsidR="00C65573" w:rsidRPr="00CC66C1" w:rsidRDefault="00C65573" w:rsidP="00C65573">
      <w:pPr>
        <w:ind w:firstLine="709"/>
        <w:rPr>
          <w:szCs w:val="24"/>
        </w:rPr>
      </w:pPr>
      <w:r w:rsidRPr="00CC66C1">
        <w:rPr>
          <w:szCs w:val="24"/>
        </w:rPr>
        <w:t>Коллоидные растворы (такие как раствор альбумина), используются в сочетании с кристаллоидными для коррекции гиповолемии. Допустимо использовать только кристаллоидные растворы для коррекции гиповолемии легкой степени.</w:t>
      </w:r>
    </w:p>
    <w:p w14:paraId="41E8F1F7" w14:textId="77777777" w:rsidR="00C65573" w:rsidRPr="00CC66C1" w:rsidRDefault="00C65573" w:rsidP="00C65573">
      <w:pPr>
        <w:ind w:firstLine="709"/>
        <w:rPr>
          <w:szCs w:val="24"/>
        </w:rPr>
      </w:pPr>
      <w:r w:rsidRPr="00CC66C1">
        <w:rPr>
          <w:szCs w:val="24"/>
        </w:rPr>
        <w:t>Для разведения лекарственных препаратов используется 0,9% раствор натрия хлорида, что исключает выпадения солей кальция в приготовленном растворе.</w:t>
      </w:r>
    </w:p>
    <w:p w14:paraId="20977343" w14:textId="77777777" w:rsidR="00C65573" w:rsidRPr="00CC66C1" w:rsidRDefault="00C65573" w:rsidP="00C65573">
      <w:pPr>
        <w:ind w:firstLine="709"/>
        <w:rPr>
          <w:szCs w:val="24"/>
        </w:rPr>
      </w:pPr>
      <w:r w:rsidRPr="00CC66C1">
        <w:rPr>
          <w:szCs w:val="24"/>
        </w:rPr>
        <w:t xml:space="preserve">Объем инфузионной терапии определяется клиническими показаниями. </w:t>
      </w:r>
    </w:p>
    <w:p w14:paraId="6D2DA5B5" w14:textId="77777777" w:rsidR="00C65573" w:rsidRDefault="00C65573" w:rsidP="00C65573">
      <w:pPr>
        <w:ind w:firstLine="709"/>
        <w:rPr>
          <w:b/>
          <w:szCs w:val="24"/>
        </w:rPr>
      </w:pPr>
    </w:p>
    <w:p w14:paraId="0B3AFED4" w14:textId="77777777" w:rsidR="00C65573" w:rsidRPr="00CC66C1" w:rsidRDefault="00C65573" w:rsidP="00C65573">
      <w:pPr>
        <w:ind w:firstLine="709"/>
        <w:rPr>
          <w:i/>
          <w:szCs w:val="24"/>
          <w:u w:val="single"/>
        </w:rPr>
      </w:pPr>
      <w:r w:rsidRPr="00CC66C1">
        <w:rPr>
          <w:i/>
          <w:szCs w:val="24"/>
          <w:u w:val="single"/>
        </w:rPr>
        <w:t>Алгоритм действия врача</w:t>
      </w:r>
    </w:p>
    <w:p w14:paraId="714EB80B" w14:textId="77777777" w:rsidR="00C65573" w:rsidRPr="00CC66C1" w:rsidRDefault="00C65573" w:rsidP="0091350E">
      <w:pPr>
        <w:pStyle w:val="aff"/>
        <w:numPr>
          <w:ilvl w:val="0"/>
          <w:numId w:val="148"/>
        </w:numPr>
        <w:contextualSpacing/>
        <w:rPr>
          <w:szCs w:val="24"/>
        </w:rPr>
      </w:pPr>
      <w:r w:rsidRPr="00CC66C1">
        <w:rPr>
          <w:szCs w:val="24"/>
        </w:rPr>
        <w:t>Определение показаний для инфузионная терапии.</w:t>
      </w:r>
    </w:p>
    <w:p w14:paraId="73F78491" w14:textId="77777777" w:rsidR="00C65573" w:rsidRPr="00CC66C1" w:rsidRDefault="00C65573" w:rsidP="0091350E">
      <w:pPr>
        <w:pStyle w:val="aff"/>
        <w:numPr>
          <w:ilvl w:val="0"/>
          <w:numId w:val="148"/>
        </w:numPr>
        <w:contextualSpacing/>
        <w:rPr>
          <w:szCs w:val="24"/>
        </w:rPr>
      </w:pPr>
      <w:r w:rsidRPr="00CC66C1">
        <w:rPr>
          <w:szCs w:val="24"/>
        </w:rPr>
        <w:t>Выбор инфузионного раствора в зависимости от показаний.</w:t>
      </w:r>
    </w:p>
    <w:p w14:paraId="79A59134" w14:textId="77777777" w:rsidR="00C65573" w:rsidRPr="00CC66C1" w:rsidRDefault="00C65573" w:rsidP="0091350E">
      <w:pPr>
        <w:pStyle w:val="aff"/>
        <w:numPr>
          <w:ilvl w:val="0"/>
          <w:numId w:val="148"/>
        </w:numPr>
        <w:contextualSpacing/>
        <w:rPr>
          <w:szCs w:val="24"/>
        </w:rPr>
      </w:pPr>
      <w:r w:rsidRPr="00CC66C1">
        <w:rPr>
          <w:szCs w:val="24"/>
        </w:rPr>
        <w:t>Оценка волемического статуса пациента (оценка частоты сердечных сокращений, артериального давления, тургора кожи, влажности слизистых, темпа диуреза и др.). Центральное венозное давление (ЦВД) не является единственным показателем волемического статуса больного и часто может не отражать истинное состояние. Так, у больного с легочной гипертензией и гиповолемией ЦВД может превышать нормальные значения.</w:t>
      </w:r>
    </w:p>
    <w:p w14:paraId="5FC072B2" w14:textId="77777777" w:rsidR="00C65573" w:rsidRPr="00CC66C1" w:rsidRDefault="00C65573" w:rsidP="0091350E">
      <w:pPr>
        <w:pStyle w:val="aff"/>
        <w:numPr>
          <w:ilvl w:val="0"/>
          <w:numId w:val="148"/>
        </w:numPr>
        <w:contextualSpacing/>
        <w:rPr>
          <w:szCs w:val="24"/>
        </w:rPr>
      </w:pPr>
      <w:r w:rsidRPr="00CC66C1">
        <w:rPr>
          <w:szCs w:val="24"/>
        </w:rPr>
        <w:t>Обеспечение сосудистого доступа. Проведение инфузионной терапии и оценка ее эффекта (частота сердечных сокращений, артериальное давление, тургор кожи, влажность слизистых, темп диуреза и др.).</w:t>
      </w:r>
    </w:p>
    <w:p w14:paraId="74FD0BC6" w14:textId="77777777" w:rsidR="00C65573" w:rsidRPr="00CC66C1" w:rsidRDefault="00C65573" w:rsidP="00C65573">
      <w:pPr>
        <w:widowControl w:val="0"/>
        <w:autoSpaceDE w:val="0"/>
        <w:autoSpaceDN w:val="0"/>
        <w:adjustRightInd w:val="0"/>
        <w:rPr>
          <w:szCs w:val="24"/>
        </w:rPr>
      </w:pPr>
    </w:p>
    <w:p w14:paraId="08D3B819" w14:textId="6B1C4E96" w:rsidR="0004555D" w:rsidRPr="0004555D" w:rsidRDefault="000C70A6" w:rsidP="0004555D">
      <w:pPr>
        <w:pStyle w:val="2"/>
        <w:ind w:firstLine="0"/>
      </w:pPr>
      <w:bookmarkStart w:id="75" w:name="_Toc65104128"/>
      <w:r>
        <w:t xml:space="preserve">Приложение А3.8. </w:t>
      </w:r>
      <w:r w:rsidR="0004555D" w:rsidRPr="00427075">
        <w:t>Парентеральное питание у гематологических пациентов</w:t>
      </w:r>
      <w:bookmarkEnd w:id="75"/>
    </w:p>
    <w:p w14:paraId="64383759" w14:textId="77777777" w:rsidR="0004555D" w:rsidRPr="00427075" w:rsidRDefault="0004555D" w:rsidP="0004555D">
      <w:pPr>
        <w:ind w:firstLine="709"/>
        <w:rPr>
          <w:szCs w:val="24"/>
        </w:rPr>
      </w:pPr>
      <w:r w:rsidRPr="00427075">
        <w:rPr>
          <w:szCs w:val="24"/>
        </w:rPr>
        <w:t xml:space="preserve">Химиотерапевтическое лечение гематологических пациентов ассоциировано с развитием цитостатического поражения эпителия желудочно-кишечного тракта (ЖКТ) с тяжёлым эмитическим синдромом, который часто делает невозможным проведение традиционного перорального или энтерального питания и приводят к тяжелым метаболическим нарушениям и выраженной мальобсорбции. При развитии жизнеугрожающих состояний проведение перорального питания иногда технически не выполнимо. Потребность же в нутритивной поддержке в период лечения гематологических заболеваний, особенно гемобластозов, возрастает. Это связано с катаболическими процессами, активированными опухолевыми цитокинами, системным воспалительным ответом с лихорадкой. Таким образом, развивается истощение организма, связанное с одной стороны с повышенными потребностями в энергии на фоне опухолевого процесса и с другой стороны, ассоциированные с лечением поражения ЖКТ, ограничивают поступление питательных веществ в организм больного. </w:t>
      </w:r>
    </w:p>
    <w:p w14:paraId="5BB02C85" w14:textId="77777777" w:rsidR="0004555D" w:rsidRPr="00427075" w:rsidRDefault="0004555D" w:rsidP="0004555D">
      <w:pPr>
        <w:ind w:firstLine="709"/>
        <w:rPr>
          <w:szCs w:val="24"/>
        </w:rPr>
      </w:pPr>
      <w:r w:rsidRPr="00427075">
        <w:rPr>
          <w:szCs w:val="24"/>
        </w:rPr>
        <w:t>Дефицит питания на разных стадиях лечения гематологических заболеваний (например, индукционноя химиотерапия, трансплантация гемопоэтических стволовых клеток крови (ТГСК)) негативно сказывается на исходах лечения. Так, пациенты с острым миелоидным лейкозом с признаками нутритивного дефицита характеризуются более длительной госпитализацией во время индукции ремиссии и имеют более низкую 12 – месячную общую выживаемость в сравнении с больными без признаков истощения, 39 дней и 31 день, 58,3% и 89,9% (p&lt;0.05) соответственно. Пациенты с острым лимфобластным лейкозом с дефицитом массы тела также находятся в стационаре дольше во время индукции ремиссии по сравнению с больными в нормальном метаболическом статусе.</w:t>
      </w:r>
    </w:p>
    <w:p w14:paraId="10A8C655" w14:textId="77777777" w:rsidR="0004555D" w:rsidRPr="00427075" w:rsidRDefault="0004555D" w:rsidP="0004555D">
      <w:pPr>
        <w:ind w:firstLine="708"/>
        <w:rPr>
          <w:szCs w:val="24"/>
        </w:rPr>
      </w:pPr>
      <w:r w:rsidRPr="00427075">
        <w:rPr>
          <w:szCs w:val="24"/>
        </w:rPr>
        <w:t>Для предотвращения негативных эффектов гипотрофии больных, при невозможности перорального или энтерального питания альтернативным источником питательных веществ остается парентеральное питание (ПП) – введение нутриентов внутривенно (минуя ЖКТ).</w:t>
      </w:r>
    </w:p>
    <w:p w14:paraId="35CD6074" w14:textId="77777777" w:rsidR="0004555D" w:rsidRPr="00427075" w:rsidRDefault="0004555D" w:rsidP="0004555D">
      <w:pPr>
        <w:ind w:firstLine="708"/>
        <w:rPr>
          <w:szCs w:val="24"/>
        </w:rPr>
      </w:pPr>
      <w:r w:rsidRPr="00427075">
        <w:rPr>
          <w:szCs w:val="24"/>
        </w:rPr>
        <w:t xml:space="preserve">Пациенты после ТГСК могут испытывать алиментарную нутритивную недостаточность в связи с прекращением приема пищи при наличии выраженного болевого синдрома слизистой полости рта (мукозит) или развитием реакции трансплантат против хозяина (РТПХ) с поражением кишки и выраженным диарейным синдромом. В этих случаях пероральное и энтеральное питание противопоказано или затруднено и ПП является основным источником доставки нутриентов. Аналогичные изменения и показания к ПП могут так же наблюдаться при проведении химиотерапии и иммуносупрессивной терапии, в период миелотоксического агаранулоцитоза или гранулоцитопении при развитии язвенно-некротического стоматита или некротической энтеропатии. </w:t>
      </w:r>
    </w:p>
    <w:p w14:paraId="22FA171D" w14:textId="77777777" w:rsidR="0004555D" w:rsidRPr="00427075" w:rsidRDefault="0004555D" w:rsidP="0004555D">
      <w:pPr>
        <w:ind w:firstLine="708"/>
        <w:rPr>
          <w:szCs w:val="24"/>
        </w:rPr>
      </w:pPr>
      <w:r w:rsidRPr="00427075">
        <w:rPr>
          <w:szCs w:val="24"/>
        </w:rPr>
        <w:t xml:space="preserve">Однако необходимо помнить о негативных аспектах парентерального питания: ассоциированные с ПП поражения печени, желчного пузыря (холестаз) и атрофия кишечника, катетер–ассоциированные инфекционные осложнения и гипергликемия – лишь немногие из них. </w:t>
      </w:r>
    </w:p>
    <w:p w14:paraId="6F556642" w14:textId="77777777" w:rsidR="0004555D" w:rsidRPr="00427075" w:rsidRDefault="0004555D" w:rsidP="0004555D">
      <w:pPr>
        <w:ind w:firstLine="708"/>
        <w:rPr>
          <w:szCs w:val="24"/>
        </w:rPr>
      </w:pPr>
      <w:r w:rsidRPr="00427075">
        <w:rPr>
          <w:szCs w:val="24"/>
        </w:rPr>
        <w:t xml:space="preserve">Гипергликемия у больных после ТГСК связана с развитием ассоциированного с трансплантацией сахарного диабета, инфекционных </w:t>
      </w:r>
      <w:r>
        <w:rPr>
          <w:szCs w:val="24"/>
        </w:rPr>
        <w:t>осложнений, а</w:t>
      </w:r>
      <w:r w:rsidRPr="00427075">
        <w:rPr>
          <w:szCs w:val="24"/>
        </w:rPr>
        <w:t xml:space="preserve"> двухлетняя безрецидивная выживаемость больных с нормогликемией в раннем посттрансплантационном периоде выше чем у больных с гипергликемией. При введении нутриентов парентерально снижается стимуляция островков Лангерганса поджелудочной железы так как не вырабатывается инкретин (глюкагон-подобный пептид-1), который стимулирует выработку инсулина при пероральном питании, что ведет к развитию гипергликемии при ПП. Сам по себе стресс во время критического состояния за счет катехоламинов вызывает резистентность периферических тканей к инсулину и увеличивает продукцию глюкозы печенью. Дефицит витамина </w:t>
      </w:r>
      <w:r w:rsidRPr="00427075">
        <w:rPr>
          <w:szCs w:val="24"/>
          <w:lang w:val="en-US"/>
        </w:rPr>
        <w:t>D</w:t>
      </w:r>
      <w:r w:rsidRPr="00427075">
        <w:rPr>
          <w:szCs w:val="24"/>
        </w:rPr>
        <w:t xml:space="preserve"> и применение глюкокортикостероидных препаратов также вносят свой вклад в развитие гипергликемии у больных после ТГСК. Для коррекции гипергликемии ассоциированной с  парентеральным питанием, используется постоянна инфузия инсулина с регулярным контролем концентрации глюкозы и последующей коррекцией скорости введения инсулина.</w:t>
      </w:r>
    </w:p>
    <w:p w14:paraId="3A40F10E" w14:textId="77777777" w:rsidR="0004555D" w:rsidRPr="00427075" w:rsidRDefault="0004555D" w:rsidP="0004555D">
      <w:pPr>
        <w:rPr>
          <w:szCs w:val="24"/>
        </w:rPr>
      </w:pPr>
      <w:r w:rsidRPr="00427075">
        <w:rPr>
          <w:szCs w:val="24"/>
        </w:rPr>
        <w:tab/>
        <w:t xml:space="preserve">Другим, потенциально опасным для жизни, осложнением ПП  является рефидинг-синдром. Это метаболические нарушения, которые возникают вскоре после возобновления питания у длительно (более 3 суток) голодавшего пациента. Так как истощенный пациент испытывает потребность в нутриентах для поддержания функционирования жизненно важных органов, в том числе головного мозга,  то по мере истощения гликогена печени активно начинает мобилизироваться жировая ткань с последующим кетогенезом для  восполнения пула нутриентов. Развивается кето-ацидоз, который опосредует  транклеточный сдвиг ионов калия наружу клетки, при чем его общие запасы в организме истощены предшествующим голоданием. При возобновлении питания кетоацидоз регрессирует в связи с поступлением глюкозы, которая вместе с вырабатывающимся инсулином вызывает обратный ток ионов калия внутри клетки, вызывая гипокалиемию и жизнеугрожающие аритмии.  Следовательно, начало ПП должно быть постепенным, с увеличивающейся скоростью инфузии и под контролем электролитного состава крови. Помимо гипогликемии у больных, требующих начала парентерального питания, часто наблюдается истощение запасов магния, что требует своевременного восполнения во время начала ПП. </w:t>
      </w:r>
    </w:p>
    <w:p w14:paraId="686C8252" w14:textId="77777777" w:rsidR="0004555D" w:rsidRPr="00427075" w:rsidRDefault="0004555D" w:rsidP="0004555D">
      <w:pPr>
        <w:rPr>
          <w:szCs w:val="24"/>
        </w:rPr>
      </w:pPr>
      <w:r w:rsidRPr="00427075">
        <w:rPr>
          <w:szCs w:val="24"/>
        </w:rPr>
        <w:tab/>
        <w:t>Проведение длительного парентерального питания требует регулярного контроля функции печени (концентрация трансаминаз, липидный профиль, коагулограмма), водно-электролитного баланса и креатинина, концентрации лактата, который может повышаться вследствие синдрома Вернике (дефицит витамина В1). Гипокоагуляция может развиваться в связи с алиментарной недостаточностью витамина К, восполнение которого также необходимо при проведении парентерального питания .</w:t>
      </w:r>
    </w:p>
    <w:p w14:paraId="25D074A2" w14:textId="77777777" w:rsidR="0004555D" w:rsidRPr="00427075" w:rsidRDefault="0004555D" w:rsidP="0004555D">
      <w:pPr>
        <w:rPr>
          <w:szCs w:val="24"/>
        </w:rPr>
      </w:pPr>
      <w:r w:rsidRPr="00427075">
        <w:rPr>
          <w:szCs w:val="24"/>
        </w:rPr>
        <w:tab/>
        <w:t>Длительность периода ПП увеличивает риск развития вышеуказанных осложнений. Возврат к энтеральному (пероральному) питанию возможен после регресса причин, которые потребовали начать ПП. Возобновление перорального питания производят постепенно параллельно с уменьшением объема вводимого парентерального питания, но без потерь в калорийности суточной диеты.</w:t>
      </w:r>
    </w:p>
    <w:p w14:paraId="49173375" w14:textId="77777777" w:rsidR="0004555D" w:rsidRDefault="0004555D" w:rsidP="0004555D">
      <w:pPr>
        <w:ind w:firstLine="708"/>
        <w:rPr>
          <w:i/>
          <w:szCs w:val="24"/>
          <w:u w:val="single"/>
        </w:rPr>
      </w:pPr>
    </w:p>
    <w:p w14:paraId="1A1DE9B8" w14:textId="77777777" w:rsidR="0004555D" w:rsidRPr="00427075" w:rsidRDefault="0004555D" w:rsidP="0004555D">
      <w:pPr>
        <w:ind w:firstLine="708"/>
        <w:rPr>
          <w:i/>
          <w:szCs w:val="24"/>
          <w:u w:val="single"/>
        </w:rPr>
      </w:pPr>
      <w:r w:rsidRPr="00427075">
        <w:rPr>
          <w:i/>
          <w:szCs w:val="24"/>
          <w:u w:val="single"/>
        </w:rPr>
        <w:t>Компоненты парентерального питания</w:t>
      </w:r>
    </w:p>
    <w:p w14:paraId="089C05FF" w14:textId="77777777" w:rsidR="0004555D" w:rsidRPr="00427075" w:rsidRDefault="0004555D" w:rsidP="0004555D">
      <w:pPr>
        <w:rPr>
          <w:szCs w:val="24"/>
        </w:rPr>
      </w:pPr>
      <w:r w:rsidRPr="00427075">
        <w:rPr>
          <w:szCs w:val="24"/>
        </w:rPr>
        <w:tab/>
        <w:t xml:space="preserve">Основными питательными веществами для ПП являются белки, жиры и углеводы. В одном грамме белка или углеводов, содержится 4 ккал, жиры наиболее энергоемкие носители и содержат в одном грамме 9 ккал. Их смеси в различных пропорциях используются для осуществления нутритивной поддержки. В настоящее время наиболее распространена схема  введения в следующей пропорции: белки 10-15%, жиры 40-45%, углеводы 40-55%, что в отличии от схемы с доминантным введением глюкозы помогает избежать тяжелую гипергликемию и гиперпродукцию углекислого газа.  </w:t>
      </w:r>
    </w:p>
    <w:p w14:paraId="649ECC6B" w14:textId="77777777" w:rsidR="0004555D" w:rsidRPr="00427075" w:rsidRDefault="0004555D" w:rsidP="0004555D">
      <w:pPr>
        <w:ind w:firstLine="708"/>
        <w:rPr>
          <w:szCs w:val="24"/>
        </w:rPr>
      </w:pPr>
      <w:r w:rsidRPr="00427075">
        <w:rPr>
          <w:szCs w:val="24"/>
        </w:rPr>
        <w:t xml:space="preserve">Ежедневная потребность в водорастворимых и жирорастворимых витаминах, микроэлементах также восполняется при помощи внутривенного введения вместе с ПП. Для этих целей применяются адъювантные (во флаконах по 10-20 мл) комплексы витаминов и микроэлементов с учетом суточной потребности, которые могут добавляться непосредственно в питательные среды. Как правило комплекс жирорастворимых витаминов (A,D,E,K1) добавляется в жировую эмульсию, а во флаконы с аминокислотами и углеводами вводятся адъюванты с микроэлементами (Se, Zn, Fe, Cu, Cr, I, F, Mn, Mo) и водорастворимыми витаминами, однако существуют препараты с сочетанием водо- и жирорасторимых витаминов. </w:t>
      </w:r>
    </w:p>
    <w:p w14:paraId="3B151B55" w14:textId="77777777" w:rsidR="0004555D" w:rsidRPr="00427075" w:rsidRDefault="0004555D" w:rsidP="0004555D">
      <w:pPr>
        <w:ind w:firstLine="708"/>
        <w:rPr>
          <w:szCs w:val="24"/>
        </w:rPr>
      </w:pPr>
      <w:r w:rsidRPr="00427075">
        <w:rPr>
          <w:szCs w:val="24"/>
        </w:rPr>
        <w:t>ПП может быть как полным, то есть обеспечивать все энергетические и нутритивные потребности пациента, так и неполным (смешанным), когда потребность в питании удовлетворяется как пероральным, так и парентеральным питанием, например во время восстановления после перерыва в приеме пищи.</w:t>
      </w:r>
    </w:p>
    <w:p w14:paraId="33C66C63" w14:textId="77777777" w:rsidR="0004555D" w:rsidRPr="00427075" w:rsidRDefault="0004555D" w:rsidP="0004555D">
      <w:pPr>
        <w:rPr>
          <w:szCs w:val="24"/>
        </w:rPr>
      </w:pPr>
      <w:r w:rsidRPr="00427075">
        <w:rPr>
          <w:szCs w:val="24"/>
        </w:rPr>
        <w:tab/>
        <w:t>Существует две схемы парентерального питания:</w:t>
      </w:r>
    </w:p>
    <w:p w14:paraId="5E38EA01" w14:textId="77777777" w:rsidR="0004555D" w:rsidRPr="00427075" w:rsidRDefault="0004555D" w:rsidP="0004555D">
      <w:pPr>
        <w:rPr>
          <w:szCs w:val="24"/>
        </w:rPr>
      </w:pPr>
      <w:r w:rsidRPr="00427075">
        <w:rPr>
          <w:szCs w:val="24"/>
        </w:rPr>
        <w:tab/>
        <w:t>– «модульная», «раздельная» или «флаконная», когда рассчитываются потребности и отдельно вводятся растворы аминокислот («Аминоплазмаль», «Аминовен» и др.) глюкоза 10% или 20% и жировая эмульсия («Интралипид», «Липофундин» 10% и 20%;  и др.).</w:t>
      </w:r>
    </w:p>
    <w:p w14:paraId="4876129D" w14:textId="77777777" w:rsidR="0004555D" w:rsidRPr="00427075" w:rsidRDefault="0004555D" w:rsidP="0004555D">
      <w:pPr>
        <w:rPr>
          <w:szCs w:val="24"/>
        </w:rPr>
      </w:pPr>
      <w:r w:rsidRPr="00427075">
        <w:rPr>
          <w:szCs w:val="24"/>
        </w:rPr>
        <w:tab/>
        <w:t>– «все в одном» или «три в одном» - это вариант, когда все необходимые нутриенты в стандартном соотношении вводятся из одного пакета. До начала инфузии растворы аминокислот, глюкозы и жировая эмульсия разделены перегородками. Перед началом инфузии медицинский персонал разрывает перегородки в пакете, не нарушая его внешнюю целостность. Таким образом данная методика уменьшает риск инфицирования за счет уменьшения количества инфузионных линий и процедур с отдельными флаконами, сокращается временные затраты медицинского персонала, поэтому является преимущественной в использовании. Препараты «три в одном» («Кабивен периферический ицентральный», «Оликлиномель», «Нутрифлекс Липид 70/180» и др.) различаются между собой по соотношению компонентов, что может быть учтено при назначении этих смесей больным с имеющимися метаболическими нарушениями. Соотношение глюкоза/липиды 55/45% у препарата «Кабивен центральный», 62/38% - «Оликлиномель №7». Не следует назначать больным с сахарным диабетом питание с относительно большим содержанием глюкозы.</w:t>
      </w:r>
    </w:p>
    <w:p w14:paraId="74B4DA3D" w14:textId="77777777" w:rsidR="0004555D" w:rsidRDefault="0004555D" w:rsidP="0004555D">
      <w:pPr>
        <w:rPr>
          <w:szCs w:val="24"/>
        </w:rPr>
      </w:pPr>
      <w:r w:rsidRPr="00427075">
        <w:rPr>
          <w:szCs w:val="24"/>
        </w:rPr>
        <w:tab/>
      </w:r>
    </w:p>
    <w:p w14:paraId="592541C2" w14:textId="77777777" w:rsidR="0004555D" w:rsidRPr="00427075" w:rsidRDefault="0004555D" w:rsidP="0004555D">
      <w:pPr>
        <w:ind w:firstLine="709"/>
        <w:rPr>
          <w:i/>
          <w:szCs w:val="24"/>
          <w:u w:val="single"/>
        </w:rPr>
      </w:pPr>
      <w:r w:rsidRPr="00427075">
        <w:rPr>
          <w:i/>
          <w:szCs w:val="24"/>
          <w:u w:val="single"/>
        </w:rPr>
        <w:t>Методика проведения ПП:</w:t>
      </w:r>
    </w:p>
    <w:p w14:paraId="05588307" w14:textId="77777777" w:rsidR="0004555D" w:rsidRPr="00427075" w:rsidRDefault="0004555D" w:rsidP="0091350E">
      <w:pPr>
        <w:pStyle w:val="aff"/>
        <w:numPr>
          <w:ilvl w:val="0"/>
          <w:numId w:val="156"/>
        </w:numPr>
        <w:contextualSpacing/>
        <w:rPr>
          <w:szCs w:val="24"/>
        </w:rPr>
      </w:pPr>
      <w:r w:rsidRPr="00427075">
        <w:rPr>
          <w:szCs w:val="24"/>
        </w:rPr>
        <w:t>круглосуточная, преимущественно используется в круглосуточных стационарах и лучше переносится пациентами, так как суточный объем поступает постепенно и равномерно;</w:t>
      </w:r>
    </w:p>
    <w:p w14:paraId="2FA744F6" w14:textId="77777777" w:rsidR="0004555D" w:rsidRPr="00427075" w:rsidRDefault="0004555D" w:rsidP="0091350E">
      <w:pPr>
        <w:pStyle w:val="aff"/>
        <w:numPr>
          <w:ilvl w:val="0"/>
          <w:numId w:val="156"/>
        </w:numPr>
        <w:contextualSpacing/>
        <w:rPr>
          <w:szCs w:val="24"/>
        </w:rPr>
      </w:pPr>
      <w:r w:rsidRPr="00427075">
        <w:rPr>
          <w:szCs w:val="24"/>
        </w:rPr>
        <w:t>продленная  инфузия</w:t>
      </w:r>
      <w:r>
        <w:rPr>
          <w:szCs w:val="24"/>
        </w:rPr>
        <w:t xml:space="preserve"> </w:t>
      </w:r>
      <w:r w:rsidRPr="00427075">
        <w:rPr>
          <w:szCs w:val="24"/>
        </w:rPr>
        <w:t>(18-20 часов);</w:t>
      </w:r>
    </w:p>
    <w:p w14:paraId="3F0D6BA8" w14:textId="77777777" w:rsidR="0004555D" w:rsidRPr="00427075" w:rsidRDefault="0004555D" w:rsidP="0091350E">
      <w:pPr>
        <w:pStyle w:val="aff"/>
        <w:numPr>
          <w:ilvl w:val="0"/>
          <w:numId w:val="156"/>
        </w:numPr>
        <w:contextualSpacing/>
        <w:rPr>
          <w:szCs w:val="24"/>
        </w:rPr>
      </w:pPr>
      <w:r w:rsidRPr="00427075">
        <w:rPr>
          <w:szCs w:val="24"/>
        </w:rPr>
        <w:t>циклический режим (8-12 часов) для стационаров с дневным пребыванием или для домашнего применения.</w:t>
      </w:r>
    </w:p>
    <w:p w14:paraId="00E7E127" w14:textId="77777777" w:rsidR="0004555D" w:rsidRDefault="0004555D" w:rsidP="0004555D">
      <w:pPr>
        <w:ind w:firstLine="709"/>
        <w:rPr>
          <w:i/>
          <w:szCs w:val="24"/>
          <w:u w:val="single"/>
        </w:rPr>
      </w:pPr>
    </w:p>
    <w:p w14:paraId="5AB555D4" w14:textId="77777777" w:rsidR="0004555D" w:rsidRPr="00427075" w:rsidRDefault="0004555D" w:rsidP="0004555D">
      <w:pPr>
        <w:ind w:firstLine="709"/>
        <w:rPr>
          <w:i/>
          <w:szCs w:val="24"/>
          <w:u w:val="single"/>
        </w:rPr>
      </w:pPr>
      <w:r w:rsidRPr="00427075">
        <w:rPr>
          <w:i/>
          <w:szCs w:val="24"/>
          <w:u w:val="single"/>
        </w:rPr>
        <w:t>Принятие решения о начале ПП.</w:t>
      </w:r>
    </w:p>
    <w:p w14:paraId="79AA9CDA" w14:textId="77777777" w:rsidR="0004555D" w:rsidRPr="00427075" w:rsidRDefault="0004555D" w:rsidP="0004555D">
      <w:pPr>
        <w:rPr>
          <w:szCs w:val="24"/>
        </w:rPr>
      </w:pPr>
      <w:r w:rsidRPr="00427075">
        <w:rPr>
          <w:szCs w:val="24"/>
        </w:rPr>
        <w:tab/>
        <w:t>Перед началом ПП необходимо убедиться, что причины, побуждающие начать нутритивную поддержку, не могут быть устранены в первые сутки. К ним относятся: рвота, как побочный эффект химиотерапии; умеренный болевой синдром при мукозите, который может быть устранен анальгетической терапией; диарея, не связанная с некротической энтеропатией, или РТПХ с поражением кишечника. Перед началом ПП должны быть предприняты попытки медикаментозной коррекции данных состояний с целью возобновления перорального приема пищи. Следующим этапом следует оценить возможность начала энтерального (зондового) питания, например, у больных в отделении реанимации и интенсивной терапии в условиях искусственной вентиляции легких (ИВЛ). При отсутствии альтернатив и наличии показаний начинают ПП, предварительно оценив метаболический статус пациента (определение индекса массы тела, оценка жидкости в плевральных, перитонеальной полостях, отечного синдрома с целью определения истинного веса без учета избыточной жидкости в организме) и определив исходные показатели общего белка, альбумина, липидного профиля, электролитный состав крови, концентрацию глюкозы, функции почек и печени. На основании этого рассчитывается суточная потребность в калориях из расчета 25-30 ккал/кг (вес без учета жидкости в полостях)/ сутки. Более точно потребность в калориях можно рассчитать с учетом потери массы тела и суточным азотистым балансом (см. табл.1).</w:t>
      </w:r>
    </w:p>
    <w:p w14:paraId="21503FA6" w14:textId="77777777" w:rsidR="0004555D" w:rsidRDefault="0004555D" w:rsidP="0004555D">
      <w:pPr>
        <w:ind w:firstLine="709"/>
        <w:rPr>
          <w:i/>
          <w:szCs w:val="24"/>
          <w:u w:val="single"/>
        </w:rPr>
      </w:pPr>
    </w:p>
    <w:p w14:paraId="1EA67EE0" w14:textId="7E8BAB5E" w:rsidR="0004555D" w:rsidRPr="00427075" w:rsidRDefault="0004555D" w:rsidP="0004555D">
      <w:pPr>
        <w:ind w:firstLine="709"/>
        <w:rPr>
          <w:i/>
          <w:szCs w:val="24"/>
          <w:u w:val="single"/>
        </w:rPr>
      </w:pPr>
      <w:r w:rsidRPr="00427075">
        <w:rPr>
          <w:i/>
          <w:szCs w:val="24"/>
          <w:u w:val="single"/>
        </w:rPr>
        <w:t>Показания для проведения ПП</w:t>
      </w:r>
      <w:r>
        <w:rPr>
          <w:i/>
          <w:szCs w:val="24"/>
          <w:u w:val="single"/>
        </w:rPr>
        <w:t xml:space="preserve"> </w:t>
      </w:r>
      <w:r>
        <w:rPr>
          <w:i/>
          <w:szCs w:val="24"/>
          <w:u w:val="single"/>
        </w:rPr>
        <w:fldChar w:fldCharType="begin" w:fldLock="1"/>
      </w:r>
      <w:r w:rsidR="002701C3">
        <w:rPr>
          <w:i/>
          <w:szCs w:val="24"/>
          <w:u w:val="single"/>
        </w:rPr>
        <w:instrText>ADDIN CSL_CITATION {"citationItems":[{"id":"ITEM-1","itemData":{"DOI":"10.1016/j.clnu.2016.07.015","ISSN":"15321983","PMID":"27637832","abstract":"Cancers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Nutrition","id":"ITEM-1","issue":"1","issued":{"date-parts":[["2017"]]},"page":"11-48","publisher":"Churchill Livingstone","title":"ESPEN guidelines on nutrition in cancer patients","type":"article-journal","volume":"36"},"uris":["http://www.mendeley.com/documents/?uuid=2586b0c4-9eb6-4463-a0ba-87fe84fbad8f"]}],"mendeley":{"formattedCitation":"[114]","plainTextFormattedCitation":"[114]","previouslyFormattedCitation":"[114]"},"properties":{"noteIndex":0},"schema":"https://github.com/citation-style-language/schema/raw/master/csl-citation.json"}</w:instrText>
      </w:r>
      <w:r>
        <w:rPr>
          <w:i/>
          <w:szCs w:val="24"/>
          <w:u w:val="single"/>
        </w:rPr>
        <w:fldChar w:fldCharType="separate"/>
      </w:r>
      <w:r w:rsidRPr="0004555D">
        <w:rPr>
          <w:noProof/>
          <w:szCs w:val="24"/>
        </w:rPr>
        <w:t>[114]</w:t>
      </w:r>
      <w:r>
        <w:rPr>
          <w:i/>
          <w:szCs w:val="24"/>
          <w:u w:val="single"/>
        </w:rPr>
        <w:fldChar w:fldCharType="end"/>
      </w:r>
      <w:r w:rsidRPr="00427075">
        <w:rPr>
          <w:i/>
          <w:szCs w:val="24"/>
          <w:u w:val="single"/>
        </w:rPr>
        <w:t>:</w:t>
      </w:r>
    </w:p>
    <w:p w14:paraId="745E1A5C" w14:textId="77777777" w:rsidR="0004555D" w:rsidRPr="00427075" w:rsidRDefault="0004555D" w:rsidP="0091350E">
      <w:pPr>
        <w:pStyle w:val="aff"/>
        <w:numPr>
          <w:ilvl w:val="0"/>
          <w:numId w:val="149"/>
        </w:numPr>
        <w:contextualSpacing/>
        <w:rPr>
          <w:szCs w:val="24"/>
        </w:rPr>
      </w:pPr>
      <w:r w:rsidRPr="00427075">
        <w:rPr>
          <w:szCs w:val="24"/>
        </w:rPr>
        <w:t>Невозможность проведения перорального или энтерального питания более 72 часов;</w:t>
      </w:r>
    </w:p>
    <w:p w14:paraId="59262418" w14:textId="77777777" w:rsidR="0004555D" w:rsidRPr="00427075" w:rsidRDefault="0004555D" w:rsidP="0091350E">
      <w:pPr>
        <w:pStyle w:val="aff"/>
        <w:numPr>
          <w:ilvl w:val="0"/>
          <w:numId w:val="149"/>
        </w:numPr>
        <w:contextualSpacing/>
        <w:rPr>
          <w:szCs w:val="24"/>
        </w:rPr>
      </w:pPr>
      <w:r w:rsidRPr="00427075">
        <w:rPr>
          <w:szCs w:val="24"/>
        </w:rPr>
        <w:t>Тяжелая белково-энергетическая недостаточность (индекс массы тела менее 19 кг/м</w:t>
      </w:r>
      <w:r w:rsidRPr="00427075">
        <w:rPr>
          <w:szCs w:val="24"/>
          <w:vertAlign w:val="superscript"/>
        </w:rPr>
        <w:t>2</w:t>
      </w:r>
      <w:r w:rsidRPr="00427075">
        <w:rPr>
          <w:szCs w:val="24"/>
        </w:rPr>
        <w:t>), которая не может быть полностью корригирована  пероральным или энтеральным питанием;</w:t>
      </w:r>
    </w:p>
    <w:p w14:paraId="2743A37B" w14:textId="77777777" w:rsidR="0004555D" w:rsidRPr="00427075" w:rsidRDefault="0004555D" w:rsidP="0091350E">
      <w:pPr>
        <w:pStyle w:val="aff"/>
        <w:numPr>
          <w:ilvl w:val="0"/>
          <w:numId w:val="149"/>
        </w:numPr>
        <w:contextualSpacing/>
        <w:rPr>
          <w:szCs w:val="24"/>
        </w:rPr>
      </w:pPr>
      <w:r w:rsidRPr="00427075">
        <w:rPr>
          <w:szCs w:val="24"/>
        </w:rPr>
        <w:t>Кишечная недостаточность или тяжелая диарея (&gt; 500 мл/сут</w:t>
      </w:r>
      <w:r w:rsidRPr="00427075">
        <w:rPr>
          <w:i/>
          <w:szCs w:val="24"/>
        </w:rPr>
        <w:t xml:space="preserve"> </w:t>
      </w:r>
      <w:r w:rsidRPr="00427075">
        <w:rPr>
          <w:szCs w:val="24"/>
        </w:rPr>
        <w:t>более 3 суток);</w:t>
      </w:r>
    </w:p>
    <w:p w14:paraId="68E37BB3" w14:textId="77777777" w:rsidR="0004555D" w:rsidRPr="00427075" w:rsidRDefault="0004555D" w:rsidP="0091350E">
      <w:pPr>
        <w:pStyle w:val="aff"/>
        <w:numPr>
          <w:ilvl w:val="0"/>
          <w:numId w:val="149"/>
        </w:numPr>
        <w:contextualSpacing/>
        <w:rPr>
          <w:szCs w:val="24"/>
        </w:rPr>
      </w:pPr>
      <w:r w:rsidRPr="00427075">
        <w:rPr>
          <w:szCs w:val="24"/>
        </w:rPr>
        <w:t>Реакция трансплантат против хозяина с поражением кишечника с признаками тяжелой энтеропатии (диарея, кровоточивость);</w:t>
      </w:r>
    </w:p>
    <w:p w14:paraId="7A0D6FF2" w14:textId="77777777" w:rsidR="0004555D" w:rsidRPr="00427075" w:rsidRDefault="0004555D" w:rsidP="0091350E">
      <w:pPr>
        <w:pStyle w:val="aff"/>
        <w:numPr>
          <w:ilvl w:val="0"/>
          <w:numId w:val="149"/>
        </w:numPr>
        <w:contextualSpacing/>
        <w:rPr>
          <w:szCs w:val="24"/>
        </w:rPr>
      </w:pPr>
      <w:r w:rsidRPr="00427075">
        <w:rPr>
          <w:szCs w:val="24"/>
        </w:rPr>
        <w:t>Тяжелый мукозит (с прекращением перорального питания);</w:t>
      </w:r>
    </w:p>
    <w:p w14:paraId="708C82A9" w14:textId="77777777" w:rsidR="0004555D" w:rsidRPr="00427075" w:rsidRDefault="0004555D" w:rsidP="0091350E">
      <w:pPr>
        <w:pStyle w:val="aff"/>
        <w:numPr>
          <w:ilvl w:val="0"/>
          <w:numId w:val="149"/>
        </w:numPr>
        <w:contextualSpacing/>
        <w:rPr>
          <w:szCs w:val="24"/>
        </w:rPr>
      </w:pPr>
      <w:r w:rsidRPr="00427075">
        <w:rPr>
          <w:szCs w:val="24"/>
        </w:rPr>
        <w:t>Тяжелый панкреатит;</w:t>
      </w:r>
    </w:p>
    <w:p w14:paraId="597D6F06" w14:textId="77777777" w:rsidR="0004555D" w:rsidRPr="00427075" w:rsidRDefault="0004555D" w:rsidP="0091350E">
      <w:pPr>
        <w:pStyle w:val="aff"/>
        <w:numPr>
          <w:ilvl w:val="0"/>
          <w:numId w:val="149"/>
        </w:numPr>
        <w:contextualSpacing/>
        <w:rPr>
          <w:szCs w:val="24"/>
        </w:rPr>
      </w:pPr>
      <w:r w:rsidRPr="00427075">
        <w:rPr>
          <w:szCs w:val="24"/>
        </w:rPr>
        <w:t>Кишечная непроходимость;</w:t>
      </w:r>
    </w:p>
    <w:p w14:paraId="3C192D18" w14:textId="77777777" w:rsidR="0004555D" w:rsidRPr="00427075" w:rsidRDefault="0004555D" w:rsidP="0091350E">
      <w:pPr>
        <w:pStyle w:val="aff"/>
        <w:numPr>
          <w:ilvl w:val="0"/>
          <w:numId w:val="149"/>
        </w:numPr>
        <w:contextualSpacing/>
        <w:rPr>
          <w:szCs w:val="24"/>
        </w:rPr>
      </w:pPr>
      <w:r w:rsidRPr="00427075">
        <w:rPr>
          <w:szCs w:val="24"/>
        </w:rPr>
        <w:t xml:space="preserve">Гастростаз или обструкция пилорического отдела желудка; </w:t>
      </w:r>
    </w:p>
    <w:p w14:paraId="2CE3CB7C" w14:textId="77777777" w:rsidR="0004555D" w:rsidRPr="00427075" w:rsidRDefault="0004555D" w:rsidP="0091350E">
      <w:pPr>
        <w:pStyle w:val="aff"/>
        <w:numPr>
          <w:ilvl w:val="0"/>
          <w:numId w:val="149"/>
        </w:numPr>
        <w:contextualSpacing/>
        <w:rPr>
          <w:szCs w:val="24"/>
        </w:rPr>
      </w:pPr>
      <w:r w:rsidRPr="00427075">
        <w:rPr>
          <w:szCs w:val="24"/>
        </w:rPr>
        <w:t>Критические состояния (шок, острая дыхательная недостаточность, проведение ИВЛ), когда невозможно проводить парентеральное питание;</w:t>
      </w:r>
    </w:p>
    <w:p w14:paraId="3A021EC0" w14:textId="77777777" w:rsidR="0004555D" w:rsidRPr="00427075" w:rsidRDefault="0004555D" w:rsidP="0091350E">
      <w:pPr>
        <w:pStyle w:val="aff"/>
        <w:numPr>
          <w:ilvl w:val="0"/>
          <w:numId w:val="149"/>
        </w:numPr>
        <w:contextualSpacing/>
        <w:rPr>
          <w:szCs w:val="24"/>
        </w:rPr>
      </w:pPr>
      <w:r w:rsidRPr="00427075">
        <w:rPr>
          <w:szCs w:val="24"/>
        </w:rPr>
        <w:t>Наружный свищ тонкой кишки.</w:t>
      </w:r>
    </w:p>
    <w:p w14:paraId="7E628942" w14:textId="77777777" w:rsidR="0004555D" w:rsidRPr="00427075" w:rsidRDefault="0004555D" w:rsidP="0004555D">
      <w:pPr>
        <w:pStyle w:val="aff"/>
        <w:ind w:left="0" w:firstLine="709"/>
        <w:rPr>
          <w:szCs w:val="24"/>
        </w:rPr>
      </w:pPr>
      <w:r w:rsidRPr="00427075">
        <w:rPr>
          <w:szCs w:val="24"/>
        </w:rPr>
        <w:t>У гематологических пациентов</w:t>
      </w:r>
      <w:r w:rsidRPr="00427075">
        <w:rPr>
          <w:i/>
          <w:color w:val="FF0000"/>
          <w:szCs w:val="24"/>
        </w:rPr>
        <w:t xml:space="preserve"> </w:t>
      </w:r>
      <w:r w:rsidRPr="00427075">
        <w:rPr>
          <w:szCs w:val="24"/>
        </w:rPr>
        <w:t>чаще всего начало ПП связано с развитием тяжелой диареи, тяжелой РТПХ с поражением кишечника, мукозитом.</w:t>
      </w:r>
    </w:p>
    <w:p w14:paraId="25389D31" w14:textId="77777777" w:rsidR="0004555D" w:rsidRDefault="0004555D" w:rsidP="0004555D">
      <w:pPr>
        <w:ind w:firstLine="709"/>
        <w:rPr>
          <w:i/>
          <w:szCs w:val="24"/>
          <w:u w:val="single"/>
        </w:rPr>
      </w:pPr>
    </w:p>
    <w:p w14:paraId="07F33027" w14:textId="4524D2BF" w:rsidR="0004555D" w:rsidRPr="00427075" w:rsidRDefault="0004555D" w:rsidP="0004555D">
      <w:pPr>
        <w:ind w:firstLine="709"/>
        <w:rPr>
          <w:i/>
          <w:szCs w:val="24"/>
          <w:u w:val="single"/>
        </w:rPr>
      </w:pPr>
      <w:r w:rsidRPr="00427075">
        <w:rPr>
          <w:i/>
          <w:szCs w:val="24"/>
          <w:u w:val="single"/>
        </w:rPr>
        <w:t>Противопоказания для ПП</w:t>
      </w:r>
      <w:r>
        <w:rPr>
          <w:i/>
          <w:szCs w:val="24"/>
          <w:u w:val="single"/>
        </w:rPr>
        <w:fldChar w:fldCharType="begin" w:fldLock="1"/>
      </w:r>
      <w:r w:rsidR="002701C3">
        <w:rPr>
          <w:i/>
          <w:szCs w:val="24"/>
          <w:u w:val="single"/>
        </w:rPr>
        <w:instrText>ADDIN CSL_CITATION {"citationItems":[{"id":"ITEM-1","itemData":{"DOI":"10.1016/j.clnu.2016.07.015","ISSN":"15321983","PMID":"27637832","abstract":"Cancers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Nutrition","id":"ITEM-1","issue":"1","issued":{"date-parts":[["2017"]]},"page":"11-48","publisher":"Churchill Livingstone","title":"ESPEN guidelines on nutrition in cancer patients","type":"article-journal","volume":"36"},"uris":["http://www.mendeley.com/documents/?uuid=2586b0c4-9eb6-4463-a0ba-87fe84fbad8f"]}],"mendeley":{"formattedCitation":"[114]","plainTextFormattedCitation":"[114]","previouslyFormattedCitation":"[114]"},"properties":{"noteIndex":0},"schema":"https://github.com/citation-style-language/schema/raw/master/csl-citation.json"}</w:instrText>
      </w:r>
      <w:r>
        <w:rPr>
          <w:i/>
          <w:szCs w:val="24"/>
          <w:u w:val="single"/>
        </w:rPr>
        <w:fldChar w:fldCharType="separate"/>
      </w:r>
      <w:r w:rsidRPr="0004555D">
        <w:rPr>
          <w:noProof/>
          <w:szCs w:val="24"/>
        </w:rPr>
        <w:t>[114]</w:t>
      </w:r>
      <w:r>
        <w:rPr>
          <w:i/>
          <w:szCs w:val="24"/>
          <w:u w:val="single"/>
        </w:rPr>
        <w:fldChar w:fldCharType="end"/>
      </w:r>
      <w:r w:rsidRPr="00427075">
        <w:rPr>
          <w:i/>
          <w:szCs w:val="24"/>
          <w:u w:val="single"/>
        </w:rPr>
        <w:t>:</w:t>
      </w:r>
    </w:p>
    <w:p w14:paraId="178B095C" w14:textId="77777777" w:rsidR="0004555D" w:rsidRPr="00427075" w:rsidRDefault="0004555D" w:rsidP="0091350E">
      <w:pPr>
        <w:pStyle w:val="aff"/>
        <w:numPr>
          <w:ilvl w:val="0"/>
          <w:numId w:val="150"/>
        </w:numPr>
        <w:contextualSpacing/>
        <w:rPr>
          <w:szCs w:val="24"/>
        </w:rPr>
      </w:pPr>
      <w:r w:rsidRPr="00427075">
        <w:rPr>
          <w:szCs w:val="24"/>
        </w:rPr>
        <w:t>Возможность полноценного восполнения нутритивного дефицита перорально или энтерально;</w:t>
      </w:r>
    </w:p>
    <w:p w14:paraId="4BF2C2F2" w14:textId="77777777" w:rsidR="0004555D" w:rsidRPr="00427075" w:rsidRDefault="0004555D" w:rsidP="0091350E">
      <w:pPr>
        <w:pStyle w:val="aff"/>
        <w:numPr>
          <w:ilvl w:val="0"/>
          <w:numId w:val="150"/>
        </w:numPr>
        <w:contextualSpacing/>
        <w:rPr>
          <w:szCs w:val="24"/>
        </w:rPr>
      </w:pPr>
      <w:r w:rsidRPr="00427075">
        <w:rPr>
          <w:szCs w:val="24"/>
        </w:rPr>
        <w:t>Терминальное состояние пациента (относительное противопоказание);</w:t>
      </w:r>
    </w:p>
    <w:p w14:paraId="3B2DA46B" w14:textId="77777777" w:rsidR="0004555D" w:rsidRPr="00427075" w:rsidRDefault="0004555D" w:rsidP="0091350E">
      <w:pPr>
        <w:pStyle w:val="aff"/>
        <w:numPr>
          <w:ilvl w:val="0"/>
          <w:numId w:val="150"/>
        </w:numPr>
        <w:contextualSpacing/>
        <w:rPr>
          <w:szCs w:val="24"/>
        </w:rPr>
      </w:pPr>
      <w:r w:rsidRPr="00427075">
        <w:rPr>
          <w:szCs w:val="24"/>
        </w:rPr>
        <w:t xml:space="preserve">Рекомендуется воздержаться в первые 48 часов после развития септического шока от парентерального питания. </w:t>
      </w:r>
    </w:p>
    <w:p w14:paraId="610962ED" w14:textId="77777777" w:rsidR="0004555D" w:rsidRPr="00427075" w:rsidRDefault="0004555D" w:rsidP="0004555D">
      <w:pPr>
        <w:ind w:left="360" w:firstLine="348"/>
        <w:rPr>
          <w:szCs w:val="24"/>
        </w:rPr>
      </w:pPr>
      <w:r w:rsidRPr="00427075">
        <w:rPr>
          <w:szCs w:val="24"/>
        </w:rPr>
        <w:t>Наличие острой почечной недостаточности у больных не может быть противопоказанием для проведения парентерального питания.</w:t>
      </w:r>
    </w:p>
    <w:p w14:paraId="402517EE" w14:textId="77777777" w:rsidR="0004555D" w:rsidRDefault="0004555D" w:rsidP="0004555D">
      <w:pPr>
        <w:ind w:left="142" w:firstLine="348"/>
        <w:rPr>
          <w:szCs w:val="24"/>
        </w:rPr>
      </w:pPr>
    </w:p>
    <w:p w14:paraId="6A13ECA3" w14:textId="77777777" w:rsidR="0004555D" w:rsidRPr="00427075" w:rsidRDefault="0004555D" w:rsidP="0004555D">
      <w:pPr>
        <w:ind w:firstLine="709"/>
        <w:rPr>
          <w:i/>
          <w:szCs w:val="24"/>
          <w:u w:val="single"/>
        </w:rPr>
      </w:pPr>
      <w:r w:rsidRPr="00427075">
        <w:rPr>
          <w:i/>
          <w:szCs w:val="24"/>
          <w:u w:val="single"/>
        </w:rPr>
        <w:t>Осложнения проведения ПП:</w:t>
      </w:r>
    </w:p>
    <w:p w14:paraId="196A07A1" w14:textId="77777777" w:rsidR="0004555D" w:rsidRPr="00427075" w:rsidRDefault="0004555D" w:rsidP="0004555D">
      <w:pPr>
        <w:ind w:left="709" w:hanging="283"/>
        <w:rPr>
          <w:szCs w:val="24"/>
        </w:rPr>
      </w:pPr>
      <w:r w:rsidRPr="00427075">
        <w:rPr>
          <w:szCs w:val="24"/>
        </w:rPr>
        <w:t xml:space="preserve">1. Осложнения связанные с катетеризацией центральных вен: </w:t>
      </w:r>
    </w:p>
    <w:p w14:paraId="13B359DF" w14:textId="77777777" w:rsidR="0004555D" w:rsidRPr="00427075" w:rsidRDefault="0004555D" w:rsidP="0091350E">
      <w:pPr>
        <w:pStyle w:val="aff"/>
        <w:numPr>
          <w:ilvl w:val="1"/>
          <w:numId w:val="151"/>
        </w:numPr>
        <w:tabs>
          <w:tab w:val="left" w:pos="1134"/>
        </w:tabs>
        <w:contextualSpacing/>
        <w:rPr>
          <w:szCs w:val="24"/>
        </w:rPr>
      </w:pPr>
      <w:r w:rsidRPr="00427075">
        <w:rPr>
          <w:szCs w:val="24"/>
        </w:rPr>
        <w:t>Инфекционные;</w:t>
      </w:r>
    </w:p>
    <w:p w14:paraId="628B8432" w14:textId="77777777" w:rsidR="0004555D" w:rsidRPr="00427075" w:rsidRDefault="0004555D" w:rsidP="0091350E">
      <w:pPr>
        <w:pStyle w:val="aff"/>
        <w:numPr>
          <w:ilvl w:val="1"/>
          <w:numId w:val="151"/>
        </w:numPr>
        <w:tabs>
          <w:tab w:val="left" w:pos="1134"/>
        </w:tabs>
        <w:contextualSpacing/>
        <w:rPr>
          <w:szCs w:val="24"/>
        </w:rPr>
      </w:pPr>
      <w:r w:rsidRPr="00427075">
        <w:rPr>
          <w:szCs w:val="24"/>
        </w:rPr>
        <w:t>Тромботические;</w:t>
      </w:r>
    </w:p>
    <w:p w14:paraId="1D5B573F" w14:textId="77777777" w:rsidR="0004555D" w:rsidRPr="00427075" w:rsidRDefault="0004555D" w:rsidP="0091350E">
      <w:pPr>
        <w:pStyle w:val="aff"/>
        <w:numPr>
          <w:ilvl w:val="1"/>
          <w:numId w:val="151"/>
        </w:numPr>
        <w:tabs>
          <w:tab w:val="left" w:pos="1134"/>
        </w:tabs>
        <w:contextualSpacing/>
        <w:rPr>
          <w:szCs w:val="24"/>
        </w:rPr>
      </w:pPr>
      <w:r w:rsidRPr="00427075">
        <w:rPr>
          <w:szCs w:val="24"/>
        </w:rPr>
        <w:t xml:space="preserve">Геморрагические; </w:t>
      </w:r>
    </w:p>
    <w:p w14:paraId="542EC0A3" w14:textId="77777777" w:rsidR="0004555D" w:rsidRPr="00427075" w:rsidRDefault="0004555D" w:rsidP="0091350E">
      <w:pPr>
        <w:pStyle w:val="aff"/>
        <w:numPr>
          <w:ilvl w:val="1"/>
          <w:numId w:val="151"/>
        </w:numPr>
        <w:tabs>
          <w:tab w:val="left" w:pos="1134"/>
        </w:tabs>
        <w:contextualSpacing/>
        <w:rPr>
          <w:szCs w:val="24"/>
        </w:rPr>
      </w:pPr>
      <w:r w:rsidRPr="00427075">
        <w:rPr>
          <w:szCs w:val="24"/>
        </w:rPr>
        <w:t xml:space="preserve">Воздушная эмболия; </w:t>
      </w:r>
    </w:p>
    <w:p w14:paraId="20A10243" w14:textId="77777777" w:rsidR="0004555D" w:rsidRPr="00427075" w:rsidRDefault="0004555D" w:rsidP="0091350E">
      <w:pPr>
        <w:pStyle w:val="aff"/>
        <w:numPr>
          <w:ilvl w:val="1"/>
          <w:numId w:val="151"/>
        </w:numPr>
        <w:tabs>
          <w:tab w:val="left" w:pos="1134"/>
        </w:tabs>
        <w:contextualSpacing/>
        <w:rPr>
          <w:szCs w:val="24"/>
        </w:rPr>
      </w:pPr>
      <w:r w:rsidRPr="00427075">
        <w:rPr>
          <w:szCs w:val="24"/>
        </w:rPr>
        <w:t>Пневмоторакс.</w:t>
      </w:r>
    </w:p>
    <w:p w14:paraId="5BE07E09" w14:textId="77777777" w:rsidR="0004555D" w:rsidRPr="00427075" w:rsidRDefault="0004555D" w:rsidP="0004555D">
      <w:pPr>
        <w:tabs>
          <w:tab w:val="left" w:pos="284"/>
        </w:tabs>
        <w:ind w:left="993" w:hanging="567"/>
        <w:rPr>
          <w:szCs w:val="24"/>
        </w:rPr>
      </w:pPr>
      <w:r w:rsidRPr="00427075">
        <w:rPr>
          <w:szCs w:val="24"/>
        </w:rPr>
        <w:t xml:space="preserve">2. Метаболические осложнения: </w:t>
      </w:r>
    </w:p>
    <w:p w14:paraId="4E4FF3DD" w14:textId="77777777" w:rsidR="0004555D" w:rsidRPr="00427075" w:rsidRDefault="0004555D" w:rsidP="0091350E">
      <w:pPr>
        <w:pStyle w:val="aff"/>
        <w:numPr>
          <w:ilvl w:val="0"/>
          <w:numId w:val="152"/>
        </w:numPr>
        <w:tabs>
          <w:tab w:val="left" w:pos="1134"/>
          <w:tab w:val="left" w:pos="1276"/>
        </w:tabs>
        <w:contextualSpacing/>
        <w:rPr>
          <w:szCs w:val="24"/>
        </w:rPr>
      </w:pPr>
      <w:r w:rsidRPr="00427075">
        <w:rPr>
          <w:szCs w:val="24"/>
        </w:rPr>
        <w:t>Гипергликемия;</w:t>
      </w:r>
    </w:p>
    <w:p w14:paraId="6C4B41E5" w14:textId="77777777" w:rsidR="0004555D" w:rsidRPr="00427075" w:rsidRDefault="0004555D" w:rsidP="0091350E">
      <w:pPr>
        <w:pStyle w:val="aff"/>
        <w:numPr>
          <w:ilvl w:val="0"/>
          <w:numId w:val="152"/>
        </w:numPr>
        <w:tabs>
          <w:tab w:val="left" w:pos="1134"/>
          <w:tab w:val="left" w:pos="1276"/>
        </w:tabs>
        <w:contextualSpacing/>
        <w:rPr>
          <w:szCs w:val="24"/>
        </w:rPr>
      </w:pPr>
      <w:r w:rsidRPr="00427075">
        <w:rPr>
          <w:szCs w:val="24"/>
        </w:rPr>
        <w:t>Водно-электролитные нарушения;</w:t>
      </w:r>
    </w:p>
    <w:p w14:paraId="1E2BDB84" w14:textId="77777777" w:rsidR="0004555D" w:rsidRPr="00427075" w:rsidRDefault="0004555D" w:rsidP="0091350E">
      <w:pPr>
        <w:pStyle w:val="aff"/>
        <w:numPr>
          <w:ilvl w:val="0"/>
          <w:numId w:val="152"/>
        </w:numPr>
        <w:tabs>
          <w:tab w:val="left" w:pos="1134"/>
          <w:tab w:val="left" w:pos="1276"/>
        </w:tabs>
        <w:contextualSpacing/>
        <w:rPr>
          <w:szCs w:val="24"/>
        </w:rPr>
      </w:pPr>
      <w:r w:rsidRPr="00427075">
        <w:rPr>
          <w:szCs w:val="24"/>
        </w:rPr>
        <w:t>Гипертриглицеридемия;</w:t>
      </w:r>
    </w:p>
    <w:p w14:paraId="13910B08" w14:textId="77777777" w:rsidR="0004555D" w:rsidRPr="00427075" w:rsidRDefault="0004555D" w:rsidP="0091350E">
      <w:pPr>
        <w:pStyle w:val="aff"/>
        <w:numPr>
          <w:ilvl w:val="0"/>
          <w:numId w:val="152"/>
        </w:numPr>
        <w:tabs>
          <w:tab w:val="left" w:pos="1134"/>
          <w:tab w:val="left" w:pos="1276"/>
        </w:tabs>
        <w:contextualSpacing/>
        <w:rPr>
          <w:szCs w:val="24"/>
        </w:rPr>
      </w:pPr>
      <w:r w:rsidRPr="00427075">
        <w:rPr>
          <w:szCs w:val="24"/>
        </w:rPr>
        <w:t>Повышения концентрации азота мочевины;</w:t>
      </w:r>
    </w:p>
    <w:p w14:paraId="3E60EE99" w14:textId="77777777" w:rsidR="0004555D" w:rsidRPr="00427075" w:rsidRDefault="0004555D" w:rsidP="0091350E">
      <w:pPr>
        <w:pStyle w:val="aff"/>
        <w:numPr>
          <w:ilvl w:val="0"/>
          <w:numId w:val="152"/>
        </w:numPr>
        <w:tabs>
          <w:tab w:val="left" w:pos="1134"/>
          <w:tab w:val="left" w:pos="1276"/>
        </w:tabs>
        <w:contextualSpacing/>
        <w:rPr>
          <w:szCs w:val="24"/>
        </w:rPr>
      </w:pPr>
      <w:r w:rsidRPr="00427075">
        <w:rPr>
          <w:szCs w:val="24"/>
        </w:rPr>
        <w:t>Повышение активности печеночных трансаминаз.</w:t>
      </w:r>
    </w:p>
    <w:p w14:paraId="27AE425E" w14:textId="77777777" w:rsidR="0004555D" w:rsidRPr="00427075" w:rsidRDefault="0004555D" w:rsidP="0004555D">
      <w:pPr>
        <w:tabs>
          <w:tab w:val="left" w:pos="1134"/>
        </w:tabs>
        <w:ind w:left="993" w:hanging="567"/>
        <w:rPr>
          <w:szCs w:val="24"/>
        </w:rPr>
      </w:pPr>
      <w:r w:rsidRPr="00427075">
        <w:rPr>
          <w:szCs w:val="24"/>
        </w:rPr>
        <w:t>3. Дисфункция органов пищеварительной системы:</w:t>
      </w:r>
    </w:p>
    <w:p w14:paraId="6334E15E" w14:textId="77777777" w:rsidR="0004555D" w:rsidRPr="00427075" w:rsidRDefault="0004555D" w:rsidP="0091350E">
      <w:pPr>
        <w:pStyle w:val="aff"/>
        <w:numPr>
          <w:ilvl w:val="0"/>
          <w:numId w:val="153"/>
        </w:numPr>
        <w:tabs>
          <w:tab w:val="left" w:pos="1134"/>
        </w:tabs>
        <w:contextualSpacing/>
        <w:rPr>
          <w:szCs w:val="24"/>
        </w:rPr>
      </w:pPr>
      <w:r w:rsidRPr="00427075">
        <w:rPr>
          <w:szCs w:val="24"/>
        </w:rPr>
        <w:t>Холестаз, холецистит;</w:t>
      </w:r>
    </w:p>
    <w:p w14:paraId="7EB6CF73" w14:textId="77777777" w:rsidR="0004555D" w:rsidRPr="00427075" w:rsidRDefault="0004555D" w:rsidP="0091350E">
      <w:pPr>
        <w:pStyle w:val="aff"/>
        <w:numPr>
          <w:ilvl w:val="0"/>
          <w:numId w:val="153"/>
        </w:numPr>
        <w:tabs>
          <w:tab w:val="left" w:pos="1134"/>
        </w:tabs>
        <w:contextualSpacing/>
        <w:rPr>
          <w:szCs w:val="24"/>
        </w:rPr>
      </w:pPr>
      <w:r w:rsidRPr="00427075">
        <w:rPr>
          <w:szCs w:val="24"/>
        </w:rPr>
        <w:t>Гипотрофия стенки кишечника;</w:t>
      </w:r>
    </w:p>
    <w:p w14:paraId="46417C18" w14:textId="77777777" w:rsidR="0004555D" w:rsidRPr="00427075" w:rsidRDefault="0004555D" w:rsidP="0091350E">
      <w:pPr>
        <w:pStyle w:val="aff"/>
        <w:numPr>
          <w:ilvl w:val="0"/>
          <w:numId w:val="153"/>
        </w:numPr>
        <w:tabs>
          <w:tab w:val="left" w:pos="1134"/>
        </w:tabs>
        <w:contextualSpacing/>
        <w:rPr>
          <w:szCs w:val="24"/>
        </w:rPr>
      </w:pPr>
      <w:r w:rsidRPr="00427075">
        <w:rPr>
          <w:szCs w:val="24"/>
        </w:rPr>
        <w:t>Жировой стеатоз печени;</w:t>
      </w:r>
    </w:p>
    <w:p w14:paraId="59426E5F" w14:textId="77777777" w:rsidR="0004555D" w:rsidRPr="00427075" w:rsidRDefault="0004555D" w:rsidP="0091350E">
      <w:pPr>
        <w:pStyle w:val="aff"/>
        <w:numPr>
          <w:ilvl w:val="0"/>
          <w:numId w:val="153"/>
        </w:numPr>
        <w:tabs>
          <w:tab w:val="left" w:pos="1134"/>
        </w:tabs>
        <w:contextualSpacing/>
        <w:rPr>
          <w:szCs w:val="24"/>
        </w:rPr>
      </w:pPr>
      <w:r w:rsidRPr="00427075">
        <w:rPr>
          <w:szCs w:val="24"/>
        </w:rPr>
        <w:t>Острый панкреатит (особенно в случае с сочетанием с врожденной гипертриглицеридемией)</w:t>
      </w:r>
    </w:p>
    <w:p w14:paraId="6491218E" w14:textId="77777777" w:rsidR="0004555D" w:rsidRPr="00427075" w:rsidRDefault="0004555D" w:rsidP="0004555D">
      <w:pPr>
        <w:ind w:firstLine="426"/>
        <w:rPr>
          <w:szCs w:val="24"/>
        </w:rPr>
      </w:pPr>
      <w:r w:rsidRPr="00427075">
        <w:rPr>
          <w:szCs w:val="24"/>
        </w:rPr>
        <w:t>4. Аллергические реакции на компоненты парентерального питания.</w:t>
      </w:r>
    </w:p>
    <w:p w14:paraId="2EC125C5" w14:textId="77777777" w:rsidR="0004555D" w:rsidRPr="00427075" w:rsidRDefault="0004555D" w:rsidP="0004555D">
      <w:pPr>
        <w:ind w:firstLine="426"/>
        <w:rPr>
          <w:szCs w:val="24"/>
        </w:rPr>
      </w:pPr>
      <w:r w:rsidRPr="00427075">
        <w:rPr>
          <w:szCs w:val="24"/>
        </w:rPr>
        <w:t xml:space="preserve">5. Образование преципитатов (солей) в случае несовместимых инфузий с ПП. </w:t>
      </w:r>
    </w:p>
    <w:p w14:paraId="42D2C099" w14:textId="77777777" w:rsidR="0004555D" w:rsidRPr="00427075" w:rsidRDefault="0004555D" w:rsidP="0004555D">
      <w:pPr>
        <w:ind w:firstLine="426"/>
        <w:rPr>
          <w:szCs w:val="24"/>
        </w:rPr>
      </w:pPr>
      <w:r w:rsidRPr="00427075">
        <w:rPr>
          <w:szCs w:val="24"/>
        </w:rPr>
        <w:t xml:space="preserve">6. Токсические эффекты витаминных комплексов (аккумуляция жирорастворимых витаминов </w:t>
      </w:r>
      <w:r w:rsidRPr="00427075">
        <w:rPr>
          <w:szCs w:val="24"/>
          <w:lang w:val="en-US"/>
        </w:rPr>
        <w:t>A</w:t>
      </w:r>
      <w:r w:rsidRPr="00427075">
        <w:rPr>
          <w:szCs w:val="24"/>
        </w:rPr>
        <w:t>,</w:t>
      </w:r>
      <w:r w:rsidRPr="00427075">
        <w:rPr>
          <w:szCs w:val="24"/>
          <w:lang w:val="en-US"/>
        </w:rPr>
        <w:t>D</w:t>
      </w:r>
      <w:r w:rsidRPr="00427075">
        <w:rPr>
          <w:szCs w:val="24"/>
        </w:rPr>
        <w:t>,</w:t>
      </w:r>
      <w:r w:rsidRPr="00427075">
        <w:rPr>
          <w:szCs w:val="24"/>
          <w:lang w:val="en-US"/>
        </w:rPr>
        <w:t>E</w:t>
      </w:r>
      <w:r w:rsidRPr="00427075">
        <w:rPr>
          <w:szCs w:val="24"/>
        </w:rPr>
        <w:t>,</w:t>
      </w:r>
      <w:r w:rsidRPr="00427075">
        <w:rPr>
          <w:szCs w:val="24"/>
          <w:lang w:val="en-US"/>
        </w:rPr>
        <w:t>K</w:t>
      </w:r>
      <w:r w:rsidRPr="00427075">
        <w:rPr>
          <w:szCs w:val="24"/>
        </w:rPr>
        <w:t>).</w:t>
      </w:r>
    </w:p>
    <w:p w14:paraId="2A3372BE" w14:textId="77777777" w:rsidR="0004555D" w:rsidRPr="00427075" w:rsidRDefault="0004555D" w:rsidP="0004555D">
      <w:pPr>
        <w:ind w:firstLine="426"/>
        <w:rPr>
          <w:szCs w:val="24"/>
        </w:rPr>
      </w:pPr>
      <w:r w:rsidRPr="00427075">
        <w:rPr>
          <w:szCs w:val="24"/>
        </w:rPr>
        <w:t>7. Синдром возобновления питания или рефидинг-синдром.</w:t>
      </w:r>
    </w:p>
    <w:p w14:paraId="12C5AF9A" w14:textId="77777777" w:rsidR="0004555D" w:rsidRDefault="0004555D" w:rsidP="0004555D">
      <w:pPr>
        <w:pStyle w:val="aff"/>
        <w:rPr>
          <w:b/>
          <w:szCs w:val="24"/>
        </w:rPr>
      </w:pPr>
    </w:p>
    <w:p w14:paraId="44EE72D9" w14:textId="1EA2B981" w:rsidR="0004555D" w:rsidRPr="00427075" w:rsidRDefault="0004555D" w:rsidP="0004555D">
      <w:pPr>
        <w:ind w:firstLine="709"/>
        <w:rPr>
          <w:i/>
          <w:szCs w:val="24"/>
          <w:u w:val="single"/>
        </w:rPr>
      </w:pPr>
      <w:r w:rsidRPr="00427075">
        <w:rPr>
          <w:i/>
          <w:szCs w:val="24"/>
          <w:u w:val="single"/>
        </w:rPr>
        <w:t>Алгоритм действия врача</w:t>
      </w:r>
      <w:r>
        <w:rPr>
          <w:i/>
          <w:szCs w:val="24"/>
          <w:u w:val="single"/>
        </w:rPr>
        <w:t xml:space="preserve"> </w:t>
      </w:r>
      <w:r>
        <w:rPr>
          <w:i/>
          <w:szCs w:val="24"/>
          <w:u w:val="single"/>
        </w:rPr>
        <w:fldChar w:fldCharType="begin" w:fldLock="1"/>
      </w:r>
      <w:r w:rsidR="002701C3">
        <w:rPr>
          <w:i/>
          <w:szCs w:val="24"/>
          <w:u w:val="single"/>
        </w:rPr>
        <w:instrText>ADDIN CSL_CITATION {"citationItems":[{"id":"ITEM-1","itemData":{"DOI":"10.1016/j.clnu.2016.07.015","ISSN":"15321983","PMID":"27637832","abstract":"Cancers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Nutrition","id":"ITEM-1","issue":"1","issued":{"date-parts":[["2017"]]},"page":"11-48","publisher":"Churchill Livingstone","title":"ESPEN guidelines on nutrition in cancer patients","type":"article-journal","volume":"36"},"uris":["http://www.mendeley.com/documents/?uuid=2586b0c4-9eb6-4463-a0ba-87fe84fbad8f"]}],"mendeley":{"formattedCitation":"[114]","plainTextFormattedCitation":"[114]","previouslyFormattedCitation":"[114]"},"properties":{"noteIndex":0},"schema":"https://github.com/citation-style-language/schema/raw/master/csl-citation.json"}</w:instrText>
      </w:r>
      <w:r>
        <w:rPr>
          <w:i/>
          <w:szCs w:val="24"/>
          <w:u w:val="single"/>
        </w:rPr>
        <w:fldChar w:fldCharType="separate"/>
      </w:r>
      <w:r w:rsidRPr="0004555D">
        <w:rPr>
          <w:noProof/>
          <w:szCs w:val="24"/>
        </w:rPr>
        <w:t>[114]</w:t>
      </w:r>
      <w:r>
        <w:rPr>
          <w:i/>
          <w:szCs w:val="24"/>
          <w:u w:val="single"/>
        </w:rPr>
        <w:fldChar w:fldCharType="end"/>
      </w:r>
      <w:r w:rsidRPr="00427075">
        <w:rPr>
          <w:i/>
          <w:szCs w:val="24"/>
          <w:u w:val="single"/>
        </w:rPr>
        <w:t>:</w:t>
      </w:r>
    </w:p>
    <w:p w14:paraId="0AB8C8C0" w14:textId="77777777" w:rsidR="0004555D" w:rsidRPr="00427075" w:rsidRDefault="0004555D" w:rsidP="0004555D">
      <w:pPr>
        <w:ind w:firstLine="708"/>
        <w:rPr>
          <w:szCs w:val="24"/>
        </w:rPr>
      </w:pPr>
      <w:r w:rsidRPr="00427075">
        <w:rPr>
          <w:szCs w:val="24"/>
        </w:rPr>
        <w:t xml:space="preserve">1. </w:t>
      </w:r>
      <w:r w:rsidRPr="00427075">
        <w:rPr>
          <w:i/>
          <w:szCs w:val="24"/>
        </w:rPr>
        <w:t>Сосудистый доступ.</w:t>
      </w:r>
      <w:r w:rsidRPr="00427075">
        <w:rPr>
          <w:szCs w:val="24"/>
        </w:rPr>
        <w:t xml:space="preserve">  После принятия решения о начала ПП с учетом показаний и противопоказаний решается вопрос об обеспечении сосудистого доступа </w:t>
      </w:r>
      <w:r w:rsidRPr="00427075">
        <w:rPr>
          <w:i/>
          <w:szCs w:val="24"/>
        </w:rPr>
        <w:t xml:space="preserve">(см. Приложение «Сосудистый доступ у гематологических пациентов»), </w:t>
      </w:r>
      <w:r w:rsidRPr="00427075">
        <w:rPr>
          <w:szCs w:val="24"/>
        </w:rPr>
        <w:t>который</w:t>
      </w:r>
      <w:r w:rsidRPr="00427075">
        <w:rPr>
          <w:i/>
          <w:szCs w:val="24"/>
        </w:rPr>
        <w:t xml:space="preserve"> </w:t>
      </w:r>
      <w:r w:rsidRPr="00427075">
        <w:rPr>
          <w:szCs w:val="24"/>
        </w:rPr>
        <w:t xml:space="preserve">устанавливается врачом-реаниматологом. При планировании ПП более 5 дней рекомендуется установка центрального венозного катетера. При проведении ПП менее 5 дней, при наличии смесей для парентерального питания с осмолярностью менее 900мОсмоль/л, возможно использование периферического сосудистого доступа. </w:t>
      </w:r>
    </w:p>
    <w:p w14:paraId="6DFA2006" w14:textId="77777777" w:rsidR="0004555D" w:rsidRPr="00427075" w:rsidRDefault="0004555D" w:rsidP="0004555D">
      <w:pPr>
        <w:ind w:firstLine="708"/>
        <w:rPr>
          <w:szCs w:val="24"/>
        </w:rPr>
      </w:pPr>
      <w:r w:rsidRPr="00427075">
        <w:rPr>
          <w:szCs w:val="24"/>
        </w:rPr>
        <w:t>2</w:t>
      </w:r>
      <w:r w:rsidRPr="00427075">
        <w:rPr>
          <w:i/>
          <w:szCs w:val="24"/>
        </w:rPr>
        <w:t>. Рассчитывается требуемая суточная калорийность</w:t>
      </w:r>
      <w:r w:rsidRPr="00427075">
        <w:rPr>
          <w:szCs w:val="24"/>
        </w:rPr>
        <w:t xml:space="preserve"> в зависимости от степени катаболизма (см. табл 1):</w:t>
      </w:r>
    </w:p>
    <w:p w14:paraId="2FAB81D0" w14:textId="77777777" w:rsidR="0004555D" w:rsidRDefault="0004555D" w:rsidP="0004555D">
      <w:pPr>
        <w:rPr>
          <w:szCs w:val="24"/>
        </w:rPr>
      </w:pPr>
    </w:p>
    <w:p w14:paraId="619FD74F" w14:textId="77777777" w:rsidR="0004555D" w:rsidRPr="00427075" w:rsidRDefault="0004555D" w:rsidP="0004555D">
      <w:pPr>
        <w:rPr>
          <w:szCs w:val="24"/>
        </w:rPr>
      </w:pPr>
      <w:r w:rsidRPr="00427075">
        <w:rPr>
          <w:szCs w:val="24"/>
        </w:rPr>
        <w:t>Таблица 1. Расчет энергетических потребностей в зависимости от степени катаболизма.</w:t>
      </w:r>
    </w:p>
    <w:tbl>
      <w:tblPr>
        <w:tblStyle w:val="affa"/>
        <w:tblW w:w="9571" w:type="dxa"/>
        <w:tblLook w:val="04A0" w:firstRow="1" w:lastRow="0" w:firstColumn="1" w:lastColumn="0" w:noHBand="0" w:noVBand="1"/>
      </w:tblPr>
      <w:tblGrid>
        <w:gridCol w:w="2109"/>
        <w:gridCol w:w="1532"/>
        <w:gridCol w:w="1618"/>
        <w:gridCol w:w="1261"/>
        <w:gridCol w:w="1330"/>
        <w:gridCol w:w="1721"/>
      </w:tblGrid>
      <w:tr w:rsidR="0004555D" w:rsidRPr="00427075" w14:paraId="304608E8" w14:textId="77777777" w:rsidTr="005A428D">
        <w:trPr>
          <w:trHeight w:val="1164"/>
        </w:trPr>
        <w:tc>
          <w:tcPr>
            <w:tcW w:w="2117" w:type="dxa"/>
          </w:tcPr>
          <w:p w14:paraId="4C13EE3B" w14:textId="77777777" w:rsidR="0004555D" w:rsidRPr="00427075" w:rsidRDefault="0004555D" w:rsidP="005A428D">
            <w:pPr>
              <w:jc w:val="center"/>
              <w:rPr>
                <w:szCs w:val="24"/>
              </w:rPr>
            </w:pPr>
            <w:r w:rsidRPr="00427075">
              <w:rPr>
                <w:szCs w:val="24"/>
              </w:rPr>
              <w:t>Недостаточность</w:t>
            </w:r>
          </w:p>
          <w:p w14:paraId="33A722EE" w14:textId="77777777" w:rsidR="0004555D" w:rsidRPr="00427075" w:rsidRDefault="0004555D" w:rsidP="005A428D">
            <w:pPr>
              <w:jc w:val="center"/>
              <w:rPr>
                <w:szCs w:val="24"/>
              </w:rPr>
            </w:pPr>
            <w:r w:rsidRPr="00427075">
              <w:rPr>
                <w:szCs w:val="24"/>
              </w:rPr>
              <w:t>питания</w:t>
            </w:r>
          </w:p>
        </w:tc>
        <w:tc>
          <w:tcPr>
            <w:tcW w:w="1545" w:type="dxa"/>
          </w:tcPr>
          <w:p w14:paraId="2DF3C19B" w14:textId="77777777" w:rsidR="0004555D" w:rsidRPr="00427075" w:rsidRDefault="0004555D" w:rsidP="005A428D">
            <w:pPr>
              <w:jc w:val="center"/>
              <w:rPr>
                <w:szCs w:val="24"/>
              </w:rPr>
            </w:pPr>
            <w:r w:rsidRPr="00427075">
              <w:rPr>
                <w:szCs w:val="24"/>
              </w:rPr>
              <w:t>Потеря массы тела (за последние 3 мес.)</w:t>
            </w:r>
          </w:p>
        </w:tc>
        <w:tc>
          <w:tcPr>
            <w:tcW w:w="1628" w:type="dxa"/>
          </w:tcPr>
          <w:p w14:paraId="7B57132C" w14:textId="77777777" w:rsidR="0004555D" w:rsidRPr="00427075" w:rsidRDefault="0004555D" w:rsidP="005A428D">
            <w:pPr>
              <w:jc w:val="center"/>
              <w:rPr>
                <w:szCs w:val="24"/>
              </w:rPr>
            </w:pPr>
            <w:r w:rsidRPr="00427075">
              <w:rPr>
                <w:szCs w:val="24"/>
              </w:rPr>
              <w:t>Потери азота, г/сут (Азотистый баланс)</w:t>
            </w:r>
          </w:p>
        </w:tc>
        <w:tc>
          <w:tcPr>
            <w:tcW w:w="1277" w:type="dxa"/>
          </w:tcPr>
          <w:p w14:paraId="56878435" w14:textId="77777777" w:rsidR="0004555D" w:rsidRPr="00427075" w:rsidRDefault="0004555D" w:rsidP="005A428D">
            <w:pPr>
              <w:jc w:val="center"/>
              <w:rPr>
                <w:szCs w:val="24"/>
              </w:rPr>
            </w:pPr>
            <w:r w:rsidRPr="00427075">
              <w:rPr>
                <w:szCs w:val="24"/>
              </w:rPr>
              <w:t>Общий белок, г/л</w:t>
            </w:r>
          </w:p>
        </w:tc>
        <w:tc>
          <w:tcPr>
            <w:tcW w:w="1277" w:type="dxa"/>
          </w:tcPr>
          <w:p w14:paraId="27E7BD99" w14:textId="77777777" w:rsidR="0004555D" w:rsidRPr="00427075" w:rsidRDefault="0004555D" w:rsidP="005A428D">
            <w:pPr>
              <w:jc w:val="center"/>
              <w:rPr>
                <w:szCs w:val="24"/>
              </w:rPr>
            </w:pPr>
            <w:r w:rsidRPr="00427075">
              <w:rPr>
                <w:szCs w:val="24"/>
              </w:rPr>
              <w:t>Альбумин, г/л</w:t>
            </w:r>
          </w:p>
        </w:tc>
        <w:tc>
          <w:tcPr>
            <w:tcW w:w="1727" w:type="dxa"/>
          </w:tcPr>
          <w:p w14:paraId="00614FFB" w14:textId="77777777" w:rsidR="0004555D" w:rsidRPr="00427075" w:rsidRDefault="0004555D" w:rsidP="005A428D">
            <w:pPr>
              <w:jc w:val="center"/>
              <w:rPr>
                <w:b/>
                <w:szCs w:val="24"/>
              </w:rPr>
            </w:pPr>
            <w:r w:rsidRPr="00427075">
              <w:rPr>
                <w:b/>
                <w:szCs w:val="24"/>
              </w:rPr>
              <w:t>Потребность энергии в сутки, ккал/кг</w:t>
            </w:r>
          </w:p>
        </w:tc>
      </w:tr>
      <w:tr w:rsidR="0004555D" w:rsidRPr="00427075" w14:paraId="234B17ED" w14:textId="77777777" w:rsidTr="005A428D">
        <w:trPr>
          <w:trHeight w:val="329"/>
        </w:trPr>
        <w:tc>
          <w:tcPr>
            <w:tcW w:w="2117" w:type="dxa"/>
          </w:tcPr>
          <w:p w14:paraId="09D07305" w14:textId="77777777" w:rsidR="0004555D" w:rsidRPr="00427075" w:rsidRDefault="0004555D" w:rsidP="005A428D">
            <w:pPr>
              <w:jc w:val="center"/>
              <w:rPr>
                <w:szCs w:val="24"/>
              </w:rPr>
            </w:pPr>
            <w:r w:rsidRPr="00427075">
              <w:rPr>
                <w:szCs w:val="24"/>
              </w:rPr>
              <w:t>Нет</w:t>
            </w:r>
          </w:p>
        </w:tc>
        <w:tc>
          <w:tcPr>
            <w:tcW w:w="1545" w:type="dxa"/>
          </w:tcPr>
          <w:p w14:paraId="1CD9344D" w14:textId="77777777" w:rsidR="0004555D" w:rsidRPr="00427075" w:rsidRDefault="0004555D" w:rsidP="005A428D">
            <w:pPr>
              <w:jc w:val="center"/>
              <w:rPr>
                <w:szCs w:val="24"/>
              </w:rPr>
            </w:pPr>
            <w:r w:rsidRPr="00427075">
              <w:rPr>
                <w:szCs w:val="24"/>
              </w:rPr>
              <w:t>&lt; 2%</w:t>
            </w:r>
          </w:p>
        </w:tc>
        <w:tc>
          <w:tcPr>
            <w:tcW w:w="1628" w:type="dxa"/>
          </w:tcPr>
          <w:p w14:paraId="53B82B43" w14:textId="77777777" w:rsidR="0004555D" w:rsidRPr="00427075" w:rsidRDefault="0004555D" w:rsidP="005A428D">
            <w:pPr>
              <w:jc w:val="center"/>
              <w:rPr>
                <w:szCs w:val="24"/>
              </w:rPr>
            </w:pPr>
            <w:r w:rsidRPr="00427075">
              <w:rPr>
                <w:szCs w:val="24"/>
              </w:rPr>
              <w:t>0-6</w:t>
            </w:r>
          </w:p>
        </w:tc>
        <w:tc>
          <w:tcPr>
            <w:tcW w:w="1277" w:type="dxa"/>
          </w:tcPr>
          <w:p w14:paraId="5B609982" w14:textId="77777777" w:rsidR="0004555D" w:rsidRPr="00427075" w:rsidRDefault="0004555D" w:rsidP="005A428D">
            <w:pPr>
              <w:jc w:val="center"/>
              <w:rPr>
                <w:szCs w:val="24"/>
              </w:rPr>
            </w:pPr>
            <w:r w:rsidRPr="00427075">
              <w:rPr>
                <w:szCs w:val="24"/>
              </w:rPr>
              <w:t>&gt;65</w:t>
            </w:r>
          </w:p>
        </w:tc>
        <w:tc>
          <w:tcPr>
            <w:tcW w:w="1277" w:type="dxa"/>
          </w:tcPr>
          <w:p w14:paraId="23EDE6D9" w14:textId="77777777" w:rsidR="0004555D" w:rsidRPr="00427075" w:rsidRDefault="0004555D" w:rsidP="005A428D">
            <w:pPr>
              <w:jc w:val="center"/>
              <w:rPr>
                <w:szCs w:val="24"/>
              </w:rPr>
            </w:pPr>
            <w:r w:rsidRPr="00427075">
              <w:rPr>
                <w:szCs w:val="24"/>
              </w:rPr>
              <w:t>&gt;35</w:t>
            </w:r>
          </w:p>
        </w:tc>
        <w:tc>
          <w:tcPr>
            <w:tcW w:w="1727" w:type="dxa"/>
          </w:tcPr>
          <w:p w14:paraId="78BDC568" w14:textId="77777777" w:rsidR="0004555D" w:rsidRPr="00427075" w:rsidRDefault="0004555D" w:rsidP="005A428D">
            <w:pPr>
              <w:jc w:val="center"/>
              <w:rPr>
                <w:b/>
                <w:szCs w:val="24"/>
              </w:rPr>
            </w:pPr>
            <w:r w:rsidRPr="00427075">
              <w:rPr>
                <w:b/>
                <w:szCs w:val="24"/>
              </w:rPr>
              <w:t>20 – 25</w:t>
            </w:r>
          </w:p>
        </w:tc>
      </w:tr>
      <w:tr w:rsidR="0004555D" w:rsidRPr="00427075" w14:paraId="429278E2" w14:textId="77777777" w:rsidTr="005A428D">
        <w:trPr>
          <w:trHeight w:val="313"/>
        </w:trPr>
        <w:tc>
          <w:tcPr>
            <w:tcW w:w="2117" w:type="dxa"/>
          </w:tcPr>
          <w:p w14:paraId="12E19D5E" w14:textId="77777777" w:rsidR="0004555D" w:rsidRPr="00427075" w:rsidRDefault="0004555D" w:rsidP="005A428D">
            <w:pPr>
              <w:jc w:val="center"/>
              <w:rPr>
                <w:szCs w:val="24"/>
              </w:rPr>
            </w:pPr>
            <w:r w:rsidRPr="00427075">
              <w:rPr>
                <w:szCs w:val="24"/>
              </w:rPr>
              <w:t>Легкая</w:t>
            </w:r>
          </w:p>
        </w:tc>
        <w:tc>
          <w:tcPr>
            <w:tcW w:w="1545" w:type="dxa"/>
          </w:tcPr>
          <w:p w14:paraId="745ED073" w14:textId="77777777" w:rsidR="0004555D" w:rsidRPr="00427075" w:rsidRDefault="0004555D" w:rsidP="005A428D">
            <w:pPr>
              <w:jc w:val="center"/>
              <w:rPr>
                <w:szCs w:val="24"/>
              </w:rPr>
            </w:pPr>
            <w:r w:rsidRPr="00427075">
              <w:rPr>
                <w:szCs w:val="24"/>
              </w:rPr>
              <w:t>2-5%</w:t>
            </w:r>
          </w:p>
        </w:tc>
        <w:tc>
          <w:tcPr>
            <w:tcW w:w="1628" w:type="dxa"/>
          </w:tcPr>
          <w:p w14:paraId="746FB98B" w14:textId="77777777" w:rsidR="0004555D" w:rsidRPr="00427075" w:rsidRDefault="0004555D" w:rsidP="005A428D">
            <w:pPr>
              <w:jc w:val="center"/>
              <w:rPr>
                <w:szCs w:val="24"/>
              </w:rPr>
            </w:pPr>
            <w:r w:rsidRPr="00427075">
              <w:rPr>
                <w:szCs w:val="24"/>
              </w:rPr>
              <w:t>6-12</w:t>
            </w:r>
          </w:p>
        </w:tc>
        <w:tc>
          <w:tcPr>
            <w:tcW w:w="1277" w:type="dxa"/>
          </w:tcPr>
          <w:p w14:paraId="7D2E0DBE" w14:textId="77777777" w:rsidR="0004555D" w:rsidRPr="00427075" w:rsidRDefault="0004555D" w:rsidP="005A428D">
            <w:pPr>
              <w:jc w:val="center"/>
              <w:rPr>
                <w:szCs w:val="24"/>
              </w:rPr>
            </w:pPr>
            <w:r w:rsidRPr="00427075">
              <w:rPr>
                <w:szCs w:val="24"/>
              </w:rPr>
              <w:t>65-55</w:t>
            </w:r>
          </w:p>
        </w:tc>
        <w:tc>
          <w:tcPr>
            <w:tcW w:w="1277" w:type="dxa"/>
          </w:tcPr>
          <w:p w14:paraId="6AD222CA" w14:textId="77777777" w:rsidR="0004555D" w:rsidRPr="00427075" w:rsidRDefault="0004555D" w:rsidP="005A428D">
            <w:pPr>
              <w:jc w:val="center"/>
              <w:rPr>
                <w:szCs w:val="24"/>
              </w:rPr>
            </w:pPr>
            <w:r w:rsidRPr="00427075">
              <w:rPr>
                <w:szCs w:val="24"/>
              </w:rPr>
              <w:t>35-30</w:t>
            </w:r>
          </w:p>
        </w:tc>
        <w:tc>
          <w:tcPr>
            <w:tcW w:w="1727" w:type="dxa"/>
          </w:tcPr>
          <w:p w14:paraId="1A8D8776" w14:textId="77777777" w:rsidR="0004555D" w:rsidRPr="00427075" w:rsidRDefault="0004555D" w:rsidP="005A428D">
            <w:pPr>
              <w:jc w:val="center"/>
              <w:rPr>
                <w:b/>
                <w:szCs w:val="24"/>
              </w:rPr>
            </w:pPr>
            <w:r w:rsidRPr="00427075">
              <w:rPr>
                <w:b/>
                <w:szCs w:val="24"/>
              </w:rPr>
              <w:t>25 – 30</w:t>
            </w:r>
          </w:p>
        </w:tc>
      </w:tr>
      <w:tr w:rsidR="0004555D" w:rsidRPr="00427075" w14:paraId="6B1F53C8" w14:textId="77777777" w:rsidTr="005A428D">
        <w:trPr>
          <w:trHeight w:val="313"/>
        </w:trPr>
        <w:tc>
          <w:tcPr>
            <w:tcW w:w="2117" w:type="dxa"/>
          </w:tcPr>
          <w:p w14:paraId="083446BA" w14:textId="77777777" w:rsidR="0004555D" w:rsidRPr="00427075" w:rsidRDefault="0004555D" w:rsidP="005A428D">
            <w:pPr>
              <w:jc w:val="center"/>
              <w:rPr>
                <w:szCs w:val="24"/>
              </w:rPr>
            </w:pPr>
            <w:r w:rsidRPr="00427075">
              <w:rPr>
                <w:szCs w:val="24"/>
              </w:rPr>
              <w:t>Средняя</w:t>
            </w:r>
          </w:p>
        </w:tc>
        <w:tc>
          <w:tcPr>
            <w:tcW w:w="1545" w:type="dxa"/>
          </w:tcPr>
          <w:p w14:paraId="588A1221" w14:textId="77777777" w:rsidR="0004555D" w:rsidRPr="00427075" w:rsidRDefault="0004555D" w:rsidP="005A428D">
            <w:pPr>
              <w:jc w:val="center"/>
              <w:rPr>
                <w:szCs w:val="24"/>
              </w:rPr>
            </w:pPr>
            <w:r w:rsidRPr="00427075">
              <w:rPr>
                <w:szCs w:val="24"/>
              </w:rPr>
              <w:t>6-10%</w:t>
            </w:r>
          </w:p>
        </w:tc>
        <w:tc>
          <w:tcPr>
            <w:tcW w:w="1628" w:type="dxa"/>
          </w:tcPr>
          <w:p w14:paraId="43E65D8C" w14:textId="77777777" w:rsidR="0004555D" w:rsidRPr="00427075" w:rsidRDefault="0004555D" w:rsidP="005A428D">
            <w:pPr>
              <w:jc w:val="center"/>
              <w:rPr>
                <w:szCs w:val="24"/>
              </w:rPr>
            </w:pPr>
            <w:r w:rsidRPr="00427075">
              <w:rPr>
                <w:szCs w:val="24"/>
              </w:rPr>
              <w:t>6-12</w:t>
            </w:r>
          </w:p>
        </w:tc>
        <w:tc>
          <w:tcPr>
            <w:tcW w:w="1277" w:type="dxa"/>
          </w:tcPr>
          <w:p w14:paraId="779F8A5D" w14:textId="77777777" w:rsidR="0004555D" w:rsidRPr="00427075" w:rsidRDefault="0004555D" w:rsidP="005A428D">
            <w:pPr>
              <w:jc w:val="center"/>
              <w:rPr>
                <w:szCs w:val="24"/>
              </w:rPr>
            </w:pPr>
            <w:r w:rsidRPr="00427075">
              <w:rPr>
                <w:szCs w:val="24"/>
              </w:rPr>
              <w:t>55-45</w:t>
            </w:r>
          </w:p>
        </w:tc>
        <w:tc>
          <w:tcPr>
            <w:tcW w:w="1277" w:type="dxa"/>
          </w:tcPr>
          <w:p w14:paraId="3E8C0F11" w14:textId="77777777" w:rsidR="0004555D" w:rsidRPr="00427075" w:rsidRDefault="0004555D" w:rsidP="005A428D">
            <w:pPr>
              <w:jc w:val="center"/>
              <w:rPr>
                <w:szCs w:val="24"/>
              </w:rPr>
            </w:pPr>
            <w:r w:rsidRPr="00427075">
              <w:rPr>
                <w:szCs w:val="24"/>
              </w:rPr>
              <w:t>30-25</w:t>
            </w:r>
          </w:p>
        </w:tc>
        <w:tc>
          <w:tcPr>
            <w:tcW w:w="1727" w:type="dxa"/>
          </w:tcPr>
          <w:p w14:paraId="1E2ACDA1" w14:textId="77777777" w:rsidR="0004555D" w:rsidRPr="00427075" w:rsidRDefault="0004555D" w:rsidP="005A428D">
            <w:pPr>
              <w:jc w:val="center"/>
              <w:rPr>
                <w:b/>
                <w:szCs w:val="24"/>
              </w:rPr>
            </w:pPr>
            <w:r w:rsidRPr="00427075">
              <w:rPr>
                <w:b/>
                <w:szCs w:val="24"/>
              </w:rPr>
              <w:t>25 – 35</w:t>
            </w:r>
          </w:p>
        </w:tc>
      </w:tr>
      <w:tr w:rsidR="0004555D" w:rsidRPr="00427075" w14:paraId="4DBA7193" w14:textId="77777777" w:rsidTr="005A428D">
        <w:trPr>
          <w:trHeight w:val="329"/>
        </w:trPr>
        <w:tc>
          <w:tcPr>
            <w:tcW w:w="2117" w:type="dxa"/>
          </w:tcPr>
          <w:p w14:paraId="2BDE05A3" w14:textId="77777777" w:rsidR="0004555D" w:rsidRPr="00427075" w:rsidRDefault="0004555D" w:rsidP="005A428D">
            <w:pPr>
              <w:jc w:val="center"/>
              <w:rPr>
                <w:szCs w:val="24"/>
              </w:rPr>
            </w:pPr>
            <w:r w:rsidRPr="00427075">
              <w:rPr>
                <w:szCs w:val="24"/>
              </w:rPr>
              <w:t>Тяжелая</w:t>
            </w:r>
          </w:p>
        </w:tc>
        <w:tc>
          <w:tcPr>
            <w:tcW w:w="1545" w:type="dxa"/>
          </w:tcPr>
          <w:p w14:paraId="7F8AF9EE" w14:textId="77777777" w:rsidR="0004555D" w:rsidRPr="00427075" w:rsidRDefault="0004555D" w:rsidP="005A428D">
            <w:pPr>
              <w:jc w:val="center"/>
              <w:rPr>
                <w:szCs w:val="24"/>
              </w:rPr>
            </w:pPr>
            <w:r w:rsidRPr="00427075">
              <w:rPr>
                <w:szCs w:val="24"/>
              </w:rPr>
              <w:t>&lt;10 %</w:t>
            </w:r>
          </w:p>
        </w:tc>
        <w:tc>
          <w:tcPr>
            <w:tcW w:w="1628" w:type="dxa"/>
          </w:tcPr>
          <w:p w14:paraId="11A316C0" w14:textId="77777777" w:rsidR="0004555D" w:rsidRPr="00427075" w:rsidRDefault="0004555D" w:rsidP="005A428D">
            <w:pPr>
              <w:jc w:val="center"/>
              <w:rPr>
                <w:szCs w:val="24"/>
              </w:rPr>
            </w:pPr>
            <w:r w:rsidRPr="00427075">
              <w:rPr>
                <w:szCs w:val="24"/>
              </w:rPr>
              <w:t>&gt;12</w:t>
            </w:r>
          </w:p>
        </w:tc>
        <w:tc>
          <w:tcPr>
            <w:tcW w:w="1277" w:type="dxa"/>
          </w:tcPr>
          <w:p w14:paraId="38AC7DD2" w14:textId="77777777" w:rsidR="0004555D" w:rsidRPr="00427075" w:rsidRDefault="0004555D" w:rsidP="005A428D">
            <w:pPr>
              <w:jc w:val="center"/>
              <w:rPr>
                <w:szCs w:val="24"/>
              </w:rPr>
            </w:pPr>
            <w:r w:rsidRPr="00427075">
              <w:rPr>
                <w:szCs w:val="24"/>
              </w:rPr>
              <w:t>&lt;45</w:t>
            </w:r>
          </w:p>
        </w:tc>
        <w:tc>
          <w:tcPr>
            <w:tcW w:w="1277" w:type="dxa"/>
          </w:tcPr>
          <w:p w14:paraId="4C63B25C" w14:textId="77777777" w:rsidR="0004555D" w:rsidRPr="00427075" w:rsidRDefault="0004555D" w:rsidP="005A428D">
            <w:pPr>
              <w:jc w:val="center"/>
              <w:rPr>
                <w:szCs w:val="24"/>
              </w:rPr>
            </w:pPr>
            <w:r w:rsidRPr="00427075">
              <w:rPr>
                <w:szCs w:val="24"/>
              </w:rPr>
              <w:t>&lt;25</w:t>
            </w:r>
          </w:p>
        </w:tc>
        <w:tc>
          <w:tcPr>
            <w:tcW w:w="1727" w:type="dxa"/>
          </w:tcPr>
          <w:p w14:paraId="27BE61CB" w14:textId="77777777" w:rsidR="0004555D" w:rsidRPr="00427075" w:rsidRDefault="0004555D" w:rsidP="005A428D">
            <w:pPr>
              <w:jc w:val="center"/>
              <w:rPr>
                <w:b/>
                <w:szCs w:val="24"/>
              </w:rPr>
            </w:pPr>
            <w:r w:rsidRPr="00427075">
              <w:rPr>
                <w:b/>
                <w:szCs w:val="24"/>
              </w:rPr>
              <w:t>30 – 45</w:t>
            </w:r>
          </w:p>
        </w:tc>
      </w:tr>
    </w:tbl>
    <w:p w14:paraId="04A40386" w14:textId="77777777" w:rsidR="0004555D" w:rsidRPr="00427075" w:rsidRDefault="0004555D" w:rsidP="0004555D">
      <w:pPr>
        <w:rPr>
          <w:szCs w:val="24"/>
        </w:rPr>
      </w:pPr>
      <w:r w:rsidRPr="00427075">
        <w:rPr>
          <w:szCs w:val="24"/>
        </w:rPr>
        <w:tab/>
        <w:t xml:space="preserve">Азотистый баланс  (АБ) можно рассчитать по формуле: </w:t>
      </w:r>
    </w:p>
    <w:p w14:paraId="2327ED78" w14:textId="77777777" w:rsidR="0004555D" w:rsidRDefault="0004555D" w:rsidP="0004555D">
      <w:pPr>
        <w:rPr>
          <w:i/>
          <w:szCs w:val="24"/>
        </w:rPr>
      </w:pPr>
      <w:r w:rsidRPr="00427075">
        <w:rPr>
          <w:i/>
          <w:szCs w:val="24"/>
        </w:rPr>
        <w:t>АБ =  введенный белок (г)/6,25 – азот мочи (г) -4 9внепочечные потери.</w:t>
      </w:r>
    </w:p>
    <w:p w14:paraId="4DCDDA80" w14:textId="77777777" w:rsidR="0004555D" w:rsidRPr="00427075" w:rsidRDefault="0004555D" w:rsidP="0004555D">
      <w:pPr>
        <w:rPr>
          <w:i/>
          <w:szCs w:val="24"/>
        </w:rPr>
      </w:pPr>
    </w:p>
    <w:p w14:paraId="6D444C65" w14:textId="77777777" w:rsidR="0004555D" w:rsidRPr="00427075" w:rsidRDefault="0004555D" w:rsidP="0004555D">
      <w:pPr>
        <w:rPr>
          <w:szCs w:val="24"/>
        </w:rPr>
      </w:pPr>
      <w:r w:rsidRPr="00427075">
        <w:rPr>
          <w:i/>
          <w:szCs w:val="24"/>
        </w:rPr>
        <w:tab/>
      </w:r>
      <w:r w:rsidRPr="00427075">
        <w:rPr>
          <w:szCs w:val="24"/>
        </w:rPr>
        <w:t xml:space="preserve">3. </w:t>
      </w:r>
      <w:r w:rsidRPr="00427075">
        <w:rPr>
          <w:i/>
          <w:szCs w:val="24"/>
        </w:rPr>
        <w:t>Расчет скорости введения</w:t>
      </w:r>
      <w:r w:rsidRPr="00427075">
        <w:rPr>
          <w:szCs w:val="24"/>
        </w:rPr>
        <w:t xml:space="preserve">. После определения суточной потребности в калориях производится расчет скорости введения. Например, больному массой 70 кг при легкой степени недостаточности питания (потеря массы тела менее 5% за последние 3 месяца, АБ от 6 до 12 г/сут) требуется от 25 до 30 ккал/кг/сут или от 1750 до 2100 ккал. В стандартных смесях для ПП («Кабивен центральный», «Оликлиномель </w:t>
      </w:r>
      <w:r w:rsidRPr="00427075">
        <w:rPr>
          <w:szCs w:val="24"/>
          <w:lang w:val="en-US"/>
        </w:rPr>
        <w:t>N</w:t>
      </w:r>
      <w:r w:rsidRPr="00427075">
        <w:rPr>
          <w:szCs w:val="24"/>
        </w:rPr>
        <w:t xml:space="preserve">7», «Нутрифлекс липид 70/180») содержится в среднем 2000 ккал в полном объеме смеси. Данный расчет выполнен преднамеренно, чтобы один пакет «три в одном» удовлетворял энергетическим потребностям большинства больных и что удобно для ежесуточной смены инфузионной линии. Скорость введения в данном случае равняется объем (в мл)/24, выраженной в мл/час. </w:t>
      </w:r>
    </w:p>
    <w:p w14:paraId="7033AE1B" w14:textId="77777777" w:rsidR="0004555D" w:rsidRPr="00427075" w:rsidRDefault="0004555D" w:rsidP="0004555D">
      <w:pPr>
        <w:ind w:firstLine="708"/>
        <w:rPr>
          <w:szCs w:val="24"/>
        </w:rPr>
      </w:pPr>
      <w:r w:rsidRPr="00427075">
        <w:rPr>
          <w:szCs w:val="24"/>
        </w:rPr>
        <w:t xml:space="preserve">4. </w:t>
      </w:r>
      <w:r w:rsidRPr="00427075">
        <w:rPr>
          <w:i/>
          <w:szCs w:val="24"/>
        </w:rPr>
        <w:t>Начало введения ПП в первые сутки</w:t>
      </w:r>
      <w:r w:rsidRPr="00427075">
        <w:rPr>
          <w:szCs w:val="24"/>
        </w:rPr>
        <w:t>. При нахождении больного в круглосуточном стационаре ПП вводится непрерывно в течении 24 часов. В первые сутки вводят 50% объема от требуемой пациенту калорийности с увеличением на 25% в последующие 2 суток. Для нутритивной поддержки больных в дневных стационарах возможен циклический режим: введение 8-12 часов (не более 50% объема от требуемой пациенту калорийности). Производители парентерального питания также рекомендуют постепенно увеличивать скорость до целевой в первые 30 минут введения ПП.</w:t>
      </w:r>
    </w:p>
    <w:p w14:paraId="09AB45E9" w14:textId="77777777" w:rsidR="0004555D" w:rsidRPr="00427075" w:rsidRDefault="0004555D" w:rsidP="0004555D">
      <w:pPr>
        <w:ind w:firstLine="708"/>
        <w:rPr>
          <w:szCs w:val="24"/>
        </w:rPr>
      </w:pPr>
      <w:r w:rsidRPr="00427075">
        <w:rPr>
          <w:szCs w:val="24"/>
        </w:rPr>
        <w:t xml:space="preserve">5. </w:t>
      </w:r>
      <w:r w:rsidRPr="00427075">
        <w:rPr>
          <w:i/>
          <w:szCs w:val="24"/>
        </w:rPr>
        <w:t>Контроль возможных осложнений</w:t>
      </w:r>
      <w:r w:rsidRPr="00427075">
        <w:rPr>
          <w:szCs w:val="24"/>
        </w:rPr>
        <w:t xml:space="preserve"> осуществляется лечащим врачом. Оценивается реакция на введение парентеральной смеси как в первые минуты на наличие анафилактической реакции, так и в последующие часы и дни на наличие прочих аллергических реакций. Необходим ежедневный осмотр растворов и инфузионных линий  на предмет образования преципитатов.  Своевременный контроль лабораторных анализов (см. ниже), позволяет предотвращать и корректировать метаболические осложнения ПП. Необходимо в течение первых 48 часов дважды фиксировать ЭКГ и контролировать электролиты крови с целью предотвращения рефидинг-синдрома.</w:t>
      </w:r>
    </w:p>
    <w:p w14:paraId="0AA5B81E" w14:textId="77777777" w:rsidR="0004555D" w:rsidRPr="00427075" w:rsidRDefault="0004555D" w:rsidP="0004555D">
      <w:pPr>
        <w:ind w:firstLine="708"/>
        <w:rPr>
          <w:szCs w:val="24"/>
        </w:rPr>
      </w:pPr>
      <w:r w:rsidRPr="00427075">
        <w:rPr>
          <w:szCs w:val="24"/>
        </w:rPr>
        <w:t xml:space="preserve">6. </w:t>
      </w:r>
      <w:r w:rsidRPr="00427075">
        <w:rPr>
          <w:i/>
          <w:szCs w:val="24"/>
        </w:rPr>
        <w:t>Включение в схему питания адъювантных витаминных комплексов</w:t>
      </w:r>
      <w:r w:rsidRPr="00427075">
        <w:rPr>
          <w:szCs w:val="24"/>
        </w:rPr>
        <w:t xml:space="preserve">. С целью дифференцировки причины развития аллергической реакции, витаминные комплексы следует добавлять не ранее, чем через 48 часов после начала ПП. </w:t>
      </w:r>
    </w:p>
    <w:p w14:paraId="1294FA6B" w14:textId="77777777" w:rsidR="0004555D" w:rsidRPr="00427075" w:rsidRDefault="0004555D" w:rsidP="0004555D">
      <w:pPr>
        <w:ind w:firstLine="708"/>
        <w:rPr>
          <w:szCs w:val="24"/>
        </w:rPr>
      </w:pPr>
      <w:r w:rsidRPr="00427075">
        <w:rPr>
          <w:szCs w:val="24"/>
        </w:rPr>
        <w:t xml:space="preserve">7. </w:t>
      </w:r>
      <w:r w:rsidRPr="00427075">
        <w:rPr>
          <w:i/>
          <w:szCs w:val="24"/>
        </w:rPr>
        <w:t>Оценка эффективности ПП</w:t>
      </w:r>
      <w:r w:rsidRPr="00427075">
        <w:rPr>
          <w:szCs w:val="24"/>
        </w:rPr>
        <w:t xml:space="preserve">. Врачом после начала ПП проводится оценка его эффективности и диагностика возможных осложнений. Эффективность оценивается с учетом анализа прироста  массы тела, оптимальным считается увеличение массы за 7 дней на 0,5 – 1 кг при изначально умеренном или тяжелом дефиците. Также еженедельно оцениваются ИМТ, расчет азотистого баланса, концентрация альбумина и общего белка. При уменьшении степени катаболизма (см. табл. 1) производится перерасчёт суточной потребности больного в калориях. </w:t>
      </w:r>
    </w:p>
    <w:p w14:paraId="78579217" w14:textId="77777777" w:rsidR="0004555D" w:rsidRPr="00427075" w:rsidRDefault="0004555D" w:rsidP="0004555D">
      <w:pPr>
        <w:pStyle w:val="aff"/>
        <w:ind w:left="0" w:firstLine="709"/>
        <w:rPr>
          <w:i/>
          <w:szCs w:val="24"/>
        </w:rPr>
      </w:pPr>
      <w:r w:rsidRPr="00427075">
        <w:rPr>
          <w:i/>
          <w:szCs w:val="24"/>
        </w:rPr>
        <w:t>8.Лабораторные исследования во время проведения ПП:</w:t>
      </w:r>
    </w:p>
    <w:p w14:paraId="528C7789" w14:textId="77777777" w:rsidR="0004555D" w:rsidRPr="00427075" w:rsidRDefault="0004555D" w:rsidP="0091350E">
      <w:pPr>
        <w:pStyle w:val="aff"/>
        <w:numPr>
          <w:ilvl w:val="0"/>
          <w:numId w:val="154"/>
        </w:numPr>
        <w:contextualSpacing/>
        <w:rPr>
          <w:szCs w:val="24"/>
        </w:rPr>
      </w:pPr>
      <w:r w:rsidRPr="00427075">
        <w:rPr>
          <w:szCs w:val="24"/>
        </w:rPr>
        <w:t xml:space="preserve">Концентрация глюкозы – 2 – 4 р/сут; </w:t>
      </w:r>
    </w:p>
    <w:p w14:paraId="71D2B448" w14:textId="77777777" w:rsidR="0004555D" w:rsidRPr="00427075" w:rsidRDefault="0004555D" w:rsidP="0091350E">
      <w:pPr>
        <w:pStyle w:val="aff"/>
        <w:numPr>
          <w:ilvl w:val="0"/>
          <w:numId w:val="154"/>
        </w:numPr>
        <w:contextualSpacing/>
        <w:rPr>
          <w:szCs w:val="24"/>
        </w:rPr>
      </w:pPr>
      <w:r w:rsidRPr="00427075">
        <w:rPr>
          <w:szCs w:val="24"/>
        </w:rPr>
        <w:t>Электролитный состав крови – 1 р/сут;</w:t>
      </w:r>
    </w:p>
    <w:p w14:paraId="3B5B357A" w14:textId="77777777" w:rsidR="0004555D" w:rsidRPr="00427075" w:rsidRDefault="0004555D" w:rsidP="0091350E">
      <w:pPr>
        <w:pStyle w:val="aff"/>
        <w:numPr>
          <w:ilvl w:val="0"/>
          <w:numId w:val="154"/>
        </w:numPr>
        <w:contextualSpacing/>
        <w:rPr>
          <w:szCs w:val="24"/>
        </w:rPr>
      </w:pPr>
      <w:r w:rsidRPr="00427075">
        <w:rPr>
          <w:szCs w:val="24"/>
        </w:rPr>
        <w:t>Биохимический анализ крови (дважды в неделю) с исследованием концентрации печеночных трансаминаз, общий белок, альбумин, триглицериды, липаза, амилаза;</w:t>
      </w:r>
    </w:p>
    <w:p w14:paraId="351F64F5" w14:textId="77777777" w:rsidR="0004555D" w:rsidRPr="00427075" w:rsidRDefault="0004555D" w:rsidP="0091350E">
      <w:pPr>
        <w:pStyle w:val="aff"/>
        <w:numPr>
          <w:ilvl w:val="0"/>
          <w:numId w:val="154"/>
        </w:numPr>
        <w:contextualSpacing/>
        <w:rPr>
          <w:szCs w:val="24"/>
        </w:rPr>
      </w:pPr>
      <w:r w:rsidRPr="00427075">
        <w:rPr>
          <w:szCs w:val="24"/>
        </w:rPr>
        <w:t xml:space="preserve">Контроль концентрации витаминов </w:t>
      </w:r>
      <w:r w:rsidRPr="00427075">
        <w:rPr>
          <w:i/>
          <w:szCs w:val="24"/>
        </w:rPr>
        <w:t>(тиамин)</w:t>
      </w:r>
      <w:r w:rsidRPr="00427075">
        <w:rPr>
          <w:szCs w:val="24"/>
        </w:rPr>
        <w:t xml:space="preserve">  и микроэлементов </w:t>
      </w:r>
      <w:r w:rsidRPr="00427075">
        <w:rPr>
          <w:i/>
          <w:szCs w:val="24"/>
        </w:rPr>
        <w:t>(калий, натрий, кальций, хлориды магний)</w:t>
      </w:r>
      <w:r w:rsidRPr="00427075">
        <w:rPr>
          <w:szCs w:val="24"/>
        </w:rPr>
        <w:t xml:space="preserve">  при длительном парентеральном питании (более 1 месяца).</w:t>
      </w:r>
    </w:p>
    <w:p w14:paraId="1070EA77" w14:textId="77777777" w:rsidR="0004555D" w:rsidRPr="00427075" w:rsidRDefault="0004555D" w:rsidP="0004555D">
      <w:pPr>
        <w:pStyle w:val="aff"/>
        <w:ind w:left="0" w:firstLine="709"/>
        <w:rPr>
          <w:i/>
          <w:szCs w:val="24"/>
        </w:rPr>
      </w:pPr>
      <w:r w:rsidRPr="00427075">
        <w:rPr>
          <w:i/>
          <w:szCs w:val="24"/>
        </w:rPr>
        <w:t>9.Регулярные обследования во время проведения ПП:</w:t>
      </w:r>
    </w:p>
    <w:p w14:paraId="56DF9A71" w14:textId="77777777" w:rsidR="0004555D" w:rsidRPr="00427075" w:rsidRDefault="0004555D" w:rsidP="0091350E">
      <w:pPr>
        <w:pStyle w:val="aff"/>
        <w:numPr>
          <w:ilvl w:val="0"/>
          <w:numId w:val="155"/>
        </w:numPr>
        <w:contextualSpacing/>
        <w:rPr>
          <w:szCs w:val="24"/>
        </w:rPr>
      </w:pPr>
      <w:r w:rsidRPr="00427075">
        <w:rPr>
          <w:szCs w:val="24"/>
        </w:rPr>
        <w:t>Суточный баланс жидкости – ежедневно;</w:t>
      </w:r>
    </w:p>
    <w:p w14:paraId="5B34B844" w14:textId="77777777" w:rsidR="0004555D" w:rsidRPr="00427075" w:rsidRDefault="0004555D" w:rsidP="0091350E">
      <w:pPr>
        <w:pStyle w:val="aff"/>
        <w:numPr>
          <w:ilvl w:val="0"/>
          <w:numId w:val="155"/>
        </w:numPr>
        <w:contextualSpacing/>
        <w:rPr>
          <w:szCs w:val="24"/>
        </w:rPr>
      </w:pPr>
      <w:r w:rsidRPr="00427075">
        <w:rPr>
          <w:szCs w:val="24"/>
        </w:rPr>
        <w:t>Динамика массы тела – ежедневно (стремительная прибавка в весе, более 2 кг в неделю, вероятнее всего связана с задержкой жидкости);</w:t>
      </w:r>
    </w:p>
    <w:p w14:paraId="108DF308" w14:textId="77777777" w:rsidR="0004555D" w:rsidRPr="00427075" w:rsidRDefault="0004555D" w:rsidP="0091350E">
      <w:pPr>
        <w:pStyle w:val="aff"/>
        <w:numPr>
          <w:ilvl w:val="0"/>
          <w:numId w:val="155"/>
        </w:numPr>
        <w:contextualSpacing/>
        <w:rPr>
          <w:szCs w:val="24"/>
        </w:rPr>
      </w:pPr>
      <w:r w:rsidRPr="00427075">
        <w:rPr>
          <w:szCs w:val="24"/>
        </w:rPr>
        <w:t>Азотистый баланс и оценка трофического статуса (ИМТ) – один раз в неделю.</w:t>
      </w:r>
    </w:p>
    <w:p w14:paraId="30B123B8" w14:textId="77777777" w:rsidR="0004555D" w:rsidRPr="00427075" w:rsidRDefault="0004555D" w:rsidP="0004555D">
      <w:pPr>
        <w:rPr>
          <w:szCs w:val="24"/>
        </w:rPr>
      </w:pPr>
      <w:r w:rsidRPr="00427075">
        <w:rPr>
          <w:szCs w:val="24"/>
        </w:rPr>
        <w:tab/>
        <w:t xml:space="preserve"> 10. </w:t>
      </w:r>
      <w:r w:rsidRPr="00427075">
        <w:rPr>
          <w:i/>
          <w:szCs w:val="24"/>
        </w:rPr>
        <w:t>Завершение ПП.</w:t>
      </w:r>
      <w:r w:rsidRPr="00427075">
        <w:rPr>
          <w:szCs w:val="24"/>
        </w:rPr>
        <w:t xml:space="preserve"> После разрешения причин, потребовавших проведения ПП, скорость инфузии питательной смеси уменьшается на количество калорий, употребляемых пациентом перорально. </w:t>
      </w:r>
    </w:p>
    <w:p w14:paraId="16B40AF6" w14:textId="77777777" w:rsidR="0004555D" w:rsidRPr="00427075" w:rsidRDefault="0004555D" w:rsidP="0004555D">
      <w:pPr>
        <w:ind w:firstLine="708"/>
        <w:rPr>
          <w:szCs w:val="24"/>
        </w:rPr>
      </w:pPr>
      <w:r w:rsidRPr="00427075">
        <w:rPr>
          <w:szCs w:val="24"/>
        </w:rPr>
        <w:t>При возникновении любых аллергических реакций необходимо прекратить ввдение препарата. В случае развития уртикарной сыпи обосновано применение антигистаминных препаратов, таких как дифенгидрамин, супрастин, тавегил. При развитии анафилактического шока первым вводится адреналин и инфузионная нагрузка с последующим введением дексаметазона или преднизолона.</w:t>
      </w:r>
    </w:p>
    <w:p w14:paraId="14152CED" w14:textId="77777777" w:rsidR="0004555D" w:rsidRDefault="0004555D" w:rsidP="0004555D">
      <w:pPr>
        <w:ind w:firstLine="709"/>
        <w:rPr>
          <w:b/>
          <w:szCs w:val="24"/>
        </w:rPr>
      </w:pPr>
    </w:p>
    <w:p w14:paraId="0B69445C" w14:textId="77777777" w:rsidR="0004555D" w:rsidRPr="00427075" w:rsidRDefault="0004555D" w:rsidP="0004555D">
      <w:pPr>
        <w:ind w:firstLine="709"/>
        <w:rPr>
          <w:i/>
          <w:szCs w:val="24"/>
          <w:u w:val="single"/>
        </w:rPr>
      </w:pPr>
      <w:r w:rsidRPr="00427075">
        <w:rPr>
          <w:i/>
          <w:szCs w:val="24"/>
          <w:u w:val="single"/>
        </w:rPr>
        <w:t>Особые указания</w:t>
      </w:r>
    </w:p>
    <w:p w14:paraId="6070431B" w14:textId="77777777" w:rsidR="0004555D" w:rsidRPr="00427075" w:rsidRDefault="0004555D" w:rsidP="0004555D">
      <w:pPr>
        <w:ind w:firstLine="709"/>
        <w:rPr>
          <w:szCs w:val="24"/>
        </w:rPr>
      </w:pPr>
      <w:r w:rsidRPr="00427075">
        <w:rPr>
          <w:szCs w:val="24"/>
        </w:rPr>
        <w:t>Противопоказано одновременное введение цефтриаксона и смесей ПП из-за риска образования цефтриаксон-кальциевой соли. Описаны случаи образования преципитата фосфата кальция при проведении ПП. Дестабилизация липидной эмульсии может быть вызвана введением иных препаратов в камеру с парентеральным питанием. Дестабилизация липидов и образование преципитатов может вести к нарушению микроциркуляции, что проявляется развитием острой дыхательной недостаточности, неврологическими нарушениями. В данном случае необходимо остановить проведение ПП.</w:t>
      </w:r>
    </w:p>
    <w:p w14:paraId="4DCB39CD" w14:textId="77777777" w:rsidR="0004555D" w:rsidRPr="00427075" w:rsidRDefault="0004555D" w:rsidP="0004555D">
      <w:pPr>
        <w:ind w:firstLine="709"/>
        <w:rPr>
          <w:szCs w:val="24"/>
        </w:rPr>
      </w:pPr>
      <w:r w:rsidRPr="00427075">
        <w:rPr>
          <w:szCs w:val="24"/>
        </w:rPr>
        <w:t xml:space="preserve">При выполнении анализа на свободный гемоглобин (методом измерения оптической плотности), необходимо прекратить введение жировой эмульсии минимум за 6 часов до набора пробы крови с целью исключения ошибок определения концентрации свободного гемоглобина плазмы.  </w:t>
      </w:r>
    </w:p>
    <w:p w14:paraId="087542E5" w14:textId="1658D89E" w:rsidR="0004555D" w:rsidRDefault="0004555D" w:rsidP="0004555D">
      <w:pPr>
        <w:widowControl w:val="0"/>
        <w:autoSpaceDE w:val="0"/>
        <w:autoSpaceDN w:val="0"/>
        <w:adjustRightInd w:val="0"/>
        <w:ind w:left="640" w:hanging="640"/>
        <w:rPr>
          <w:szCs w:val="24"/>
        </w:rPr>
      </w:pPr>
    </w:p>
    <w:p w14:paraId="4B267DBD" w14:textId="455F5B6F" w:rsidR="002701C3" w:rsidRPr="002701C3" w:rsidRDefault="00D21558" w:rsidP="002701C3">
      <w:pPr>
        <w:pStyle w:val="2"/>
        <w:ind w:firstLine="0"/>
      </w:pPr>
      <w:bookmarkStart w:id="76" w:name="_Toc65104129"/>
      <w:r>
        <w:t xml:space="preserve">Приложение А3.9. </w:t>
      </w:r>
      <w:r w:rsidR="002701C3" w:rsidRPr="00365626">
        <w:t>Спленэктомия у пациентов с гематологическими заболеваниями</w:t>
      </w:r>
      <w:bookmarkEnd w:id="76"/>
    </w:p>
    <w:p w14:paraId="1EB295CD" w14:textId="0605B6ED" w:rsidR="002701C3" w:rsidRPr="00365626" w:rsidRDefault="002701C3" w:rsidP="002701C3">
      <w:pPr>
        <w:ind w:firstLine="709"/>
        <w:rPr>
          <w:i/>
          <w:szCs w:val="24"/>
        </w:rPr>
      </w:pPr>
      <w:r w:rsidRPr="00365626">
        <w:rPr>
          <w:szCs w:val="24"/>
        </w:rPr>
        <w:t>Спленэктомия – наиболее частое оперативное вмешательство в гематологической хирургии</w:t>
      </w:r>
      <w:r>
        <w:rPr>
          <w:szCs w:val="24"/>
        </w:rPr>
        <w:t xml:space="preserve"> </w:t>
      </w:r>
      <w:r>
        <w:rPr>
          <w:szCs w:val="24"/>
        </w:rPr>
        <w:fldChar w:fldCharType="begin" w:fldLock="1"/>
      </w:r>
      <w:r w:rsidR="0021488B">
        <w:rPr>
          <w:szCs w:val="24"/>
        </w:rPr>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[228]","plainTextFormattedCitation":"[228]","previouslyFormattedCitation":"[228]"},"properties":{"noteIndex":0},"schema":"https://github.com/citation-style-language/schema/raw/master/csl-citation.json"}</w:instrText>
      </w:r>
      <w:r>
        <w:rPr>
          <w:szCs w:val="24"/>
        </w:rPr>
        <w:fldChar w:fldCharType="separate"/>
      </w:r>
      <w:r w:rsidRPr="002701C3">
        <w:rPr>
          <w:noProof/>
          <w:szCs w:val="24"/>
        </w:rPr>
        <w:t>[228]</w:t>
      </w:r>
      <w:r>
        <w:rPr>
          <w:szCs w:val="24"/>
        </w:rPr>
        <w:fldChar w:fldCharType="end"/>
      </w:r>
      <w:r w:rsidRPr="00365626">
        <w:rPr>
          <w:szCs w:val="24"/>
        </w:rPr>
        <w:t>.</w:t>
      </w:r>
      <w:r w:rsidRPr="00365626">
        <w:rPr>
          <w:i/>
          <w:szCs w:val="24"/>
        </w:rPr>
        <w:t xml:space="preserve"> </w:t>
      </w:r>
    </w:p>
    <w:p w14:paraId="4429A0A8" w14:textId="77777777" w:rsidR="002701C3" w:rsidRDefault="002701C3" w:rsidP="002701C3">
      <w:pPr>
        <w:rPr>
          <w:i/>
          <w:szCs w:val="24"/>
        </w:rPr>
      </w:pPr>
    </w:p>
    <w:p w14:paraId="0C0515F1" w14:textId="4B1FD08E" w:rsidR="002701C3" w:rsidRPr="00365626" w:rsidRDefault="002701C3" w:rsidP="002701C3">
      <w:pPr>
        <w:rPr>
          <w:i/>
          <w:szCs w:val="24"/>
        </w:rPr>
      </w:pPr>
      <w:r w:rsidRPr="00365626">
        <w:rPr>
          <w:i/>
          <w:szCs w:val="24"/>
        </w:rPr>
        <w:t>Основные показания к спленэктомии</w:t>
      </w:r>
      <w:r>
        <w:rPr>
          <w:i/>
          <w:szCs w:val="24"/>
        </w:rPr>
        <w:t xml:space="preserve"> </w:t>
      </w:r>
      <w:r>
        <w:rPr>
          <w:szCs w:val="24"/>
        </w:rPr>
        <w:fldChar w:fldCharType="begin" w:fldLock="1"/>
      </w:r>
      <w:r w:rsidR="0021488B">
        <w:rPr>
          <w:szCs w:val="24"/>
        </w:rPr>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[228]","plainTextFormattedCitation":"[228]","previouslyFormattedCitation":"[228]"},"properties":{"noteIndex":0},"schema":"https://github.com/citation-style-language/schema/raw/master/csl-citation.json"}</w:instrText>
      </w:r>
      <w:r>
        <w:rPr>
          <w:szCs w:val="24"/>
        </w:rPr>
        <w:fldChar w:fldCharType="separate"/>
      </w:r>
      <w:r w:rsidRPr="002701C3">
        <w:rPr>
          <w:noProof/>
          <w:szCs w:val="24"/>
        </w:rPr>
        <w:t>[228]</w:t>
      </w:r>
      <w:r>
        <w:rPr>
          <w:szCs w:val="24"/>
        </w:rPr>
        <w:fldChar w:fldCharType="end"/>
      </w:r>
      <w:r w:rsidRPr="00365626">
        <w:rPr>
          <w:i/>
          <w:szCs w:val="24"/>
        </w:rPr>
        <w:t xml:space="preserve">: </w:t>
      </w:r>
    </w:p>
    <w:p w14:paraId="3A2767E9" w14:textId="77777777" w:rsidR="002701C3" w:rsidRPr="00365626" w:rsidRDefault="002701C3" w:rsidP="0091350E">
      <w:pPr>
        <w:pStyle w:val="aff"/>
        <w:numPr>
          <w:ilvl w:val="0"/>
          <w:numId w:val="157"/>
        </w:numPr>
        <w:contextualSpacing/>
        <w:rPr>
          <w:szCs w:val="24"/>
        </w:rPr>
      </w:pPr>
      <w:r w:rsidRPr="00365626">
        <w:rPr>
          <w:szCs w:val="24"/>
        </w:rPr>
        <w:t>идиопатическая тромбоцитопеническая пурпура (иммунная тромбоцитопения);</w:t>
      </w:r>
    </w:p>
    <w:p w14:paraId="14CA39AD" w14:textId="77777777" w:rsidR="002701C3" w:rsidRPr="00365626" w:rsidRDefault="002701C3" w:rsidP="0091350E">
      <w:pPr>
        <w:pStyle w:val="aff"/>
        <w:numPr>
          <w:ilvl w:val="0"/>
          <w:numId w:val="157"/>
        </w:numPr>
        <w:contextualSpacing/>
        <w:rPr>
          <w:szCs w:val="24"/>
        </w:rPr>
      </w:pPr>
      <w:r w:rsidRPr="00365626">
        <w:rPr>
          <w:szCs w:val="24"/>
        </w:rPr>
        <w:t>гемолитическая анемия (врожденная и приобретенная формы);</w:t>
      </w:r>
    </w:p>
    <w:p w14:paraId="2D136822" w14:textId="77777777" w:rsidR="002701C3" w:rsidRPr="00365626" w:rsidRDefault="002701C3" w:rsidP="0091350E">
      <w:pPr>
        <w:pStyle w:val="aff"/>
        <w:numPr>
          <w:ilvl w:val="0"/>
          <w:numId w:val="157"/>
        </w:numPr>
        <w:contextualSpacing/>
        <w:rPr>
          <w:szCs w:val="24"/>
        </w:rPr>
      </w:pPr>
      <w:r w:rsidRPr="00365626">
        <w:rPr>
          <w:szCs w:val="24"/>
        </w:rPr>
        <w:t>лимфопролиферативные заболевания (лейкозы и лимфомы) с преимущественным поражением селезенки;</w:t>
      </w:r>
    </w:p>
    <w:p w14:paraId="5C8EA25D" w14:textId="77777777" w:rsidR="002701C3" w:rsidRPr="00365626" w:rsidRDefault="002701C3" w:rsidP="0091350E">
      <w:pPr>
        <w:pStyle w:val="aff"/>
        <w:numPr>
          <w:ilvl w:val="0"/>
          <w:numId w:val="157"/>
        </w:numPr>
        <w:contextualSpacing/>
        <w:rPr>
          <w:szCs w:val="24"/>
        </w:rPr>
      </w:pPr>
      <w:r w:rsidRPr="00365626">
        <w:rPr>
          <w:szCs w:val="24"/>
        </w:rPr>
        <w:t>резидуальная спленомегалия (остаточная спленомегалия или остаточное очаговое поражение селезенки при достижении ремиссии лимфом);</w:t>
      </w:r>
    </w:p>
    <w:p w14:paraId="66F7A499" w14:textId="77777777" w:rsidR="002701C3" w:rsidRPr="00365626" w:rsidRDefault="002701C3" w:rsidP="0091350E">
      <w:pPr>
        <w:pStyle w:val="aff"/>
        <w:numPr>
          <w:ilvl w:val="0"/>
          <w:numId w:val="157"/>
        </w:numPr>
        <w:contextualSpacing/>
        <w:rPr>
          <w:szCs w:val="24"/>
        </w:rPr>
      </w:pPr>
      <w:r w:rsidRPr="00365626">
        <w:rPr>
          <w:szCs w:val="24"/>
        </w:rPr>
        <w:t>обширный инфаркт селезенки, угроза разрыва селезенки;</w:t>
      </w:r>
    </w:p>
    <w:p w14:paraId="4572611E" w14:textId="77777777" w:rsidR="002701C3" w:rsidRPr="00365626" w:rsidRDefault="002701C3" w:rsidP="0091350E">
      <w:pPr>
        <w:pStyle w:val="aff"/>
        <w:numPr>
          <w:ilvl w:val="0"/>
          <w:numId w:val="157"/>
        </w:numPr>
        <w:contextualSpacing/>
        <w:rPr>
          <w:szCs w:val="24"/>
        </w:rPr>
      </w:pPr>
      <w:r w:rsidRPr="00365626">
        <w:rPr>
          <w:szCs w:val="24"/>
        </w:rPr>
        <w:t>абсцессы селезенки;</w:t>
      </w:r>
    </w:p>
    <w:p w14:paraId="50048614" w14:textId="77777777" w:rsidR="002701C3" w:rsidRPr="00365626" w:rsidRDefault="002701C3" w:rsidP="0091350E">
      <w:pPr>
        <w:pStyle w:val="aff"/>
        <w:numPr>
          <w:ilvl w:val="0"/>
          <w:numId w:val="157"/>
        </w:numPr>
        <w:contextualSpacing/>
        <w:rPr>
          <w:szCs w:val="24"/>
        </w:rPr>
      </w:pPr>
      <w:r w:rsidRPr="00365626">
        <w:rPr>
          <w:szCs w:val="24"/>
        </w:rPr>
        <w:t>вторичные цитопении (нейтропения, тромбоцитопения);</w:t>
      </w:r>
    </w:p>
    <w:p w14:paraId="5898805C" w14:textId="77777777" w:rsidR="002701C3" w:rsidRPr="00365626" w:rsidRDefault="002701C3" w:rsidP="0091350E">
      <w:pPr>
        <w:pStyle w:val="aff"/>
        <w:numPr>
          <w:ilvl w:val="0"/>
          <w:numId w:val="157"/>
        </w:numPr>
        <w:contextualSpacing/>
        <w:rPr>
          <w:szCs w:val="24"/>
        </w:rPr>
      </w:pPr>
      <w:r w:rsidRPr="00365626">
        <w:rPr>
          <w:szCs w:val="24"/>
        </w:rPr>
        <w:t>диагностическая спленэктомия при спленомегалии и/или очаговом поражении селезенки неуточненного генеза;</w:t>
      </w:r>
    </w:p>
    <w:p w14:paraId="6D81341E" w14:textId="77777777" w:rsidR="002701C3" w:rsidRPr="00365626" w:rsidRDefault="002701C3" w:rsidP="0091350E">
      <w:pPr>
        <w:pStyle w:val="aff"/>
        <w:numPr>
          <w:ilvl w:val="0"/>
          <w:numId w:val="157"/>
        </w:numPr>
        <w:contextualSpacing/>
        <w:rPr>
          <w:szCs w:val="24"/>
        </w:rPr>
      </w:pPr>
      <w:r w:rsidRPr="00365626">
        <w:rPr>
          <w:szCs w:val="24"/>
        </w:rPr>
        <w:t>этап иммуносупрессивной терапии при апластической анемии, миелодиспластическом синдроме (МДС) и апластических синдромах.</w:t>
      </w:r>
    </w:p>
    <w:p w14:paraId="10B955EB" w14:textId="77777777" w:rsidR="002701C3" w:rsidRPr="00365626" w:rsidRDefault="002701C3" w:rsidP="002701C3">
      <w:pPr>
        <w:ind w:firstLine="709"/>
        <w:rPr>
          <w:szCs w:val="24"/>
        </w:rPr>
      </w:pPr>
      <w:r w:rsidRPr="00365626">
        <w:rPr>
          <w:szCs w:val="24"/>
        </w:rPr>
        <w:t>Выбор доступа (лапароскопический или лапаротомный) определяется размерами селезенки, топографо-анатомическими соотношениями с другими органами, наличием выраженных сращений с окружающими органами и тканями (прорастание опухоли селезенки).</w:t>
      </w:r>
    </w:p>
    <w:p w14:paraId="3121C4F4" w14:textId="6503B9C9" w:rsidR="002701C3" w:rsidRPr="00365626" w:rsidRDefault="002701C3" w:rsidP="002701C3">
      <w:pPr>
        <w:ind w:firstLine="709"/>
        <w:rPr>
          <w:szCs w:val="24"/>
        </w:rPr>
      </w:pPr>
      <w:r w:rsidRPr="00365626">
        <w:rPr>
          <w:szCs w:val="24"/>
        </w:rPr>
        <w:t>Лапароскопический доступ к селезенке позволяет снизить количество интра- и послеоперационных осложнений, уменьшить выраженность послеоперационной боли, сократить сроки госпитализации, улучшить косметический результат  и повысить качество жизни пациентов</w:t>
      </w:r>
      <w:r>
        <w:rPr>
          <w:szCs w:val="24"/>
        </w:rPr>
        <w:t xml:space="preserve"> </w:t>
      </w:r>
      <w:r>
        <w:rPr>
          <w:szCs w:val="24"/>
        </w:rPr>
        <w:fldChar w:fldCharType="begin" w:fldLock="1"/>
      </w:r>
      <w:r w:rsidR="0021488B">
        <w:rPr>
          <w:szCs w:val="24"/>
        </w:rPr>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[228]","plainTextFormattedCitation":"[228]","previouslyFormattedCitation":"[228]"},"properties":{"noteIndex":0},"schema":"https://github.com/citation-style-language/schema/raw/master/csl-citation.json"}</w:instrText>
      </w:r>
      <w:r>
        <w:rPr>
          <w:szCs w:val="24"/>
        </w:rPr>
        <w:fldChar w:fldCharType="separate"/>
      </w:r>
      <w:r w:rsidRPr="002701C3">
        <w:rPr>
          <w:noProof/>
          <w:szCs w:val="24"/>
        </w:rPr>
        <w:t>[228]</w:t>
      </w:r>
      <w:r>
        <w:rPr>
          <w:szCs w:val="24"/>
        </w:rPr>
        <w:fldChar w:fldCharType="end"/>
      </w:r>
      <w:r w:rsidRPr="00365626">
        <w:rPr>
          <w:szCs w:val="24"/>
        </w:rPr>
        <w:t>.</w:t>
      </w:r>
    </w:p>
    <w:p w14:paraId="778DA166" w14:textId="0B8329AB" w:rsidR="002701C3" w:rsidRPr="00365626" w:rsidRDefault="002701C3" w:rsidP="002701C3">
      <w:pPr>
        <w:ind w:firstLine="709"/>
        <w:rPr>
          <w:szCs w:val="24"/>
        </w:rPr>
      </w:pPr>
      <w:r w:rsidRPr="00365626">
        <w:rPr>
          <w:szCs w:val="24"/>
        </w:rPr>
        <w:t>Факторы, осложняющие выполнение спленэктомии лапароскопическим доступом: портальная гипертензия, периспленит, большие размеры селезенки, наличие предшествующих операций</w:t>
      </w:r>
      <w:r>
        <w:rPr>
          <w:szCs w:val="24"/>
        </w:rPr>
        <w:t xml:space="preserve"> </w:t>
      </w:r>
      <w:r>
        <w:rPr>
          <w:szCs w:val="24"/>
        </w:rPr>
        <w:fldChar w:fldCharType="begin" w:fldLock="1"/>
      </w:r>
      <w:r w:rsidR="0021488B">
        <w:rPr>
          <w:szCs w:val="24"/>
        </w:rPr>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[228]","plainTextFormattedCitation":"[228]","previouslyFormattedCitation":"[228]"},"properties":{"noteIndex":0},"schema":"https://github.com/citation-style-language/schema/raw/master/csl-citation.json"}</w:instrText>
      </w:r>
      <w:r>
        <w:rPr>
          <w:szCs w:val="24"/>
        </w:rPr>
        <w:fldChar w:fldCharType="separate"/>
      </w:r>
      <w:r w:rsidRPr="002701C3">
        <w:rPr>
          <w:noProof/>
          <w:szCs w:val="24"/>
        </w:rPr>
        <w:t>[228]</w:t>
      </w:r>
      <w:r>
        <w:rPr>
          <w:szCs w:val="24"/>
        </w:rPr>
        <w:fldChar w:fldCharType="end"/>
      </w:r>
      <w:r w:rsidRPr="00365626">
        <w:rPr>
          <w:szCs w:val="24"/>
        </w:rPr>
        <w:t>.</w:t>
      </w:r>
    </w:p>
    <w:p w14:paraId="0F75C151" w14:textId="77777777" w:rsidR="002701C3" w:rsidRDefault="002701C3" w:rsidP="002701C3">
      <w:pPr>
        <w:rPr>
          <w:bCs/>
          <w:i/>
          <w:iCs/>
          <w:szCs w:val="24"/>
          <w:u w:val="single"/>
        </w:rPr>
      </w:pPr>
    </w:p>
    <w:p w14:paraId="3385EC43" w14:textId="77777777" w:rsidR="002701C3" w:rsidRPr="00E74B7B" w:rsidRDefault="002701C3" w:rsidP="002701C3">
      <w:pPr>
        <w:rPr>
          <w:bCs/>
          <w:i/>
          <w:iCs/>
          <w:szCs w:val="24"/>
          <w:u w:val="single"/>
        </w:rPr>
      </w:pPr>
      <w:r w:rsidRPr="00E74B7B">
        <w:rPr>
          <w:bCs/>
          <w:i/>
          <w:iCs/>
          <w:szCs w:val="24"/>
          <w:u w:val="single"/>
        </w:rPr>
        <w:t>Предоперационное обследование:</w:t>
      </w:r>
    </w:p>
    <w:p w14:paraId="33C583C8" w14:textId="00BE4818" w:rsidR="002701C3" w:rsidRPr="00365626" w:rsidRDefault="002701C3" w:rsidP="002701C3">
      <w:pPr>
        <w:rPr>
          <w:i/>
          <w:szCs w:val="24"/>
        </w:rPr>
      </w:pPr>
      <w:r w:rsidRPr="00365626">
        <w:rPr>
          <w:i/>
          <w:szCs w:val="24"/>
        </w:rPr>
        <w:t>Лабораторные исследования</w:t>
      </w:r>
      <w:r>
        <w:rPr>
          <w:i/>
          <w:szCs w:val="24"/>
        </w:rPr>
        <w:t xml:space="preserve"> </w:t>
      </w:r>
      <w:r>
        <w:rPr>
          <w:szCs w:val="24"/>
        </w:rPr>
        <w:fldChar w:fldCharType="begin" w:fldLock="1"/>
      </w:r>
      <w:r w:rsidR="0021488B">
        <w:rPr>
          <w:szCs w:val="24"/>
        </w:rPr>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[228]","plainTextFormattedCitation":"[228]","previouslyFormattedCitation":"[228]"},"properties":{"noteIndex":0},"schema":"https://github.com/citation-style-language/schema/raw/master/csl-citation.json"}</w:instrText>
      </w:r>
      <w:r>
        <w:rPr>
          <w:szCs w:val="24"/>
        </w:rPr>
        <w:fldChar w:fldCharType="separate"/>
      </w:r>
      <w:r w:rsidRPr="002701C3">
        <w:rPr>
          <w:noProof/>
          <w:szCs w:val="24"/>
        </w:rPr>
        <w:t>[228]</w:t>
      </w:r>
      <w:r>
        <w:rPr>
          <w:szCs w:val="24"/>
        </w:rPr>
        <w:fldChar w:fldCharType="end"/>
      </w:r>
      <w:r w:rsidRPr="00365626">
        <w:rPr>
          <w:i/>
          <w:szCs w:val="24"/>
        </w:rPr>
        <w:t xml:space="preserve">: </w:t>
      </w:r>
    </w:p>
    <w:p w14:paraId="3B5D6766" w14:textId="77777777" w:rsidR="002701C3" w:rsidRPr="00365626" w:rsidRDefault="002701C3" w:rsidP="0091350E">
      <w:pPr>
        <w:pStyle w:val="aff"/>
        <w:numPr>
          <w:ilvl w:val="0"/>
          <w:numId w:val="158"/>
        </w:numPr>
        <w:contextualSpacing/>
        <w:rPr>
          <w:szCs w:val="24"/>
        </w:rPr>
      </w:pPr>
      <w:r w:rsidRPr="00365626">
        <w:rPr>
          <w:szCs w:val="24"/>
        </w:rPr>
        <w:t xml:space="preserve">клинический анализ крови с определением количества тромбоцитов, в том числе и в окрашенном мазке крови по Фонио; </w:t>
      </w:r>
    </w:p>
    <w:p w14:paraId="0954826F" w14:textId="77777777" w:rsidR="002701C3" w:rsidRPr="00365626" w:rsidRDefault="002701C3" w:rsidP="0091350E">
      <w:pPr>
        <w:pStyle w:val="aff"/>
        <w:numPr>
          <w:ilvl w:val="0"/>
          <w:numId w:val="158"/>
        </w:numPr>
        <w:contextualSpacing/>
        <w:rPr>
          <w:szCs w:val="24"/>
        </w:rPr>
      </w:pPr>
      <w:r w:rsidRPr="00365626">
        <w:rPr>
          <w:szCs w:val="24"/>
        </w:rPr>
        <w:t>общий анализ мочи;</w:t>
      </w:r>
    </w:p>
    <w:p w14:paraId="0A1C8FA7" w14:textId="77777777" w:rsidR="002701C3" w:rsidRPr="00365626" w:rsidRDefault="002701C3" w:rsidP="0091350E">
      <w:pPr>
        <w:pStyle w:val="aff"/>
        <w:numPr>
          <w:ilvl w:val="0"/>
          <w:numId w:val="158"/>
        </w:numPr>
        <w:contextualSpacing/>
        <w:rPr>
          <w:szCs w:val="24"/>
        </w:rPr>
      </w:pPr>
      <w:r w:rsidRPr="00365626">
        <w:rPr>
          <w:szCs w:val="24"/>
        </w:rPr>
        <w:t>биохимический анализ крови: общий белок, альбумин, глобулин, мочевая кислота, мочевина, креатинин, билирубин непрямой, билирубин прямой, калий, натрий, кальций, хлор, щелочная фосфатаза, АСТ, АЛТ, ЛДГ, ГГТ, железо, глюкоза;</w:t>
      </w:r>
    </w:p>
    <w:p w14:paraId="04BFBD68" w14:textId="77777777" w:rsidR="002701C3" w:rsidRPr="00365626" w:rsidRDefault="002701C3" w:rsidP="0091350E">
      <w:pPr>
        <w:pStyle w:val="aff"/>
        <w:numPr>
          <w:ilvl w:val="0"/>
          <w:numId w:val="158"/>
        </w:numPr>
        <w:contextualSpacing/>
        <w:rPr>
          <w:szCs w:val="24"/>
        </w:rPr>
      </w:pPr>
      <w:r w:rsidRPr="00365626">
        <w:rPr>
          <w:szCs w:val="24"/>
        </w:rPr>
        <w:t xml:space="preserve">коагулограмма: АЧТВ, ПВ, ТВ, фибриноген, антитромбин </w:t>
      </w:r>
      <w:r w:rsidRPr="00365626">
        <w:rPr>
          <w:szCs w:val="24"/>
          <w:lang w:val="en-US"/>
        </w:rPr>
        <w:t>III</w:t>
      </w:r>
      <w:r w:rsidRPr="00365626">
        <w:rPr>
          <w:szCs w:val="24"/>
        </w:rPr>
        <w:t xml:space="preserve">, протеин С (по показаниям), протеин </w:t>
      </w:r>
      <w:r w:rsidRPr="00365626">
        <w:rPr>
          <w:szCs w:val="24"/>
          <w:lang w:val="en-US"/>
        </w:rPr>
        <w:t>S</w:t>
      </w:r>
      <w:r w:rsidRPr="00365626">
        <w:rPr>
          <w:szCs w:val="24"/>
        </w:rPr>
        <w:t xml:space="preserve"> (по показаниям), агрегация тромбоцитов (</w:t>
      </w:r>
      <w:r w:rsidRPr="00365626">
        <w:rPr>
          <w:color w:val="000000" w:themeColor="text1"/>
          <w:szCs w:val="24"/>
        </w:rPr>
        <w:t xml:space="preserve">по показаниям и </w:t>
      </w:r>
      <w:r w:rsidRPr="00365626">
        <w:rPr>
          <w:szCs w:val="24"/>
        </w:rPr>
        <w:t>при приеме антиагрегантных препаратов), волчаночный антикоагулянт (по показаниям);</w:t>
      </w:r>
    </w:p>
    <w:p w14:paraId="4AD1FA0D" w14:textId="77777777" w:rsidR="002701C3" w:rsidRPr="00365626" w:rsidRDefault="002701C3" w:rsidP="0091350E">
      <w:pPr>
        <w:pStyle w:val="aff"/>
        <w:numPr>
          <w:ilvl w:val="0"/>
          <w:numId w:val="158"/>
        </w:numPr>
        <w:contextualSpacing/>
        <w:rPr>
          <w:szCs w:val="24"/>
        </w:rPr>
      </w:pPr>
      <w:r w:rsidRPr="00365626">
        <w:rPr>
          <w:szCs w:val="24"/>
        </w:rPr>
        <w:t xml:space="preserve">определение группы крови, резус-фактора с  фенотипом; </w:t>
      </w:r>
    </w:p>
    <w:p w14:paraId="74729232" w14:textId="77777777" w:rsidR="002701C3" w:rsidRPr="00365626" w:rsidRDefault="002701C3" w:rsidP="0091350E">
      <w:pPr>
        <w:pStyle w:val="aff"/>
        <w:numPr>
          <w:ilvl w:val="0"/>
          <w:numId w:val="158"/>
        </w:numPr>
        <w:contextualSpacing/>
        <w:rPr>
          <w:szCs w:val="24"/>
        </w:rPr>
      </w:pPr>
      <w:r w:rsidRPr="00365626">
        <w:rPr>
          <w:szCs w:val="24"/>
        </w:rPr>
        <w:t>подбор трансфузионных сред (индивидуальный подбор трансфузионных сред при наличии показаний);</w:t>
      </w:r>
    </w:p>
    <w:p w14:paraId="6A5F8152" w14:textId="77777777" w:rsidR="002701C3" w:rsidRPr="00365626" w:rsidRDefault="002701C3" w:rsidP="0091350E">
      <w:pPr>
        <w:pStyle w:val="aff"/>
        <w:numPr>
          <w:ilvl w:val="0"/>
          <w:numId w:val="158"/>
        </w:numPr>
        <w:contextualSpacing/>
        <w:rPr>
          <w:szCs w:val="24"/>
        </w:rPr>
      </w:pPr>
      <w:r w:rsidRPr="00365626">
        <w:rPr>
          <w:szCs w:val="24"/>
        </w:rPr>
        <w:t>исследования крови на наличие гепатитов, сифилиса, ВИЧ (</w:t>
      </w:r>
      <w:r w:rsidRPr="00365626">
        <w:rPr>
          <w:bCs/>
          <w:szCs w:val="24"/>
        </w:rPr>
        <w:t>HBsAg</w:t>
      </w:r>
      <w:r w:rsidRPr="00365626">
        <w:rPr>
          <w:szCs w:val="24"/>
        </w:rPr>
        <w:t>, анти-</w:t>
      </w:r>
      <w:r w:rsidRPr="00365626">
        <w:rPr>
          <w:szCs w:val="24"/>
          <w:lang w:val="en-US"/>
        </w:rPr>
        <w:t>HCV</w:t>
      </w:r>
      <w:r w:rsidRPr="00365626">
        <w:rPr>
          <w:szCs w:val="24"/>
        </w:rPr>
        <w:t xml:space="preserve">, ВИЧ, определение антигена/антител комбинированным тестом, сифилис (метод РМП, ИФА), ПЦР ДНК ВГВ (при положительном </w:t>
      </w:r>
      <w:r w:rsidRPr="00365626">
        <w:rPr>
          <w:bCs/>
          <w:szCs w:val="24"/>
        </w:rPr>
        <w:t>HBsAg)</w:t>
      </w:r>
      <w:r w:rsidRPr="00365626">
        <w:rPr>
          <w:szCs w:val="24"/>
        </w:rPr>
        <w:t>, ПЦР РНК ВГС (при положительном анти-</w:t>
      </w:r>
      <w:r w:rsidRPr="00365626">
        <w:rPr>
          <w:szCs w:val="24"/>
          <w:lang w:val="en-US"/>
        </w:rPr>
        <w:t>HCV</w:t>
      </w:r>
      <w:r w:rsidRPr="00365626">
        <w:rPr>
          <w:szCs w:val="24"/>
        </w:rPr>
        <w:t>).</w:t>
      </w:r>
    </w:p>
    <w:p w14:paraId="6CF11C0D" w14:textId="77777777" w:rsidR="002701C3" w:rsidRDefault="002701C3" w:rsidP="002701C3">
      <w:pPr>
        <w:rPr>
          <w:i/>
          <w:szCs w:val="24"/>
        </w:rPr>
      </w:pPr>
    </w:p>
    <w:p w14:paraId="78CE02D3" w14:textId="63AC4B9A" w:rsidR="002701C3" w:rsidRPr="00365626" w:rsidRDefault="002701C3" w:rsidP="002701C3">
      <w:pPr>
        <w:rPr>
          <w:i/>
          <w:szCs w:val="24"/>
        </w:rPr>
      </w:pPr>
      <w:r w:rsidRPr="00365626">
        <w:rPr>
          <w:i/>
          <w:szCs w:val="24"/>
        </w:rPr>
        <w:t>Инструментальные исследования</w:t>
      </w:r>
      <w:r>
        <w:rPr>
          <w:szCs w:val="24"/>
        </w:rPr>
        <w:fldChar w:fldCharType="begin" w:fldLock="1"/>
      </w:r>
      <w:r w:rsidR="0021488B">
        <w:rPr>
          <w:szCs w:val="24"/>
        </w:rPr>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[228]","plainTextFormattedCitation":"[228]","previouslyFormattedCitation":"[228]"},"properties":{"noteIndex":0},"schema":"https://github.com/citation-style-language/schema/raw/master/csl-citation.json"}</w:instrText>
      </w:r>
      <w:r>
        <w:rPr>
          <w:szCs w:val="24"/>
        </w:rPr>
        <w:fldChar w:fldCharType="separate"/>
      </w:r>
      <w:r w:rsidRPr="002701C3">
        <w:rPr>
          <w:noProof/>
          <w:szCs w:val="24"/>
        </w:rPr>
        <w:t>[228]</w:t>
      </w:r>
      <w:r>
        <w:rPr>
          <w:szCs w:val="24"/>
        </w:rPr>
        <w:fldChar w:fldCharType="end"/>
      </w:r>
      <w:r w:rsidRPr="00365626">
        <w:rPr>
          <w:i/>
          <w:szCs w:val="24"/>
        </w:rPr>
        <w:t xml:space="preserve">: </w:t>
      </w:r>
    </w:p>
    <w:p w14:paraId="124F4C45" w14:textId="77777777" w:rsidR="002701C3" w:rsidRPr="00365626" w:rsidRDefault="002701C3" w:rsidP="0091350E">
      <w:pPr>
        <w:pStyle w:val="aff"/>
        <w:numPr>
          <w:ilvl w:val="0"/>
          <w:numId w:val="159"/>
        </w:numPr>
        <w:contextualSpacing/>
        <w:rPr>
          <w:szCs w:val="24"/>
        </w:rPr>
      </w:pPr>
      <w:r w:rsidRPr="00365626">
        <w:rPr>
          <w:szCs w:val="24"/>
        </w:rPr>
        <w:t>ультразвуковое исследование (УЗИ) брюшной полости и малого таза: при выявлении сопутствующей патологии, требующей хирургического лечения (желчно-каменная болезнь, гинекологическая патология, грыжи передней брюшной стенки) целесообразно проведение сочетанного оперативного вмешательства;</w:t>
      </w:r>
    </w:p>
    <w:p w14:paraId="072DB109" w14:textId="77777777" w:rsidR="002701C3" w:rsidRPr="00365626" w:rsidRDefault="002701C3" w:rsidP="0091350E">
      <w:pPr>
        <w:pStyle w:val="aff"/>
        <w:numPr>
          <w:ilvl w:val="0"/>
          <w:numId w:val="159"/>
        </w:numPr>
        <w:contextualSpacing/>
        <w:rPr>
          <w:color w:val="000000" w:themeColor="text1"/>
          <w:szCs w:val="24"/>
        </w:rPr>
      </w:pPr>
      <w:r w:rsidRPr="00365626">
        <w:rPr>
          <w:szCs w:val="24"/>
        </w:rPr>
        <w:t xml:space="preserve">эзофагодуоденоскопия (ЭГДС) </w:t>
      </w:r>
      <w:r w:rsidRPr="00365626">
        <w:rPr>
          <w:color w:val="000000" w:themeColor="text1"/>
          <w:szCs w:val="24"/>
        </w:rPr>
        <w:t xml:space="preserve">(при наличии показаний - выполнение биопсии </w:t>
      </w:r>
      <w:r w:rsidRPr="00365626">
        <w:rPr>
          <w:szCs w:val="24"/>
        </w:rPr>
        <w:t xml:space="preserve">и комплексного исследования биоптата (цитологическое,  гистологическое, иммуногистохимическое, молекулярное, бактериологическое, цитогенетическое и т.д.), а так же </w:t>
      </w:r>
      <w:r w:rsidRPr="00365626">
        <w:rPr>
          <w:color w:val="000000" w:themeColor="text1"/>
          <w:szCs w:val="24"/>
        </w:rPr>
        <w:t xml:space="preserve">уреазного теста на </w:t>
      </w:r>
      <w:r w:rsidRPr="00365626">
        <w:rPr>
          <w:szCs w:val="24"/>
          <w:lang w:val="en-US"/>
        </w:rPr>
        <w:t>Helicobacter</w:t>
      </w:r>
      <w:r w:rsidRPr="00365626">
        <w:rPr>
          <w:szCs w:val="24"/>
        </w:rPr>
        <w:t xml:space="preserve"> </w:t>
      </w:r>
      <w:r w:rsidRPr="00365626">
        <w:rPr>
          <w:szCs w:val="24"/>
          <w:lang w:val="en-US"/>
        </w:rPr>
        <w:t>Pylori</w:t>
      </w:r>
      <w:r w:rsidRPr="00365626">
        <w:rPr>
          <w:color w:val="000000" w:themeColor="text1"/>
          <w:szCs w:val="24"/>
        </w:rPr>
        <w:t>);</w:t>
      </w:r>
    </w:p>
    <w:p w14:paraId="7EED620F" w14:textId="77777777" w:rsidR="002701C3" w:rsidRPr="00365626" w:rsidRDefault="002701C3" w:rsidP="0091350E">
      <w:pPr>
        <w:pStyle w:val="aff"/>
        <w:numPr>
          <w:ilvl w:val="0"/>
          <w:numId w:val="159"/>
        </w:numPr>
        <w:contextualSpacing/>
        <w:rPr>
          <w:color w:val="000000" w:themeColor="text1"/>
          <w:szCs w:val="24"/>
        </w:rPr>
      </w:pPr>
      <w:r w:rsidRPr="00365626">
        <w:rPr>
          <w:color w:val="000000" w:themeColor="text1"/>
          <w:szCs w:val="24"/>
        </w:rPr>
        <w:t>колоноскопия (при наличии показаний - выполнение биопсии</w:t>
      </w:r>
      <w:r w:rsidRPr="00365626">
        <w:rPr>
          <w:szCs w:val="24"/>
        </w:rPr>
        <w:t xml:space="preserve"> и комплексного исследования боптата</w:t>
      </w:r>
      <w:r w:rsidRPr="00365626">
        <w:rPr>
          <w:strike/>
          <w:szCs w:val="24"/>
        </w:rPr>
        <w:t>та</w:t>
      </w:r>
      <w:r w:rsidRPr="00365626">
        <w:rPr>
          <w:szCs w:val="24"/>
        </w:rPr>
        <w:t xml:space="preserve"> (цитологическое,  гистологическое, иммуногистохимическое, молекулярное, бактериологическое, цитогенетическое и т.д.</w:t>
      </w:r>
      <w:r w:rsidRPr="00365626">
        <w:rPr>
          <w:color w:val="000000" w:themeColor="text1"/>
          <w:szCs w:val="24"/>
        </w:rPr>
        <w:t>);</w:t>
      </w:r>
    </w:p>
    <w:p w14:paraId="73D7D7B3" w14:textId="77777777" w:rsidR="002701C3" w:rsidRPr="00365626" w:rsidRDefault="002701C3" w:rsidP="0091350E">
      <w:pPr>
        <w:pStyle w:val="aff"/>
        <w:numPr>
          <w:ilvl w:val="0"/>
          <w:numId w:val="159"/>
        </w:numPr>
        <w:contextualSpacing/>
        <w:rPr>
          <w:szCs w:val="24"/>
        </w:rPr>
      </w:pPr>
      <w:r w:rsidRPr="00365626">
        <w:rPr>
          <w:szCs w:val="24"/>
        </w:rPr>
        <w:t>компьютерная томография (КТ) грудной клетки;</w:t>
      </w:r>
    </w:p>
    <w:p w14:paraId="3A7AF0C7" w14:textId="77777777" w:rsidR="002701C3" w:rsidRPr="00365626" w:rsidRDefault="002701C3" w:rsidP="0091350E">
      <w:pPr>
        <w:pStyle w:val="aff"/>
        <w:numPr>
          <w:ilvl w:val="0"/>
          <w:numId w:val="159"/>
        </w:numPr>
        <w:contextualSpacing/>
        <w:rPr>
          <w:szCs w:val="24"/>
        </w:rPr>
      </w:pPr>
      <w:r w:rsidRPr="00365626">
        <w:rPr>
          <w:szCs w:val="24"/>
        </w:rPr>
        <w:t>КТ брюшной полости с пероральным и болюсным контрастным усилением и/или магнитно-резонансная томография (МРТ) брюшной полости для исключения сопутствующей, в том числе онкологической патологии и выявления добавочных селезенок.</w:t>
      </w:r>
    </w:p>
    <w:p w14:paraId="1973DAC9" w14:textId="77777777" w:rsidR="002701C3" w:rsidRDefault="002701C3" w:rsidP="002701C3">
      <w:pPr>
        <w:rPr>
          <w:i/>
          <w:szCs w:val="24"/>
        </w:rPr>
      </w:pPr>
    </w:p>
    <w:p w14:paraId="0C9D185B" w14:textId="77777777" w:rsidR="002701C3" w:rsidRPr="00365626" w:rsidRDefault="002701C3" w:rsidP="002701C3">
      <w:pPr>
        <w:rPr>
          <w:i/>
          <w:szCs w:val="24"/>
        </w:rPr>
      </w:pPr>
      <w:r w:rsidRPr="00365626">
        <w:rPr>
          <w:i/>
          <w:szCs w:val="24"/>
        </w:rPr>
        <w:t xml:space="preserve">Консультации специалистов: </w:t>
      </w:r>
    </w:p>
    <w:p w14:paraId="01BC0B8B" w14:textId="77777777" w:rsidR="002701C3" w:rsidRPr="00365626" w:rsidRDefault="002701C3" w:rsidP="0091350E">
      <w:pPr>
        <w:pStyle w:val="aff"/>
        <w:numPr>
          <w:ilvl w:val="0"/>
          <w:numId w:val="163"/>
        </w:numPr>
        <w:contextualSpacing/>
        <w:rPr>
          <w:szCs w:val="24"/>
        </w:rPr>
      </w:pPr>
      <w:r w:rsidRPr="00365626">
        <w:rPr>
          <w:szCs w:val="24"/>
        </w:rPr>
        <w:t>гинеколог (у женщин);</w:t>
      </w:r>
    </w:p>
    <w:p w14:paraId="2613749E" w14:textId="77777777" w:rsidR="002701C3" w:rsidRPr="00365626" w:rsidRDefault="002701C3" w:rsidP="0091350E">
      <w:pPr>
        <w:pStyle w:val="aff"/>
        <w:numPr>
          <w:ilvl w:val="0"/>
          <w:numId w:val="163"/>
        </w:numPr>
        <w:contextualSpacing/>
        <w:rPr>
          <w:szCs w:val="24"/>
        </w:rPr>
      </w:pPr>
      <w:r w:rsidRPr="00365626">
        <w:rPr>
          <w:szCs w:val="24"/>
        </w:rPr>
        <w:t>анестезиолог-реаниматолог;</w:t>
      </w:r>
    </w:p>
    <w:p w14:paraId="536D8FD1" w14:textId="77777777" w:rsidR="002701C3" w:rsidRPr="00365626" w:rsidRDefault="002701C3" w:rsidP="0091350E">
      <w:pPr>
        <w:pStyle w:val="aff"/>
        <w:numPr>
          <w:ilvl w:val="0"/>
          <w:numId w:val="163"/>
        </w:numPr>
        <w:contextualSpacing/>
        <w:rPr>
          <w:szCs w:val="24"/>
        </w:rPr>
      </w:pPr>
      <w:r w:rsidRPr="00365626">
        <w:rPr>
          <w:szCs w:val="24"/>
        </w:rPr>
        <w:t>эндокринолог (при наличии сопутствующей патологии);</w:t>
      </w:r>
    </w:p>
    <w:p w14:paraId="2D331B2B" w14:textId="77777777" w:rsidR="002701C3" w:rsidRPr="00365626" w:rsidRDefault="002701C3" w:rsidP="0091350E">
      <w:pPr>
        <w:pStyle w:val="aff"/>
        <w:numPr>
          <w:ilvl w:val="0"/>
          <w:numId w:val="163"/>
        </w:numPr>
        <w:contextualSpacing/>
        <w:rPr>
          <w:szCs w:val="24"/>
        </w:rPr>
      </w:pPr>
      <w:r w:rsidRPr="00365626">
        <w:rPr>
          <w:szCs w:val="24"/>
        </w:rPr>
        <w:t>кардиолог (при наличии сопутствующей патологии);</w:t>
      </w:r>
    </w:p>
    <w:p w14:paraId="1CA61D16" w14:textId="77777777" w:rsidR="002701C3" w:rsidRPr="00365626" w:rsidRDefault="002701C3" w:rsidP="0091350E">
      <w:pPr>
        <w:pStyle w:val="aff"/>
        <w:numPr>
          <w:ilvl w:val="0"/>
          <w:numId w:val="163"/>
        </w:numPr>
        <w:contextualSpacing/>
        <w:rPr>
          <w:szCs w:val="24"/>
        </w:rPr>
      </w:pPr>
      <w:r w:rsidRPr="00365626">
        <w:rPr>
          <w:szCs w:val="24"/>
        </w:rPr>
        <w:t>невролог (при наличии сопутствующей патологии);</w:t>
      </w:r>
    </w:p>
    <w:p w14:paraId="2BB68E04" w14:textId="77777777" w:rsidR="002701C3" w:rsidRPr="00365626" w:rsidRDefault="002701C3" w:rsidP="0091350E">
      <w:pPr>
        <w:pStyle w:val="aff"/>
        <w:numPr>
          <w:ilvl w:val="0"/>
          <w:numId w:val="163"/>
        </w:numPr>
        <w:contextualSpacing/>
        <w:rPr>
          <w:szCs w:val="24"/>
        </w:rPr>
      </w:pPr>
      <w:r w:rsidRPr="00365626">
        <w:rPr>
          <w:szCs w:val="24"/>
        </w:rPr>
        <w:t>проктолог (при наличии сопутствующей патологии);</w:t>
      </w:r>
    </w:p>
    <w:p w14:paraId="1572EBB3" w14:textId="77777777" w:rsidR="002701C3" w:rsidRPr="00365626" w:rsidRDefault="002701C3" w:rsidP="0091350E">
      <w:pPr>
        <w:pStyle w:val="aff"/>
        <w:numPr>
          <w:ilvl w:val="0"/>
          <w:numId w:val="163"/>
        </w:numPr>
        <w:contextualSpacing/>
        <w:rPr>
          <w:szCs w:val="24"/>
        </w:rPr>
      </w:pPr>
      <w:r w:rsidRPr="00365626">
        <w:rPr>
          <w:szCs w:val="24"/>
        </w:rPr>
        <w:t>уролог (при наличии сопутствующей патологии).</w:t>
      </w:r>
    </w:p>
    <w:p w14:paraId="74C8E700" w14:textId="77777777" w:rsidR="002701C3" w:rsidRPr="00365626" w:rsidRDefault="002701C3" w:rsidP="002701C3">
      <w:pPr>
        <w:pStyle w:val="aff"/>
        <w:rPr>
          <w:b/>
          <w:szCs w:val="24"/>
        </w:rPr>
      </w:pPr>
    </w:p>
    <w:p w14:paraId="5A52D4F3" w14:textId="77777777" w:rsidR="002701C3" w:rsidRPr="00740D71" w:rsidRDefault="002701C3" w:rsidP="002701C3">
      <w:pPr>
        <w:rPr>
          <w:bCs/>
          <w:i/>
          <w:iCs/>
          <w:szCs w:val="24"/>
          <w:u w:val="single"/>
        </w:rPr>
      </w:pPr>
      <w:r w:rsidRPr="00740D71">
        <w:rPr>
          <w:bCs/>
          <w:i/>
          <w:iCs/>
          <w:szCs w:val="24"/>
          <w:u w:val="single"/>
        </w:rPr>
        <w:t>Спленэктомия</w:t>
      </w:r>
    </w:p>
    <w:p w14:paraId="36C0421F" w14:textId="0F024EC3" w:rsidR="002701C3" w:rsidRPr="00CC2C88" w:rsidRDefault="002701C3" w:rsidP="002701C3">
      <w:pPr>
        <w:rPr>
          <w:i/>
          <w:szCs w:val="24"/>
        </w:rPr>
      </w:pPr>
      <w:r w:rsidRPr="00365626">
        <w:rPr>
          <w:i/>
          <w:szCs w:val="24"/>
        </w:rPr>
        <w:t>Планирование спленэктоми</w:t>
      </w:r>
      <w:r>
        <w:rPr>
          <w:i/>
          <w:szCs w:val="24"/>
        </w:rPr>
        <w:t>и</w:t>
      </w:r>
      <w:r w:rsidRPr="00CC2C88">
        <w:rPr>
          <w:i/>
          <w:szCs w:val="24"/>
        </w:rPr>
        <w:t xml:space="preserve"> </w:t>
      </w:r>
      <w:r>
        <w:rPr>
          <w:szCs w:val="24"/>
        </w:rPr>
        <w:fldChar w:fldCharType="begin" w:fldLock="1"/>
      </w:r>
      <w:r w:rsidR="0021488B">
        <w:rPr>
          <w:szCs w:val="24"/>
        </w:rPr>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[228]","plainTextFormattedCitation":"[228]","previouslyFormattedCitation":"[228]"},"properties":{"noteIndex":0},"schema":"https://github.com/citation-style-language/schema/raw/master/csl-citation.json"}</w:instrText>
      </w:r>
      <w:r>
        <w:rPr>
          <w:szCs w:val="24"/>
        </w:rPr>
        <w:fldChar w:fldCharType="separate"/>
      </w:r>
      <w:r w:rsidRPr="002701C3">
        <w:rPr>
          <w:noProof/>
          <w:szCs w:val="24"/>
        </w:rPr>
        <w:t>[228]</w:t>
      </w:r>
      <w:r>
        <w:rPr>
          <w:szCs w:val="24"/>
        </w:rPr>
        <w:fldChar w:fldCharType="end"/>
      </w:r>
    </w:p>
    <w:p w14:paraId="08B582EC" w14:textId="77777777" w:rsidR="002701C3" w:rsidRPr="00365626" w:rsidRDefault="002701C3" w:rsidP="002701C3">
      <w:pPr>
        <w:rPr>
          <w:szCs w:val="24"/>
        </w:rPr>
      </w:pPr>
      <w:r w:rsidRPr="00365626">
        <w:rPr>
          <w:szCs w:val="24"/>
        </w:rPr>
        <w:t>Гематолог определяет показания к спленэктомии.</w:t>
      </w:r>
    </w:p>
    <w:p w14:paraId="366C3B2D" w14:textId="77777777" w:rsidR="002701C3" w:rsidRPr="00365626" w:rsidRDefault="002701C3" w:rsidP="002701C3">
      <w:pPr>
        <w:rPr>
          <w:szCs w:val="24"/>
        </w:rPr>
      </w:pPr>
      <w:r w:rsidRPr="00365626">
        <w:rPr>
          <w:szCs w:val="24"/>
        </w:rPr>
        <w:t>Возможность и сроки выполнения оперативного вмешательства, необходимые мероприятия по подготовке к операции, а также тактика ведения больного до и после оперативного вмешательства должны определяться совместно гематологом, хирургом, анестезиологом-реаниматологом и  трансфузиологом.</w:t>
      </w:r>
    </w:p>
    <w:p w14:paraId="712703F6" w14:textId="77777777" w:rsidR="002701C3" w:rsidRPr="00365626" w:rsidRDefault="002701C3" w:rsidP="002701C3">
      <w:pPr>
        <w:rPr>
          <w:szCs w:val="24"/>
        </w:rPr>
      </w:pPr>
      <w:r w:rsidRPr="00365626">
        <w:rPr>
          <w:szCs w:val="24"/>
        </w:rPr>
        <w:t xml:space="preserve">Целесообразна вакцинация против </w:t>
      </w:r>
      <w:r w:rsidRPr="00365626">
        <w:rPr>
          <w:rFonts w:eastAsia="Arial Unicode MS"/>
          <w:i/>
          <w:szCs w:val="24"/>
          <w:lang w:val="en-US"/>
        </w:rPr>
        <w:t>Streptococcus</w:t>
      </w:r>
      <w:r w:rsidRPr="00365626">
        <w:rPr>
          <w:rFonts w:eastAsia="Arial Unicode MS"/>
          <w:i/>
          <w:szCs w:val="24"/>
        </w:rPr>
        <w:t xml:space="preserve"> </w:t>
      </w:r>
      <w:r w:rsidRPr="00365626">
        <w:rPr>
          <w:rFonts w:eastAsia="Arial Unicode MS"/>
          <w:i/>
          <w:szCs w:val="24"/>
          <w:lang w:val="en-US"/>
        </w:rPr>
        <w:t>pneumoniae</w:t>
      </w:r>
      <w:r w:rsidRPr="00365626">
        <w:rPr>
          <w:rFonts w:eastAsia="Arial Unicode MS"/>
          <w:i/>
          <w:szCs w:val="24"/>
        </w:rPr>
        <w:t xml:space="preserve">, </w:t>
      </w:r>
      <w:r w:rsidRPr="00365626">
        <w:rPr>
          <w:rFonts w:eastAsia="Arial Unicode MS"/>
          <w:i/>
          <w:szCs w:val="24"/>
          <w:lang w:val="en-US"/>
        </w:rPr>
        <w:t>Neisseria</w:t>
      </w:r>
      <w:r w:rsidRPr="00365626">
        <w:rPr>
          <w:rFonts w:eastAsia="Arial Unicode MS"/>
          <w:i/>
          <w:szCs w:val="24"/>
        </w:rPr>
        <w:t xml:space="preserve"> </w:t>
      </w:r>
      <w:r w:rsidRPr="00365626">
        <w:rPr>
          <w:rFonts w:eastAsia="Arial Unicode MS"/>
          <w:i/>
          <w:szCs w:val="24"/>
          <w:lang w:val="en-US"/>
        </w:rPr>
        <w:t>meningitidis</w:t>
      </w:r>
      <w:r w:rsidRPr="00365626">
        <w:rPr>
          <w:rFonts w:eastAsia="Arial Unicode MS"/>
          <w:i/>
          <w:szCs w:val="24"/>
        </w:rPr>
        <w:t xml:space="preserve"> и </w:t>
      </w:r>
      <w:r w:rsidRPr="00365626">
        <w:rPr>
          <w:rFonts w:eastAsia="Arial Unicode MS"/>
          <w:i/>
          <w:szCs w:val="24"/>
          <w:lang w:val="en-US"/>
        </w:rPr>
        <w:t>Haemophilus</w:t>
      </w:r>
      <w:r w:rsidRPr="00365626">
        <w:rPr>
          <w:rFonts w:eastAsia="Arial Unicode MS"/>
          <w:i/>
          <w:szCs w:val="24"/>
        </w:rPr>
        <w:t xml:space="preserve"> </w:t>
      </w:r>
      <w:r w:rsidRPr="00365626">
        <w:rPr>
          <w:rFonts w:eastAsia="Arial Unicode MS"/>
          <w:i/>
          <w:szCs w:val="24"/>
          <w:lang w:val="en-US"/>
        </w:rPr>
        <w:t>influenzae</w:t>
      </w:r>
      <w:r w:rsidRPr="00365626">
        <w:rPr>
          <w:rFonts w:eastAsia="Arial Unicode MS"/>
          <w:szCs w:val="24"/>
        </w:rPr>
        <w:t xml:space="preserve"> </w:t>
      </w:r>
      <w:r w:rsidRPr="00365626">
        <w:rPr>
          <w:szCs w:val="24"/>
        </w:rPr>
        <w:t>при отсутствии противопоказаний как минимум за 2 недели до оперативного вмешательства.</w:t>
      </w:r>
    </w:p>
    <w:p w14:paraId="00CFF3AD" w14:textId="77777777" w:rsidR="002701C3" w:rsidRDefault="002701C3" w:rsidP="002701C3">
      <w:pPr>
        <w:rPr>
          <w:i/>
          <w:szCs w:val="24"/>
        </w:rPr>
      </w:pPr>
    </w:p>
    <w:p w14:paraId="44C3D856" w14:textId="7D1024FD" w:rsidR="002701C3" w:rsidRPr="00740D71" w:rsidRDefault="002701C3" w:rsidP="002701C3">
      <w:pPr>
        <w:rPr>
          <w:i/>
          <w:szCs w:val="24"/>
        </w:rPr>
      </w:pPr>
      <w:r w:rsidRPr="00740D71">
        <w:rPr>
          <w:i/>
          <w:szCs w:val="24"/>
        </w:rPr>
        <w:t xml:space="preserve"> Подготовка к спленэктомии</w:t>
      </w:r>
      <w:r>
        <w:rPr>
          <w:i/>
          <w:szCs w:val="24"/>
        </w:rPr>
        <w:t xml:space="preserve"> </w:t>
      </w:r>
      <w:r>
        <w:rPr>
          <w:szCs w:val="24"/>
        </w:rPr>
        <w:fldChar w:fldCharType="begin" w:fldLock="1"/>
      </w:r>
      <w:r w:rsidR="0021488B">
        <w:rPr>
          <w:szCs w:val="24"/>
        </w:rPr>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[228]","plainTextFormattedCitation":"[228]","previouslyFormattedCitation":"[228]"},"properties":{"noteIndex":0},"schema":"https://github.com/citation-style-language/schema/raw/master/csl-citation.json"}</w:instrText>
      </w:r>
      <w:r>
        <w:rPr>
          <w:szCs w:val="24"/>
        </w:rPr>
        <w:fldChar w:fldCharType="separate"/>
      </w:r>
      <w:r w:rsidRPr="002701C3">
        <w:rPr>
          <w:noProof/>
          <w:szCs w:val="24"/>
        </w:rPr>
        <w:t>[228]</w:t>
      </w:r>
      <w:r>
        <w:rPr>
          <w:szCs w:val="24"/>
        </w:rPr>
        <w:fldChar w:fldCharType="end"/>
      </w:r>
    </w:p>
    <w:p w14:paraId="284F46B1" w14:textId="77777777" w:rsidR="002701C3" w:rsidRPr="00740D71" w:rsidRDefault="002701C3" w:rsidP="002701C3">
      <w:pPr>
        <w:ind w:firstLine="709"/>
        <w:rPr>
          <w:iCs/>
          <w:szCs w:val="24"/>
          <w:u w:val="single"/>
        </w:rPr>
      </w:pPr>
      <w:r w:rsidRPr="00740D71">
        <w:rPr>
          <w:iCs/>
          <w:szCs w:val="24"/>
          <w:u w:val="single"/>
        </w:rPr>
        <w:t>Трансфузионная тактика:</w:t>
      </w:r>
    </w:p>
    <w:p w14:paraId="0457C561" w14:textId="77777777" w:rsidR="002701C3" w:rsidRPr="00365626" w:rsidRDefault="002701C3" w:rsidP="002701C3">
      <w:pPr>
        <w:ind w:firstLine="709"/>
        <w:rPr>
          <w:szCs w:val="24"/>
        </w:rPr>
      </w:pPr>
      <w:r w:rsidRPr="00365626">
        <w:rPr>
          <w:szCs w:val="24"/>
        </w:rPr>
        <w:t xml:space="preserve">При глубокой анемии показана трансфузия эритроцитсодержащих компонентов крови (ЭСК) с целевым уровнем </w:t>
      </w:r>
      <w:r w:rsidRPr="00365626">
        <w:rPr>
          <w:szCs w:val="24"/>
          <w:lang w:val="en-US"/>
        </w:rPr>
        <w:t>Hb</w:t>
      </w:r>
      <w:r w:rsidRPr="00365626">
        <w:rPr>
          <w:szCs w:val="24"/>
        </w:rPr>
        <w:t xml:space="preserve"> более 80 г/л. При невозможности компенсации анемии (острый гемолиз, трудности подбора ЭСК) выполнение спленэктомии возможно при более низких показателях гемоглобина.</w:t>
      </w:r>
    </w:p>
    <w:p w14:paraId="363BBBE2" w14:textId="77777777" w:rsidR="002701C3" w:rsidRPr="00365626" w:rsidRDefault="002701C3" w:rsidP="002701C3">
      <w:pPr>
        <w:ind w:firstLine="709"/>
        <w:rPr>
          <w:szCs w:val="24"/>
        </w:rPr>
      </w:pPr>
      <w:r w:rsidRPr="00365626">
        <w:rPr>
          <w:szCs w:val="24"/>
        </w:rPr>
        <w:t>Глубокая тромбоцитопения менее 20х10</w:t>
      </w:r>
      <w:r w:rsidRPr="00365626">
        <w:rPr>
          <w:szCs w:val="24"/>
          <w:vertAlign w:val="superscript"/>
        </w:rPr>
        <w:t>9</w:t>
      </w:r>
      <w:r w:rsidRPr="00365626">
        <w:rPr>
          <w:szCs w:val="24"/>
        </w:rPr>
        <w:t xml:space="preserve">/л не является противопоказанием для выполнения спленэктомии. </w:t>
      </w:r>
    </w:p>
    <w:p w14:paraId="2CA395EF" w14:textId="77777777" w:rsidR="002701C3" w:rsidRPr="00365626" w:rsidRDefault="002701C3" w:rsidP="002701C3">
      <w:pPr>
        <w:ind w:firstLine="709"/>
        <w:rPr>
          <w:szCs w:val="24"/>
        </w:rPr>
      </w:pPr>
      <w:r w:rsidRPr="00365626">
        <w:rPr>
          <w:szCs w:val="24"/>
        </w:rPr>
        <w:t>При первичной иммунной тромбоциопении до спленэктомии с целью повышения количества тромбоцитов  возможно проведение пульс-терапии глюкокортикостероидами (ГКС), внутривенным иммуноглобулином (ВВИГ), агонистами тромбопоэтина (ромиплостим).</w:t>
      </w:r>
    </w:p>
    <w:p w14:paraId="1ABBBA95" w14:textId="77777777" w:rsidR="002701C3" w:rsidRPr="00365626" w:rsidRDefault="002701C3" w:rsidP="002701C3">
      <w:pPr>
        <w:ind w:firstLine="709"/>
        <w:rPr>
          <w:szCs w:val="24"/>
        </w:rPr>
      </w:pPr>
      <w:r w:rsidRPr="00365626">
        <w:rPr>
          <w:szCs w:val="24"/>
        </w:rPr>
        <w:t>При тромбоцитопении вследствие костно-мозговой недостаточности (апластическая анемия, МДС, первичный миелофиброз и т.д.) – трансфузии концентрата тромбоцитов целесообразно проводить в день оперативного вмешательства до интубации, интраоперациионно и при необходимости – в послеоперационном периоде. Количество переливаемых доз тромбоцитов зависит от показателей гемограммы, наличия геморрагического синдрома и инфекционного процесса, а так же от основного гематологического заболевания.</w:t>
      </w:r>
    </w:p>
    <w:p w14:paraId="2EF1A7EB" w14:textId="77777777" w:rsidR="002701C3" w:rsidRPr="00365626" w:rsidRDefault="002701C3" w:rsidP="002701C3">
      <w:pPr>
        <w:ind w:firstLine="709"/>
        <w:rPr>
          <w:szCs w:val="24"/>
        </w:rPr>
      </w:pPr>
      <w:r w:rsidRPr="00365626">
        <w:rPr>
          <w:szCs w:val="24"/>
        </w:rPr>
        <w:t>Для обеспечения гемостаза достаточным является количество тромбоцитов более 50х10</w:t>
      </w:r>
      <w:r w:rsidRPr="00365626">
        <w:rPr>
          <w:szCs w:val="24"/>
          <w:vertAlign w:val="superscript"/>
        </w:rPr>
        <w:t>9</w:t>
      </w:r>
      <w:r w:rsidRPr="00365626">
        <w:rPr>
          <w:szCs w:val="24"/>
        </w:rPr>
        <w:t xml:space="preserve">/л.  При таких показателях гемограммы трансфузии концентрата тромбоцитов обычно не проводятся, за исключением массивного интраоперационного кровотечения. </w:t>
      </w:r>
    </w:p>
    <w:p w14:paraId="07C3A848" w14:textId="77777777" w:rsidR="002701C3" w:rsidRPr="00365626" w:rsidRDefault="002701C3" w:rsidP="002701C3">
      <w:pPr>
        <w:ind w:firstLine="709"/>
        <w:rPr>
          <w:color w:val="000000" w:themeColor="text1"/>
          <w:szCs w:val="24"/>
        </w:rPr>
      </w:pPr>
      <w:r w:rsidRPr="00365626">
        <w:rPr>
          <w:color w:val="000000" w:themeColor="text1"/>
          <w:szCs w:val="24"/>
        </w:rPr>
        <w:t xml:space="preserve">При дефиците плазменных факторов (протромбин, фибриноген, антитромбин </w:t>
      </w:r>
      <w:r w:rsidRPr="00365626">
        <w:rPr>
          <w:color w:val="000000" w:themeColor="text1"/>
          <w:szCs w:val="24"/>
          <w:lang w:val="en-US"/>
        </w:rPr>
        <w:t>III</w:t>
      </w:r>
      <w:r w:rsidRPr="00365626">
        <w:rPr>
          <w:color w:val="000000" w:themeColor="text1"/>
          <w:szCs w:val="24"/>
        </w:rPr>
        <w:t xml:space="preserve">) </w:t>
      </w:r>
      <w:r w:rsidRPr="00365626">
        <w:rPr>
          <w:szCs w:val="24"/>
        </w:rPr>
        <w:t xml:space="preserve">рекомендуется проведение </w:t>
      </w:r>
      <w:r w:rsidRPr="00365626">
        <w:rPr>
          <w:color w:val="000000" w:themeColor="text1"/>
          <w:szCs w:val="24"/>
        </w:rPr>
        <w:t xml:space="preserve">трансфузии </w:t>
      </w:r>
      <w:r w:rsidRPr="00365626">
        <w:rPr>
          <w:szCs w:val="24"/>
        </w:rPr>
        <w:t>свежезамороженной плазмы</w:t>
      </w:r>
      <w:r w:rsidRPr="00365626">
        <w:rPr>
          <w:color w:val="000000" w:themeColor="text1"/>
          <w:szCs w:val="24"/>
        </w:rPr>
        <w:t xml:space="preserve"> (СЗП), криопреципитата.</w:t>
      </w:r>
    </w:p>
    <w:p w14:paraId="781B97B0" w14:textId="77777777" w:rsidR="002701C3" w:rsidRPr="00365626" w:rsidRDefault="002701C3" w:rsidP="002701C3">
      <w:pPr>
        <w:ind w:firstLine="709"/>
        <w:rPr>
          <w:color w:val="000000" w:themeColor="text1"/>
          <w:szCs w:val="24"/>
        </w:rPr>
      </w:pPr>
      <w:r w:rsidRPr="00365626">
        <w:rPr>
          <w:color w:val="000000" w:themeColor="text1"/>
          <w:szCs w:val="24"/>
        </w:rPr>
        <w:t>При дефиците витамин К-зависимых факторов (протромбин, факторы VII, IX, X, протеины С и S) рекомендуется предоперационная терапия препаратом витамина К с выполнением повторного коагулогического исследования.</w:t>
      </w:r>
    </w:p>
    <w:p w14:paraId="55972A5B" w14:textId="77777777" w:rsidR="002701C3" w:rsidRPr="006D3C55" w:rsidRDefault="002701C3" w:rsidP="002701C3">
      <w:pPr>
        <w:ind w:firstLine="708"/>
        <w:rPr>
          <w:iCs/>
          <w:szCs w:val="24"/>
          <w:u w:val="single"/>
        </w:rPr>
      </w:pPr>
      <w:r w:rsidRPr="006D3C55">
        <w:rPr>
          <w:iCs/>
          <w:szCs w:val="24"/>
          <w:u w:val="single"/>
        </w:rPr>
        <w:t>Профилактика тромботических осложнений:</w:t>
      </w:r>
    </w:p>
    <w:p w14:paraId="2340C2CC" w14:textId="77777777" w:rsidR="002701C3" w:rsidRPr="00365626" w:rsidRDefault="002701C3" w:rsidP="002701C3">
      <w:pPr>
        <w:ind w:firstLine="709"/>
        <w:rPr>
          <w:szCs w:val="24"/>
        </w:rPr>
      </w:pPr>
      <w:r w:rsidRPr="00365626">
        <w:rPr>
          <w:szCs w:val="24"/>
        </w:rPr>
        <w:t xml:space="preserve">Эластическая компрессия нижних конечностей (эластичные бинты или чулки) проводится утром в день выполнения оперативного  вмешательства. </w:t>
      </w:r>
    </w:p>
    <w:p w14:paraId="067DC881" w14:textId="77777777" w:rsidR="002701C3" w:rsidRPr="00365626" w:rsidRDefault="002701C3" w:rsidP="002701C3">
      <w:pPr>
        <w:ind w:firstLine="709"/>
        <w:rPr>
          <w:szCs w:val="24"/>
        </w:rPr>
      </w:pPr>
      <w:r w:rsidRPr="00365626">
        <w:rPr>
          <w:szCs w:val="24"/>
        </w:rPr>
        <w:t>Рекомендуется назначение НМГ в профилактических дозах  у пациентов с повышенным риском развития периоперационных тромботических осложнений.</w:t>
      </w:r>
    </w:p>
    <w:p w14:paraId="2281BFC7" w14:textId="77777777" w:rsidR="002701C3" w:rsidRPr="008271E2" w:rsidRDefault="002701C3" w:rsidP="002701C3">
      <w:pPr>
        <w:ind w:firstLine="708"/>
        <w:rPr>
          <w:iCs/>
          <w:szCs w:val="24"/>
          <w:u w:val="single"/>
        </w:rPr>
      </w:pPr>
      <w:r w:rsidRPr="008271E2">
        <w:rPr>
          <w:iCs/>
          <w:szCs w:val="24"/>
          <w:u w:val="single"/>
        </w:rPr>
        <w:t xml:space="preserve">Накануне в вечернее время проводится очистительная клизма. </w:t>
      </w:r>
    </w:p>
    <w:p w14:paraId="66A6F0A2" w14:textId="77777777" w:rsidR="002701C3" w:rsidRPr="008271E2" w:rsidRDefault="002701C3" w:rsidP="002701C3">
      <w:pPr>
        <w:ind w:firstLine="708"/>
        <w:rPr>
          <w:iCs/>
          <w:szCs w:val="24"/>
          <w:u w:val="single"/>
        </w:rPr>
      </w:pPr>
      <w:r w:rsidRPr="008271E2">
        <w:rPr>
          <w:iCs/>
          <w:szCs w:val="24"/>
          <w:u w:val="single"/>
        </w:rPr>
        <w:t>Премедикация накануне вечером по назначению анестезиолога.</w:t>
      </w:r>
    </w:p>
    <w:p w14:paraId="2D6A71A9" w14:textId="7E01C20A" w:rsidR="002701C3" w:rsidRPr="00365626" w:rsidRDefault="002701C3" w:rsidP="002701C3">
      <w:pPr>
        <w:rPr>
          <w:i/>
          <w:szCs w:val="24"/>
        </w:rPr>
      </w:pPr>
      <w:r w:rsidRPr="00365626">
        <w:rPr>
          <w:i/>
          <w:szCs w:val="24"/>
        </w:rPr>
        <w:t>Интраоперационное ведение</w:t>
      </w:r>
      <w:r>
        <w:rPr>
          <w:i/>
          <w:szCs w:val="24"/>
        </w:rPr>
        <w:t xml:space="preserve"> </w:t>
      </w:r>
      <w:r>
        <w:rPr>
          <w:szCs w:val="24"/>
        </w:rPr>
        <w:fldChar w:fldCharType="begin" w:fldLock="1"/>
      </w:r>
      <w:r w:rsidR="0021488B">
        <w:rPr>
          <w:szCs w:val="24"/>
        </w:rPr>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[228]","plainTextFormattedCitation":"[228]","previouslyFormattedCitation":"[228]"},"properties":{"noteIndex":0},"schema":"https://github.com/citation-style-language/schema/raw/master/csl-citation.json"}</w:instrText>
      </w:r>
      <w:r>
        <w:rPr>
          <w:szCs w:val="24"/>
        </w:rPr>
        <w:fldChar w:fldCharType="separate"/>
      </w:r>
      <w:r w:rsidRPr="002701C3">
        <w:rPr>
          <w:noProof/>
          <w:szCs w:val="24"/>
        </w:rPr>
        <w:t>[228]</w:t>
      </w:r>
      <w:r>
        <w:rPr>
          <w:szCs w:val="24"/>
        </w:rPr>
        <w:fldChar w:fldCharType="end"/>
      </w:r>
      <w:r w:rsidRPr="00365626">
        <w:rPr>
          <w:i/>
          <w:szCs w:val="24"/>
        </w:rPr>
        <w:t>:</w:t>
      </w:r>
    </w:p>
    <w:p w14:paraId="67972F11" w14:textId="77777777" w:rsidR="002701C3" w:rsidRPr="00365626" w:rsidRDefault="002701C3" w:rsidP="002701C3">
      <w:pPr>
        <w:ind w:firstLine="708"/>
        <w:rPr>
          <w:szCs w:val="24"/>
        </w:rPr>
      </w:pPr>
      <w:r w:rsidRPr="00365626">
        <w:rPr>
          <w:szCs w:val="24"/>
        </w:rPr>
        <w:t xml:space="preserve">Оперативное вмешательство выполняется в условиях комбинированной эндотрахеальной анестезии. На протяжении всей операции требуется глубокий уровень нейромышечного блока, что предусматривает проведение мониторинга нейромышечного проведения врачом-анестезиологом. </w:t>
      </w:r>
    </w:p>
    <w:p w14:paraId="2DF594BD" w14:textId="77777777" w:rsidR="002701C3" w:rsidRPr="00365626" w:rsidRDefault="002701C3" w:rsidP="002701C3">
      <w:pPr>
        <w:ind w:firstLine="708"/>
        <w:rPr>
          <w:szCs w:val="24"/>
        </w:rPr>
      </w:pPr>
      <w:r w:rsidRPr="00365626">
        <w:rPr>
          <w:szCs w:val="24"/>
        </w:rPr>
        <w:t>Более 80% оперируемых пациентов имеют исходные нарушения в системе гемостаза. Наиболее тяжелые отклонения требуют предоперационной подготовки компонентами крови, у остальных коррекция гемостаза выполняется непосредственно во время оперативного вмешательства.</w:t>
      </w:r>
    </w:p>
    <w:p w14:paraId="4157F046" w14:textId="77777777" w:rsidR="002701C3" w:rsidRPr="00365626" w:rsidRDefault="002701C3" w:rsidP="002701C3">
      <w:pPr>
        <w:ind w:firstLine="708"/>
        <w:rPr>
          <w:color w:val="C00000"/>
          <w:szCs w:val="24"/>
        </w:rPr>
      </w:pPr>
      <w:r w:rsidRPr="00365626">
        <w:rPr>
          <w:szCs w:val="24"/>
        </w:rPr>
        <w:t xml:space="preserve">Часто во время выполнения спленэктомии проводятся трансфузии компонентов крови (ЭСК, концентрат тромбоцитов, СЗП, криопреципитат). Объем трансфузионной терапии зависит от особенностей заболевания и течения интраоперационного периода. </w:t>
      </w:r>
      <w:r w:rsidRPr="00365626">
        <w:rPr>
          <w:color w:val="000000" w:themeColor="text1"/>
          <w:szCs w:val="24"/>
        </w:rPr>
        <w:t>При глубокой тромбоцитопении (количество тромбоцитов &lt; 20х10</w:t>
      </w:r>
      <w:r w:rsidRPr="00365626">
        <w:rPr>
          <w:color w:val="000000" w:themeColor="text1"/>
          <w:szCs w:val="24"/>
          <w:vertAlign w:val="superscript"/>
        </w:rPr>
        <w:t>9</w:t>
      </w:r>
      <w:r w:rsidRPr="00365626">
        <w:rPr>
          <w:color w:val="000000" w:themeColor="text1"/>
          <w:szCs w:val="24"/>
        </w:rPr>
        <w:t>/л) целесообразна трансфузия концентрата тромбоцитов до начала операции и интраоперационно в зависимости от выраженности геморрагического синдрома. При иммунной тромбоцитопении трансфузия концентрата тромбоцитов рутинно не применяется, ее проведение возможно только при выраженном интраоперационном геморрагическом синдроме (целесообразно сочетание с эптакогом альфа активированным).</w:t>
      </w:r>
      <w:r w:rsidRPr="00365626">
        <w:rPr>
          <w:color w:val="000000" w:themeColor="text1"/>
          <w:szCs w:val="24"/>
        </w:rPr>
        <w:tab/>
      </w:r>
    </w:p>
    <w:p w14:paraId="65A9908F" w14:textId="77777777" w:rsidR="002701C3" w:rsidRPr="00365626" w:rsidRDefault="002701C3" w:rsidP="002701C3">
      <w:pPr>
        <w:ind w:firstLine="708"/>
        <w:rPr>
          <w:szCs w:val="24"/>
        </w:rPr>
      </w:pPr>
      <w:r w:rsidRPr="00365626">
        <w:rPr>
          <w:szCs w:val="24"/>
        </w:rPr>
        <w:t>Для пациентов без глубокой цитопении  (гемоглобин более 80 г/л, количество тромбоцитов более 50х10</w:t>
      </w:r>
      <w:r w:rsidRPr="00365626">
        <w:rPr>
          <w:szCs w:val="24"/>
          <w:vertAlign w:val="superscript"/>
        </w:rPr>
        <w:t>9</w:t>
      </w:r>
      <w:r w:rsidRPr="00365626">
        <w:rPr>
          <w:szCs w:val="24"/>
        </w:rPr>
        <w:t xml:space="preserve">/л) и тяжелых коагуляционных нарушений  все вышеперечисленные компоненты крови  необходимо иметь в резерве. </w:t>
      </w:r>
    </w:p>
    <w:p w14:paraId="351BA3B4" w14:textId="77777777" w:rsidR="002701C3" w:rsidRPr="00365626" w:rsidRDefault="002701C3" w:rsidP="002701C3">
      <w:pPr>
        <w:ind w:firstLine="708"/>
        <w:rPr>
          <w:szCs w:val="24"/>
        </w:rPr>
      </w:pPr>
      <w:r w:rsidRPr="00365626">
        <w:rPr>
          <w:szCs w:val="24"/>
        </w:rPr>
        <w:t>При выполнении спленэктомии при любом гематологическом заболевании, вне зависимости от исходных показателей гемограммы и коагулограммы, целесообразно так же иметь в арсенале концентраты факторов свертывания крови:  эптаког альфа активированный (</w:t>
      </w:r>
      <w:r w:rsidRPr="00365626">
        <w:rPr>
          <w:szCs w:val="24"/>
          <w:lang w:val="en-US"/>
        </w:rPr>
        <w:t>rFVIIa</w:t>
      </w:r>
      <w:r w:rsidRPr="00365626">
        <w:rPr>
          <w:szCs w:val="24"/>
        </w:rPr>
        <w:t xml:space="preserve">) и концентрат протромбинового комплекса (факторы II, VII, IX, X или  </w:t>
      </w:r>
      <w:r w:rsidRPr="00365626">
        <w:rPr>
          <w:szCs w:val="24"/>
          <w:lang w:val="en-US"/>
        </w:rPr>
        <w:t>II</w:t>
      </w:r>
      <w:r w:rsidRPr="00365626">
        <w:rPr>
          <w:szCs w:val="24"/>
        </w:rPr>
        <w:t xml:space="preserve">, </w:t>
      </w:r>
      <w:r w:rsidRPr="00365626">
        <w:rPr>
          <w:szCs w:val="24"/>
          <w:lang w:val="en-US"/>
        </w:rPr>
        <w:t>IX</w:t>
      </w:r>
      <w:r w:rsidRPr="00365626">
        <w:rPr>
          <w:szCs w:val="24"/>
        </w:rPr>
        <w:t>,</w:t>
      </w:r>
      <w:r w:rsidRPr="00365626">
        <w:rPr>
          <w:szCs w:val="24"/>
          <w:lang w:val="en-US"/>
        </w:rPr>
        <w:t>X</w:t>
      </w:r>
      <w:r w:rsidRPr="00365626">
        <w:rPr>
          <w:szCs w:val="24"/>
        </w:rPr>
        <w:t xml:space="preserve">). </w:t>
      </w:r>
    </w:p>
    <w:p w14:paraId="0063FD7F" w14:textId="77777777" w:rsidR="002701C3" w:rsidRPr="00365626" w:rsidRDefault="002701C3" w:rsidP="002701C3">
      <w:pPr>
        <w:ind w:firstLine="708"/>
        <w:rPr>
          <w:szCs w:val="24"/>
        </w:rPr>
      </w:pPr>
      <w:r w:rsidRPr="00365626">
        <w:rPr>
          <w:szCs w:val="24"/>
        </w:rPr>
        <w:t>Для обеспечения интраоперационного гемостаза необходим мониторинг основных параметров коагулограммы, по возможности с одновременным использованием интегральных методов исследования системы гемостаза (тромбоэластография, ротационная тромбоэластометрия).</w:t>
      </w:r>
    </w:p>
    <w:p w14:paraId="1700A118" w14:textId="77777777" w:rsidR="002701C3" w:rsidRPr="00365626" w:rsidRDefault="002701C3" w:rsidP="002701C3">
      <w:pPr>
        <w:ind w:firstLine="708"/>
        <w:rPr>
          <w:szCs w:val="24"/>
        </w:rPr>
      </w:pPr>
      <w:r w:rsidRPr="00365626">
        <w:rPr>
          <w:szCs w:val="24"/>
        </w:rPr>
        <w:t>За час до начала оперативного вмешательства вводится антибактериальный препарат широкого спектра действия. Возможные варианты: цефазолин 2 г ± метронидазол 0,5 г, цефуроксим 1,5 г ± метронидазол 0,5 г амоксициллин/клавуланат 1,2 г, амоксициллин/сульбактам 3 г, эртапенем 1 г при коллонизации резистентными микроорганизмами. При аллергии к бета-лактамам: клиндамицин 0,9 г.</w:t>
      </w:r>
    </w:p>
    <w:p w14:paraId="0E30D2CA" w14:textId="77777777" w:rsidR="002701C3" w:rsidRPr="00365626" w:rsidRDefault="002701C3" w:rsidP="002701C3">
      <w:pPr>
        <w:ind w:firstLine="708"/>
        <w:rPr>
          <w:szCs w:val="24"/>
          <w:vertAlign w:val="superscript"/>
        </w:rPr>
      </w:pPr>
      <w:r w:rsidRPr="00365626">
        <w:rPr>
          <w:szCs w:val="24"/>
        </w:rPr>
        <w:t>При кровопотере более 1500 мл рекомендовано повторное введение антибактериального препарата. Далее антибактериальная терапия проводится только при выявлении инфекционных осложнений.</w:t>
      </w:r>
    </w:p>
    <w:p w14:paraId="021352A7" w14:textId="77777777" w:rsidR="002701C3" w:rsidRDefault="002701C3" w:rsidP="002701C3">
      <w:pPr>
        <w:rPr>
          <w:b/>
          <w:szCs w:val="24"/>
        </w:rPr>
      </w:pPr>
    </w:p>
    <w:p w14:paraId="3A569057" w14:textId="77777777" w:rsidR="002701C3" w:rsidRPr="008271E2" w:rsidRDefault="002701C3" w:rsidP="002701C3">
      <w:pPr>
        <w:rPr>
          <w:i/>
          <w:szCs w:val="24"/>
        </w:rPr>
      </w:pPr>
      <w:r w:rsidRPr="008271E2">
        <w:rPr>
          <w:i/>
          <w:szCs w:val="24"/>
        </w:rPr>
        <w:t>Лапароскопическая спленэктомия</w:t>
      </w:r>
    </w:p>
    <w:p w14:paraId="25EC2412" w14:textId="6B26A04F" w:rsidR="002701C3" w:rsidRPr="003D0D96" w:rsidRDefault="002701C3" w:rsidP="002701C3">
      <w:pPr>
        <w:rPr>
          <w:iCs/>
          <w:szCs w:val="24"/>
          <w:u w:val="single"/>
          <w:vertAlign w:val="superscript"/>
        </w:rPr>
      </w:pPr>
      <w:r w:rsidRPr="008271E2">
        <w:rPr>
          <w:iCs/>
          <w:szCs w:val="24"/>
          <w:u w:val="single"/>
        </w:rPr>
        <w:t>Техника выполнения вмешательства</w:t>
      </w:r>
      <w:r>
        <w:rPr>
          <w:iCs/>
          <w:szCs w:val="24"/>
          <w:u w:val="single"/>
        </w:rPr>
        <w:t xml:space="preserve"> </w:t>
      </w:r>
      <w:r>
        <w:rPr>
          <w:iCs/>
          <w:szCs w:val="24"/>
          <w:u w:val="single"/>
        </w:rPr>
        <w:fldChar w:fldCharType="begin" w:fldLock="1"/>
      </w:r>
      <w:r w:rsidR="0021488B">
        <w:rPr>
          <w:iCs/>
          <w:szCs w:val="24"/>
          <w:u w:val="single"/>
        </w:rPr>
        <w:instrText>ADDIN CSL_CITATION {"citationItems":[{"id":"ITEM-1","itemData":{"DOI":"10.1007/s00464-007-9735-5","ISSN":"09302794","PMID":"18293036","abstract":"Background: Although laparoscopic splenectomy (LS) has become the standard approach for most splenectomy cases, some areas still remain controversial. To date, the indications that preclude laparoscopic splenectomy are not clearly defined. In view of this, the European Association for Endoscopic Surgery (EAES) has developed clinical practice guidelines for LS. Methods: An international expert panel was invited to appraise the current literature and to develop evidence-based recommendations. A consensus development conference using a nominal group process convened in May 2007. Its recommendations were presented at the annual EAES congress in Athens, Greece, on 5 July 2007 for discussion and further input. After a further Delphi process between the experts, the final recommendations were agreed upon. Results: Laparoscopic splenectomy is indicated for most benign and malignant hematologic diseases independently of the patient's age and body weight. Preoperative investigation is recommended for obtaining information on spleen size and volume as well as the presence of accessory splenic tissue. Preoperative vaccination against meningococcal, pneumococcal, and Haemophilus influenzae type B infections is recommended in elective cases. Perioperative anticoagulant prophylaxis with subcutaneous heparin should be administered to all patients and prolonged anticoagulant prophylaxis to high-risk patients. The choice of approach (supine [anterior], semilateral or lateral) is left to the surgeon's preference and concomitant conditions. In cases of massive splenomegaly, the hand-assisted technique should be considered to avoid conversion to open surgery and to reduce complication rates. The expert panel still considered portal hypertension and major medical comorbidities as contraindications to LS. Conclusion: Despite a lack of level 1 evidence, LS is a safe and advantageous procedure in experienced hands that has displaced open surgery for almost all indications. To support the clinical evidence, further randomized controlled trials on different issues are mandatory. © 2008 Springer Science+Business Media, LLC.","author":[{"dropping-particle":"","family":"Habermalz","given":"B.","non-dropping-particle":"","parse-names":false,"suffix":""},{"dropping-particle":"","family":"Sauerland","given":"S.","non-dropping-particle":"","parse-names":false,"suffix":""},{"dropping-particle":"","family":"Decker","given":"G.","non-dropping-particle":"","parse-names":false,"suffix":""},{"dropping-particle":"","family":"Delaitre","given":"B.","non-dropping-particle":"","parse-names":false,"suffix":""},{"dropping-particle":"","family":"Gigot","given":"J. F.","non-dropping-particle":"","parse-names":false,"suffix":""},{"dropping-particle":"","family":"Leandros","given":"E.","non-dropping-particle":"","parse-names":false,"suffix":""},{"dropping-particle":"","family":"Lechner","given":"K.","non-dropping-particle":"","parse-names":false,"suffix":""},{"dropping-particle":"","family":"Rhodes","given":"M.","non-dropping-particle":"","parse-names":false,"suffix":""},{"dropping-particle":"","family":"Silecchia","given":"G.","non-dropping-particle":"","parse-names":false,"suffix":""},{"dropping-particle":"","family":"Szold","given":"A.","non-dropping-particle":"","parse-names":false,"suffix":""},{"dropping-particle":"","family":"Targarona","given":"E.","non-dropping-particle":"","parse-names":false,"suffix":""},{"dropping-particle":"","family":"Torelli","given":"P.","non-dropping-particle":"","parse-names":false,"suffix":""},{"dropping-particle":"","family":"Neugebauer","given":"E.","non-dropping-particle":"","parse-names":false,"suffix":""}],"container-title":"Surgical Endoscopy and Other Interventional Techniques","id":"ITEM-1","issue":"4","issued":{"date-parts":[["2008","4"]]},"page":"821-848","publisher":"Surg Endosc","title":"Laparoscopic splenectomy: The clinical practice guidelines of the European Association for Endoscopic Surgery (EAES)","type":"paper-conference","volume":"22"},"uris":["http://www.mendeley.com/documents/?uuid=983b81b2-be55-354d-9ece-4e702d6423e1"]}],"mendeley":{"formattedCitation":"[229]","plainTextFormattedCitation":"[229]","previouslyFormattedCitation":"[229]"},"properties":{"noteIndex":0},"schema":"https://github.com/citation-style-language/schema/raw/master/csl-citation.json"}</w:instrText>
      </w:r>
      <w:r>
        <w:rPr>
          <w:iCs/>
          <w:szCs w:val="24"/>
          <w:u w:val="single"/>
        </w:rPr>
        <w:fldChar w:fldCharType="separate"/>
      </w:r>
      <w:r w:rsidRPr="002701C3">
        <w:rPr>
          <w:iCs/>
          <w:noProof/>
          <w:szCs w:val="24"/>
        </w:rPr>
        <w:t>[229]</w:t>
      </w:r>
      <w:r>
        <w:rPr>
          <w:iCs/>
          <w:szCs w:val="24"/>
          <w:u w:val="single"/>
        </w:rPr>
        <w:fldChar w:fldCharType="end"/>
      </w:r>
    </w:p>
    <w:p w14:paraId="6F3087A6" w14:textId="77777777" w:rsidR="002701C3" w:rsidRPr="00365626" w:rsidRDefault="002701C3" w:rsidP="0091350E">
      <w:pPr>
        <w:pStyle w:val="aff"/>
        <w:numPr>
          <w:ilvl w:val="0"/>
          <w:numId w:val="160"/>
        </w:numPr>
        <w:contextualSpacing/>
        <w:rPr>
          <w:szCs w:val="24"/>
        </w:rPr>
      </w:pPr>
      <w:r w:rsidRPr="00365626">
        <w:rPr>
          <w:szCs w:val="24"/>
        </w:rPr>
        <w:t>Создание карбоксиперитонеума, установка первого троакара, осмотр брюшной полости.</w:t>
      </w:r>
    </w:p>
    <w:p w14:paraId="33D0E597" w14:textId="77777777" w:rsidR="002701C3" w:rsidRPr="00365626" w:rsidRDefault="002701C3" w:rsidP="0091350E">
      <w:pPr>
        <w:pStyle w:val="aff"/>
        <w:numPr>
          <w:ilvl w:val="0"/>
          <w:numId w:val="160"/>
        </w:numPr>
        <w:contextualSpacing/>
        <w:rPr>
          <w:szCs w:val="24"/>
        </w:rPr>
      </w:pPr>
      <w:r w:rsidRPr="00365626">
        <w:rPr>
          <w:szCs w:val="24"/>
        </w:rPr>
        <w:t>Позиционирование стола (положение пациента лежа на спине, позиция операционного стола: головной конец поднят на 30°, поворот направо на 20°).</w:t>
      </w:r>
    </w:p>
    <w:p w14:paraId="7004961D" w14:textId="77777777" w:rsidR="002701C3" w:rsidRPr="00365626" w:rsidRDefault="002701C3" w:rsidP="0091350E">
      <w:pPr>
        <w:pStyle w:val="aff"/>
        <w:numPr>
          <w:ilvl w:val="0"/>
          <w:numId w:val="160"/>
        </w:numPr>
        <w:contextualSpacing/>
        <w:rPr>
          <w:szCs w:val="24"/>
        </w:rPr>
      </w:pPr>
      <w:r w:rsidRPr="00365626">
        <w:rPr>
          <w:szCs w:val="24"/>
        </w:rPr>
        <w:t>Установка троакаров в зависимости от размера селезенки (расположение: 1 – выше пупка, 2 – под мечевидным отростком грудины, 3, 4 – по окружности с центром ориентировочно в области ножки селезенки. «Угол атаки» по отношению к сосудам селезенки должен быть близок к 90°, что оптимально для их выделения).</w:t>
      </w:r>
    </w:p>
    <w:p w14:paraId="7AFFC294" w14:textId="77777777" w:rsidR="002701C3" w:rsidRPr="00365626" w:rsidRDefault="002701C3" w:rsidP="0091350E">
      <w:pPr>
        <w:pStyle w:val="aff"/>
        <w:numPr>
          <w:ilvl w:val="0"/>
          <w:numId w:val="160"/>
        </w:numPr>
        <w:contextualSpacing/>
        <w:rPr>
          <w:szCs w:val="24"/>
        </w:rPr>
      </w:pPr>
      <w:r w:rsidRPr="00365626">
        <w:rPr>
          <w:szCs w:val="24"/>
        </w:rPr>
        <w:t>Мобилизация нижнего полюса селезенки</w:t>
      </w:r>
    </w:p>
    <w:p w14:paraId="40D8A545" w14:textId="77777777" w:rsidR="002701C3" w:rsidRPr="00365626" w:rsidRDefault="002701C3" w:rsidP="0091350E">
      <w:pPr>
        <w:pStyle w:val="aff"/>
        <w:numPr>
          <w:ilvl w:val="0"/>
          <w:numId w:val="160"/>
        </w:numPr>
        <w:contextualSpacing/>
        <w:rPr>
          <w:szCs w:val="24"/>
        </w:rPr>
      </w:pPr>
      <w:r w:rsidRPr="00365626">
        <w:rPr>
          <w:szCs w:val="24"/>
        </w:rPr>
        <w:t>Пересечение желудочно-селезеночной связки</w:t>
      </w:r>
    </w:p>
    <w:p w14:paraId="52492B7F" w14:textId="77777777" w:rsidR="002701C3" w:rsidRPr="00365626" w:rsidRDefault="002701C3" w:rsidP="0091350E">
      <w:pPr>
        <w:pStyle w:val="aff"/>
        <w:numPr>
          <w:ilvl w:val="0"/>
          <w:numId w:val="160"/>
        </w:numPr>
        <w:contextualSpacing/>
        <w:rPr>
          <w:szCs w:val="24"/>
        </w:rPr>
      </w:pPr>
      <w:r w:rsidRPr="00365626">
        <w:rPr>
          <w:szCs w:val="24"/>
        </w:rPr>
        <w:t>Пересечение сосудистой ножки селезенки</w:t>
      </w:r>
    </w:p>
    <w:p w14:paraId="5C168266" w14:textId="77777777" w:rsidR="002701C3" w:rsidRPr="00365626" w:rsidRDefault="002701C3" w:rsidP="0091350E">
      <w:pPr>
        <w:pStyle w:val="aff"/>
        <w:numPr>
          <w:ilvl w:val="0"/>
          <w:numId w:val="160"/>
        </w:numPr>
        <w:contextualSpacing/>
        <w:rPr>
          <w:szCs w:val="24"/>
        </w:rPr>
      </w:pPr>
      <w:r w:rsidRPr="00365626">
        <w:rPr>
          <w:szCs w:val="24"/>
        </w:rPr>
        <w:t>Мобилизация верхнего полюса селезенки</w:t>
      </w:r>
    </w:p>
    <w:p w14:paraId="66956608" w14:textId="77777777" w:rsidR="002701C3" w:rsidRPr="00365626" w:rsidRDefault="002701C3" w:rsidP="0091350E">
      <w:pPr>
        <w:pStyle w:val="aff"/>
        <w:numPr>
          <w:ilvl w:val="0"/>
          <w:numId w:val="160"/>
        </w:numPr>
        <w:contextualSpacing/>
        <w:rPr>
          <w:szCs w:val="24"/>
        </w:rPr>
      </w:pPr>
      <w:r w:rsidRPr="00365626">
        <w:rPr>
          <w:szCs w:val="24"/>
        </w:rPr>
        <w:t>Извлечение селезенки из брюшной полости</w:t>
      </w:r>
    </w:p>
    <w:p w14:paraId="0C783F17" w14:textId="77777777" w:rsidR="002701C3" w:rsidRPr="00365626" w:rsidRDefault="002701C3" w:rsidP="0091350E">
      <w:pPr>
        <w:pStyle w:val="aff"/>
        <w:numPr>
          <w:ilvl w:val="0"/>
          <w:numId w:val="160"/>
        </w:numPr>
        <w:contextualSpacing/>
        <w:rPr>
          <w:szCs w:val="24"/>
        </w:rPr>
      </w:pPr>
      <w:r w:rsidRPr="00365626">
        <w:rPr>
          <w:szCs w:val="24"/>
        </w:rPr>
        <w:t>Гемостаз и дренирование</w:t>
      </w:r>
      <w:r w:rsidRPr="00365626">
        <w:rPr>
          <w:i/>
          <w:szCs w:val="24"/>
        </w:rPr>
        <w:t xml:space="preserve">. </w:t>
      </w:r>
    </w:p>
    <w:p w14:paraId="7C190455" w14:textId="77777777" w:rsidR="002701C3" w:rsidRPr="00365626" w:rsidRDefault="002701C3" w:rsidP="002701C3">
      <w:pPr>
        <w:ind w:firstLine="709"/>
        <w:rPr>
          <w:szCs w:val="24"/>
        </w:rPr>
      </w:pPr>
      <w:r w:rsidRPr="00365626">
        <w:rPr>
          <w:szCs w:val="24"/>
        </w:rPr>
        <w:t xml:space="preserve">Для безопасного выполнения лапароскопической спленэктомии целесообразно применение электролигирующего устройства </w:t>
      </w:r>
      <w:r w:rsidRPr="00365626">
        <w:rPr>
          <w:szCs w:val="24"/>
          <w:lang w:val="en-US"/>
        </w:rPr>
        <w:t>LigaSure</w:t>
      </w:r>
      <w:r w:rsidRPr="00365626">
        <w:rPr>
          <w:szCs w:val="24"/>
        </w:rPr>
        <w:t>, позволяющего пересекать сосуды без применения клипатора.</w:t>
      </w:r>
    </w:p>
    <w:p w14:paraId="66C82CCF" w14:textId="77777777" w:rsidR="002701C3" w:rsidRPr="00365626" w:rsidRDefault="002701C3" w:rsidP="002701C3">
      <w:pPr>
        <w:ind w:firstLine="709"/>
        <w:rPr>
          <w:szCs w:val="24"/>
        </w:rPr>
      </w:pPr>
      <w:r w:rsidRPr="00365626">
        <w:rPr>
          <w:szCs w:val="24"/>
        </w:rPr>
        <w:t>Извлечение удаленной селезенки производят в контейнере. Возможно измельчение органа и извлечение из пупочного доступа. При необходимости извлечения целого органа для гистологического исследования применяют доступ по Пфанненштилю.</w:t>
      </w:r>
    </w:p>
    <w:p w14:paraId="286BEBD3" w14:textId="77777777" w:rsidR="002701C3" w:rsidRDefault="002701C3" w:rsidP="002701C3">
      <w:pPr>
        <w:rPr>
          <w:b/>
          <w:szCs w:val="24"/>
        </w:rPr>
      </w:pPr>
    </w:p>
    <w:p w14:paraId="4F42C356" w14:textId="77777777" w:rsidR="002701C3" w:rsidRPr="008271E2" w:rsidRDefault="002701C3" w:rsidP="002701C3">
      <w:pPr>
        <w:rPr>
          <w:bCs/>
          <w:i/>
          <w:iCs/>
          <w:szCs w:val="24"/>
        </w:rPr>
      </w:pPr>
      <w:r w:rsidRPr="008271E2">
        <w:rPr>
          <w:bCs/>
          <w:i/>
          <w:iCs/>
          <w:szCs w:val="24"/>
        </w:rPr>
        <w:t>Спленэктомия лапаротомным доступом</w:t>
      </w:r>
    </w:p>
    <w:p w14:paraId="4F4C913C" w14:textId="49885C3D" w:rsidR="002701C3" w:rsidRPr="008271E2" w:rsidRDefault="002701C3" w:rsidP="002701C3">
      <w:pPr>
        <w:rPr>
          <w:iCs/>
          <w:szCs w:val="24"/>
          <w:u w:val="single"/>
        </w:rPr>
      </w:pPr>
      <w:r w:rsidRPr="008271E2">
        <w:rPr>
          <w:iCs/>
          <w:szCs w:val="24"/>
          <w:u w:val="single"/>
        </w:rPr>
        <w:t>Техника выполнения вмешательства</w:t>
      </w:r>
      <w:r>
        <w:rPr>
          <w:iCs/>
          <w:szCs w:val="24"/>
          <w:u w:val="single"/>
        </w:rPr>
        <w:t xml:space="preserve"> </w:t>
      </w:r>
      <w:r>
        <w:rPr>
          <w:szCs w:val="24"/>
        </w:rPr>
        <w:fldChar w:fldCharType="begin" w:fldLock="1"/>
      </w:r>
      <w:r w:rsidR="0021488B">
        <w:rPr>
          <w:szCs w:val="24"/>
        </w:rPr>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[228]","plainTextFormattedCitation":"[228]","previouslyFormattedCitation":"[228]"},"properties":{"noteIndex":0},"schema":"https://github.com/citation-style-language/schema/raw/master/csl-citation.json"}</w:instrText>
      </w:r>
      <w:r>
        <w:rPr>
          <w:szCs w:val="24"/>
        </w:rPr>
        <w:fldChar w:fldCharType="separate"/>
      </w:r>
      <w:r w:rsidRPr="002701C3">
        <w:rPr>
          <w:noProof/>
          <w:szCs w:val="24"/>
        </w:rPr>
        <w:t>[228]</w:t>
      </w:r>
      <w:r>
        <w:rPr>
          <w:szCs w:val="24"/>
        </w:rPr>
        <w:fldChar w:fldCharType="end"/>
      </w:r>
    </w:p>
    <w:p w14:paraId="476C8037" w14:textId="77777777" w:rsidR="002701C3" w:rsidRPr="00365626" w:rsidRDefault="002701C3" w:rsidP="0091350E">
      <w:pPr>
        <w:pStyle w:val="aff"/>
        <w:numPr>
          <w:ilvl w:val="0"/>
          <w:numId w:val="162"/>
        </w:numPr>
        <w:contextualSpacing/>
        <w:rPr>
          <w:szCs w:val="24"/>
        </w:rPr>
      </w:pPr>
      <w:r w:rsidRPr="00365626">
        <w:rPr>
          <w:szCs w:val="24"/>
        </w:rPr>
        <w:t>Срединный разрез от мечевидного отростка до пупка либо косой – в левом подреберье.</w:t>
      </w:r>
    </w:p>
    <w:p w14:paraId="287F9A85" w14:textId="77777777" w:rsidR="002701C3" w:rsidRPr="00365626" w:rsidRDefault="002701C3" w:rsidP="0091350E">
      <w:pPr>
        <w:pStyle w:val="aff"/>
        <w:numPr>
          <w:ilvl w:val="0"/>
          <w:numId w:val="162"/>
        </w:numPr>
        <w:contextualSpacing/>
        <w:rPr>
          <w:szCs w:val="24"/>
        </w:rPr>
      </w:pPr>
      <w:r w:rsidRPr="00365626">
        <w:rPr>
          <w:szCs w:val="24"/>
        </w:rPr>
        <w:t>Пересечение желудочно-селезеночной связки с лигированием сосудов.</w:t>
      </w:r>
    </w:p>
    <w:p w14:paraId="4257A04E" w14:textId="77777777" w:rsidR="002701C3" w:rsidRPr="00365626" w:rsidRDefault="002701C3" w:rsidP="0091350E">
      <w:pPr>
        <w:pStyle w:val="aff"/>
        <w:numPr>
          <w:ilvl w:val="0"/>
          <w:numId w:val="162"/>
        </w:numPr>
        <w:contextualSpacing/>
        <w:rPr>
          <w:szCs w:val="24"/>
        </w:rPr>
      </w:pPr>
      <w:r w:rsidRPr="00365626">
        <w:rPr>
          <w:szCs w:val="24"/>
        </w:rPr>
        <w:t>Рассечение селезеночно-диафрагмальной связки и мобилизация верхнего полюса селезенки</w:t>
      </w:r>
    </w:p>
    <w:p w14:paraId="36ADAED2" w14:textId="77777777" w:rsidR="002701C3" w:rsidRPr="00365626" w:rsidRDefault="002701C3" w:rsidP="0091350E">
      <w:pPr>
        <w:pStyle w:val="aff"/>
        <w:numPr>
          <w:ilvl w:val="0"/>
          <w:numId w:val="161"/>
        </w:numPr>
        <w:contextualSpacing/>
        <w:rPr>
          <w:szCs w:val="24"/>
        </w:rPr>
      </w:pPr>
      <w:r w:rsidRPr="00365626">
        <w:rPr>
          <w:szCs w:val="24"/>
        </w:rPr>
        <w:t>Пересечение селезеночно</w:t>
      </w:r>
      <w:r w:rsidRPr="00365626">
        <w:rPr>
          <w:szCs w:val="24"/>
        </w:rPr>
        <w:noBreakHyphen/>
        <w:t xml:space="preserve">толстокишечной связки у нижнего полюса. </w:t>
      </w:r>
    </w:p>
    <w:p w14:paraId="40188A00" w14:textId="77777777" w:rsidR="002701C3" w:rsidRPr="00365626" w:rsidRDefault="002701C3" w:rsidP="0091350E">
      <w:pPr>
        <w:pStyle w:val="aff"/>
        <w:numPr>
          <w:ilvl w:val="0"/>
          <w:numId w:val="161"/>
        </w:numPr>
        <w:contextualSpacing/>
        <w:rPr>
          <w:szCs w:val="24"/>
        </w:rPr>
      </w:pPr>
      <w:r w:rsidRPr="00365626">
        <w:rPr>
          <w:szCs w:val="24"/>
        </w:rPr>
        <w:t>Рассечение брюшины над сосудистой ножкой и перевязка сосудов селезенки in situ. Диссектором выделяют, раздельно лигируют и пересекают либо основной ствол артерии и вены, либо 2–3 ветви сосудов. Следует избегать контакта с хвостом поджелудочной железы.</w:t>
      </w:r>
    </w:p>
    <w:p w14:paraId="0873086E" w14:textId="77777777" w:rsidR="002701C3" w:rsidRPr="00365626" w:rsidRDefault="002701C3" w:rsidP="0091350E">
      <w:pPr>
        <w:pStyle w:val="aff"/>
        <w:numPr>
          <w:ilvl w:val="0"/>
          <w:numId w:val="161"/>
        </w:numPr>
        <w:contextualSpacing/>
        <w:rPr>
          <w:szCs w:val="24"/>
        </w:rPr>
      </w:pPr>
      <w:r w:rsidRPr="00365626">
        <w:rPr>
          <w:szCs w:val="24"/>
        </w:rPr>
        <w:t>Разделение сращения наружной и задней поверхностей селезенки с париетальной брюшиной диафрагмы и боковой стенкой живота и удаление органа.</w:t>
      </w:r>
    </w:p>
    <w:p w14:paraId="4017230D" w14:textId="77777777" w:rsidR="002701C3" w:rsidRPr="00365626" w:rsidRDefault="002701C3" w:rsidP="0091350E">
      <w:pPr>
        <w:pStyle w:val="aff"/>
        <w:numPr>
          <w:ilvl w:val="0"/>
          <w:numId w:val="161"/>
        </w:numPr>
        <w:contextualSpacing/>
        <w:rPr>
          <w:szCs w:val="24"/>
        </w:rPr>
      </w:pPr>
      <w:r w:rsidRPr="00365626">
        <w:rPr>
          <w:szCs w:val="24"/>
        </w:rPr>
        <w:t>Гемостаз, дренирование брюшной полости.</w:t>
      </w:r>
    </w:p>
    <w:p w14:paraId="52A88150" w14:textId="77777777" w:rsidR="002701C3" w:rsidRPr="00365626" w:rsidRDefault="002701C3" w:rsidP="002701C3">
      <w:pPr>
        <w:ind w:firstLine="709"/>
        <w:rPr>
          <w:color w:val="C00000"/>
          <w:szCs w:val="24"/>
        </w:rPr>
      </w:pPr>
      <w:r w:rsidRPr="00365626">
        <w:rPr>
          <w:szCs w:val="24"/>
        </w:rPr>
        <w:t>При больших размерах селезенки, перисплените и портальной гипертензии оперативное вмешательство может быть травматичным, возможна одномоментная массивная кровопотеря. Это необходимо предусмотреть при планировании и проведении анестезиологического пособия, используя трансфузиологические среды, аутогемотрансфузию с помощью аппарата Cell Saver. Чрезмерная тракция при выведении селезенки в лапаротомную рану может привести к надрыву хвоста поджелудочной железы, развитию кровотечения, послеоперационного панкреатита.  При интраоперационной травме поджелудочной железы возможно применение аналогов соматостатина.</w:t>
      </w:r>
    </w:p>
    <w:p w14:paraId="2575C0DE" w14:textId="77777777" w:rsidR="002701C3" w:rsidRPr="00365626" w:rsidRDefault="002701C3" w:rsidP="002701C3">
      <w:pPr>
        <w:ind w:firstLine="709"/>
        <w:rPr>
          <w:szCs w:val="24"/>
        </w:rPr>
      </w:pPr>
      <w:r w:rsidRPr="00365626">
        <w:rPr>
          <w:szCs w:val="24"/>
        </w:rPr>
        <w:t>Дренаж в левое поддиафрагмальное пространство устанавливают при травме хвоста поджелудочной железы, так как возможно формирование панкреатической фистулы.</w:t>
      </w:r>
    </w:p>
    <w:p w14:paraId="3174C038" w14:textId="77777777" w:rsidR="002701C3" w:rsidRDefault="002701C3" w:rsidP="002701C3">
      <w:pPr>
        <w:ind w:firstLine="709"/>
        <w:rPr>
          <w:szCs w:val="24"/>
        </w:rPr>
      </w:pPr>
      <w:r w:rsidRPr="00365626">
        <w:rPr>
          <w:szCs w:val="24"/>
        </w:rPr>
        <w:t xml:space="preserve">Необходим контроль активности амилазы в отделяемом по дренажу. При повышении активности амилазы дренирование продолжают до ее нормализации или прекращения  поступления отделяемого. </w:t>
      </w:r>
    </w:p>
    <w:p w14:paraId="66FEE754" w14:textId="77777777" w:rsidR="002701C3" w:rsidRPr="00365626" w:rsidRDefault="002701C3" w:rsidP="002701C3">
      <w:pPr>
        <w:ind w:firstLine="709"/>
        <w:rPr>
          <w:szCs w:val="24"/>
        </w:rPr>
      </w:pPr>
    </w:p>
    <w:p w14:paraId="5BFD6A30" w14:textId="77777777" w:rsidR="002701C3" w:rsidRPr="008271E2" w:rsidRDefault="002701C3" w:rsidP="002701C3">
      <w:pPr>
        <w:rPr>
          <w:bCs/>
          <w:i/>
          <w:iCs/>
          <w:szCs w:val="24"/>
        </w:rPr>
      </w:pPr>
      <w:r w:rsidRPr="008271E2">
        <w:rPr>
          <w:bCs/>
          <w:i/>
          <w:iCs/>
          <w:szCs w:val="24"/>
        </w:rPr>
        <w:t>Исследование удаленной селезенки, печени и лимфатического узла</w:t>
      </w:r>
    </w:p>
    <w:p w14:paraId="23DFAA20" w14:textId="77777777" w:rsidR="002701C3" w:rsidRPr="00365626" w:rsidRDefault="002701C3" w:rsidP="002701C3">
      <w:pPr>
        <w:ind w:firstLine="708"/>
        <w:rPr>
          <w:szCs w:val="24"/>
        </w:rPr>
      </w:pPr>
      <w:r w:rsidRPr="00365626">
        <w:rPr>
          <w:szCs w:val="24"/>
        </w:rPr>
        <w:t>При выполнении спленэктомии для всех гематологических больных необходимо выполнять краевую биопсию печени для гистологической верификации патологического процесса, а так же при выявлении увеличенных лимфатических узлов и биопсию лимфатического узла.</w:t>
      </w:r>
    </w:p>
    <w:p w14:paraId="568E5CAC" w14:textId="77777777" w:rsidR="002701C3" w:rsidRPr="00365626" w:rsidRDefault="002701C3" w:rsidP="002701C3">
      <w:pPr>
        <w:ind w:firstLine="708"/>
        <w:rPr>
          <w:szCs w:val="24"/>
        </w:rPr>
      </w:pPr>
      <w:r w:rsidRPr="00365626">
        <w:rPr>
          <w:szCs w:val="24"/>
        </w:rPr>
        <w:t>Во всех случаях проводят исследования селезенки, биоптата печени и лимфатического узла:</w:t>
      </w:r>
    </w:p>
    <w:p w14:paraId="2E862487" w14:textId="77777777" w:rsidR="002701C3" w:rsidRPr="00365626" w:rsidRDefault="002701C3" w:rsidP="0091350E">
      <w:pPr>
        <w:pStyle w:val="aff"/>
        <w:numPr>
          <w:ilvl w:val="0"/>
          <w:numId w:val="166"/>
        </w:numPr>
        <w:contextualSpacing/>
        <w:rPr>
          <w:szCs w:val="24"/>
        </w:rPr>
      </w:pPr>
      <w:r w:rsidRPr="00365626">
        <w:rPr>
          <w:szCs w:val="24"/>
        </w:rPr>
        <w:t xml:space="preserve">гистологическое исследование; </w:t>
      </w:r>
    </w:p>
    <w:p w14:paraId="6B34140D" w14:textId="77777777" w:rsidR="002701C3" w:rsidRPr="00365626" w:rsidRDefault="002701C3" w:rsidP="0091350E">
      <w:pPr>
        <w:pStyle w:val="aff"/>
        <w:numPr>
          <w:ilvl w:val="0"/>
          <w:numId w:val="166"/>
        </w:numPr>
        <w:contextualSpacing/>
        <w:rPr>
          <w:szCs w:val="24"/>
        </w:rPr>
      </w:pPr>
      <w:r w:rsidRPr="00365626">
        <w:rPr>
          <w:szCs w:val="24"/>
        </w:rPr>
        <w:t>цитологическое исследование (отпечатки)</w:t>
      </w:r>
    </w:p>
    <w:p w14:paraId="47F21BBA" w14:textId="77777777" w:rsidR="002701C3" w:rsidRPr="00365626" w:rsidRDefault="002701C3" w:rsidP="002701C3">
      <w:pPr>
        <w:ind w:left="360"/>
        <w:rPr>
          <w:szCs w:val="24"/>
        </w:rPr>
      </w:pPr>
      <w:r w:rsidRPr="00365626">
        <w:rPr>
          <w:szCs w:val="24"/>
        </w:rPr>
        <w:t>при показаниях в зависимости от гематологического диагноза исследования биоптатов селезенки, печени, лимфоузла дополнительно выполняются:</w:t>
      </w:r>
    </w:p>
    <w:p w14:paraId="2E1E82B7" w14:textId="77777777" w:rsidR="002701C3" w:rsidRPr="00365626" w:rsidRDefault="002701C3" w:rsidP="0091350E">
      <w:pPr>
        <w:pStyle w:val="aff"/>
        <w:numPr>
          <w:ilvl w:val="0"/>
          <w:numId w:val="166"/>
        </w:numPr>
        <w:contextualSpacing/>
        <w:rPr>
          <w:szCs w:val="24"/>
        </w:rPr>
      </w:pPr>
      <w:r w:rsidRPr="00365626">
        <w:rPr>
          <w:szCs w:val="24"/>
        </w:rPr>
        <w:t>иммуногистохимическое исследование;</w:t>
      </w:r>
    </w:p>
    <w:p w14:paraId="63897FA5" w14:textId="77777777" w:rsidR="002701C3" w:rsidRPr="00365626" w:rsidRDefault="002701C3" w:rsidP="0091350E">
      <w:pPr>
        <w:pStyle w:val="aff"/>
        <w:numPr>
          <w:ilvl w:val="0"/>
          <w:numId w:val="166"/>
        </w:numPr>
        <w:contextualSpacing/>
        <w:rPr>
          <w:szCs w:val="24"/>
        </w:rPr>
      </w:pPr>
      <w:r w:rsidRPr="00365626">
        <w:rPr>
          <w:szCs w:val="24"/>
        </w:rPr>
        <w:t>иммунофенотипическое исследование;</w:t>
      </w:r>
    </w:p>
    <w:p w14:paraId="2CF2BCA0" w14:textId="77777777" w:rsidR="002701C3" w:rsidRPr="00365626" w:rsidRDefault="002701C3" w:rsidP="0091350E">
      <w:pPr>
        <w:pStyle w:val="aff"/>
        <w:numPr>
          <w:ilvl w:val="0"/>
          <w:numId w:val="166"/>
        </w:numPr>
        <w:contextualSpacing/>
        <w:rPr>
          <w:szCs w:val="24"/>
        </w:rPr>
      </w:pPr>
      <w:r w:rsidRPr="00365626">
        <w:rPr>
          <w:szCs w:val="24"/>
        </w:rPr>
        <w:t>цитогенетическое исследование;</w:t>
      </w:r>
    </w:p>
    <w:p w14:paraId="773B1E3D" w14:textId="77777777" w:rsidR="002701C3" w:rsidRPr="00365626" w:rsidRDefault="002701C3" w:rsidP="0091350E">
      <w:pPr>
        <w:pStyle w:val="aff"/>
        <w:numPr>
          <w:ilvl w:val="0"/>
          <w:numId w:val="166"/>
        </w:numPr>
        <w:contextualSpacing/>
        <w:rPr>
          <w:szCs w:val="24"/>
        </w:rPr>
      </w:pPr>
      <w:r w:rsidRPr="00365626">
        <w:rPr>
          <w:szCs w:val="24"/>
        </w:rPr>
        <w:t>молекулярно-генетические / молекулярно-биологические исследования исследования: Т и В–клеточная клональность и другие (по показаниям);</w:t>
      </w:r>
    </w:p>
    <w:p w14:paraId="3203FB61" w14:textId="77777777" w:rsidR="002701C3" w:rsidRPr="00365626" w:rsidRDefault="002701C3" w:rsidP="0091350E">
      <w:pPr>
        <w:pStyle w:val="aff"/>
        <w:numPr>
          <w:ilvl w:val="0"/>
          <w:numId w:val="166"/>
        </w:numPr>
        <w:contextualSpacing/>
        <w:rPr>
          <w:szCs w:val="24"/>
        </w:rPr>
      </w:pPr>
      <w:r w:rsidRPr="00365626">
        <w:rPr>
          <w:szCs w:val="24"/>
        </w:rPr>
        <w:t>вирусологические исследования – ПЦР ДНК вируса гепатита В, ПЦР РНК вируса гепатита С, ПЦР ДНК вирусов группы герпеса (ВПГ, ВЭБ, ЦМВ и т.д.) (по показаниям).</w:t>
      </w:r>
    </w:p>
    <w:p w14:paraId="5DCF7D65" w14:textId="77777777" w:rsidR="002701C3" w:rsidRDefault="002701C3" w:rsidP="002701C3">
      <w:pPr>
        <w:rPr>
          <w:b/>
          <w:szCs w:val="24"/>
        </w:rPr>
      </w:pPr>
    </w:p>
    <w:p w14:paraId="7C0A7EA1" w14:textId="7718C28A" w:rsidR="002701C3" w:rsidRPr="008271E2" w:rsidRDefault="002701C3" w:rsidP="002701C3">
      <w:pPr>
        <w:rPr>
          <w:bCs/>
          <w:i/>
          <w:iCs/>
          <w:szCs w:val="24"/>
        </w:rPr>
      </w:pPr>
      <w:r w:rsidRPr="008271E2">
        <w:rPr>
          <w:bCs/>
          <w:i/>
          <w:iCs/>
          <w:szCs w:val="24"/>
        </w:rPr>
        <w:t>Послеоперационный период</w:t>
      </w:r>
      <w:r>
        <w:rPr>
          <w:bCs/>
          <w:i/>
          <w:iCs/>
          <w:szCs w:val="24"/>
        </w:rPr>
        <w:t xml:space="preserve"> </w:t>
      </w:r>
      <w:r>
        <w:rPr>
          <w:szCs w:val="24"/>
        </w:rPr>
        <w:fldChar w:fldCharType="begin" w:fldLock="1"/>
      </w:r>
      <w:r w:rsidR="0021488B">
        <w:rPr>
          <w:szCs w:val="24"/>
        </w:rPr>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[228]","plainTextFormattedCitation":"[228]","previouslyFormattedCitation":"[228]"},"properties":{"noteIndex":0},"schema":"https://github.com/citation-style-language/schema/raw/master/csl-citation.json"}</w:instrText>
      </w:r>
      <w:r>
        <w:rPr>
          <w:szCs w:val="24"/>
        </w:rPr>
        <w:fldChar w:fldCharType="separate"/>
      </w:r>
      <w:r w:rsidRPr="002701C3">
        <w:rPr>
          <w:noProof/>
          <w:szCs w:val="24"/>
        </w:rPr>
        <w:t>[228]</w:t>
      </w:r>
      <w:r>
        <w:rPr>
          <w:szCs w:val="24"/>
        </w:rPr>
        <w:fldChar w:fldCharType="end"/>
      </w:r>
    </w:p>
    <w:p w14:paraId="39A8D8C1" w14:textId="77777777" w:rsidR="002701C3" w:rsidRPr="00365626" w:rsidRDefault="002701C3" w:rsidP="002701C3">
      <w:pPr>
        <w:ind w:firstLine="709"/>
        <w:rPr>
          <w:szCs w:val="24"/>
        </w:rPr>
      </w:pPr>
      <w:r w:rsidRPr="00365626">
        <w:rPr>
          <w:szCs w:val="24"/>
        </w:rPr>
        <w:t>Ежедневное наблюдение должно осуществляться совместно хирургом и гематологом. Обязательно наблюдение в условиях реанимационного отделения (палаты интенсивной терапии) в течение 2 часов после операции. Дальнейшее пребывание в реанимационном отделении зависит от возраста и соматического статуса пациента, объема кровопотери и наличия инфекционных осложнений.</w:t>
      </w:r>
    </w:p>
    <w:p w14:paraId="1D903E1B" w14:textId="77777777" w:rsidR="002701C3" w:rsidRPr="00365626" w:rsidRDefault="002701C3" w:rsidP="002701C3">
      <w:pPr>
        <w:ind w:firstLine="709"/>
        <w:rPr>
          <w:szCs w:val="24"/>
        </w:rPr>
      </w:pPr>
      <w:r w:rsidRPr="00365626">
        <w:rPr>
          <w:szCs w:val="24"/>
        </w:rPr>
        <w:t xml:space="preserve">Проводятся мероприятия, направленные на раннюю активизацию пациента. Через 2-4 часа разрешается сидеть и стоять у постели, при отсутствии диспептических явлений разрешен прием жидкостей </w:t>
      </w:r>
      <w:r w:rsidRPr="00365626">
        <w:rPr>
          <w:szCs w:val="24"/>
          <w:lang w:val="en-US"/>
        </w:rPr>
        <w:t>per</w:t>
      </w:r>
      <w:r w:rsidRPr="00365626">
        <w:rPr>
          <w:szCs w:val="24"/>
        </w:rPr>
        <w:t xml:space="preserve"> </w:t>
      </w:r>
      <w:r w:rsidRPr="00365626">
        <w:rPr>
          <w:szCs w:val="24"/>
          <w:lang w:val="en-US"/>
        </w:rPr>
        <w:t>os</w:t>
      </w:r>
      <w:r w:rsidRPr="00365626">
        <w:rPr>
          <w:szCs w:val="24"/>
        </w:rPr>
        <w:t>, возобновление питания через 12-24 часа после операции.</w:t>
      </w:r>
    </w:p>
    <w:p w14:paraId="41AB4B0E" w14:textId="77777777" w:rsidR="002701C3" w:rsidRPr="00365626" w:rsidRDefault="002701C3" w:rsidP="002701C3">
      <w:pPr>
        <w:ind w:firstLine="709"/>
        <w:rPr>
          <w:szCs w:val="24"/>
        </w:rPr>
      </w:pPr>
      <w:r w:rsidRPr="00365626">
        <w:rPr>
          <w:szCs w:val="24"/>
        </w:rPr>
        <w:t>В раннем послеоперационном периоде необходим контроль клинического анализа крови, коагулограммы и при необходимости проведение профилактической антикоагулянтной /антиагрегантной терапии.</w:t>
      </w:r>
    </w:p>
    <w:p w14:paraId="636B293B" w14:textId="77777777" w:rsidR="002701C3" w:rsidRDefault="002701C3" w:rsidP="002701C3">
      <w:pPr>
        <w:ind w:firstLine="709"/>
        <w:rPr>
          <w:szCs w:val="24"/>
        </w:rPr>
      </w:pPr>
      <w:r w:rsidRPr="00365626">
        <w:rPr>
          <w:szCs w:val="24"/>
        </w:rPr>
        <w:t>При наличии рисков тромботических осложнений (ожирение, гемобластозы, аутоиммунный гемолиз) – возможно назначение антикоагулянтной терапии в первые сутки после операции. Решение о назначении антикоагулянтной терапии принимается индивидуально в каждом конкретном случае. При назначении антикоагулянтной терапии следует учитывать количество тромбоцитов, темп прироста тромбоцитов, показатели гемограммы, выраженность геморрагического синдрома. Доза НМГ рассчитывается в зависимости от массы тела.</w:t>
      </w:r>
    </w:p>
    <w:p w14:paraId="2119B1C6" w14:textId="77777777" w:rsidR="002701C3" w:rsidRPr="00365626" w:rsidRDefault="002701C3" w:rsidP="002701C3">
      <w:pPr>
        <w:ind w:firstLine="709"/>
        <w:rPr>
          <w:szCs w:val="24"/>
        </w:rPr>
      </w:pPr>
    </w:p>
    <w:p w14:paraId="71C5BDA3" w14:textId="14DFA89D" w:rsidR="002701C3" w:rsidRPr="00573539" w:rsidRDefault="002701C3" w:rsidP="002701C3">
      <w:pPr>
        <w:rPr>
          <w:bCs/>
          <w:i/>
          <w:iCs/>
          <w:szCs w:val="24"/>
          <w:u w:val="single"/>
        </w:rPr>
      </w:pPr>
      <w:r w:rsidRPr="00573539">
        <w:rPr>
          <w:bCs/>
          <w:i/>
          <w:iCs/>
          <w:szCs w:val="24"/>
          <w:u w:val="single"/>
        </w:rPr>
        <w:t>Алгоритм действий при повышении температуры тела в раннем послеоперационном периоде после спленэктомии</w:t>
      </w:r>
      <w:r>
        <w:rPr>
          <w:bCs/>
          <w:i/>
          <w:iCs/>
          <w:szCs w:val="24"/>
          <w:u w:val="single"/>
        </w:rPr>
        <w:t xml:space="preserve"> </w:t>
      </w:r>
      <w:r>
        <w:rPr>
          <w:szCs w:val="24"/>
        </w:rPr>
        <w:fldChar w:fldCharType="begin" w:fldLock="1"/>
      </w:r>
      <w:r w:rsidR="0021488B">
        <w:rPr>
          <w:szCs w:val="24"/>
        </w:rPr>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[228]","plainTextFormattedCitation":"[228]","previouslyFormattedCitation":"[228]"},"properties":{"noteIndex":0},"schema":"https://github.com/citation-style-language/schema/raw/master/csl-citation.json"}</w:instrText>
      </w:r>
      <w:r>
        <w:rPr>
          <w:szCs w:val="24"/>
        </w:rPr>
        <w:fldChar w:fldCharType="separate"/>
      </w:r>
      <w:r w:rsidRPr="002701C3">
        <w:rPr>
          <w:noProof/>
          <w:szCs w:val="24"/>
        </w:rPr>
        <w:t>[228]</w:t>
      </w:r>
      <w:r>
        <w:rPr>
          <w:szCs w:val="24"/>
        </w:rPr>
        <w:fldChar w:fldCharType="end"/>
      </w:r>
    </w:p>
    <w:p w14:paraId="4A0905B5" w14:textId="77777777" w:rsidR="002701C3" w:rsidRDefault="002701C3" w:rsidP="002701C3">
      <w:pPr>
        <w:ind w:firstLine="709"/>
        <w:rPr>
          <w:szCs w:val="24"/>
        </w:rPr>
      </w:pPr>
      <w:r w:rsidRPr="00365626">
        <w:rPr>
          <w:i/>
          <w:szCs w:val="24"/>
        </w:rPr>
        <w:t xml:space="preserve">Наиболее вероятные причины гипертермии в послеоперационном периоде: </w:t>
      </w:r>
      <w:r w:rsidRPr="00365626">
        <w:rPr>
          <w:szCs w:val="24"/>
        </w:rPr>
        <w:t xml:space="preserve">послеоперационная пневмония, тромбоз вен портальной системы, поддиафрагмальный абсцесс. </w:t>
      </w:r>
    </w:p>
    <w:p w14:paraId="572CD562" w14:textId="77777777" w:rsidR="002701C3" w:rsidRPr="00365626" w:rsidRDefault="002701C3" w:rsidP="002701C3">
      <w:pPr>
        <w:ind w:firstLine="709"/>
        <w:rPr>
          <w:color w:val="C00000"/>
          <w:szCs w:val="24"/>
        </w:rPr>
      </w:pPr>
    </w:p>
    <w:p w14:paraId="6E02E844" w14:textId="7BAE50CC" w:rsidR="002701C3" w:rsidRPr="00365626" w:rsidRDefault="002701C3" w:rsidP="002701C3">
      <w:pPr>
        <w:ind w:firstLine="709"/>
        <w:rPr>
          <w:szCs w:val="24"/>
        </w:rPr>
      </w:pPr>
      <w:r w:rsidRPr="00365626">
        <w:rPr>
          <w:i/>
          <w:szCs w:val="24"/>
        </w:rPr>
        <w:t>Лабораторные исследования</w:t>
      </w:r>
      <w:r>
        <w:rPr>
          <w:i/>
          <w:szCs w:val="24"/>
        </w:rPr>
        <w:t xml:space="preserve"> </w:t>
      </w:r>
      <w:r>
        <w:rPr>
          <w:szCs w:val="24"/>
        </w:rPr>
        <w:fldChar w:fldCharType="begin" w:fldLock="1"/>
      </w:r>
      <w:r w:rsidR="0021488B">
        <w:rPr>
          <w:szCs w:val="24"/>
        </w:rPr>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[228]","plainTextFormattedCitation":"[228]","previouslyFormattedCitation":"[228]"},"properties":{"noteIndex":0},"schema":"https://github.com/citation-style-language/schema/raw/master/csl-citation.json"}</w:instrText>
      </w:r>
      <w:r>
        <w:rPr>
          <w:szCs w:val="24"/>
        </w:rPr>
        <w:fldChar w:fldCharType="separate"/>
      </w:r>
      <w:r w:rsidRPr="002701C3">
        <w:rPr>
          <w:noProof/>
          <w:szCs w:val="24"/>
        </w:rPr>
        <w:t>[228]</w:t>
      </w:r>
      <w:r>
        <w:rPr>
          <w:szCs w:val="24"/>
        </w:rPr>
        <w:fldChar w:fldCharType="end"/>
      </w:r>
      <w:r w:rsidRPr="00365626">
        <w:rPr>
          <w:i/>
          <w:szCs w:val="24"/>
        </w:rPr>
        <w:t>:</w:t>
      </w:r>
      <w:r w:rsidRPr="00365626">
        <w:rPr>
          <w:szCs w:val="24"/>
        </w:rPr>
        <w:t xml:space="preserve"> </w:t>
      </w:r>
    </w:p>
    <w:p w14:paraId="0095667A" w14:textId="77777777" w:rsidR="002701C3" w:rsidRPr="00365626" w:rsidRDefault="002701C3" w:rsidP="0091350E">
      <w:pPr>
        <w:pStyle w:val="aff"/>
        <w:numPr>
          <w:ilvl w:val="0"/>
          <w:numId w:val="164"/>
        </w:numPr>
        <w:contextualSpacing/>
        <w:rPr>
          <w:szCs w:val="24"/>
        </w:rPr>
      </w:pPr>
      <w:r w:rsidRPr="00365626">
        <w:rPr>
          <w:szCs w:val="24"/>
        </w:rPr>
        <w:t xml:space="preserve">клинический анализ крови, </w:t>
      </w:r>
    </w:p>
    <w:p w14:paraId="7E890DD7" w14:textId="77777777" w:rsidR="002701C3" w:rsidRPr="00365626" w:rsidRDefault="002701C3" w:rsidP="0091350E">
      <w:pPr>
        <w:pStyle w:val="aff"/>
        <w:numPr>
          <w:ilvl w:val="0"/>
          <w:numId w:val="164"/>
        </w:numPr>
        <w:contextualSpacing/>
        <w:rPr>
          <w:szCs w:val="24"/>
        </w:rPr>
      </w:pPr>
      <w:r w:rsidRPr="00365626">
        <w:rPr>
          <w:szCs w:val="24"/>
        </w:rPr>
        <w:t xml:space="preserve">коагулограмма (АЧТВ, ПВ, фибриноген), </w:t>
      </w:r>
    </w:p>
    <w:p w14:paraId="6AE4E1CC" w14:textId="77777777" w:rsidR="002701C3" w:rsidRPr="00365626" w:rsidRDefault="002701C3" w:rsidP="0091350E">
      <w:pPr>
        <w:pStyle w:val="aff"/>
        <w:numPr>
          <w:ilvl w:val="0"/>
          <w:numId w:val="164"/>
        </w:numPr>
        <w:contextualSpacing/>
        <w:rPr>
          <w:szCs w:val="24"/>
        </w:rPr>
      </w:pPr>
      <w:r w:rsidRPr="00365626">
        <w:rPr>
          <w:szCs w:val="24"/>
        </w:rPr>
        <w:t>биохимический анализ крови: калий, натрий, кальций, хлор, СРБ, прокальцитонин (по показаниям);</w:t>
      </w:r>
    </w:p>
    <w:p w14:paraId="69B73BAE" w14:textId="77777777" w:rsidR="002701C3" w:rsidRPr="00365626" w:rsidRDefault="002701C3" w:rsidP="0091350E">
      <w:pPr>
        <w:pStyle w:val="aff"/>
        <w:numPr>
          <w:ilvl w:val="0"/>
          <w:numId w:val="164"/>
        </w:numPr>
        <w:contextualSpacing/>
        <w:rPr>
          <w:szCs w:val="24"/>
        </w:rPr>
      </w:pPr>
      <w:r w:rsidRPr="00365626">
        <w:rPr>
          <w:szCs w:val="24"/>
        </w:rPr>
        <w:t>бактериологические исследования: посев крови на стерильность, посевы из нестерильных локусов (зев, прямая кишка);</w:t>
      </w:r>
    </w:p>
    <w:p w14:paraId="357963B2" w14:textId="77777777" w:rsidR="002701C3" w:rsidRPr="00573539" w:rsidRDefault="002701C3" w:rsidP="0091350E">
      <w:pPr>
        <w:pStyle w:val="aff"/>
        <w:numPr>
          <w:ilvl w:val="0"/>
          <w:numId w:val="164"/>
        </w:numPr>
        <w:contextualSpacing/>
        <w:rPr>
          <w:i/>
          <w:szCs w:val="24"/>
        </w:rPr>
      </w:pPr>
      <w:r w:rsidRPr="00365626">
        <w:rPr>
          <w:szCs w:val="24"/>
        </w:rPr>
        <w:t>при подозрении на вирусную инфекцию – определение наличия антител к вирусам группы герпеса и репликации методом ПЦР ДНК/РНК вирусов в крови, бронхоальвеолярном лаваже, слюне, мочи, других средах.</w:t>
      </w:r>
    </w:p>
    <w:p w14:paraId="0CF26335" w14:textId="77777777" w:rsidR="002701C3" w:rsidRPr="00365626" w:rsidRDefault="002701C3" w:rsidP="002701C3">
      <w:pPr>
        <w:pStyle w:val="aff"/>
        <w:rPr>
          <w:i/>
          <w:szCs w:val="24"/>
        </w:rPr>
      </w:pPr>
    </w:p>
    <w:p w14:paraId="49D49CEE" w14:textId="0D0969A0" w:rsidR="002701C3" w:rsidRPr="00365626" w:rsidRDefault="002701C3" w:rsidP="002701C3">
      <w:pPr>
        <w:ind w:firstLine="709"/>
        <w:rPr>
          <w:i/>
          <w:szCs w:val="24"/>
        </w:rPr>
      </w:pPr>
      <w:r w:rsidRPr="00365626">
        <w:rPr>
          <w:i/>
          <w:szCs w:val="24"/>
        </w:rPr>
        <w:t>Инструментальные исследования</w:t>
      </w:r>
      <w:r>
        <w:rPr>
          <w:i/>
          <w:szCs w:val="24"/>
        </w:rPr>
        <w:t xml:space="preserve"> </w:t>
      </w:r>
      <w:r>
        <w:rPr>
          <w:szCs w:val="24"/>
        </w:rPr>
        <w:fldChar w:fldCharType="begin" w:fldLock="1"/>
      </w:r>
      <w:r w:rsidR="0021488B">
        <w:rPr>
          <w:szCs w:val="24"/>
        </w:rPr>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[228]","plainTextFormattedCitation":"[228]","previouslyFormattedCitation":"[228]"},"properties":{"noteIndex":0},"schema":"https://github.com/citation-style-language/schema/raw/master/csl-citation.json"}</w:instrText>
      </w:r>
      <w:r>
        <w:rPr>
          <w:szCs w:val="24"/>
        </w:rPr>
        <w:fldChar w:fldCharType="separate"/>
      </w:r>
      <w:r w:rsidRPr="002701C3">
        <w:rPr>
          <w:noProof/>
          <w:szCs w:val="24"/>
        </w:rPr>
        <w:t>[228]</w:t>
      </w:r>
      <w:r>
        <w:rPr>
          <w:szCs w:val="24"/>
        </w:rPr>
        <w:fldChar w:fldCharType="end"/>
      </w:r>
      <w:r w:rsidRPr="00365626">
        <w:rPr>
          <w:i/>
          <w:szCs w:val="24"/>
        </w:rPr>
        <w:t>:</w:t>
      </w:r>
    </w:p>
    <w:p w14:paraId="7C952488" w14:textId="77777777" w:rsidR="002701C3" w:rsidRPr="00365626" w:rsidRDefault="002701C3" w:rsidP="0091350E">
      <w:pPr>
        <w:pStyle w:val="aff"/>
        <w:numPr>
          <w:ilvl w:val="0"/>
          <w:numId w:val="165"/>
        </w:numPr>
        <w:contextualSpacing/>
        <w:rPr>
          <w:szCs w:val="24"/>
        </w:rPr>
      </w:pPr>
      <w:r w:rsidRPr="00365626">
        <w:rPr>
          <w:szCs w:val="24"/>
        </w:rPr>
        <w:t xml:space="preserve">КТ грудной клетки, </w:t>
      </w:r>
    </w:p>
    <w:p w14:paraId="00A77FF4" w14:textId="77777777" w:rsidR="002701C3" w:rsidRPr="00365626" w:rsidRDefault="002701C3" w:rsidP="0091350E">
      <w:pPr>
        <w:pStyle w:val="aff"/>
        <w:numPr>
          <w:ilvl w:val="0"/>
          <w:numId w:val="165"/>
        </w:numPr>
        <w:contextualSpacing/>
        <w:rPr>
          <w:szCs w:val="24"/>
        </w:rPr>
      </w:pPr>
      <w:r w:rsidRPr="00365626">
        <w:rPr>
          <w:szCs w:val="24"/>
        </w:rPr>
        <w:t>КТ брюшной полости</w:t>
      </w:r>
    </w:p>
    <w:p w14:paraId="34E46193" w14:textId="77777777" w:rsidR="002701C3" w:rsidRPr="00365626" w:rsidRDefault="002701C3" w:rsidP="0091350E">
      <w:pPr>
        <w:pStyle w:val="aff"/>
        <w:numPr>
          <w:ilvl w:val="0"/>
          <w:numId w:val="165"/>
        </w:numPr>
        <w:contextualSpacing/>
        <w:rPr>
          <w:szCs w:val="24"/>
        </w:rPr>
      </w:pPr>
      <w:r w:rsidRPr="00365626">
        <w:rPr>
          <w:szCs w:val="24"/>
        </w:rPr>
        <w:t>УЗИ брюшной полости с допплерографией портальной системы</w:t>
      </w:r>
    </w:p>
    <w:p w14:paraId="38800524" w14:textId="77777777" w:rsidR="002701C3" w:rsidRDefault="002701C3" w:rsidP="002701C3">
      <w:pPr>
        <w:ind w:firstLine="360"/>
        <w:rPr>
          <w:szCs w:val="24"/>
        </w:rPr>
      </w:pPr>
    </w:p>
    <w:p w14:paraId="22521906" w14:textId="77777777" w:rsidR="002701C3" w:rsidRPr="00365626" w:rsidRDefault="002701C3" w:rsidP="002701C3">
      <w:pPr>
        <w:ind w:firstLine="709"/>
        <w:rPr>
          <w:szCs w:val="24"/>
        </w:rPr>
      </w:pPr>
      <w:r w:rsidRPr="00365626">
        <w:rPr>
          <w:szCs w:val="24"/>
        </w:rPr>
        <w:t>Вне зависимости от причины повышения температуры целесообразно проведение эмпирической противомикробной терапии, при выявлении инфекционного агента и неэффективности антибактериальной терапии проводится коррекция антибактериальной терапии с учетом чувствительности к антибактериальным препаратам. При отсутствии эффекта от эмпирической антибактериальной терапии,  через 3 дня рекомендуется провести дополнительные бактериологические исследования: бактериологическое исследование мазка из зева, из прямой кишки, посев крови,  посев мочи, бронхоальвеолярный лаваж (по показаниям),  назначение антибактериальной терапии с учетом чувствительности выделенной микрофлоры (см. Приложения по диагностике и лечению инфекционных осложнений, вызванных бакте</w:t>
      </w:r>
      <w:r>
        <w:rPr>
          <w:szCs w:val="24"/>
        </w:rPr>
        <w:t>р</w:t>
      </w:r>
      <w:r w:rsidRPr="00365626">
        <w:rPr>
          <w:szCs w:val="24"/>
        </w:rPr>
        <w:t>иями, грибами. вирусами у пациентов с гематологическими заболеваниями).</w:t>
      </w:r>
    </w:p>
    <w:p w14:paraId="4296BC5E" w14:textId="77777777" w:rsidR="002701C3" w:rsidRPr="00365626" w:rsidRDefault="002701C3" w:rsidP="002701C3">
      <w:pPr>
        <w:ind w:firstLine="709"/>
        <w:rPr>
          <w:color w:val="C00000"/>
          <w:szCs w:val="24"/>
        </w:rPr>
      </w:pPr>
      <w:r w:rsidRPr="00365626">
        <w:rPr>
          <w:szCs w:val="24"/>
        </w:rPr>
        <w:t>Для всех пациентов после спленэктомии при проведении антибактериальной терапии необходимо выбирать препараты, обладающие активностью против пневмококковой инфекции</w:t>
      </w:r>
      <w:r>
        <w:rPr>
          <w:szCs w:val="24"/>
        </w:rPr>
        <w:t>,</w:t>
      </w:r>
      <w:r w:rsidRPr="00365626">
        <w:rPr>
          <w:szCs w:val="24"/>
        </w:rPr>
        <w:t xml:space="preserve"> вне зависимости от сроков развития инфекции. </w:t>
      </w:r>
    </w:p>
    <w:p w14:paraId="2BC53D0A" w14:textId="77777777" w:rsidR="002701C3" w:rsidRPr="00365626" w:rsidRDefault="002701C3" w:rsidP="002701C3">
      <w:pPr>
        <w:ind w:firstLine="709"/>
        <w:rPr>
          <w:szCs w:val="24"/>
        </w:rPr>
      </w:pPr>
      <w:r w:rsidRPr="00365626">
        <w:rPr>
          <w:szCs w:val="24"/>
        </w:rPr>
        <w:t>При выявлении тромбоза воротной вены - проведение эффективной антикоагулянтной терапии, направленной на достижение реканализации тромба.  Наиболее часто применяют: нефракционированный гепарин: непрерывная инфузия, начальная скорость 1000 ЕД/ч, дальнейшее титрование дозы с мониторингом АЧТВ (1,5-2 нормы) или терапия НМГ в лечебных дозах с контролем анти-Ха активности или тромбоэластографии для оценки эффекта по достижению требуемой гипокоагуляции. Необходимы контрольные исследования коагулограммы и УЗ-допплерография портальной системы в динамике.</w:t>
      </w:r>
    </w:p>
    <w:p w14:paraId="48C368C5" w14:textId="77777777" w:rsidR="002701C3" w:rsidRPr="00365626" w:rsidRDefault="002701C3" w:rsidP="002701C3">
      <w:pPr>
        <w:ind w:firstLine="709"/>
        <w:rPr>
          <w:szCs w:val="24"/>
        </w:rPr>
      </w:pPr>
      <w:r w:rsidRPr="00365626">
        <w:rPr>
          <w:szCs w:val="24"/>
        </w:rPr>
        <w:t xml:space="preserve">При формировании жидкостных скоплений панкреатического характера целесообразно наружное дренирование под УЗ-наведением. </w:t>
      </w:r>
    </w:p>
    <w:p w14:paraId="0B9739FE" w14:textId="77777777" w:rsidR="002701C3" w:rsidRDefault="002701C3" w:rsidP="002701C3">
      <w:pPr>
        <w:rPr>
          <w:b/>
          <w:szCs w:val="24"/>
        </w:rPr>
      </w:pPr>
    </w:p>
    <w:p w14:paraId="43987261" w14:textId="5D2DBECA" w:rsidR="002701C3" w:rsidRPr="00615B07" w:rsidRDefault="002701C3" w:rsidP="002701C3">
      <w:pPr>
        <w:rPr>
          <w:bCs/>
          <w:i/>
          <w:iCs/>
          <w:szCs w:val="24"/>
          <w:u w:val="single"/>
        </w:rPr>
      </w:pPr>
      <w:r w:rsidRPr="00615B07">
        <w:rPr>
          <w:bCs/>
          <w:i/>
          <w:iCs/>
          <w:szCs w:val="24"/>
          <w:u w:val="single"/>
        </w:rPr>
        <w:t>Критерии выписки из стационара</w:t>
      </w:r>
      <w:r>
        <w:rPr>
          <w:bCs/>
          <w:i/>
          <w:iCs/>
          <w:szCs w:val="24"/>
          <w:u w:val="single"/>
        </w:rPr>
        <w:t xml:space="preserve"> </w:t>
      </w:r>
      <w:r>
        <w:rPr>
          <w:szCs w:val="24"/>
        </w:rPr>
        <w:fldChar w:fldCharType="begin" w:fldLock="1"/>
      </w:r>
      <w:r w:rsidR="0021488B">
        <w:rPr>
          <w:szCs w:val="24"/>
        </w:rPr>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[228]","plainTextFormattedCitation":"[228]","previouslyFormattedCitation":"[228]"},"properties":{"noteIndex":0},"schema":"https://github.com/citation-style-language/schema/raw/master/csl-citation.json"}</w:instrText>
      </w:r>
      <w:r>
        <w:rPr>
          <w:szCs w:val="24"/>
        </w:rPr>
        <w:fldChar w:fldCharType="separate"/>
      </w:r>
      <w:r w:rsidRPr="002701C3">
        <w:rPr>
          <w:noProof/>
          <w:szCs w:val="24"/>
        </w:rPr>
        <w:t>[228]</w:t>
      </w:r>
      <w:r>
        <w:rPr>
          <w:szCs w:val="24"/>
        </w:rPr>
        <w:fldChar w:fldCharType="end"/>
      </w:r>
    </w:p>
    <w:p w14:paraId="4A68DA6A" w14:textId="77777777" w:rsidR="002701C3" w:rsidRPr="00365626" w:rsidRDefault="002701C3" w:rsidP="002701C3">
      <w:pPr>
        <w:ind w:firstLine="709"/>
        <w:rPr>
          <w:szCs w:val="24"/>
        </w:rPr>
      </w:pPr>
      <w:r w:rsidRPr="00365626">
        <w:rPr>
          <w:szCs w:val="24"/>
        </w:rPr>
        <w:t>Выписка из стационара производится при стабилизации состояния, отсутствия необходимости в круглосуточном хирургическом наблюдении и пособии, что определяется характером патологии, наличием или отсутствием осложнений и эффектом операции.</w:t>
      </w:r>
    </w:p>
    <w:p w14:paraId="338FF2EB" w14:textId="77777777" w:rsidR="002701C3" w:rsidRPr="00365626" w:rsidRDefault="002701C3" w:rsidP="002701C3">
      <w:pPr>
        <w:ind w:firstLine="709"/>
        <w:rPr>
          <w:szCs w:val="24"/>
        </w:rPr>
      </w:pPr>
      <w:r w:rsidRPr="00365626">
        <w:rPr>
          <w:szCs w:val="24"/>
        </w:rPr>
        <w:t>Необходим амбулаторный контроль гемограммы и продолжение профилактики тромботических осложнений при наличии показаний.</w:t>
      </w:r>
    </w:p>
    <w:p w14:paraId="3466F61E" w14:textId="77777777" w:rsidR="002701C3" w:rsidRPr="00365626" w:rsidRDefault="002701C3" w:rsidP="002701C3">
      <w:pPr>
        <w:ind w:firstLine="709"/>
        <w:rPr>
          <w:szCs w:val="24"/>
        </w:rPr>
      </w:pPr>
      <w:r w:rsidRPr="00365626">
        <w:rPr>
          <w:szCs w:val="24"/>
        </w:rPr>
        <w:t>Показания к началу специфическая терапия гематологического заболевания определяется гематологом и начинается в сроки, установленные в соответствии с клиническими рекомендациями в зависимости от клинических показаний.</w:t>
      </w:r>
    </w:p>
    <w:p w14:paraId="6CFCA115" w14:textId="77777777" w:rsidR="002701C3" w:rsidRPr="00365626" w:rsidRDefault="002701C3" w:rsidP="002701C3">
      <w:pPr>
        <w:ind w:firstLine="709"/>
        <w:rPr>
          <w:szCs w:val="24"/>
        </w:rPr>
      </w:pPr>
      <w:r w:rsidRPr="00365626">
        <w:rPr>
          <w:szCs w:val="24"/>
        </w:rPr>
        <w:t xml:space="preserve">Ревакцинацию против </w:t>
      </w:r>
      <w:r w:rsidRPr="00365626">
        <w:rPr>
          <w:rFonts w:eastAsia="Arial Unicode MS"/>
          <w:i/>
          <w:szCs w:val="24"/>
          <w:lang w:val="en-US"/>
        </w:rPr>
        <w:t>Streptococcus</w:t>
      </w:r>
      <w:r w:rsidRPr="00365626">
        <w:rPr>
          <w:rFonts w:eastAsia="Arial Unicode MS"/>
          <w:i/>
          <w:szCs w:val="24"/>
        </w:rPr>
        <w:t xml:space="preserve"> </w:t>
      </w:r>
      <w:r w:rsidRPr="00365626">
        <w:rPr>
          <w:rFonts w:eastAsia="Arial Unicode MS"/>
          <w:i/>
          <w:szCs w:val="24"/>
          <w:lang w:val="en-US"/>
        </w:rPr>
        <w:t>pneumoniae</w:t>
      </w:r>
      <w:r w:rsidRPr="00365626">
        <w:rPr>
          <w:szCs w:val="24"/>
        </w:rPr>
        <w:t xml:space="preserve"> рекомендуется проводить каждые 5 лет. </w:t>
      </w:r>
    </w:p>
    <w:p w14:paraId="32BC87B5" w14:textId="77777777" w:rsidR="002701C3" w:rsidRPr="00365626" w:rsidRDefault="002701C3" w:rsidP="002701C3">
      <w:pPr>
        <w:widowControl w:val="0"/>
        <w:autoSpaceDE w:val="0"/>
        <w:autoSpaceDN w:val="0"/>
        <w:adjustRightInd w:val="0"/>
        <w:rPr>
          <w:szCs w:val="24"/>
        </w:rPr>
      </w:pPr>
    </w:p>
    <w:p w14:paraId="08BD02C3" w14:textId="084089F0" w:rsidR="008143D9" w:rsidRPr="008143D9" w:rsidRDefault="003D0D96" w:rsidP="008143D9">
      <w:pPr>
        <w:pStyle w:val="2"/>
        <w:ind w:firstLine="0"/>
      </w:pPr>
      <w:bookmarkStart w:id="77" w:name="_Toc65104130"/>
      <w:r w:rsidRPr="008143D9">
        <w:t>Приложение А3.</w:t>
      </w:r>
      <w:r w:rsidR="001A011F" w:rsidRPr="008143D9">
        <w:t>10.</w:t>
      </w:r>
      <w:r w:rsidR="008143D9" w:rsidRPr="008143D9">
        <w:t xml:space="preserve"> Проведение трансплантации аллогенных гемопоэтических стволовых клеток</w:t>
      </w:r>
      <w:bookmarkEnd w:id="77"/>
    </w:p>
    <w:p w14:paraId="561FB2E7" w14:textId="77777777" w:rsidR="008143D9" w:rsidRPr="00C07B2E" w:rsidRDefault="008143D9" w:rsidP="008143D9">
      <w:pPr>
        <w:rPr>
          <w:rFonts w:eastAsia="SimSun"/>
        </w:rPr>
      </w:pPr>
    </w:p>
    <w:p w14:paraId="191F2D60" w14:textId="77777777" w:rsidR="008143D9" w:rsidRPr="00EE51B1" w:rsidRDefault="008143D9" w:rsidP="008143D9">
      <w:pPr>
        <w:rPr>
          <w:rFonts w:eastAsia="SimSun"/>
          <w:b/>
        </w:rPr>
      </w:pPr>
      <w:bookmarkStart w:id="78" w:name="_Toc44401103"/>
      <w:r w:rsidRPr="00EE51B1">
        <w:rPr>
          <w:rFonts w:eastAsia="SimSun"/>
          <w:b/>
        </w:rPr>
        <w:t>1. Отбор пациентов для трансплантации аллогенных гемопоэтических стволовых клеток</w:t>
      </w:r>
      <w:bookmarkEnd w:id="78"/>
    </w:p>
    <w:p w14:paraId="5C1C6D1A" w14:textId="0156AFBA" w:rsidR="008143D9" w:rsidRPr="00EE51B1" w:rsidRDefault="008143D9" w:rsidP="008143D9">
      <w:pPr>
        <w:rPr>
          <w:rFonts w:eastAsia="SimSun"/>
          <w:i/>
          <w:u w:val="single"/>
        </w:rPr>
      </w:pPr>
      <w:bookmarkStart w:id="79" w:name="_Toc44401106"/>
      <w:r w:rsidRPr="00EE51B1">
        <w:rPr>
          <w:rFonts w:eastAsia="SimSun"/>
          <w:i/>
          <w:u w:val="single"/>
        </w:rPr>
        <w:t>Показания для проведения алло-ТГСК</w:t>
      </w:r>
      <w:bookmarkEnd w:id="79"/>
      <w:r w:rsidRPr="00EE51B1">
        <w:rPr>
          <w:rFonts w:eastAsia="SimSun"/>
          <w:i/>
          <w:u w:val="single"/>
        </w:rPr>
        <w:t xml:space="preserve"> </w:t>
      </w:r>
      <w:r w:rsidRPr="00EE51B1">
        <w:rPr>
          <w:rFonts w:eastAsia="SimSun"/>
          <w:u w:val="single"/>
        </w:rPr>
        <w:fldChar w:fldCharType="begin" w:fldLock="1"/>
      </w:r>
      <w:r>
        <w:rPr>
          <w:rFonts w:eastAsia="SimSun"/>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[230]","plainTextFormattedCitation":"[230]","previouslyFormattedCitation":"[1]"},"properties":{"noteIndex":0},"schema":"https://github.com/citation-style-language/schema/raw/master/csl-citation.json"}</w:instrText>
      </w:r>
      <w:r w:rsidRPr="00EE51B1">
        <w:rPr>
          <w:rFonts w:eastAsia="SimSun"/>
          <w:u w:val="single"/>
        </w:rPr>
        <w:fldChar w:fldCharType="separate"/>
      </w:r>
      <w:r w:rsidRPr="008143D9">
        <w:rPr>
          <w:rFonts w:eastAsia="SimSun"/>
          <w:noProof/>
        </w:rPr>
        <w:t>[230]</w:t>
      </w:r>
      <w:r w:rsidRPr="00EE51B1">
        <w:rPr>
          <w:rFonts w:eastAsia="SimSun"/>
          <w:u w:val="single"/>
        </w:rPr>
        <w:fldChar w:fldCharType="end"/>
      </w:r>
      <w:r w:rsidRPr="00EE51B1">
        <w:rPr>
          <w:rFonts w:eastAsia="SimSun"/>
          <w:i/>
          <w:u w:val="single"/>
        </w:rPr>
        <w:t>:</w:t>
      </w:r>
    </w:p>
    <w:p w14:paraId="4992653F" w14:textId="77777777" w:rsidR="008143D9" w:rsidRPr="00C07B2E" w:rsidRDefault="008143D9" w:rsidP="008143D9">
      <w:pPr>
        <w:ind w:firstLine="709"/>
        <w:rPr>
          <w:rFonts w:eastAsia="SimSun"/>
        </w:rPr>
      </w:pPr>
      <w:r w:rsidRPr="00C07B2E">
        <w:rPr>
          <w:rFonts w:eastAsia="SimSun"/>
        </w:rPr>
        <w:t xml:space="preserve">Медицинские показания к трансплантации костного мозга и гемопоэтических стволовых клеток определены Приказом Минздрава России от 12.12.2018 N 875н "Об утверждении Порядка оказания медицинской помощи при заболеваниях (состояниях), для лечения которых применяется трансплантация (пересадка) костного мозга и гемопоэтических стволовых клеток, и внесении изменения в Порядок оказания медицинской помощи по профилю "хирургия (трансплантация органов и (или) тканей человека)", утвержденный приказом Министерства здравоохранения Российской Федерации от 31 октября 2012 г. N 567н" (Зарегистрировано в Минюсте России 09.01.2019 N 53256).В качестве кандидатов для проведения алло-ТГСК могут рассматриваться пациенты, имеющие: </w:t>
      </w:r>
    </w:p>
    <w:p w14:paraId="104303D2" w14:textId="77777777" w:rsidR="008143D9" w:rsidRPr="00C07B2E" w:rsidRDefault="008143D9" w:rsidP="0091350E">
      <w:pPr>
        <w:numPr>
          <w:ilvl w:val="0"/>
          <w:numId w:val="167"/>
        </w:numPr>
        <w:overflowPunct w:val="0"/>
        <w:autoSpaceDE w:val="0"/>
        <w:autoSpaceDN w:val="0"/>
        <w:adjustRightInd w:val="0"/>
        <w:textAlignment w:val="baseline"/>
        <w:rPr>
          <w:rFonts w:eastAsia="SimSun"/>
        </w:rPr>
      </w:pPr>
      <w:r w:rsidRPr="00C07B2E">
        <w:rPr>
          <w:rFonts w:eastAsia="SimSun"/>
        </w:rPr>
        <w:t>злокачественные и другие новообразования лимфоидной, кроветворной и родственной им тканей;</w:t>
      </w:r>
    </w:p>
    <w:p w14:paraId="75F65246" w14:textId="77777777" w:rsidR="008143D9" w:rsidRPr="00C07B2E" w:rsidRDefault="008143D9" w:rsidP="0091350E">
      <w:pPr>
        <w:numPr>
          <w:ilvl w:val="0"/>
          <w:numId w:val="167"/>
        </w:numPr>
        <w:overflowPunct w:val="0"/>
        <w:autoSpaceDE w:val="0"/>
        <w:autoSpaceDN w:val="0"/>
        <w:adjustRightInd w:val="0"/>
        <w:textAlignment w:val="baseline"/>
        <w:rPr>
          <w:rFonts w:eastAsia="SimSun"/>
        </w:rPr>
      </w:pPr>
      <w:r w:rsidRPr="00C07B2E">
        <w:rPr>
          <w:rFonts w:eastAsia="SimSun"/>
        </w:rPr>
        <w:t>болезни крови, кроветворных органов и отдельные нарушения, вовлекающие иммунный механизм;</w:t>
      </w:r>
    </w:p>
    <w:p w14:paraId="05BF301C" w14:textId="77777777" w:rsidR="008143D9" w:rsidRPr="00C07B2E" w:rsidRDefault="008143D9" w:rsidP="0091350E">
      <w:pPr>
        <w:numPr>
          <w:ilvl w:val="0"/>
          <w:numId w:val="167"/>
        </w:numPr>
        <w:overflowPunct w:val="0"/>
        <w:autoSpaceDE w:val="0"/>
        <w:autoSpaceDN w:val="0"/>
        <w:adjustRightInd w:val="0"/>
        <w:textAlignment w:val="baseline"/>
        <w:rPr>
          <w:rFonts w:eastAsia="SimSun"/>
        </w:rPr>
      </w:pPr>
      <w:r w:rsidRPr="00C07B2E">
        <w:rPr>
          <w:rFonts w:eastAsia="SimSun"/>
        </w:rPr>
        <w:t>врожденные иммунодефицитные синдромы;</w:t>
      </w:r>
    </w:p>
    <w:p w14:paraId="12A54C36" w14:textId="77777777" w:rsidR="008143D9" w:rsidRPr="00C07B2E" w:rsidRDefault="008143D9" w:rsidP="0091350E">
      <w:pPr>
        <w:numPr>
          <w:ilvl w:val="0"/>
          <w:numId w:val="167"/>
        </w:numPr>
        <w:overflowPunct w:val="0"/>
        <w:autoSpaceDE w:val="0"/>
        <w:autoSpaceDN w:val="0"/>
        <w:adjustRightInd w:val="0"/>
        <w:textAlignment w:val="baseline"/>
        <w:rPr>
          <w:rFonts w:eastAsia="SimSun"/>
        </w:rPr>
      </w:pPr>
      <w:r w:rsidRPr="00C07B2E">
        <w:rPr>
          <w:rFonts w:eastAsia="SimSun"/>
        </w:rPr>
        <w:t>врожденные аномалии (пороки развития), деформации и хромосомные нарушения, болезни эндокринной системы, расстройства питания и нарушения обмена веществ, которые могут быть скорригированы с помощью трансплантации гемопоэтических клеток;</w:t>
      </w:r>
    </w:p>
    <w:p w14:paraId="6A696345" w14:textId="77777777" w:rsidR="008143D9" w:rsidRPr="00C07B2E" w:rsidRDefault="008143D9" w:rsidP="0091350E">
      <w:pPr>
        <w:numPr>
          <w:ilvl w:val="0"/>
          <w:numId w:val="167"/>
        </w:numPr>
        <w:overflowPunct w:val="0"/>
        <w:autoSpaceDE w:val="0"/>
        <w:autoSpaceDN w:val="0"/>
        <w:adjustRightInd w:val="0"/>
        <w:textAlignment w:val="baseline"/>
        <w:rPr>
          <w:rFonts w:eastAsia="SimSun"/>
        </w:rPr>
      </w:pPr>
      <w:r w:rsidRPr="00C07B2E">
        <w:rPr>
          <w:rFonts w:eastAsia="SimSun"/>
        </w:rPr>
        <w:t>злокачественные новообразования мезотелиальной и мягких тканей (рабдомиосаркома);</w:t>
      </w:r>
    </w:p>
    <w:p w14:paraId="68123BFC" w14:textId="77777777" w:rsidR="008143D9" w:rsidRPr="00C07B2E" w:rsidRDefault="008143D9" w:rsidP="0091350E">
      <w:pPr>
        <w:numPr>
          <w:ilvl w:val="0"/>
          <w:numId w:val="167"/>
        </w:numPr>
        <w:overflowPunct w:val="0"/>
        <w:autoSpaceDE w:val="0"/>
        <w:autoSpaceDN w:val="0"/>
        <w:adjustRightInd w:val="0"/>
        <w:textAlignment w:val="baseline"/>
        <w:rPr>
          <w:rFonts w:eastAsia="SimSun"/>
        </w:rPr>
      </w:pPr>
      <w:r w:rsidRPr="00C07B2E">
        <w:rPr>
          <w:rFonts w:eastAsia="SimSun"/>
        </w:rPr>
        <w:t>злокачественные новообразования костей и суставных хрящей (саркома Юинга, хондросаркома, фибросаркома);</w:t>
      </w:r>
    </w:p>
    <w:p w14:paraId="1E941E4C" w14:textId="77777777" w:rsidR="008143D9" w:rsidRPr="00C07B2E" w:rsidRDefault="008143D9" w:rsidP="0091350E">
      <w:pPr>
        <w:numPr>
          <w:ilvl w:val="0"/>
          <w:numId w:val="167"/>
        </w:numPr>
        <w:overflowPunct w:val="0"/>
        <w:autoSpaceDE w:val="0"/>
        <w:autoSpaceDN w:val="0"/>
        <w:adjustRightInd w:val="0"/>
        <w:textAlignment w:val="baseline"/>
        <w:rPr>
          <w:rFonts w:eastAsia="SimSun"/>
        </w:rPr>
      </w:pPr>
      <w:r w:rsidRPr="00C07B2E">
        <w:rPr>
          <w:rFonts w:eastAsia="SimSun"/>
        </w:rPr>
        <w:t>нейроэпителиальные новообразования (нейробластома, ретинобластома);</w:t>
      </w:r>
    </w:p>
    <w:p w14:paraId="335B04BB" w14:textId="77777777" w:rsidR="008143D9" w:rsidRPr="00C07B2E" w:rsidRDefault="008143D9" w:rsidP="0091350E">
      <w:pPr>
        <w:numPr>
          <w:ilvl w:val="0"/>
          <w:numId w:val="167"/>
        </w:numPr>
        <w:overflowPunct w:val="0"/>
        <w:autoSpaceDE w:val="0"/>
        <w:autoSpaceDN w:val="0"/>
        <w:adjustRightInd w:val="0"/>
        <w:textAlignment w:val="baseline"/>
        <w:rPr>
          <w:rFonts w:eastAsia="SimSun"/>
        </w:rPr>
      </w:pPr>
      <w:r w:rsidRPr="00C07B2E">
        <w:rPr>
          <w:rFonts w:eastAsia="SimSun"/>
        </w:rPr>
        <w:t>демиелинизирующие болезни центральной нервной системы (рассеянный склероз);</w:t>
      </w:r>
    </w:p>
    <w:p w14:paraId="45D13979" w14:textId="77777777" w:rsidR="008143D9" w:rsidRPr="00C07B2E" w:rsidRDefault="008143D9" w:rsidP="0091350E">
      <w:pPr>
        <w:numPr>
          <w:ilvl w:val="0"/>
          <w:numId w:val="167"/>
        </w:numPr>
        <w:overflowPunct w:val="0"/>
        <w:autoSpaceDE w:val="0"/>
        <w:autoSpaceDN w:val="0"/>
        <w:adjustRightInd w:val="0"/>
        <w:textAlignment w:val="baseline"/>
        <w:rPr>
          <w:rFonts w:eastAsia="SimSun"/>
        </w:rPr>
      </w:pPr>
      <w:r w:rsidRPr="00C07B2E">
        <w:rPr>
          <w:rFonts w:eastAsia="SimSun"/>
        </w:rPr>
        <w:t>герминогенные новообразования;</w:t>
      </w:r>
    </w:p>
    <w:p w14:paraId="0696B200" w14:textId="77777777" w:rsidR="008143D9" w:rsidRPr="00C07B2E" w:rsidRDefault="008143D9" w:rsidP="0091350E">
      <w:pPr>
        <w:numPr>
          <w:ilvl w:val="0"/>
          <w:numId w:val="167"/>
        </w:numPr>
        <w:overflowPunct w:val="0"/>
        <w:autoSpaceDE w:val="0"/>
        <w:autoSpaceDN w:val="0"/>
        <w:adjustRightInd w:val="0"/>
        <w:textAlignment w:val="baseline"/>
        <w:rPr>
          <w:rFonts w:eastAsia="SimSun"/>
        </w:rPr>
      </w:pPr>
      <w:r w:rsidRPr="00C07B2E">
        <w:rPr>
          <w:rFonts w:eastAsia="SimSun"/>
        </w:rPr>
        <w:t>сложные и смешанные стромальные новообразования (нефробластома);</w:t>
      </w:r>
    </w:p>
    <w:p w14:paraId="5E3751B6" w14:textId="77777777" w:rsidR="008143D9" w:rsidRPr="00C07B2E" w:rsidRDefault="008143D9" w:rsidP="0091350E">
      <w:pPr>
        <w:numPr>
          <w:ilvl w:val="0"/>
          <w:numId w:val="167"/>
        </w:numPr>
        <w:overflowPunct w:val="0"/>
        <w:autoSpaceDE w:val="0"/>
        <w:autoSpaceDN w:val="0"/>
        <w:adjustRightInd w:val="0"/>
        <w:textAlignment w:val="baseline"/>
        <w:rPr>
          <w:rFonts w:eastAsia="SimSun"/>
        </w:rPr>
      </w:pPr>
      <w:r w:rsidRPr="00C07B2E">
        <w:rPr>
          <w:rFonts w:eastAsia="SimSun"/>
        </w:rPr>
        <w:t>глиомы (примитивная нейроэктодермальная опухоль);</w:t>
      </w:r>
    </w:p>
    <w:p w14:paraId="0B46974D" w14:textId="77777777" w:rsidR="008143D9" w:rsidRPr="00C07B2E" w:rsidRDefault="008143D9" w:rsidP="0091350E">
      <w:pPr>
        <w:numPr>
          <w:ilvl w:val="0"/>
          <w:numId w:val="167"/>
        </w:numPr>
        <w:overflowPunct w:val="0"/>
        <w:autoSpaceDE w:val="0"/>
        <w:autoSpaceDN w:val="0"/>
        <w:adjustRightInd w:val="0"/>
        <w:textAlignment w:val="baseline"/>
        <w:rPr>
          <w:rFonts w:eastAsia="SimSun"/>
        </w:rPr>
      </w:pPr>
      <w:r w:rsidRPr="00C07B2E">
        <w:rPr>
          <w:rFonts w:eastAsia="SimSun"/>
        </w:rPr>
        <w:t>злокачественные новообразования печени и внутрипеченочных желчных протоков (гепатобластома);</w:t>
      </w:r>
    </w:p>
    <w:p w14:paraId="2E2712D5" w14:textId="77777777" w:rsidR="008143D9" w:rsidRPr="00C07B2E" w:rsidRDefault="008143D9" w:rsidP="0091350E">
      <w:pPr>
        <w:numPr>
          <w:ilvl w:val="0"/>
          <w:numId w:val="167"/>
        </w:numPr>
        <w:overflowPunct w:val="0"/>
        <w:autoSpaceDE w:val="0"/>
        <w:autoSpaceDN w:val="0"/>
        <w:adjustRightInd w:val="0"/>
        <w:textAlignment w:val="baseline"/>
        <w:rPr>
          <w:rFonts w:eastAsia="SimSun"/>
        </w:rPr>
      </w:pPr>
      <w:r w:rsidRPr="00C07B2E">
        <w:rPr>
          <w:rFonts w:eastAsia="SimSun"/>
        </w:rPr>
        <w:t>болезни кожи и подкожной клетчатки (склеродермия);</w:t>
      </w:r>
    </w:p>
    <w:p w14:paraId="2C0A2F26" w14:textId="77777777" w:rsidR="008143D9" w:rsidRPr="00C07B2E" w:rsidRDefault="008143D9" w:rsidP="0091350E">
      <w:pPr>
        <w:numPr>
          <w:ilvl w:val="0"/>
          <w:numId w:val="167"/>
        </w:numPr>
        <w:overflowPunct w:val="0"/>
        <w:autoSpaceDE w:val="0"/>
        <w:autoSpaceDN w:val="0"/>
        <w:adjustRightInd w:val="0"/>
        <w:textAlignment w:val="baseline"/>
        <w:rPr>
          <w:rFonts w:eastAsia="SimSun"/>
        </w:rPr>
      </w:pPr>
      <w:r w:rsidRPr="00C07B2E">
        <w:rPr>
          <w:rFonts w:eastAsia="SimSun"/>
        </w:rPr>
        <w:t>системные поражения соединительной ткани (системная красная волчанка);</w:t>
      </w:r>
    </w:p>
    <w:p w14:paraId="1DBFA05F" w14:textId="77777777" w:rsidR="008143D9" w:rsidRPr="00C07B2E" w:rsidRDefault="008143D9" w:rsidP="0091350E">
      <w:pPr>
        <w:numPr>
          <w:ilvl w:val="0"/>
          <w:numId w:val="167"/>
        </w:numPr>
        <w:overflowPunct w:val="0"/>
        <w:autoSpaceDE w:val="0"/>
        <w:autoSpaceDN w:val="0"/>
        <w:adjustRightInd w:val="0"/>
        <w:textAlignment w:val="baseline"/>
        <w:rPr>
          <w:rFonts w:eastAsia="SimSun"/>
        </w:rPr>
      </w:pPr>
      <w:r w:rsidRPr="00C07B2E">
        <w:rPr>
          <w:rFonts w:eastAsia="SimSun"/>
        </w:rPr>
        <w:t>иные заболевания (состояния), при которых в соответствии с клиническими рекомендациями (протоколами лечения) по вопросам оказания медицинской помощи применяется трансплантации костного мозга или гемопоэтических стволовых клеток.</w:t>
      </w:r>
    </w:p>
    <w:p w14:paraId="5B780EA3" w14:textId="77777777" w:rsidR="008143D9" w:rsidRDefault="008143D9" w:rsidP="008143D9">
      <w:pPr>
        <w:rPr>
          <w:rFonts w:eastAsia="SimSun"/>
        </w:rPr>
      </w:pPr>
      <w:bookmarkStart w:id="80" w:name="_Toc44401107"/>
    </w:p>
    <w:p w14:paraId="27D670E9" w14:textId="4A6A965A" w:rsidR="008143D9" w:rsidRPr="00EE51B1" w:rsidRDefault="008143D9" w:rsidP="008143D9">
      <w:pPr>
        <w:rPr>
          <w:rFonts w:eastAsia="SimSun"/>
          <w:i/>
          <w:u w:val="single"/>
        </w:rPr>
      </w:pPr>
      <w:r w:rsidRPr="00EE51B1">
        <w:rPr>
          <w:rFonts w:eastAsia="SimSun"/>
          <w:i/>
          <w:u w:val="single"/>
        </w:rPr>
        <w:t>Основные критерии для определения рисков трансплантационной летальности у пациентов, которым планируется выполнение алло-ТГСК</w:t>
      </w:r>
      <w:bookmarkEnd w:id="80"/>
      <w:r>
        <w:rPr>
          <w:rFonts w:eastAsia="SimSun"/>
          <w:i/>
          <w:u w:val="single"/>
        </w:rPr>
        <w:t xml:space="preserve"> </w:t>
      </w:r>
      <w:r w:rsidRPr="00EE51B1">
        <w:rPr>
          <w:rFonts w:eastAsia="SimSun"/>
          <w:u w:val="single"/>
        </w:rPr>
        <w:fldChar w:fldCharType="begin" w:fldLock="1"/>
      </w:r>
      <w:r>
        <w:rPr>
          <w:rFonts w:eastAsia="SimSun"/>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[230]","plainTextFormattedCitation":"[230]","previouslyFormattedCitation":"[1]"},"properties":{"noteIndex":0},"schema":"https://github.com/citation-style-language/schema/raw/master/csl-citation.json"}</w:instrText>
      </w:r>
      <w:r w:rsidRPr="00EE51B1">
        <w:rPr>
          <w:rFonts w:eastAsia="SimSun"/>
          <w:u w:val="single"/>
        </w:rPr>
        <w:fldChar w:fldCharType="separate"/>
      </w:r>
      <w:r w:rsidRPr="008143D9">
        <w:rPr>
          <w:rFonts w:eastAsia="SimSun"/>
          <w:noProof/>
        </w:rPr>
        <w:t>[230]</w:t>
      </w:r>
      <w:r w:rsidRPr="00EE51B1">
        <w:rPr>
          <w:rFonts w:eastAsia="SimSun"/>
          <w:u w:val="single"/>
        </w:rPr>
        <w:fldChar w:fldCharType="end"/>
      </w:r>
      <w:r>
        <w:rPr>
          <w:rFonts w:eastAsia="SimSun"/>
          <w:i/>
          <w:u w:val="single"/>
        </w:rPr>
        <w:t>:</w:t>
      </w:r>
      <w:r w:rsidRPr="00EE51B1">
        <w:rPr>
          <w:rFonts w:eastAsia="SimSun"/>
          <w:i/>
          <w:u w:val="single"/>
        </w:rPr>
        <w:t xml:space="preserve"> </w:t>
      </w:r>
    </w:p>
    <w:p w14:paraId="68B6717C" w14:textId="77777777" w:rsidR="008143D9" w:rsidRPr="006F7601" w:rsidRDefault="008143D9" w:rsidP="0091350E">
      <w:pPr>
        <w:numPr>
          <w:ilvl w:val="0"/>
          <w:numId w:val="168"/>
        </w:numPr>
        <w:overflowPunct w:val="0"/>
        <w:autoSpaceDE w:val="0"/>
        <w:autoSpaceDN w:val="0"/>
        <w:adjustRightInd w:val="0"/>
        <w:textAlignment w:val="baseline"/>
        <w:rPr>
          <w:rFonts w:eastAsia="SimSun"/>
        </w:rPr>
      </w:pPr>
      <w:r w:rsidRPr="00C07B2E">
        <w:rPr>
          <w:rFonts w:eastAsia="SimSun"/>
        </w:rPr>
        <w:t>Наличие верифицированного диагноза и статуса (ремиссия, рецидив, стабилизация, прогрессия), которые являются показанием для проведения алло-</w:t>
      </w:r>
      <w:r w:rsidRPr="006F7601">
        <w:rPr>
          <w:rFonts w:eastAsia="SimSun"/>
        </w:rPr>
        <w:t>ТГСК.</w:t>
      </w:r>
    </w:p>
    <w:p w14:paraId="3A2C8FE4" w14:textId="2FEABF16" w:rsidR="008143D9" w:rsidRPr="006F7601" w:rsidRDefault="008143D9" w:rsidP="0091350E">
      <w:pPr>
        <w:numPr>
          <w:ilvl w:val="0"/>
          <w:numId w:val="168"/>
        </w:numPr>
        <w:overflowPunct w:val="0"/>
        <w:autoSpaceDE w:val="0"/>
        <w:autoSpaceDN w:val="0"/>
        <w:adjustRightInd w:val="0"/>
        <w:textAlignment w:val="baseline"/>
        <w:rPr>
          <w:rFonts w:eastAsia="SimSun"/>
        </w:rPr>
      </w:pPr>
      <w:r w:rsidRPr="006F7601">
        <w:rPr>
          <w:rFonts w:eastAsia="SimSun"/>
        </w:rPr>
        <w:t xml:space="preserve">Оценка рисков проведения алло-ТГСК по шкалам </w:t>
      </w:r>
      <w:r w:rsidRPr="006F7601">
        <w:rPr>
          <w:rFonts w:eastAsia="SimSun"/>
          <w:lang w:val="en-US"/>
        </w:rPr>
        <w:t>EBMT</w:t>
      </w:r>
      <w:r w:rsidRPr="006F7601">
        <w:rPr>
          <w:rFonts w:eastAsia="SimSun"/>
        </w:rPr>
        <w:t xml:space="preserve"> и </w:t>
      </w:r>
      <w:r w:rsidRPr="006F7601">
        <w:rPr>
          <w:rFonts w:eastAsia="SimSun"/>
          <w:lang w:val="en-US"/>
        </w:rPr>
        <w:t>HCT</w:t>
      </w:r>
      <w:r w:rsidRPr="006F7601">
        <w:rPr>
          <w:rFonts w:eastAsia="SimSun"/>
        </w:rPr>
        <w:t>-</w:t>
      </w:r>
      <w:r w:rsidRPr="006F7601">
        <w:rPr>
          <w:rFonts w:eastAsia="SimSun"/>
          <w:lang w:val="en-US"/>
        </w:rPr>
        <w:t>CI</w:t>
      </w:r>
      <w:r w:rsidRPr="006F7601">
        <w:rPr>
          <w:rFonts w:eastAsia="SimSun"/>
        </w:rPr>
        <w:t xml:space="preserve"> (приложения</w:t>
      </w:r>
      <w:r w:rsidR="00E07625" w:rsidRPr="006F7601">
        <w:rPr>
          <w:rFonts w:eastAsia="SimSun"/>
        </w:rPr>
        <w:t xml:space="preserve"> </w:t>
      </w:r>
      <w:r w:rsidR="006F7601" w:rsidRPr="006F7601">
        <w:rPr>
          <w:rFonts w:eastAsia="SimSun"/>
        </w:rPr>
        <w:t>Г3 и Г4</w:t>
      </w:r>
      <w:r w:rsidRPr="006F7601">
        <w:rPr>
          <w:rFonts w:eastAsia="SimSun"/>
        </w:rPr>
        <w:t>).</w:t>
      </w:r>
    </w:p>
    <w:p w14:paraId="5A99029B" w14:textId="438DB40D" w:rsidR="008143D9" w:rsidRPr="006F7601" w:rsidRDefault="008143D9" w:rsidP="0091350E">
      <w:pPr>
        <w:numPr>
          <w:ilvl w:val="0"/>
          <w:numId w:val="168"/>
        </w:numPr>
        <w:overflowPunct w:val="0"/>
        <w:autoSpaceDE w:val="0"/>
        <w:autoSpaceDN w:val="0"/>
        <w:adjustRightInd w:val="0"/>
        <w:textAlignment w:val="baseline"/>
        <w:rPr>
          <w:rFonts w:eastAsia="SimSun"/>
        </w:rPr>
      </w:pPr>
      <w:r w:rsidRPr="006F7601">
        <w:rPr>
          <w:rFonts w:eastAsia="SimSun"/>
        </w:rPr>
        <w:t xml:space="preserve">Оценка статуса кандидата в реципиенты согласно определению индекса Карновского и </w:t>
      </w:r>
      <w:r w:rsidRPr="006F7601">
        <w:rPr>
          <w:rFonts w:eastAsia="SimSun"/>
          <w:lang w:val="en-US"/>
        </w:rPr>
        <w:t>ECOG</w:t>
      </w:r>
    </w:p>
    <w:p w14:paraId="3B05D9E9" w14:textId="77777777" w:rsidR="008143D9" w:rsidRPr="00EE51B1" w:rsidRDefault="008143D9" w:rsidP="0091350E">
      <w:pPr>
        <w:numPr>
          <w:ilvl w:val="0"/>
          <w:numId w:val="168"/>
        </w:numPr>
        <w:overflowPunct w:val="0"/>
        <w:autoSpaceDE w:val="0"/>
        <w:autoSpaceDN w:val="0"/>
        <w:adjustRightInd w:val="0"/>
        <w:textAlignment w:val="baseline"/>
        <w:rPr>
          <w:rFonts w:eastAsia="SimSun"/>
        </w:rPr>
      </w:pPr>
      <w:r w:rsidRPr="00EE51B1">
        <w:rPr>
          <w:rFonts w:eastAsia="SimSun"/>
        </w:rPr>
        <w:t xml:space="preserve">Оценка психологического статуса, отсутствие обострения психических заболеваний. </w:t>
      </w:r>
    </w:p>
    <w:p w14:paraId="6A85A52C" w14:textId="77777777" w:rsidR="008143D9" w:rsidRPr="00EE51B1" w:rsidRDefault="008143D9" w:rsidP="0091350E">
      <w:pPr>
        <w:numPr>
          <w:ilvl w:val="0"/>
          <w:numId w:val="168"/>
        </w:numPr>
        <w:overflowPunct w:val="0"/>
        <w:autoSpaceDE w:val="0"/>
        <w:autoSpaceDN w:val="0"/>
        <w:adjustRightInd w:val="0"/>
        <w:textAlignment w:val="baseline"/>
        <w:rPr>
          <w:rFonts w:eastAsia="SimSun"/>
        </w:rPr>
      </w:pPr>
      <w:r w:rsidRPr="00EE51B1">
        <w:rPr>
          <w:rFonts w:eastAsia="SimSun"/>
        </w:rPr>
        <w:t>Оценка функционального состояния почек: концентрация креатинина сыворотки &lt;</w:t>
      </w:r>
      <w:r w:rsidRPr="00C07B2E">
        <w:rPr>
          <w:rFonts w:eastAsia="SimSun"/>
          <w:lang w:val="en-US"/>
        </w:rPr>
        <w:t> </w:t>
      </w:r>
      <w:r w:rsidRPr="00EE51B1">
        <w:rPr>
          <w:rFonts w:eastAsia="SimSun"/>
        </w:rPr>
        <w:t>177 мкмоль/л (&lt;</w:t>
      </w:r>
      <w:r w:rsidRPr="00C07B2E">
        <w:rPr>
          <w:rFonts w:eastAsia="SimSun"/>
        </w:rPr>
        <w:t> </w:t>
      </w:r>
      <w:r w:rsidRPr="00EE51B1">
        <w:rPr>
          <w:rFonts w:eastAsia="SimSun"/>
        </w:rPr>
        <w:t>2 мг/дл) или клиренс креатинина &gt;</w:t>
      </w:r>
      <w:r w:rsidRPr="00C07B2E">
        <w:rPr>
          <w:rFonts w:eastAsia="SimSun"/>
          <w:lang w:val="en-US"/>
        </w:rPr>
        <w:t> </w:t>
      </w:r>
      <w:r w:rsidRPr="00EE51B1">
        <w:rPr>
          <w:rFonts w:eastAsia="SimSun"/>
        </w:rPr>
        <w:t>50 мл/мин/1,73 м</w:t>
      </w:r>
      <w:r w:rsidRPr="00EE51B1">
        <w:rPr>
          <w:rFonts w:eastAsia="SimSun"/>
          <w:vertAlign w:val="superscript"/>
        </w:rPr>
        <w:t>2</w:t>
      </w:r>
      <w:r w:rsidRPr="00EE51B1">
        <w:rPr>
          <w:rFonts w:eastAsia="SimSun"/>
        </w:rPr>
        <w:t>.</w:t>
      </w:r>
    </w:p>
    <w:p w14:paraId="241E678C" w14:textId="77777777" w:rsidR="008143D9" w:rsidRPr="00C07B2E" w:rsidRDefault="008143D9" w:rsidP="0091350E">
      <w:pPr>
        <w:numPr>
          <w:ilvl w:val="0"/>
          <w:numId w:val="168"/>
        </w:numPr>
        <w:overflowPunct w:val="0"/>
        <w:autoSpaceDE w:val="0"/>
        <w:autoSpaceDN w:val="0"/>
        <w:adjustRightInd w:val="0"/>
        <w:textAlignment w:val="baseline"/>
        <w:rPr>
          <w:rFonts w:eastAsia="SimSun"/>
        </w:rPr>
      </w:pPr>
      <w:r w:rsidRPr="00C07B2E">
        <w:rPr>
          <w:rFonts w:eastAsia="SimSun"/>
        </w:rPr>
        <w:t xml:space="preserve">Оценка функционального состояния сердечной деятельности: фракция выброса левого желудочка &gt; 35% по </w:t>
      </w:r>
      <w:r w:rsidRPr="00C07B2E">
        <w:rPr>
          <w:rFonts w:eastAsia="SimSun"/>
          <w:lang w:val="en-US"/>
        </w:rPr>
        <w:t>Simpson</w:t>
      </w:r>
      <w:r w:rsidRPr="00C07B2E">
        <w:rPr>
          <w:rFonts w:eastAsia="SimSun"/>
        </w:rPr>
        <w:t xml:space="preserve">, отсутствие нестабильной стенокардии в анамнезе, отсутствие желудочковых аритмий высоких градаций (нарушения ритма </w:t>
      </w:r>
      <w:r w:rsidRPr="00C07B2E">
        <w:rPr>
          <w:rFonts w:eastAsia="SimSun"/>
          <w:lang w:val="en-US"/>
        </w:rPr>
        <w:t>IV</w:t>
      </w:r>
      <w:r w:rsidRPr="00C07B2E">
        <w:rPr>
          <w:rFonts w:eastAsia="SimSun"/>
        </w:rPr>
        <w:t>–</w:t>
      </w:r>
      <w:r w:rsidRPr="00C07B2E">
        <w:rPr>
          <w:rFonts w:eastAsia="SimSun"/>
          <w:lang w:val="en-US"/>
        </w:rPr>
        <w:t>V</w:t>
      </w:r>
      <w:r w:rsidRPr="00C07B2E">
        <w:rPr>
          <w:rFonts w:eastAsia="SimSun"/>
        </w:rPr>
        <w:t xml:space="preserve"> градаций по </w:t>
      </w:r>
      <w:r w:rsidRPr="00C07B2E">
        <w:rPr>
          <w:rFonts w:eastAsia="SimSun"/>
          <w:lang w:val="en-US"/>
        </w:rPr>
        <w:t>Lawn</w:t>
      </w:r>
      <w:r w:rsidRPr="00C07B2E">
        <w:rPr>
          <w:rFonts w:eastAsia="SimSun"/>
        </w:rPr>
        <w:t>—</w:t>
      </w:r>
      <w:r w:rsidRPr="00C07B2E">
        <w:rPr>
          <w:rFonts w:eastAsia="SimSun"/>
          <w:lang w:val="en-US"/>
        </w:rPr>
        <w:t>Wolf</w:t>
      </w:r>
      <w:r w:rsidRPr="00C07B2E">
        <w:rPr>
          <w:rFonts w:eastAsia="SimSun"/>
        </w:rPr>
        <w:t xml:space="preserve">). </w:t>
      </w:r>
    </w:p>
    <w:p w14:paraId="3D77222D" w14:textId="77777777" w:rsidR="008143D9" w:rsidRPr="00C07B2E" w:rsidRDefault="008143D9" w:rsidP="0091350E">
      <w:pPr>
        <w:numPr>
          <w:ilvl w:val="0"/>
          <w:numId w:val="168"/>
        </w:numPr>
        <w:overflowPunct w:val="0"/>
        <w:autoSpaceDE w:val="0"/>
        <w:autoSpaceDN w:val="0"/>
        <w:adjustRightInd w:val="0"/>
        <w:textAlignment w:val="baseline"/>
        <w:rPr>
          <w:rFonts w:eastAsia="SimSun"/>
        </w:rPr>
      </w:pPr>
      <w:r w:rsidRPr="00C07B2E">
        <w:rPr>
          <w:rFonts w:eastAsia="SimSun"/>
        </w:rPr>
        <w:t>Оценка функционального состояния легких: ОФВ1 ≥ 80%; по возможности определяют скорректированную диффузионную способность легких (DLCO), которая должна быть &gt; 35% должного.</w:t>
      </w:r>
    </w:p>
    <w:p w14:paraId="1E66FAA8" w14:textId="77777777" w:rsidR="008143D9" w:rsidRPr="00C07B2E" w:rsidRDefault="008143D9" w:rsidP="0091350E">
      <w:pPr>
        <w:numPr>
          <w:ilvl w:val="0"/>
          <w:numId w:val="168"/>
        </w:numPr>
        <w:overflowPunct w:val="0"/>
        <w:autoSpaceDE w:val="0"/>
        <w:autoSpaceDN w:val="0"/>
        <w:adjustRightInd w:val="0"/>
        <w:textAlignment w:val="baseline"/>
        <w:rPr>
          <w:rFonts w:eastAsia="SimSun"/>
        </w:rPr>
      </w:pPr>
      <w:r w:rsidRPr="00C07B2E">
        <w:rPr>
          <w:rFonts w:eastAsia="SimSun"/>
        </w:rPr>
        <w:t xml:space="preserve">Оценка функционального состояния печени: </w:t>
      </w:r>
    </w:p>
    <w:p w14:paraId="6FAABE7E" w14:textId="77777777" w:rsidR="008143D9" w:rsidRPr="00C07B2E" w:rsidRDefault="008143D9" w:rsidP="0091350E">
      <w:pPr>
        <w:numPr>
          <w:ilvl w:val="1"/>
          <w:numId w:val="168"/>
        </w:numPr>
        <w:overflowPunct w:val="0"/>
        <w:autoSpaceDE w:val="0"/>
        <w:autoSpaceDN w:val="0"/>
        <w:adjustRightInd w:val="0"/>
        <w:textAlignment w:val="baseline"/>
      </w:pPr>
      <w:r w:rsidRPr="00C07B2E">
        <w:t>концентрация общего билирубина ≤ 22 мкмоль/л (за исключением доказанного синдрома Жильбера);</w:t>
      </w:r>
    </w:p>
    <w:p w14:paraId="045AE236" w14:textId="77777777" w:rsidR="008143D9" w:rsidRPr="00EE51B1" w:rsidRDefault="008143D9" w:rsidP="0091350E">
      <w:pPr>
        <w:numPr>
          <w:ilvl w:val="1"/>
          <w:numId w:val="168"/>
        </w:numPr>
        <w:overflowPunct w:val="0"/>
        <w:autoSpaceDE w:val="0"/>
        <w:autoSpaceDN w:val="0"/>
        <w:adjustRightInd w:val="0"/>
        <w:textAlignment w:val="baseline"/>
      </w:pPr>
      <w:r w:rsidRPr="00C07B2E">
        <w:t>концентрация общего билирубина ≤ 30 мкмоль/л (за исключением доказанного синдрома Жильбера)</w:t>
      </w:r>
      <w:r w:rsidRPr="00EE51B1">
        <w:t>.</w:t>
      </w:r>
    </w:p>
    <w:p w14:paraId="2DA4DD9A" w14:textId="77777777" w:rsidR="008143D9" w:rsidRDefault="008143D9" w:rsidP="008143D9">
      <w:pPr>
        <w:rPr>
          <w:rFonts w:eastAsia="SimSun"/>
        </w:rPr>
      </w:pPr>
      <w:bookmarkStart w:id="81" w:name="_Toc44401108"/>
    </w:p>
    <w:p w14:paraId="28D62853" w14:textId="345D8AE9" w:rsidR="008143D9" w:rsidRPr="00EE51B1" w:rsidRDefault="008143D9" w:rsidP="008143D9">
      <w:pPr>
        <w:rPr>
          <w:rFonts w:eastAsia="SimSun"/>
          <w:i/>
          <w:u w:val="single"/>
        </w:rPr>
      </w:pPr>
      <w:r w:rsidRPr="00EE51B1">
        <w:rPr>
          <w:rFonts w:eastAsia="SimSun"/>
          <w:i/>
          <w:u w:val="single"/>
        </w:rPr>
        <w:t>Дополнительные критерии определения рисков трансплантационной летальности у пациентов, которым планируется выполнение алло-ТГСК</w:t>
      </w:r>
      <w:bookmarkEnd w:id="81"/>
      <w:r w:rsidRPr="00EE51B1">
        <w:rPr>
          <w:rFonts w:eastAsia="SimSun"/>
          <w:i/>
          <w:u w:val="single"/>
        </w:rPr>
        <w:t xml:space="preserve"> </w:t>
      </w:r>
      <w:r w:rsidRPr="00EE51B1">
        <w:rPr>
          <w:rFonts w:eastAsia="SimSun"/>
          <w:i/>
          <w:u w:val="single"/>
        </w:rPr>
        <w:fldChar w:fldCharType="begin" w:fldLock="1"/>
      </w:r>
      <w:r>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[230]","plainTextFormattedCitation":"[230]","previouslyFormattedCitation":"[1]"},"properties":{"noteIndex":0},"schema":"https://github.com/citation-style-language/schema/raw/master/csl-citation.json"}</w:instrText>
      </w:r>
      <w:r w:rsidRPr="00EE51B1">
        <w:rPr>
          <w:rFonts w:eastAsia="SimSun"/>
          <w:i/>
          <w:u w:val="single"/>
        </w:rPr>
        <w:fldChar w:fldCharType="separate"/>
      </w:r>
      <w:r w:rsidRPr="008143D9">
        <w:rPr>
          <w:rFonts w:eastAsia="SimSun"/>
          <w:noProof/>
        </w:rPr>
        <w:t>[230]</w:t>
      </w:r>
      <w:r w:rsidRPr="00EE51B1">
        <w:rPr>
          <w:rFonts w:eastAsia="SimSun"/>
          <w:i/>
          <w:u w:val="single"/>
        </w:rPr>
        <w:fldChar w:fldCharType="end"/>
      </w:r>
      <w:r w:rsidRPr="00EE51B1">
        <w:rPr>
          <w:rFonts w:eastAsia="SimSun"/>
          <w:i/>
          <w:u w:val="single"/>
        </w:rPr>
        <w:t>:</w:t>
      </w:r>
    </w:p>
    <w:p w14:paraId="3AD5C7A7" w14:textId="77777777" w:rsidR="008143D9" w:rsidRPr="00C07B2E" w:rsidRDefault="008143D9" w:rsidP="0091350E">
      <w:pPr>
        <w:numPr>
          <w:ilvl w:val="0"/>
          <w:numId w:val="169"/>
        </w:numPr>
        <w:overflowPunct w:val="0"/>
        <w:autoSpaceDE w:val="0"/>
        <w:autoSpaceDN w:val="0"/>
        <w:adjustRightInd w:val="0"/>
        <w:textAlignment w:val="baseline"/>
        <w:rPr>
          <w:rFonts w:eastAsia="SimSun"/>
        </w:rPr>
      </w:pPr>
      <w:r w:rsidRPr="00C07B2E">
        <w:rPr>
          <w:rFonts w:eastAsia="SimSun"/>
        </w:rPr>
        <w:t xml:space="preserve">Иммунодепрессивное состояние: нейтропения, лимфопения с концентрацией </w:t>
      </w:r>
      <w:r w:rsidRPr="00C07B2E">
        <w:rPr>
          <w:rFonts w:eastAsia="SimSun"/>
          <w:lang w:val="en-US"/>
        </w:rPr>
        <w:t>CD</w:t>
      </w:r>
      <w:r w:rsidRPr="00C07B2E">
        <w:rPr>
          <w:rFonts w:eastAsia="SimSun"/>
        </w:rPr>
        <w:t>4+ ≤ 200 клеток/мкл, гипогаммаглобулинемия, аспления, применение высоких доз ГКС на этапе предшествующей химиотерапии и связь с основным заболеванием.</w:t>
      </w:r>
    </w:p>
    <w:p w14:paraId="365920CB" w14:textId="77777777" w:rsidR="008143D9" w:rsidRPr="00C07B2E" w:rsidRDefault="008143D9" w:rsidP="0091350E">
      <w:pPr>
        <w:numPr>
          <w:ilvl w:val="0"/>
          <w:numId w:val="169"/>
        </w:numPr>
        <w:overflowPunct w:val="0"/>
        <w:autoSpaceDE w:val="0"/>
        <w:autoSpaceDN w:val="0"/>
        <w:adjustRightInd w:val="0"/>
        <w:textAlignment w:val="baseline"/>
        <w:rPr>
          <w:rFonts w:eastAsia="SimSun"/>
        </w:rPr>
      </w:pPr>
      <w:r w:rsidRPr="00C07B2E">
        <w:rPr>
          <w:rFonts w:eastAsia="SimSun"/>
        </w:rPr>
        <w:t>Инфекционные осложнения и степень их тяжести, значимость и длительность  в период предшествующей химиотерапии с указанием локализации, чувствительности возбудителя к антимикробным средствам, проводимой терапии: фебрильная нейтропения, пневмония (с указанием установленного возбудителя или отсутствием верификации возбудителя), грибковые инфекции, вирусные инфекции.</w:t>
      </w:r>
    </w:p>
    <w:p w14:paraId="144BDE65" w14:textId="77777777" w:rsidR="008143D9" w:rsidRPr="00C07B2E" w:rsidRDefault="008143D9" w:rsidP="0091350E">
      <w:pPr>
        <w:numPr>
          <w:ilvl w:val="0"/>
          <w:numId w:val="169"/>
        </w:numPr>
        <w:overflowPunct w:val="0"/>
        <w:autoSpaceDE w:val="0"/>
        <w:autoSpaceDN w:val="0"/>
        <w:adjustRightInd w:val="0"/>
        <w:textAlignment w:val="baseline"/>
        <w:rPr>
          <w:rFonts w:eastAsia="SimSun"/>
        </w:rPr>
      </w:pPr>
      <w:r w:rsidRPr="00C07B2E">
        <w:rPr>
          <w:rFonts w:eastAsia="SimSun"/>
        </w:rPr>
        <w:t>Перенесенные заболевания в том числе (</w:t>
      </w:r>
      <w:r w:rsidRPr="00C07B2E">
        <w:rPr>
          <w:rFonts w:eastAsia="SimSun"/>
          <w:lang w:val="en-US"/>
        </w:rPr>
        <w:t>COVID</w:t>
      </w:r>
      <w:r w:rsidRPr="00C07B2E">
        <w:rPr>
          <w:rFonts w:eastAsia="SimSun"/>
        </w:rPr>
        <w:t>-19, туберкулез, вирусные гепатиты)</w:t>
      </w:r>
    </w:p>
    <w:p w14:paraId="3D9F8994" w14:textId="77777777" w:rsidR="008143D9" w:rsidRPr="00C07B2E" w:rsidRDefault="008143D9" w:rsidP="0091350E">
      <w:pPr>
        <w:numPr>
          <w:ilvl w:val="0"/>
          <w:numId w:val="169"/>
        </w:numPr>
        <w:overflowPunct w:val="0"/>
        <w:autoSpaceDE w:val="0"/>
        <w:autoSpaceDN w:val="0"/>
        <w:adjustRightInd w:val="0"/>
        <w:textAlignment w:val="baseline"/>
        <w:rPr>
          <w:rFonts w:eastAsia="SimSun"/>
        </w:rPr>
      </w:pPr>
      <w:r w:rsidRPr="00C07B2E">
        <w:rPr>
          <w:rFonts w:eastAsia="SimSun"/>
        </w:rPr>
        <w:t>Наличие донорспецифичных анти-</w:t>
      </w:r>
      <w:r w:rsidRPr="00C07B2E">
        <w:rPr>
          <w:rFonts w:eastAsia="SimSun"/>
          <w:lang w:val="en-US"/>
        </w:rPr>
        <w:t>HLA</w:t>
      </w:r>
      <w:r w:rsidRPr="00C07B2E">
        <w:rPr>
          <w:rFonts w:eastAsia="SimSun"/>
        </w:rPr>
        <w:t xml:space="preserve">-антител у реципиента при неродственной частично совместимой или гаплоидентичной ТГСК </w:t>
      </w:r>
    </w:p>
    <w:p w14:paraId="2C6DD825" w14:textId="77777777" w:rsidR="008143D9" w:rsidRPr="00C07B2E" w:rsidRDefault="008143D9" w:rsidP="0091350E">
      <w:pPr>
        <w:numPr>
          <w:ilvl w:val="0"/>
          <w:numId w:val="169"/>
        </w:numPr>
        <w:overflowPunct w:val="0"/>
        <w:autoSpaceDE w:val="0"/>
        <w:autoSpaceDN w:val="0"/>
        <w:adjustRightInd w:val="0"/>
        <w:textAlignment w:val="baseline"/>
        <w:rPr>
          <w:rFonts w:eastAsia="SimSun"/>
        </w:rPr>
      </w:pPr>
      <w:r w:rsidRPr="00C07B2E">
        <w:rPr>
          <w:rFonts w:eastAsia="SimSun"/>
        </w:rPr>
        <w:t>Тромботические, геморрагические события на этапе предшествующей терапии и причины при их верификации</w:t>
      </w:r>
    </w:p>
    <w:p w14:paraId="0D09D411" w14:textId="77777777" w:rsidR="008143D9" w:rsidRPr="00C07B2E" w:rsidRDefault="008143D9" w:rsidP="0091350E">
      <w:pPr>
        <w:numPr>
          <w:ilvl w:val="0"/>
          <w:numId w:val="169"/>
        </w:numPr>
        <w:overflowPunct w:val="0"/>
        <w:autoSpaceDE w:val="0"/>
        <w:autoSpaceDN w:val="0"/>
        <w:adjustRightInd w:val="0"/>
        <w:textAlignment w:val="baseline"/>
        <w:rPr>
          <w:rFonts w:eastAsia="SimSun"/>
        </w:rPr>
      </w:pPr>
      <w:r w:rsidRPr="00C07B2E">
        <w:rPr>
          <w:rFonts w:eastAsia="SimSun"/>
        </w:rPr>
        <w:t xml:space="preserve">Трансфузионный анамнез, наличие данных за рефрактерность к трансфузиям компонентов донорской крови. </w:t>
      </w:r>
    </w:p>
    <w:p w14:paraId="4D1954BC" w14:textId="77777777" w:rsidR="008143D9" w:rsidRPr="00C07B2E" w:rsidRDefault="008143D9" w:rsidP="0091350E">
      <w:pPr>
        <w:numPr>
          <w:ilvl w:val="0"/>
          <w:numId w:val="169"/>
        </w:numPr>
        <w:overflowPunct w:val="0"/>
        <w:autoSpaceDE w:val="0"/>
        <w:autoSpaceDN w:val="0"/>
        <w:adjustRightInd w:val="0"/>
        <w:textAlignment w:val="baseline"/>
        <w:rPr>
          <w:rFonts w:eastAsia="SimSun"/>
        </w:rPr>
      </w:pPr>
      <w:r w:rsidRPr="00C07B2E">
        <w:rPr>
          <w:rFonts w:eastAsia="SimSun"/>
        </w:rPr>
        <w:t>Наличие гемохроматоза и/или лабораторных признаков перегрузки железом. Проведение в анамнезе трансфузий от родственных доноров.</w:t>
      </w:r>
    </w:p>
    <w:p w14:paraId="5FD491DA" w14:textId="77777777" w:rsidR="008143D9" w:rsidRPr="00C07B2E" w:rsidRDefault="008143D9" w:rsidP="0091350E">
      <w:pPr>
        <w:numPr>
          <w:ilvl w:val="0"/>
          <w:numId w:val="169"/>
        </w:numPr>
        <w:overflowPunct w:val="0"/>
        <w:autoSpaceDE w:val="0"/>
        <w:autoSpaceDN w:val="0"/>
        <w:adjustRightInd w:val="0"/>
        <w:textAlignment w:val="baseline"/>
        <w:rPr>
          <w:rFonts w:eastAsia="SimSun"/>
        </w:rPr>
      </w:pPr>
      <w:r w:rsidRPr="00C07B2E">
        <w:rPr>
          <w:rFonts w:eastAsia="SimSun"/>
        </w:rPr>
        <w:t>Наличие врожденных или приобретенных пороков</w:t>
      </w:r>
    </w:p>
    <w:p w14:paraId="78EC4510" w14:textId="77777777" w:rsidR="008143D9" w:rsidRPr="00C07B2E" w:rsidRDefault="008143D9" w:rsidP="0091350E">
      <w:pPr>
        <w:numPr>
          <w:ilvl w:val="0"/>
          <w:numId w:val="169"/>
        </w:numPr>
        <w:overflowPunct w:val="0"/>
        <w:autoSpaceDE w:val="0"/>
        <w:autoSpaceDN w:val="0"/>
        <w:adjustRightInd w:val="0"/>
        <w:textAlignment w:val="baseline"/>
        <w:rPr>
          <w:rFonts w:eastAsia="SimSun"/>
        </w:rPr>
      </w:pPr>
      <w:r w:rsidRPr="00C07B2E">
        <w:rPr>
          <w:rFonts w:eastAsia="SimSun"/>
        </w:rPr>
        <w:t>Наличие протезов, имплантатов и биоматериалов.</w:t>
      </w:r>
    </w:p>
    <w:p w14:paraId="1B227418" w14:textId="77777777" w:rsidR="008143D9" w:rsidRPr="00C07B2E" w:rsidRDefault="008143D9" w:rsidP="0091350E">
      <w:pPr>
        <w:numPr>
          <w:ilvl w:val="0"/>
          <w:numId w:val="169"/>
        </w:numPr>
        <w:overflowPunct w:val="0"/>
        <w:autoSpaceDE w:val="0"/>
        <w:autoSpaceDN w:val="0"/>
        <w:adjustRightInd w:val="0"/>
        <w:textAlignment w:val="baseline"/>
        <w:rPr>
          <w:rFonts w:eastAsia="SimSun"/>
        </w:rPr>
      </w:pPr>
      <w:r w:rsidRPr="00C07B2E">
        <w:rPr>
          <w:rFonts w:eastAsia="SimSun"/>
        </w:rPr>
        <w:t>Наличие хронических заболеваний и их стадия.</w:t>
      </w:r>
    </w:p>
    <w:p w14:paraId="13CC8B2C" w14:textId="77777777" w:rsidR="008143D9" w:rsidRPr="00470D3D" w:rsidRDefault="008143D9" w:rsidP="0091350E">
      <w:pPr>
        <w:numPr>
          <w:ilvl w:val="0"/>
          <w:numId w:val="169"/>
        </w:numPr>
        <w:overflowPunct w:val="0"/>
        <w:autoSpaceDE w:val="0"/>
        <w:autoSpaceDN w:val="0"/>
        <w:adjustRightInd w:val="0"/>
        <w:textAlignment w:val="baseline"/>
        <w:rPr>
          <w:rFonts w:eastAsia="SimSun"/>
        </w:rPr>
      </w:pPr>
      <w:r w:rsidRPr="00470D3D">
        <w:rPr>
          <w:rFonts w:eastAsia="SimSun"/>
        </w:rPr>
        <w:t>Информация о лечении зубов в течение последних 6 мес</w:t>
      </w:r>
      <w:r>
        <w:rPr>
          <w:rFonts w:eastAsia="SimSun"/>
        </w:rPr>
        <w:t>,</w:t>
      </w:r>
      <w:r w:rsidRPr="00470D3D">
        <w:rPr>
          <w:rFonts w:eastAsia="SimSun"/>
        </w:rPr>
        <w:t>, при отсутствии информации</w:t>
      </w:r>
      <w:r w:rsidRPr="00C07B2E">
        <w:rPr>
          <w:rFonts w:eastAsia="SimSun"/>
        </w:rPr>
        <w:t> </w:t>
      </w:r>
      <w:r w:rsidRPr="00470D3D">
        <w:rPr>
          <w:rFonts w:eastAsia="SimSun"/>
        </w:rPr>
        <w:t>— обязательно осмотр стоматолога.</w:t>
      </w:r>
    </w:p>
    <w:p w14:paraId="2903D148" w14:textId="77777777" w:rsidR="008143D9" w:rsidRPr="00C07B2E" w:rsidRDefault="008143D9" w:rsidP="0091350E">
      <w:pPr>
        <w:numPr>
          <w:ilvl w:val="0"/>
          <w:numId w:val="169"/>
        </w:numPr>
        <w:overflowPunct w:val="0"/>
        <w:autoSpaceDE w:val="0"/>
        <w:autoSpaceDN w:val="0"/>
        <w:adjustRightInd w:val="0"/>
        <w:textAlignment w:val="baseline"/>
        <w:rPr>
          <w:rFonts w:eastAsia="SimSun"/>
        </w:rPr>
      </w:pPr>
      <w:r w:rsidRPr="00C07B2E">
        <w:rPr>
          <w:rFonts w:eastAsia="SimSun"/>
        </w:rPr>
        <w:t>Консультация гинеколога для женщин с целью выявления риска дисфункциональных маточных кровотечений/перименопаузального статуса.</w:t>
      </w:r>
    </w:p>
    <w:p w14:paraId="128076C6" w14:textId="77777777" w:rsidR="008143D9" w:rsidRPr="00C07B2E" w:rsidRDefault="008143D9" w:rsidP="0091350E">
      <w:pPr>
        <w:numPr>
          <w:ilvl w:val="0"/>
          <w:numId w:val="169"/>
        </w:numPr>
        <w:overflowPunct w:val="0"/>
        <w:autoSpaceDE w:val="0"/>
        <w:autoSpaceDN w:val="0"/>
        <w:adjustRightInd w:val="0"/>
        <w:textAlignment w:val="baseline"/>
        <w:rPr>
          <w:rFonts w:eastAsia="SimSun"/>
        </w:rPr>
      </w:pPr>
      <w:r w:rsidRPr="00C07B2E">
        <w:rPr>
          <w:rFonts w:eastAsia="SimSun"/>
        </w:rPr>
        <w:t>Эпилептическая активность подтвержденная результатами ЭЭГ</w:t>
      </w:r>
    </w:p>
    <w:p w14:paraId="65594592" w14:textId="77777777" w:rsidR="008143D9" w:rsidRPr="00C07B2E" w:rsidRDefault="008143D9" w:rsidP="0091350E">
      <w:pPr>
        <w:numPr>
          <w:ilvl w:val="0"/>
          <w:numId w:val="169"/>
        </w:numPr>
        <w:overflowPunct w:val="0"/>
        <w:autoSpaceDE w:val="0"/>
        <w:autoSpaceDN w:val="0"/>
        <w:adjustRightInd w:val="0"/>
        <w:textAlignment w:val="baseline"/>
        <w:rPr>
          <w:rFonts w:eastAsia="SimSun"/>
        </w:rPr>
      </w:pPr>
      <w:r w:rsidRPr="00C07B2E">
        <w:rPr>
          <w:rFonts w:eastAsia="SimSun"/>
        </w:rPr>
        <w:t xml:space="preserve">Нутритивный статус: избыточный вес или дефицит массы тела. </w:t>
      </w:r>
    </w:p>
    <w:p w14:paraId="2CCEE25C" w14:textId="77777777" w:rsidR="008143D9" w:rsidRPr="00C07B2E" w:rsidRDefault="008143D9" w:rsidP="0091350E">
      <w:pPr>
        <w:numPr>
          <w:ilvl w:val="0"/>
          <w:numId w:val="169"/>
        </w:numPr>
        <w:overflowPunct w:val="0"/>
        <w:autoSpaceDE w:val="0"/>
        <w:autoSpaceDN w:val="0"/>
        <w:adjustRightInd w:val="0"/>
        <w:textAlignment w:val="baseline"/>
        <w:rPr>
          <w:rFonts w:eastAsia="SimSun"/>
        </w:rPr>
      </w:pPr>
      <w:bookmarkStart w:id="82" w:name="_Toc44401109"/>
      <w:r w:rsidRPr="00C07B2E">
        <w:rPr>
          <w:rFonts w:eastAsia="SimSun"/>
        </w:rPr>
        <w:t>Критерии, при наличии которых выполнение алло-ТГСК противопоказано</w:t>
      </w:r>
      <w:bookmarkEnd w:id="82"/>
      <w:r w:rsidRPr="00C07B2E">
        <w:rPr>
          <w:rFonts w:eastAsia="SimSun"/>
        </w:rPr>
        <w:t xml:space="preserve"> </w:t>
      </w:r>
    </w:p>
    <w:p w14:paraId="17CEA19D" w14:textId="77777777" w:rsidR="008143D9" w:rsidRPr="00C07B2E" w:rsidRDefault="008143D9" w:rsidP="0091350E">
      <w:pPr>
        <w:numPr>
          <w:ilvl w:val="0"/>
          <w:numId w:val="169"/>
        </w:numPr>
        <w:overflowPunct w:val="0"/>
        <w:autoSpaceDE w:val="0"/>
        <w:autoSpaceDN w:val="0"/>
        <w:adjustRightInd w:val="0"/>
        <w:textAlignment w:val="baseline"/>
        <w:rPr>
          <w:rFonts w:eastAsia="SimSun"/>
        </w:rPr>
      </w:pPr>
      <w:r w:rsidRPr="00C07B2E">
        <w:rPr>
          <w:rFonts w:eastAsia="SimSun"/>
        </w:rPr>
        <w:t>Беременность</w:t>
      </w:r>
    </w:p>
    <w:p w14:paraId="6D1AD4BB" w14:textId="77777777" w:rsidR="008143D9" w:rsidRPr="00C07B2E" w:rsidRDefault="008143D9" w:rsidP="0091350E">
      <w:pPr>
        <w:numPr>
          <w:ilvl w:val="0"/>
          <w:numId w:val="169"/>
        </w:numPr>
        <w:overflowPunct w:val="0"/>
        <w:autoSpaceDE w:val="0"/>
        <w:autoSpaceDN w:val="0"/>
        <w:adjustRightInd w:val="0"/>
        <w:textAlignment w:val="baseline"/>
        <w:rPr>
          <w:rFonts w:eastAsia="SimSun"/>
        </w:rPr>
      </w:pPr>
      <w:r w:rsidRPr="00C07B2E">
        <w:rPr>
          <w:rFonts w:eastAsia="SimSun"/>
        </w:rPr>
        <w:t xml:space="preserve">Цирроз печени, активный вирусный гепатит с признаками нарушения функции печени (гипербилирубинемия, синдром цитолиза, снижение белково-синтетической функции печени) </w:t>
      </w:r>
    </w:p>
    <w:p w14:paraId="395FFBD3" w14:textId="77777777" w:rsidR="008143D9" w:rsidRPr="00C07B2E" w:rsidRDefault="008143D9" w:rsidP="0091350E">
      <w:pPr>
        <w:numPr>
          <w:ilvl w:val="0"/>
          <w:numId w:val="169"/>
        </w:numPr>
        <w:overflowPunct w:val="0"/>
        <w:autoSpaceDE w:val="0"/>
        <w:autoSpaceDN w:val="0"/>
        <w:adjustRightInd w:val="0"/>
        <w:textAlignment w:val="baseline"/>
        <w:rPr>
          <w:rFonts w:eastAsia="SimSun"/>
        </w:rPr>
      </w:pPr>
      <w:r w:rsidRPr="00C07B2E">
        <w:rPr>
          <w:rFonts w:eastAsia="SimSun"/>
        </w:rPr>
        <w:t>Наличие любой неконтролируемой инфекции.</w:t>
      </w:r>
    </w:p>
    <w:p w14:paraId="324CAB17" w14:textId="77777777" w:rsidR="008143D9" w:rsidRPr="00C07B2E" w:rsidRDefault="008143D9" w:rsidP="0091350E">
      <w:pPr>
        <w:numPr>
          <w:ilvl w:val="0"/>
          <w:numId w:val="169"/>
        </w:numPr>
        <w:overflowPunct w:val="0"/>
        <w:autoSpaceDE w:val="0"/>
        <w:autoSpaceDN w:val="0"/>
        <w:adjustRightInd w:val="0"/>
        <w:textAlignment w:val="baseline"/>
        <w:rPr>
          <w:rFonts w:eastAsia="SimSun"/>
        </w:rPr>
      </w:pPr>
      <w:r w:rsidRPr="00C07B2E">
        <w:rPr>
          <w:rFonts w:eastAsia="SimSun"/>
          <w:u w:val="single"/>
        </w:rPr>
        <w:t>Другие</w:t>
      </w:r>
      <w:r w:rsidRPr="00C07B2E">
        <w:rPr>
          <w:rFonts w:eastAsia="SimSun"/>
        </w:rPr>
        <w:t xml:space="preserve"> онкологические заболевания различных стадий и локализаций вне ремиссии.</w:t>
      </w:r>
    </w:p>
    <w:p w14:paraId="424C583D" w14:textId="77777777" w:rsidR="008143D9" w:rsidRDefault="008143D9" w:rsidP="008143D9">
      <w:pPr>
        <w:rPr>
          <w:rFonts w:eastAsia="SimSun"/>
        </w:rPr>
      </w:pPr>
      <w:bookmarkStart w:id="83" w:name="_Toc44401110"/>
    </w:p>
    <w:p w14:paraId="05E1EF8F" w14:textId="2F942B84" w:rsidR="008143D9" w:rsidRPr="00470D3D" w:rsidRDefault="008143D9" w:rsidP="008143D9">
      <w:pPr>
        <w:rPr>
          <w:rFonts w:eastAsia="SimSun"/>
          <w:i/>
          <w:u w:val="single"/>
        </w:rPr>
      </w:pPr>
      <w:bookmarkStart w:id="84" w:name="_Toc44401124"/>
      <w:r w:rsidRPr="00470D3D">
        <w:rPr>
          <w:rFonts w:eastAsia="SimSun"/>
          <w:i/>
          <w:u w:val="single"/>
        </w:rPr>
        <w:t>Список лабораторных и инструментальных исследований для обследования кандидатов на алло-ТГСК</w:t>
      </w:r>
      <w:bookmarkEnd w:id="84"/>
      <w:r w:rsidRPr="00470D3D">
        <w:rPr>
          <w:rFonts w:eastAsia="SimSun"/>
          <w:i/>
          <w:u w:val="single"/>
        </w:rPr>
        <w:t xml:space="preserve"> </w:t>
      </w:r>
      <w:r w:rsidRPr="00470D3D">
        <w:rPr>
          <w:rFonts w:eastAsia="SimSun"/>
          <w:i/>
          <w:u w:val="single"/>
        </w:rPr>
        <w:fldChar w:fldCharType="begin" w:fldLock="1"/>
      </w:r>
      <w:r>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[230]","plainTextFormattedCitation":"[230]","previouslyFormattedCitation":"[1]"},"properties":{"noteIndex":0},"schema":"https://github.com/citation-style-language/schema/raw/master/csl-citation.json"}</w:instrText>
      </w:r>
      <w:r w:rsidRPr="00470D3D">
        <w:rPr>
          <w:rFonts w:eastAsia="SimSun"/>
          <w:i/>
          <w:u w:val="single"/>
        </w:rPr>
        <w:fldChar w:fldCharType="separate"/>
      </w:r>
      <w:r w:rsidRPr="008143D9">
        <w:rPr>
          <w:rFonts w:eastAsia="SimSun"/>
          <w:noProof/>
        </w:rPr>
        <w:t>[230]</w:t>
      </w:r>
      <w:r w:rsidRPr="00470D3D">
        <w:rPr>
          <w:rFonts w:eastAsia="SimSun"/>
          <w:i/>
          <w:u w:val="single"/>
        </w:rPr>
        <w:fldChar w:fldCharType="end"/>
      </w:r>
      <w:r>
        <w:rPr>
          <w:rFonts w:eastAsia="SimSun"/>
          <w:i/>
          <w:u w:val="single"/>
        </w:rPr>
        <w:t>:</w:t>
      </w:r>
    </w:p>
    <w:p w14:paraId="47AFFACB" w14:textId="77777777" w:rsidR="008143D9" w:rsidRPr="00470D3D" w:rsidRDefault="008143D9" w:rsidP="0091350E">
      <w:pPr>
        <w:numPr>
          <w:ilvl w:val="0"/>
          <w:numId w:val="175"/>
        </w:numPr>
        <w:overflowPunct w:val="0"/>
        <w:autoSpaceDE w:val="0"/>
        <w:autoSpaceDN w:val="0"/>
        <w:adjustRightInd w:val="0"/>
        <w:textAlignment w:val="baseline"/>
        <w:rPr>
          <w:rFonts w:eastAsia="SimSun"/>
        </w:rPr>
      </w:pPr>
      <w:r w:rsidRPr="00470D3D">
        <w:rPr>
          <w:rFonts w:eastAsia="SimSun"/>
        </w:rPr>
        <w:t>Общеклинический анализ крови с лейкоцитарной формулой</w:t>
      </w:r>
      <w:r w:rsidRPr="00AC75E2">
        <w:rPr>
          <w:rStyle w:val="af4"/>
          <w:rFonts w:eastAsia="SimSun"/>
        </w:rPr>
        <w:footnoteReference w:id="2"/>
      </w:r>
      <w:r w:rsidRPr="00470D3D">
        <w:rPr>
          <w:rFonts w:eastAsia="SimSun"/>
        </w:rPr>
        <w:t>.</w:t>
      </w:r>
    </w:p>
    <w:p w14:paraId="45352047" w14:textId="77777777" w:rsidR="008143D9" w:rsidRPr="00470D3D" w:rsidRDefault="008143D9" w:rsidP="0091350E">
      <w:pPr>
        <w:numPr>
          <w:ilvl w:val="0"/>
          <w:numId w:val="175"/>
        </w:numPr>
        <w:overflowPunct w:val="0"/>
        <w:autoSpaceDE w:val="0"/>
        <w:autoSpaceDN w:val="0"/>
        <w:adjustRightInd w:val="0"/>
        <w:textAlignment w:val="baseline"/>
        <w:rPr>
          <w:rFonts w:eastAsia="SimSun"/>
        </w:rPr>
      </w:pPr>
      <w:r w:rsidRPr="00470D3D">
        <w:rPr>
          <w:rFonts w:eastAsia="SimSun"/>
        </w:rPr>
        <w:t>Биохимический анализ крови (общий белок, альбумин, глобулин, общий холестерин, мочевая кислота, креатинин, мочевина, билирубин и его фракции, АЛТ, АСТ, щелочная фосфатаза, ГГТП, ЛДГ, ферритин)</w:t>
      </w:r>
      <w:r w:rsidRPr="00AC75E2">
        <w:rPr>
          <w:rStyle w:val="af4"/>
          <w:rFonts w:eastAsia="SimSun"/>
        </w:rPr>
        <w:footnoteReference w:id="3"/>
      </w:r>
      <w:r w:rsidRPr="00470D3D">
        <w:rPr>
          <w:rFonts w:eastAsia="SimSun"/>
        </w:rPr>
        <w:t>.</w:t>
      </w:r>
    </w:p>
    <w:p w14:paraId="2224182A" w14:textId="77777777" w:rsidR="008143D9" w:rsidRPr="00470D3D" w:rsidRDefault="008143D9" w:rsidP="0091350E">
      <w:pPr>
        <w:numPr>
          <w:ilvl w:val="0"/>
          <w:numId w:val="175"/>
        </w:numPr>
        <w:overflowPunct w:val="0"/>
        <w:autoSpaceDE w:val="0"/>
        <w:autoSpaceDN w:val="0"/>
        <w:adjustRightInd w:val="0"/>
        <w:textAlignment w:val="baseline"/>
        <w:rPr>
          <w:rFonts w:eastAsia="SimSun"/>
        </w:rPr>
      </w:pPr>
      <w:r w:rsidRPr="00470D3D">
        <w:rPr>
          <w:rFonts w:eastAsia="SimSun"/>
        </w:rPr>
        <w:t>Коагулограмма (АЧТВ, фибриноген, ПТИ по Квику, МНО)</w:t>
      </w:r>
      <w:r w:rsidRPr="00AC75E2">
        <w:rPr>
          <w:rStyle w:val="af4"/>
          <w:rFonts w:eastAsia="SimSun"/>
        </w:rPr>
        <w:footnoteReference w:id="4"/>
      </w:r>
      <w:r w:rsidRPr="00470D3D">
        <w:rPr>
          <w:rFonts w:eastAsia="SimSun"/>
        </w:rPr>
        <w:t>.</w:t>
      </w:r>
    </w:p>
    <w:p w14:paraId="5DBFCAF6" w14:textId="77777777" w:rsidR="008143D9" w:rsidRPr="00C07B2E" w:rsidRDefault="008143D9" w:rsidP="0091350E">
      <w:pPr>
        <w:numPr>
          <w:ilvl w:val="0"/>
          <w:numId w:val="175"/>
        </w:numPr>
        <w:overflowPunct w:val="0"/>
        <w:autoSpaceDE w:val="0"/>
        <w:autoSpaceDN w:val="0"/>
        <w:adjustRightInd w:val="0"/>
        <w:textAlignment w:val="baseline"/>
        <w:rPr>
          <w:rFonts w:eastAsia="SimSun"/>
        </w:rPr>
      </w:pPr>
      <w:r w:rsidRPr="00C07B2E">
        <w:rPr>
          <w:rFonts w:eastAsia="SimSun"/>
        </w:rPr>
        <w:t>Глюкоза венозной крови натощак</w:t>
      </w:r>
      <w:r w:rsidRPr="00AC75E2">
        <w:rPr>
          <w:rStyle w:val="af4"/>
          <w:rFonts w:eastAsia="SimSun"/>
        </w:rPr>
        <w:footnoteReference w:id="5"/>
      </w:r>
      <w:r w:rsidRPr="00C07B2E">
        <w:rPr>
          <w:rFonts w:eastAsia="SimSun"/>
        </w:rPr>
        <w:t>.</w:t>
      </w:r>
    </w:p>
    <w:p w14:paraId="21DA390E" w14:textId="77777777" w:rsidR="008143D9" w:rsidRPr="00470D3D" w:rsidRDefault="008143D9" w:rsidP="0091350E">
      <w:pPr>
        <w:numPr>
          <w:ilvl w:val="0"/>
          <w:numId w:val="175"/>
        </w:numPr>
        <w:overflowPunct w:val="0"/>
        <w:autoSpaceDE w:val="0"/>
        <w:autoSpaceDN w:val="0"/>
        <w:adjustRightInd w:val="0"/>
        <w:textAlignment w:val="baseline"/>
        <w:rPr>
          <w:rFonts w:eastAsia="SimSun"/>
        </w:rPr>
      </w:pPr>
      <w:r w:rsidRPr="00470D3D">
        <w:rPr>
          <w:rFonts w:eastAsia="SimSun"/>
        </w:rPr>
        <w:t xml:space="preserve">Серологические исследования гемотрансмиссивных инфекций (антитела к ВИЧ, </w:t>
      </w:r>
      <w:r w:rsidRPr="00C07B2E">
        <w:rPr>
          <w:rFonts w:eastAsia="SimSun"/>
        </w:rPr>
        <w:t>HB</w:t>
      </w:r>
      <w:r w:rsidRPr="00C07B2E">
        <w:rPr>
          <w:rFonts w:eastAsia="SimSun"/>
          <w:lang w:val="en-US"/>
        </w:rPr>
        <w:t>sAg</w:t>
      </w:r>
      <w:r w:rsidRPr="00470D3D">
        <w:rPr>
          <w:rFonts w:eastAsia="SimSun"/>
        </w:rPr>
        <w:t xml:space="preserve"> качественно, антитела к </w:t>
      </w:r>
      <w:r w:rsidRPr="00C07B2E">
        <w:rPr>
          <w:rFonts w:eastAsia="SimSun"/>
        </w:rPr>
        <w:t>HB</w:t>
      </w:r>
      <w:r w:rsidRPr="00C07B2E">
        <w:rPr>
          <w:rFonts w:eastAsia="SimSun"/>
          <w:lang w:val="en-US"/>
        </w:rPr>
        <w:t>sAg</w:t>
      </w:r>
      <w:r w:rsidRPr="00470D3D">
        <w:rPr>
          <w:rFonts w:eastAsia="SimSun"/>
        </w:rPr>
        <w:t xml:space="preserve"> качественно и количественно, анти-НВсо</w:t>
      </w:r>
      <w:r w:rsidRPr="00C07B2E">
        <w:rPr>
          <w:rFonts w:eastAsia="SimSun"/>
        </w:rPr>
        <w:t>r</w:t>
      </w:r>
      <w:r w:rsidRPr="00470D3D">
        <w:rPr>
          <w:rFonts w:eastAsia="SimSun"/>
        </w:rPr>
        <w:t xml:space="preserve"> качественно, </w:t>
      </w:r>
      <w:r w:rsidRPr="00C07B2E">
        <w:rPr>
          <w:rFonts w:eastAsia="SimSun"/>
          <w:lang w:val="en-US"/>
        </w:rPr>
        <w:t>HBeAg</w:t>
      </w:r>
      <w:r w:rsidRPr="00470D3D">
        <w:rPr>
          <w:rFonts w:eastAsia="SimSun"/>
        </w:rPr>
        <w:t xml:space="preserve"> качественно, анти-</w:t>
      </w:r>
      <w:r w:rsidRPr="00C07B2E">
        <w:rPr>
          <w:rFonts w:eastAsia="SimSun"/>
          <w:lang w:val="en-US"/>
        </w:rPr>
        <w:t>HBeAg</w:t>
      </w:r>
      <w:r w:rsidRPr="00470D3D">
        <w:rPr>
          <w:rFonts w:eastAsia="SimSun"/>
        </w:rPr>
        <w:t>, на сифилис)</w:t>
      </w:r>
      <w:r w:rsidRPr="00AC75E2">
        <w:rPr>
          <w:rStyle w:val="af4"/>
          <w:rFonts w:eastAsia="SimSun"/>
        </w:rPr>
        <w:footnoteReference w:id="6"/>
      </w:r>
      <w:r w:rsidRPr="00470D3D">
        <w:rPr>
          <w:rFonts w:eastAsia="SimSun"/>
        </w:rPr>
        <w:t>.</w:t>
      </w:r>
    </w:p>
    <w:p w14:paraId="4BCB80F6" w14:textId="77777777" w:rsidR="008143D9" w:rsidRPr="00470D3D" w:rsidRDefault="008143D9" w:rsidP="0091350E">
      <w:pPr>
        <w:numPr>
          <w:ilvl w:val="0"/>
          <w:numId w:val="175"/>
        </w:numPr>
        <w:overflowPunct w:val="0"/>
        <w:autoSpaceDE w:val="0"/>
        <w:autoSpaceDN w:val="0"/>
        <w:adjustRightInd w:val="0"/>
        <w:textAlignment w:val="baseline"/>
        <w:rPr>
          <w:rFonts w:eastAsia="SimSun"/>
        </w:rPr>
      </w:pPr>
      <w:r w:rsidRPr="00470D3D">
        <w:rPr>
          <w:rFonts w:eastAsia="SimSun"/>
        </w:rPr>
        <w:t>Серологические исследования герпесвирусов (</w:t>
      </w:r>
      <w:r w:rsidRPr="00C07B2E">
        <w:rPr>
          <w:rFonts w:eastAsia="SimSun"/>
          <w:lang w:val="en-US"/>
        </w:rPr>
        <w:t>IgG</w:t>
      </w:r>
      <w:r w:rsidRPr="00470D3D">
        <w:rPr>
          <w:rFonts w:eastAsia="SimSun"/>
        </w:rPr>
        <w:t xml:space="preserve"> и </w:t>
      </w:r>
      <w:r w:rsidRPr="00C07B2E">
        <w:rPr>
          <w:rFonts w:eastAsia="SimSun"/>
          <w:lang w:val="en-US"/>
        </w:rPr>
        <w:t>IgM</w:t>
      </w:r>
      <w:r w:rsidRPr="00470D3D">
        <w:rPr>
          <w:rFonts w:eastAsia="SimSun"/>
        </w:rPr>
        <w:t xml:space="preserve"> к </w:t>
      </w:r>
      <w:r w:rsidRPr="00C07B2E">
        <w:rPr>
          <w:rFonts w:eastAsia="SimSun"/>
          <w:lang w:val="en-US"/>
        </w:rPr>
        <w:t>CMV</w:t>
      </w:r>
      <w:r w:rsidRPr="00470D3D">
        <w:rPr>
          <w:rFonts w:eastAsia="SimSun"/>
        </w:rPr>
        <w:t>, вирусу Эпштейна—Барр, герпесу простого герпеса и герпеса 6 типа) и токсоплазме (при возможности)</w:t>
      </w:r>
      <w:r w:rsidRPr="00AC75E2">
        <w:rPr>
          <w:rStyle w:val="af4"/>
          <w:rFonts w:eastAsia="SimSun"/>
        </w:rPr>
        <w:footnoteReference w:id="7"/>
      </w:r>
      <w:r w:rsidRPr="00470D3D">
        <w:rPr>
          <w:rFonts w:eastAsia="SimSun"/>
        </w:rPr>
        <w:t xml:space="preserve">. </w:t>
      </w:r>
    </w:p>
    <w:p w14:paraId="591F4405" w14:textId="77777777" w:rsidR="008143D9" w:rsidRPr="00C07B2E" w:rsidRDefault="008143D9" w:rsidP="0091350E">
      <w:pPr>
        <w:numPr>
          <w:ilvl w:val="0"/>
          <w:numId w:val="175"/>
        </w:numPr>
        <w:overflowPunct w:val="0"/>
        <w:autoSpaceDE w:val="0"/>
        <w:autoSpaceDN w:val="0"/>
        <w:adjustRightInd w:val="0"/>
        <w:textAlignment w:val="baseline"/>
        <w:rPr>
          <w:rFonts w:eastAsia="SimSun"/>
        </w:rPr>
      </w:pPr>
      <w:r w:rsidRPr="00470D3D">
        <w:rPr>
          <w:rFonts w:eastAsia="SimSun"/>
        </w:rPr>
        <w:t xml:space="preserve">Определение ДНК вируса гепатита В и РНК вируса гепатита С с помощью </w:t>
      </w:r>
      <w:r w:rsidRPr="00C07B2E">
        <w:rPr>
          <w:rFonts w:eastAsia="SimSun"/>
        </w:rPr>
        <w:t>ПЦР (качественно, в случае выявления — количественно)</w:t>
      </w:r>
      <w:r w:rsidRPr="00AC75E2">
        <w:rPr>
          <w:rStyle w:val="af4"/>
          <w:rFonts w:eastAsia="SimSun"/>
        </w:rPr>
        <w:footnoteReference w:id="8"/>
      </w:r>
      <w:r w:rsidRPr="00C07B2E">
        <w:rPr>
          <w:rFonts w:eastAsia="SimSun"/>
        </w:rPr>
        <w:t>.</w:t>
      </w:r>
    </w:p>
    <w:p w14:paraId="1F8147D0" w14:textId="77777777" w:rsidR="008143D9" w:rsidRPr="00470D3D" w:rsidRDefault="008143D9" w:rsidP="0091350E">
      <w:pPr>
        <w:numPr>
          <w:ilvl w:val="0"/>
          <w:numId w:val="175"/>
        </w:numPr>
        <w:overflowPunct w:val="0"/>
        <w:autoSpaceDE w:val="0"/>
        <w:autoSpaceDN w:val="0"/>
        <w:adjustRightInd w:val="0"/>
        <w:textAlignment w:val="baseline"/>
        <w:rPr>
          <w:rFonts w:eastAsia="SimSun"/>
        </w:rPr>
      </w:pPr>
      <w:r w:rsidRPr="00470D3D">
        <w:rPr>
          <w:rFonts w:eastAsia="SimSun"/>
        </w:rPr>
        <w:t>Исследования по определению статуса основного заболевания</w:t>
      </w:r>
      <w:r w:rsidRPr="00AC75E2">
        <w:rPr>
          <w:rStyle w:val="af4"/>
          <w:rFonts w:eastAsia="SimSun"/>
        </w:rPr>
        <w:footnoteReference w:id="9"/>
      </w:r>
      <w:r w:rsidRPr="00470D3D">
        <w:rPr>
          <w:rFonts w:eastAsia="SimSun"/>
        </w:rPr>
        <w:t>. Для пациентов с острыми лейкозами обязательна люмбальная пункция с интратекальным введением химиопрепаратов.</w:t>
      </w:r>
    </w:p>
    <w:p w14:paraId="3DACC1CA" w14:textId="77777777" w:rsidR="008143D9" w:rsidRPr="00470D3D" w:rsidRDefault="008143D9" w:rsidP="0091350E">
      <w:pPr>
        <w:numPr>
          <w:ilvl w:val="0"/>
          <w:numId w:val="175"/>
        </w:numPr>
        <w:overflowPunct w:val="0"/>
        <w:autoSpaceDE w:val="0"/>
        <w:autoSpaceDN w:val="0"/>
        <w:adjustRightInd w:val="0"/>
        <w:textAlignment w:val="baseline"/>
        <w:rPr>
          <w:rFonts w:eastAsia="SimSun"/>
        </w:rPr>
      </w:pPr>
      <w:r w:rsidRPr="00470D3D">
        <w:rPr>
          <w:rFonts w:eastAsia="SimSun"/>
        </w:rPr>
        <w:t>КТ органов грудной клетки (с записью на электронный носитель)</w:t>
      </w:r>
      <w:r w:rsidRPr="00AC75E2">
        <w:rPr>
          <w:rStyle w:val="af4"/>
          <w:rFonts w:eastAsia="SimSun"/>
        </w:rPr>
        <w:footnoteReference w:id="10"/>
      </w:r>
      <w:r w:rsidRPr="00470D3D">
        <w:rPr>
          <w:rFonts w:eastAsia="SimSun"/>
        </w:rPr>
        <w:t xml:space="preserve">.КТ других областей при необходимости </w:t>
      </w:r>
    </w:p>
    <w:p w14:paraId="27934A4F" w14:textId="77777777" w:rsidR="008143D9" w:rsidRPr="00470D3D" w:rsidRDefault="008143D9" w:rsidP="0091350E">
      <w:pPr>
        <w:numPr>
          <w:ilvl w:val="0"/>
          <w:numId w:val="175"/>
        </w:numPr>
        <w:overflowPunct w:val="0"/>
        <w:autoSpaceDE w:val="0"/>
        <w:autoSpaceDN w:val="0"/>
        <w:adjustRightInd w:val="0"/>
        <w:textAlignment w:val="baseline"/>
        <w:rPr>
          <w:rFonts w:eastAsia="SimSun"/>
        </w:rPr>
      </w:pPr>
      <w:r w:rsidRPr="00470D3D">
        <w:rPr>
          <w:rFonts w:eastAsia="SimSun"/>
        </w:rPr>
        <w:t>ПЭТ-КТ (при необходимости – в соответствии с клиническими рекомендациями (протоколами лечения) )</w:t>
      </w:r>
      <w:r w:rsidRPr="00AC75E2">
        <w:rPr>
          <w:rStyle w:val="af4"/>
          <w:rFonts w:eastAsia="SimSun"/>
        </w:rPr>
        <w:footnoteReference w:id="11"/>
      </w:r>
      <w:r w:rsidRPr="00470D3D">
        <w:rPr>
          <w:rFonts w:eastAsia="SimSun"/>
        </w:rPr>
        <w:t>.</w:t>
      </w:r>
    </w:p>
    <w:p w14:paraId="58969010" w14:textId="77777777" w:rsidR="008143D9" w:rsidRPr="00470D3D" w:rsidRDefault="008143D9" w:rsidP="0091350E">
      <w:pPr>
        <w:numPr>
          <w:ilvl w:val="0"/>
          <w:numId w:val="175"/>
        </w:numPr>
        <w:overflowPunct w:val="0"/>
        <w:autoSpaceDE w:val="0"/>
        <w:autoSpaceDN w:val="0"/>
        <w:adjustRightInd w:val="0"/>
        <w:textAlignment w:val="baseline"/>
        <w:rPr>
          <w:rFonts w:eastAsia="SimSun"/>
        </w:rPr>
      </w:pPr>
      <w:r w:rsidRPr="00470D3D">
        <w:rPr>
          <w:rFonts w:eastAsia="SimSun"/>
        </w:rPr>
        <w:t>МРТ головного мозга при наличии показаний (с записью на электронный носитель)</w:t>
      </w:r>
      <w:r w:rsidRPr="00AC75E2">
        <w:rPr>
          <w:rStyle w:val="af4"/>
          <w:rFonts w:eastAsia="SimSun"/>
        </w:rPr>
        <w:footnoteReference w:id="12"/>
      </w:r>
      <w:r w:rsidRPr="00470D3D">
        <w:rPr>
          <w:rFonts w:eastAsia="SimSun"/>
        </w:rPr>
        <w:t xml:space="preserve">. </w:t>
      </w:r>
    </w:p>
    <w:p w14:paraId="2321AE13" w14:textId="77777777" w:rsidR="008143D9" w:rsidRPr="00470D3D" w:rsidRDefault="008143D9" w:rsidP="0091350E">
      <w:pPr>
        <w:numPr>
          <w:ilvl w:val="0"/>
          <w:numId w:val="175"/>
        </w:numPr>
        <w:overflowPunct w:val="0"/>
        <w:autoSpaceDE w:val="0"/>
        <w:autoSpaceDN w:val="0"/>
        <w:adjustRightInd w:val="0"/>
        <w:textAlignment w:val="baseline"/>
        <w:rPr>
          <w:rFonts w:eastAsia="SimSun"/>
        </w:rPr>
      </w:pPr>
      <w:r w:rsidRPr="00470D3D">
        <w:rPr>
          <w:rFonts w:eastAsia="SimSun"/>
        </w:rPr>
        <w:t>Рентген или КТ пазух носа.</w:t>
      </w:r>
    </w:p>
    <w:p w14:paraId="5E1FD6D5" w14:textId="77777777" w:rsidR="008143D9" w:rsidRPr="00C07B2E" w:rsidRDefault="008143D9" w:rsidP="0091350E">
      <w:pPr>
        <w:numPr>
          <w:ilvl w:val="0"/>
          <w:numId w:val="175"/>
        </w:numPr>
        <w:overflowPunct w:val="0"/>
        <w:autoSpaceDE w:val="0"/>
        <w:autoSpaceDN w:val="0"/>
        <w:adjustRightInd w:val="0"/>
        <w:textAlignment w:val="baseline"/>
        <w:rPr>
          <w:rFonts w:eastAsia="SimSun"/>
        </w:rPr>
      </w:pPr>
      <w:r w:rsidRPr="00C07B2E">
        <w:rPr>
          <w:rFonts w:eastAsia="SimSun"/>
        </w:rPr>
        <w:t>УЗИ печени, селезенки, почек</w:t>
      </w:r>
      <w:r w:rsidRPr="00AC75E2">
        <w:rPr>
          <w:rStyle w:val="af4"/>
          <w:rFonts w:eastAsia="SimSun"/>
        </w:rPr>
        <w:footnoteReference w:id="13"/>
      </w:r>
      <w:r w:rsidRPr="00C07B2E">
        <w:rPr>
          <w:rFonts w:eastAsia="SimSun"/>
        </w:rPr>
        <w:t xml:space="preserve">. </w:t>
      </w:r>
    </w:p>
    <w:p w14:paraId="0681919C" w14:textId="77777777" w:rsidR="008143D9" w:rsidRPr="00C07B2E" w:rsidRDefault="008143D9" w:rsidP="0091350E">
      <w:pPr>
        <w:numPr>
          <w:ilvl w:val="0"/>
          <w:numId w:val="175"/>
        </w:numPr>
        <w:overflowPunct w:val="0"/>
        <w:autoSpaceDE w:val="0"/>
        <w:autoSpaceDN w:val="0"/>
        <w:adjustRightInd w:val="0"/>
        <w:textAlignment w:val="baseline"/>
        <w:rPr>
          <w:rFonts w:eastAsia="SimSun"/>
        </w:rPr>
      </w:pPr>
      <w:r w:rsidRPr="00C07B2E">
        <w:rPr>
          <w:rFonts w:eastAsia="SimSun"/>
        </w:rPr>
        <w:t>ЭКГ</w:t>
      </w:r>
      <w:r w:rsidRPr="00AC75E2">
        <w:rPr>
          <w:rStyle w:val="af4"/>
          <w:rFonts w:eastAsia="SimSun"/>
        </w:rPr>
        <w:footnoteReference w:id="14"/>
      </w:r>
      <w:r w:rsidRPr="00C07B2E">
        <w:rPr>
          <w:rFonts w:eastAsia="SimSun"/>
        </w:rPr>
        <w:t>.</w:t>
      </w:r>
    </w:p>
    <w:p w14:paraId="33BBB430" w14:textId="77777777" w:rsidR="008143D9" w:rsidRPr="00C07B2E" w:rsidRDefault="008143D9" w:rsidP="0091350E">
      <w:pPr>
        <w:numPr>
          <w:ilvl w:val="0"/>
          <w:numId w:val="175"/>
        </w:numPr>
        <w:overflowPunct w:val="0"/>
        <w:autoSpaceDE w:val="0"/>
        <w:autoSpaceDN w:val="0"/>
        <w:adjustRightInd w:val="0"/>
        <w:textAlignment w:val="baseline"/>
        <w:rPr>
          <w:rFonts w:eastAsia="SimSun"/>
        </w:rPr>
      </w:pPr>
      <w:r>
        <w:rPr>
          <w:rFonts w:eastAsia="SimSun"/>
        </w:rPr>
        <w:t>Т</w:t>
      </w:r>
      <w:r w:rsidRPr="00C07B2E">
        <w:rPr>
          <w:rFonts w:eastAsia="SimSun"/>
        </w:rPr>
        <w:t>рансторакальная ЭхоКГ</w:t>
      </w:r>
      <w:r w:rsidRPr="00AC75E2">
        <w:rPr>
          <w:rStyle w:val="af4"/>
          <w:rFonts w:eastAsia="SimSun"/>
        </w:rPr>
        <w:footnoteReference w:id="15"/>
      </w:r>
      <w:r w:rsidRPr="00C07B2E">
        <w:rPr>
          <w:rFonts w:eastAsia="SimSun"/>
        </w:rPr>
        <w:t>.</w:t>
      </w:r>
    </w:p>
    <w:p w14:paraId="42FC56DA" w14:textId="77777777" w:rsidR="008143D9" w:rsidRPr="00470D3D" w:rsidRDefault="008143D9" w:rsidP="0091350E">
      <w:pPr>
        <w:numPr>
          <w:ilvl w:val="0"/>
          <w:numId w:val="175"/>
        </w:numPr>
        <w:overflowPunct w:val="0"/>
        <w:autoSpaceDE w:val="0"/>
        <w:autoSpaceDN w:val="0"/>
        <w:adjustRightInd w:val="0"/>
        <w:textAlignment w:val="baseline"/>
        <w:rPr>
          <w:rFonts w:eastAsia="SimSun"/>
        </w:rPr>
      </w:pPr>
      <w:r w:rsidRPr="00470D3D">
        <w:rPr>
          <w:rFonts w:eastAsia="SimSun"/>
        </w:rPr>
        <w:t>Исследование функции внешнего дыхания с оценкой ОФВ1 и/или скорректированной диффузионной способности легких (</w:t>
      </w:r>
      <w:r w:rsidRPr="00C07B2E">
        <w:rPr>
          <w:rFonts w:eastAsia="SimSun"/>
        </w:rPr>
        <w:t>DLCO</w:t>
      </w:r>
      <w:r w:rsidRPr="00470D3D">
        <w:rPr>
          <w:rFonts w:eastAsia="SimSun"/>
        </w:rPr>
        <w:t>) (при возможности)</w:t>
      </w:r>
    </w:p>
    <w:p w14:paraId="659CB2A0" w14:textId="77777777" w:rsidR="008143D9" w:rsidRPr="00470D3D" w:rsidRDefault="008143D9" w:rsidP="0091350E">
      <w:pPr>
        <w:numPr>
          <w:ilvl w:val="0"/>
          <w:numId w:val="175"/>
        </w:numPr>
        <w:overflowPunct w:val="0"/>
        <w:autoSpaceDE w:val="0"/>
        <w:autoSpaceDN w:val="0"/>
        <w:adjustRightInd w:val="0"/>
        <w:textAlignment w:val="baseline"/>
        <w:rPr>
          <w:rFonts w:eastAsia="SimSun"/>
        </w:rPr>
      </w:pPr>
      <w:r w:rsidRPr="00470D3D">
        <w:rPr>
          <w:rFonts w:eastAsia="SimSun"/>
        </w:rPr>
        <w:t>ФГДС при наличии в анамнезе язвенных поражений желудка или ДПК</w:t>
      </w:r>
    </w:p>
    <w:p w14:paraId="477D7E43" w14:textId="77777777" w:rsidR="008143D9" w:rsidRPr="00C07B2E" w:rsidRDefault="008143D9" w:rsidP="0091350E">
      <w:pPr>
        <w:numPr>
          <w:ilvl w:val="0"/>
          <w:numId w:val="175"/>
        </w:numPr>
        <w:overflowPunct w:val="0"/>
        <w:autoSpaceDE w:val="0"/>
        <w:autoSpaceDN w:val="0"/>
        <w:adjustRightInd w:val="0"/>
        <w:textAlignment w:val="baseline"/>
        <w:rPr>
          <w:rFonts w:eastAsia="SimSun"/>
        </w:rPr>
      </w:pPr>
      <w:r w:rsidRPr="00C07B2E">
        <w:rPr>
          <w:rFonts w:eastAsia="SimSun"/>
        </w:rPr>
        <w:t>ЭЭГ при необходимости</w:t>
      </w:r>
    </w:p>
    <w:p w14:paraId="3461BDE3" w14:textId="77777777" w:rsidR="008143D9" w:rsidRPr="00470D3D" w:rsidRDefault="008143D9" w:rsidP="0091350E">
      <w:pPr>
        <w:numPr>
          <w:ilvl w:val="0"/>
          <w:numId w:val="175"/>
        </w:numPr>
        <w:overflowPunct w:val="0"/>
        <w:autoSpaceDE w:val="0"/>
        <w:autoSpaceDN w:val="0"/>
        <w:adjustRightInd w:val="0"/>
        <w:textAlignment w:val="baseline"/>
        <w:rPr>
          <w:rFonts w:eastAsia="SimSun"/>
        </w:rPr>
      </w:pPr>
      <w:r w:rsidRPr="00470D3D">
        <w:rPr>
          <w:rFonts w:eastAsia="SimSun"/>
        </w:rPr>
        <w:t>Осмотр специалистов: стоматолог (обязательно), гинеколог (обязательно для женщин), оториноларинголог (по показаниям)</w:t>
      </w:r>
      <w:r w:rsidRPr="00AC75E2">
        <w:rPr>
          <w:rStyle w:val="af4"/>
          <w:rFonts w:eastAsia="SimSun"/>
        </w:rPr>
        <w:footnoteReference w:id="16"/>
      </w:r>
      <w:r w:rsidRPr="00470D3D">
        <w:rPr>
          <w:rFonts w:eastAsia="SimSun"/>
        </w:rPr>
        <w:t xml:space="preserve">. </w:t>
      </w:r>
    </w:p>
    <w:p w14:paraId="24BE765F" w14:textId="77777777" w:rsidR="008143D9" w:rsidRPr="00470D3D" w:rsidRDefault="008143D9" w:rsidP="0091350E">
      <w:pPr>
        <w:numPr>
          <w:ilvl w:val="0"/>
          <w:numId w:val="175"/>
        </w:numPr>
        <w:overflowPunct w:val="0"/>
        <w:autoSpaceDE w:val="0"/>
        <w:autoSpaceDN w:val="0"/>
        <w:adjustRightInd w:val="0"/>
        <w:textAlignment w:val="baseline"/>
        <w:rPr>
          <w:rFonts w:eastAsia="SimSun"/>
        </w:rPr>
      </w:pPr>
      <w:r w:rsidRPr="00470D3D">
        <w:t>Определение н</w:t>
      </w:r>
      <w:r w:rsidRPr="00470D3D">
        <w:rPr>
          <w:rFonts w:eastAsia="SimSun"/>
        </w:rPr>
        <w:t>аличия донорспецифичных анти-</w:t>
      </w:r>
      <w:r w:rsidRPr="00C07B2E">
        <w:rPr>
          <w:rFonts w:eastAsia="SimSun"/>
        </w:rPr>
        <w:t>HLA</w:t>
      </w:r>
      <w:r w:rsidRPr="00470D3D">
        <w:rPr>
          <w:rFonts w:eastAsia="SimSun"/>
        </w:rPr>
        <w:t>-антител при неродственной частично совместимой или гаплоидентичной ТГСК (при возможности)</w:t>
      </w:r>
    </w:p>
    <w:p w14:paraId="39CFEA3C" w14:textId="77777777" w:rsidR="008143D9" w:rsidRDefault="008143D9" w:rsidP="008143D9">
      <w:pPr>
        <w:rPr>
          <w:rFonts w:eastAsia="SimSun"/>
          <w:i/>
          <w:u w:val="single"/>
        </w:rPr>
      </w:pPr>
    </w:p>
    <w:p w14:paraId="7859E3D3" w14:textId="4B74F127" w:rsidR="008143D9" w:rsidRPr="00EE51B1" w:rsidRDefault="008143D9" w:rsidP="008143D9">
      <w:pPr>
        <w:rPr>
          <w:rFonts w:eastAsia="SimSun"/>
          <w:i/>
          <w:u w:val="single"/>
        </w:rPr>
      </w:pPr>
      <w:r w:rsidRPr="00EE51B1">
        <w:rPr>
          <w:rFonts w:eastAsia="SimSun"/>
          <w:i/>
          <w:u w:val="single"/>
        </w:rPr>
        <w:t>Алгоритм принятия решения о выполнении алло-ТГСК</w:t>
      </w:r>
      <w:bookmarkEnd w:id="83"/>
      <w:r w:rsidRPr="00EE51B1">
        <w:rPr>
          <w:rFonts w:eastAsia="SimSun"/>
          <w:i/>
          <w:u w:val="single"/>
        </w:rPr>
        <w:t xml:space="preserve"> </w:t>
      </w:r>
      <w:r w:rsidRPr="00EE51B1">
        <w:rPr>
          <w:rFonts w:eastAsia="SimSun"/>
          <w:i/>
          <w:u w:val="single"/>
        </w:rPr>
        <w:fldChar w:fldCharType="begin" w:fldLock="1"/>
      </w:r>
      <w:r>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[230]","plainTextFormattedCitation":"[230]","previouslyFormattedCitation":"[1]"},"properties":{"noteIndex":0},"schema":"https://github.com/citation-style-language/schema/raw/master/csl-citation.json"}</w:instrText>
      </w:r>
      <w:r w:rsidRPr="00EE51B1">
        <w:rPr>
          <w:rFonts w:eastAsia="SimSun"/>
          <w:i/>
          <w:u w:val="single"/>
        </w:rPr>
        <w:fldChar w:fldCharType="separate"/>
      </w:r>
      <w:r w:rsidRPr="008143D9">
        <w:rPr>
          <w:rFonts w:eastAsia="SimSun"/>
          <w:noProof/>
        </w:rPr>
        <w:t>[230]</w:t>
      </w:r>
      <w:r w:rsidRPr="00EE51B1">
        <w:rPr>
          <w:rFonts w:eastAsia="SimSun"/>
          <w:i/>
          <w:u w:val="single"/>
        </w:rPr>
        <w:fldChar w:fldCharType="end"/>
      </w:r>
      <w:r w:rsidRPr="00EE51B1">
        <w:rPr>
          <w:rFonts w:eastAsia="SimSun"/>
          <w:i/>
          <w:u w:val="single"/>
        </w:rPr>
        <w:t xml:space="preserve">: </w:t>
      </w:r>
    </w:p>
    <w:p w14:paraId="2B86024D" w14:textId="77777777" w:rsidR="008143D9" w:rsidRPr="00C07B2E" w:rsidRDefault="008143D9" w:rsidP="006F7601">
      <w:pPr>
        <w:ind w:firstLine="709"/>
        <w:rPr>
          <w:rFonts w:eastAsia="SimSun"/>
        </w:rPr>
      </w:pPr>
      <w:r w:rsidRPr="00C07B2E">
        <w:rPr>
          <w:rFonts w:eastAsia="SimSun"/>
        </w:rPr>
        <w:t>Медицинская организация, в которой проводятся наблюдение и лечение пациента, выявившая у пациента медицинские показания к проведению трансплантации костного мозга или гемопоэтических стволовых клеток, для рассмотрения вопроса о необходимости трансплантации костного мозга и гемопоэтических стволовых клеток осуществляет направление пациента в медицинскую организацию, осуществляющую трансплантацию, либо организует проведение дистанционного консилиума с применением телемедицинских технологий в соответствии с порядком организации оказания медицинской помощи с применением телемедицинских технологий.</w:t>
      </w:r>
    </w:p>
    <w:p w14:paraId="4F130622" w14:textId="77777777" w:rsidR="008143D9" w:rsidRPr="00C07B2E" w:rsidRDefault="008143D9" w:rsidP="006F7601">
      <w:pPr>
        <w:ind w:firstLine="709"/>
        <w:rPr>
          <w:rFonts w:eastAsia="SimSun"/>
        </w:rPr>
      </w:pPr>
      <w:r w:rsidRPr="00C07B2E">
        <w:rPr>
          <w:rFonts w:eastAsia="SimSun"/>
        </w:rPr>
        <w:t>Медицинское заключение о необходимости трансплантации костного мозга или гемопоэтических стволовых клеток (далее - заключение) потенциальному кандидату на проведение алло-ТГСК (реципиенту) выдается на бумажном носителе или в форме электронного документа консилиумом врачей (включая дистанционный консилиум, в случае невозможности проведения очной консультации) организацией, осуществляющей трансплантацию, в соответствии с Инструкцией о выдаче медицинского заключения о необходимости трансплантации органов и (или) тканей человека на основании консультации потенциального реципиента, результатов медицинского обследования, о чем вносится запись в медицинскую документацию пациента.</w:t>
      </w:r>
    </w:p>
    <w:p w14:paraId="27DF2F1A" w14:textId="77777777" w:rsidR="008143D9" w:rsidRDefault="008143D9" w:rsidP="008143D9">
      <w:pPr>
        <w:rPr>
          <w:rFonts w:eastAsia="SimSun"/>
        </w:rPr>
      </w:pPr>
      <w:bookmarkStart w:id="85" w:name="_Toc44401111"/>
    </w:p>
    <w:p w14:paraId="381ECFBD" w14:textId="7F11F0E6" w:rsidR="008143D9" w:rsidRPr="00EE51B1" w:rsidRDefault="008143D9" w:rsidP="008143D9">
      <w:pPr>
        <w:rPr>
          <w:rFonts w:eastAsia="SimSun"/>
          <w:i/>
          <w:u w:val="single"/>
        </w:rPr>
      </w:pPr>
      <w:r w:rsidRPr="00EE51B1">
        <w:rPr>
          <w:rFonts w:eastAsia="SimSun"/>
          <w:i/>
          <w:u w:val="single"/>
        </w:rPr>
        <w:t>Этапы принятия решений о проведении алло-ТГСК</w:t>
      </w:r>
      <w:bookmarkEnd w:id="85"/>
      <w:r w:rsidRPr="00EE51B1">
        <w:rPr>
          <w:rFonts w:eastAsia="SimSun"/>
          <w:i/>
          <w:u w:val="single"/>
        </w:rPr>
        <w:t xml:space="preserve"> </w:t>
      </w:r>
      <w:r w:rsidRPr="00EE51B1">
        <w:rPr>
          <w:rFonts w:eastAsia="SimSun"/>
          <w:i/>
          <w:u w:val="single"/>
        </w:rPr>
        <w:fldChar w:fldCharType="begin" w:fldLock="1"/>
      </w:r>
      <w:r>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[230]","plainTextFormattedCitation":"[230]","previouslyFormattedCitation":"[1]"},"properties":{"noteIndex":0},"schema":"https://github.com/citation-style-language/schema/raw/master/csl-citation.json"}</w:instrText>
      </w:r>
      <w:r w:rsidRPr="00EE51B1">
        <w:rPr>
          <w:rFonts w:eastAsia="SimSun"/>
          <w:i/>
          <w:u w:val="single"/>
        </w:rPr>
        <w:fldChar w:fldCharType="separate"/>
      </w:r>
      <w:r w:rsidRPr="008143D9">
        <w:rPr>
          <w:rFonts w:eastAsia="SimSun"/>
          <w:noProof/>
        </w:rPr>
        <w:t>[230]</w:t>
      </w:r>
      <w:r w:rsidRPr="00EE51B1">
        <w:rPr>
          <w:rFonts w:eastAsia="SimSun"/>
          <w:i/>
          <w:u w:val="single"/>
        </w:rPr>
        <w:fldChar w:fldCharType="end"/>
      </w:r>
      <w:r w:rsidRPr="00EE51B1">
        <w:rPr>
          <w:rFonts w:eastAsia="SimSun"/>
          <w:i/>
          <w:u w:val="single"/>
        </w:rPr>
        <w:t xml:space="preserve">: </w:t>
      </w:r>
    </w:p>
    <w:p w14:paraId="11145097" w14:textId="77777777" w:rsidR="008143D9" w:rsidRPr="00C07B2E" w:rsidRDefault="008143D9" w:rsidP="006F7601">
      <w:pPr>
        <w:ind w:firstLine="709"/>
        <w:rPr>
          <w:rFonts w:eastAsia="SimSun"/>
        </w:rPr>
      </w:pPr>
      <w:r w:rsidRPr="00C07B2E">
        <w:rPr>
          <w:rFonts w:eastAsia="SimSun"/>
        </w:rPr>
        <w:t>Этап 1 — рассмотрение медицинской документации, формирование медицинского заключения о необходимости трансплантации костного мозга или гемопоэтических стволовых клеток и направление на инициальное типирование (для поиска родственного или неродственного донора) — решение о возможности проведения алло-ТГСК и инициация поиска донора принимается экспертами на трансплантационной комиссии</w:t>
      </w:r>
      <w:r w:rsidRPr="00C07B2E">
        <w:rPr>
          <w:rFonts w:eastAsia="SimSun"/>
          <w:vertAlign w:val="superscript"/>
        </w:rPr>
        <w:t>1</w:t>
      </w:r>
      <w:r w:rsidRPr="00C07B2E">
        <w:rPr>
          <w:rFonts w:eastAsia="SimSun"/>
        </w:rPr>
        <w:t xml:space="preserve">. После получения заключения о наличии показаний для выполнения алло-ТГСК пациент нуждается в проведении дообследования и стратификации рисков по общесоматическому статусу. </w:t>
      </w:r>
    </w:p>
    <w:p w14:paraId="53647CE8" w14:textId="77777777" w:rsidR="008143D9" w:rsidRPr="00C07B2E" w:rsidRDefault="008143D9" w:rsidP="006F7601">
      <w:pPr>
        <w:ind w:firstLine="709"/>
        <w:rPr>
          <w:rFonts w:eastAsia="SimSun"/>
        </w:rPr>
      </w:pPr>
      <w:r w:rsidRPr="00C07B2E">
        <w:rPr>
          <w:rFonts w:eastAsia="SimSun"/>
        </w:rPr>
        <w:t>Этап 2</w:t>
      </w:r>
      <w:r w:rsidRPr="00C07B2E">
        <w:rPr>
          <w:rFonts w:eastAsia="SimSun"/>
          <w:i/>
        </w:rPr>
        <w:t xml:space="preserve"> — </w:t>
      </w:r>
      <w:r w:rsidRPr="00C07B2E">
        <w:rPr>
          <w:rFonts w:eastAsia="SimSun"/>
        </w:rPr>
        <w:t>получение информации о наличии потенциальных доноров (родственных и неродственных).</w:t>
      </w:r>
    </w:p>
    <w:p w14:paraId="5118B822" w14:textId="77777777" w:rsidR="008143D9" w:rsidRPr="00C07B2E" w:rsidRDefault="008143D9" w:rsidP="006F7601">
      <w:pPr>
        <w:ind w:firstLine="709"/>
        <w:rPr>
          <w:rFonts w:eastAsia="SimSun"/>
        </w:rPr>
      </w:pPr>
      <w:r w:rsidRPr="00C07B2E">
        <w:rPr>
          <w:rFonts w:eastAsia="SimSun"/>
        </w:rPr>
        <w:t>Этап 3 — поиск донора (родственного или неродственного) завершен, согласована дата донации.</w:t>
      </w:r>
    </w:p>
    <w:p w14:paraId="3C5CC0C0" w14:textId="77777777" w:rsidR="008143D9" w:rsidRDefault="008143D9" w:rsidP="006F7601">
      <w:pPr>
        <w:ind w:firstLine="709"/>
        <w:rPr>
          <w:rFonts w:eastAsia="SimSun"/>
        </w:rPr>
      </w:pPr>
      <w:r w:rsidRPr="00C07B2E">
        <w:rPr>
          <w:rFonts w:eastAsia="SimSun"/>
        </w:rPr>
        <w:t>Этап 4 — обсуждение сроков госпитализации пациента в отделение трансплантации костного мозга и обследование перед госпитализацией для выполнения алло-ТГСК — решение и дата госпитализации в отделение трансплантации костного мозга принимаются экспертами на трансплантационной комиссии за 4 нед до планируемой госпитализации.</w:t>
      </w:r>
    </w:p>
    <w:p w14:paraId="4D5B5BC4" w14:textId="77777777" w:rsidR="008143D9" w:rsidRDefault="008143D9" w:rsidP="008143D9">
      <w:pPr>
        <w:rPr>
          <w:rFonts w:eastAsia="SimSun"/>
        </w:rPr>
      </w:pPr>
      <w:bookmarkStart w:id="86" w:name="_Toc44401112"/>
    </w:p>
    <w:p w14:paraId="44DC5C1F" w14:textId="77777777" w:rsidR="008143D9" w:rsidRPr="00EE51B1" w:rsidRDefault="008143D9" w:rsidP="008143D9">
      <w:pPr>
        <w:rPr>
          <w:rFonts w:eastAsia="SimSun"/>
          <w:b/>
        </w:rPr>
      </w:pPr>
      <w:r w:rsidRPr="00EE51B1">
        <w:rPr>
          <w:rFonts w:eastAsia="SimSun"/>
          <w:b/>
        </w:rPr>
        <w:t>2. Отбор доноров аллогенных ГСК</w:t>
      </w:r>
      <w:bookmarkEnd w:id="86"/>
      <w:r w:rsidRPr="00EE51B1">
        <w:rPr>
          <w:rFonts w:eastAsia="SimSun"/>
          <w:b/>
        </w:rPr>
        <w:t xml:space="preserve"> </w:t>
      </w:r>
    </w:p>
    <w:p w14:paraId="54C6FD02" w14:textId="04F0E0FA" w:rsidR="008143D9" w:rsidRPr="00EE51B1" w:rsidRDefault="008143D9" w:rsidP="008143D9">
      <w:pPr>
        <w:rPr>
          <w:rFonts w:eastAsia="SimSun"/>
          <w:i/>
          <w:u w:val="single"/>
        </w:rPr>
      </w:pPr>
      <w:bookmarkStart w:id="87" w:name="_Toc44401114"/>
      <w:r w:rsidRPr="00EE51B1">
        <w:rPr>
          <w:rFonts w:eastAsia="SimSun"/>
          <w:i/>
          <w:u w:val="single"/>
        </w:rPr>
        <w:t>Основные критерии по отбору доноров аллогенных ГСК</w:t>
      </w:r>
      <w:bookmarkEnd w:id="87"/>
      <w:r>
        <w:rPr>
          <w:rFonts w:eastAsia="SimSun"/>
          <w:i/>
          <w:u w:val="single"/>
        </w:rPr>
        <w:t xml:space="preserve"> </w:t>
      </w:r>
      <w:r w:rsidRPr="00EE51B1">
        <w:rPr>
          <w:rFonts w:eastAsia="SimSun"/>
          <w:i/>
          <w:u w:val="single"/>
        </w:rPr>
        <w:fldChar w:fldCharType="begin" w:fldLock="1"/>
      </w:r>
      <w:r>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[230]","plainTextFormattedCitation":"[230]","previouslyFormattedCitation":"[1]"},"properties":{"noteIndex":0},"schema":"https://github.com/citation-style-language/schema/raw/master/csl-citation.json"}</w:instrText>
      </w:r>
      <w:r w:rsidRPr="00EE51B1">
        <w:rPr>
          <w:rFonts w:eastAsia="SimSun"/>
          <w:i/>
          <w:u w:val="single"/>
        </w:rPr>
        <w:fldChar w:fldCharType="separate"/>
      </w:r>
      <w:r w:rsidRPr="008143D9">
        <w:rPr>
          <w:rFonts w:eastAsia="SimSun"/>
          <w:noProof/>
        </w:rPr>
        <w:t>[230]</w:t>
      </w:r>
      <w:r w:rsidRPr="00EE51B1">
        <w:rPr>
          <w:rFonts w:eastAsia="SimSun"/>
          <w:i/>
          <w:u w:val="single"/>
        </w:rPr>
        <w:fldChar w:fldCharType="end"/>
      </w:r>
      <w:r>
        <w:rPr>
          <w:rFonts w:eastAsia="SimSun"/>
          <w:i/>
          <w:u w:val="single"/>
        </w:rPr>
        <w:t>:</w:t>
      </w:r>
      <w:r w:rsidRPr="00EE51B1">
        <w:rPr>
          <w:rFonts w:eastAsia="SimSun"/>
          <w:i/>
          <w:u w:val="single"/>
        </w:rPr>
        <w:t xml:space="preserve"> </w:t>
      </w:r>
    </w:p>
    <w:p w14:paraId="70E51735" w14:textId="0DA18DCF" w:rsidR="008143D9" w:rsidRPr="00C07B2E" w:rsidRDefault="008143D9" w:rsidP="0091350E">
      <w:pPr>
        <w:numPr>
          <w:ilvl w:val="0"/>
          <w:numId w:val="170"/>
        </w:numPr>
        <w:overflowPunct w:val="0"/>
        <w:autoSpaceDE w:val="0"/>
        <w:autoSpaceDN w:val="0"/>
        <w:adjustRightInd w:val="0"/>
        <w:textAlignment w:val="baseline"/>
        <w:rPr>
          <w:rFonts w:eastAsia="SimSun"/>
        </w:rPr>
      </w:pPr>
      <w:r w:rsidRPr="00C07B2E">
        <w:rPr>
          <w:rFonts w:eastAsia="SimSun"/>
        </w:rPr>
        <w:t xml:space="preserve">Оценка статуса кандидата в доноры согласно определению индекса Карновского и </w:t>
      </w:r>
      <w:r w:rsidRPr="00C07B2E">
        <w:rPr>
          <w:rFonts w:eastAsia="SimSun"/>
          <w:lang w:val="en-US"/>
        </w:rPr>
        <w:t>ECOG</w:t>
      </w:r>
      <w:r w:rsidRPr="00C07B2E">
        <w:rPr>
          <w:rFonts w:eastAsia="SimSun"/>
        </w:rPr>
        <w:t>-ВОЗ.</w:t>
      </w:r>
    </w:p>
    <w:p w14:paraId="1FB83229" w14:textId="77777777" w:rsidR="008143D9" w:rsidRPr="00C07B2E" w:rsidRDefault="008143D9" w:rsidP="0091350E">
      <w:pPr>
        <w:numPr>
          <w:ilvl w:val="0"/>
          <w:numId w:val="170"/>
        </w:numPr>
        <w:overflowPunct w:val="0"/>
        <w:autoSpaceDE w:val="0"/>
        <w:autoSpaceDN w:val="0"/>
        <w:adjustRightInd w:val="0"/>
        <w:textAlignment w:val="baseline"/>
        <w:rPr>
          <w:rFonts w:eastAsia="SimSun"/>
        </w:rPr>
      </w:pPr>
      <w:r w:rsidRPr="00EE51B1">
        <w:rPr>
          <w:rFonts w:eastAsia="SimSun"/>
        </w:rPr>
        <w:t xml:space="preserve">Стандартный возраст кандидата в доноры 18–75 лет. В отдельных случаях в качестве доноров могут выступать несовершеннолетние сиблинги. </w:t>
      </w:r>
      <w:r w:rsidRPr="00C07B2E">
        <w:rPr>
          <w:rFonts w:eastAsia="SimSun"/>
        </w:rPr>
        <w:t>Решение о допуске на донацию в данном случае принимается родителями в соответствии с действующим законадательством РФ.</w:t>
      </w:r>
    </w:p>
    <w:p w14:paraId="78690391" w14:textId="77777777" w:rsidR="008143D9" w:rsidRPr="00C07B2E" w:rsidRDefault="008143D9" w:rsidP="0091350E">
      <w:pPr>
        <w:numPr>
          <w:ilvl w:val="0"/>
          <w:numId w:val="170"/>
        </w:numPr>
        <w:overflowPunct w:val="0"/>
        <w:autoSpaceDE w:val="0"/>
        <w:autoSpaceDN w:val="0"/>
        <w:adjustRightInd w:val="0"/>
        <w:textAlignment w:val="baseline"/>
        <w:rPr>
          <w:rFonts w:eastAsia="SimSun"/>
        </w:rPr>
      </w:pPr>
      <w:r w:rsidRPr="00C07B2E">
        <w:rPr>
          <w:rFonts w:eastAsia="SimSun"/>
        </w:rPr>
        <w:t xml:space="preserve">Адекватное психологическое состояние (юридическая дееспособность). </w:t>
      </w:r>
    </w:p>
    <w:p w14:paraId="6FBAC61D" w14:textId="77777777" w:rsidR="008143D9" w:rsidRPr="00C07B2E" w:rsidRDefault="008143D9" w:rsidP="0091350E">
      <w:pPr>
        <w:numPr>
          <w:ilvl w:val="0"/>
          <w:numId w:val="170"/>
        </w:numPr>
        <w:overflowPunct w:val="0"/>
        <w:autoSpaceDE w:val="0"/>
        <w:autoSpaceDN w:val="0"/>
        <w:adjustRightInd w:val="0"/>
        <w:textAlignment w:val="baseline"/>
        <w:rPr>
          <w:rFonts w:eastAsia="SimSun"/>
        </w:rPr>
      </w:pPr>
      <w:r w:rsidRPr="00C07B2E">
        <w:rPr>
          <w:rFonts w:eastAsia="SimSun"/>
        </w:rPr>
        <w:t xml:space="preserve">Наличие </w:t>
      </w:r>
      <w:r w:rsidRPr="00C07B2E">
        <w:rPr>
          <w:rFonts w:eastAsia="SimSun"/>
          <w:lang w:val="en-US"/>
        </w:rPr>
        <w:t>HLA</w:t>
      </w:r>
      <w:r w:rsidRPr="00C07B2E">
        <w:rPr>
          <w:rFonts w:eastAsia="SimSun"/>
        </w:rPr>
        <w:t xml:space="preserve">-типирования: для родственных — не менее чем по средне-низкому разрешению, для неродственных — по высокому разрешению.  Окончательные требования к разрешению типирования остаются на усмотрение трансплатационного центра в котором проводится алло-ТГСК. </w:t>
      </w:r>
    </w:p>
    <w:p w14:paraId="6B4F2ADD" w14:textId="77777777" w:rsidR="008143D9" w:rsidRPr="00C07B2E" w:rsidRDefault="008143D9" w:rsidP="0091350E">
      <w:pPr>
        <w:numPr>
          <w:ilvl w:val="0"/>
          <w:numId w:val="170"/>
        </w:numPr>
        <w:overflowPunct w:val="0"/>
        <w:autoSpaceDE w:val="0"/>
        <w:autoSpaceDN w:val="0"/>
        <w:adjustRightInd w:val="0"/>
        <w:textAlignment w:val="baseline"/>
        <w:rPr>
          <w:rFonts w:eastAsia="SimSun"/>
        </w:rPr>
      </w:pPr>
      <w:r w:rsidRPr="00C07B2E">
        <w:rPr>
          <w:rFonts w:eastAsia="SimSun"/>
        </w:rPr>
        <w:t>Оценка статуса по гемотрансмиссивным инфекциям (ВИЧ, вирусные гепатиты с дополнительными маркерами и ПЦР, сифилис) и герпес-вирусам (</w:t>
      </w:r>
      <w:r w:rsidRPr="00C07B2E">
        <w:rPr>
          <w:rFonts w:eastAsia="SimSun"/>
          <w:lang w:val="en-US"/>
        </w:rPr>
        <w:t>IgG</w:t>
      </w:r>
      <w:r w:rsidRPr="00C07B2E">
        <w:rPr>
          <w:rFonts w:eastAsia="SimSun"/>
        </w:rPr>
        <w:t xml:space="preserve"> и </w:t>
      </w:r>
      <w:r w:rsidRPr="00C07B2E">
        <w:rPr>
          <w:rFonts w:eastAsia="SimSun"/>
          <w:lang w:val="en-US"/>
        </w:rPr>
        <w:t>IgM</w:t>
      </w:r>
      <w:r w:rsidRPr="00C07B2E">
        <w:rPr>
          <w:rFonts w:eastAsia="SimSun"/>
        </w:rPr>
        <w:t xml:space="preserve"> к </w:t>
      </w:r>
      <w:r w:rsidRPr="00C07B2E">
        <w:rPr>
          <w:rFonts w:eastAsia="SimSun"/>
          <w:lang w:val="en-US"/>
        </w:rPr>
        <w:t>CMV</w:t>
      </w:r>
      <w:r w:rsidRPr="00C07B2E">
        <w:rPr>
          <w:rFonts w:eastAsia="SimSun"/>
        </w:rPr>
        <w:t xml:space="preserve">, вирусу Эпштейна—Барр). </w:t>
      </w:r>
    </w:p>
    <w:p w14:paraId="572C4284" w14:textId="77777777" w:rsidR="008143D9" w:rsidRPr="00C07B2E" w:rsidRDefault="008143D9" w:rsidP="0091350E">
      <w:pPr>
        <w:numPr>
          <w:ilvl w:val="0"/>
          <w:numId w:val="170"/>
        </w:numPr>
        <w:overflowPunct w:val="0"/>
        <w:autoSpaceDE w:val="0"/>
        <w:autoSpaceDN w:val="0"/>
        <w:adjustRightInd w:val="0"/>
        <w:textAlignment w:val="baseline"/>
        <w:rPr>
          <w:rFonts w:eastAsia="SimSun"/>
        </w:rPr>
      </w:pPr>
      <w:r w:rsidRPr="00C07B2E">
        <w:rPr>
          <w:rFonts w:eastAsia="SimSun"/>
        </w:rPr>
        <w:t>Наличие результатов обследования.</w:t>
      </w:r>
    </w:p>
    <w:p w14:paraId="5800A0E3" w14:textId="77777777" w:rsidR="008143D9" w:rsidRDefault="008143D9" w:rsidP="008143D9">
      <w:pPr>
        <w:rPr>
          <w:rFonts w:eastAsia="SimSun"/>
        </w:rPr>
      </w:pPr>
      <w:bookmarkStart w:id="88" w:name="_Toc44401115"/>
    </w:p>
    <w:p w14:paraId="2B2903A0" w14:textId="3D7CD939" w:rsidR="008143D9" w:rsidRPr="00EE51B1" w:rsidRDefault="008143D9" w:rsidP="008143D9">
      <w:pPr>
        <w:rPr>
          <w:rFonts w:eastAsia="SimSun"/>
          <w:i/>
          <w:u w:val="single"/>
        </w:rPr>
      </w:pPr>
      <w:r w:rsidRPr="00EE51B1">
        <w:rPr>
          <w:rFonts w:eastAsia="SimSun"/>
          <w:i/>
          <w:u w:val="single"/>
        </w:rPr>
        <w:t>Дополнительные критерии по отбору доноров аллогенных ГСК</w:t>
      </w:r>
      <w:bookmarkEnd w:id="88"/>
      <w:r w:rsidRPr="00EE51B1">
        <w:rPr>
          <w:rFonts w:eastAsia="SimSun"/>
          <w:i/>
          <w:u w:val="single"/>
        </w:rPr>
        <w:t xml:space="preserve"> </w:t>
      </w:r>
      <w:r w:rsidRPr="00EE51B1">
        <w:rPr>
          <w:rFonts w:eastAsia="SimSun"/>
          <w:i/>
          <w:u w:val="single"/>
        </w:rPr>
        <w:fldChar w:fldCharType="begin" w:fldLock="1"/>
      </w:r>
      <w:r>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[230]","plainTextFormattedCitation":"[230]","previouslyFormattedCitation":"[1]"},"properties":{"noteIndex":0},"schema":"https://github.com/citation-style-language/schema/raw/master/csl-citation.json"}</w:instrText>
      </w:r>
      <w:r w:rsidRPr="00EE51B1">
        <w:rPr>
          <w:rFonts w:eastAsia="SimSun"/>
          <w:i/>
          <w:u w:val="single"/>
        </w:rPr>
        <w:fldChar w:fldCharType="separate"/>
      </w:r>
      <w:r w:rsidRPr="008143D9">
        <w:rPr>
          <w:rFonts w:eastAsia="SimSun"/>
          <w:noProof/>
        </w:rPr>
        <w:t>[230]</w:t>
      </w:r>
      <w:r w:rsidRPr="00EE51B1">
        <w:rPr>
          <w:rFonts w:eastAsia="SimSun"/>
          <w:i/>
          <w:u w:val="single"/>
        </w:rPr>
        <w:fldChar w:fldCharType="end"/>
      </w:r>
      <w:r>
        <w:rPr>
          <w:rFonts w:eastAsia="SimSun"/>
          <w:i/>
          <w:u w:val="single"/>
        </w:rPr>
        <w:t>:</w:t>
      </w:r>
    </w:p>
    <w:p w14:paraId="5F7CDED3" w14:textId="77777777" w:rsidR="008143D9" w:rsidRPr="00C07B2E" w:rsidRDefault="008143D9" w:rsidP="0091350E">
      <w:pPr>
        <w:numPr>
          <w:ilvl w:val="0"/>
          <w:numId w:val="171"/>
        </w:numPr>
        <w:overflowPunct w:val="0"/>
        <w:autoSpaceDE w:val="0"/>
        <w:autoSpaceDN w:val="0"/>
        <w:adjustRightInd w:val="0"/>
        <w:textAlignment w:val="baseline"/>
        <w:rPr>
          <w:rFonts w:eastAsia="SimSun"/>
        </w:rPr>
      </w:pPr>
      <w:r w:rsidRPr="00C07B2E">
        <w:rPr>
          <w:rFonts w:eastAsia="SimSun"/>
        </w:rPr>
        <w:t>Информация об инфекционном статусе. Перенесенных заболеваниях в том числе (</w:t>
      </w:r>
      <w:r w:rsidRPr="00C07B2E">
        <w:rPr>
          <w:rFonts w:eastAsia="SimSun"/>
          <w:lang w:val="en-US"/>
        </w:rPr>
        <w:t>COVID</w:t>
      </w:r>
      <w:r w:rsidRPr="00C07B2E">
        <w:rPr>
          <w:rFonts w:eastAsia="SimSun"/>
        </w:rPr>
        <w:t>-19, туберкулезе, вирусных гепатитах)</w:t>
      </w:r>
    </w:p>
    <w:p w14:paraId="547D2C5A" w14:textId="77777777" w:rsidR="008143D9" w:rsidRPr="00C07B2E" w:rsidRDefault="008143D9" w:rsidP="0091350E">
      <w:pPr>
        <w:numPr>
          <w:ilvl w:val="0"/>
          <w:numId w:val="171"/>
        </w:numPr>
        <w:overflowPunct w:val="0"/>
        <w:autoSpaceDE w:val="0"/>
        <w:autoSpaceDN w:val="0"/>
        <w:adjustRightInd w:val="0"/>
        <w:textAlignment w:val="baseline"/>
        <w:rPr>
          <w:rFonts w:eastAsia="SimSun"/>
        </w:rPr>
      </w:pPr>
      <w:r w:rsidRPr="00C07B2E">
        <w:rPr>
          <w:rFonts w:eastAsia="SimSun"/>
        </w:rPr>
        <w:t>Информация о структурных и врожденных аномалиях, наличии протезированного биоматериала.</w:t>
      </w:r>
    </w:p>
    <w:p w14:paraId="611B6185" w14:textId="77777777" w:rsidR="008143D9" w:rsidRPr="00C07B2E" w:rsidRDefault="008143D9" w:rsidP="0091350E">
      <w:pPr>
        <w:numPr>
          <w:ilvl w:val="0"/>
          <w:numId w:val="171"/>
        </w:numPr>
        <w:overflowPunct w:val="0"/>
        <w:autoSpaceDE w:val="0"/>
        <w:autoSpaceDN w:val="0"/>
        <w:adjustRightInd w:val="0"/>
        <w:textAlignment w:val="baseline"/>
        <w:rPr>
          <w:rFonts w:eastAsia="SimSun"/>
        </w:rPr>
      </w:pPr>
      <w:r w:rsidRPr="00C07B2E">
        <w:rPr>
          <w:rFonts w:eastAsia="SimSun"/>
        </w:rPr>
        <w:t>Поездки в страны Юго-Восточной Азии, Африки, Центральной и Южной Америки.</w:t>
      </w:r>
    </w:p>
    <w:p w14:paraId="72790993" w14:textId="77777777" w:rsidR="008143D9" w:rsidRPr="00C07B2E" w:rsidRDefault="008143D9" w:rsidP="0091350E">
      <w:pPr>
        <w:numPr>
          <w:ilvl w:val="0"/>
          <w:numId w:val="171"/>
        </w:numPr>
        <w:overflowPunct w:val="0"/>
        <w:autoSpaceDE w:val="0"/>
        <w:autoSpaceDN w:val="0"/>
        <w:adjustRightInd w:val="0"/>
        <w:textAlignment w:val="baseline"/>
        <w:rPr>
          <w:rFonts w:eastAsia="SimSun"/>
        </w:rPr>
      </w:pPr>
      <w:r w:rsidRPr="00C07B2E">
        <w:rPr>
          <w:rFonts w:eastAsia="SimSun"/>
        </w:rPr>
        <w:t>Информация о наличии хронических заболеваний и их стадии.</w:t>
      </w:r>
    </w:p>
    <w:p w14:paraId="28713993" w14:textId="77777777" w:rsidR="008143D9" w:rsidRPr="00C07B2E" w:rsidRDefault="008143D9" w:rsidP="0091350E">
      <w:pPr>
        <w:numPr>
          <w:ilvl w:val="0"/>
          <w:numId w:val="171"/>
        </w:numPr>
        <w:overflowPunct w:val="0"/>
        <w:autoSpaceDE w:val="0"/>
        <w:autoSpaceDN w:val="0"/>
        <w:adjustRightInd w:val="0"/>
        <w:textAlignment w:val="baseline"/>
        <w:rPr>
          <w:rFonts w:eastAsia="SimSun"/>
        </w:rPr>
      </w:pPr>
      <w:r w:rsidRPr="00C07B2E">
        <w:rPr>
          <w:rFonts w:eastAsia="SimSun"/>
        </w:rPr>
        <w:t>Информация о лечении зубов, переливании компонентов крови, татуировках в течение как минимум 6 мес до донации.</w:t>
      </w:r>
    </w:p>
    <w:p w14:paraId="1ABA88E8" w14:textId="77777777" w:rsidR="008143D9" w:rsidRPr="00C07B2E" w:rsidRDefault="008143D9" w:rsidP="0091350E">
      <w:pPr>
        <w:numPr>
          <w:ilvl w:val="0"/>
          <w:numId w:val="171"/>
        </w:numPr>
        <w:overflowPunct w:val="0"/>
        <w:autoSpaceDE w:val="0"/>
        <w:autoSpaceDN w:val="0"/>
        <w:adjustRightInd w:val="0"/>
        <w:textAlignment w:val="baseline"/>
        <w:rPr>
          <w:rFonts w:eastAsia="SimSun"/>
        </w:rPr>
      </w:pPr>
      <w:r w:rsidRPr="00C07B2E">
        <w:rPr>
          <w:rFonts w:eastAsia="SimSun"/>
        </w:rPr>
        <w:t>Количество беременностей и родов в анамнезе.</w:t>
      </w:r>
    </w:p>
    <w:p w14:paraId="0122F138" w14:textId="77777777" w:rsidR="008143D9" w:rsidRPr="00C07B2E" w:rsidRDefault="008143D9" w:rsidP="0091350E">
      <w:pPr>
        <w:numPr>
          <w:ilvl w:val="0"/>
          <w:numId w:val="171"/>
        </w:numPr>
        <w:overflowPunct w:val="0"/>
        <w:autoSpaceDE w:val="0"/>
        <w:autoSpaceDN w:val="0"/>
        <w:adjustRightInd w:val="0"/>
        <w:textAlignment w:val="baseline"/>
        <w:rPr>
          <w:rFonts w:eastAsia="SimSun"/>
        </w:rPr>
      </w:pPr>
      <w:r w:rsidRPr="00C07B2E">
        <w:rPr>
          <w:rFonts w:eastAsia="SimSun"/>
        </w:rPr>
        <w:t>Вес донора и реципиента — если вес донора составляет менее 50% от веса пациента, то рекомендуется рассмотреть в качестве источника трансплантата СКК.</w:t>
      </w:r>
    </w:p>
    <w:p w14:paraId="348CA904" w14:textId="77777777" w:rsidR="008143D9" w:rsidRPr="00C07B2E" w:rsidRDefault="008143D9" w:rsidP="0091350E">
      <w:pPr>
        <w:numPr>
          <w:ilvl w:val="0"/>
          <w:numId w:val="171"/>
        </w:numPr>
        <w:overflowPunct w:val="0"/>
        <w:autoSpaceDE w:val="0"/>
        <w:autoSpaceDN w:val="0"/>
        <w:adjustRightInd w:val="0"/>
        <w:textAlignment w:val="baseline"/>
        <w:rPr>
          <w:rFonts w:eastAsia="SimSun"/>
        </w:rPr>
      </w:pPr>
      <w:r w:rsidRPr="00C07B2E">
        <w:rPr>
          <w:rFonts w:eastAsia="SimSun"/>
        </w:rPr>
        <w:t xml:space="preserve">Нутритивный статус: избыточный вес или дефицит массы тела (на основаниий ИМТ и/или концентрации альбумина в сыворотке крови). </w:t>
      </w:r>
    </w:p>
    <w:p w14:paraId="133CD6B9" w14:textId="77777777" w:rsidR="008143D9" w:rsidRPr="00C07B2E" w:rsidRDefault="008143D9" w:rsidP="0091350E">
      <w:pPr>
        <w:numPr>
          <w:ilvl w:val="0"/>
          <w:numId w:val="171"/>
        </w:numPr>
        <w:overflowPunct w:val="0"/>
        <w:autoSpaceDE w:val="0"/>
        <w:autoSpaceDN w:val="0"/>
        <w:adjustRightInd w:val="0"/>
        <w:textAlignment w:val="baseline"/>
        <w:rPr>
          <w:rFonts w:eastAsia="SimSun"/>
        </w:rPr>
      </w:pPr>
      <w:r w:rsidRPr="00C07B2E">
        <w:rPr>
          <w:rFonts w:eastAsia="SimSun"/>
        </w:rPr>
        <w:t>Оперативные вмешательства в анамнезе</w:t>
      </w:r>
    </w:p>
    <w:p w14:paraId="20063523" w14:textId="77777777" w:rsidR="008143D9" w:rsidRPr="00C07B2E" w:rsidRDefault="008143D9" w:rsidP="0091350E">
      <w:pPr>
        <w:numPr>
          <w:ilvl w:val="0"/>
          <w:numId w:val="171"/>
        </w:numPr>
        <w:overflowPunct w:val="0"/>
        <w:autoSpaceDE w:val="0"/>
        <w:autoSpaceDN w:val="0"/>
        <w:adjustRightInd w:val="0"/>
        <w:textAlignment w:val="baseline"/>
        <w:rPr>
          <w:rFonts w:eastAsia="SimSun"/>
        </w:rPr>
      </w:pPr>
      <w:r w:rsidRPr="00C07B2E">
        <w:rPr>
          <w:rFonts w:eastAsia="SimSun"/>
        </w:rPr>
        <w:t>Предполагаемая трудная интубация трахеи (для доноров костного мозга)</w:t>
      </w:r>
    </w:p>
    <w:p w14:paraId="29314B35" w14:textId="77777777" w:rsidR="008143D9" w:rsidRDefault="008143D9" w:rsidP="008143D9">
      <w:pPr>
        <w:rPr>
          <w:rFonts w:eastAsia="SimSun"/>
        </w:rPr>
      </w:pPr>
      <w:bookmarkStart w:id="89" w:name="_Toc44401116"/>
    </w:p>
    <w:p w14:paraId="631EF706" w14:textId="06B76F94" w:rsidR="008143D9" w:rsidRPr="00470D3D" w:rsidRDefault="008143D9" w:rsidP="008143D9">
      <w:pPr>
        <w:rPr>
          <w:rFonts w:eastAsia="SimSun"/>
          <w:i/>
          <w:u w:val="single"/>
        </w:rPr>
      </w:pPr>
      <w:r w:rsidRPr="00470D3D">
        <w:rPr>
          <w:rFonts w:eastAsia="SimSun"/>
          <w:i/>
          <w:u w:val="single"/>
        </w:rPr>
        <w:t>Противопоказания для донорства</w:t>
      </w:r>
      <w:bookmarkEnd w:id="89"/>
      <w:r>
        <w:rPr>
          <w:rFonts w:eastAsia="SimSun"/>
          <w:i/>
          <w:u w:val="single"/>
        </w:rPr>
        <w:t xml:space="preserve"> </w:t>
      </w:r>
      <w:r w:rsidRPr="00EE51B1">
        <w:rPr>
          <w:rFonts w:eastAsia="SimSun"/>
          <w:i/>
          <w:u w:val="single"/>
        </w:rPr>
        <w:fldChar w:fldCharType="begin" w:fldLock="1"/>
      </w:r>
      <w:r>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[230]","plainTextFormattedCitation":"[230]","previouslyFormattedCitation":"[1]"},"properties":{"noteIndex":0},"schema":"https://github.com/citation-style-language/schema/raw/master/csl-citation.json"}</w:instrText>
      </w:r>
      <w:r w:rsidRPr="00EE51B1">
        <w:rPr>
          <w:rFonts w:eastAsia="SimSun"/>
          <w:i/>
          <w:u w:val="single"/>
        </w:rPr>
        <w:fldChar w:fldCharType="separate"/>
      </w:r>
      <w:r w:rsidRPr="008143D9">
        <w:rPr>
          <w:rFonts w:eastAsia="SimSun"/>
          <w:noProof/>
        </w:rPr>
        <w:t>[230]</w:t>
      </w:r>
      <w:r w:rsidRPr="00EE51B1">
        <w:rPr>
          <w:rFonts w:eastAsia="SimSun"/>
          <w:i/>
          <w:u w:val="single"/>
        </w:rPr>
        <w:fldChar w:fldCharType="end"/>
      </w:r>
    </w:p>
    <w:p w14:paraId="35F77D4E" w14:textId="77777777" w:rsidR="008143D9" w:rsidRPr="00C07B2E" w:rsidRDefault="008143D9" w:rsidP="006F7601">
      <w:pPr>
        <w:ind w:firstLine="709"/>
        <w:rPr>
          <w:rFonts w:eastAsia="SimSun"/>
        </w:rPr>
      </w:pPr>
      <w:r w:rsidRPr="00C07B2E">
        <w:rPr>
          <w:rFonts w:eastAsia="SimSun"/>
        </w:rPr>
        <w:t xml:space="preserve">Медицинские противопоказания для изъятия аллогенного костного мозга и/или забора аллогенных гемопоэтических стволовых клеток в целях их трансплантации являются следующие заболевания (состояния) у донора которые определены Приказом Минздрава России от 12.12.2018 N 875н "Об утверждении Порядка оказания медицинской помощи при заболеваниях (состояниях), для лечения которых применяется трансплантация (пересадка) костного мозга и гемопоэтических стволовых клеток, и внесении изменения в Порядок оказания медицинской помощи по профилю "хирургия (трансплантация органов и (или) тканей человека)", утвержденный приказом Министерства здравоохранения Российской Федерации от 31 октября 2012 г. N 567н" (Зарегистрировано в Минюсте России 09.01.2019 N 53256). </w:t>
      </w:r>
    </w:p>
    <w:p w14:paraId="728EEC81" w14:textId="77777777" w:rsidR="008143D9" w:rsidRPr="00C07B2E" w:rsidRDefault="008143D9" w:rsidP="008143D9">
      <w:pPr>
        <w:rPr>
          <w:rFonts w:eastAsia="SimSun"/>
        </w:rPr>
      </w:pPr>
    </w:p>
    <w:p w14:paraId="70140287" w14:textId="7E708478" w:rsidR="008143D9" w:rsidRPr="00470D3D" w:rsidRDefault="008143D9" w:rsidP="008143D9">
      <w:pPr>
        <w:rPr>
          <w:bCs/>
          <w:i/>
          <w:u w:val="single"/>
        </w:rPr>
      </w:pPr>
      <w:bookmarkStart w:id="90" w:name="_Toc44401117"/>
      <w:r w:rsidRPr="00470D3D">
        <w:rPr>
          <w:bCs/>
          <w:i/>
          <w:u w:val="single"/>
        </w:rPr>
        <w:t>Абсолютные медицинские  противопоказания</w:t>
      </w:r>
      <w:r>
        <w:rPr>
          <w:bCs/>
          <w:i/>
          <w:u w:val="single"/>
        </w:rPr>
        <w:t xml:space="preserve"> </w:t>
      </w:r>
      <w:r w:rsidRPr="00EE51B1">
        <w:rPr>
          <w:rFonts w:eastAsia="SimSun"/>
          <w:i/>
          <w:u w:val="single"/>
        </w:rPr>
        <w:fldChar w:fldCharType="begin" w:fldLock="1"/>
      </w:r>
      <w:r>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[230]","plainTextFormattedCitation":"[230]","previouslyFormattedCitation":"[1]"},"properties":{"noteIndex":0},"schema":"https://github.com/citation-style-language/schema/raw/master/csl-citation.json"}</w:instrText>
      </w:r>
      <w:r w:rsidRPr="00EE51B1">
        <w:rPr>
          <w:rFonts w:eastAsia="SimSun"/>
          <w:i/>
          <w:u w:val="single"/>
        </w:rPr>
        <w:fldChar w:fldCharType="separate"/>
      </w:r>
      <w:r w:rsidRPr="008143D9">
        <w:rPr>
          <w:rFonts w:eastAsia="SimSun"/>
          <w:noProof/>
        </w:rPr>
        <w:t>[230]</w:t>
      </w:r>
      <w:r w:rsidRPr="00EE51B1">
        <w:rPr>
          <w:rFonts w:eastAsia="SimSun"/>
          <w:i/>
          <w:u w:val="single"/>
        </w:rPr>
        <w:fldChar w:fldCharType="end"/>
      </w:r>
      <w:r w:rsidRPr="00470D3D">
        <w:rPr>
          <w:bCs/>
          <w:i/>
          <w:u w:val="single"/>
        </w:rPr>
        <w:t>:</w:t>
      </w:r>
      <w:bookmarkEnd w:id="90"/>
      <w:r w:rsidRPr="00470D3D">
        <w:rPr>
          <w:bCs/>
          <w:i/>
          <w:u w:val="single"/>
        </w:rPr>
        <w:t xml:space="preserve"> </w:t>
      </w:r>
    </w:p>
    <w:p w14:paraId="4AB1E403" w14:textId="77777777" w:rsidR="008143D9" w:rsidRPr="00C07B2E" w:rsidRDefault="008143D9" w:rsidP="0091350E">
      <w:pPr>
        <w:numPr>
          <w:ilvl w:val="0"/>
          <w:numId w:val="172"/>
        </w:numPr>
        <w:overflowPunct w:val="0"/>
        <w:autoSpaceDE w:val="0"/>
        <w:autoSpaceDN w:val="0"/>
        <w:adjustRightInd w:val="0"/>
        <w:textAlignment w:val="baseline"/>
        <w:rPr>
          <w:bCs/>
        </w:rPr>
      </w:pPr>
      <w:r w:rsidRPr="00C07B2E">
        <w:rPr>
          <w:bCs/>
        </w:rPr>
        <w:t>инфекционные заболевания в стадии обострения;</w:t>
      </w:r>
    </w:p>
    <w:p w14:paraId="25852161" w14:textId="77777777" w:rsidR="008143D9" w:rsidRPr="00C07B2E" w:rsidRDefault="008143D9" w:rsidP="0091350E">
      <w:pPr>
        <w:numPr>
          <w:ilvl w:val="0"/>
          <w:numId w:val="172"/>
        </w:numPr>
        <w:overflowPunct w:val="0"/>
        <w:autoSpaceDE w:val="0"/>
        <w:autoSpaceDN w:val="0"/>
        <w:adjustRightInd w:val="0"/>
        <w:textAlignment w:val="baseline"/>
        <w:rPr>
          <w:bCs/>
        </w:rPr>
      </w:pPr>
      <w:r w:rsidRPr="00C07B2E">
        <w:rPr>
          <w:bCs/>
        </w:rPr>
        <w:t>наличие в крови маркеров вируса иммунодефицита человека;</w:t>
      </w:r>
    </w:p>
    <w:p w14:paraId="7F5E5B5A" w14:textId="77777777" w:rsidR="008143D9" w:rsidRPr="00C07B2E" w:rsidRDefault="008143D9" w:rsidP="0091350E">
      <w:pPr>
        <w:numPr>
          <w:ilvl w:val="0"/>
          <w:numId w:val="172"/>
        </w:numPr>
        <w:overflowPunct w:val="0"/>
        <w:autoSpaceDE w:val="0"/>
        <w:autoSpaceDN w:val="0"/>
        <w:adjustRightInd w:val="0"/>
        <w:textAlignment w:val="baseline"/>
        <w:rPr>
          <w:bCs/>
        </w:rPr>
      </w:pPr>
      <w:r w:rsidRPr="00C07B2E">
        <w:rPr>
          <w:bCs/>
        </w:rPr>
        <w:t>болезнь Крейтцфельдта-Якоба в анамнезе;</w:t>
      </w:r>
    </w:p>
    <w:p w14:paraId="61E39915" w14:textId="77777777" w:rsidR="008143D9" w:rsidRPr="00C07B2E" w:rsidRDefault="008143D9" w:rsidP="0091350E">
      <w:pPr>
        <w:numPr>
          <w:ilvl w:val="0"/>
          <w:numId w:val="172"/>
        </w:numPr>
        <w:overflowPunct w:val="0"/>
        <w:autoSpaceDE w:val="0"/>
        <w:autoSpaceDN w:val="0"/>
        <w:adjustRightInd w:val="0"/>
        <w:textAlignment w:val="baseline"/>
        <w:rPr>
          <w:bCs/>
        </w:rPr>
      </w:pPr>
      <w:r w:rsidRPr="00C07B2E">
        <w:rPr>
          <w:bCs/>
        </w:rPr>
        <w:t>злокачественные новообразования;</w:t>
      </w:r>
    </w:p>
    <w:p w14:paraId="7374B18A" w14:textId="77777777" w:rsidR="008143D9" w:rsidRPr="00C07B2E" w:rsidRDefault="008143D9" w:rsidP="0091350E">
      <w:pPr>
        <w:numPr>
          <w:ilvl w:val="0"/>
          <w:numId w:val="172"/>
        </w:numPr>
        <w:overflowPunct w:val="0"/>
        <w:autoSpaceDE w:val="0"/>
        <w:autoSpaceDN w:val="0"/>
        <w:adjustRightInd w:val="0"/>
        <w:textAlignment w:val="baseline"/>
        <w:rPr>
          <w:bCs/>
        </w:rPr>
      </w:pPr>
      <w:r w:rsidRPr="00C07B2E">
        <w:rPr>
          <w:bCs/>
        </w:rPr>
        <w:t>кахексия;</w:t>
      </w:r>
    </w:p>
    <w:p w14:paraId="5ECBDF16" w14:textId="77777777" w:rsidR="008143D9" w:rsidRPr="00C07B2E" w:rsidRDefault="008143D9" w:rsidP="0091350E">
      <w:pPr>
        <w:numPr>
          <w:ilvl w:val="0"/>
          <w:numId w:val="172"/>
        </w:numPr>
        <w:overflowPunct w:val="0"/>
        <w:autoSpaceDE w:val="0"/>
        <w:autoSpaceDN w:val="0"/>
        <w:adjustRightInd w:val="0"/>
        <w:textAlignment w:val="baseline"/>
        <w:rPr>
          <w:bCs/>
        </w:rPr>
      </w:pPr>
      <w:r w:rsidRPr="00C07B2E">
        <w:rPr>
          <w:bCs/>
        </w:rPr>
        <w:t>терапия иммуносупрессивными лекарственными препаратами или иными лекарственными препаратами, которые могут повлиять на способность к самоподдержанию собственной популяции и полипотентность костного мозга и гемопоэтических стволовых клеток (на дату изъятия костного мозга и забора гемопоэтических стволовых клеток и до прекращения приема указанных лекарственных препаратов и восстановления кровяных ростков);</w:t>
      </w:r>
    </w:p>
    <w:p w14:paraId="4E3A34D2" w14:textId="77777777" w:rsidR="008143D9" w:rsidRPr="00C07B2E" w:rsidRDefault="008143D9" w:rsidP="0091350E">
      <w:pPr>
        <w:numPr>
          <w:ilvl w:val="0"/>
          <w:numId w:val="172"/>
        </w:numPr>
        <w:overflowPunct w:val="0"/>
        <w:autoSpaceDE w:val="0"/>
        <w:autoSpaceDN w:val="0"/>
        <w:adjustRightInd w:val="0"/>
        <w:textAlignment w:val="baseline"/>
        <w:rPr>
          <w:bCs/>
        </w:rPr>
      </w:pPr>
      <w:r w:rsidRPr="00C07B2E">
        <w:rPr>
          <w:bCs/>
        </w:rPr>
        <w:t>психические расстройства и расстройства поведения в состоянии обострения и (или) представляющие опасность для больного и окружающих;</w:t>
      </w:r>
    </w:p>
    <w:p w14:paraId="2A09305C" w14:textId="77777777" w:rsidR="008143D9" w:rsidRPr="00C07B2E" w:rsidRDefault="008143D9" w:rsidP="0091350E">
      <w:pPr>
        <w:numPr>
          <w:ilvl w:val="0"/>
          <w:numId w:val="172"/>
        </w:numPr>
        <w:overflowPunct w:val="0"/>
        <w:autoSpaceDE w:val="0"/>
        <w:autoSpaceDN w:val="0"/>
        <w:adjustRightInd w:val="0"/>
        <w:textAlignment w:val="baseline"/>
        <w:rPr>
          <w:bCs/>
        </w:rPr>
      </w:pPr>
      <w:r w:rsidRPr="00C07B2E">
        <w:rPr>
          <w:bCs/>
        </w:rPr>
        <w:t>психические расстройства и расстройства поведения, вызванные употреблением психоактивных веществ;</w:t>
      </w:r>
    </w:p>
    <w:p w14:paraId="3D910B9E" w14:textId="77777777" w:rsidR="008143D9" w:rsidRPr="00C07B2E" w:rsidRDefault="008143D9" w:rsidP="0091350E">
      <w:pPr>
        <w:numPr>
          <w:ilvl w:val="0"/>
          <w:numId w:val="172"/>
        </w:numPr>
        <w:overflowPunct w:val="0"/>
        <w:autoSpaceDE w:val="0"/>
        <w:autoSpaceDN w:val="0"/>
        <w:adjustRightInd w:val="0"/>
        <w:textAlignment w:val="baseline"/>
        <w:rPr>
          <w:bCs/>
        </w:rPr>
      </w:pPr>
      <w:r w:rsidRPr="00C07B2E">
        <w:rPr>
          <w:bCs/>
        </w:rPr>
        <w:t>беременность;</w:t>
      </w:r>
    </w:p>
    <w:p w14:paraId="00779035" w14:textId="77777777" w:rsidR="008143D9" w:rsidRPr="00C07B2E" w:rsidRDefault="008143D9" w:rsidP="0091350E">
      <w:pPr>
        <w:numPr>
          <w:ilvl w:val="0"/>
          <w:numId w:val="172"/>
        </w:numPr>
        <w:overflowPunct w:val="0"/>
        <w:autoSpaceDE w:val="0"/>
        <w:autoSpaceDN w:val="0"/>
        <w:adjustRightInd w:val="0"/>
        <w:textAlignment w:val="baseline"/>
        <w:rPr>
          <w:bCs/>
        </w:rPr>
      </w:pPr>
      <w:r w:rsidRPr="00C07B2E">
        <w:rPr>
          <w:bCs/>
        </w:rPr>
        <w:t>грудное вскармливание</w:t>
      </w:r>
      <w:r w:rsidRPr="00C07B2E">
        <w:rPr>
          <w:bCs/>
          <w:lang w:val="en-US"/>
        </w:rPr>
        <w:t>;</w:t>
      </w:r>
    </w:p>
    <w:p w14:paraId="05E3F2A3" w14:textId="77777777" w:rsidR="008143D9" w:rsidRPr="00C07B2E" w:rsidRDefault="008143D9" w:rsidP="0091350E">
      <w:pPr>
        <w:numPr>
          <w:ilvl w:val="0"/>
          <w:numId w:val="172"/>
        </w:numPr>
        <w:overflowPunct w:val="0"/>
        <w:autoSpaceDE w:val="0"/>
        <w:autoSpaceDN w:val="0"/>
        <w:adjustRightInd w:val="0"/>
        <w:textAlignment w:val="baseline"/>
        <w:rPr>
          <w:bCs/>
        </w:rPr>
      </w:pPr>
      <w:r w:rsidRPr="00C07B2E">
        <w:rPr>
          <w:bCs/>
        </w:rPr>
        <w:t>отсутствие подписанного донором информированного согласия на забор ГСК или костного мозга</w:t>
      </w:r>
    </w:p>
    <w:p w14:paraId="14DFFF3B" w14:textId="77777777" w:rsidR="008143D9" w:rsidRPr="00C07B2E" w:rsidRDefault="008143D9" w:rsidP="008143D9">
      <w:pPr>
        <w:rPr>
          <w:rFonts w:eastAsia="SimSun"/>
        </w:rPr>
      </w:pPr>
    </w:p>
    <w:p w14:paraId="704F3941" w14:textId="247801F6" w:rsidR="008143D9" w:rsidRPr="00470D3D" w:rsidRDefault="008143D9" w:rsidP="008143D9">
      <w:pPr>
        <w:rPr>
          <w:rFonts w:eastAsia="SimSun"/>
          <w:i/>
          <w:u w:val="single"/>
        </w:rPr>
      </w:pPr>
      <w:bookmarkStart w:id="91" w:name="_Toc44401118"/>
      <w:r w:rsidRPr="00470D3D">
        <w:rPr>
          <w:rFonts w:eastAsia="SimSun"/>
          <w:i/>
          <w:u w:val="single"/>
        </w:rPr>
        <w:t>Относительные медицинские противопоказания</w:t>
      </w:r>
      <w:r>
        <w:rPr>
          <w:rFonts w:eastAsia="SimSun"/>
          <w:i/>
          <w:u w:val="single"/>
        </w:rPr>
        <w:t xml:space="preserve"> </w:t>
      </w:r>
      <w:r w:rsidRPr="00EE51B1">
        <w:rPr>
          <w:rFonts w:eastAsia="SimSun"/>
          <w:i/>
          <w:u w:val="single"/>
        </w:rPr>
        <w:fldChar w:fldCharType="begin" w:fldLock="1"/>
      </w:r>
      <w:r>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[230]","plainTextFormattedCitation":"[230]","previouslyFormattedCitation":"[1]"},"properties":{"noteIndex":0},"schema":"https://github.com/citation-style-language/schema/raw/master/csl-citation.json"}</w:instrText>
      </w:r>
      <w:r w:rsidRPr="00EE51B1">
        <w:rPr>
          <w:rFonts w:eastAsia="SimSun"/>
          <w:i/>
          <w:u w:val="single"/>
        </w:rPr>
        <w:fldChar w:fldCharType="separate"/>
      </w:r>
      <w:r w:rsidRPr="008143D9">
        <w:rPr>
          <w:rFonts w:eastAsia="SimSun"/>
          <w:noProof/>
        </w:rPr>
        <w:t>[230]</w:t>
      </w:r>
      <w:r w:rsidRPr="00EE51B1">
        <w:rPr>
          <w:rFonts w:eastAsia="SimSun"/>
          <w:i/>
          <w:u w:val="single"/>
        </w:rPr>
        <w:fldChar w:fldCharType="end"/>
      </w:r>
      <w:r w:rsidRPr="00470D3D">
        <w:rPr>
          <w:rFonts w:eastAsia="SimSun"/>
          <w:i/>
          <w:u w:val="single"/>
        </w:rPr>
        <w:t>:</w:t>
      </w:r>
      <w:bookmarkEnd w:id="91"/>
    </w:p>
    <w:p w14:paraId="2A5463BD" w14:textId="77777777" w:rsidR="008143D9" w:rsidRPr="00C07B2E" w:rsidRDefault="008143D9" w:rsidP="0091350E">
      <w:pPr>
        <w:numPr>
          <w:ilvl w:val="0"/>
          <w:numId w:val="173"/>
        </w:numPr>
        <w:overflowPunct w:val="0"/>
        <w:autoSpaceDE w:val="0"/>
        <w:autoSpaceDN w:val="0"/>
        <w:adjustRightInd w:val="0"/>
        <w:textAlignment w:val="baseline"/>
        <w:rPr>
          <w:rFonts w:eastAsia="SimSun"/>
        </w:rPr>
      </w:pPr>
      <w:r w:rsidRPr="00C07B2E">
        <w:rPr>
          <w:rFonts w:eastAsia="SimSun"/>
        </w:rPr>
        <w:t>наличие инфекционных заболеваний вне обострения или инфекционные заболевания в анамнезе, в том числе выявление маркеров вирусов гепатитов (за исключением перенесенного гепатита A в анамнезе), сифилиса;</w:t>
      </w:r>
    </w:p>
    <w:p w14:paraId="02830FB9" w14:textId="77777777" w:rsidR="008143D9" w:rsidRPr="00C07B2E" w:rsidRDefault="008143D9" w:rsidP="0091350E">
      <w:pPr>
        <w:numPr>
          <w:ilvl w:val="0"/>
          <w:numId w:val="173"/>
        </w:numPr>
        <w:overflowPunct w:val="0"/>
        <w:autoSpaceDE w:val="0"/>
        <w:autoSpaceDN w:val="0"/>
        <w:adjustRightInd w:val="0"/>
        <w:textAlignment w:val="baseline"/>
        <w:rPr>
          <w:rFonts w:eastAsia="SimSun"/>
        </w:rPr>
      </w:pPr>
      <w:r w:rsidRPr="00C07B2E">
        <w:rPr>
          <w:rFonts w:eastAsia="SimSun"/>
        </w:rPr>
        <w:t>доброкачественные новообразования;</w:t>
      </w:r>
    </w:p>
    <w:p w14:paraId="78FED950" w14:textId="77777777" w:rsidR="008143D9" w:rsidRPr="00C07B2E" w:rsidRDefault="008143D9" w:rsidP="0091350E">
      <w:pPr>
        <w:numPr>
          <w:ilvl w:val="0"/>
          <w:numId w:val="173"/>
        </w:numPr>
        <w:overflowPunct w:val="0"/>
        <w:autoSpaceDE w:val="0"/>
        <w:autoSpaceDN w:val="0"/>
        <w:adjustRightInd w:val="0"/>
        <w:textAlignment w:val="baseline"/>
        <w:rPr>
          <w:rFonts w:eastAsia="SimSun"/>
        </w:rPr>
      </w:pPr>
      <w:r w:rsidRPr="00C07B2E">
        <w:rPr>
          <w:rFonts w:eastAsia="SimSun"/>
        </w:rPr>
        <w:t>нарушения здоровья, связанные с нарушением двигательных функций, болезнями системы кровообращения, болезнями органов пищеварения и органов дыхания, болезнями мочеполовой системы, болезнями эндокринной системы, болезнями крови, кроветворных органов и отдельными нарушениями, вовлекающими иммунный механизм, психическими расстройствами и сопровождающиеся стойким расстройством функций организма;</w:t>
      </w:r>
    </w:p>
    <w:p w14:paraId="63E3B93D" w14:textId="77777777" w:rsidR="008143D9" w:rsidRPr="00C07B2E" w:rsidRDefault="008143D9" w:rsidP="0091350E">
      <w:pPr>
        <w:numPr>
          <w:ilvl w:val="0"/>
          <w:numId w:val="173"/>
        </w:numPr>
        <w:overflowPunct w:val="0"/>
        <w:autoSpaceDE w:val="0"/>
        <w:autoSpaceDN w:val="0"/>
        <w:adjustRightInd w:val="0"/>
        <w:textAlignment w:val="baseline"/>
        <w:rPr>
          <w:rFonts w:eastAsia="SimSun"/>
        </w:rPr>
      </w:pPr>
      <w:r w:rsidRPr="00C07B2E">
        <w:rPr>
          <w:rFonts w:eastAsia="SimSun"/>
        </w:rPr>
        <w:t>При наличии у донора относительных медицинских противопоказаний для изъятия костного мозга и забора гемопоэтических стволовых клеток решение об изъятии костного мозга или заборе гемопоэтических стволовых клеток принимается консилиумом врачей медицинской организации, осуществляющей трансплантацию.</w:t>
      </w:r>
    </w:p>
    <w:p w14:paraId="32464E93" w14:textId="77777777" w:rsidR="008143D9" w:rsidRPr="00C07B2E" w:rsidRDefault="008143D9" w:rsidP="008143D9">
      <w:pPr>
        <w:rPr>
          <w:rFonts w:eastAsia="SimSun"/>
        </w:rPr>
      </w:pPr>
    </w:p>
    <w:p w14:paraId="4E412914" w14:textId="77777777" w:rsidR="008143D9" w:rsidRPr="00470D3D" w:rsidRDefault="008143D9" w:rsidP="008143D9">
      <w:pPr>
        <w:rPr>
          <w:rFonts w:eastAsia="SimSun"/>
          <w:i/>
          <w:u w:val="single"/>
        </w:rPr>
      </w:pPr>
      <w:bookmarkStart w:id="92" w:name="_Toc44401119"/>
      <w:r w:rsidRPr="00470D3D">
        <w:rPr>
          <w:rFonts w:eastAsia="SimSun"/>
          <w:i/>
          <w:u w:val="single"/>
        </w:rPr>
        <w:t>Особые случаи:</w:t>
      </w:r>
      <w:bookmarkEnd w:id="92"/>
    </w:p>
    <w:p w14:paraId="34D1CFA4" w14:textId="77777777" w:rsidR="008143D9" w:rsidRPr="00C07B2E" w:rsidRDefault="008143D9" w:rsidP="006F7601">
      <w:pPr>
        <w:ind w:firstLine="709"/>
        <w:rPr>
          <w:rFonts w:eastAsia="SimSun"/>
        </w:rPr>
      </w:pPr>
      <w:r w:rsidRPr="00C07B2E">
        <w:rPr>
          <w:rFonts w:eastAsia="SimSun"/>
        </w:rPr>
        <w:t>Допускается изъятие костного мозга и забор гемопоэтических стволовых у родственного донора, у которого выявлены маркеры вирусов гепатитов (за исключением перенесенного гепатита A в анамнезе), сифилиса, в случае невозможности подбора другого совместимого донора при соблюдении одновременно следующих условий:</w:t>
      </w:r>
    </w:p>
    <w:p w14:paraId="70178537" w14:textId="77777777" w:rsidR="008143D9" w:rsidRPr="00C07B2E" w:rsidRDefault="008143D9" w:rsidP="0091350E">
      <w:pPr>
        <w:numPr>
          <w:ilvl w:val="0"/>
          <w:numId w:val="174"/>
        </w:numPr>
        <w:overflowPunct w:val="0"/>
        <w:autoSpaceDE w:val="0"/>
        <w:autoSpaceDN w:val="0"/>
        <w:adjustRightInd w:val="0"/>
        <w:textAlignment w:val="baseline"/>
        <w:rPr>
          <w:rFonts w:eastAsia="SimSun"/>
        </w:rPr>
      </w:pPr>
      <w:r w:rsidRPr="00C07B2E">
        <w:rPr>
          <w:rFonts w:eastAsia="SimSun"/>
        </w:rPr>
        <w:t>предварительное проведение этиотропного и симптоматического лечения вирусных гепатитов (за исключением перенесенного гепатита A в анамнезе), сифилиса;</w:t>
      </w:r>
    </w:p>
    <w:p w14:paraId="515E897D" w14:textId="77777777" w:rsidR="008143D9" w:rsidRPr="00C07B2E" w:rsidRDefault="008143D9" w:rsidP="0091350E">
      <w:pPr>
        <w:numPr>
          <w:ilvl w:val="0"/>
          <w:numId w:val="174"/>
        </w:numPr>
        <w:overflowPunct w:val="0"/>
        <w:autoSpaceDE w:val="0"/>
        <w:autoSpaceDN w:val="0"/>
        <w:adjustRightInd w:val="0"/>
        <w:textAlignment w:val="baseline"/>
        <w:rPr>
          <w:rFonts w:eastAsia="SimSun"/>
        </w:rPr>
      </w:pPr>
      <w:r w:rsidRPr="00C07B2E">
        <w:rPr>
          <w:rFonts w:eastAsia="SimSun"/>
        </w:rPr>
        <w:t>наличие информированного добровольного согласия пациента (реципиента) на медицинское вмешательство с указанием сведений о том, что забор костного мозга и гемопоэтических стволовых клеток будет осуществляться у донора, у которого выявлены маркеры вирусов гепатитов (за исключением перенесенного гепатита A в анамнезе), сифилиса.</w:t>
      </w:r>
    </w:p>
    <w:p w14:paraId="32CD59A7" w14:textId="77777777" w:rsidR="008143D9" w:rsidRPr="00470D3D" w:rsidRDefault="008143D9" w:rsidP="008143D9">
      <w:pPr>
        <w:rPr>
          <w:rFonts w:eastAsia="SimSun"/>
        </w:rPr>
      </w:pPr>
    </w:p>
    <w:p w14:paraId="0AF51BF6" w14:textId="07332249" w:rsidR="008143D9" w:rsidRPr="00470D3D" w:rsidRDefault="008143D9" w:rsidP="008143D9">
      <w:pPr>
        <w:rPr>
          <w:rFonts w:eastAsia="SimSun"/>
          <w:i/>
          <w:u w:val="single"/>
        </w:rPr>
      </w:pPr>
      <w:bookmarkStart w:id="93" w:name="_Toc44401125"/>
      <w:r w:rsidRPr="00470D3D">
        <w:rPr>
          <w:rFonts w:eastAsia="SimSun"/>
          <w:i/>
          <w:u w:val="single"/>
        </w:rPr>
        <w:t>Список лабораторных и инструментальных исследований для обследования кандидатов в доноры</w:t>
      </w:r>
      <w:bookmarkEnd w:id="93"/>
      <w:r w:rsidRPr="00470D3D">
        <w:rPr>
          <w:rFonts w:eastAsia="SimSun"/>
          <w:i/>
          <w:u w:val="single"/>
        </w:rPr>
        <w:t xml:space="preserve"> </w:t>
      </w:r>
      <w:r w:rsidRPr="00470D3D">
        <w:rPr>
          <w:rFonts w:eastAsia="SimSun"/>
          <w:i/>
          <w:u w:val="single"/>
        </w:rPr>
        <w:fldChar w:fldCharType="begin" w:fldLock="1"/>
      </w:r>
      <w:r>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[230]","plainTextFormattedCitation":"[230]","previouslyFormattedCitation":"[1]"},"properties":{"noteIndex":0},"schema":"https://github.com/citation-style-language/schema/raw/master/csl-citation.json"}</w:instrText>
      </w:r>
      <w:r w:rsidRPr="00470D3D">
        <w:rPr>
          <w:rFonts w:eastAsia="SimSun"/>
          <w:i/>
          <w:u w:val="single"/>
        </w:rPr>
        <w:fldChar w:fldCharType="separate"/>
      </w:r>
      <w:r w:rsidRPr="008143D9">
        <w:rPr>
          <w:rFonts w:eastAsia="SimSun"/>
          <w:noProof/>
        </w:rPr>
        <w:t>[230]</w:t>
      </w:r>
      <w:r w:rsidRPr="00470D3D">
        <w:rPr>
          <w:rFonts w:eastAsia="SimSun"/>
          <w:i/>
          <w:u w:val="single"/>
        </w:rPr>
        <w:fldChar w:fldCharType="end"/>
      </w:r>
      <w:r>
        <w:rPr>
          <w:rFonts w:eastAsia="SimSun"/>
          <w:i/>
          <w:u w:val="single"/>
        </w:rPr>
        <w:t>:</w:t>
      </w:r>
    </w:p>
    <w:p w14:paraId="783E59FF" w14:textId="77777777" w:rsidR="008143D9" w:rsidRPr="006F7601" w:rsidRDefault="008143D9" w:rsidP="0091350E">
      <w:pPr>
        <w:numPr>
          <w:ilvl w:val="0"/>
          <w:numId w:val="174"/>
        </w:numPr>
        <w:overflowPunct w:val="0"/>
        <w:autoSpaceDE w:val="0"/>
        <w:autoSpaceDN w:val="0"/>
        <w:adjustRightInd w:val="0"/>
        <w:textAlignment w:val="baseline"/>
        <w:rPr>
          <w:rFonts w:eastAsia="SimSun"/>
        </w:rPr>
      </w:pPr>
      <w:r w:rsidRPr="006F7601">
        <w:rPr>
          <w:rFonts w:eastAsia="SimSun"/>
        </w:rPr>
        <w:t>Общеклинический анализ крови (включая подсчет тромбоцитов)</w:t>
      </w:r>
    </w:p>
    <w:p w14:paraId="0B0F7D3B" w14:textId="77777777" w:rsidR="008143D9" w:rsidRPr="006F7601" w:rsidRDefault="008143D9" w:rsidP="0091350E">
      <w:pPr>
        <w:numPr>
          <w:ilvl w:val="0"/>
          <w:numId w:val="174"/>
        </w:numPr>
        <w:overflowPunct w:val="0"/>
        <w:autoSpaceDE w:val="0"/>
        <w:autoSpaceDN w:val="0"/>
        <w:adjustRightInd w:val="0"/>
        <w:textAlignment w:val="baseline"/>
        <w:rPr>
          <w:rFonts w:eastAsia="SimSun"/>
        </w:rPr>
      </w:pPr>
      <w:r w:rsidRPr="006F7601">
        <w:rPr>
          <w:rFonts w:eastAsia="SimSun"/>
        </w:rPr>
        <w:t>Биохимический анализ крови (общий белок, альбумин, глобулин, общий холестерин, мочевая кислота, креатинин (расчет клиренса креатитнина — см. приложение 3), мочевина, билирубин и его фракции, АЛТ, АСТ, ЩФ, ГГТП, ЛДГ, сывороточное железо).</w:t>
      </w:r>
    </w:p>
    <w:p w14:paraId="6C4401FE" w14:textId="77777777" w:rsidR="008143D9" w:rsidRPr="006F7601" w:rsidRDefault="008143D9" w:rsidP="0091350E">
      <w:pPr>
        <w:numPr>
          <w:ilvl w:val="0"/>
          <w:numId w:val="174"/>
        </w:numPr>
        <w:overflowPunct w:val="0"/>
        <w:autoSpaceDE w:val="0"/>
        <w:autoSpaceDN w:val="0"/>
        <w:adjustRightInd w:val="0"/>
        <w:textAlignment w:val="baseline"/>
        <w:rPr>
          <w:rFonts w:eastAsia="SimSun"/>
        </w:rPr>
      </w:pPr>
      <w:r w:rsidRPr="006F7601">
        <w:rPr>
          <w:rFonts w:eastAsia="SimSun"/>
        </w:rPr>
        <w:t>Коагулограмма (АЧТВ, фибриноген, ПТИ по Квику, МНО).</w:t>
      </w:r>
    </w:p>
    <w:p w14:paraId="080D6B02" w14:textId="77777777" w:rsidR="008143D9" w:rsidRPr="006F7601" w:rsidRDefault="008143D9" w:rsidP="0091350E">
      <w:pPr>
        <w:numPr>
          <w:ilvl w:val="0"/>
          <w:numId w:val="174"/>
        </w:numPr>
        <w:overflowPunct w:val="0"/>
        <w:autoSpaceDE w:val="0"/>
        <w:autoSpaceDN w:val="0"/>
        <w:adjustRightInd w:val="0"/>
        <w:textAlignment w:val="baseline"/>
        <w:rPr>
          <w:rFonts w:eastAsia="SimSun"/>
        </w:rPr>
      </w:pPr>
      <w:r w:rsidRPr="006F7601">
        <w:rPr>
          <w:rFonts w:eastAsia="SimSun"/>
        </w:rPr>
        <w:t>Глюкоза венозной крови натощак.</w:t>
      </w:r>
    </w:p>
    <w:p w14:paraId="05CED76A" w14:textId="77777777" w:rsidR="008143D9" w:rsidRPr="006F7601" w:rsidRDefault="008143D9" w:rsidP="0091350E">
      <w:pPr>
        <w:numPr>
          <w:ilvl w:val="0"/>
          <w:numId w:val="174"/>
        </w:numPr>
        <w:overflowPunct w:val="0"/>
        <w:autoSpaceDE w:val="0"/>
        <w:autoSpaceDN w:val="0"/>
        <w:adjustRightInd w:val="0"/>
        <w:textAlignment w:val="baseline"/>
        <w:rPr>
          <w:rFonts w:eastAsia="SimSun"/>
        </w:rPr>
      </w:pPr>
      <w:r w:rsidRPr="006F7601">
        <w:rPr>
          <w:rFonts w:eastAsia="SimSun"/>
        </w:rPr>
        <w:t>Общий анализ мочи.</w:t>
      </w:r>
    </w:p>
    <w:p w14:paraId="6B2AAD03" w14:textId="77777777" w:rsidR="008143D9" w:rsidRPr="006F7601" w:rsidRDefault="008143D9" w:rsidP="0091350E">
      <w:pPr>
        <w:numPr>
          <w:ilvl w:val="0"/>
          <w:numId w:val="174"/>
        </w:numPr>
        <w:overflowPunct w:val="0"/>
        <w:autoSpaceDE w:val="0"/>
        <w:autoSpaceDN w:val="0"/>
        <w:adjustRightInd w:val="0"/>
        <w:textAlignment w:val="baseline"/>
        <w:rPr>
          <w:rFonts w:eastAsia="SimSun"/>
        </w:rPr>
      </w:pPr>
      <w:r w:rsidRPr="006F7601">
        <w:rPr>
          <w:rFonts w:eastAsia="SimSun"/>
        </w:rPr>
        <w:t>Серологические исследования гемотрансмиссивных инфекций (антитела к ВИЧ, HBsAg качественно, антитела к HBsAg качественно и количественно, анти-НВсоr качественно, HBeAg качественно, анти-HBeAg, на сифилис).</w:t>
      </w:r>
    </w:p>
    <w:p w14:paraId="5F3C2C12" w14:textId="77777777" w:rsidR="008143D9" w:rsidRPr="006F7601" w:rsidRDefault="008143D9" w:rsidP="0091350E">
      <w:pPr>
        <w:numPr>
          <w:ilvl w:val="0"/>
          <w:numId w:val="174"/>
        </w:numPr>
        <w:overflowPunct w:val="0"/>
        <w:autoSpaceDE w:val="0"/>
        <w:autoSpaceDN w:val="0"/>
        <w:adjustRightInd w:val="0"/>
        <w:textAlignment w:val="baseline"/>
        <w:rPr>
          <w:rFonts w:eastAsia="SimSun"/>
        </w:rPr>
      </w:pPr>
      <w:r w:rsidRPr="006F7601">
        <w:rPr>
          <w:rFonts w:eastAsia="SimSun"/>
        </w:rPr>
        <w:t>Серологические исследования герпесвирусных инфекций (CMV, Эпштейна—Барр, вирус герпеса человека 1 и 6-го типа).</w:t>
      </w:r>
    </w:p>
    <w:p w14:paraId="2273A29B" w14:textId="77777777" w:rsidR="008143D9" w:rsidRPr="006F7601" w:rsidRDefault="008143D9" w:rsidP="0091350E">
      <w:pPr>
        <w:numPr>
          <w:ilvl w:val="0"/>
          <w:numId w:val="174"/>
        </w:numPr>
        <w:overflowPunct w:val="0"/>
        <w:autoSpaceDE w:val="0"/>
        <w:autoSpaceDN w:val="0"/>
        <w:adjustRightInd w:val="0"/>
        <w:textAlignment w:val="baseline"/>
        <w:rPr>
          <w:rFonts w:eastAsia="SimSun"/>
        </w:rPr>
      </w:pPr>
      <w:r w:rsidRPr="006F7601">
        <w:rPr>
          <w:rFonts w:eastAsia="SimSun"/>
        </w:rPr>
        <w:t>Определение ДНК вируса гепатита В и РНК вируса гепатита С с помощью ПЦР.</w:t>
      </w:r>
    </w:p>
    <w:p w14:paraId="4931D5A5" w14:textId="77777777" w:rsidR="008143D9" w:rsidRPr="006F7601" w:rsidRDefault="008143D9" w:rsidP="0091350E">
      <w:pPr>
        <w:numPr>
          <w:ilvl w:val="0"/>
          <w:numId w:val="174"/>
        </w:numPr>
        <w:overflowPunct w:val="0"/>
        <w:autoSpaceDE w:val="0"/>
        <w:autoSpaceDN w:val="0"/>
        <w:adjustRightInd w:val="0"/>
        <w:textAlignment w:val="baseline"/>
        <w:rPr>
          <w:rFonts w:eastAsia="SimSun"/>
        </w:rPr>
      </w:pPr>
      <w:r w:rsidRPr="006F7601">
        <w:rPr>
          <w:rFonts w:eastAsia="SimSun"/>
        </w:rPr>
        <w:t>ЭКГ, по показаниям — трансторакальная ЭхоКГ, холтеровский мониторинг ЭКГ и др.Рентгенография органов грудной клетки, по показаниям — КТ органов грудной клетки и др.</w:t>
      </w:r>
    </w:p>
    <w:p w14:paraId="17DE03C5" w14:textId="77777777" w:rsidR="008143D9" w:rsidRPr="006F7601" w:rsidRDefault="008143D9" w:rsidP="0091350E">
      <w:pPr>
        <w:numPr>
          <w:ilvl w:val="0"/>
          <w:numId w:val="174"/>
        </w:numPr>
        <w:overflowPunct w:val="0"/>
        <w:autoSpaceDE w:val="0"/>
        <w:autoSpaceDN w:val="0"/>
        <w:adjustRightInd w:val="0"/>
        <w:textAlignment w:val="baseline"/>
        <w:rPr>
          <w:rFonts w:eastAsia="SimSun"/>
        </w:rPr>
      </w:pPr>
      <w:r w:rsidRPr="006F7601">
        <w:rPr>
          <w:rFonts w:eastAsia="SimSun"/>
        </w:rPr>
        <w:t xml:space="preserve">УЗИ органов брюшной полости (по показаниям). </w:t>
      </w:r>
    </w:p>
    <w:p w14:paraId="3B435477" w14:textId="77777777" w:rsidR="008143D9" w:rsidRDefault="008143D9" w:rsidP="008143D9">
      <w:pPr>
        <w:rPr>
          <w:rFonts w:eastAsia="SimSun"/>
        </w:rPr>
      </w:pPr>
      <w:bookmarkStart w:id="94" w:name="_Toc44401126"/>
    </w:p>
    <w:p w14:paraId="210C200A" w14:textId="77777777" w:rsidR="008143D9" w:rsidRPr="00470D3D" w:rsidRDefault="008143D9" w:rsidP="008143D9">
      <w:pPr>
        <w:rPr>
          <w:rFonts w:eastAsia="SimSun"/>
          <w:b/>
        </w:rPr>
      </w:pPr>
      <w:r>
        <w:rPr>
          <w:rFonts w:eastAsia="SimSun"/>
          <w:b/>
        </w:rPr>
        <w:t>3</w:t>
      </w:r>
      <w:r w:rsidRPr="00470D3D">
        <w:rPr>
          <w:rFonts w:eastAsia="SimSun"/>
          <w:b/>
        </w:rPr>
        <w:t>. Протокол подготовки к инфузии и  инфузии аллогенных гемопоэтических стволовых клеток</w:t>
      </w:r>
      <w:bookmarkEnd w:id="94"/>
    </w:p>
    <w:p w14:paraId="6935EC0F" w14:textId="77777777" w:rsidR="008143D9" w:rsidRPr="00E87507" w:rsidRDefault="008143D9" w:rsidP="008143D9">
      <w:pPr>
        <w:rPr>
          <w:rFonts w:eastAsia="SimSun"/>
          <w:i/>
          <w:u w:val="single"/>
        </w:rPr>
      </w:pPr>
      <w:bookmarkStart w:id="95" w:name="_Toc44401128"/>
      <w:r w:rsidRPr="00E87507">
        <w:rPr>
          <w:rFonts w:eastAsia="SimSun"/>
          <w:i/>
          <w:u w:val="single"/>
        </w:rPr>
        <w:t>Установка ЦВК</w:t>
      </w:r>
      <w:bookmarkEnd w:id="95"/>
    </w:p>
    <w:p w14:paraId="54ADDFC7" w14:textId="77777777" w:rsidR="008143D9" w:rsidRPr="00C07B2E" w:rsidRDefault="008143D9" w:rsidP="00D952B5">
      <w:pPr>
        <w:ind w:firstLine="709"/>
        <w:rPr>
          <w:rFonts w:eastAsia="SimSun"/>
        </w:rPr>
      </w:pPr>
      <w:r w:rsidRPr="00C07B2E">
        <w:rPr>
          <w:rFonts w:eastAsia="SimSun"/>
        </w:rPr>
        <w:t xml:space="preserve">Перед началом кондиционирования больному устанавливают двух- или трехходовой ЦВК в подключичную вену (или во внутреннюю яремную, в наружную яремную вену). </w:t>
      </w:r>
    </w:p>
    <w:p w14:paraId="2D6EB773" w14:textId="77777777" w:rsidR="008143D9" w:rsidRDefault="008143D9" w:rsidP="008143D9">
      <w:pPr>
        <w:rPr>
          <w:rFonts w:eastAsia="SimSun"/>
        </w:rPr>
      </w:pPr>
      <w:bookmarkStart w:id="96" w:name="_Toc44401129"/>
    </w:p>
    <w:p w14:paraId="0B808EAC" w14:textId="77777777" w:rsidR="008143D9" w:rsidRPr="00E87507" w:rsidRDefault="008143D9" w:rsidP="008143D9">
      <w:pPr>
        <w:rPr>
          <w:rFonts w:eastAsia="SimSun"/>
          <w:i/>
          <w:u w:val="single"/>
        </w:rPr>
      </w:pPr>
      <w:r w:rsidRPr="00E87507">
        <w:rPr>
          <w:rFonts w:eastAsia="SimSun"/>
          <w:i/>
          <w:u w:val="single"/>
        </w:rPr>
        <w:t>Порядок отсчета дней до и после алло-ТГСК</w:t>
      </w:r>
      <w:bookmarkEnd w:id="96"/>
    </w:p>
    <w:p w14:paraId="5DEE126E" w14:textId="77777777" w:rsidR="008143D9" w:rsidRPr="00C07B2E" w:rsidRDefault="008143D9" w:rsidP="00D952B5">
      <w:pPr>
        <w:ind w:firstLine="709"/>
        <w:rPr>
          <w:rFonts w:eastAsia="SimSun"/>
        </w:rPr>
      </w:pPr>
      <w:r w:rsidRPr="00C07B2E">
        <w:rPr>
          <w:rFonts w:eastAsia="SimSun"/>
        </w:rPr>
        <w:t>Днем отсчета считается дата трансплантации. Она обозначается как «день 0», «Д0», «0 день ТГСК» или просто «0». От дня начала кондиционирования до дня инфузии ГСК (первого из дней инфузии ГСК) ведут обратный счет дней. Например: дата алло-ТГСК — 5 января, день «–1» — это 4 января и т. д. В случае если дата следует после алло-ТГСК, то перед ней ставится знак «+». Например: дата алло-ТГСК — 7 декабря, день «+1» — это 8 декабря. Счет ведется до конца жизни пациента, или до следующей ТКМ.</w:t>
      </w:r>
    </w:p>
    <w:p w14:paraId="1145FDC6" w14:textId="77777777" w:rsidR="008143D9" w:rsidRDefault="008143D9" w:rsidP="008143D9">
      <w:pPr>
        <w:rPr>
          <w:rFonts w:eastAsia="SimSun"/>
        </w:rPr>
      </w:pPr>
      <w:bookmarkStart w:id="97" w:name="_Toc44401130"/>
    </w:p>
    <w:p w14:paraId="4525596A" w14:textId="77777777" w:rsidR="008143D9" w:rsidRPr="00E87507" w:rsidRDefault="008143D9" w:rsidP="008143D9">
      <w:pPr>
        <w:rPr>
          <w:rFonts w:eastAsia="SimSun"/>
          <w:i/>
          <w:u w:val="single"/>
        </w:rPr>
      </w:pPr>
      <w:r w:rsidRPr="00E87507">
        <w:rPr>
          <w:rFonts w:eastAsia="SimSun"/>
          <w:i/>
          <w:u w:val="single"/>
        </w:rPr>
        <w:t>Подготовка к инфузии ГСК</w:t>
      </w:r>
      <w:bookmarkEnd w:id="97"/>
    </w:p>
    <w:p w14:paraId="44E41219" w14:textId="77777777" w:rsidR="008143D9" w:rsidRPr="00C07B2E" w:rsidRDefault="008143D9" w:rsidP="008143D9">
      <w:pPr>
        <w:rPr>
          <w:rFonts w:eastAsia="SimSun"/>
        </w:rPr>
      </w:pPr>
      <w:r w:rsidRPr="00C07B2E">
        <w:rPr>
          <w:rFonts w:eastAsia="SimSun"/>
        </w:rPr>
        <w:t>Убедитесь, что выполнены следующие условия:</w:t>
      </w:r>
    </w:p>
    <w:p w14:paraId="7C9713B5" w14:textId="77777777" w:rsidR="008143D9" w:rsidRPr="00C07B2E" w:rsidRDefault="008143D9" w:rsidP="0091350E">
      <w:pPr>
        <w:numPr>
          <w:ilvl w:val="0"/>
          <w:numId w:val="176"/>
        </w:numPr>
        <w:overflowPunct w:val="0"/>
        <w:autoSpaceDE w:val="0"/>
        <w:autoSpaceDN w:val="0"/>
        <w:adjustRightInd w:val="0"/>
        <w:textAlignment w:val="baseline"/>
        <w:rPr>
          <w:rFonts w:eastAsia="SimSun"/>
        </w:rPr>
      </w:pPr>
      <w:r w:rsidRPr="00C07B2E">
        <w:rPr>
          <w:rFonts w:eastAsia="SimSun"/>
        </w:rPr>
        <w:t xml:space="preserve">Пациент подписал добровольное информированное согласие на трансплантацию. </w:t>
      </w:r>
    </w:p>
    <w:p w14:paraId="4ADC03A9" w14:textId="77777777" w:rsidR="008143D9" w:rsidRPr="00C07B2E" w:rsidRDefault="008143D9" w:rsidP="0091350E">
      <w:pPr>
        <w:numPr>
          <w:ilvl w:val="0"/>
          <w:numId w:val="176"/>
        </w:numPr>
        <w:overflowPunct w:val="0"/>
        <w:autoSpaceDE w:val="0"/>
        <w:autoSpaceDN w:val="0"/>
        <w:adjustRightInd w:val="0"/>
        <w:textAlignment w:val="baseline"/>
        <w:rPr>
          <w:rFonts w:eastAsia="SimSun"/>
        </w:rPr>
      </w:pPr>
      <w:r w:rsidRPr="00C07B2E">
        <w:rPr>
          <w:rFonts w:eastAsia="SimSun"/>
        </w:rPr>
        <w:t xml:space="preserve">Пациенту на момент введения ГСК установлен ЦВК. При отсутствии адекватно функционирующего ЦВК на момент инфузии допускается инфузия клеточной взвеси через периферическую вену, в которой содержание </w:t>
      </w:r>
      <w:r w:rsidRPr="00C07B2E">
        <w:rPr>
          <w:rFonts w:eastAsia="SimSun"/>
          <w:shd w:val="clear" w:color="auto" w:fill="FFFFFF"/>
        </w:rPr>
        <w:t>диметилсульфоксида</w:t>
      </w:r>
      <w:r w:rsidRPr="00C07B2E">
        <w:rPr>
          <w:rFonts w:eastAsia="SimSun"/>
        </w:rPr>
        <w:t xml:space="preserve"> не превышает 10%. </w:t>
      </w:r>
    </w:p>
    <w:p w14:paraId="75853C70" w14:textId="77777777" w:rsidR="008143D9" w:rsidRPr="00C07B2E" w:rsidRDefault="008143D9" w:rsidP="0091350E">
      <w:pPr>
        <w:numPr>
          <w:ilvl w:val="0"/>
          <w:numId w:val="176"/>
        </w:numPr>
        <w:overflowPunct w:val="0"/>
        <w:autoSpaceDE w:val="0"/>
        <w:autoSpaceDN w:val="0"/>
        <w:adjustRightInd w:val="0"/>
        <w:textAlignment w:val="baseline"/>
        <w:rPr>
          <w:rFonts w:eastAsia="SimSun"/>
        </w:rPr>
      </w:pPr>
      <w:r w:rsidRPr="00C07B2E">
        <w:rPr>
          <w:rFonts w:eastAsia="SimSun"/>
        </w:rPr>
        <w:t xml:space="preserve">Прошло не менее 36 ч после завершения введения цитостатических препаратов, входящих в режим кондиционирования. </w:t>
      </w:r>
    </w:p>
    <w:p w14:paraId="136C90EC" w14:textId="77777777" w:rsidR="008143D9" w:rsidRPr="00C07B2E" w:rsidRDefault="008143D9" w:rsidP="0091350E">
      <w:pPr>
        <w:numPr>
          <w:ilvl w:val="0"/>
          <w:numId w:val="176"/>
        </w:numPr>
        <w:overflowPunct w:val="0"/>
        <w:autoSpaceDE w:val="0"/>
        <w:autoSpaceDN w:val="0"/>
        <w:adjustRightInd w:val="0"/>
        <w:textAlignment w:val="baseline"/>
        <w:rPr>
          <w:rFonts w:eastAsia="SimSun"/>
        </w:rPr>
      </w:pPr>
      <w:r w:rsidRPr="00C07B2E">
        <w:rPr>
          <w:rFonts w:eastAsia="SimSun"/>
        </w:rPr>
        <w:t>При использовании с –1 дня циклоспорина</w:t>
      </w:r>
      <w:r w:rsidRPr="00C07B2E" w:rsidDel="00DA45A3">
        <w:rPr>
          <w:rFonts w:eastAsia="SimSun"/>
        </w:rPr>
        <w:t xml:space="preserve"> </w:t>
      </w:r>
      <w:r w:rsidRPr="00C07B2E">
        <w:rPr>
          <w:rFonts w:eastAsia="SimSun"/>
        </w:rPr>
        <w:t xml:space="preserve">(в режиме профилактики острой РТПХ) пациенту было введено не менее 3 доз препарата до инфузии ГСК. </w:t>
      </w:r>
    </w:p>
    <w:p w14:paraId="47006781" w14:textId="77777777" w:rsidR="008143D9" w:rsidRPr="00C07B2E" w:rsidRDefault="008143D9" w:rsidP="0091350E">
      <w:pPr>
        <w:numPr>
          <w:ilvl w:val="0"/>
          <w:numId w:val="176"/>
        </w:numPr>
        <w:overflowPunct w:val="0"/>
        <w:autoSpaceDE w:val="0"/>
        <w:autoSpaceDN w:val="0"/>
        <w:adjustRightInd w:val="0"/>
        <w:textAlignment w:val="baseline"/>
        <w:rPr>
          <w:rFonts w:eastAsia="SimSun"/>
        </w:rPr>
      </w:pPr>
      <w:r w:rsidRPr="00C07B2E">
        <w:rPr>
          <w:rFonts w:eastAsia="SimSun"/>
        </w:rPr>
        <w:t>В момент инфузии ГСК введение других препаратов не проводится.</w:t>
      </w:r>
    </w:p>
    <w:p w14:paraId="758F9B6C" w14:textId="77777777" w:rsidR="008143D9" w:rsidRPr="00C07B2E" w:rsidRDefault="008143D9" w:rsidP="0091350E">
      <w:pPr>
        <w:numPr>
          <w:ilvl w:val="0"/>
          <w:numId w:val="176"/>
        </w:numPr>
        <w:overflowPunct w:val="0"/>
        <w:autoSpaceDE w:val="0"/>
        <w:autoSpaceDN w:val="0"/>
        <w:adjustRightInd w:val="0"/>
        <w:textAlignment w:val="baseline"/>
        <w:rPr>
          <w:rFonts w:eastAsia="SimSun"/>
        </w:rPr>
      </w:pPr>
      <w:r w:rsidRPr="00C07B2E">
        <w:rPr>
          <w:rFonts w:eastAsia="SimSun"/>
        </w:rPr>
        <w:t>В момент введения ГСК запрещено проведение плазмафереза и/или гемодиализа.</w:t>
      </w:r>
    </w:p>
    <w:p w14:paraId="214A7D17" w14:textId="77777777" w:rsidR="008143D9" w:rsidRPr="00C07B2E" w:rsidRDefault="008143D9" w:rsidP="00D952B5">
      <w:pPr>
        <w:ind w:firstLine="709"/>
        <w:rPr>
          <w:rFonts w:eastAsia="SimSun"/>
        </w:rPr>
      </w:pPr>
      <w:r w:rsidRPr="00C07B2E">
        <w:rPr>
          <w:rFonts w:eastAsia="SimSun"/>
        </w:rPr>
        <w:t>При необходимости проведения плазмафереза и/или гемодиализа инфузия ГСК выполняется до и/или через сутки после завершения этих процедур.</w:t>
      </w:r>
    </w:p>
    <w:p w14:paraId="41ADA2C3" w14:textId="77777777" w:rsidR="008143D9" w:rsidRPr="00C07B2E" w:rsidRDefault="008143D9" w:rsidP="00D952B5">
      <w:pPr>
        <w:ind w:firstLine="709"/>
        <w:rPr>
          <w:rFonts w:eastAsia="SimSun"/>
        </w:rPr>
      </w:pPr>
      <w:r w:rsidRPr="00C07B2E">
        <w:rPr>
          <w:rFonts w:eastAsia="SimSun"/>
        </w:rPr>
        <w:t xml:space="preserve">За 2–3 ч до алло-ТГСК рекомендуется проводить инфузионную терапию (коллоидными и кристаллоидными растворами в объеме 500-1500 мл) в случае использования криоконсервированных ГСК. </w:t>
      </w:r>
    </w:p>
    <w:p w14:paraId="3D49F0A7" w14:textId="77777777" w:rsidR="008143D9" w:rsidRPr="00C07B2E" w:rsidRDefault="008143D9" w:rsidP="00D952B5">
      <w:pPr>
        <w:ind w:firstLine="709"/>
        <w:rPr>
          <w:rFonts w:eastAsia="SimSun"/>
        </w:rPr>
      </w:pPr>
      <w:r w:rsidRPr="00C07B2E">
        <w:rPr>
          <w:rFonts w:eastAsia="SimSun"/>
        </w:rPr>
        <w:t xml:space="preserve">За 30 мин до введения ГСК, при наличии реакций на трансфузию компонентов крови в анамнезе, должна быть использована премедикация антигистаминными препаратами и/или нестероиднымии противовоспалительными препаратами препаратами и/или метилпреднизолоном (если в предыдущие сутки использовали метилпреднизолон). </w:t>
      </w:r>
    </w:p>
    <w:p w14:paraId="58A1FA07" w14:textId="5A56DC9D" w:rsidR="008143D9" w:rsidRPr="00C07B2E" w:rsidRDefault="008143D9" w:rsidP="00D952B5">
      <w:pPr>
        <w:ind w:firstLine="709"/>
        <w:rPr>
          <w:rFonts w:eastAsia="SimSun"/>
        </w:rPr>
      </w:pPr>
      <w:r w:rsidRPr="00C07B2E">
        <w:rPr>
          <w:rFonts w:eastAsia="SimSun"/>
        </w:rPr>
        <w:t xml:space="preserve">При любой несовместимости между донором и реципиентом по системе АВ0 возможно введение метилпреднизолона в дозе 60 мг перед введением ГСК. </w:t>
      </w:r>
    </w:p>
    <w:p w14:paraId="5901C3B2" w14:textId="77777777" w:rsidR="008143D9" w:rsidRPr="00C07B2E" w:rsidRDefault="008143D9" w:rsidP="00D952B5">
      <w:pPr>
        <w:ind w:firstLine="709"/>
        <w:rPr>
          <w:rFonts w:eastAsia="SimSun"/>
        </w:rPr>
      </w:pPr>
      <w:r w:rsidRPr="00C07B2E">
        <w:rPr>
          <w:rFonts w:eastAsia="SimSun"/>
        </w:rPr>
        <w:t>После получения из лаборатории мешка с ГСК производится его осмотр: указание Ф. И. О. пациента или донора (в зависимости от применяемых в центре требований к маркировке), даты рождения и группы крови, наличие внешних повреждений и/или посторонних примесей в мешке (сгустки, фрагменты костной ткани). В случае выявления «дефектов» мешок возвращается в лабораторию для их устранения.</w:t>
      </w:r>
    </w:p>
    <w:p w14:paraId="33BD65BF" w14:textId="77777777" w:rsidR="008143D9" w:rsidRPr="00C07B2E" w:rsidRDefault="008143D9" w:rsidP="008143D9">
      <w:pPr>
        <w:rPr>
          <w:rFonts w:eastAsia="SimSun"/>
        </w:rPr>
      </w:pPr>
    </w:p>
    <w:p w14:paraId="03F52150" w14:textId="77777777" w:rsidR="008143D9" w:rsidRPr="00985050" w:rsidRDefault="008143D9" w:rsidP="008143D9">
      <w:pPr>
        <w:rPr>
          <w:rFonts w:eastAsia="SimSun"/>
          <w:i/>
          <w:u w:val="single"/>
        </w:rPr>
      </w:pPr>
      <w:bookmarkStart w:id="98" w:name="_Toc44401131"/>
      <w:r w:rsidRPr="00985050">
        <w:rPr>
          <w:rFonts w:eastAsia="SimSun"/>
          <w:i/>
          <w:u w:val="single"/>
        </w:rPr>
        <w:t>Инфузия ГСК</w:t>
      </w:r>
      <w:bookmarkEnd w:id="98"/>
    </w:p>
    <w:p w14:paraId="6E0BB421" w14:textId="77777777" w:rsidR="008143D9" w:rsidRPr="00C07B2E" w:rsidRDefault="008143D9" w:rsidP="00D952B5">
      <w:pPr>
        <w:ind w:firstLine="709"/>
        <w:rPr>
          <w:rFonts w:eastAsia="SimSun"/>
        </w:rPr>
      </w:pPr>
      <w:r w:rsidRPr="00C07B2E">
        <w:rPr>
          <w:rFonts w:eastAsia="SimSun"/>
        </w:rPr>
        <w:t xml:space="preserve">Для первого введения выбирают мешок с максимальной клеточностью. При манипуляциях с мешком запрещается использовать металлические инструменты (зажимы, пинцеты и др.). В случае использования криоконсервированных ГСК их предварительно размораживают на водяной бане или программном размораживателе при температуре 37˚С. После разморозки врач проверяет, что в мешке отсутствуют остаточные фрагменты льда, после чего прокалывает мешок с использованием системы для инфузии. Система для инфузии должна иметь фильтр размером от 150–260 микрон (обычная система для инфузии крови имеет фильтр в 175 микрон). </w:t>
      </w:r>
    </w:p>
    <w:p w14:paraId="520A4D6C" w14:textId="77777777" w:rsidR="008143D9" w:rsidRPr="00C07B2E" w:rsidRDefault="008143D9" w:rsidP="00D952B5">
      <w:pPr>
        <w:ind w:firstLine="709"/>
        <w:rPr>
          <w:rFonts w:eastAsia="SimSun"/>
        </w:rPr>
      </w:pPr>
      <w:r w:rsidRPr="00C07B2E">
        <w:rPr>
          <w:rFonts w:eastAsia="SimSun"/>
        </w:rPr>
        <w:t>В случае развития гемолиза инфузия ГСК из следующего мешка не проводится. Инфузии ГСК из следующих мешков возобновляют после хотя бы частичного купирования лизиса эритроцитов. После завершения инфузии ход ЦВК, который был использован для трансплантации, промывают физиологическим раствором. Далее пациент находится под пристальным наблюдением медицинского персонала. По показаниям возможно наблюдение анестезиолога-реаниматолога и/или постоянный мониторинг витальных показателей с помощью прикроватного монитора состояния пациента. Через 2 ч после завершения инфузии выполняют биохимическое исследование крови (оценка сывороточной концентрации К</w:t>
      </w:r>
      <w:r w:rsidRPr="00C07B2E">
        <w:rPr>
          <w:rFonts w:eastAsia="SimSun"/>
          <w:vertAlign w:val="superscript"/>
        </w:rPr>
        <w:t>+</w:t>
      </w:r>
      <w:r w:rsidRPr="00C07B2E">
        <w:rPr>
          <w:rFonts w:eastAsia="SimSun"/>
        </w:rPr>
        <w:t xml:space="preserve">). </w:t>
      </w:r>
    </w:p>
    <w:p w14:paraId="704916C0" w14:textId="77777777" w:rsidR="008143D9" w:rsidRDefault="008143D9" w:rsidP="008143D9">
      <w:pPr>
        <w:rPr>
          <w:rFonts w:eastAsia="SimSun"/>
        </w:rPr>
      </w:pPr>
      <w:bookmarkStart w:id="99" w:name="_Toc44401132"/>
    </w:p>
    <w:p w14:paraId="3EFAC0E1" w14:textId="77777777" w:rsidR="008143D9" w:rsidRPr="00470D3D" w:rsidRDefault="008143D9" w:rsidP="008143D9">
      <w:pPr>
        <w:rPr>
          <w:rFonts w:eastAsia="SimSun"/>
          <w:b/>
        </w:rPr>
      </w:pPr>
      <w:r>
        <w:rPr>
          <w:rFonts w:eastAsia="SimSun"/>
          <w:b/>
        </w:rPr>
        <w:t>5.</w:t>
      </w:r>
      <w:r w:rsidRPr="00470D3D">
        <w:rPr>
          <w:rFonts w:eastAsia="SimSun"/>
          <w:b/>
        </w:rPr>
        <w:t xml:space="preserve"> Протокол внутривенного введения антитимоцитарного глобулина</w:t>
      </w:r>
      <w:bookmarkEnd w:id="99"/>
    </w:p>
    <w:p w14:paraId="34C65EC4" w14:textId="77777777" w:rsidR="008143D9" w:rsidRPr="00985050" w:rsidRDefault="008143D9" w:rsidP="008143D9">
      <w:pPr>
        <w:rPr>
          <w:rFonts w:eastAsia="SimSun"/>
          <w:i/>
          <w:u w:val="single"/>
        </w:rPr>
      </w:pPr>
      <w:bookmarkStart w:id="100" w:name="_Toc44401134"/>
      <w:r w:rsidRPr="00985050">
        <w:rPr>
          <w:rFonts w:eastAsia="SimSun"/>
          <w:i/>
          <w:u w:val="single"/>
        </w:rPr>
        <w:t>Подготовка к введению</w:t>
      </w:r>
      <w:bookmarkEnd w:id="100"/>
      <w:r w:rsidRPr="00985050">
        <w:rPr>
          <w:rFonts w:eastAsia="SimSun"/>
          <w:i/>
          <w:u w:val="single"/>
        </w:rPr>
        <w:t xml:space="preserve"> </w:t>
      </w:r>
    </w:p>
    <w:p w14:paraId="392E55AD" w14:textId="77777777" w:rsidR="008143D9" w:rsidRPr="00C07B2E" w:rsidRDefault="008143D9" w:rsidP="0091350E">
      <w:pPr>
        <w:ind w:firstLine="709"/>
        <w:rPr>
          <w:rFonts w:eastAsia="SimSun"/>
        </w:rPr>
      </w:pPr>
      <w:r w:rsidRPr="00C07B2E">
        <w:rPr>
          <w:rFonts w:eastAsia="SimSun"/>
        </w:rPr>
        <w:t xml:space="preserve">Убедитесь, что вы информированы обо всех аллергических реакциях пациента. Перед началом введения препарата АТГ настоятельно рекомендуется проведение пробы с этим препаратом. Несмотря на то, что чувствительность и специфичность этого теста клинически не доказаны и его положительный результат не повлияет на введение препарата, проведение тестов рекомендовано для оценки вероятности развития анафилактической реакции на его введение. </w:t>
      </w:r>
    </w:p>
    <w:p w14:paraId="4199AAD5" w14:textId="77777777" w:rsidR="008143D9" w:rsidRDefault="008143D9" w:rsidP="008143D9">
      <w:pPr>
        <w:rPr>
          <w:rFonts w:eastAsia="SimSun"/>
        </w:rPr>
      </w:pPr>
      <w:bookmarkStart w:id="101" w:name="_Toc44401135"/>
    </w:p>
    <w:p w14:paraId="3F3B972E" w14:textId="77777777" w:rsidR="008143D9" w:rsidRPr="00985050" w:rsidRDefault="008143D9" w:rsidP="008143D9">
      <w:pPr>
        <w:rPr>
          <w:rFonts w:eastAsia="SimSun"/>
          <w:i/>
          <w:u w:val="single"/>
        </w:rPr>
      </w:pPr>
      <w:r w:rsidRPr="00985050">
        <w:rPr>
          <w:rFonts w:eastAsia="SimSun"/>
          <w:i/>
          <w:u w:val="single"/>
        </w:rPr>
        <w:t>Методика проведения пробы</w:t>
      </w:r>
      <w:bookmarkEnd w:id="101"/>
      <w:r w:rsidRPr="00985050">
        <w:rPr>
          <w:rFonts w:eastAsia="SimSun"/>
          <w:i/>
          <w:u w:val="single"/>
        </w:rPr>
        <w:t xml:space="preserve"> </w:t>
      </w:r>
    </w:p>
    <w:p w14:paraId="6C238578" w14:textId="77777777" w:rsidR="008143D9" w:rsidRPr="00C07B2E" w:rsidRDefault="008143D9" w:rsidP="0091350E">
      <w:pPr>
        <w:ind w:firstLine="709"/>
        <w:rPr>
          <w:rFonts w:eastAsia="SimSun"/>
        </w:rPr>
      </w:pPr>
      <w:r w:rsidRPr="00C07B2E">
        <w:rPr>
          <w:rFonts w:eastAsia="SimSun"/>
        </w:rPr>
        <w:t>На внутренней стороне предплечья, отступив на 5 см от лучезапястного сустава, проводится укол в кожу на глубину 1–1,5 мм через каплю неразведенного препарата. Для этого используют инъекционные иглы для в/к вливаний, имеющие ограничитель глубины. Если через 20 мин после накалывания кожи не происходит образования папулы или волдыря, следует продолжить тестирование путем в/к инъекции: кожу сгибательной поверхности предплечья или на спине обрабатывают 70% спиртом после чего туберкулиновым или инсулиновым шприцем вводят 0,02 мл препарата, разведенного 0,9% раствором натрия хлорида для инъекций в концентрации 1:1000 (по объему) с одновременной контрольной инъекцией 0,9% раствора натрия хлорида для инъекций в том же объеме на расстоянии 5 см. Оценка результатов производится через 20 мин. Образование волдыря в месте введения препарата диаметром, превышающим на 3 мм и более диаметр волдыря в месте контрольной инъекции с 0,9% раствора натрия хлорида, а также положительный накожный тест свидетельствуют о повышенной чувствительности к препарату и вероятности развития системной аллергической реакции при его в/в введении.</w:t>
      </w:r>
    </w:p>
    <w:p w14:paraId="29C42A8E" w14:textId="77777777" w:rsidR="008143D9" w:rsidRDefault="008143D9" w:rsidP="008143D9">
      <w:pPr>
        <w:rPr>
          <w:rFonts w:eastAsia="SimSun"/>
        </w:rPr>
      </w:pPr>
      <w:bookmarkStart w:id="102" w:name="_Toc44401136"/>
    </w:p>
    <w:p w14:paraId="65A15B08" w14:textId="77777777" w:rsidR="008143D9" w:rsidRPr="00985050" w:rsidRDefault="008143D9" w:rsidP="008143D9">
      <w:pPr>
        <w:rPr>
          <w:rFonts w:eastAsia="SimSun"/>
          <w:i/>
          <w:u w:val="single"/>
        </w:rPr>
      </w:pPr>
      <w:r w:rsidRPr="00985050">
        <w:rPr>
          <w:rFonts w:eastAsia="SimSun"/>
          <w:i/>
          <w:u w:val="single"/>
        </w:rPr>
        <w:t>Инфузия лошадиного АТГ</w:t>
      </w:r>
      <w:bookmarkEnd w:id="102"/>
      <w:r w:rsidRPr="00985050">
        <w:rPr>
          <w:rFonts w:eastAsia="SimSun"/>
          <w:i/>
          <w:u w:val="single"/>
        </w:rPr>
        <w:t xml:space="preserve"> </w:t>
      </w:r>
    </w:p>
    <w:p w14:paraId="7A2E2CC0" w14:textId="77777777" w:rsidR="008143D9" w:rsidRPr="00C07B2E" w:rsidRDefault="008143D9" w:rsidP="0091350E">
      <w:pPr>
        <w:ind w:firstLine="709"/>
        <w:rPr>
          <w:rFonts w:eastAsia="SimSun"/>
        </w:rPr>
      </w:pPr>
      <w:r w:rsidRPr="00C07B2E">
        <w:rPr>
          <w:rFonts w:eastAsia="SimSun"/>
        </w:rPr>
        <w:t>С целью снижения вероятности выпадения осадка суточная доза препарата АТГ делится на 2 приблизительно равные дозы. Рекомендуется подбирать дозы, кратные 250 мг (1 ампуле). Например, вес пациента 75 кг. Суточная доза 750 мг: утренняя — 500 мг, вечерняя — 250 мг.</w:t>
      </w:r>
    </w:p>
    <w:p w14:paraId="5877C2B3" w14:textId="77777777" w:rsidR="008143D9" w:rsidRPr="00C07B2E" w:rsidRDefault="008143D9" w:rsidP="0091350E">
      <w:pPr>
        <w:ind w:firstLine="709"/>
        <w:rPr>
          <w:rFonts w:eastAsia="SimSun"/>
        </w:rPr>
      </w:pPr>
      <w:r w:rsidRPr="00C07B2E">
        <w:rPr>
          <w:rFonts w:eastAsia="SimSun"/>
        </w:rPr>
        <w:t>Каждая доза препарата разводится на 0,9% растворе хлорида натрия в объеме 500 мл. Время введения каждой из доз препарата АТГ составляет 6 ч:</w:t>
      </w:r>
    </w:p>
    <w:p w14:paraId="05753E19" w14:textId="77777777" w:rsidR="008143D9" w:rsidRPr="00C07B2E" w:rsidRDefault="008143D9" w:rsidP="0091350E">
      <w:pPr>
        <w:ind w:firstLine="709"/>
        <w:rPr>
          <w:rFonts w:eastAsia="SimSun"/>
        </w:rPr>
      </w:pPr>
      <w:r w:rsidRPr="00C07B2E">
        <w:rPr>
          <w:rFonts w:eastAsia="SimSun"/>
        </w:rPr>
        <w:t>Утренняя доза — 10:00–16:00.</w:t>
      </w:r>
    </w:p>
    <w:p w14:paraId="7DDBFC3A" w14:textId="77777777" w:rsidR="008143D9" w:rsidRPr="00C07B2E" w:rsidRDefault="008143D9" w:rsidP="0091350E">
      <w:pPr>
        <w:ind w:firstLine="709"/>
        <w:rPr>
          <w:rFonts w:eastAsia="SimSun"/>
        </w:rPr>
      </w:pPr>
      <w:r w:rsidRPr="00C07B2E">
        <w:rPr>
          <w:rFonts w:eastAsia="SimSun"/>
        </w:rPr>
        <w:t>Вечерняя доза — 17:00–23:00.</w:t>
      </w:r>
    </w:p>
    <w:p w14:paraId="7B683148" w14:textId="77777777" w:rsidR="008143D9" w:rsidRPr="00C07B2E" w:rsidRDefault="008143D9" w:rsidP="0091350E">
      <w:pPr>
        <w:ind w:firstLine="709"/>
        <w:rPr>
          <w:rFonts w:eastAsia="SimSun"/>
        </w:rPr>
      </w:pPr>
      <w:r w:rsidRPr="00C07B2E">
        <w:rPr>
          <w:rFonts w:eastAsia="SimSun"/>
        </w:rPr>
        <w:t>Введение препарата идет параллельно с введением метилпреднизолона в суммарной дозе 3 мг/кг (но не более 250 мг/сут). Началу инфузии препарата АТГ предшествует в/в болюсное введение 30 мг метилпреднизолона с последующей 13-часовой инфузией (с 10:00 по 23:00) оставшейся суточной дозы метилпреднизолона.</w:t>
      </w:r>
    </w:p>
    <w:p w14:paraId="67378CDE" w14:textId="77777777" w:rsidR="008143D9" w:rsidRPr="00C07B2E" w:rsidRDefault="008143D9" w:rsidP="008143D9">
      <w:pPr>
        <w:rPr>
          <w:rFonts w:eastAsia="SimSun"/>
        </w:rPr>
      </w:pPr>
    </w:p>
    <w:p w14:paraId="59240846" w14:textId="77777777" w:rsidR="008143D9" w:rsidRPr="00985050" w:rsidRDefault="008143D9" w:rsidP="008143D9">
      <w:pPr>
        <w:rPr>
          <w:rFonts w:eastAsia="SimSun"/>
          <w:i/>
          <w:u w:val="single"/>
        </w:rPr>
      </w:pPr>
      <w:bookmarkStart w:id="103" w:name="_Toc44401137"/>
      <w:r w:rsidRPr="00985050">
        <w:rPr>
          <w:rFonts w:eastAsia="SimSun"/>
          <w:i/>
          <w:u w:val="single"/>
        </w:rPr>
        <w:t>Альтернативный способ введения лошадиного АТГ</w:t>
      </w:r>
      <w:bookmarkEnd w:id="103"/>
      <w:r w:rsidRPr="00985050">
        <w:rPr>
          <w:i/>
          <w:u w:val="single"/>
        </w:rPr>
        <w:t xml:space="preserve"> </w:t>
      </w:r>
    </w:p>
    <w:p w14:paraId="79E19DE6" w14:textId="77777777" w:rsidR="008143D9" w:rsidRPr="00C07B2E" w:rsidRDefault="008143D9" w:rsidP="0091350E">
      <w:pPr>
        <w:ind w:firstLine="709"/>
      </w:pPr>
      <w:r w:rsidRPr="00C07B2E">
        <w:t xml:space="preserve">Лошадиный АТГ разводится на 500 мл физиологического раствора.  В случае отрицательной кожной пробы проводится 12- часовая инфузия с премедикацией 1 мг/кг метилпреднизолона в\в капельно перед началом введения и через 6 часов после начала введения. В случае положительной кожной пробы доза солумедрола увеличивается до 2 мг/кг. В случае развития аллергической реакции на фоне введения введение препарата останавливается и вводится 2 мг/кг метилпреднизолона. Инфузия возобновляется с удлинением времени введения до 18 часов после разрешения симптомов аллергии. </w:t>
      </w:r>
    </w:p>
    <w:p w14:paraId="5F736D59" w14:textId="77777777" w:rsidR="008143D9" w:rsidRPr="00C07B2E" w:rsidRDefault="008143D9" w:rsidP="008143D9">
      <w:pPr>
        <w:rPr>
          <w:rFonts w:eastAsia="SimSun"/>
        </w:rPr>
      </w:pPr>
    </w:p>
    <w:p w14:paraId="6A36E5A4" w14:textId="77777777" w:rsidR="008143D9" w:rsidRPr="00985050" w:rsidRDefault="008143D9" w:rsidP="008143D9">
      <w:pPr>
        <w:rPr>
          <w:rFonts w:eastAsia="SimSun"/>
          <w:i/>
          <w:u w:val="single"/>
        </w:rPr>
      </w:pPr>
      <w:bookmarkStart w:id="104" w:name="_Toc44401138"/>
      <w:r w:rsidRPr="00985050">
        <w:rPr>
          <w:rFonts w:eastAsia="SimSun"/>
          <w:i/>
          <w:u w:val="single"/>
        </w:rPr>
        <w:t>Инфузия кроличьего АТГ</w:t>
      </w:r>
      <w:bookmarkEnd w:id="104"/>
    </w:p>
    <w:p w14:paraId="5714BD83" w14:textId="77777777" w:rsidR="008143D9" w:rsidRPr="00C07B2E" w:rsidRDefault="008143D9" w:rsidP="0091350E">
      <w:pPr>
        <w:ind w:firstLine="709"/>
      </w:pPr>
      <w:r w:rsidRPr="00C07B2E">
        <w:t>Тимоглобулин (кроличий антитимоцитарный глобулин) вводится в течение 2-3 дней до трансплантации в дозе 2.5 мг/кг на введение (суммарная доза 5-7.5 мг/кг). Крайне желательно, чтобы дни введения не совпадали с днями приема бусульфана, например в -2 и -1 дни. Тимоглобулин разводится на 500 мл физиологического раствора.  Кожная проба при использовании Тимоглобулина не проводится. Премедикация перед введением – метилпреднизолон 2 мг/кг в</w:t>
      </w:r>
      <w:r>
        <w:t>/</w:t>
      </w:r>
      <w:r w:rsidRPr="00C07B2E">
        <w:t xml:space="preserve">в капельно. Первая доза вводится за 6 часов. Вторая за 4 часа. В случае развития аллергической реакции на фоне введения введение препарата останавливается и вводится 2 мг/кг метилпреднизолона. Оставшееся время введения удлиняется в два раза. </w:t>
      </w:r>
    </w:p>
    <w:p w14:paraId="7AF49682" w14:textId="77777777" w:rsidR="008143D9" w:rsidRPr="00C07B2E" w:rsidRDefault="008143D9" w:rsidP="0091350E">
      <w:pPr>
        <w:ind w:firstLine="709"/>
      </w:pPr>
      <w:r w:rsidRPr="00C07B2E">
        <w:t xml:space="preserve">Графалон (кроличий антитимоцитарный глобулин) вводится в течение 3 дней до трансплантации в дозе 20 мг/кг на введение (суммарная доза 60 мг/кг). Крайне желательно, чтобы дни введения не совпадали с днями приема бусульфана, например в -3, -2 и -1 дни. Графалон разводится на 500 мл физиологического раствора. Кожная проба не проводится. Премедикация перед введением – метилпреднизолон 2 мг/кг в\в капельно. Первая доза вводится за 6 часов. Вторая за 4 часа. В случае развития аллергической реакции на фоне введения введение препарата останавливается и вводится 2 мг/кг метилпреднизолона. Оставшееся время введения удлиняется в два раза.  </w:t>
      </w:r>
    </w:p>
    <w:p w14:paraId="143EEFD7" w14:textId="77777777" w:rsidR="008143D9" w:rsidRDefault="008143D9" w:rsidP="008143D9">
      <w:pPr>
        <w:rPr>
          <w:rFonts w:eastAsia="SimSun"/>
        </w:rPr>
      </w:pPr>
      <w:bookmarkStart w:id="105" w:name="_Toc44401139"/>
    </w:p>
    <w:p w14:paraId="4D83D343" w14:textId="77777777" w:rsidR="008143D9" w:rsidRPr="00470D3D" w:rsidRDefault="008143D9" w:rsidP="008143D9">
      <w:pPr>
        <w:rPr>
          <w:rFonts w:eastAsia="SimSun"/>
          <w:b/>
        </w:rPr>
      </w:pPr>
      <w:r>
        <w:rPr>
          <w:rFonts w:eastAsia="SimSun"/>
          <w:b/>
        </w:rPr>
        <w:t>5</w:t>
      </w:r>
      <w:r w:rsidRPr="00470D3D">
        <w:rPr>
          <w:rFonts w:eastAsia="SimSun"/>
          <w:b/>
        </w:rPr>
        <w:t>. Протоколы кондиционирования и профилактики РТПХ в зависимости от типа донора</w:t>
      </w:r>
      <w:bookmarkEnd w:id="105"/>
    </w:p>
    <w:p w14:paraId="554C881B" w14:textId="77777777" w:rsidR="008143D9" w:rsidRPr="00985050" w:rsidRDefault="008143D9" w:rsidP="008143D9">
      <w:pPr>
        <w:rPr>
          <w:rFonts w:eastAsia="SimSun"/>
          <w:i/>
          <w:u w:val="single"/>
        </w:rPr>
      </w:pPr>
      <w:bookmarkStart w:id="106" w:name="_Toc44401140"/>
      <w:r>
        <w:rPr>
          <w:rFonts w:eastAsia="SimSun"/>
          <w:i/>
          <w:u w:val="single"/>
        </w:rPr>
        <w:t>5.</w:t>
      </w:r>
      <w:r w:rsidRPr="00985050">
        <w:rPr>
          <w:rFonts w:eastAsia="SimSun"/>
          <w:i/>
          <w:u w:val="single"/>
        </w:rPr>
        <w:t xml:space="preserve">1. Родственный </w:t>
      </w:r>
      <w:r w:rsidRPr="00985050">
        <w:rPr>
          <w:rFonts w:eastAsia="SimSun"/>
          <w:i/>
          <w:u w:val="single"/>
          <w:lang w:val="en-US"/>
        </w:rPr>
        <w:t>HLA</w:t>
      </w:r>
      <w:r w:rsidRPr="00985050">
        <w:rPr>
          <w:rFonts w:eastAsia="SimSun"/>
          <w:i/>
          <w:u w:val="single"/>
        </w:rPr>
        <w:t>-идентичный донор</w:t>
      </w:r>
      <w:bookmarkEnd w:id="106"/>
      <w:r w:rsidRPr="00985050">
        <w:rPr>
          <w:rFonts w:eastAsia="SimSun"/>
          <w:i/>
          <w:u w:val="single"/>
        </w:rPr>
        <w:t xml:space="preserve"> </w:t>
      </w:r>
    </w:p>
    <w:p w14:paraId="740E5AAF" w14:textId="77777777" w:rsidR="008143D9" w:rsidRPr="00C07B2E" w:rsidRDefault="008143D9" w:rsidP="008143D9">
      <w:pPr>
        <w:rPr>
          <w:rFonts w:eastAsia="SimSun"/>
        </w:rPr>
      </w:pPr>
      <w:r w:rsidRPr="00C07B2E">
        <w:rPr>
          <w:rFonts w:eastAsia="SimSun"/>
        </w:rPr>
        <w:t xml:space="preserve">Схемы и режимы применения препаратов для кондиционирования и профилактики РТПХ указаны в Таблице </w:t>
      </w:r>
      <w:r>
        <w:rPr>
          <w:rFonts w:eastAsia="SimSun"/>
        </w:rPr>
        <w:t>5</w:t>
      </w:r>
      <w:r w:rsidRPr="00C07B2E">
        <w:rPr>
          <w:rFonts w:eastAsia="SimSun"/>
        </w:rPr>
        <w:t>.1.1</w:t>
      </w:r>
    </w:p>
    <w:p w14:paraId="65B9D479" w14:textId="77777777" w:rsidR="008143D9" w:rsidRPr="00C07B2E" w:rsidRDefault="008143D9" w:rsidP="008143D9">
      <w:pPr>
        <w:rPr>
          <w:rFonts w:eastAsia="SimSun"/>
        </w:rPr>
        <w:sectPr w:rsidR="008143D9" w:rsidRPr="00C07B2E" w:rsidSect="008143D9">
          <w:pgSz w:w="11907" w:h="16839" w:code="9"/>
          <w:pgMar w:top="1134" w:right="850" w:bottom="1134" w:left="1701" w:header="709" w:footer="567" w:gutter="0"/>
          <w:cols w:space="708"/>
          <w:docGrid w:linePitch="360"/>
        </w:sectPr>
      </w:pPr>
    </w:p>
    <w:p w14:paraId="25190B30" w14:textId="77777777" w:rsidR="008143D9" w:rsidRPr="00C07B2E" w:rsidRDefault="008143D9" w:rsidP="008143D9">
      <w:pPr>
        <w:rPr>
          <w:rFonts w:eastAsia="SimSun"/>
        </w:rPr>
      </w:pPr>
      <w:r w:rsidRPr="00C07B2E">
        <w:rPr>
          <w:rFonts w:eastAsia="SimSun"/>
        </w:rPr>
        <w:t xml:space="preserve">Таблица </w:t>
      </w:r>
      <w:r>
        <w:rPr>
          <w:rFonts w:eastAsia="SimSun"/>
        </w:rPr>
        <w:t>5</w:t>
      </w:r>
      <w:r w:rsidRPr="00C07B2E">
        <w:rPr>
          <w:rFonts w:eastAsia="SimSun"/>
        </w:rPr>
        <w:t xml:space="preserve">.1.1 Схемы и режимы применения препаратов для кондиционирования и профилактики РТПХ со ссылками на </w:t>
      </w:r>
      <w:r>
        <w:rPr>
          <w:rFonts w:eastAsia="SimSun"/>
        </w:rPr>
        <w:t>таблицы с описанием</w:t>
      </w:r>
    </w:p>
    <w:p w14:paraId="4CCEF320" w14:textId="77777777" w:rsidR="008143D9" w:rsidRPr="00C07B2E" w:rsidRDefault="008143D9" w:rsidP="008143D9">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1"/>
        <w:gridCol w:w="809"/>
        <w:gridCol w:w="1222"/>
        <w:gridCol w:w="1659"/>
        <w:gridCol w:w="1539"/>
        <w:gridCol w:w="1713"/>
        <w:gridCol w:w="1713"/>
        <w:gridCol w:w="1713"/>
        <w:gridCol w:w="1919"/>
      </w:tblGrid>
      <w:tr w:rsidR="008143D9" w:rsidRPr="00C07B2E" w14:paraId="67A81854" w14:textId="77777777" w:rsidTr="005A428D">
        <w:trPr>
          <w:cantSplit/>
          <w:trHeight w:val="664"/>
        </w:trPr>
        <w:tc>
          <w:tcPr>
            <w:tcW w:w="1408" w:type="pct"/>
            <w:gridSpan w:val="3"/>
            <w:vMerge w:val="restart"/>
            <w:shd w:val="clear" w:color="auto" w:fill="auto"/>
            <w:vAlign w:val="center"/>
          </w:tcPr>
          <w:p w14:paraId="3A51DF6D" w14:textId="77777777" w:rsidR="008143D9" w:rsidRPr="00C07B2E" w:rsidRDefault="008143D9" w:rsidP="005A428D">
            <w:pPr>
              <w:rPr>
                <w:rFonts w:eastAsia="SimSun"/>
              </w:rPr>
            </w:pPr>
            <w:r w:rsidRPr="00C07B2E">
              <w:rPr>
                <w:rFonts w:eastAsia="SimSun"/>
              </w:rPr>
              <w:t>Профилактика РТПХ</w:t>
            </w:r>
          </w:p>
        </w:tc>
        <w:tc>
          <w:tcPr>
            <w:tcW w:w="3592" w:type="pct"/>
            <w:gridSpan w:val="6"/>
            <w:shd w:val="clear" w:color="auto" w:fill="auto"/>
            <w:vAlign w:val="center"/>
          </w:tcPr>
          <w:p w14:paraId="71F53967" w14:textId="77777777" w:rsidR="008143D9" w:rsidRPr="00C07B2E" w:rsidRDefault="008143D9" w:rsidP="005A428D">
            <w:pPr>
              <w:rPr>
                <w:rFonts w:eastAsia="SimSun"/>
              </w:rPr>
            </w:pPr>
            <w:r w:rsidRPr="00C07B2E">
              <w:rPr>
                <w:rFonts w:eastAsia="SimSun"/>
              </w:rPr>
              <w:t>Режим кондиционирования</w:t>
            </w:r>
          </w:p>
        </w:tc>
      </w:tr>
      <w:tr w:rsidR="008143D9" w:rsidRPr="00C07B2E" w14:paraId="371A9AEB" w14:textId="77777777" w:rsidTr="005A428D">
        <w:trPr>
          <w:cantSplit/>
          <w:trHeight w:val="676"/>
        </w:trPr>
        <w:tc>
          <w:tcPr>
            <w:tcW w:w="1408" w:type="pct"/>
            <w:gridSpan w:val="3"/>
            <w:vMerge/>
            <w:shd w:val="clear" w:color="auto" w:fill="auto"/>
            <w:vAlign w:val="center"/>
          </w:tcPr>
          <w:p w14:paraId="36BA4EB8" w14:textId="77777777" w:rsidR="008143D9" w:rsidRPr="00C07B2E" w:rsidRDefault="008143D9" w:rsidP="005A428D">
            <w:pPr>
              <w:rPr>
                <w:rFonts w:eastAsia="SimSun"/>
              </w:rPr>
            </w:pPr>
          </w:p>
        </w:tc>
        <w:tc>
          <w:tcPr>
            <w:tcW w:w="1120" w:type="pct"/>
            <w:gridSpan w:val="2"/>
            <w:shd w:val="clear" w:color="auto" w:fill="BFBFBF"/>
            <w:vAlign w:val="center"/>
          </w:tcPr>
          <w:p w14:paraId="246ABA85" w14:textId="77777777" w:rsidR="008143D9" w:rsidRPr="00C07B2E" w:rsidRDefault="008143D9" w:rsidP="005A428D">
            <w:pPr>
              <w:rPr>
                <w:rFonts w:eastAsia="SimSun"/>
              </w:rPr>
            </w:pPr>
            <w:r w:rsidRPr="00C07B2E">
              <w:rPr>
                <w:rFonts w:eastAsia="SimSun"/>
                <w:lang w:val="en-US"/>
              </w:rPr>
              <w:t>Cy</w:t>
            </w:r>
            <w:r w:rsidRPr="00C07B2E">
              <w:rPr>
                <w:rFonts w:eastAsia="SimSun"/>
              </w:rPr>
              <w:t>120</w:t>
            </w:r>
          </w:p>
        </w:tc>
        <w:tc>
          <w:tcPr>
            <w:tcW w:w="600" w:type="pct"/>
            <w:shd w:val="clear" w:color="auto" w:fill="BFBFBF"/>
            <w:vAlign w:val="center"/>
          </w:tcPr>
          <w:p w14:paraId="2D823358" w14:textId="77777777" w:rsidR="008143D9" w:rsidRPr="00C07B2E" w:rsidRDefault="008143D9" w:rsidP="005A428D">
            <w:pPr>
              <w:rPr>
                <w:rFonts w:eastAsia="SimSun"/>
              </w:rPr>
            </w:pPr>
            <w:r w:rsidRPr="00C07B2E">
              <w:rPr>
                <w:rFonts w:eastAsia="SimSun"/>
                <w:lang w:val="en-US"/>
              </w:rPr>
              <w:t>Flu</w:t>
            </w:r>
            <w:r w:rsidRPr="00C07B2E">
              <w:rPr>
                <w:rFonts w:eastAsia="SimSun"/>
              </w:rPr>
              <w:t>150</w:t>
            </w:r>
          </w:p>
        </w:tc>
        <w:tc>
          <w:tcPr>
            <w:tcW w:w="1872" w:type="pct"/>
            <w:gridSpan w:val="3"/>
            <w:shd w:val="clear" w:color="auto" w:fill="BFBFBF"/>
            <w:vAlign w:val="center"/>
          </w:tcPr>
          <w:p w14:paraId="76F88531" w14:textId="77777777" w:rsidR="008143D9" w:rsidRPr="00C07B2E" w:rsidRDefault="008143D9" w:rsidP="005A428D">
            <w:pPr>
              <w:rPr>
                <w:rFonts w:eastAsia="SimSun"/>
              </w:rPr>
            </w:pPr>
            <w:r w:rsidRPr="00C07B2E">
              <w:rPr>
                <w:rFonts w:eastAsia="SimSun"/>
                <w:lang w:val="en-US"/>
              </w:rPr>
              <w:t>Flu</w:t>
            </w:r>
            <w:r w:rsidRPr="00C07B2E">
              <w:rPr>
                <w:rFonts w:eastAsia="SimSun"/>
              </w:rPr>
              <w:t>180</w:t>
            </w:r>
          </w:p>
        </w:tc>
      </w:tr>
      <w:tr w:rsidR="008143D9" w:rsidRPr="00C07B2E" w14:paraId="5B9D90B9" w14:textId="77777777" w:rsidTr="005A428D">
        <w:trPr>
          <w:cantSplit/>
          <w:trHeight w:val="791"/>
        </w:trPr>
        <w:tc>
          <w:tcPr>
            <w:tcW w:w="1408" w:type="pct"/>
            <w:gridSpan w:val="3"/>
            <w:vMerge/>
            <w:shd w:val="clear" w:color="auto" w:fill="auto"/>
            <w:vAlign w:val="center"/>
          </w:tcPr>
          <w:p w14:paraId="12B5F56D" w14:textId="77777777" w:rsidR="008143D9" w:rsidRPr="00C07B2E" w:rsidRDefault="008143D9" w:rsidP="005A428D">
            <w:pPr>
              <w:rPr>
                <w:rFonts w:eastAsia="SimSun"/>
              </w:rPr>
            </w:pPr>
          </w:p>
        </w:tc>
        <w:tc>
          <w:tcPr>
            <w:tcW w:w="581" w:type="pct"/>
            <w:shd w:val="clear" w:color="auto" w:fill="BFBFBF"/>
            <w:vAlign w:val="center"/>
          </w:tcPr>
          <w:p w14:paraId="69951815" w14:textId="77777777" w:rsidR="008143D9" w:rsidRPr="00C07B2E" w:rsidRDefault="008143D9" w:rsidP="005A428D">
            <w:pPr>
              <w:rPr>
                <w:rFonts w:eastAsia="SimSun"/>
              </w:rPr>
            </w:pPr>
            <w:r w:rsidRPr="00C07B2E">
              <w:rPr>
                <w:rFonts w:eastAsia="SimSun"/>
                <w:lang w:val="en-US"/>
              </w:rPr>
              <w:t>Bu</w:t>
            </w:r>
            <w:r w:rsidRPr="00C07B2E">
              <w:rPr>
                <w:rFonts w:eastAsia="SimSun"/>
              </w:rPr>
              <w:t>12</w:t>
            </w:r>
          </w:p>
        </w:tc>
        <w:tc>
          <w:tcPr>
            <w:tcW w:w="539" w:type="pct"/>
            <w:shd w:val="clear" w:color="auto" w:fill="BFBFBF"/>
            <w:vAlign w:val="center"/>
          </w:tcPr>
          <w:p w14:paraId="17C9D465" w14:textId="77777777" w:rsidR="008143D9" w:rsidRPr="00C07B2E" w:rsidRDefault="008143D9" w:rsidP="005A428D">
            <w:pPr>
              <w:rPr>
                <w:rFonts w:eastAsia="SimSun"/>
              </w:rPr>
            </w:pPr>
            <w:r w:rsidRPr="00C07B2E">
              <w:rPr>
                <w:rFonts w:eastAsia="SimSun"/>
                <w:lang w:val="en-US"/>
              </w:rPr>
              <w:t>TBI</w:t>
            </w:r>
          </w:p>
        </w:tc>
        <w:tc>
          <w:tcPr>
            <w:tcW w:w="600" w:type="pct"/>
            <w:shd w:val="clear" w:color="auto" w:fill="BFBFBF"/>
            <w:vAlign w:val="center"/>
          </w:tcPr>
          <w:p w14:paraId="34E5D659" w14:textId="77777777" w:rsidR="008143D9" w:rsidRPr="00C07B2E" w:rsidRDefault="008143D9" w:rsidP="005A428D">
            <w:pPr>
              <w:rPr>
                <w:rFonts w:eastAsia="SimSun"/>
              </w:rPr>
            </w:pPr>
            <w:r w:rsidRPr="00C07B2E">
              <w:rPr>
                <w:rFonts w:eastAsia="SimSun"/>
                <w:lang w:val="en-US"/>
              </w:rPr>
              <w:t>Bu</w:t>
            </w:r>
            <w:r w:rsidRPr="00C07B2E">
              <w:rPr>
                <w:rFonts w:eastAsia="SimSun"/>
              </w:rPr>
              <w:t>12</w:t>
            </w:r>
          </w:p>
        </w:tc>
        <w:tc>
          <w:tcPr>
            <w:tcW w:w="600" w:type="pct"/>
            <w:shd w:val="clear" w:color="auto" w:fill="BFBFBF"/>
            <w:vAlign w:val="center"/>
          </w:tcPr>
          <w:p w14:paraId="705CDBE3" w14:textId="77777777" w:rsidR="008143D9" w:rsidRPr="00C07B2E" w:rsidRDefault="008143D9" w:rsidP="005A428D">
            <w:pPr>
              <w:rPr>
                <w:rFonts w:eastAsia="SimSun"/>
              </w:rPr>
            </w:pPr>
            <w:r w:rsidRPr="00C07B2E">
              <w:rPr>
                <w:rFonts w:eastAsia="SimSun"/>
                <w:lang w:val="en-US"/>
              </w:rPr>
              <w:t>Bu</w:t>
            </w:r>
            <w:r w:rsidRPr="00C07B2E">
              <w:rPr>
                <w:rFonts w:eastAsia="SimSun"/>
              </w:rPr>
              <w:t>12</w:t>
            </w:r>
          </w:p>
        </w:tc>
        <w:tc>
          <w:tcPr>
            <w:tcW w:w="600" w:type="pct"/>
            <w:shd w:val="clear" w:color="auto" w:fill="BFBFBF"/>
            <w:vAlign w:val="center"/>
          </w:tcPr>
          <w:p w14:paraId="356C7F36" w14:textId="77777777" w:rsidR="008143D9" w:rsidRPr="00C07B2E" w:rsidRDefault="008143D9" w:rsidP="005A428D">
            <w:pPr>
              <w:rPr>
                <w:rFonts w:eastAsia="SimSun"/>
              </w:rPr>
            </w:pPr>
            <w:r w:rsidRPr="00C07B2E">
              <w:rPr>
                <w:rFonts w:eastAsia="SimSun"/>
                <w:lang w:val="en-US"/>
              </w:rPr>
              <w:t>Bu</w:t>
            </w:r>
            <w:r w:rsidRPr="00C07B2E">
              <w:rPr>
                <w:rFonts w:eastAsia="SimSun"/>
              </w:rPr>
              <w:t>14</w:t>
            </w:r>
          </w:p>
        </w:tc>
        <w:tc>
          <w:tcPr>
            <w:tcW w:w="672" w:type="pct"/>
            <w:shd w:val="clear" w:color="auto" w:fill="BFBFBF"/>
            <w:vAlign w:val="center"/>
          </w:tcPr>
          <w:p w14:paraId="1E591C40" w14:textId="77777777" w:rsidR="008143D9" w:rsidRPr="00C07B2E" w:rsidRDefault="008143D9" w:rsidP="005A428D">
            <w:pPr>
              <w:rPr>
                <w:rFonts w:eastAsia="SimSun"/>
              </w:rPr>
            </w:pPr>
            <w:r w:rsidRPr="00C07B2E">
              <w:rPr>
                <w:rFonts w:eastAsia="SimSun"/>
                <w:lang w:val="en-US"/>
              </w:rPr>
              <w:t>Treo</w:t>
            </w:r>
            <w:r w:rsidRPr="00C07B2E">
              <w:rPr>
                <w:rFonts w:eastAsia="SimSun"/>
              </w:rPr>
              <w:t>42</w:t>
            </w:r>
          </w:p>
        </w:tc>
      </w:tr>
      <w:tr w:rsidR="008143D9" w:rsidRPr="00C07B2E" w14:paraId="7EF53041" w14:textId="77777777" w:rsidTr="005A428D">
        <w:trPr>
          <w:cantSplit/>
          <w:trHeight w:val="1020"/>
        </w:trPr>
        <w:tc>
          <w:tcPr>
            <w:tcW w:w="697" w:type="pct"/>
            <w:shd w:val="clear" w:color="auto" w:fill="BFBFBF"/>
            <w:vAlign w:val="center"/>
          </w:tcPr>
          <w:p w14:paraId="46C6025E" w14:textId="77777777" w:rsidR="008143D9" w:rsidRPr="00C07B2E" w:rsidRDefault="008143D9" w:rsidP="005A428D">
            <w:pPr>
              <w:rPr>
                <w:rFonts w:eastAsia="SimSun"/>
              </w:rPr>
            </w:pPr>
            <w:r w:rsidRPr="00C07B2E">
              <w:rPr>
                <w:rFonts w:eastAsia="SimSun"/>
              </w:rPr>
              <w:t>-</w:t>
            </w:r>
          </w:p>
        </w:tc>
        <w:tc>
          <w:tcPr>
            <w:tcW w:w="283" w:type="pct"/>
            <w:shd w:val="clear" w:color="auto" w:fill="BFBFBF"/>
            <w:vAlign w:val="center"/>
          </w:tcPr>
          <w:p w14:paraId="35559EF9" w14:textId="77777777" w:rsidR="008143D9" w:rsidRPr="00C07B2E" w:rsidRDefault="008143D9" w:rsidP="005A428D">
            <w:pPr>
              <w:rPr>
                <w:rFonts w:eastAsia="SimSun"/>
              </w:rPr>
            </w:pPr>
            <w:r w:rsidRPr="00C07B2E">
              <w:rPr>
                <w:rFonts w:eastAsia="SimSun"/>
                <w:lang w:val="en-US"/>
              </w:rPr>
              <w:t>CSA</w:t>
            </w:r>
          </w:p>
        </w:tc>
        <w:tc>
          <w:tcPr>
            <w:tcW w:w="428" w:type="pct"/>
            <w:shd w:val="clear" w:color="auto" w:fill="BFBFBF"/>
            <w:vAlign w:val="center"/>
          </w:tcPr>
          <w:p w14:paraId="30C09398" w14:textId="77777777" w:rsidR="008143D9" w:rsidRPr="00C07B2E" w:rsidRDefault="008143D9" w:rsidP="005A428D">
            <w:pPr>
              <w:rPr>
                <w:rFonts w:eastAsia="SimSun"/>
              </w:rPr>
            </w:pPr>
            <w:r w:rsidRPr="00C07B2E">
              <w:rPr>
                <w:rFonts w:eastAsia="SimSun"/>
                <w:lang w:val="en-US"/>
              </w:rPr>
              <w:t>MTX</w:t>
            </w:r>
          </w:p>
        </w:tc>
        <w:tc>
          <w:tcPr>
            <w:tcW w:w="581" w:type="pct"/>
            <w:shd w:val="clear" w:color="auto" w:fill="auto"/>
            <w:vAlign w:val="center"/>
          </w:tcPr>
          <w:p w14:paraId="66EAFF97" w14:textId="77777777" w:rsidR="008143D9" w:rsidRPr="00C07B2E" w:rsidRDefault="008143D9" w:rsidP="005A428D">
            <w:pPr>
              <w:rPr>
                <w:rFonts w:eastAsia="SimSun"/>
              </w:rPr>
            </w:pPr>
            <w:r>
              <w:rPr>
                <w:rFonts w:eastAsia="SimSun"/>
              </w:rPr>
              <w:t>5.</w:t>
            </w:r>
            <w:r w:rsidRPr="00C07B2E">
              <w:rPr>
                <w:rFonts w:eastAsia="SimSun"/>
              </w:rPr>
              <w:t>1.1.1</w:t>
            </w:r>
          </w:p>
        </w:tc>
        <w:tc>
          <w:tcPr>
            <w:tcW w:w="539" w:type="pct"/>
            <w:shd w:val="clear" w:color="auto" w:fill="auto"/>
            <w:vAlign w:val="center"/>
          </w:tcPr>
          <w:p w14:paraId="605C27BC" w14:textId="77777777" w:rsidR="008143D9" w:rsidRPr="00C07B2E" w:rsidRDefault="008143D9" w:rsidP="005A428D">
            <w:pPr>
              <w:rPr>
                <w:rFonts w:eastAsia="SimSun"/>
              </w:rPr>
            </w:pPr>
            <w:r>
              <w:rPr>
                <w:rFonts w:eastAsia="SimSun"/>
              </w:rPr>
              <w:t>5.</w:t>
            </w:r>
            <w:r w:rsidRPr="00C07B2E">
              <w:rPr>
                <w:rFonts w:eastAsia="SimSun"/>
              </w:rPr>
              <w:t>1.1.2</w:t>
            </w:r>
          </w:p>
        </w:tc>
        <w:tc>
          <w:tcPr>
            <w:tcW w:w="600" w:type="pct"/>
            <w:shd w:val="clear" w:color="auto" w:fill="auto"/>
            <w:vAlign w:val="center"/>
          </w:tcPr>
          <w:p w14:paraId="4A6D3602" w14:textId="77777777" w:rsidR="008143D9" w:rsidRPr="00C07B2E" w:rsidRDefault="008143D9" w:rsidP="005A428D">
            <w:r w:rsidRPr="00C07B2E">
              <w:rPr>
                <w:rFonts w:eastAsia="SimSun"/>
              </w:rPr>
              <w:t>-</w:t>
            </w:r>
          </w:p>
        </w:tc>
        <w:tc>
          <w:tcPr>
            <w:tcW w:w="600" w:type="pct"/>
            <w:shd w:val="clear" w:color="auto" w:fill="auto"/>
            <w:vAlign w:val="center"/>
          </w:tcPr>
          <w:p w14:paraId="5ABDB4FB" w14:textId="77777777" w:rsidR="008143D9" w:rsidRPr="00C07B2E" w:rsidRDefault="008143D9" w:rsidP="005A428D">
            <w:r w:rsidRPr="00C07B2E">
              <w:rPr>
                <w:rFonts w:eastAsia="SimSun"/>
              </w:rPr>
              <w:t>-</w:t>
            </w:r>
          </w:p>
        </w:tc>
        <w:tc>
          <w:tcPr>
            <w:tcW w:w="600" w:type="pct"/>
            <w:shd w:val="clear" w:color="auto" w:fill="auto"/>
            <w:vAlign w:val="center"/>
          </w:tcPr>
          <w:p w14:paraId="3AD4DB3F" w14:textId="77777777" w:rsidR="008143D9" w:rsidRPr="00C07B2E" w:rsidRDefault="008143D9" w:rsidP="005A428D">
            <w:r w:rsidRPr="00C07B2E">
              <w:rPr>
                <w:rFonts w:eastAsia="SimSun"/>
              </w:rPr>
              <w:t>-</w:t>
            </w:r>
          </w:p>
        </w:tc>
        <w:tc>
          <w:tcPr>
            <w:tcW w:w="672" w:type="pct"/>
            <w:shd w:val="clear" w:color="auto" w:fill="auto"/>
            <w:vAlign w:val="center"/>
          </w:tcPr>
          <w:p w14:paraId="12EBE677" w14:textId="77777777" w:rsidR="008143D9" w:rsidRPr="00C07B2E" w:rsidRDefault="008143D9" w:rsidP="005A428D">
            <w:r w:rsidRPr="00C07B2E">
              <w:rPr>
                <w:rFonts w:eastAsia="SimSun"/>
              </w:rPr>
              <w:t>-</w:t>
            </w:r>
          </w:p>
        </w:tc>
      </w:tr>
      <w:tr w:rsidR="008143D9" w:rsidRPr="00C07B2E" w14:paraId="41F1F5F8" w14:textId="77777777" w:rsidTr="005A428D">
        <w:trPr>
          <w:cantSplit/>
          <w:trHeight w:val="1020"/>
        </w:trPr>
        <w:tc>
          <w:tcPr>
            <w:tcW w:w="697" w:type="pct"/>
            <w:shd w:val="clear" w:color="auto" w:fill="BFBFBF"/>
            <w:vAlign w:val="center"/>
          </w:tcPr>
          <w:p w14:paraId="1F492354" w14:textId="77777777" w:rsidR="008143D9" w:rsidRPr="00C07B2E" w:rsidRDefault="008143D9" w:rsidP="005A428D">
            <w:pPr>
              <w:rPr>
                <w:rFonts w:eastAsia="SimSun"/>
                <w:lang w:val="en-US"/>
              </w:rPr>
            </w:pPr>
            <w:r w:rsidRPr="00C07B2E">
              <w:rPr>
                <w:rFonts w:eastAsia="SimSun"/>
                <w:lang w:val="en-US"/>
              </w:rPr>
              <w:t>-</w:t>
            </w:r>
          </w:p>
        </w:tc>
        <w:tc>
          <w:tcPr>
            <w:tcW w:w="283" w:type="pct"/>
            <w:shd w:val="clear" w:color="auto" w:fill="BFBFBF"/>
            <w:vAlign w:val="center"/>
          </w:tcPr>
          <w:p w14:paraId="53DD0EC7" w14:textId="77777777" w:rsidR="008143D9" w:rsidRPr="00C07B2E" w:rsidRDefault="008143D9" w:rsidP="005A428D">
            <w:pPr>
              <w:rPr>
                <w:rFonts w:eastAsia="SimSun"/>
                <w:lang w:val="en-US"/>
              </w:rPr>
            </w:pPr>
            <w:r w:rsidRPr="00C07B2E">
              <w:rPr>
                <w:rFonts w:eastAsia="SimSun"/>
                <w:lang w:val="en-US"/>
              </w:rPr>
              <w:t>Tx</w:t>
            </w:r>
          </w:p>
        </w:tc>
        <w:tc>
          <w:tcPr>
            <w:tcW w:w="428" w:type="pct"/>
            <w:shd w:val="clear" w:color="auto" w:fill="BFBFBF"/>
            <w:vAlign w:val="center"/>
          </w:tcPr>
          <w:p w14:paraId="628CCA26" w14:textId="77777777" w:rsidR="008143D9" w:rsidRPr="00C07B2E" w:rsidRDefault="008143D9" w:rsidP="005A428D">
            <w:pPr>
              <w:rPr>
                <w:rFonts w:eastAsia="SimSun"/>
                <w:lang w:val="en-US"/>
              </w:rPr>
            </w:pPr>
            <w:r w:rsidRPr="00C07B2E">
              <w:rPr>
                <w:rFonts w:eastAsia="SimSun"/>
                <w:lang w:val="en-US"/>
              </w:rPr>
              <w:t>MMF30</w:t>
            </w:r>
          </w:p>
        </w:tc>
        <w:tc>
          <w:tcPr>
            <w:tcW w:w="581" w:type="pct"/>
            <w:shd w:val="clear" w:color="auto" w:fill="auto"/>
            <w:vAlign w:val="center"/>
          </w:tcPr>
          <w:p w14:paraId="4E33F62F" w14:textId="77777777" w:rsidR="008143D9" w:rsidRPr="00C07B2E" w:rsidRDefault="008143D9" w:rsidP="005A428D">
            <w:r w:rsidRPr="00C07B2E">
              <w:rPr>
                <w:rFonts w:eastAsia="SimSun"/>
              </w:rPr>
              <w:t>-</w:t>
            </w:r>
          </w:p>
        </w:tc>
        <w:tc>
          <w:tcPr>
            <w:tcW w:w="539" w:type="pct"/>
            <w:shd w:val="clear" w:color="auto" w:fill="auto"/>
            <w:vAlign w:val="center"/>
          </w:tcPr>
          <w:p w14:paraId="3A7855DF" w14:textId="77777777" w:rsidR="008143D9" w:rsidRPr="00C07B2E" w:rsidRDefault="008143D9" w:rsidP="005A428D">
            <w:r w:rsidRPr="00C07B2E">
              <w:rPr>
                <w:rFonts w:eastAsia="SimSun"/>
              </w:rPr>
              <w:t>-</w:t>
            </w:r>
          </w:p>
        </w:tc>
        <w:tc>
          <w:tcPr>
            <w:tcW w:w="600" w:type="pct"/>
            <w:shd w:val="clear" w:color="auto" w:fill="auto"/>
            <w:vAlign w:val="center"/>
          </w:tcPr>
          <w:p w14:paraId="35831BF6" w14:textId="77777777" w:rsidR="008143D9" w:rsidRPr="00C07B2E" w:rsidRDefault="008143D9" w:rsidP="005A428D">
            <w:r w:rsidRPr="00C07B2E">
              <w:rPr>
                <w:rFonts w:eastAsia="SimSun"/>
              </w:rPr>
              <w:t>-</w:t>
            </w:r>
          </w:p>
        </w:tc>
        <w:tc>
          <w:tcPr>
            <w:tcW w:w="600" w:type="pct"/>
            <w:shd w:val="clear" w:color="auto" w:fill="auto"/>
            <w:vAlign w:val="center"/>
          </w:tcPr>
          <w:p w14:paraId="01D47EF1" w14:textId="77777777" w:rsidR="008143D9" w:rsidRPr="00C07B2E" w:rsidRDefault="008143D9" w:rsidP="005A428D">
            <w:pPr>
              <w:rPr>
                <w:rFonts w:eastAsia="SimSun"/>
                <w:lang w:val="en-US"/>
              </w:rPr>
            </w:pPr>
            <w:r>
              <w:rPr>
                <w:rFonts w:eastAsia="SimSun"/>
                <w:lang w:val="en-US"/>
              </w:rPr>
              <w:t>5.</w:t>
            </w:r>
            <w:r w:rsidRPr="00C07B2E">
              <w:rPr>
                <w:rFonts w:eastAsia="SimSun"/>
                <w:lang w:val="en-US"/>
              </w:rPr>
              <w:t>1.1.4</w:t>
            </w:r>
          </w:p>
        </w:tc>
        <w:tc>
          <w:tcPr>
            <w:tcW w:w="600" w:type="pct"/>
            <w:shd w:val="clear" w:color="auto" w:fill="auto"/>
            <w:vAlign w:val="center"/>
          </w:tcPr>
          <w:p w14:paraId="50169D78" w14:textId="77777777" w:rsidR="008143D9" w:rsidRPr="00C07B2E" w:rsidRDefault="008143D9" w:rsidP="005A428D">
            <w:pPr>
              <w:rPr>
                <w:rFonts w:eastAsia="SimSun"/>
                <w:lang w:val="en-US"/>
              </w:rPr>
            </w:pPr>
            <w:r>
              <w:rPr>
                <w:rFonts w:eastAsia="SimSun"/>
                <w:lang w:val="en-US"/>
              </w:rPr>
              <w:t>5.</w:t>
            </w:r>
            <w:r w:rsidRPr="00C07B2E">
              <w:rPr>
                <w:rFonts w:eastAsia="SimSun"/>
                <w:lang w:val="en-US"/>
              </w:rPr>
              <w:t>1.1.11</w:t>
            </w:r>
          </w:p>
        </w:tc>
        <w:tc>
          <w:tcPr>
            <w:tcW w:w="672" w:type="pct"/>
            <w:shd w:val="clear" w:color="auto" w:fill="auto"/>
            <w:vAlign w:val="center"/>
          </w:tcPr>
          <w:p w14:paraId="0EA3EE19" w14:textId="77777777" w:rsidR="008143D9" w:rsidRPr="00C07B2E" w:rsidRDefault="008143D9" w:rsidP="005A428D">
            <w:pPr>
              <w:rPr>
                <w:rFonts w:eastAsia="SimSun"/>
                <w:lang w:val="en-US"/>
              </w:rPr>
            </w:pPr>
            <w:r>
              <w:rPr>
                <w:rFonts w:eastAsia="SimSun"/>
                <w:lang w:val="en-US"/>
              </w:rPr>
              <w:t>5.</w:t>
            </w:r>
            <w:r w:rsidRPr="00C07B2E">
              <w:rPr>
                <w:rFonts w:eastAsia="SimSun"/>
                <w:lang w:val="en-US"/>
              </w:rPr>
              <w:t>1.1.12</w:t>
            </w:r>
          </w:p>
        </w:tc>
      </w:tr>
      <w:tr w:rsidR="008143D9" w:rsidRPr="00C07B2E" w14:paraId="7CD20902" w14:textId="77777777" w:rsidTr="005A428D">
        <w:trPr>
          <w:cantSplit/>
          <w:trHeight w:val="1020"/>
        </w:trPr>
        <w:tc>
          <w:tcPr>
            <w:tcW w:w="697" w:type="pct"/>
            <w:vMerge w:val="restart"/>
            <w:shd w:val="clear" w:color="auto" w:fill="BFBFBF"/>
            <w:vAlign w:val="center"/>
          </w:tcPr>
          <w:p w14:paraId="7A761078" w14:textId="77777777" w:rsidR="008143D9" w:rsidRPr="00C07B2E" w:rsidRDefault="008143D9" w:rsidP="005A428D">
            <w:pPr>
              <w:rPr>
                <w:rFonts w:eastAsia="SimSun"/>
                <w:lang w:val="en-US"/>
              </w:rPr>
            </w:pPr>
            <w:r w:rsidRPr="00C07B2E">
              <w:rPr>
                <w:rFonts w:eastAsia="SimSun"/>
                <w:lang w:val="en-US"/>
              </w:rPr>
              <w:t>PT-Cy</w:t>
            </w:r>
          </w:p>
          <w:p w14:paraId="1E62C295" w14:textId="77777777" w:rsidR="008143D9" w:rsidRPr="00C07B2E" w:rsidRDefault="008143D9" w:rsidP="005A428D">
            <w:pPr>
              <w:rPr>
                <w:rFonts w:eastAsia="SimSun"/>
                <w:lang w:val="en-US"/>
              </w:rPr>
            </w:pPr>
          </w:p>
        </w:tc>
        <w:tc>
          <w:tcPr>
            <w:tcW w:w="283" w:type="pct"/>
            <w:shd w:val="clear" w:color="auto" w:fill="BFBFBF"/>
            <w:vAlign w:val="center"/>
          </w:tcPr>
          <w:p w14:paraId="4DCF92B0" w14:textId="77777777" w:rsidR="008143D9" w:rsidRPr="00C07B2E" w:rsidRDefault="008143D9" w:rsidP="005A428D">
            <w:pPr>
              <w:rPr>
                <w:rFonts w:eastAsia="SimSun"/>
                <w:lang w:val="en-US"/>
              </w:rPr>
            </w:pPr>
            <w:r w:rsidRPr="00C07B2E">
              <w:rPr>
                <w:rFonts w:eastAsia="SimSun"/>
                <w:lang w:val="en-US"/>
              </w:rPr>
              <w:t>-</w:t>
            </w:r>
          </w:p>
        </w:tc>
        <w:tc>
          <w:tcPr>
            <w:tcW w:w="428" w:type="pct"/>
            <w:shd w:val="clear" w:color="auto" w:fill="BFBFBF"/>
            <w:vAlign w:val="center"/>
          </w:tcPr>
          <w:p w14:paraId="2F3B4B7F" w14:textId="77777777" w:rsidR="008143D9" w:rsidRPr="00C07B2E" w:rsidRDefault="008143D9" w:rsidP="005A428D">
            <w:pPr>
              <w:rPr>
                <w:rFonts w:eastAsia="SimSun"/>
                <w:lang w:val="en-US"/>
              </w:rPr>
            </w:pPr>
            <w:r w:rsidRPr="00C07B2E">
              <w:rPr>
                <w:rFonts w:eastAsia="SimSun"/>
                <w:lang w:val="en-US"/>
              </w:rPr>
              <w:t>-</w:t>
            </w:r>
          </w:p>
        </w:tc>
        <w:tc>
          <w:tcPr>
            <w:tcW w:w="581" w:type="pct"/>
            <w:shd w:val="clear" w:color="auto" w:fill="auto"/>
            <w:vAlign w:val="center"/>
          </w:tcPr>
          <w:p w14:paraId="10CC0DA6" w14:textId="77777777" w:rsidR="008143D9" w:rsidRPr="00C07B2E" w:rsidRDefault="008143D9" w:rsidP="005A428D">
            <w:r w:rsidRPr="00C07B2E">
              <w:rPr>
                <w:rFonts w:eastAsia="SimSun"/>
              </w:rPr>
              <w:t>-</w:t>
            </w:r>
          </w:p>
        </w:tc>
        <w:tc>
          <w:tcPr>
            <w:tcW w:w="539" w:type="pct"/>
            <w:shd w:val="clear" w:color="auto" w:fill="auto"/>
            <w:vAlign w:val="center"/>
          </w:tcPr>
          <w:p w14:paraId="7F3449DB" w14:textId="77777777" w:rsidR="008143D9" w:rsidRPr="00C07B2E" w:rsidRDefault="008143D9" w:rsidP="005A428D">
            <w:r w:rsidRPr="00C07B2E">
              <w:rPr>
                <w:rFonts w:eastAsia="SimSun"/>
              </w:rPr>
              <w:t>-</w:t>
            </w:r>
          </w:p>
        </w:tc>
        <w:tc>
          <w:tcPr>
            <w:tcW w:w="600" w:type="pct"/>
            <w:shd w:val="clear" w:color="auto" w:fill="auto"/>
            <w:vAlign w:val="center"/>
          </w:tcPr>
          <w:p w14:paraId="14024B60" w14:textId="77777777" w:rsidR="008143D9" w:rsidRPr="00C07B2E" w:rsidRDefault="008143D9" w:rsidP="005A428D">
            <w:r w:rsidRPr="00C07B2E">
              <w:rPr>
                <w:rFonts w:eastAsia="SimSun"/>
              </w:rPr>
              <w:t>-</w:t>
            </w:r>
          </w:p>
        </w:tc>
        <w:tc>
          <w:tcPr>
            <w:tcW w:w="600" w:type="pct"/>
            <w:shd w:val="clear" w:color="auto" w:fill="auto"/>
            <w:vAlign w:val="center"/>
          </w:tcPr>
          <w:p w14:paraId="37125C3F" w14:textId="77777777" w:rsidR="008143D9" w:rsidRPr="00C07B2E" w:rsidRDefault="008143D9" w:rsidP="005A428D">
            <w:pPr>
              <w:rPr>
                <w:rFonts w:eastAsia="SimSun"/>
                <w:lang w:val="en-US"/>
              </w:rPr>
            </w:pPr>
            <w:r>
              <w:rPr>
                <w:rFonts w:eastAsia="SimSun"/>
                <w:lang w:val="en-US"/>
              </w:rPr>
              <w:t>5.</w:t>
            </w:r>
            <w:r w:rsidRPr="00C07B2E">
              <w:rPr>
                <w:rFonts w:eastAsia="SimSun"/>
                <w:lang w:val="en-US"/>
              </w:rPr>
              <w:t>1.1.5</w:t>
            </w:r>
          </w:p>
        </w:tc>
        <w:tc>
          <w:tcPr>
            <w:tcW w:w="600" w:type="pct"/>
            <w:shd w:val="clear" w:color="auto" w:fill="auto"/>
            <w:vAlign w:val="center"/>
          </w:tcPr>
          <w:p w14:paraId="5669A378" w14:textId="77777777" w:rsidR="008143D9" w:rsidRPr="00C07B2E" w:rsidRDefault="008143D9" w:rsidP="005A428D">
            <w:pPr>
              <w:rPr>
                <w:rFonts w:eastAsia="SimSun"/>
                <w:lang w:val="en-US"/>
              </w:rPr>
            </w:pPr>
            <w:r>
              <w:rPr>
                <w:rFonts w:eastAsia="SimSun"/>
                <w:lang w:val="en-US"/>
              </w:rPr>
              <w:t>5.</w:t>
            </w:r>
            <w:r w:rsidRPr="00C07B2E">
              <w:rPr>
                <w:rFonts w:eastAsia="SimSun"/>
                <w:lang w:val="en-US"/>
              </w:rPr>
              <w:t>1.1.8</w:t>
            </w:r>
          </w:p>
        </w:tc>
        <w:tc>
          <w:tcPr>
            <w:tcW w:w="672" w:type="pct"/>
            <w:shd w:val="clear" w:color="auto" w:fill="auto"/>
            <w:vAlign w:val="center"/>
          </w:tcPr>
          <w:p w14:paraId="2DB1107B" w14:textId="77777777" w:rsidR="008143D9" w:rsidRPr="00C07B2E" w:rsidRDefault="008143D9" w:rsidP="005A428D">
            <w:r w:rsidRPr="00C07B2E">
              <w:rPr>
                <w:rFonts w:eastAsia="SimSun"/>
              </w:rPr>
              <w:t>-</w:t>
            </w:r>
          </w:p>
        </w:tc>
      </w:tr>
      <w:tr w:rsidR="008143D9" w:rsidRPr="00C07B2E" w14:paraId="7E013C97" w14:textId="77777777" w:rsidTr="005A428D">
        <w:trPr>
          <w:cantSplit/>
          <w:trHeight w:val="1020"/>
        </w:trPr>
        <w:tc>
          <w:tcPr>
            <w:tcW w:w="697" w:type="pct"/>
            <w:vMerge/>
            <w:shd w:val="clear" w:color="auto" w:fill="BFBFBF"/>
            <w:vAlign w:val="center"/>
          </w:tcPr>
          <w:p w14:paraId="20B09920" w14:textId="77777777" w:rsidR="008143D9" w:rsidRPr="00C07B2E" w:rsidRDefault="008143D9" w:rsidP="005A428D">
            <w:pPr>
              <w:rPr>
                <w:rFonts w:eastAsia="SimSun"/>
                <w:lang w:val="en-US"/>
              </w:rPr>
            </w:pPr>
          </w:p>
        </w:tc>
        <w:tc>
          <w:tcPr>
            <w:tcW w:w="283" w:type="pct"/>
            <w:vMerge w:val="restart"/>
            <w:shd w:val="clear" w:color="auto" w:fill="BFBFBF"/>
            <w:vAlign w:val="center"/>
          </w:tcPr>
          <w:p w14:paraId="31EF1CCB" w14:textId="77777777" w:rsidR="008143D9" w:rsidRPr="00C07B2E" w:rsidRDefault="008143D9" w:rsidP="005A428D">
            <w:pPr>
              <w:rPr>
                <w:rFonts w:eastAsia="SimSun"/>
              </w:rPr>
            </w:pPr>
            <w:r w:rsidRPr="00C07B2E">
              <w:rPr>
                <w:rFonts w:eastAsia="SimSun"/>
                <w:lang w:val="en-US"/>
              </w:rPr>
              <w:t>CSA</w:t>
            </w:r>
          </w:p>
          <w:p w14:paraId="3D306C1E" w14:textId="77777777" w:rsidR="008143D9" w:rsidRPr="00C07B2E" w:rsidRDefault="008143D9" w:rsidP="005A428D">
            <w:pPr>
              <w:rPr>
                <w:rFonts w:eastAsia="SimSun"/>
              </w:rPr>
            </w:pPr>
          </w:p>
        </w:tc>
        <w:tc>
          <w:tcPr>
            <w:tcW w:w="428" w:type="pct"/>
            <w:shd w:val="clear" w:color="auto" w:fill="BFBFBF"/>
            <w:vAlign w:val="center"/>
          </w:tcPr>
          <w:p w14:paraId="05B0829C" w14:textId="77777777" w:rsidR="008143D9" w:rsidRPr="00C07B2E" w:rsidRDefault="008143D9" w:rsidP="005A428D">
            <w:pPr>
              <w:rPr>
                <w:rFonts w:eastAsia="SimSun"/>
              </w:rPr>
            </w:pPr>
            <w:r w:rsidRPr="00C07B2E">
              <w:rPr>
                <w:rFonts w:eastAsia="SimSun"/>
                <w:lang w:val="en-US"/>
              </w:rPr>
              <w:t>MMF30</w:t>
            </w:r>
          </w:p>
        </w:tc>
        <w:tc>
          <w:tcPr>
            <w:tcW w:w="581" w:type="pct"/>
            <w:shd w:val="clear" w:color="auto" w:fill="auto"/>
            <w:vAlign w:val="center"/>
          </w:tcPr>
          <w:p w14:paraId="5F8F47A1" w14:textId="77777777" w:rsidR="008143D9" w:rsidRPr="00C07B2E" w:rsidRDefault="008143D9" w:rsidP="005A428D">
            <w:r w:rsidRPr="00C07B2E">
              <w:rPr>
                <w:rFonts w:eastAsia="SimSun"/>
              </w:rPr>
              <w:t>-</w:t>
            </w:r>
          </w:p>
        </w:tc>
        <w:tc>
          <w:tcPr>
            <w:tcW w:w="539" w:type="pct"/>
            <w:shd w:val="clear" w:color="auto" w:fill="auto"/>
            <w:vAlign w:val="center"/>
          </w:tcPr>
          <w:p w14:paraId="16BBC4BB" w14:textId="77777777" w:rsidR="008143D9" w:rsidRPr="00C07B2E" w:rsidRDefault="008143D9" w:rsidP="005A428D">
            <w:r w:rsidRPr="00C07B2E">
              <w:rPr>
                <w:rFonts w:eastAsia="SimSun"/>
              </w:rPr>
              <w:t>-</w:t>
            </w:r>
          </w:p>
        </w:tc>
        <w:tc>
          <w:tcPr>
            <w:tcW w:w="600" w:type="pct"/>
            <w:shd w:val="clear" w:color="auto" w:fill="auto"/>
            <w:vAlign w:val="center"/>
          </w:tcPr>
          <w:p w14:paraId="3C76FA39" w14:textId="77777777" w:rsidR="008143D9" w:rsidRPr="00C07B2E" w:rsidRDefault="008143D9" w:rsidP="005A428D">
            <w:r w:rsidRPr="00C07B2E">
              <w:rPr>
                <w:rFonts w:eastAsia="SimSun"/>
              </w:rPr>
              <w:t>-</w:t>
            </w:r>
          </w:p>
        </w:tc>
        <w:tc>
          <w:tcPr>
            <w:tcW w:w="600" w:type="pct"/>
            <w:shd w:val="clear" w:color="auto" w:fill="auto"/>
            <w:vAlign w:val="center"/>
          </w:tcPr>
          <w:p w14:paraId="3B6A30B4" w14:textId="77777777" w:rsidR="008143D9" w:rsidRPr="00C07B2E" w:rsidRDefault="008143D9" w:rsidP="005A428D">
            <w:pPr>
              <w:rPr>
                <w:rFonts w:eastAsia="SimSun"/>
                <w:lang w:val="en-US"/>
              </w:rPr>
            </w:pPr>
            <w:r>
              <w:rPr>
                <w:rFonts w:eastAsia="SimSun"/>
                <w:lang w:val="en-US"/>
              </w:rPr>
              <w:t>5.</w:t>
            </w:r>
            <w:r w:rsidRPr="00C07B2E">
              <w:rPr>
                <w:rFonts w:eastAsia="SimSun"/>
                <w:lang w:val="en-US"/>
              </w:rPr>
              <w:t>1.1.7</w:t>
            </w:r>
          </w:p>
        </w:tc>
        <w:tc>
          <w:tcPr>
            <w:tcW w:w="600" w:type="pct"/>
            <w:shd w:val="clear" w:color="auto" w:fill="auto"/>
            <w:vAlign w:val="center"/>
          </w:tcPr>
          <w:p w14:paraId="73DB349E" w14:textId="77777777" w:rsidR="008143D9" w:rsidRPr="00C07B2E" w:rsidRDefault="008143D9" w:rsidP="005A428D">
            <w:pPr>
              <w:rPr>
                <w:rFonts w:eastAsia="SimSun"/>
                <w:lang w:val="en-US"/>
              </w:rPr>
            </w:pPr>
            <w:r>
              <w:rPr>
                <w:rFonts w:eastAsia="SimSun"/>
                <w:lang w:val="en-US"/>
              </w:rPr>
              <w:t>5.</w:t>
            </w:r>
            <w:r w:rsidRPr="00C07B2E">
              <w:rPr>
                <w:rFonts w:eastAsia="SimSun"/>
                <w:lang w:val="en-US"/>
              </w:rPr>
              <w:t>1.1.10</w:t>
            </w:r>
          </w:p>
        </w:tc>
        <w:tc>
          <w:tcPr>
            <w:tcW w:w="672" w:type="pct"/>
            <w:shd w:val="clear" w:color="auto" w:fill="auto"/>
            <w:vAlign w:val="center"/>
          </w:tcPr>
          <w:p w14:paraId="3B7E7953" w14:textId="77777777" w:rsidR="008143D9" w:rsidRPr="00C07B2E" w:rsidRDefault="008143D9" w:rsidP="005A428D">
            <w:r w:rsidRPr="00C07B2E">
              <w:rPr>
                <w:rFonts w:eastAsia="SimSun"/>
              </w:rPr>
              <w:t>-</w:t>
            </w:r>
          </w:p>
        </w:tc>
      </w:tr>
      <w:tr w:rsidR="008143D9" w:rsidRPr="00C07B2E" w14:paraId="7D12C648" w14:textId="77777777" w:rsidTr="005A428D">
        <w:trPr>
          <w:cantSplit/>
          <w:trHeight w:val="1020"/>
        </w:trPr>
        <w:tc>
          <w:tcPr>
            <w:tcW w:w="697" w:type="pct"/>
            <w:vMerge/>
            <w:shd w:val="clear" w:color="auto" w:fill="BFBFBF"/>
            <w:vAlign w:val="center"/>
          </w:tcPr>
          <w:p w14:paraId="107E6C16" w14:textId="77777777" w:rsidR="008143D9" w:rsidRPr="00C07B2E" w:rsidRDefault="008143D9" w:rsidP="005A428D">
            <w:pPr>
              <w:rPr>
                <w:rFonts w:eastAsia="SimSun"/>
                <w:lang w:val="en-US"/>
              </w:rPr>
            </w:pPr>
          </w:p>
        </w:tc>
        <w:tc>
          <w:tcPr>
            <w:tcW w:w="283" w:type="pct"/>
            <w:vMerge/>
            <w:shd w:val="clear" w:color="auto" w:fill="BFBFBF"/>
            <w:vAlign w:val="center"/>
          </w:tcPr>
          <w:p w14:paraId="5D054BF3" w14:textId="77777777" w:rsidR="008143D9" w:rsidRPr="00C07B2E" w:rsidRDefault="008143D9" w:rsidP="005A428D">
            <w:pPr>
              <w:rPr>
                <w:rFonts w:eastAsia="SimSun"/>
                <w:lang w:val="en-US"/>
              </w:rPr>
            </w:pPr>
          </w:p>
        </w:tc>
        <w:tc>
          <w:tcPr>
            <w:tcW w:w="428" w:type="pct"/>
            <w:shd w:val="clear" w:color="auto" w:fill="BFBFBF"/>
            <w:vAlign w:val="center"/>
          </w:tcPr>
          <w:p w14:paraId="2F3F9FD1" w14:textId="77777777" w:rsidR="008143D9" w:rsidRPr="00C07B2E" w:rsidRDefault="008143D9" w:rsidP="005A428D">
            <w:pPr>
              <w:rPr>
                <w:rFonts w:eastAsia="SimSun"/>
                <w:lang w:val="en-US"/>
              </w:rPr>
            </w:pPr>
            <w:r w:rsidRPr="00C07B2E">
              <w:rPr>
                <w:rFonts w:eastAsia="SimSun"/>
                <w:lang w:val="en-US"/>
              </w:rPr>
              <w:t>MMF45</w:t>
            </w:r>
          </w:p>
        </w:tc>
        <w:tc>
          <w:tcPr>
            <w:tcW w:w="581" w:type="pct"/>
            <w:shd w:val="clear" w:color="auto" w:fill="auto"/>
            <w:vAlign w:val="center"/>
          </w:tcPr>
          <w:p w14:paraId="36E2D60A" w14:textId="77777777" w:rsidR="008143D9" w:rsidRPr="00C07B2E" w:rsidRDefault="008143D9" w:rsidP="005A428D">
            <w:r w:rsidRPr="00C07B2E">
              <w:rPr>
                <w:rFonts w:eastAsia="SimSun"/>
              </w:rPr>
              <w:t>-</w:t>
            </w:r>
          </w:p>
        </w:tc>
        <w:tc>
          <w:tcPr>
            <w:tcW w:w="539" w:type="pct"/>
            <w:shd w:val="clear" w:color="auto" w:fill="auto"/>
            <w:vAlign w:val="center"/>
          </w:tcPr>
          <w:p w14:paraId="373A118E" w14:textId="77777777" w:rsidR="008143D9" w:rsidRPr="00C07B2E" w:rsidRDefault="008143D9" w:rsidP="005A428D">
            <w:r w:rsidRPr="00C07B2E">
              <w:rPr>
                <w:rFonts w:eastAsia="SimSun"/>
              </w:rPr>
              <w:t>-</w:t>
            </w:r>
          </w:p>
        </w:tc>
        <w:tc>
          <w:tcPr>
            <w:tcW w:w="600" w:type="pct"/>
            <w:shd w:val="clear" w:color="auto" w:fill="auto"/>
            <w:vAlign w:val="center"/>
          </w:tcPr>
          <w:p w14:paraId="49C038D8" w14:textId="77777777" w:rsidR="008143D9" w:rsidRPr="00C07B2E" w:rsidRDefault="008143D9" w:rsidP="005A428D">
            <w:pPr>
              <w:rPr>
                <w:rFonts w:eastAsia="SimSun"/>
                <w:lang w:val="en-US"/>
              </w:rPr>
            </w:pPr>
            <w:r>
              <w:rPr>
                <w:rFonts w:eastAsia="SimSun"/>
              </w:rPr>
              <w:t>5.</w:t>
            </w:r>
            <w:r w:rsidRPr="00C07B2E">
              <w:rPr>
                <w:rFonts w:eastAsia="SimSun"/>
              </w:rPr>
              <w:t>1.1.</w:t>
            </w:r>
            <w:r w:rsidRPr="00C07B2E">
              <w:rPr>
                <w:rFonts w:eastAsia="SimSun"/>
                <w:lang w:val="en-US"/>
              </w:rPr>
              <w:t>3</w:t>
            </w:r>
          </w:p>
        </w:tc>
        <w:tc>
          <w:tcPr>
            <w:tcW w:w="600" w:type="pct"/>
            <w:shd w:val="clear" w:color="auto" w:fill="auto"/>
            <w:vAlign w:val="center"/>
          </w:tcPr>
          <w:p w14:paraId="6E51A283" w14:textId="77777777" w:rsidR="008143D9" w:rsidRPr="00C07B2E" w:rsidRDefault="008143D9" w:rsidP="005A428D">
            <w:r w:rsidRPr="00C07B2E">
              <w:rPr>
                <w:rFonts w:eastAsia="SimSun"/>
              </w:rPr>
              <w:t>-</w:t>
            </w:r>
          </w:p>
        </w:tc>
        <w:tc>
          <w:tcPr>
            <w:tcW w:w="600" w:type="pct"/>
            <w:shd w:val="clear" w:color="auto" w:fill="auto"/>
            <w:vAlign w:val="center"/>
          </w:tcPr>
          <w:p w14:paraId="4CD478F2" w14:textId="77777777" w:rsidR="008143D9" w:rsidRPr="00C07B2E" w:rsidRDefault="008143D9" w:rsidP="005A428D">
            <w:r w:rsidRPr="00C07B2E">
              <w:rPr>
                <w:rFonts w:eastAsia="SimSun"/>
              </w:rPr>
              <w:t>-</w:t>
            </w:r>
          </w:p>
        </w:tc>
        <w:tc>
          <w:tcPr>
            <w:tcW w:w="672" w:type="pct"/>
            <w:shd w:val="clear" w:color="auto" w:fill="auto"/>
            <w:vAlign w:val="center"/>
          </w:tcPr>
          <w:p w14:paraId="0E30B169" w14:textId="77777777" w:rsidR="008143D9" w:rsidRPr="00C07B2E" w:rsidRDefault="008143D9" w:rsidP="005A428D">
            <w:r w:rsidRPr="00C07B2E">
              <w:rPr>
                <w:rFonts w:eastAsia="SimSun"/>
              </w:rPr>
              <w:t>-</w:t>
            </w:r>
          </w:p>
        </w:tc>
      </w:tr>
      <w:tr w:rsidR="008143D9" w:rsidRPr="00C07B2E" w14:paraId="3B6897A0" w14:textId="77777777" w:rsidTr="005A428D">
        <w:trPr>
          <w:cantSplit/>
          <w:trHeight w:val="1020"/>
        </w:trPr>
        <w:tc>
          <w:tcPr>
            <w:tcW w:w="697" w:type="pct"/>
            <w:vMerge/>
            <w:shd w:val="clear" w:color="auto" w:fill="BFBFBF"/>
            <w:vAlign w:val="center"/>
          </w:tcPr>
          <w:p w14:paraId="544DC0C0" w14:textId="77777777" w:rsidR="008143D9" w:rsidRPr="00C07B2E" w:rsidRDefault="008143D9" w:rsidP="005A428D">
            <w:pPr>
              <w:rPr>
                <w:rFonts w:eastAsia="SimSun"/>
                <w:lang w:val="en-US"/>
              </w:rPr>
            </w:pPr>
          </w:p>
        </w:tc>
        <w:tc>
          <w:tcPr>
            <w:tcW w:w="283" w:type="pct"/>
            <w:shd w:val="clear" w:color="auto" w:fill="BFBFBF"/>
            <w:vAlign w:val="center"/>
          </w:tcPr>
          <w:p w14:paraId="45E864AF" w14:textId="77777777" w:rsidR="008143D9" w:rsidRPr="00C07B2E" w:rsidRDefault="008143D9" w:rsidP="005A428D">
            <w:pPr>
              <w:rPr>
                <w:rFonts w:eastAsia="SimSun"/>
                <w:lang w:val="en-US"/>
              </w:rPr>
            </w:pPr>
            <w:r w:rsidRPr="00C07B2E">
              <w:rPr>
                <w:rFonts w:eastAsia="SimSun"/>
                <w:lang w:val="en-US"/>
              </w:rPr>
              <w:t>Tx</w:t>
            </w:r>
          </w:p>
        </w:tc>
        <w:tc>
          <w:tcPr>
            <w:tcW w:w="428" w:type="pct"/>
            <w:shd w:val="clear" w:color="auto" w:fill="BFBFBF"/>
            <w:vAlign w:val="center"/>
          </w:tcPr>
          <w:p w14:paraId="7F6B6CBB" w14:textId="77777777" w:rsidR="008143D9" w:rsidRPr="00C07B2E" w:rsidRDefault="008143D9" w:rsidP="005A428D">
            <w:pPr>
              <w:rPr>
                <w:rFonts w:eastAsia="SimSun"/>
                <w:lang w:val="en-US"/>
              </w:rPr>
            </w:pPr>
            <w:r w:rsidRPr="00C07B2E">
              <w:rPr>
                <w:rFonts w:eastAsia="SimSun"/>
                <w:lang w:val="en-US"/>
              </w:rPr>
              <w:t>MMF30</w:t>
            </w:r>
          </w:p>
        </w:tc>
        <w:tc>
          <w:tcPr>
            <w:tcW w:w="581" w:type="pct"/>
            <w:shd w:val="clear" w:color="auto" w:fill="auto"/>
            <w:vAlign w:val="center"/>
          </w:tcPr>
          <w:p w14:paraId="573735FF" w14:textId="77777777" w:rsidR="008143D9" w:rsidRPr="00C07B2E" w:rsidRDefault="008143D9" w:rsidP="005A428D">
            <w:r w:rsidRPr="00C07B2E">
              <w:rPr>
                <w:rFonts w:eastAsia="SimSun"/>
              </w:rPr>
              <w:t>-</w:t>
            </w:r>
          </w:p>
        </w:tc>
        <w:tc>
          <w:tcPr>
            <w:tcW w:w="539" w:type="pct"/>
            <w:shd w:val="clear" w:color="auto" w:fill="auto"/>
            <w:vAlign w:val="center"/>
          </w:tcPr>
          <w:p w14:paraId="7C1F5F69" w14:textId="77777777" w:rsidR="008143D9" w:rsidRPr="00C07B2E" w:rsidRDefault="008143D9" w:rsidP="005A428D">
            <w:r w:rsidRPr="00C07B2E">
              <w:rPr>
                <w:rFonts w:eastAsia="SimSun"/>
              </w:rPr>
              <w:t>-</w:t>
            </w:r>
          </w:p>
        </w:tc>
        <w:tc>
          <w:tcPr>
            <w:tcW w:w="600" w:type="pct"/>
            <w:shd w:val="clear" w:color="auto" w:fill="auto"/>
            <w:vAlign w:val="center"/>
          </w:tcPr>
          <w:p w14:paraId="5A9C2EF0" w14:textId="77777777" w:rsidR="008143D9" w:rsidRPr="00C07B2E" w:rsidRDefault="008143D9" w:rsidP="005A428D">
            <w:r w:rsidRPr="00C07B2E">
              <w:rPr>
                <w:rFonts w:eastAsia="SimSun"/>
              </w:rPr>
              <w:t>-</w:t>
            </w:r>
          </w:p>
        </w:tc>
        <w:tc>
          <w:tcPr>
            <w:tcW w:w="600" w:type="pct"/>
            <w:shd w:val="clear" w:color="auto" w:fill="auto"/>
            <w:vAlign w:val="center"/>
          </w:tcPr>
          <w:p w14:paraId="34C18754" w14:textId="77777777" w:rsidR="008143D9" w:rsidRPr="00C07B2E" w:rsidRDefault="008143D9" w:rsidP="005A428D">
            <w:pPr>
              <w:rPr>
                <w:rFonts w:eastAsia="SimSun"/>
              </w:rPr>
            </w:pPr>
            <w:r>
              <w:rPr>
                <w:rFonts w:eastAsia="SimSun"/>
                <w:lang w:val="en-US"/>
              </w:rPr>
              <w:t>5.</w:t>
            </w:r>
            <w:r w:rsidRPr="00C07B2E">
              <w:rPr>
                <w:rFonts w:eastAsia="SimSun"/>
                <w:lang w:val="en-US"/>
              </w:rPr>
              <w:t>1.1.6</w:t>
            </w:r>
          </w:p>
        </w:tc>
        <w:tc>
          <w:tcPr>
            <w:tcW w:w="600" w:type="pct"/>
            <w:shd w:val="clear" w:color="auto" w:fill="auto"/>
            <w:vAlign w:val="center"/>
          </w:tcPr>
          <w:p w14:paraId="7F7168B2" w14:textId="77777777" w:rsidR="008143D9" w:rsidRPr="00C07B2E" w:rsidRDefault="008143D9" w:rsidP="005A428D">
            <w:pPr>
              <w:rPr>
                <w:rFonts w:eastAsia="SimSun"/>
                <w:lang w:val="en-US"/>
              </w:rPr>
            </w:pPr>
            <w:r>
              <w:rPr>
                <w:rFonts w:eastAsia="SimSun"/>
                <w:lang w:val="en-US"/>
              </w:rPr>
              <w:t>5.</w:t>
            </w:r>
            <w:r w:rsidRPr="00C07B2E">
              <w:rPr>
                <w:rFonts w:eastAsia="SimSun"/>
                <w:lang w:val="en-US"/>
              </w:rPr>
              <w:t>1.1.9</w:t>
            </w:r>
          </w:p>
        </w:tc>
        <w:tc>
          <w:tcPr>
            <w:tcW w:w="672" w:type="pct"/>
            <w:shd w:val="clear" w:color="auto" w:fill="auto"/>
            <w:vAlign w:val="center"/>
          </w:tcPr>
          <w:p w14:paraId="3CCA63EF" w14:textId="77777777" w:rsidR="008143D9" w:rsidRPr="00C07B2E" w:rsidRDefault="008143D9" w:rsidP="005A428D">
            <w:r w:rsidRPr="00C07B2E">
              <w:rPr>
                <w:rFonts w:eastAsia="SimSun"/>
              </w:rPr>
              <w:t>-</w:t>
            </w:r>
          </w:p>
        </w:tc>
      </w:tr>
    </w:tbl>
    <w:p w14:paraId="368D99C3" w14:textId="77777777" w:rsidR="008143D9" w:rsidRPr="00C07B2E" w:rsidRDefault="008143D9" w:rsidP="008143D9">
      <w:pPr>
        <w:rPr>
          <w:rFonts w:eastAsia="SimSun"/>
        </w:rPr>
        <w:sectPr w:rsidR="008143D9" w:rsidRPr="00C07B2E" w:rsidSect="00980822">
          <w:type w:val="continuous"/>
          <w:pgSz w:w="16839" w:h="11907" w:orient="landscape" w:code="9"/>
          <w:pgMar w:top="1134" w:right="850" w:bottom="1134" w:left="1701" w:header="709" w:footer="567" w:gutter="0"/>
          <w:cols w:space="708"/>
          <w:docGrid w:linePitch="360"/>
        </w:sectPr>
      </w:pPr>
    </w:p>
    <w:p w14:paraId="71509000" w14:textId="77777777" w:rsidR="008143D9" w:rsidRPr="00C07B2E" w:rsidRDefault="008143D9" w:rsidP="008143D9">
      <w:pPr>
        <w:rPr>
          <w:rFonts w:eastAsia="SimSun"/>
        </w:rPr>
      </w:pPr>
      <w:bookmarkStart w:id="107" w:name="_Toc44401144"/>
      <w:r>
        <w:rPr>
          <w:rFonts w:eastAsia="SimSun"/>
        </w:rPr>
        <w:t>Таблица</w:t>
      </w:r>
      <w:r w:rsidRPr="00C07B2E">
        <w:rPr>
          <w:rFonts w:eastAsia="SimSun"/>
        </w:rPr>
        <w:t xml:space="preserve"> </w:t>
      </w:r>
      <w:r>
        <w:rPr>
          <w:rFonts w:eastAsia="SimSun"/>
        </w:rPr>
        <w:t>5</w:t>
      </w:r>
      <w:r w:rsidRPr="00C07B2E">
        <w:rPr>
          <w:rFonts w:eastAsia="SimSun"/>
        </w:rPr>
        <w:t>.1.1.1 – Bu12+Cy120 / CSA+MTX</w:t>
      </w:r>
      <w:bookmarkEnd w:id="107"/>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843"/>
        <w:gridCol w:w="1417"/>
        <w:gridCol w:w="1418"/>
        <w:gridCol w:w="1701"/>
        <w:gridCol w:w="2268"/>
      </w:tblGrid>
      <w:tr w:rsidR="008143D9" w:rsidRPr="00C07B2E" w14:paraId="27BFB2CB" w14:textId="77777777" w:rsidTr="005A428D">
        <w:trPr>
          <w:cantSplit/>
          <w:trHeight w:val="20"/>
          <w:tblHeader/>
        </w:trPr>
        <w:tc>
          <w:tcPr>
            <w:tcW w:w="709" w:type="dxa"/>
            <w:vAlign w:val="center"/>
          </w:tcPr>
          <w:p w14:paraId="3AB138C0" w14:textId="77777777" w:rsidR="008143D9" w:rsidRPr="00C07B2E" w:rsidRDefault="008143D9" w:rsidP="005A428D">
            <w:pPr>
              <w:ind w:left="57" w:right="57"/>
              <w:rPr>
                <w:rFonts w:eastAsia="SimSun"/>
              </w:rPr>
            </w:pPr>
            <w:bookmarkStart w:id="108" w:name="_Hlk513908710"/>
          </w:p>
        </w:tc>
        <w:tc>
          <w:tcPr>
            <w:tcW w:w="1843" w:type="dxa"/>
            <w:vAlign w:val="center"/>
          </w:tcPr>
          <w:p w14:paraId="3BDAF531" w14:textId="77777777" w:rsidR="008143D9" w:rsidRPr="00C07B2E" w:rsidRDefault="008143D9" w:rsidP="005A428D">
            <w:pPr>
              <w:ind w:left="57" w:right="57"/>
              <w:rPr>
                <w:rFonts w:eastAsia="SimSun"/>
              </w:rPr>
            </w:pPr>
            <w:r w:rsidRPr="00C07B2E">
              <w:rPr>
                <w:rFonts w:eastAsia="SimSun"/>
              </w:rPr>
              <w:t>Препарат</w:t>
            </w:r>
          </w:p>
        </w:tc>
        <w:tc>
          <w:tcPr>
            <w:tcW w:w="1417" w:type="dxa"/>
            <w:vAlign w:val="center"/>
          </w:tcPr>
          <w:p w14:paraId="59FD31AA" w14:textId="77777777" w:rsidR="008143D9" w:rsidRPr="00C07B2E" w:rsidRDefault="008143D9" w:rsidP="005A428D">
            <w:pPr>
              <w:ind w:left="57" w:right="57"/>
              <w:rPr>
                <w:rFonts w:eastAsia="SimSun"/>
              </w:rPr>
            </w:pPr>
            <w:r w:rsidRPr="00C07B2E">
              <w:rPr>
                <w:rFonts w:eastAsia="SimSun"/>
              </w:rPr>
              <w:t>Суточная доза</w:t>
            </w:r>
          </w:p>
        </w:tc>
        <w:tc>
          <w:tcPr>
            <w:tcW w:w="1418" w:type="dxa"/>
            <w:vAlign w:val="center"/>
          </w:tcPr>
          <w:p w14:paraId="616730EE" w14:textId="77777777" w:rsidR="008143D9" w:rsidRPr="00C07B2E" w:rsidRDefault="008143D9" w:rsidP="005A428D">
            <w:pPr>
              <w:ind w:left="57" w:right="57"/>
              <w:rPr>
                <w:rFonts w:eastAsia="SimSun"/>
              </w:rPr>
            </w:pPr>
            <w:r w:rsidRPr="00C07B2E">
              <w:rPr>
                <w:rFonts w:eastAsia="SimSun"/>
              </w:rPr>
              <w:t>Курсовая доза</w:t>
            </w:r>
          </w:p>
        </w:tc>
        <w:tc>
          <w:tcPr>
            <w:tcW w:w="1701" w:type="dxa"/>
            <w:vAlign w:val="center"/>
          </w:tcPr>
          <w:p w14:paraId="4ECD030F" w14:textId="77777777" w:rsidR="008143D9" w:rsidRPr="00C07B2E" w:rsidRDefault="008143D9" w:rsidP="005A428D">
            <w:pPr>
              <w:ind w:left="57" w:right="57"/>
              <w:rPr>
                <w:rFonts w:eastAsia="SimSun"/>
              </w:rPr>
            </w:pPr>
            <w:r w:rsidRPr="00C07B2E">
              <w:rPr>
                <w:rFonts w:eastAsia="SimSun"/>
              </w:rPr>
              <w:t>Дни введения</w:t>
            </w:r>
          </w:p>
        </w:tc>
        <w:tc>
          <w:tcPr>
            <w:tcW w:w="2268" w:type="dxa"/>
            <w:vAlign w:val="center"/>
          </w:tcPr>
          <w:p w14:paraId="29FB462B" w14:textId="77777777" w:rsidR="008143D9" w:rsidRPr="00C07B2E" w:rsidRDefault="008143D9" w:rsidP="005A428D">
            <w:pPr>
              <w:ind w:left="57" w:right="57"/>
              <w:rPr>
                <w:rFonts w:eastAsia="SimSun"/>
              </w:rPr>
            </w:pPr>
            <w:r w:rsidRPr="00C07B2E">
              <w:rPr>
                <w:rFonts w:eastAsia="SimSun"/>
              </w:rPr>
              <w:t>Порядок введения</w:t>
            </w:r>
          </w:p>
        </w:tc>
      </w:tr>
      <w:tr w:rsidR="008143D9" w:rsidRPr="00C07B2E" w14:paraId="4BFB2710" w14:textId="77777777" w:rsidTr="005A428D">
        <w:trPr>
          <w:cantSplit/>
          <w:trHeight w:val="20"/>
        </w:trPr>
        <w:tc>
          <w:tcPr>
            <w:tcW w:w="709" w:type="dxa"/>
            <w:vMerge w:val="restart"/>
            <w:textDirection w:val="btLr"/>
            <w:vAlign w:val="center"/>
          </w:tcPr>
          <w:p w14:paraId="003AE10E" w14:textId="77777777" w:rsidR="008143D9" w:rsidRPr="00C07B2E" w:rsidRDefault="008143D9" w:rsidP="005A428D">
            <w:pPr>
              <w:ind w:left="57" w:right="57"/>
              <w:rPr>
                <w:rFonts w:eastAsia="SimSun"/>
              </w:rPr>
            </w:pPr>
            <w:r w:rsidRPr="00C07B2E">
              <w:rPr>
                <w:rFonts w:eastAsia="SimSun"/>
              </w:rPr>
              <w:t>Кондиционирование</w:t>
            </w:r>
          </w:p>
        </w:tc>
        <w:tc>
          <w:tcPr>
            <w:tcW w:w="1843" w:type="dxa"/>
            <w:vAlign w:val="center"/>
          </w:tcPr>
          <w:p w14:paraId="6DD87840" w14:textId="77777777" w:rsidR="008143D9" w:rsidRPr="00C07B2E" w:rsidRDefault="008143D9" w:rsidP="005A428D">
            <w:pPr>
              <w:ind w:left="57" w:right="57"/>
              <w:rPr>
                <w:rFonts w:eastAsia="SimSun"/>
              </w:rPr>
            </w:pPr>
            <w:r w:rsidRPr="00C07B2E">
              <w:rPr>
                <w:rFonts w:eastAsia="SimSun"/>
              </w:rPr>
              <w:t>Бусульфан</w:t>
            </w:r>
          </w:p>
        </w:tc>
        <w:tc>
          <w:tcPr>
            <w:tcW w:w="1417" w:type="dxa"/>
            <w:vAlign w:val="center"/>
          </w:tcPr>
          <w:p w14:paraId="248A28DD" w14:textId="77777777" w:rsidR="008143D9" w:rsidRPr="00C07B2E" w:rsidRDefault="008143D9" w:rsidP="005A428D">
            <w:pPr>
              <w:ind w:left="57" w:right="57"/>
              <w:rPr>
                <w:rFonts w:eastAsia="SimSun"/>
              </w:rPr>
            </w:pPr>
            <w:r w:rsidRPr="00C07B2E">
              <w:rPr>
                <w:rFonts w:eastAsia="SimSun"/>
              </w:rPr>
              <w:t>4 мг/кг</w:t>
            </w:r>
          </w:p>
        </w:tc>
        <w:tc>
          <w:tcPr>
            <w:tcW w:w="1418" w:type="dxa"/>
            <w:vAlign w:val="center"/>
          </w:tcPr>
          <w:p w14:paraId="634E60A7" w14:textId="77777777" w:rsidR="008143D9" w:rsidRPr="00C07B2E" w:rsidRDefault="008143D9" w:rsidP="005A428D">
            <w:pPr>
              <w:ind w:left="57" w:right="57"/>
              <w:rPr>
                <w:rFonts w:eastAsia="SimSun"/>
              </w:rPr>
            </w:pPr>
            <w:r w:rsidRPr="00C07B2E">
              <w:rPr>
                <w:rFonts w:eastAsia="SimSun"/>
                <w:lang w:val="en-US"/>
              </w:rPr>
              <w:t>12</w:t>
            </w:r>
            <w:r w:rsidRPr="00C07B2E">
              <w:rPr>
                <w:rFonts w:eastAsia="SimSun"/>
              </w:rPr>
              <w:t xml:space="preserve"> мг/кг</w:t>
            </w:r>
          </w:p>
        </w:tc>
        <w:tc>
          <w:tcPr>
            <w:tcW w:w="1701" w:type="dxa"/>
            <w:vAlign w:val="center"/>
          </w:tcPr>
          <w:p w14:paraId="50DED39D" w14:textId="77777777" w:rsidR="008143D9" w:rsidRPr="00C07B2E" w:rsidRDefault="008143D9" w:rsidP="005A428D">
            <w:pPr>
              <w:ind w:left="57" w:right="57"/>
              <w:rPr>
                <w:rFonts w:eastAsia="SimSun"/>
              </w:rPr>
            </w:pPr>
            <w:r w:rsidRPr="00C07B2E">
              <w:rPr>
                <w:rFonts w:eastAsia="SimSun"/>
                <w:lang w:val="en-US"/>
              </w:rPr>
              <w:t>C</w:t>
            </w:r>
            <w:r w:rsidRPr="00C07B2E">
              <w:rPr>
                <w:rFonts w:eastAsia="SimSun"/>
              </w:rPr>
              <w:t xml:space="preserve"> –6 по –4 день </w:t>
            </w:r>
          </w:p>
        </w:tc>
        <w:tc>
          <w:tcPr>
            <w:tcW w:w="2268" w:type="dxa"/>
            <w:vAlign w:val="center"/>
          </w:tcPr>
          <w:p w14:paraId="0F690BEC" w14:textId="77777777" w:rsidR="008143D9" w:rsidRPr="00985050" w:rsidRDefault="008143D9" w:rsidP="005A428D">
            <w:pPr>
              <w:ind w:left="57" w:right="57"/>
              <w:rPr>
                <w:rFonts w:eastAsia="SimSun"/>
              </w:rPr>
            </w:pPr>
            <w:r w:rsidRPr="00985050">
              <w:rPr>
                <w:rFonts w:eastAsia="SimSun"/>
              </w:rPr>
              <w:t>Внутрь, суммарная суточная доза разделяется на 4 приема с интервалом 6 часов.</w:t>
            </w:r>
          </w:p>
        </w:tc>
      </w:tr>
      <w:tr w:rsidR="008143D9" w:rsidRPr="00C07B2E" w14:paraId="4B77E01F" w14:textId="77777777" w:rsidTr="005A428D">
        <w:trPr>
          <w:cantSplit/>
          <w:trHeight w:val="1207"/>
        </w:trPr>
        <w:tc>
          <w:tcPr>
            <w:tcW w:w="709" w:type="dxa"/>
            <w:vMerge/>
            <w:vAlign w:val="center"/>
          </w:tcPr>
          <w:p w14:paraId="7D1671D7" w14:textId="77777777" w:rsidR="008143D9" w:rsidRPr="00985050" w:rsidRDefault="008143D9" w:rsidP="005A428D">
            <w:pPr>
              <w:ind w:left="57" w:right="57"/>
              <w:rPr>
                <w:rFonts w:eastAsia="SimSun"/>
              </w:rPr>
            </w:pPr>
          </w:p>
        </w:tc>
        <w:tc>
          <w:tcPr>
            <w:tcW w:w="1843" w:type="dxa"/>
            <w:vAlign w:val="center"/>
          </w:tcPr>
          <w:p w14:paraId="611A4DEC" w14:textId="77777777" w:rsidR="008143D9" w:rsidRPr="00C07B2E" w:rsidRDefault="008143D9" w:rsidP="005A428D">
            <w:pPr>
              <w:ind w:left="57" w:right="57"/>
              <w:rPr>
                <w:rFonts w:eastAsia="SimSun"/>
              </w:rPr>
            </w:pPr>
            <w:r w:rsidRPr="00C07B2E">
              <w:rPr>
                <w:rFonts w:eastAsia="SimSun"/>
              </w:rPr>
              <w:t>Циклофосфамид</w:t>
            </w:r>
          </w:p>
        </w:tc>
        <w:tc>
          <w:tcPr>
            <w:tcW w:w="1417" w:type="dxa"/>
            <w:vAlign w:val="center"/>
          </w:tcPr>
          <w:p w14:paraId="492C4AA6" w14:textId="77777777" w:rsidR="008143D9" w:rsidRPr="00C07B2E" w:rsidRDefault="008143D9" w:rsidP="005A428D">
            <w:pPr>
              <w:ind w:left="57" w:right="57"/>
              <w:rPr>
                <w:rFonts w:eastAsia="SimSun"/>
              </w:rPr>
            </w:pPr>
            <w:r w:rsidRPr="00C07B2E">
              <w:rPr>
                <w:rFonts w:eastAsia="SimSun"/>
              </w:rPr>
              <w:t>60 мг/кг</w:t>
            </w:r>
          </w:p>
        </w:tc>
        <w:tc>
          <w:tcPr>
            <w:tcW w:w="1418" w:type="dxa"/>
            <w:vAlign w:val="center"/>
          </w:tcPr>
          <w:p w14:paraId="43389C12" w14:textId="77777777" w:rsidR="008143D9" w:rsidRPr="00C07B2E" w:rsidRDefault="008143D9" w:rsidP="005A428D">
            <w:pPr>
              <w:ind w:left="57" w:right="57"/>
              <w:rPr>
                <w:rFonts w:eastAsia="SimSun"/>
              </w:rPr>
            </w:pPr>
            <w:r w:rsidRPr="00C07B2E">
              <w:rPr>
                <w:rFonts w:eastAsia="SimSun"/>
              </w:rPr>
              <w:t>120 мг/кг</w:t>
            </w:r>
          </w:p>
        </w:tc>
        <w:tc>
          <w:tcPr>
            <w:tcW w:w="1701" w:type="dxa"/>
            <w:vAlign w:val="center"/>
          </w:tcPr>
          <w:p w14:paraId="6DC8293D" w14:textId="77777777" w:rsidR="008143D9" w:rsidRPr="00C07B2E" w:rsidRDefault="008143D9" w:rsidP="005A428D">
            <w:pPr>
              <w:ind w:left="57" w:right="57"/>
              <w:rPr>
                <w:rFonts w:eastAsia="SimSun"/>
              </w:rPr>
            </w:pPr>
            <w:r w:rsidRPr="00C07B2E">
              <w:rPr>
                <w:rFonts w:eastAsia="SimSun"/>
                <w:lang w:val="en-US"/>
              </w:rPr>
              <w:t>–3, –2 дни</w:t>
            </w:r>
            <w:r w:rsidRPr="00C07B2E">
              <w:rPr>
                <w:rFonts w:eastAsia="SimSun"/>
              </w:rPr>
              <w:t xml:space="preserve"> </w:t>
            </w:r>
          </w:p>
        </w:tc>
        <w:tc>
          <w:tcPr>
            <w:tcW w:w="2268" w:type="dxa"/>
            <w:vAlign w:val="center"/>
          </w:tcPr>
          <w:p w14:paraId="32E30D09" w14:textId="77777777" w:rsidR="008143D9" w:rsidRPr="00985050" w:rsidRDefault="008143D9" w:rsidP="005A428D">
            <w:pPr>
              <w:ind w:left="57" w:right="57"/>
              <w:rPr>
                <w:rFonts w:eastAsia="SimSun"/>
              </w:rPr>
            </w:pPr>
            <w:r w:rsidRPr="00985050">
              <w:rPr>
                <w:rFonts w:eastAsia="SimSun"/>
              </w:rPr>
              <w:t xml:space="preserve">В/в, в течение 2 ч  </w:t>
            </w:r>
          </w:p>
        </w:tc>
      </w:tr>
      <w:tr w:rsidR="008143D9" w:rsidRPr="00C07B2E" w14:paraId="2CD71C02" w14:textId="77777777" w:rsidTr="005A428D">
        <w:trPr>
          <w:cantSplit/>
          <w:trHeight w:val="20"/>
        </w:trPr>
        <w:tc>
          <w:tcPr>
            <w:tcW w:w="709" w:type="dxa"/>
            <w:vMerge w:val="restart"/>
            <w:textDirection w:val="btLr"/>
            <w:vAlign w:val="center"/>
          </w:tcPr>
          <w:p w14:paraId="50DDD489" w14:textId="77777777" w:rsidR="008143D9" w:rsidRPr="00C07B2E" w:rsidRDefault="008143D9" w:rsidP="005A428D">
            <w:pPr>
              <w:ind w:left="57" w:right="57"/>
              <w:rPr>
                <w:rFonts w:eastAsia="SimSun"/>
              </w:rPr>
            </w:pPr>
            <w:r w:rsidRPr="00C07B2E">
              <w:rPr>
                <w:rFonts w:eastAsia="SimSun"/>
              </w:rPr>
              <w:t>Профилактика РТПХ</w:t>
            </w:r>
          </w:p>
        </w:tc>
        <w:tc>
          <w:tcPr>
            <w:tcW w:w="1843" w:type="dxa"/>
            <w:vAlign w:val="center"/>
          </w:tcPr>
          <w:p w14:paraId="692F6C5A" w14:textId="77777777" w:rsidR="008143D9" w:rsidRPr="00C07B2E" w:rsidRDefault="008143D9" w:rsidP="005A428D">
            <w:pPr>
              <w:ind w:left="57" w:right="57"/>
              <w:rPr>
                <w:rFonts w:eastAsia="SimSun"/>
              </w:rPr>
            </w:pPr>
            <w:r w:rsidRPr="00C07B2E">
              <w:rPr>
                <w:rFonts w:eastAsia="SimSun"/>
              </w:rPr>
              <w:t xml:space="preserve">Циклоспорин </w:t>
            </w:r>
          </w:p>
        </w:tc>
        <w:tc>
          <w:tcPr>
            <w:tcW w:w="1417" w:type="dxa"/>
            <w:vAlign w:val="center"/>
          </w:tcPr>
          <w:p w14:paraId="5B5C97B4" w14:textId="77777777" w:rsidR="008143D9" w:rsidRPr="00C07B2E" w:rsidRDefault="008143D9" w:rsidP="005A428D">
            <w:pPr>
              <w:ind w:left="57" w:right="57"/>
              <w:rPr>
                <w:rFonts w:eastAsia="SimSun"/>
              </w:rPr>
            </w:pPr>
            <w:r w:rsidRPr="00C07B2E">
              <w:rPr>
                <w:rFonts w:eastAsia="SimSun"/>
              </w:rPr>
              <w:t>3 мг/кг</w:t>
            </w:r>
          </w:p>
        </w:tc>
        <w:tc>
          <w:tcPr>
            <w:tcW w:w="1418" w:type="dxa"/>
            <w:vAlign w:val="center"/>
          </w:tcPr>
          <w:p w14:paraId="0A34BA86" w14:textId="77777777" w:rsidR="008143D9" w:rsidRPr="00C07B2E" w:rsidRDefault="008143D9" w:rsidP="005A428D">
            <w:pPr>
              <w:ind w:left="57" w:right="57"/>
              <w:rPr>
                <w:rFonts w:eastAsia="SimSun"/>
                <w:lang w:val="en-US"/>
              </w:rPr>
            </w:pPr>
            <w:r w:rsidRPr="00C07B2E">
              <w:rPr>
                <w:rFonts w:eastAsia="SimSun"/>
                <w:lang w:val="en-US"/>
              </w:rPr>
              <w:t>–</w:t>
            </w:r>
          </w:p>
        </w:tc>
        <w:tc>
          <w:tcPr>
            <w:tcW w:w="1701" w:type="dxa"/>
            <w:vAlign w:val="center"/>
          </w:tcPr>
          <w:p w14:paraId="23E449E6" w14:textId="77777777" w:rsidR="008143D9" w:rsidRPr="00C07B2E" w:rsidRDefault="008143D9" w:rsidP="005A428D">
            <w:pPr>
              <w:ind w:left="57" w:right="57"/>
              <w:rPr>
                <w:rFonts w:eastAsia="SimSun"/>
              </w:rPr>
            </w:pPr>
            <w:r w:rsidRPr="00C07B2E">
              <w:rPr>
                <w:rFonts w:eastAsia="SimSun"/>
              </w:rPr>
              <w:t>С –1 дня по +90 день, затем постепенное снижение к +180 дню</w:t>
            </w:r>
          </w:p>
        </w:tc>
        <w:tc>
          <w:tcPr>
            <w:tcW w:w="2268" w:type="dxa"/>
            <w:vAlign w:val="center"/>
          </w:tcPr>
          <w:p w14:paraId="07F3BE45" w14:textId="77777777" w:rsidR="008143D9" w:rsidRPr="00985050" w:rsidRDefault="008143D9" w:rsidP="005A428D">
            <w:pPr>
              <w:ind w:left="57" w:right="57"/>
              <w:rPr>
                <w:rFonts w:eastAsia="SimSun"/>
              </w:rPr>
            </w:pPr>
            <w:r w:rsidRPr="00C07B2E">
              <w:rPr>
                <w:rFonts w:eastAsia="SimSun"/>
              </w:rPr>
              <w:t xml:space="preserve">В/в, 5-часовая инфузия 2 раза/сут. </w:t>
            </w:r>
            <w:r w:rsidRPr="00985050">
              <w:rPr>
                <w:rFonts w:eastAsia="SimSun"/>
              </w:rPr>
              <w:t>Перевод на прием внутрь при условии восстановления лейкоцитов &gt;</w:t>
            </w:r>
            <w:r w:rsidRPr="00C07B2E">
              <w:rPr>
                <w:rFonts w:eastAsia="SimSun"/>
                <w:lang w:val="en-US"/>
              </w:rPr>
              <w:t> </w:t>
            </w:r>
            <w:r w:rsidRPr="00985050">
              <w:rPr>
                <w:rFonts w:eastAsia="SimSun"/>
              </w:rPr>
              <w:t>1</w:t>
            </w:r>
            <w:r w:rsidRPr="00C07B2E">
              <w:rPr>
                <w:rFonts w:eastAsia="SimSun"/>
                <w:lang w:val="en-US"/>
              </w:rPr>
              <w:t> </w:t>
            </w:r>
            <w:r>
              <w:rPr>
                <w:rFonts w:eastAsia="SimSun"/>
              </w:rPr>
              <w:t>х</w:t>
            </w:r>
            <w:r w:rsidRPr="00C07B2E">
              <w:rPr>
                <w:rFonts w:eastAsia="SimSun"/>
                <w:lang w:val="en-US"/>
              </w:rPr>
              <w:t> </w:t>
            </w:r>
            <w:r w:rsidRPr="00985050">
              <w:rPr>
                <w:rFonts w:eastAsia="SimSun"/>
              </w:rPr>
              <w:t>10</w:t>
            </w:r>
            <w:r w:rsidRPr="00985050">
              <w:rPr>
                <w:rFonts w:eastAsia="SimSun"/>
                <w:vertAlign w:val="superscript"/>
              </w:rPr>
              <w:t>9</w:t>
            </w:r>
            <w:r w:rsidRPr="00985050">
              <w:rPr>
                <w:rFonts w:eastAsia="SimSun"/>
              </w:rPr>
              <w:t xml:space="preserve">/л, при отсутствии тошноты, рвоты, диареи и возможности приема внутрь.; Концентрация 150-350 нг/мл  </w:t>
            </w:r>
          </w:p>
        </w:tc>
      </w:tr>
      <w:tr w:rsidR="008143D9" w:rsidRPr="00C07B2E" w14:paraId="4A8DC70B" w14:textId="77777777" w:rsidTr="005A428D">
        <w:trPr>
          <w:cantSplit/>
          <w:trHeight w:val="20"/>
        </w:trPr>
        <w:tc>
          <w:tcPr>
            <w:tcW w:w="709" w:type="dxa"/>
            <w:vMerge/>
          </w:tcPr>
          <w:p w14:paraId="535A4261" w14:textId="77777777" w:rsidR="008143D9" w:rsidRPr="00985050" w:rsidRDefault="008143D9" w:rsidP="005A428D">
            <w:pPr>
              <w:ind w:left="57" w:right="57"/>
              <w:rPr>
                <w:rFonts w:eastAsia="SimSun"/>
              </w:rPr>
            </w:pPr>
          </w:p>
        </w:tc>
        <w:tc>
          <w:tcPr>
            <w:tcW w:w="1843" w:type="dxa"/>
            <w:vMerge w:val="restart"/>
            <w:vAlign w:val="center"/>
          </w:tcPr>
          <w:p w14:paraId="48B17248" w14:textId="77777777" w:rsidR="008143D9" w:rsidRPr="00C07B2E" w:rsidRDefault="008143D9" w:rsidP="005A428D">
            <w:pPr>
              <w:ind w:left="57" w:right="57"/>
              <w:rPr>
                <w:rFonts w:eastAsia="SimSun"/>
              </w:rPr>
            </w:pPr>
            <w:r w:rsidRPr="00C07B2E">
              <w:rPr>
                <w:rFonts w:eastAsia="SimSun"/>
              </w:rPr>
              <w:t>Метотрексат</w:t>
            </w:r>
          </w:p>
        </w:tc>
        <w:tc>
          <w:tcPr>
            <w:tcW w:w="1417" w:type="dxa"/>
            <w:vAlign w:val="center"/>
          </w:tcPr>
          <w:p w14:paraId="5A7A1556" w14:textId="77777777" w:rsidR="008143D9" w:rsidRPr="00C07B2E" w:rsidRDefault="008143D9" w:rsidP="005A428D">
            <w:pPr>
              <w:ind w:left="57" w:right="57"/>
              <w:rPr>
                <w:rFonts w:eastAsia="SimSun"/>
              </w:rPr>
            </w:pPr>
            <w:r w:rsidRPr="00C07B2E">
              <w:rPr>
                <w:rFonts w:eastAsia="SimSun"/>
              </w:rPr>
              <w:t>15 мг/м</w:t>
            </w:r>
            <w:r w:rsidRPr="00C07B2E">
              <w:rPr>
                <w:rFonts w:eastAsia="SimSun"/>
                <w:vertAlign w:val="superscript"/>
              </w:rPr>
              <w:t>2</w:t>
            </w:r>
          </w:p>
        </w:tc>
        <w:tc>
          <w:tcPr>
            <w:tcW w:w="1418" w:type="dxa"/>
            <w:vAlign w:val="center"/>
          </w:tcPr>
          <w:p w14:paraId="189174A3" w14:textId="77777777" w:rsidR="008143D9" w:rsidRPr="00C07B2E" w:rsidRDefault="008143D9" w:rsidP="005A428D">
            <w:pPr>
              <w:ind w:left="57" w:right="57"/>
              <w:rPr>
                <w:rFonts w:eastAsia="SimSun"/>
              </w:rPr>
            </w:pPr>
            <w:r w:rsidRPr="00C07B2E">
              <w:rPr>
                <w:rFonts w:eastAsia="SimSun"/>
                <w:lang w:val="en-US"/>
              </w:rPr>
              <w:t>–</w:t>
            </w:r>
          </w:p>
        </w:tc>
        <w:tc>
          <w:tcPr>
            <w:tcW w:w="1701" w:type="dxa"/>
            <w:vAlign w:val="center"/>
          </w:tcPr>
          <w:p w14:paraId="1F345660" w14:textId="77777777" w:rsidR="008143D9" w:rsidRPr="00C07B2E" w:rsidRDefault="008143D9" w:rsidP="005A428D">
            <w:pPr>
              <w:ind w:left="57" w:right="57"/>
              <w:rPr>
                <w:rFonts w:eastAsia="SimSun"/>
              </w:rPr>
            </w:pPr>
            <w:r w:rsidRPr="00C07B2E">
              <w:rPr>
                <w:rFonts w:eastAsia="SimSun"/>
              </w:rPr>
              <w:t>+1 день</w:t>
            </w:r>
          </w:p>
        </w:tc>
        <w:tc>
          <w:tcPr>
            <w:tcW w:w="2268" w:type="dxa"/>
            <w:vAlign w:val="center"/>
          </w:tcPr>
          <w:p w14:paraId="35E26D74" w14:textId="77777777" w:rsidR="008143D9" w:rsidRPr="00C07B2E" w:rsidRDefault="008143D9" w:rsidP="005A428D">
            <w:pPr>
              <w:ind w:left="57" w:right="57"/>
              <w:rPr>
                <w:rFonts w:eastAsia="SimSun"/>
              </w:rPr>
            </w:pPr>
            <w:r w:rsidRPr="00C07B2E">
              <w:rPr>
                <w:rFonts w:eastAsia="SimSun"/>
              </w:rPr>
              <w:t>В/в, в 20 мл физ. р-ра</w:t>
            </w:r>
            <w:bookmarkStart w:id="109" w:name="OLE_LINK12"/>
            <w:bookmarkStart w:id="110" w:name="OLE_LINK13"/>
            <w:r w:rsidRPr="00C07B2E">
              <w:rPr>
                <w:rFonts w:eastAsia="SimSun"/>
              </w:rPr>
              <w:t xml:space="preserve"> </w:t>
            </w:r>
            <w:bookmarkEnd w:id="109"/>
            <w:bookmarkEnd w:id="110"/>
            <w:r w:rsidRPr="00C07B2E">
              <w:rPr>
                <w:rFonts w:eastAsia="SimSun"/>
              </w:rPr>
              <w:t xml:space="preserve"> </w:t>
            </w:r>
          </w:p>
        </w:tc>
      </w:tr>
      <w:tr w:rsidR="008143D9" w:rsidRPr="00C07B2E" w14:paraId="66DAEFBE" w14:textId="77777777" w:rsidTr="005A428D">
        <w:trPr>
          <w:cantSplit/>
          <w:trHeight w:val="464"/>
        </w:trPr>
        <w:tc>
          <w:tcPr>
            <w:tcW w:w="709" w:type="dxa"/>
            <w:vMerge/>
          </w:tcPr>
          <w:p w14:paraId="3C19CAE9" w14:textId="77777777" w:rsidR="008143D9" w:rsidRPr="00C07B2E" w:rsidRDefault="008143D9" w:rsidP="005A428D">
            <w:pPr>
              <w:ind w:left="57" w:right="57"/>
              <w:rPr>
                <w:rFonts w:eastAsia="SimSun"/>
              </w:rPr>
            </w:pPr>
          </w:p>
        </w:tc>
        <w:tc>
          <w:tcPr>
            <w:tcW w:w="1843" w:type="dxa"/>
            <w:vMerge/>
            <w:vAlign w:val="center"/>
          </w:tcPr>
          <w:p w14:paraId="448A2549" w14:textId="77777777" w:rsidR="008143D9" w:rsidRPr="00C07B2E" w:rsidRDefault="008143D9" w:rsidP="005A428D">
            <w:pPr>
              <w:ind w:left="57" w:right="57"/>
              <w:rPr>
                <w:rFonts w:eastAsia="SimSun"/>
              </w:rPr>
            </w:pPr>
          </w:p>
        </w:tc>
        <w:tc>
          <w:tcPr>
            <w:tcW w:w="1417" w:type="dxa"/>
            <w:vAlign w:val="center"/>
          </w:tcPr>
          <w:p w14:paraId="02C536CB" w14:textId="77777777" w:rsidR="008143D9" w:rsidRPr="00C07B2E" w:rsidRDefault="008143D9" w:rsidP="005A428D">
            <w:pPr>
              <w:ind w:left="57" w:right="57"/>
              <w:rPr>
                <w:rFonts w:eastAsia="SimSun"/>
              </w:rPr>
            </w:pPr>
            <w:r w:rsidRPr="00C07B2E">
              <w:rPr>
                <w:rFonts w:eastAsia="SimSun"/>
              </w:rPr>
              <w:t>10 мг/м</w:t>
            </w:r>
            <w:r w:rsidRPr="00C07B2E">
              <w:rPr>
                <w:rFonts w:eastAsia="SimSun"/>
                <w:vertAlign w:val="superscript"/>
              </w:rPr>
              <w:t>2</w:t>
            </w:r>
          </w:p>
        </w:tc>
        <w:tc>
          <w:tcPr>
            <w:tcW w:w="1418" w:type="dxa"/>
            <w:vAlign w:val="center"/>
          </w:tcPr>
          <w:p w14:paraId="62D3B1FB" w14:textId="77777777" w:rsidR="008143D9" w:rsidRPr="00C07B2E" w:rsidRDefault="008143D9" w:rsidP="005A428D">
            <w:pPr>
              <w:ind w:left="57" w:right="57"/>
              <w:rPr>
                <w:rFonts w:eastAsia="SimSun"/>
              </w:rPr>
            </w:pPr>
            <w:r w:rsidRPr="00C07B2E">
              <w:rPr>
                <w:rFonts w:eastAsia="SimSun"/>
                <w:lang w:val="en-US"/>
              </w:rPr>
              <w:t>–</w:t>
            </w:r>
          </w:p>
        </w:tc>
        <w:tc>
          <w:tcPr>
            <w:tcW w:w="1701" w:type="dxa"/>
            <w:vAlign w:val="center"/>
          </w:tcPr>
          <w:p w14:paraId="6E5FD8C7" w14:textId="77777777" w:rsidR="008143D9" w:rsidRPr="00C07B2E" w:rsidRDefault="008143D9" w:rsidP="005A428D">
            <w:pPr>
              <w:ind w:left="57" w:right="57"/>
              <w:rPr>
                <w:rFonts w:eastAsia="SimSun"/>
              </w:rPr>
            </w:pPr>
            <w:r w:rsidRPr="00C07B2E">
              <w:rPr>
                <w:rFonts w:eastAsia="SimSun"/>
              </w:rPr>
              <w:t>+3, +6, +11 дни</w:t>
            </w:r>
          </w:p>
        </w:tc>
        <w:tc>
          <w:tcPr>
            <w:tcW w:w="2268" w:type="dxa"/>
            <w:vAlign w:val="center"/>
          </w:tcPr>
          <w:p w14:paraId="6E0C3F07" w14:textId="77777777" w:rsidR="008143D9" w:rsidRPr="00C07B2E" w:rsidRDefault="008143D9" w:rsidP="005A428D">
            <w:pPr>
              <w:ind w:left="57" w:right="57"/>
              <w:rPr>
                <w:rFonts w:eastAsia="SimSun"/>
              </w:rPr>
            </w:pPr>
            <w:r w:rsidRPr="00C07B2E">
              <w:rPr>
                <w:rFonts w:eastAsia="SimSun"/>
              </w:rPr>
              <w:t xml:space="preserve">В/в, в 20 мл физ. р-ра  </w:t>
            </w:r>
          </w:p>
        </w:tc>
      </w:tr>
      <w:bookmarkEnd w:id="108"/>
    </w:tbl>
    <w:p w14:paraId="782C4421" w14:textId="77777777" w:rsidR="008143D9" w:rsidRPr="00C07B2E" w:rsidRDefault="008143D9" w:rsidP="008143D9">
      <w:pPr>
        <w:rPr>
          <w:rFonts w:eastAsia="SimSun"/>
        </w:rPr>
      </w:pPr>
    </w:p>
    <w:p w14:paraId="553EACB5" w14:textId="77777777" w:rsidR="008143D9" w:rsidRPr="00C07B2E" w:rsidRDefault="008143D9" w:rsidP="008143D9">
      <w:pPr>
        <w:rPr>
          <w:rFonts w:eastAsia="SimSun"/>
        </w:rPr>
      </w:pPr>
      <w:bookmarkStart w:id="111" w:name="_Toc44401145"/>
      <w:r w:rsidRPr="00042499">
        <w:rPr>
          <w:rFonts w:eastAsia="SimSun"/>
        </w:rPr>
        <w:t>Таблица</w:t>
      </w:r>
      <w:r w:rsidRPr="00C07B2E">
        <w:rPr>
          <w:rFonts w:eastAsia="SimSun"/>
        </w:rPr>
        <w:t xml:space="preserve"> </w:t>
      </w:r>
      <w:r>
        <w:rPr>
          <w:rFonts w:eastAsia="SimSun"/>
        </w:rPr>
        <w:t>5</w:t>
      </w:r>
      <w:r w:rsidRPr="00C07B2E">
        <w:rPr>
          <w:rFonts w:eastAsia="SimSun"/>
        </w:rPr>
        <w:t>.1.1.2  – TBI+Cy120 / CSA+MTX</w:t>
      </w:r>
      <w:bookmarkEnd w:id="111"/>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8"/>
        <w:gridCol w:w="1921"/>
        <w:gridCol w:w="1303"/>
        <w:gridCol w:w="1375"/>
        <w:gridCol w:w="1688"/>
        <w:gridCol w:w="2172"/>
      </w:tblGrid>
      <w:tr w:rsidR="008143D9" w:rsidRPr="00C07B2E" w14:paraId="1AA68340" w14:textId="77777777" w:rsidTr="005A428D">
        <w:trPr>
          <w:cantSplit/>
          <w:trHeight w:val="20"/>
          <w:tblHeader/>
        </w:trPr>
        <w:tc>
          <w:tcPr>
            <w:tcW w:w="376" w:type="pct"/>
            <w:vAlign w:val="center"/>
          </w:tcPr>
          <w:p w14:paraId="60748C5F" w14:textId="77777777" w:rsidR="008143D9" w:rsidRPr="00C07B2E" w:rsidRDefault="008143D9" w:rsidP="005A428D">
            <w:pPr>
              <w:rPr>
                <w:rFonts w:eastAsia="SimSun"/>
              </w:rPr>
            </w:pPr>
          </w:p>
        </w:tc>
        <w:tc>
          <w:tcPr>
            <w:tcW w:w="1027" w:type="pct"/>
            <w:vAlign w:val="center"/>
          </w:tcPr>
          <w:p w14:paraId="7239F293" w14:textId="77777777" w:rsidR="008143D9" w:rsidRPr="00C07B2E" w:rsidRDefault="008143D9" w:rsidP="005A428D">
            <w:pPr>
              <w:rPr>
                <w:rFonts w:eastAsia="SimSun"/>
              </w:rPr>
            </w:pPr>
            <w:r w:rsidRPr="00C07B2E">
              <w:rPr>
                <w:rFonts w:eastAsia="SimSun"/>
              </w:rPr>
              <w:t>Препарат</w:t>
            </w:r>
          </w:p>
        </w:tc>
        <w:tc>
          <w:tcPr>
            <w:tcW w:w="718" w:type="pct"/>
            <w:vAlign w:val="center"/>
          </w:tcPr>
          <w:p w14:paraId="341BD7FB" w14:textId="77777777" w:rsidR="008143D9" w:rsidRPr="00C07B2E" w:rsidRDefault="008143D9" w:rsidP="005A428D">
            <w:pPr>
              <w:rPr>
                <w:rFonts w:eastAsia="SimSun"/>
              </w:rPr>
            </w:pPr>
            <w:r w:rsidRPr="00C07B2E">
              <w:rPr>
                <w:rFonts w:eastAsia="SimSun"/>
              </w:rPr>
              <w:t>Суточная доза</w:t>
            </w:r>
          </w:p>
        </w:tc>
        <w:tc>
          <w:tcPr>
            <w:tcW w:w="757" w:type="pct"/>
            <w:vAlign w:val="center"/>
          </w:tcPr>
          <w:p w14:paraId="2B398549" w14:textId="77777777" w:rsidR="008143D9" w:rsidRPr="00C07B2E" w:rsidRDefault="008143D9" w:rsidP="005A428D">
            <w:pPr>
              <w:rPr>
                <w:rFonts w:eastAsia="SimSun"/>
              </w:rPr>
            </w:pPr>
            <w:r w:rsidRPr="00C07B2E">
              <w:rPr>
                <w:rFonts w:eastAsia="SimSun"/>
              </w:rPr>
              <w:t>Курсовая доза</w:t>
            </w:r>
          </w:p>
        </w:tc>
        <w:tc>
          <w:tcPr>
            <w:tcW w:w="928" w:type="pct"/>
            <w:vAlign w:val="center"/>
          </w:tcPr>
          <w:p w14:paraId="58BB17D6" w14:textId="77777777" w:rsidR="008143D9" w:rsidRPr="00C07B2E" w:rsidRDefault="008143D9" w:rsidP="005A428D">
            <w:pPr>
              <w:rPr>
                <w:rFonts w:eastAsia="SimSun"/>
              </w:rPr>
            </w:pPr>
            <w:r w:rsidRPr="00C07B2E">
              <w:rPr>
                <w:rFonts w:eastAsia="SimSun"/>
              </w:rPr>
              <w:t>Дни введения</w:t>
            </w:r>
          </w:p>
        </w:tc>
        <w:tc>
          <w:tcPr>
            <w:tcW w:w="1193" w:type="pct"/>
            <w:vAlign w:val="center"/>
          </w:tcPr>
          <w:p w14:paraId="1C8E502D" w14:textId="77777777" w:rsidR="008143D9" w:rsidRPr="00C07B2E" w:rsidRDefault="008143D9" w:rsidP="005A428D">
            <w:pPr>
              <w:rPr>
                <w:rFonts w:eastAsia="SimSun"/>
              </w:rPr>
            </w:pPr>
            <w:r w:rsidRPr="00C07B2E">
              <w:rPr>
                <w:rFonts w:eastAsia="SimSun"/>
              </w:rPr>
              <w:t>Порядок введения</w:t>
            </w:r>
          </w:p>
        </w:tc>
      </w:tr>
      <w:tr w:rsidR="008143D9" w:rsidRPr="00C07B2E" w14:paraId="22AD4EBE" w14:textId="77777777" w:rsidTr="005A428D">
        <w:trPr>
          <w:cantSplit/>
          <w:trHeight w:val="20"/>
        </w:trPr>
        <w:tc>
          <w:tcPr>
            <w:tcW w:w="376" w:type="pct"/>
            <w:vMerge w:val="restart"/>
            <w:textDirection w:val="btLr"/>
            <w:vAlign w:val="center"/>
          </w:tcPr>
          <w:p w14:paraId="0105EADF" w14:textId="77777777" w:rsidR="008143D9" w:rsidRPr="00C07B2E" w:rsidRDefault="008143D9" w:rsidP="005A428D">
            <w:pPr>
              <w:rPr>
                <w:rFonts w:eastAsia="SimSun"/>
              </w:rPr>
            </w:pPr>
            <w:r w:rsidRPr="00C07B2E">
              <w:rPr>
                <w:rFonts w:eastAsia="SimSun"/>
              </w:rPr>
              <w:t>Кондиционирование</w:t>
            </w:r>
          </w:p>
        </w:tc>
        <w:tc>
          <w:tcPr>
            <w:tcW w:w="1027" w:type="pct"/>
            <w:vAlign w:val="center"/>
          </w:tcPr>
          <w:p w14:paraId="5B101E77" w14:textId="77777777" w:rsidR="008143D9" w:rsidRPr="00C07B2E" w:rsidRDefault="008143D9" w:rsidP="005A428D">
            <w:pPr>
              <w:rPr>
                <w:rFonts w:eastAsia="SimSun"/>
              </w:rPr>
            </w:pPr>
            <w:r w:rsidRPr="00C07B2E">
              <w:rPr>
                <w:rFonts w:eastAsia="SimSun"/>
              </w:rPr>
              <w:t>ТТО</w:t>
            </w:r>
          </w:p>
        </w:tc>
        <w:tc>
          <w:tcPr>
            <w:tcW w:w="718" w:type="pct"/>
            <w:vAlign w:val="center"/>
          </w:tcPr>
          <w:p w14:paraId="146D9094" w14:textId="77777777" w:rsidR="008143D9" w:rsidRPr="00C07B2E" w:rsidRDefault="008143D9" w:rsidP="005A428D">
            <w:pPr>
              <w:rPr>
                <w:rFonts w:eastAsia="SimSun"/>
              </w:rPr>
            </w:pPr>
            <w:r w:rsidRPr="00C07B2E">
              <w:rPr>
                <w:rFonts w:eastAsia="SimSun"/>
              </w:rPr>
              <w:t>4 Гр</w:t>
            </w:r>
          </w:p>
        </w:tc>
        <w:tc>
          <w:tcPr>
            <w:tcW w:w="757" w:type="pct"/>
            <w:vAlign w:val="center"/>
          </w:tcPr>
          <w:p w14:paraId="4A50386F" w14:textId="77777777" w:rsidR="008143D9" w:rsidRPr="00C07B2E" w:rsidRDefault="008143D9" w:rsidP="005A428D">
            <w:pPr>
              <w:rPr>
                <w:rFonts w:eastAsia="SimSun"/>
              </w:rPr>
            </w:pPr>
            <w:r w:rsidRPr="00C07B2E">
              <w:rPr>
                <w:rFonts w:eastAsia="SimSun"/>
                <w:lang w:val="en-US"/>
              </w:rPr>
              <w:t>12</w:t>
            </w:r>
            <w:r w:rsidRPr="00C07B2E">
              <w:rPr>
                <w:rFonts w:eastAsia="SimSun"/>
              </w:rPr>
              <w:t xml:space="preserve"> Гр</w:t>
            </w:r>
          </w:p>
        </w:tc>
        <w:tc>
          <w:tcPr>
            <w:tcW w:w="928" w:type="pct"/>
            <w:vAlign w:val="center"/>
          </w:tcPr>
          <w:p w14:paraId="0291DCC9" w14:textId="77777777" w:rsidR="008143D9" w:rsidRPr="00C07B2E" w:rsidRDefault="008143D9" w:rsidP="005A428D">
            <w:pPr>
              <w:rPr>
                <w:rFonts w:eastAsia="SimSun"/>
              </w:rPr>
            </w:pPr>
            <w:r w:rsidRPr="00C07B2E">
              <w:rPr>
                <w:rFonts w:eastAsia="SimSun"/>
                <w:lang w:val="en-US"/>
              </w:rPr>
              <w:t>C</w:t>
            </w:r>
            <w:r w:rsidRPr="00C07B2E">
              <w:rPr>
                <w:rFonts w:eastAsia="SimSun"/>
              </w:rPr>
              <w:t xml:space="preserve"> –3 по –1 день </w:t>
            </w:r>
          </w:p>
        </w:tc>
        <w:tc>
          <w:tcPr>
            <w:tcW w:w="1193" w:type="pct"/>
            <w:vAlign w:val="center"/>
          </w:tcPr>
          <w:p w14:paraId="30CFB20F" w14:textId="77777777" w:rsidR="008143D9" w:rsidRPr="00C07B2E" w:rsidRDefault="008143D9" w:rsidP="005A428D">
            <w:pPr>
              <w:rPr>
                <w:rFonts w:eastAsia="SimSun"/>
              </w:rPr>
            </w:pPr>
            <w:r w:rsidRPr="00C07B2E">
              <w:rPr>
                <w:rFonts w:eastAsia="SimSun"/>
              </w:rPr>
              <w:t>6 фракций по 2 Гр 2 раза в день в течение 3-х дней  с экранированием легких.</w:t>
            </w:r>
          </w:p>
          <w:p w14:paraId="2AEEB548" w14:textId="77777777" w:rsidR="008143D9" w:rsidRPr="00C07B2E" w:rsidRDefault="008143D9" w:rsidP="005A428D">
            <w:pPr>
              <w:rPr>
                <w:rFonts w:eastAsia="SimSun"/>
              </w:rPr>
            </w:pPr>
          </w:p>
        </w:tc>
      </w:tr>
      <w:tr w:rsidR="008143D9" w:rsidRPr="00C07B2E" w14:paraId="78F0D95D" w14:textId="77777777" w:rsidTr="005A428D">
        <w:trPr>
          <w:cantSplit/>
          <w:trHeight w:val="1207"/>
        </w:trPr>
        <w:tc>
          <w:tcPr>
            <w:tcW w:w="376" w:type="pct"/>
            <w:vMerge/>
            <w:vAlign w:val="center"/>
          </w:tcPr>
          <w:p w14:paraId="6DB2A2B7" w14:textId="77777777" w:rsidR="008143D9" w:rsidRPr="00C07B2E" w:rsidRDefault="008143D9" w:rsidP="005A428D">
            <w:pPr>
              <w:rPr>
                <w:rFonts w:eastAsia="SimSun"/>
              </w:rPr>
            </w:pPr>
          </w:p>
        </w:tc>
        <w:tc>
          <w:tcPr>
            <w:tcW w:w="1027" w:type="pct"/>
            <w:vAlign w:val="center"/>
          </w:tcPr>
          <w:p w14:paraId="7919428F" w14:textId="77777777" w:rsidR="008143D9" w:rsidRPr="00C07B2E" w:rsidRDefault="008143D9" w:rsidP="005A428D">
            <w:pPr>
              <w:rPr>
                <w:rFonts w:eastAsia="SimSun"/>
              </w:rPr>
            </w:pPr>
            <w:r w:rsidRPr="00C07B2E">
              <w:rPr>
                <w:rFonts w:eastAsia="SimSun"/>
              </w:rPr>
              <w:t>Циклофосфамид</w:t>
            </w:r>
          </w:p>
        </w:tc>
        <w:tc>
          <w:tcPr>
            <w:tcW w:w="718" w:type="pct"/>
            <w:vAlign w:val="center"/>
          </w:tcPr>
          <w:p w14:paraId="591B605C" w14:textId="77777777" w:rsidR="008143D9" w:rsidRPr="00C07B2E" w:rsidRDefault="008143D9" w:rsidP="005A428D">
            <w:pPr>
              <w:rPr>
                <w:rFonts w:eastAsia="SimSun"/>
              </w:rPr>
            </w:pPr>
            <w:r w:rsidRPr="00C07B2E">
              <w:rPr>
                <w:rFonts w:eastAsia="SimSun"/>
              </w:rPr>
              <w:t>60 мг/кг</w:t>
            </w:r>
          </w:p>
        </w:tc>
        <w:tc>
          <w:tcPr>
            <w:tcW w:w="757" w:type="pct"/>
            <w:vAlign w:val="center"/>
          </w:tcPr>
          <w:p w14:paraId="0A4C7F5E" w14:textId="77777777" w:rsidR="008143D9" w:rsidRPr="00C07B2E" w:rsidRDefault="008143D9" w:rsidP="005A428D">
            <w:pPr>
              <w:rPr>
                <w:rFonts w:eastAsia="SimSun"/>
              </w:rPr>
            </w:pPr>
            <w:r w:rsidRPr="00C07B2E">
              <w:rPr>
                <w:rFonts w:eastAsia="SimSun"/>
              </w:rPr>
              <w:t>120 мг/кг</w:t>
            </w:r>
          </w:p>
        </w:tc>
        <w:tc>
          <w:tcPr>
            <w:tcW w:w="928" w:type="pct"/>
            <w:vAlign w:val="center"/>
          </w:tcPr>
          <w:p w14:paraId="33BEF9BD" w14:textId="77777777" w:rsidR="008143D9" w:rsidRPr="00C07B2E" w:rsidRDefault="008143D9" w:rsidP="005A428D">
            <w:pPr>
              <w:rPr>
                <w:rFonts w:eastAsia="SimSun"/>
              </w:rPr>
            </w:pPr>
            <w:r w:rsidRPr="00C07B2E">
              <w:rPr>
                <w:rFonts w:eastAsia="SimSun"/>
                <w:lang w:val="en-US"/>
              </w:rPr>
              <w:t>–</w:t>
            </w:r>
            <w:r w:rsidRPr="00C07B2E">
              <w:rPr>
                <w:rFonts w:eastAsia="SimSun"/>
              </w:rPr>
              <w:t>6</w:t>
            </w:r>
            <w:r w:rsidRPr="00C07B2E">
              <w:rPr>
                <w:rFonts w:eastAsia="SimSun"/>
                <w:lang w:val="en-US"/>
              </w:rPr>
              <w:t>, –</w:t>
            </w:r>
            <w:r w:rsidRPr="00C07B2E">
              <w:rPr>
                <w:rFonts w:eastAsia="SimSun"/>
              </w:rPr>
              <w:t>5</w:t>
            </w:r>
            <w:r w:rsidRPr="00C07B2E">
              <w:rPr>
                <w:rFonts w:eastAsia="SimSun"/>
                <w:lang w:val="en-US"/>
              </w:rPr>
              <w:t xml:space="preserve"> дни</w:t>
            </w:r>
            <w:r w:rsidRPr="00C07B2E">
              <w:rPr>
                <w:rFonts w:eastAsia="SimSun"/>
              </w:rPr>
              <w:t xml:space="preserve"> </w:t>
            </w:r>
          </w:p>
        </w:tc>
        <w:tc>
          <w:tcPr>
            <w:tcW w:w="1193" w:type="pct"/>
            <w:vAlign w:val="center"/>
          </w:tcPr>
          <w:p w14:paraId="407F912A" w14:textId="77777777" w:rsidR="008143D9" w:rsidRPr="00C07B2E" w:rsidRDefault="008143D9" w:rsidP="005A428D">
            <w:pPr>
              <w:rPr>
                <w:rFonts w:eastAsia="SimSun"/>
              </w:rPr>
            </w:pPr>
            <w:r w:rsidRPr="00C07B2E">
              <w:rPr>
                <w:rFonts w:eastAsia="SimSun"/>
              </w:rPr>
              <w:t xml:space="preserve">В/в, в течение 2 ч </w:t>
            </w:r>
          </w:p>
        </w:tc>
      </w:tr>
      <w:tr w:rsidR="008143D9" w:rsidRPr="00C07B2E" w14:paraId="4BA452CB" w14:textId="77777777" w:rsidTr="005A428D">
        <w:trPr>
          <w:cantSplit/>
          <w:trHeight w:val="20"/>
        </w:trPr>
        <w:tc>
          <w:tcPr>
            <w:tcW w:w="376" w:type="pct"/>
            <w:vMerge w:val="restart"/>
            <w:textDirection w:val="btLr"/>
            <w:vAlign w:val="center"/>
          </w:tcPr>
          <w:p w14:paraId="4ACFAE35" w14:textId="77777777" w:rsidR="008143D9" w:rsidRPr="00C07B2E" w:rsidRDefault="008143D9" w:rsidP="005A428D">
            <w:pPr>
              <w:rPr>
                <w:rFonts w:eastAsia="SimSun"/>
              </w:rPr>
            </w:pPr>
            <w:r w:rsidRPr="00C07B2E">
              <w:rPr>
                <w:rFonts w:eastAsia="SimSun"/>
              </w:rPr>
              <w:t>Профилактика РТПХ</w:t>
            </w:r>
          </w:p>
        </w:tc>
        <w:tc>
          <w:tcPr>
            <w:tcW w:w="1027" w:type="pct"/>
            <w:vAlign w:val="center"/>
          </w:tcPr>
          <w:p w14:paraId="1C5B16F9" w14:textId="77777777" w:rsidR="008143D9" w:rsidRPr="00C07B2E" w:rsidRDefault="008143D9" w:rsidP="005A428D">
            <w:pPr>
              <w:rPr>
                <w:rFonts w:eastAsia="SimSun"/>
              </w:rPr>
            </w:pPr>
            <w:r w:rsidRPr="00C07B2E">
              <w:rPr>
                <w:rFonts w:eastAsia="SimSun"/>
              </w:rPr>
              <w:t xml:space="preserve">Циклоспорин </w:t>
            </w:r>
          </w:p>
        </w:tc>
        <w:tc>
          <w:tcPr>
            <w:tcW w:w="718" w:type="pct"/>
            <w:vAlign w:val="center"/>
          </w:tcPr>
          <w:p w14:paraId="6D8D21A0" w14:textId="77777777" w:rsidR="008143D9" w:rsidRPr="00C07B2E" w:rsidRDefault="008143D9" w:rsidP="005A428D">
            <w:pPr>
              <w:rPr>
                <w:rFonts w:eastAsia="SimSun"/>
              </w:rPr>
            </w:pPr>
            <w:r w:rsidRPr="00C07B2E">
              <w:rPr>
                <w:rFonts w:eastAsia="SimSun"/>
              </w:rPr>
              <w:t>3 мг/кг</w:t>
            </w:r>
          </w:p>
        </w:tc>
        <w:tc>
          <w:tcPr>
            <w:tcW w:w="757" w:type="pct"/>
            <w:vAlign w:val="center"/>
          </w:tcPr>
          <w:p w14:paraId="5A4FE8CA" w14:textId="77777777" w:rsidR="008143D9" w:rsidRPr="00C07B2E" w:rsidRDefault="008143D9" w:rsidP="005A428D">
            <w:pPr>
              <w:rPr>
                <w:rFonts w:eastAsia="SimSun"/>
                <w:lang w:val="en-US"/>
              </w:rPr>
            </w:pPr>
            <w:r w:rsidRPr="00C07B2E">
              <w:rPr>
                <w:rFonts w:eastAsia="SimSun"/>
                <w:lang w:val="en-US"/>
              </w:rPr>
              <w:t>–</w:t>
            </w:r>
          </w:p>
        </w:tc>
        <w:tc>
          <w:tcPr>
            <w:tcW w:w="928" w:type="pct"/>
            <w:vAlign w:val="center"/>
          </w:tcPr>
          <w:p w14:paraId="46A27C5A" w14:textId="77777777" w:rsidR="008143D9" w:rsidRPr="00C07B2E" w:rsidRDefault="008143D9" w:rsidP="005A428D">
            <w:pPr>
              <w:rPr>
                <w:rFonts w:eastAsia="SimSun"/>
              </w:rPr>
            </w:pPr>
            <w:r w:rsidRPr="00C07B2E">
              <w:rPr>
                <w:rFonts w:eastAsia="SimSun"/>
              </w:rPr>
              <w:t>С –1 дня по +90 день, затем постепенное снижение к +180 дню</w:t>
            </w:r>
          </w:p>
        </w:tc>
        <w:tc>
          <w:tcPr>
            <w:tcW w:w="1193" w:type="pct"/>
            <w:vAlign w:val="center"/>
          </w:tcPr>
          <w:p w14:paraId="628962E8" w14:textId="77777777" w:rsidR="008143D9" w:rsidRPr="00985050" w:rsidRDefault="008143D9" w:rsidP="005A428D">
            <w:pPr>
              <w:rPr>
                <w:rFonts w:eastAsia="SimSun"/>
              </w:rPr>
            </w:pPr>
            <w:r w:rsidRPr="00C07B2E">
              <w:rPr>
                <w:rFonts w:eastAsia="SimSun"/>
              </w:rPr>
              <w:t xml:space="preserve">В/в, 5-часовая инфузия 2 раза/сут. </w:t>
            </w:r>
            <w:r w:rsidRPr="00985050">
              <w:rPr>
                <w:rFonts w:eastAsia="SimSun"/>
              </w:rPr>
              <w:t>Перевод на прием внутрь при условии восстановления лейкоцитов &gt;</w:t>
            </w:r>
            <w:r w:rsidRPr="00C07B2E">
              <w:rPr>
                <w:rFonts w:eastAsia="SimSun"/>
                <w:lang w:val="en-US"/>
              </w:rPr>
              <w:t> </w:t>
            </w:r>
            <w:r w:rsidRPr="00985050">
              <w:rPr>
                <w:rFonts w:eastAsia="SimSun"/>
              </w:rPr>
              <w:t>1</w:t>
            </w:r>
            <w:r w:rsidRPr="00C07B2E">
              <w:rPr>
                <w:rFonts w:eastAsia="SimSun"/>
                <w:lang w:val="en-US"/>
              </w:rPr>
              <w:t> </w:t>
            </w:r>
            <w:r>
              <w:rPr>
                <w:rFonts w:eastAsia="SimSun"/>
              </w:rPr>
              <w:t>х</w:t>
            </w:r>
            <w:r w:rsidRPr="00C07B2E">
              <w:rPr>
                <w:rFonts w:eastAsia="SimSun"/>
                <w:lang w:val="en-US"/>
              </w:rPr>
              <w:t> </w:t>
            </w:r>
            <w:r w:rsidRPr="00985050">
              <w:rPr>
                <w:rFonts w:eastAsia="SimSun"/>
              </w:rPr>
              <w:t>10</w:t>
            </w:r>
            <w:r w:rsidRPr="00985050">
              <w:rPr>
                <w:rFonts w:eastAsia="SimSun"/>
                <w:vertAlign w:val="superscript"/>
              </w:rPr>
              <w:t>9</w:t>
            </w:r>
            <w:r w:rsidRPr="00985050">
              <w:rPr>
                <w:rFonts w:eastAsia="SimSun"/>
              </w:rPr>
              <w:t xml:space="preserve">/л, при отсутствии тошноты, рвоты, диареи и возможности приема внутрь.; Концентрация 150-350 нг/мл  </w:t>
            </w:r>
          </w:p>
        </w:tc>
      </w:tr>
      <w:tr w:rsidR="008143D9" w:rsidRPr="00C07B2E" w14:paraId="2AA7A8F2" w14:textId="77777777" w:rsidTr="005A428D">
        <w:trPr>
          <w:cantSplit/>
          <w:trHeight w:val="20"/>
        </w:trPr>
        <w:tc>
          <w:tcPr>
            <w:tcW w:w="376" w:type="pct"/>
            <w:vMerge/>
          </w:tcPr>
          <w:p w14:paraId="7A0920E4" w14:textId="77777777" w:rsidR="008143D9" w:rsidRPr="00985050" w:rsidRDefault="008143D9" w:rsidP="005A428D">
            <w:pPr>
              <w:rPr>
                <w:rFonts w:eastAsia="SimSun"/>
              </w:rPr>
            </w:pPr>
          </w:p>
        </w:tc>
        <w:tc>
          <w:tcPr>
            <w:tcW w:w="1027" w:type="pct"/>
            <w:vMerge w:val="restart"/>
            <w:vAlign w:val="center"/>
          </w:tcPr>
          <w:p w14:paraId="4B3FC14A" w14:textId="77777777" w:rsidR="008143D9" w:rsidRPr="00C07B2E" w:rsidRDefault="008143D9" w:rsidP="005A428D">
            <w:pPr>
              <w:rPr>
                <w:rFonts w:eastAsia="SimSun"/>
              </w:rPr>
            </w:pPr>
            <w:r w:rsidRPr="00C07B2E">
              <w:rPr>
                <w:rFonts w:eastAsia="SimSun"/>
              </w:rPr>
              <w:t>Метотрексат</w:t>
            </w:r>
          </w:p>
        </w:tc>
        <w:tc>
          <w:tcPr>
            <w:tcW w:w="718" w:type="pct"/>
            <w:vAlign w:val="center"/>
          </w:tcPr>
          <w:p w14:paraId="67E71477" w14:textId="77777777" w:rsidR="008143D9" w:rsidRPr="00C07B2E" w:rsidRDefault="008143D9" w:rsidP="005A428D">
            <w:pPr>
              <w:rPr>
                <w:rFonts w:eastAsia="SimSun"/>
              </w:rPr>
            </w:pPr>
            <w:r w:rsidRPr="00C07B2E">
              <w:rPr>
                <w:rFonts w:eastAsia="SimSun"/>
              </w:rPr>
              <w:t>15 мг/м</w:t>
            </w:r>
            <w:r w:rsidRPr="00C07B2E">
              <w:rPr>
                <w:rFonts w:eastAsia="SimSun"/>
                <w:vertAlign w:val="superscript"/>
              </w:rPr>
              <w:t>2</w:t>
            </w:r>
          </w:p>
        </w:tc>
        <w:tc>
          <w:tcPr>
            <w:tcW w:w="757" w:type="pct"/>
            <w:vAlign w:val="center"/>
          </w:tcPr>
          <w:p w14:paraId="2708F83E" w14:textId="77777777" w:rsidR="008143D9" w:rsidRPr="00C07B2E" w:rsidRDefault="008143D9" w:rsidP="005A428D">
            <w:pPr>
              <w:rPr>
                <w:rFonts w:eastAsia="SimSun"/>
              </w:rPr>
            </w:pPr>
            <w:r w:rsidRPr="00C07B2E">
              <w:rPr>
                <w:rFonts w:eastAsia="SimSun"/>
                <w:lang w:val="en-US"/>
              </w:rPr>
              <w:t>–</w:t>
            </w:r>
          </w:p>
        </w:tc>
        <w:tc>
          <w:tcPr>
            <w:tcW w:w="928" w:type="pct"/>
            <w:vAlign w:val="center"/>
          </w:tcPr>
          <w:p w14:paraId="1E28224A" w14:textId="77777777" w:rsidR="008143D9" w:rsidRPr="00C07B2E" w:rsidRDefault="008143D9" w:rsidP="005A428D">
            <w:pPr>
              <w:rPr>
                <w:rFonts w:eastAsia="SimSun"/>
              </w:rPr>
            </w:pPr>
            <w:r w:rsidRPr="00C07B2E">
              <w:rPr>
                <w:rFonts w:eastAsia="SimSun"/>
              </w:rPr>
              <w:t>+1 день</w:t>
            </w:r>
          </w:p>
        </w:tc>
        <w:tc>
          <w:tcPr>
            <w:tcW w:w="1193" w:type="pct"/>
            <w:vAlign w:val="center"/>
          </w:tcPr>
          <w:p w14:paraId="04B83A77" w14:textId="77777777" w:rsidR="008143D9" w:rsidRPr="00C07B2E" w:rsidRDefault="008143D9" w:rsidP="005A428D">
            <w:pPr>
              <w:rPr>
                <w:rFonts w:eastAsia="SimSun"/>
              </w:rPr>
            </w:pPr>
            <w:r w:rsidRPr="00C07B2E">
              <w:rPr>
                <w:rFonts w:eastAsia="SimSun"/>
              </w:rPr>
              <w:t>В/в, в 20 мл физ. р-ра</w:t>
            </w:r>
          </w:p>
        </w:tc>
      </w:tr>
      <w:tr w:rsidR="008143D9" w:rsidRPr="00C07B2E" w14:paraId="2633C7E2" w14:textId="77777777" w:rsidTr="005A428D">
        <w:trPr>
          <w:cantSplit/>
          <w:trHeight w:val="464"/>
        </w:trPr>
        <w:tc>
          <w:tcPr>
            <w:tcW w:w="376" w:type="pct"/>
            <w:vMerge/>
          </w:tcPr>
          <w:p w14:paraId="7D090ADA" w14:textId="77777777" w:rsidR="008143D9" w:rsidRPr="00C07B2E" w:rsidRDefault="008143D9" w:rsidP="005A428D">
            <w:pPr>
              <w:rPr>
                <w:rFonts w:eastAsia="SimSun"/>
              </w:rPr>
            </w:pPr>
          </w:p>
        </w:tc>
        <w:tc>
          <w:tcPr>
            <w:tcW w:w="1027" w:type="pct"/>
            <w:vMerge/>
            <w:vAlign w:val="center"/>
          </w:tcPr>
          <w:p w14:paraId="5EF23D36" w14:textId="77777777" w:rsidR="008143D9" w:rsidRPr="00C07B2E" w:rsidRDefault="008143D9" w:rsidP="005A428D">
            <w:pPr>
              <w:rPr>
                <w:rFonts w:eastAsia="SimSun"/>
              </w:rPr>
            </w:pPr>
          </w:p>
        </w:tc>
        <w:tc>
          <w:tcPr>
            <w:tcW w:w="718" w:type="pct"/>
            <w:vAlign w:val="center"/>
          </w:tcPr>
          <w:p w14:paraId="0E232FBD" w14:textId="77777777" w:rsidR="008143D9" w:rsidRPr="00C07B2E" w:rsidRDefault="008143D9" w:rsidP="005A428D">
            <w:pPr>
              <w:rPr>
                <w:rFonts w:eastAsia="SimSun"/>
              </w:rPr>
            </w:pPr>
            <w:r w:rsidRPr="00C07B2E">
              <w:rPr>
                <w:rFonts w:eastAsia="SimSun"/>
              </w:rPr>
              <w:t>10 мг/м</w:t>
            </w:r>
            <w:r w:rsidRPr="00C07B2E">
              <w:rPr>
                <w:rFonts w:eastAsia="SimSun"/>
                <w:vertAlign w:val="superscript"/>
              </w:rPr>
              <w:t>2</w:t>
            </w:r>
          </w:p>
        </w:tc>
        <w:tc>
          <w:tcPr>
            <w:tcW w:w="757" w:type="pct"/>
            <w:vAlign w:val="center"/>
          </w:tcPr>
          <w:p w14:paraId="76EB2772" w14:textId="77777777" w:rsidR="008143D9" w:rsidRPr="00C07B2E" w:rsidRDefault="008143D9" w:rsidP="005A428D">
            <w:pPr>
              <w:rPr>
                <w:rFonts w:eastAsia="SimSun"/>
              </w:rPr>
            </w:pPr>
            <w:r w:rsidRPr="00C07B2E">
              <w:rPr>
                <w:rFonts w:eastAsia="SimSun"/>
                <w:lang w:val="en-US"/>
              </w:rPr>
              <w:t>–</w:t>
            </w:r>
          </w:p>
        </w:tc>
        <w:tc>
          <w:tcPr>
            <w:tcW w:w="928" w:type="pct"/>
            <w:vAlign w:val="center"/>
          </w:tcPr>
          <w:p w14:paraId="36552CB0" w14:textId="77777777" w:rsidR="008143D9" w:rsidRPr="00C07B2E" w:rsidRDefault="008143D9" w:rsidP="005A428D">
            <w:pPr>
              <w:rPr>
                <w:rFonts w:eastAsia="SimSun"/>
              </w:rPr>
            </w:pPr>
            <w:r w:rsidRPr="00C07B2E">
              <w:rPr>
                <w:rFonts w:eastAsia="SimSun"/>
              </w:rPr>
              <w:t>+3, +6, +11 дни</w:t>
            </w:r>
          </w:p>
        </w:tc>
        <w:tc>
          <w:tcPr>
            <w:tcW w:w="1193" w:type="pct"/>
            <w:vAlign w:val="center"/>
          </w:tcPr>
          <w:p w14:paraId="7CA0218B" w14:textId="77777777" w:rsidR="008143D9" w:rsidRPr="00C07B2E" w:rsidRDefault="008143D9" w:rsidP="005A428D">
            <w:pPr>
              <w:rPr>
                <w:rFonts w:eastAsia="SimSun"/>
              </w:rPr>
            </w:pPr>
            <w:r w:rsidRPr="00C07B2E">
              <w:rPr>
                <w:rFonts w:eastAsia="SimSun"/>
              </w:rPr>
              <w:t xml:space="preserve">В/в, в 20 мл физ. р-ра </w:t>
            </w:r>
          </w:p>
        </w:tc>
      </w:tr>
    </w:tbl>
    <w:p w14:paraId="2B8802A4" w14:textId="77777777" w:rsidR="008143D9" w:rsidRPr="00C07B2E" w:rsidRDefault="008143D9" w:rsidP="008143D9">
      <w:pPr>
        <w:rPr>
          <w:rFonts w:eastAsia="SimSun"/>
        </w:rPr>
      </w:pPr>
    </w:p>
    <w:p w14:paraId="1BDA29BE" w14:textId="77777777" w:rsidR="008143D9" w:rsidRPr="00C07B2E" w:rsidRDefault="008143D9" w:rsidP="008143D9">
      <w:pPr>
        <w:rPr>
          <w:rFonts w:eastAsia="SimSun"/>
        </w:rPr>
      </w:pPr>
      <w:bookmarkStart w:id="112" w:name="_Toc44401146"/>
      <w:r w:rsidRPr="00042499">
        <w:rPr>
          <w:rFonts w:eastAsia="SimSun"/>
        </w:rPr>
        <w:t>Таблица</w:t>
      </w:r>
      <w:r w:rsidRPr="00C07B2E">
        <w:rPr>
          <w:rFonts w:eastAsia="SimSun"/>
        </w:rPr>
        <w:t xml:space="preserve"> </w:t>
      </w:r>
      <w:r>
        <w:rPr>
          <w:rFonts w:eastAsia="SimSun"/>
        </w:rPr>
        <w:t>5</w:t>
      </w:r>
      <w:r w:rsidRPr="00C07B2E">
        <w:rPr>
          <w:rFonts w:eastAsia="SimSun"/>
        </w:rPr>
        <w:t>.1.1.3  – Flu150+Bu12 / PT-Cy+CSA+MMF45</w:t>
      </w:r>
      <w:bookmarkEnd w:id="112"/>
    </w:p>
    <w:tbl>
      <w:tblPr>
        <w:tblW w:w="9356" w:type="dxa"/>
        <w:tblInd w:w="108" w:type="dxa"/>
        <w:tblLayout w:type="fixed"/>
        <w:tblCellMar>
          <w:left w:w="10" w:type="dxa"/>
          <w:right w:w="10" w:type="dxa"/>
        </w:tblCellMar>
        <w:tblLook w:val="0000" w:firstRow="0" w:lastRow="0" w:firstColumn="0" w:lastColumn="0" w:noHBand="0" w:noVBand="0"/>
      </w:tblPr>
      <w:tblGrid>
        <w:gridCol w:w="709"/>
        <w:gridCol w:w="1843"/>
        <w:gridCol w:w="1417"/>
        <w:gridCol w:w="1418"/>
        <w:gridCol w:w="1701"/>
        <w:gridCol w:w="2268"/>
      </w:tblGrid>
      <w:tr w:rsidR="008143D9" w:rsidRPr="00C07B2E" w14:paraId="64655ECC" w14:textId="77777777" w:rsidTr="005A428D">
        <w:trPr>
          <w:cantSplit/>
          <w:trHeight w:val="20"/>
          <w:tblHeader/>
        </w:trPr>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802189" w14:textId="77777777" w:rsidR="008143D9" w:rsidRPr="00470D3D" w:rsidRDefault="008143D9" w:rsidP="005A428D">
            <w:pPr>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D935180" w14:textId="77777777" w:rsidR="008143D9" w:rsidRPr="00C07B2E" w:rsidRDefault="008143D9" w:rsidP="005A428D">
            <w:r w:rsidRPr="00C07B2E">
              <w:rPr>
                <w:rFonts w:eastAsia="SimSun"/>
              </w:rPr>
              <w:t>Препарат</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7AA4EFA" w14:textId="77777777" w:rsidR="008143D9" w:rsidRPr="00C07B2E" w:rsidRDefault="008143D9" w:rsidP="005A428D">
            <w:r w:rsidRPr="00C07B2E">
              <w:rPr>
                <w:rFonts w:eastAsia="SimSun"/>
              </w:rPr>
              <w:t>Суточная доза</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BA49E7F" w14:textId="77777777" w:rsidR="008143D9" w:rsidRPr="00C07B2E" w:rsidRDefault="008143D9" w:rsidP="005A428D">
            <w:r w:rsidRPr="00C07B2E">
              <w:rPr>
                <w:rFonts w:eastAsia="SimSun"/>
              </w:rPr>
              <w:t>Курсовая доза</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561212A" w14:textId="77777777" w:rsidR="008143D9" w:rsidRPr="00C07B2E" w:rsidRDefault="008143D9" w:rsidP="005A428D">
            <w:r w:rsidRPr="00C07B2E">
              <w:rPr>
                <w:rFonts w:eastAsia="SimSun"/>
              </w:rPr>
              <w:t>Дни введения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A42167C" w14:textId="77777777" w:rsidR="008143D9" w:rsidRPr="00C07B2E" w:rsidRDefault="008143D9" w:rsidP="005A428D">
            <w:r w:rsidRPr="00C07B2E">
              <w:rPr>
                <w:rFonts w:eastAsia="SimSun"/>
              </w:rPr>
              <w:t>Порядок введения</w:t>
            </w:r>
          </w:p>
        </w:tc>
      </w:tr>
      <w:tr w:rsidR="008143D9" w:rsidRPr="00C07B2E" w14:paraId="120112A8" w14:textId="77777777" w:rsidTr="005A428D">
        <w:trPr>
          <w:cantSplit/>
          <w:trHeight w:val="20"/>
        </w:trPr>
        <w:tc>
          <w:tcPr>
            <w:tcW w:w="709"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1FF2AA74" w14:textId="77777777" w:rsidR="008143D9" w:rsidRPr="00C07B2E" w:rsidRDefault="008143D9" w:rsidP="005A428D">
            <w:r w:rsidRPr="00C07B2E">
              <w:rPr>
                <w:rFonts w:eastAsia="SimSun"/>
              </w:rPr>
              <w:t>Кондиционирование</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B81DEA9" w14:textId="77777777" w:rsidR="008143D9" w:rsidRPr="00C07B2E" w:rsidRDefault="008143D9" w:rsidP="005A428D">
            <w:r w:rsidRPr="00C07B2E">
              <w:rPr>
                <w:rFonts w:eastAsia="SimSun"/>
              </w:rPr>
              <w:t>Флударабин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047CDEB" w14:textId="77777777" w:rsidR="008143D9" w:rsidRPr="00C07B2E" w:rsidRDefault="008143D9" w:rsidP="005A428D">
            <w:r w:rsidRPr="00C07B2E">
              <w:t>30 мг/м</w:t>
            </w:r>
            <w:r w:rsidRPr="00C07B2E">
              <w:rPr>
                <w:vertAlign w:val="superscript"/>
              </w:rPr>
              <w:t>2</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DB35FA6" w14:textId="77777777" w:rsidR="008143D9" w:rsidRPr="00C07B2E" w:rsidRDefault="008143D9" w:rsidP="005A428D">
            <w:r w:rsidRPr="00C07B2E">
              <w:t>150 мг/м</w:t>
            </w:r>
            <w:r w:rsidRPr="00C07B2E">
              <w:rPr>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56954BF" w14:textId="77777777" w:rsidR="008143D9" w:rsidRPr="00C07B2E" w:rsidRDefault="008143D9" w:rsidP="005A428D">
            <w:r w:rsidRPr="00C07B2E">
              <w:rPr>
                <w:rFonts w:eastAsia="SimSun"/>
              </w:rPr>
              <w:t xml:space="preserve">С </w:t>
            </w:r>
            <w:r w:rsidRPr="00C07B2E">
              <w:rPr>
                <w:rFonts w:eastAsia="SimSun"/>
                <w:lang w:val="en-US"/>
              </w:rPr>
              <w:t>–</w:t>
            </w:r>
            <w:r w:rsidRPr="00C07B2E">
              <w:rPr>
                <w:rFonts w:eastAsia="SimSun"/>
              </w:rPr>
              <w:t xml:space="preserve">6 по </w:t>
            </w:r>
            <w:r w:rsidRPr="00C07B2E">
              <w:rPr>
                <w:rFonts w:eastAsia="SimSun"/>
                <w:lang w:val="en-US"/>
              </w:rPr>
              <w:t>–</w:t>
            </w:r>
            <w:r w:rsidRPr="00C07B2E">
              <w:rPr>
                <w:rFonts w:eastAsia="SimSun"/>
              </w:rPr>
              <w:t>2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4E50BC2" w14:textId="77777777" w:rsidR="008143D9" w:rsidRPr="00C07B2E" w:rsidRDefault="008143D9" w:rsidP="005A428D">
            <w:r w:rsidRPr="00C07B2E">
              <w:rPr>
                <w:rFonts w:eastAsia="SimSun"/>
              </w:rPr>
              <w:t>В/в, в течение 30 - 60 мин</w:t>
            </w:r>
          </w:p>
        </w:tc>
      </w:tr>
      <w:tr w:rsidR="008143D9" w:rsidRPr="00C07B2E" w14:paraId="1EDCB4A5" w14:textId="77777777" w:rsidTr="005A428D">
        <w:trPr>
          <w:cantSplit/>
          <w:trHeight w:val="2123"/>
        </w:trPr>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E357033" w14:textId="77777777" w:rsidR="008143D9" w:rsidRPr="00C07B2E" w:rsidRDefault="008143D9" w:rsidP="005A428D"/>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31E4511" w14:textId="77777777" w:rsidR="008143D9" w:rsidRPr="00C07B2E" w:rsidRDefault="008143D9" w:rsidP="005A428D">
            <w:r w:rsidRPr="00C07B2E">
              <w:rPr>
                <w:rFonts w:eastAsia="SimSun"/>
              </w:rPr>
              <w:t>Бусульфан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B4C96A2" w14:textId="77777777" w:rsidR="008143D9" w:rsidRPr="00C07B2E" w:rsidRDefault="008143D9" w:rsidP="005A428D">
            <w:r w:rsidRPr="00C07B2E">
              <w:rPr>
                <w:rFonts w:eastAsia="SimSun"/>
              </w:rPr>
              <w:t>4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43BAF9F" w14:textId="77777777" w:rsidR="008143D9" w:rsidRPr="00C07B2E" w:rsidRDefault="008143D9" w:rsidP="005A428D">
            <w:r w:rsidRPr="00C07B2E">
              <w:rPr>
                <w:rFonts w:eastAsia="SimSun"/>
              </w:rPr>
              <w:t>12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0CD60D2" w14:textId="77777777" w:rsidR="008143D9" w:rsidRPr="00C07B2E" w:rsidRDefault="008143D9" w:rsidP="005A428D">
            <w:r w:rsidRPr="00C07B2E">
              <w:rPr>
                <w:rFonts w:eastAsia="SimSun"/>
                <w:lang w:val="en-US"/>
              </w:rPr>
              <w:t>-5, –4</w:t>
            </w:r>
            <w:r w:rsidRPr="00C07B2E">
              <w:rPr>
                <w:rFonts w:eastAsia="SimSun"/>
              </w:rPr>
              <w:t xml:space="preserve">, </w:t>
            </w:r>
            <w:r w:rsidRPr="00C07B2E">
              <w:rPr>
                <w:rFonts w:eastAsia="SimSun"/>
                <w:lang w:val="en-US"/>
              </w:rPr>
              <w:t>–3</w:t>
            </w:r>
            <w:r w:rsidRPr="00C07B2E">
              <w:rPr>
                <w:rFonts w:eastAsia="SimSun"/>
              </w:rPr>
              <w:t xml:space="preserve">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2082E15" w14:textId="77777777" w:rsidR="008143D9" w:rsidRPr="00C07B2E" w:rsidRDefault="008143D9" w:rsidP="005A428D">
            <w:r w:rsidRPr="00C07B2E">
              <w:rPr>
                <w:rFonts w:eastAsia="SimSun"/>
              </w:rPr>
              <w:t>Внутрь, суммарная суточная доза разделяется на 4 приема с интервалом 6 часов.</w:t>
            </w:r>
          </w:p>
        </w:tc>
      </w:tr>
      <w:tr w:rsidR="008143D9" w:rsidRPr="00C07B2E" w14:paraId="65161BE2" w14:textId="77777777" w:rsidTr="005A428D">
        <w:trPr>
          <w:cantSplit/>
          <w:trHeight w:val="20"/>
        </w:trPr>
        <w:tc>
          <w:tcPr>
            <w:tcW w:w="709"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140AEFB1" w14:textId="77777777" w:rsidR="008143D9" w:rsidRPr="00C07B2E" w:rsidRDefault="008143D9" w:rsidP="005A428D">
            <w:r w:rsidRPr="00C07B2E">
              <w:rPr>
                <w:rFonts w:eastAsia="SimSun"/>
              </w:rPr>
              <w:t>Профилактика РТПХ</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29A134D" w14:textId="77777777" w:rsidR="008143D9" w:rsidRPr="00C07B2E" w:rsidRDefault="008143D9" w:rsidP="005A428D">
            <w:r w:rsidRPr="00C07B2E">
              <w:rPr>
                <w:rFonts w:eastAsia="SimSun"/>
              </w:rPr>
              <w:t>Циклоспорин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BE314B6" w14:textId="77777777" w:rsidR="008143D9" w:rsidRPr="00C07B2E" w:rsidRDefault="008143D9" w:rsidP="005A428D">
            <w:r w:rsidRPr="00C07B2E">
              <w:rPr>
                <w:rFonts w:eastAsia="SimSun"/>
              </w:rPr>
              <w:t>3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19E7C9D" w14:textId="77777777" w:rsidR="008143D9" w:rsidRPr="00C07B2E" w:rsidRDefault="008143D9" w:rsidP="005A428D">
            <w:r w:rsidRPr="00C07B2E">
              <w:rPr>
                <w:rFonts w:eastAsia="SimSun"/>
                <w:lang w:val="en-US"/>
              </w:rPr>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81F4C35" w14:textId="77777777" w:rsidR="008143D9" w:rsidRPr="00C07B2E" w:rsidRDefault="008143D9" w:rsidP="005A428D">
            <w:r w:rsidRPr="00C07B2E">
              <w:t>С +5 по +90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3BB5770" w14:textId="77777777" w:rsidR="008143D9" w:rsidRPr="000F445E" w:rsidRDefault="008143D9" w:rsidP="005A428D">
            <w:r w:rsidRPr="00C07B2E">
              <w:rPr>
                <w:rFonts w:eastAsia="SimSun"/>
              </w:rPr>
              <w:t xml:space="preserve">В/в, 5-часовая инфузия 2 раза/сут. </w:t>
            </w:r>
            <w:r w:rsidRPr="000F445E">
              <w:rPr>
                <w:rFonts w:eastAsia="SimSun"/>
              </w:rPr>
              <w:t>Перевод на прием внутрь при условии восстановления лейкоцитов &gt; 1</w:t>
            </w:r>
            <w:r w:rsidRPr="00C07B2E">
              <w:rPr>
                <w:rFonts w:eastAsia="SimSun"/>
              </w:rPr>
              <w:t> </w:t>
            </w:r>
            <w:r>
              <w:rPr>
                <w:rFonts w:eastAsia="SimSun"/>
              </w:rPr>
              <w:t>х</w:t>
            </w:r>
            <w:r w:rsidRPr="000F445E">
              <w:rPr>
                <w:rFonts w:eastAsia="SimSun"/>
              </w:rPr>
              <w:t xml:space="preserve"> 10</w:t>
            </w:r>
            <w:r w:rsidRPr="000F445E">
              <w:rPr>
                <w:rFonts w:eastAsia="SimSun"/>
                <w:vertAlign w:val="superscript"/>
              </w:rPr>
              <w:t>9</w:t>
            </w:r>
            <w:r w:rsidRPr="000F445E">
              <w:rPr>
                <w:rFonts w:eastAsia="SimSun"/>
              </w:rPr>
              <w:t>/л, при отсутствии тошноты, рвоты, диареи и возможности приема внутрь. Концентрация 150-350</w:t>
            </w:r>
            <w:r>
              <w:rPr>
                <w:rFonts w:eastAsia="SimSun"/>
              </w:rPr>
              <w:t xml:space="preserve"> </w:t>
            </w:r>
            <w:r w:rsidRPr="000F445E">
              <w:rPr>
                <w:rFonts w:eastAsia="SimSun"/>
              </w:rPr>
              <w:t>пг/мл.</w:t>
            </w:r>
          </w:p>
        </w:tc>
      </w:tr>
      <w:tr w:rsidR="008143D9" w:rsidRPr="00C07B2E" w14:paraId="1A4E6BCA" w14:textId="77777777" w:rsidTr="005A428D">
        <w:trPr>
          <w:cantSplit/>
          <w:trHeight w:val="20"/>
        </w:trPr>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C388FC9" w14:textId="77777777" w:rsidR="008143D9" w:rsidRPr="00C07B2E" w:rsidRDefault="008143D9" w:rsidP="005A428D"/>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0F0CDF6" w14:textId="77777777" w:rsidR="008143D9" w:rsidRPr="00C07B2E" w:rsidRDefault="008143D9" w:rsidP="005A428D">
            <w:r w:rsidRPr="00C07B2E">
              <w:rPr>
                <w:rFonts w:eastAsia="SimSun"/>
              </w:rPr>
              <w:t>Микофенолата мофетил</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11A3C31" w14:textId="77777777" w:rsidR="008143D9" w:rsidRPr="00C07B2E" w:rsidRDefault="008143D9" w:rsidP="005A428D">
            <w:r w:rsidRPr="00C07B2E">
              <w:t>45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6841E3D" w14:textId="77777777" w:rsidR="008143D9" w:rsidRPr="00C07B2E" w:rsidRDefault="008143D9" w:rsidP="005A428D">
            <w:r w:rsidRPr="00C07B2E">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588B624" w14:textId="77777777" w:rsidR="008143D9" w:rsidRPr="00C07B2E" w:rsidRDefault="008143D9" w:rsidP="005A428D">
            <w:r w:rsidRPr="00C07B2E">
              <w:t>С +5 по +30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8C074D2" w14:textId="77777777" w:rsidR="008143D9" w:rsidRPr="000F445E" w:rsidRDefault="008143D9" w:rsidP="005A428D">
            <w:r w:rsidRPr="000F445E">
              <w:rPr>
                <w:rFonts w:eastAsia="SimSun"/>
              </w:rPr>
              <w:t>Внутрь, суммарная суточная доза разделяется на 2- 4 приема (не более 3</w:t>
            </w:r>
            <w:r>
              <w:rPr>
                <w:rFonts w:eastAsia="SimSun"/>
              </w:rPr>
              <w:t xml:space="preserve"> </w:t>
            </w:r>
            <w:r w:rsidRPr="000F445E">
              <w:rPr>
                <w:rFonts w:eastAsia="SimSun"/>
              </w:rPr>
              <w:t>г/сут)</w:t>
            </w:r>
          </w:p>
        </w:tc>
      </w:tr>
      <w:tr w:rsidR="008143D9" w:rsidRPr="00C07B2E" w14:paraId="1BE0D5CD" w14:textId="77777777" w:rsidTr="005A428D">
        <w:trPr>
          <w:cantSplit/>
          <w:trHeight w:val="464"/>
        </w:trPr>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D89F382" w14:textId="77777777" w:rsidR="008143D9" w:rsidRPr="00C07B2E" w:rsidRDefault="008143D9" w:rsidP="005A428D"/>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04F94DF" w14:textId="77777777" w:rsidR="008143D9" w:rsidRPr="00C07B2E" w:rsidRDefault="008143D9" w:rsidP="005A428D">
            <w:r w:rsidRPr="00C07B2E">
              <w:rPr>
                <w:rFonts w:eastAsia="SimSun"/>
              </w:rPr>
              <w:t>Циклофосфамид</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80F1643" w14:textId="77777777" w:rsidR="008143D9" w:rsidRPr="00C07B2E" w:rsidRDefault="008143D9" w:rsidP="005A428D">
            <w:r w:rsidRPr="00C07B2E">
              <w:rPr>
                <w:rFonts w:eastAsia="SimSun"/>
              </w:rPr>
              <w:t>50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5D5EDB9" w14:textId="77777777" w:rsidR="008143D9" w:rsidRPr="00C07B2E" w:rsidRDefault="008143D9" w:rsidP="005A428D">
            <w:r w:rsidRPr="00C07B2E">
              <w:rPr>
                <w:rFonts w:eastAsia="SimSun"/>
              </w:rPr>
              <w:t>100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B0D7C77" w14:textId="77777777" w:rsidR="008143D9" w:rsidRPr="00C07B2E" w:rsidRDefault="008143D9" w:rsidP="005A428D">
            <w:r w:rsidRPr="00C07B2E">
              <w:rPr>
                <w:rFonts w:eastAsia="SimSun"/>
              </w:rPr>
              <w:t>+3, +4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F6CCC27" w14:textId="77777777" w:rsidR="008143D9" w:rsidRPr="00C07B2E" w:rsidRDefault="008143D9" w:rsidP="005A428D">
            <w:r w:rsidRPr="00C07B2E">
              <w:rPr>
                <w:rFonts w:eastAsia="SimSun"/>
              </w:rPr>
              <w:t xml:space="preserve">В/в, в течение 2 ч  </w:t>
            </w:r>
          </w:p>
        </w:tc>
      </w:tr>
    </w:tbl>
    <w:p w14:paraId="1B76E6F3" w14:textId="77777777" w:rsidR="008143D9" w:rsidRPr="00C07B2E" w:rsidRDefault="008143D9" w:rsidP="008143D9">
      <w:pPr>
        <w:rPr>
          <w:rFonts w:eastAsia="SimSun"/>
        </w:rPr>
      </w:pPr>
    </w:p>
    <w:p w14:paraId="3B86CB13" w14:textId="77777777" w:rsidR="008143D9" w:rsidRPr="00C07B2E" w:rsidRDefault="008143D9" w:rsidP="008143D9">
      <w:pPr>
        <w:rPr>
          <w:rFonts w:eastAsia="SimSun"/>
        </w:rPr>
      </w:pPr>
      <w:bookmarkStart w:id="113" w:name="_Toc44401147"/>
      <w:r w:rsidRPr="00042499">
        <w:rPr>
          <w:rFonts w:eastAsia="SimSun"/>
        </w:rPr>
        <w:t>Таблица</w:t>
      </w:r>
      <w:r w:rsidRPr="00C07B2E">
        <w:rPr>
          <w:rFonts w:eastAsia="SimSun"/>
        </w:rPr>
        <w:t xml:space="preserve"> </w:t>
      </w:r>
      <w:r>
        <w:rPr>
          <w:rFonts w:eastAsia="SimSun"/>
        </w:rPr>
        <w:t>5</w:t>
      </w:r>
      <w:r w:rsidRPr="00C07B2E">
        <w:rPr>
          <w:rFonts w:eastAsia="SimSun"/>
        </w:rPr>
        <w:t>.1.1.4  – Flu180+Bu12 / Tx+MMF30</w:t>
      </w:r>
      <w:bookmarkEnd w:id="113"/>
    </w:p>
    <w:tbl>
      <w:tblPr>
        <w:tblW w:w="935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843"/>
        <w:gridCol w:w="1417"/>
        <w:gridCol w:w="1418"/>
        <w:gridCol w:w="1701"/>
        <w:gridCol w:w="2268"/>
      </w:tblGrid>
      <w:tr w:rsidR="008143D9" w:rsidRPr="00C07B2E" w14:paraId="2AADCD81" w14:textId="77777777" w:rsidTr="005A428D">
        <w:trPr>
          <w:cantSplit/>
          <w:trHeight w:val="20"/>
          <w:tblHeader/>
          <w:jc w:val="right"/>
        </w:trPr>
        <w:tc>
          <w:tcPr>
            <w:tcW w:w="709" w:type="dxa"/>
            <w:vAlign w:val="center"/>
          </w:tcPr>
          <w:p w14:paraId="3D2966BA" w14:textId="77777777" w:rsidR="008143D9" w:rsidRPr="00C07B2E" w:rsidRDefault="008143D9" w:rsidP="005A428D">
            <w:pPr>
              <w:rPr>
                <w:rFonts w:eastAsia="SimSun"/>
              </w:rPr>
            </w:pPr>
          </w:p>
        </w:tc>
        <w:tc>
          <w:tcPr>
            <w:tcW w:w="1843" w:type="dxa"/>
            <w:vAlign w:val="center"/>
          </w:tcPr>
          <w:p w14:paraId="7856CAB4" w14:textId="77777777" w:rsidR="008143D9" w:rsidRPr="00C07B2E" w:rsidRDefault="008143D9" w:rsidP="005A428D">
            <w:pPr>
              <w:rPr>
                <w:rFonts w:eastAsia="SimSun"/>
              </w:rPr>
            </w:pPr>
            <w:r w:rsidRPr="00C07B2E">
              <w:rPr>
                <w:rFonts w:eastAsia="SimSun"/>
              </w:rPr>
              <w:t>Препарат</w:t>
            </w:r>
          </w:p>
        </w:tc>
        <w:tc>
          <w:tcPr>
            <w:tcW w:w="1417" w:type="dxa"/>
            <w:vAlign w:val="center"/>
          </w:tcPr>
          <w:p w14:paraId="34AB5321" w14:textId="77777777" w:rsidR="008143D9" w:rsidRPr="00C07B2E" w:rsidRDefault="008143D9" w:rsidP="005A428D">
            <w:pPr>
              <w:rPr>
                <w:rFonts w:eastAsia="SimSun"/>
              </w:rPr>
            </w:pPr>
            <w:r w:rsidRPr="00C07B2E">
              <w:rPr>
                <w:rFonts w:eastAsia="SimSun"/>
              </w:rPr>
              <w:t>Суточная доза</w:t>
            </w:r>
          </w:p>
        </w:tc>
        <w:tc>
          <w:tcPr>
            <w:tcW w:w="1418" w:type="dxa"/>
            <w:vAlign w:val="center"/>
          </w:tcPr>
          <w:p w14:paraId="2BA0D6A8" w14:textId="77777777" w:rsidR="008143D9" w:rsidRPr="00C07B2E" w:rsidRDefault="008143D9" w:rsidP="005A428D">
            <w:pPr>
              <w:rPr>
                <w:rFonts w:eastAsia="SimSun"/>
              </w:rPr>
            </w:pPr>
            <w:r w:rsidRPr="00C07B2E">
              <w:rPr>
                <w:rFonts w:eastAsia="SimSun"/>
              </w:rPr>
              <w:t>Курсовая доза</w:t>
            </w:r>
          </w:p>
        </w:tc>
        <w:tc>
          <w:tcPr>
            <w:tcW w:w="1701" w:type="dxa"/>
            <w:vAlign w:val="center"/>
          </w:tcPr>
          <w:p w14:paraId="5457B150" w14:textId="77777777" w:rsidR="008143D9" w:rsidRPr="00C07B2E" w:rsidRDefault="008143D9" w:rsidP="005A428D">
            <w:pPr>
              <w:rPr>
                <w:rFonts w:eastAsia="SimSun"/>
              </w:rPr>
            </w:pPr>
            <w:r w:rsidRPr="00C07B2E">
              <w:rPr>
                <w:rFonts w:eastAsia="SimSun"/>
              </w:rPr>
              <w:t>Дни введения</w:t>
            </w:r>
          </w:p>
        </w:tc>
        <w:tc>
          <w:tcPr>
            <w:tcW w:w="2268" w:type="dxa"/>
            <w:vAlign w:val="center"/>
          </w:tcPr>
          <w:p w14:paraId="433A3270" w14:textId="77777777" w:rsidR="008143D9" w:rsidRPr="00C07B2E" w:rsidRDefault="008143D9" w:rsidP="005A428D">
            <w:pPr>
              <w:rPr>
                <w:rFonts w:eastAsia="SimSun"/>
              </w:rPr>
            </w:pPr>
            <w:r w:rsidRPr="00C07B2E">
              <w:rPr>
                <w:rFonts w:eastAsia="SimSun"/>
              </w:rPr>
              <w:t>Порядок введения</w:t>
            </w:r>
          </w:p>
        </w:tc>
      </w:tr>
      <w:tr w:rsidR="008143D9" w:rsidRPr="00C07B2E" w14:paraId="31E7B5C2" w14:textId="77777777" w:rsidTr="005A428D">
        <w:trPr>
          <w:cantSplit/>
          <w:trHeight w:val="20"/>
          <w:jc w:val="right"/>
        </w:trPr>
        <w:tc>
          <w:tcPr>
            <w:tcW w:w="709" w:type="dxa"/>
            <w:vMerge w:val="restart"/>
            <w:textDirection w:val="btLr"/>
            <w:vAlign w:val="center"/>
          </w:tcPr>
          <w:p w14:paraId="68B18708" w14:textId="77777777" w:rsidR="008143D9" w:rsidRPr="00C07B2E" w:rsidRDefault="008143D9" w:rsidP="005A428D">
            <w:pPr>
              <w:rPr>
                <w:rFonts w:eastAsia="SimSun"/>
              </w:rPr>
            </w:pPr>
            <w:r w:rsidRPr="00C07B2E">
              <w:rPr>
                <w:rFonts w:eastAsia="SimSun"/>
              </w:rPr>
              <w:t>Кондиционирование</w:t>
            </w:r>
          </w:p>
        </w:tc>
        <w:tc>
          <w:tcPr>
            <w:tcW w:w="1843" w:type="dxa"/>
            <w:vAlign w:val="center"/>
          </w:tcPr>
          <w:p w14:paraId="7D962E72" w14:textId="77777777" w:rsidR="008143D9" w:rsidRPr="00C07B2E" w:rsidRDefault="008143D9" w:rsidP="005A428D">
            <w:pPr>
              <w:rPr>
                <w:rFonts w:eastAsia="SimSun"/>
              </w:rPr>
            </w:pPr>
            <w:r w:rsidRPr="00C07B2E">
              <w:rPr>
                <w:rFonts w:eastAsia="SimSun"/>
              </w:rPr>
              <w:t xml:space="preserve">Флударабин </w:t>
            </w:r>
          </w:p>
        </w:tc>
        <w:tc>
          <w:tcPr>
            <w:tcW w:w="1417" w:type="dxa"/>
            <w:vAlign w:val="center"/>
          </w:tcPr>
          <w:p w14:paraId="0580C4E0" w14:textId="77777777" w:rsidR="008143D9" w:rsidRPr="00C07B2E" w:rsidRDefault="008143D9" w:rsidP="005A428D">
            <w:pPr>
              <w:rPr>
                <w:rFonts w:eastAsia="SimSun"/>
              </w:rPr>
            </w:pPr>
            <w:r w:rsidRPr="00C07B2E">
              <w:rPr>
                <w:rFonts w:eastAsia="SimSun"/>
              </w:rPr>
              <w:t>30 мг/</w:t>
            </w:r>
            <w:r w:rsidRPr="000F445E">
              <w:rPr>
                <w:rFonts w:eastAsia="SimSun"/>
              </w:rPr>
              <w:t>м</w:t>
            </w:r>
            <w:r w:rsidRPr="000F445E">
              <w:rPr>
                <w:rFonts w:eastAsia="SimSun"/>
                <w:vertAlign w:val="superscript"/>
              </w:rPr>
              <w:t>2</w:t>
            </w:r>
          </w:p>
        </w:tc>
        <w:tc>
          <w:tcPr>
            <w:tcW w:w="1418" w:type="dxa"/>
            <w:vAlign w:val="center"/>
          </w:tcPr>
          <w:p w14:paraId="380D89C9" w14:textId="77777777" w:rsidR="008143D9" w:rsidRPr="00C07B2E" w:rsidRDefault="008143D9" w:rsidP="005A428D">
            <w:pPr>
              <w:rPr>
                <w:rFonts w:eastAsia="SimSun"/>
              </w:rPr>
            </w:pPr>
            <w:r w:rsidRPr="00C07B2E">
              <w:rPr>
                <w:rFonts w:eastAsia="SimSun"/>
              </w:rPr>
              <w:t>180 мг/м</w:t>
            </w:r>
            <w:r w:rsidRPr="000F445E">
              <w:rPr>
                <w:rFonts w:eastAsia="SimSun"/>
                <w:vertAlign w:val="superscript"/>
              </w:rPr>
              <w:t>2</w:t>
            </w:r>
          </w:p>
        </w:tc>
        <w:tc>
          <w:tcPr>
            <w:tcW w:w="1701" w:type="dxa"/>
            <w:vAlign w:val="center"/>
          </w:tcPr>
          <w:p w14:paraId="7A6BB7A3" w14:textId="77777777" w:rsidR="008143D9" w:rsidRPr="00C07B2E" w:rsidRDefault="008143D9" w:rsidP="005A428D">
            <w:pPr>
              <w:rPr>
                <w:rFonts w:eastAsia="SimSun"/>
              </w:rPr>
            </w:pPr>
            <w:r w:rsidRPr="00C07B2E">
              <w:rPr>
                <w:rFonts w:eastAsia="SimSun"/>
              </w:rPr>
              <w:t>С -7 дня по -2 день</w:t>
            </w:r>
          </w:p>
        </w:tc>
        <w:tc>
          <w:tcPr>
            <w:tcW w:w="2268" w:type="dxa"/>
            <w:vAlign w:val="center"/>
          </w:tcPr>
          <w:p w14:paraId="1170DD55" w14:textId="77777777" w:rsidR="008143D9" w:rsidRPr="00C07B2E" w:rsidRDefault="008143D9" w:rsidP="005A428D">
            <w:pPr>
              <w:rPr>
                <w:rFonts w:eastAsia="SimSun"/>
              </w:rPr>
            </w:pPr>
            <w:r w:rsidRPr="00C07B2E">
              <w:rPr>
                <w:rFonts w:eastAsia="SimSun"/>
              </w:rPr>
              <w:t>В/в, в течение 30 - 60 мин</w:t>
            </w:r>
          </w:p>
        </w:tc>
      </w:tr>
      <w:tr w:rsidR="008143D9" w:rsidRPr="00C07B2E" w14:paraId="21B50A90" w14:textId="77777777" w:rsidTr="005A428D">
        <w:trPr>
          <w:cantSplit/>
          <w:trHeight w:val="1207"/>
          <w:jc w:val="right"/>
        </w:trPr>
        <w:tc>
          <w:tcPr>
            <w:tcW w:w="709" w:type="dxa"/>
            <w:vMerge/>
            <w:vAlign w:val="center"/>
          </w:tcPr>
          <w:p w14:paraId="2134AFF1" w14:textId="77777777" w:rsidR="008143D9" w:rsidRPr="00C07B2E" w:rsidRDefault="008143D9" w:rsidP="005A428D">
            <w:pPr>
              <w:rPr>
                <w:rFonts w:eastAsia="SimSun"/>
              </w:rPr>
            </w:pPr>
          </w:p>
        </w:tc>
        <w:tc>
          <w:tcPr>
            <w:tcW w:w="1843" w:type="dxa"/>
            <w:vAlign w:val="center"/>
          </w:tcPr>
          <w:p w14:paraId="7D4E6991" w14:textId="77777777" w:rsidR="008143D9" w:rsidRPr="00C07B2E" w:rsidRDefault="008143D9" w:rsidP="005A428D">
            <w:pPr>
              <w:rPr>
                <w:rFonts w:eastAsia="SimSun"/>
              </w:rPr>
            </w:pPr>
            <w:r w:rsidRPr="00C07B2E">
              <w:rPr>
                <w:rFonts w:eastAsia="SimSun"/>
              </w:rPr>
              <w:t>Бусульфан</w:t>
            </w:r>
          </w:p>
        </w:tc>
        <w:tc>
          <w:tcPr>
            <w:tcW w:w="1417" w:type="dxa"/>
            <w:vAlign w:val="center"/>
          </w:tcPr>
          <w:p w14:paraId="4434E8A5" w14:textId="77777777" w:rsidR="008143D9" w:rsidRPr="00C07B2E" w:rsidRDefault="008143D9" w:rsidP="005A428D">
            <w:pPr>
              <w:rPr>
                <w:rFonts w:eastAsia="SimSun"/>
              </w:rPr>
            </w:pPr>
            <w:r w:rsidRPr="00C07B2E">
              <w:rPr>
                <w:rFonts w:eastAsia="SimSun"/>
              </w:rPr>
              <w:t xml:space="preserve">4 мг/кг </w:t>
            </w:r>
          </w:p>
        </w:tc>
        <w:tc>
          <w:tcPr>
            <w:tcW w:w="1418" w:type="dxa"/>
            <w:vAlign w:val="center"/>
          </w:tcPr>
          <w:p w14:paraId="3CCDDD48" w14:textId="77777777" w:rsidR="008143D9" w:rsidRPr="00C07B2E" w:rsidRDefault="008143D9" w:rsidP="005A428D">
            <w:pPr>
              <w:rPr>
                <w:rFonts w:eastAsia="SimSun"/>
              </w:rPr>
            </w:pPr>
            <w:r w:rsidRPr="00C07B2E">
              <w:rPr>
                <w:rFonts w:eastAsia="SimSun"/>
                <w:lang w:val="en-US"/>
              </w:rPr>
              <w:t>12</w:t>
            </w:r>
            <w:r w:rsidRPr="00C07B2E">
              <w:rPr>
                <w:rFonts w:eastAsia="SimSun"/>
              </w:rPr>
              <w:t xml:space="preserve"> мг/кг </w:t>
            </w:r>
          </w:p>
        </w:tc>
        <w:tc>
          <w:tcPr>
            <w:tcW w:w="1701" w:type="dxa"/>
            <w:vAlign w:val="center"/>
          </w:tcPr>
          <w:p w14:paraId="40AED6BE" w14:textId="77777777" w:rsidR="008143D9" w:rsidRPr="00C07B2E" w:rsidRDefault="008143D9" w:rsidP="005A428D">
            <w:pPr>
              <w:rPr>
                <w:rFonts w:eastAsia="SimSun"/>
              </w:rPr>
            </w:pPr>
            <w:r w:rsidRPr="00C07B2E">
              <w:rPr>
                <w:rFonts w:eastAsia="SimSun"/>
              </w:rPr>
              <w:t>С -</w:t>
            </w:r>
            <w:r w:rsidRPr="00C07B2E">
              <w:rPr>
                <w:rFonts w:eastAsia="SimSun"/>
                <w:lang w:val="en-US"/>
              </w:rPr>
              <w:t>5</w:t>
            </w:r>
            <w:r w:rsidRPr="00C07B2E">
              <w:rPr>
                <w:rFonts w:eastAsia="SimSun"/>
              </w:rPr>
              <w:t xml:space="preserve"> дня по -3 день</w:t>
            </w:r>
          </w:p>
        </w:tc>
        <w:tc>
          <w:tcPr>
            <w:tcW w:w="2268" w:type="dxa"/>
            <w:vAlign w:val="center"/>
          </w:tcPr>
          <w:p w14:paraId="0E710AB9" w14:textId="77777777" w:rsidR="008143D9" w:rsidRPr="00C07B2E" w:rsidRDefault="008143D9" w:rsidP="005A428D">
            <w:pPr>
              <w:rPr>
                <w:rFonts w:eastAsia="SimSun"/>
              </w:rPr>
            </w:pPr>
            <w:r w:rsidRPr="00C07B2E">
              <w:rPr>
                <w:rFonts w:eastAsia="SimSun"/>
              </w:rPr>
              <w:t xml:space="preserve">Внутрь, суммарная суточная доза разделяется на 4 приема с интервалом 6 часов. </w:t>
            </w:r>
          </w:p>
        </w:tc>
      </w:tr>
      <w:tr w:rsidR="008143D9" w:rsidRPr="00C07B2E" w14:paraId="3B743BFE" w14:textId="77777777" w:rsidTr="005A428D">
        <w:trPr>
          <w:cantSplit/>
          <w:trHeight w:val="1498"/>
          <w:jc w:val="right"/>
        </w:trPr>
        <w:tc>
          <w:tcPr>
            <w:tcW w:w="709" w:type="dxa"/>
            <w:vMerge w:val="restart"/>
            <w:textDirection w:val="btLr"/>
            <w:vAlign w:val="center"/>
          </w:tcPr>
          <w:p w14:paraId="3963085C" w14:textId="77777777" w:rsidR="008143D9" w:rsidRPr="00C07B2E" w:rsidRDefault="008143D9" w:rsidP="005A428D">
            <w:pPr>
              <w:rPr>
                <w:rFonts w:eastAsia="SimSun"/>
              </w:rPr>
            </w:pPr>
            <w:r w:rsidRPr="00C07B2E">
              <w:rPr>
                <w:rFonts w:eastAsia="SimSun"/>
              </w:rPr>
              <w:t>Профилактика РТПХ</w:t>
            </w:r>
          </w:p>
        </w:tc>
        <w:tc>
          <w:tcPr>
            <w:tcW w:w="1843" w:type="dxa"/>
            <w:vAlign w:val="center"/>
          </w:tcPr>
          <w:p w14:paraId="2744874B" w14:textId="77777777" w:rsidR="008143D9" w:rsidRPr="00C07B2E" w:rsidRDefault="008143D9" w:rsidP="005A428D">
            <w:pPr>
              <w:rPr>
                <w:rFonts w:eastAsia="SimSun"/>
              </w:rPr>
            </w:pPr>
            <w:r w:rsidRPr="00C07B2E">
              <w:rPr>
                <w:rFonts w:eastAsia="SimSun"/>
              </w:rPr>
              <w:t xml:space="preserve">Такролимус </w:t>
            </w:r>
          </w:p>
        </w:tc>
        <w:tc>
          <w:tcPr>
            <w:tcW w:w="1417" w:type="dxa"/>
            <w:vAlign w:val="center"/>
          </w:tcPr>
          <w:p w14:paraId="0B0701DF" w14:textId="77777777" w:rsidR="008143D9" w:rsidRPr="00C07B2E" w:rsidRDefault="008143D9" w:rsidP="005A428D">
            <w:pPr>
              <w:rPr>
                <w:rFonts w:eastAsia="SimSun"/>
              </w:rPr>
            </w:pPr>
            <w:r w:rsidRPr="00C07B2E">
              <w:rPr>
                <w:rFonts w:eastAsia="SimSun"/>
              </w:rPr>
              <w:t>0,03 мг/кг</w:t>
            </w:r>
          </w:p>
        </w:tc>
        <w:tc>
          <w:tcPr>
            <w:tcW w:w="1418" w:type="dxa"/>
            <w:vAlign w:val="center"/>
          </w:tcPr>
          <w:p w14:paraId="26DF6F47" w14:textId="77777777" w:rsidR="008143D9" w:rsidRPr="00C07B2E" w:rsidRDefault="008143D9" w:rsidP="005A428D">
            <w:pPr>
              <w:rPr>
                <w:rFonts w:eastAsia="SimSun"/>
              </w:rPr>
            </w:pPr>
            <w:r w:rsidRPr="00C07B2E">
              <w:rPr>
                <w:rFonts w:eastAsia="SimSun"/>
                <w:lang w:val="en-US"/>
              </w:rPr>
              <w:t>–</w:t>
            </w:r>
          </w:p>
        </w:tc>
        <w:tc>
          <w:tcPr>
            <w:tcW w:w="1701" w:type="dxa"/>
            <w:vAlign w:val="center"/>
          </w:tcPr>
          <w:p w14:paraId="64BCB129" w14:textId="77777777" w:rsidR="008143D9" w:rsidRPr="00C07B2E" w:rsidRDefault="008143D9" w:rsidP="005A428D">
            <w:pPr>
              <w:rPr>
                <w:rFonts w:eastAsia="SimSun"/>
              </w:rPr>
            </w:pPr>
            <w:r w:rsidRPr="00C07B2E">
              <w:rPr>
                <w:rFonts w:eastAsia="SimSun"/>
              </w:rPr>
              <w:t xml:space="preserve">С </w:t>
            </w:r>
            <w:r w:rsidRPr="00C07B2E">
              <w:rPr>
                <w:rFonts w:eastAsia="SimSun"/>
                <w:lang w:val="en-US"/>
              </w:rPr>
              <w:t>-1</w:t>
            </w:r>
            <w:r w:rsidRPr="00C07B2E">
              <w:rPr>
                <w:rFonts w:eastAsia="SimSun"/>
              </w:rPr>
              <w:t xml:space="preserve"> дня длительно </w:t>
            </w:r>
          </w:p>
        </w:tc>
        <w:tc>
          <w:tcPr>
            <w:tcW w:w="2268" w:type="dxa"/>
            <w:vAlign w:val="center"/>
          </w:tcPr>
          <w:p w14:paraId="35E55ED7" w14:textId="77777777" w:rsidR="008143D9" w:rsidRPr="000F445E" w:rsidRDefault="008143D9" w:rsidP="005A428D">
            <w:pPr>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Перевод на прием внутрь при условии восстановления лейкоцитов &gt; 1</w:t>
            </w:r>
            <w:r w:rsidRPr="00C07B2E">
              <w:rPr>
                <w:rFonts w:eastAsia="SimSun"/>
              </w:rPr>
              <w:t> </w:t>
            </w:r>
            <w:r>
              <w:rPr>
                <w:rFonts w:eastAsia="SimSun"/>
              </w:rPr>
              <w:t xml:space="preserve">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lang w:val="en-US"/>
              </w:rPr>
              <w:t>Tx</w:t>
            </w:r>
            <w:r w:rsidRPr="000F445E">
              <w:rPr>
                <w:rFonts w:eastAsia="SimSun"/>
              </w:rPr>
              <w:t xml:space="preserve"> 5-15 нг/мл.    </w:t>
            </w:r>
          </w:p>
        </w:tc>
      </w:tr>
      <w:tr w:rsidR="008143D9" w:rsidRPr="00C07B2E" w14:paraId="0B3B7734" w14:textId="77777777" w:rsidTr="005A428D">
        <w:trPr>
          <w:cantSplit/>
          <w:trHeight w:val="2381"/>
          <w:jc w:val="right"/>
        </w:trPr>
        <w:tc>
          <w:tcPr>
            <w:tcW w:w="709" w:type="dxa"/>
            <w:vMerge/>
            <w:textDirection w:val="btLr"/>
            <w:vAlign w:val="center"/>
          </w:tcPr>
          <w:p w14:paraId="752E4999" w14:textId="77777777" w:rsidR="008143D9" w:rsidRPr="000F445E" w:rsidRDefault="008143D9" w:rsidP="005A428D">
            <w:pPr>
              <w:rPr>
                <w:rFonts w:eastAsia="SimSun"/>
              </w:rPr>
            </w:pPr>
          </w:p>
        </w:tc>
        <w:tc>
          <w:tcPr>
            <w:tcW w:w="1843" w:type="dxa"/>
            <w:vAlign w:val="center"/>
          </w:tcPr>
          <w:p w14:paraId="0BCA79FB" w14:textId="77777777" w:rsidR="008143D9" w:rsidRPr="00C07B2E" w:rsidRDefault="008143D9" w:rsidP="005A428D">
            <w:pPr>
              <w:rPr>
                <w:rFonts w:eastAsia="SimSun"/>
              </w:rPr>
            </w:pPr>
            <w:r w:rsidRPr="00C07B2E">
              <w:rPr>
                <w:rFonts w:eastAsia="SimSun"/>
              </w:rPr>
              <w:t>Микофенолата мофетил</w:t>
            </w:r>
          </w:p>
        </w:tc>
        <w:tc>
          <w:tcPr>
            <w:tcW w:w="1417" w:type="dxa"/>
            <w:vAlign w:val="center"/>
          </w:tcPr>
          <w:p w14:paraId="71B64E59" w14:textId="77777777" w:rsidR="008143D9" w:rsidRPr="00C07B2E" w:rsidRDefault="008143D9" w:rsidP="005A428D">
            <w:pPr>
              <w:rPr>
                <w:rFonts w:eastAsia="SimSun"/>
              </w:rPr>
            </w:pPr>
            <w:r w:rsidRPr="00C07B2E">
              <w:rPr>
                <w:rFonts w:eastAsia="SimSun"/>
              </w:rPr>
              <w:t xml:space="preserve">30 мг/кг </w:t>
            </w:r>
          </w:p>
        </w:tc>
        <w:tc>
          <w:tcPr>
            <w:tcW w:w="1418" w:type="dxa"/>
            <w:vAlign w:val="center"/>
          </w:tcPr>
          <w:p w14:paraId="79E8A710" w14:textId="77777777" w:rsidR="008143D9" w:rsidRPr="00C07B2E" w:rsidRDefault="008143D9" w:rsidP="005A428D">
            <w:pPr>
              <w:rPr>
                <w:rFonts w:eastAsia="SimSun"/>
              </w:rPr>
            </w:pPr>
            <w:r w:rsidRPr="00C07B2E">
              <w:rPr>
                <w:rFonts w:eastAsia="SimSun"/>
              </w:rPr>
              <w:t>–</w:t>
            </w:r>
          </w:p>
        </w:tc>
        <w:tc>
          <w:tcPr>
            <w:tcW w:w="1701" w:type="dxa"/>
            <w:vAlign w:val="center"/>
          </w:tcPr>
          <w:p w14:paraId="6D5DFF08" w14:textId="77777777" w:rsidR="008143D9" w:rsidRPr="00C07B2E" w:rsidRDefault="008143D9" w:rsidP="005A428D">
            <w:pPr>
              <w:rPr>
                <w:rFonts w:eastAsia="SimSun"/>
              </w:rPr>
            </w:pPr>
            <w:r w:rsidRPr="00C07B2E">
              <w:rPr>
                <w:rFonts w:eastAsia="SimSun"/>
              </w:rPr>
              <w:t xml:space="preserve">С </w:t>
            </w:r>
            <w:r w:rsidRPr="00C07B2E">
              <w:rPr>
                <w:rFonts w:eastAsia="SimSun"/>
                <w:lang w:val="en-US"/>
              </w:rPr>
              <w:t>-1</w:t>
            </w:r>
            <w:r w:rsidRPr="00C07B2E">
              <w:rPr>
                <w:rFonts w:eastAsia="SimSun"/>
              </w:rPr>
              <w:t xml:space="preserve"> дня по +3</w:t>
            </w:r>
            <w:r w:rsidRPr="00C07B2E">
              <w:rPr>
                <w:rFonts w:eastAsia="SimSun"/>
                <w:lang w:val="en-US"/>
              </w:rPr>
              <w:t>0</w:t>
            </w:r>
            <w:r w:rsidRPr="00C07B2E">
              <w:rPr>
                <w:rFonts w:eastAsia="SimSun"/>
              </w:rPr>
              <w:t xml:space="preserve"> день </w:t>
            </w:r>
          </w:p>
        </w:tc>
        <w:tc>
          <w:tcPr>
            <w:tcW w:w="2268" w:type="dxa"/>
            <w:vAlign w:val="center"/>
          </w:tcPr>
          <w:p w14:paraId="4A0DB73D" w14:textId="77777777" w:rsidR="008143D9" w:rsidRPr="00C07B2E" w:rsidRDefault="008143D9" w:rsidP="005A428D">
            <w:pPr>
              <w:ind w:right="-138"/>
              <w:rPr>
                <w:rFonts w:eastAsia="SimSun"/>
              </w:rPr>
            </w:pPr>
            <w:r w:rsidRPr="00C07B2E">
              <w:rPr>
                <w:rFonts w:eastAsia="SimSun"/>
              </w:rPr>
              <w:t>Внутрь, суммарная суточная доза разделяется на 2- 4 приема (не более 3г/сут)</w:t>
            </w:r>
          </w:p>
        </w:tc>
      </w:tr>
    </w:tbl>
    <w:p w14:paraId="0358C9C8" w14:textId="77777777" w:rsidR="008143D9" w:rsidRPr="00C07B2E" w:rsidRDefault="008143D9" w:rsidP="008143D9">
      <w:pPr>
        <w:rPr>
          <w:rFonts w:eastAsia="SimSun"/>
        </w:rPr>
        <w:sectPr w:rsidR="008143D9" w:rsidRPr="00C07B2E" w:rsidSect="00980822">
          <w:type w:val="continuous"/>
          <w:pgSz w:w="11907" w:h="16839" w:code="9"/>
          <w:pgMar w:top="1134" w:right="850" w:bottom="1134" w:left="1701" w:header="709" w:footer="567" w:gutter="0"/>
          <w:cols w:space="708"/>
          <w:docGrid w:linePitch="360"/>
        </w:sectPr>
      </w:pPr>
    </w:p>
    <w:p w14:paraId="0041A081" w14:textId="77777777" w:rsidR="008143D9" w:rsidRDefault="008143D9" w:rsidP="008143D9">
      <w:pPr>
        <w:rPr>
          <w:rFonts w:eastAsia="SimSun"/>
        </w:rPr>
      </w:pPr>
      <w:bookmarkStart w:id="114" w:name="_Toc44401148"/>
    </w:p>
    <w:p w14:paraId="70B713BB" w14:textId="77777777" w:rsidR="008143D9" w:rsidRPr="00C07B2E" w:rsidRDefault="008143D9" w:rsidP="008143D9">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.1.1.5  – Flu180+Bu12 / PT-Cy</w:t>
      </w:r>
      <w:bookmarkEnd w:id="114"/>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843"/>
        <w:gridCol w:w="1417"/>
        <w:gridCol w:w="1337"/>
        <w:gridCol w:w="1701"/>
        <w:gridCol w:w="2268"/>
      </w:tblGrid>
      <w:tr w:rsidR="008143D9" w:rsidRPr="00C07B2E" w14:paraId="1A716E87" w14:textId="77777777" w:rsidTr="005A428D">
        <w:trPr>
          <w:cantSplit/>
          <w:trHeight w:val="20"/>
          <w:tblHeader/>
        </w:trPr>
        <w:tc>
          <w:tcPr>
            <w:tcW w:w="959" w:type="dxa"/>
            <w:vAlign w:val="center"/>
          </w:tcPr>
          <w:p w14:paraId="3A7CE6D8" w14:textId="77777777" w:rsidR="008143D9" w:rsidRPr="00980822" w:rsidRDefault="008143D9" w:rsidP="005A428D">
            <w:pPr>
              <w:ind w:firstLine="98"/>
              <w:rPr>
                <w:rFonts w:eastAsia="SimSun"/>
              </w:rPr>
            </w:pPr>
          </w:p>
        </w:tc>
        <w:tc>
          <w:tcPr>
            <w:tcW w:w="1843" w:type="dxa"/>
            <w:vAlign w:val="center"/>
          </w:tcPr>
          <w:p w14:paraId="64B0C2B6" w14:textId="77777777" w:rsidR="008143D9" w:rsidRPr="00C07B2E" w:rsidRDefault="008143D9" w:rsidP="005A428D">
            <w:pPr>
              <w:ind w:firstLine="98"/>
              <w:rPr>
                <w:rFonts w:eastAsia="SimSun"/>
              </w:rPr>
            </w:pPr>
            <w:r w:rsidRPr="00C07B2E">
              <w:rPr>
                <w:rFonts w:eastAsia="SimSun"/>
              </w:rPr>
              <w:t>Препарат</w:t>
            </w:r>
          </w:p>
        </w:tc>
        <w:tc>
          <w:tcPr>
            <w:tcW w:w="1417" w:type="dxa"/>
            <w:vAlign w:val="center"/>
          </w:tcPr>
          <w:p w14:paraId="6C2A9C94" w14:textId="77777777" w:rsidR="008143D9" w:rsidRPr="00C07B2E" w:rsidRDefault="008143D9" w:rsidP="005A428D">
            <w:pPr>
              <w:ind w:firstLine="98"/>
              <w:rPr>
                <w:rFonts w:eastAsia="SimSun"/>
              </w:rPr>
            </w:pPr>
            <w:r w:rsidRPr="00C07B2E">
              <w:rPr>
                <w:rFonts w:eastAsia="SimSun"/>
              </w:rPr>
              <w:t>Суточная доза</w:t>
            </w:r>
          </w:p>
        </w:tc>
        <w:tc>
          <w:tcPr>
            <w:tcW w:w="1337" w:type="dxa"/>
            <w:vAlign w:val="center"/>
          </w:tcPr>
          <w:p w14:paraId="39C5B926" w14:textId="77777777" w:rsidR="008143D9" w:rsidRPr="00C07B2E" w:rsidRDefault="008143D9" w:rsidP="005A428D">
            <w:pPr>
              <w:ind w:firstLine="98"/>
              <w:rPr>
                <w:rFonts w:eastAsia="SimSun"/>
              </w:rPr>
            </w:pPr>
            <w:r w:rsidRPr="00C07B2E">
              <w:rPr>
                <w:rFonts w:eastAsia="SimSun"/>
              </w:rPr>
              <w:t>Курсовая доза</w:t>
            </w:r>
          </w:p>
        </w:tc>
        <w:tc>
          <w:tcPr>
            <w:tcW w:w="1701" w:type="dxa"/>
            <w:vAlign w:val="center"/>
          </w:tcPr>
          <w:p w14:paraId="715CC97C" w14:textId="77777777" w:rsidR="008143D9" w:rsidRPr="00C07B2E" w:rsidRDefault="008143D9" w:rsidP="005A428D">
            <w:pPr>
              <w:ind w:firstLine="98"/>
              <w:rPr>
                <w:rFonts w:eastAsia="SimSun"/>
              </w:rPr>
            </w:pPr>
            <w:r w:rsidRPr="00C07B2E">
              <w:rPr>
                <w:rFonts w:eastAsia="SimSun"/>
              </w:rPr>
              <w:t>Дни введения</w:t>
            </w:r>
          </w:p>
        </w:tc>
        <w:tc>
          <w:tcPr>
            <w:tcW w:w="2268" w:type="dxa"/>
            <w:vAlign w:val="center"/>
          </w:tcPr>
          <w:p w14:paraId="0FAA7C5B" w14:textId="77777777" w:rsidR="008143D9" w:rsidRPr="00C07B2E" w:rsidRDefault="008143D9" w:rsidP="005A428D">
            <w:pPr>
              <w:ind w:firstLine="98"/>
              <w:rPr>
                <w:rFonts w:eastAsia="SimSun"/>
              </w:rPr>
            </w:pPr>
            <w:r w:rsidRPr="00C07B2E">
              <w:rPr>
                <w:rFonts w:eastAsia="SimSun"/>
              </w:rPr>
              <w:t>Порядок введения</w:t>
            </w:r>
          </w:p>
        </w:tc>
      </w:tr>
      <w:tr w:rsidR="008143D9" w:rsidRPr="00C07B2E" w14:paraId="21F19D58" w14:textId="77777777" w:rsidTr="005A428D">
        <w:trPr>
          <w:cantSplit/>
          <w:trHeight w:val="20"/>
        </w:trPr>
        <w:tc>
          <w:tcPr>
            <w:tcW w:w="959" w:type="dxa"/>
            <w:vMerge w:val="restart"/>
            <w:textDirection w:val="btLr"/>
            <w:vAlign w:val="center"/>
          </w:tcPr>
          <w:p w14:paraId="0CA9DEC1" w14:textId="77777777" w:rsidR="008143D9" w:rsidRPr="00C07B2E" w:rsidRDefault="008143D9" w:rsidP="005A428D">
            <w:pPr>
              <w:ind w:firstLine="98"/>
              <w:rPr>
                <w:rFonts w:eastAsia="SimSun"/>
              </w:rPr>
            </w:pPr>
            <w:r w:rsidRPr="00C07B2E">
              <w:rPr>
                <w:rFonts w:eastAsia="SimSun"/>
              </w:rPr>
              <w:t>Кондиционирование</w:t>
            </w:r>
          </w:p>
        </w:tc>
        <w:tc>
          <w:tcPr>
            <w:tcW w:w="1843" w:type="dxa"/>
            <w:vAlign w:val="center"/>
          </w:tcPr>
          <w:p w14:paraId="6BD33DF2" w14:textId="77777777" w:rsidR="008143D9" w:rsidRPr="00C07B2E" w:rsidRDefault="008143D9" w:rsidP="005A428D">
            <w:pPr>
              <w:ind w:firstLine="98"/>
              <w:rPr>
                <w:rFonts w:eastAsia="SimSun"/>
              </w:rPr>
            </w:pPr>
            <w:r w:rsidRPr="00C07B2E">
              <w:rPr>
                <w:rFonts w:eastAsia="SimSun"/>
              </w:rPr>
              <w:t xml:space="preserve">Флударабин </w:t>
            </w:r>
          </w:p>
        </w:tc>
        <w:tc>
          <w:tcPr>
            <w:tcW w:w="1417" w:type="dxa"/>
            <w:vAlign w:val="center"/>
          </w:tcPr>
          <w:p w14:paraId="21FC50B9" w14:textId="77777777" w:rsidR="008143D9" w:rsidRPr="00C07B2E" w:rsidRDefault="008143D9" w:rsidP="005A428D">
            <w:pPr>
              <w:ind w:firstLine="98"/>
              <w:rPr>
                <w:rFonts w:eastAsia="SimSun"/>
              </w:rPr>
            </w:pPr>
            <w:r w:rsidRPr="00C07B2E">
              <w:rPr>
                <w:rFonts w:eastAsia="SimSun"/>
              </w:rPr>
              <w:t>30 мг/м</w:t>
            </w:r>
            <w:r w:rsidRPr="000F445E">
              <w:rPr>
                <w:rFonts w:eastAsia="SimSun"/>
                <w:vertAlign w:val="superscript"/>
              </w:rPr>
              <w:t>2</w:t>
            </w:r>
          </w:p>
        </w:tc>
        <w:tc>
          <w:tcPr>
            <w:tcW w:w="1337" w:type="dxa"/>
            <w:vAlign w:val="center"/>
          </w:tcPr>
          <w:p w14:paraId="67B17A95" w14:textId="77777777" w:rsidR="008143D9" w:rsidRPr="00C07B2E" w:rsidRDefault="008143D9" w:rsidP="005A428D">
            <w:pPr>
              <w:ind w:firstLine="98"/>
              <w:rPr>
                <w:rFonts w:eastAsia="SimSun"/>
              </w:rPr>
            </w:pPr>
            <w:r w:rsidRPr="00C07B2E">
              <w:rPr>
                <w:rFonts w:eastAsia="SimSun"/>
              </w:rPr>
              <w:t>180 мг/м</w:t>
            </w:r>
            <w:r w:rsidRPr="000F445E">
              <w:rPr>
                <w:rFonts w:eastAsia="SimSun"/>
                <w:vertAlign w:val="superscript"/>
              </w:rPr>
              <w:t>2</w:t>
            </w:r>
          </w:p>
        </w:tc>
        <w:tc>
          <w:tcPr>
            <w:tcW w:w="1701" w:type="dxa"/>
            <w:vAlign w:val="center"/>
          </w:tcPr>
          <w:p w14:paraId="1EB89ADF" w14:textId="77777777" w:rsidR="008143D9" w:rsidRPr="00C07B2E" w:rsidRDefault="008143D9" w:rsidP="005A428D">
            <w:pPr>
              <w:ind w:firstLine="98"/>
              <w:rPr>
                <w:rFonts w:eastAsia="SimSun"/>
              </w:rPr>
            </w:pPr>
            <w:r w:rsidRPr="00C07B2E">
              <w:rPr>
                <w:rFonts w:eastAsia="SimSun"/>
              </w:rPr>
              <w:t>С -7 дня по -2 день</w:t>
            </w:r>
          </w:p>
        </w:tc>
        <w:tc>
          <w:tcPr>
            <w:tcW w:w="2268" w:type="dxa"/>
            <w:vAlign w:val="center"/>
          </w:tcPr>
          <w:p w14:paraId="2B1A1057" w14:textId="77777777" w:rsidR="008143D9" w:rsidRPr="00C07B2E" w:rsidRDefault="008143D9" w:rsidP="005A428D">
            <w:pPr>
              <w:ind w:firstLine="98"/>
              <w:rPr>
                <w:rFonts w:eastAsia="SimSun"/>
              </w:rPr>
            </w:pPr>
            <w:r w:rsidRPr="00C07B2E">
              <w:rPr>
                <w:rFonts w:eastAsia="SimSun"/>
              </w:rPr>
              <w:t>В/в, в течение 30 - 60 мин</w:t>
            </w:r>
          </w:p>
        </w:tc>
      </w:tr>
      <w:tr w:rsidR="008143D9" w:rsidRPr="00C07B2E" w14:paraId="38601FA5" w14:textId="77777777" w:rsidTr="005A428D">
        <w:trPr>
          <w:cantSplit/>
          <w:trHeight w:val="1207"/>
        </w:trPr>
        <w:tc>
          <w:tcPr>
            <w:tcW w:w="959" w:type="dxa"/>
            <w:vMerge/>
            <w:vAlign w:val="center"/>
          </w:tcPr>
          <w:p w14:paraId="4D2DF43D" w14:textId="77777777" w:rsidR="008143D9" w:rsidRPr="00C07B2E" w:rsidRDefault="008143D9" w:rsidP="005A428D">
            <w:pPr>
              <w:ind w:firstLine="98"/>
              <w:rPr>
                <w:rFonts w:eastAsia="SimSun"/>
              </w:rPr>
            </w:pPr>
          </w:p>
        </w:tc>
        <w:tc>
          <w:tcPr>
            <w:tcW w:w="1843" w:type="dxa"/>
            <w:vAlign w:val="center"/>
          </w:tcPr>
          <w:p w14:paraId="76FF95A2" w14:textId="77777777" w:rsidR="008143D9" w:rsidRPr="00C07B2E" w:rsidRDefault="008143D9" w:rsidP="005A428D">
            <w:pPr>
              <w:ind w:firstLine="98"/>
              <w:rPr>
                <w:rFonts w:eastAsia="SimSun"/>
              </w:rPr>
            </w:pPr>
            <w:r w:rsidRPr="00C07B2E">
              <w:rPr>
                <w:rFonts w:eastAsia="SimSun"/>
              </w:rPr>
              <w:t>Бусульфан</w:t>
            </w:r>
          </w:p>
        </w:tc>
        <w:tc>
          <w:tcPr>
            <w:tcW w:w="1417" w:type="dxa"/>
            <w:vAlign w:val="center"/>
          </w:tcPr>
          <w:p w14:paraId="461C6103" w14:textId="77777777" w:rsidR="008143D9" w:rsidRPr="00C07B2E" w:rsidRDefault="008143D9" w:rsidP="005A428D">
            <w:pPr>
              <w:ind w:firstLine="98"/>
              <w:rPr>
                <w:rFonts w:eastAsia="SimSun"/>
              </w:rPr>
            </w:pPr>
            <w:r w:rsidRPr="00C07B2E">
              <w:rPr>
                <w:rFonts w:eastAsia="SimSun"/>
              </w:rPr>
              <w:t xml:space="preserve">4 мг/кг </w:t>
            </w:r>
          </w:p>
        </w:tc>
        <w:tc>
          <w:tcPr>
            <w:tcW w:w="1337" w:type="dxa"/>
            <w:vAlign w:val="center"/>
          </w:tcPr>
          <w:p w14:paraId="49C27EFD" w14:textId="77777777" w:rsidR="008143D9" w:rsidRPr="00C07B2E" w:rsidRDefault="008143D9" w:rsidP="005A428D">
            <w:pPr>
              <w:ind w:firstLine="98"/>
              <w:rPr>
                <w:rFonts w:eastAsia="SimSun"/>
              </w:rPr>
            </w:pPr>
            <w:r w:rsidRPr="00C07B2E">
              <w:rPr>
                <w:rFonts w:eastAsia="SimSun"/>
                <w:lang w:val="en-US"/>
              </w:rPr>
              <w:t>12</w:t>
            </w:r>
            <w:r w:rsidRPr="00C07B2E">
              <w:rPr>
                <w:rFonts w:eastAsia="SimSun"/>
              </w:rPr>
              <w:t xml:space="preserve"> мг/кг </w:t>
            </w:r>
          </w:p>
        </w:tc>
        <w:tc>
          <w:tcPr>
            <w:tcW w:w="1701" w:type="dxa"/>
            <w:vAlign w:val="center"/>
          </w:tcPr>
          <w:p w14:paraId="458E9404" w14:textId="77777777" w:rsidR="008143D9" w:rsidRPr="00C07B2E" w:rsidRDefault="008143D9" w:rsidP="005A428D">
            <w:pPr>
              <w:ind w:firstLine="98"/>
              <w:rPr>
                <w:rFonts w:eastAsia="SimSun"/>
              </w:rPr>
            </w:pPr>
            <w:r w:rsidRPr="00C07B2E">
              <w:rPr>
                <w:rFonts w:eastAsia="SimSun"/>
              </w:rPr>
              <w:t>С -5 дня по -3 день</w:t>
            </w:r>
          </w:p>
        </w:tc>
        <w:tc>
          <w:tcPr>
            <w:tcW w:w="2268" w:type="dxa"/>
            <w:vAlign w:val="center"/>
          </w:tcPr>
          <w:p w14:paraId="09D12AB5" w14:textId="77777777" w:rsidR="008143D9" w:rsidRPr="00C07B2E" w:rsidRDefault="008143D9" w:rsidP="005A428D">
            <w:pPr>
              <w:ind w:firstLine="98"/>
              <w:rPr>
                <w:rFonts w:eastAsia="SimSun"/>
              </w:rPr>
            </w:pPr>
            <w:r w:rsidRPr="00C07B2E">
              <w:rPr>
                <w:rFonts w:eastAsia="SimSun"/>
              </w:rPr>
              <w:t>Внутрь, суммарная суточная доза разделяется на 4 приема с интервалом 6 часов.</w:t>
            </w:r>
          </w:p>
        </w:tc>
      </w:tr>
      <w:tr w:rsidR="008143D9" w:rsidRPr="00C07B2E" w14:paraId="7262048E" w14:textId="77777777" w:rsidTr="005A428D">
        <w:trPr>
          <w:cantSplit/>
          <w:trHeight w:val="1498"/>
        </w:trPr>
        <w:tc>
          <w:tcPr>
            <w:tcW w:w="959" w:type="dxa"/>
            <w:textDirection w:val="btLr"/>
            <w:vAlign w:val="center"/>
          </w:tcPr>
          <w:p w14:paraId="5AAAD821" w14:textId="77777777" w:rsidR="008143D9" w:rsidRPr="00C07B2E" w:rsidRDefault="008143D9" w:rsidP="005A428D">
            <w:pPr>
              <w:ind w:firstLine="98"/>
              <w:rPr>
                <w:rFonts w:eastAsia="SimSun"/>
              </w:rPr>
            </w:pPr>
            <w:r w:rsidRPr="00C07B2E">
              <w:rPr>
                <w:rFonts w:eastAsia="SimSun"/>
              </w:rPr>
              <w:t>Профилактика РТПХ</w:t>
            </w:r>
          </w:p>
        </w:tc>
        <w:tc>
          <w:tcPr>
            <w:tcW w:w="1843" w:type="dxa"/>
            <w:vAlign w:val="center"/>
          </w:tcPr>
          <w:p w14:paraId="67324600" w14:textId="77777777" w:rsidR="008143D9" w:rsidRPr="00C07B2E" w:rsidRDefault="008143D9" w:rsidP="005A428D">
            <w:pPr>
              <w:ind w:firstLine="98"/>
              <w:rPr>
                <w:rFonts w:eastAsia="SimSun"/>
              </w:rPr>
            </w:pPr>
            <w:r w:rsidRPr="00C07B2E">
              <w:rPr>
                <w:rFonts w:eastAsia="SimSun"/>
              </w:rPr>
              <w:t>Циклофосфамид</w:t>
            </w:r>
          </w:p>
        </w:tc>
        <w:tc>
          <w:tcPr>
            <w:tcW w:w="1417" w:type="dxa"/>
            <w:vAlign w:val="center"/>
          </w:tcPr>
          <w:p w14:paraId="0EB449F1" w14:textId="77777777" w:rsidR="008143D9" w:rsidRPr="00C07B2E" w:rsidRDefault="008143D9" w:rsidP="005A428D">
            <w:pPr>
              <w:ind w:firstLine="98"/>
              <w:rPr>
                <w:rFonts w:eastAsia="SimSun"/>
              </w:rPr>
            </w:pPr>
            <w:r w:rsidRPr="00C07B2E">
              <w:rPr>
                <w:rFonts w:eastAsia="SimSun"/>
              </w:rPr>
              <w:t>50 мг/кг</w:t>
            </w:r>
          </w:p>
        </w:tc>
        <w:tc>
          <w:tcPr>
            <w:tcW w:w="1337" w:type="dxa"/>
            <w:vAlign w:val="center"/>
          </w:tcPr>
          <w:p w14:paraId="35855128" w14:textId="77777777" w:rsidR="008143D9" w:rsidRPr="00C07B2E" w:rsidRDefault="008143D9" w:rsidP="005A428D">
            <w:pPr>
              <w:ind w:firstLine="98"/>
              <w:rPr>
                <w:rFonts w:eastAsia="SimSun"/>
              </w:rPr>
            </w:pPr>
            <w:r w:rsidRPr="00C07B2E">
              <w:rPr>
                <w:rFonts w:eastAsia="SimSun"/>
              </w:rPr>
              <w:t>100 мг/кг</w:t>
            </w:r>
          </w:p>
        </w:tc>
        <w:tc>
          <w:tcPr>
            <w:tcW w:w="1701" w:type="dxa"/>
            <w:vAlign w:val="center"/>
          </w:tcPr>
          <w:p w14:paraId="5687449F" w14:textId="77777777" w:rsidR="008143D9" w:rsidRPr="00C07B2E" w:rsidRDefault="008143D9" w:rsidP="005A428D">
            <w:pPr>
              <w:ind w:firstLine="98"/>
              <w:rPr>
                <w:rFonts w:eastAsia="SimSun"/>
              </w:rPr>
            </w:pPr>
            <w:r w:rsidRPr="00C07B2E">
              <w:rPr>
                <w:rFonts w:eastAsia="SimSun"/>
              </w:rPr>
              <w:t>С +3 дня по +4 день</w:t>
            </w:r>
          </w:p>
        </w:tc>
        <w:tc>
          <w:tcPr>
            <w:tcW w:w="2268" w:type="dxa"/>
            <w:vAlign w:val="center"/>
          </w:tcPr>
          <w:p w14:paraId="1E60607B" w14:textId="77777777" w:rsidR="008143D9" w:rsidRPr="00C07B2E" w:rsidRDefault="008143D9" w:rsidP="005A428D">
            <w:pPr>
              <w:ind w:firstLine="98"/>
              <w:rPr>
                <w:rFonts w:eastAsia="SimSun"/>
              </w:rPr>
            </w:pPr>
            <w:r w:rsidRPr="00C07B2E">
              <w:rPr>
                <w:rFonts w:eastAsia="SimSun"/>
              </w:rPr>
              <w:t xml:space="preserve">В/в, в течение 2 ч  </w:t>
            </w:r>
          </w:p>
        </w:tc>
      </w:tr>
    </w:tbl>
    <w:p w14:paraId="3555AC6E" w14:textId="77777777" w:rsidR="008143D9" w:rsidRPr="00C07B2E" w:rsidRDefault="008143D9" w:rsidP="008143D9">
      <w:pPr>
        <w:rPr>
          <w:rFonts w:eastAsia="SimSun"/>
        </w:rPr>
      </w:pPr>
    </w:p>
    <w:p w14:paraId="32C4C0B8" w14:textId="77777777" w:rsidR="008143D9" w:rsidRPr="00C07B2E" w:rsidRDefault="008143D9" w:rsidP="008143D9">
      <w:pPr>
        <w:rPr>
          <w:rFonts w:eastAsia="SimSun"/>
        </w:rPr>
      </w:pPr>
      <w:r w:rsidRPr="00C07B2E">
        <w:rPr>
          <w:rFonts w:eastAsia="SimSun"/>
        </w:rPr>
        <w:tab/>
      </w:r>
    </w:p>
    <w:p w14:paraId="412214A2" w14:textId="77777777" w:rsidR="008143D9" w:rsidRPr="00C07B2E" w:rsidRDefault="008143D9" w:rsidP="008143D9">
      <w:pPr>
        <w:rPr>
          <w:rFonts w:eastAsia="SimSun"/>
        </w:rPr>
      </w:pPr>
      <w:bookmarkStart w:id="115" w:name="_Toc44401149"/>
      <w:r w:rsidRPr="00042499">
        <w:rPr>
          <w:rFonts w:eastAsia="SimSun"/>
        </w:rPr>
        <w:t>Таблица</w:t>
      </w:r>
      <w:r w:rsidRPr="00C07B2E">
        <w:rPr>
          <w:rFonts w:eastAsia="SimSun"/>
        </w:rPr>
        <w:t xml:space="preserve"> </w:t>
      </w:r>
      <w:r>
        <w:rPr>
          <w:rFonts w:eastAsia="SimSun"/>
        </w:rPr>
        <w:t>5</w:t>
      </w:r>
      <w:r w:rsidRPr="00C07B2E">
        <w:rPr>
          <w:rFonts w:eastAsia="SimSun"/>
        </w:rPr>
        <w:t>.1.1.6  – Flu180+Bu12 / PT-Cy+Tx+MMF30</w:t>
      </w:r>
      <w:bookmarkEnd w:id="115"/>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8143D9" w:rsidRPr="00C07B2E" w14:paraId="7D600471" w14:textId="77777777" w:rsidTr="005A428D">
        <w:trPr>
          <w:cantSplit/>
          <w:trHeight w:val="20"/>
          <w:tblHeader/>
        </w:trPr>
        <w:tc>
          <w:tcPr>
            <w:tcW w:w="993" w:type="dxa"/>
            <w:vAlign w:val="center"/>
          </w:tcPr>
          <w:p w14:paraId="537E50C2" w14:textId="77777777" w:rsidR="008143D9" w:rsidRPr="00470D3D" w:rsidRDefault="008143D9" w:rsidP="005A428D">
            <w:pPr>
              <w:rPr>
                <w:rFonts w:eastAsia="SimSun"/>
              </w:rPr>
            </w:pPr>
          </w:p>
        </w:tc>
        <w:tc>
          <w:tcPr>
            <w:tcW w:w="1843" w:type="dxa"/>
            <w:vAlign w:val="center"/>
          </w:tcPr>
          <w:p w14:paraId="2FED0E60" w14:textId="77777777" w:rsidR="008143D9" w:rsidRPr="00C07B2E" w:rsidRDefault="008143D9" w:rsidP="005A428D">
            <w:pPr>
              <w:rPr>
                <w:rFonts w:eastAsia="SimSun"/>
              </w:rPr>
            </w:pPr>
            <w:r w:rsidRPr="00C07B2E">
              <w:rPr>
                <w:rFonts w:eastAsia="SimSun"/>
              </w:rPr>
              <w:t>Препарат</w:t>
            </w:r>
          </w:p>
        </w:tc>
        <w:tc>
          <w:tcPr>
            <w:tcW w:w="1417" w:type="dxa"/>
            <w:vAlign w:val="center"/>
          </w:tcPr>
          <w:p w14:paraId="344D41EE" w14:textId="77777777" w:rsidR="008143D9" w:rsidRPr="00C07B2E" w:rsidRDefault="008143D9" w:rsidP="005A428D">
            <w:pPr>
              <w:rPr>
                <w:rFonts w:eastAsia="SimSun"/>
              </w:rPr>
            </w:pPr>
            <w:r w:rsidRPr="00C07B2E">
              <w:rPr>
                <w:rFonts w:eastAsia="SimSun"/>
              </w:rPr>
              <w:t>Суточная доза</w:t>
            </w:r>
          </w:p>
        </w:tc>
        <w:tc>
          <w:tcPr>
            <w:tcW w:w="1418" w:type="dxa"/>
            <w:vAlign w:val="center"/>
          </w:tcPr>
          <w:p w14:paraId="12E72520" w14:textId="77777777" w:rsidR="008143D9" w:rsidRPr="00C07B2E" w:rsidRDefault="008143D9" w:rsidP="005A428D">
            <w:pPr>
              <w:rPr>
                <w:rFonts w:eastAsia="SimSun"/>
              </w:rPr>
            </w:pPr>
            <w:r w:rsidRPr="00C07B2E">
              <w:rPr>
                <w:rFonts w:eastAsia="SimSun"/>
              </w:rPr>
              <w:t>Курсовая доза</w:t>
            </w:r>
          </w:p>
        </w:tc>
        <w:tc>
          <w:tcPr>
            <w:tcW w:w="1701" w:type="dxa"/>
            <w:vAlign w:val="center"/>
          </w:tcPr>
          <w:p w14:paraId="4887F20C" w14:textId="77777777" w:rsidR="008143D9" w:rsidRPr="00C07B2E" w:rsidRDefault="008143D9" w:rsidP="005A428D">
            <w:pPr>
              <w:rPr>
                <w:rFonts w:eastAsia="SimSun"/>
              </w:rPr>
            </w:pPr>
            <w:r w:rsidRPr="00C07B2E">
              <w:rPr>
                <w:rFonts w:eastAsia="SimSun"/>
              </w:rPr>
              <w:t>Дни введения</w:t>
            </w:r>
          </w:p>
        </w:tc>
        <w:tc>
          <w:tcPr>
            <w:tcW w:w="2268" w:type="dxa"/>
            <w:vAlign w:val="center"/>
          </w:tcPr>
          <w:p w14:paraId="225DA3C2" w14:textId="77777777" w:rsidR="008143D9" w:rsidRPr="00C07B2E" w:rsidRDefault="008143D9" w:rsidP="005A428D">
            <w:pPr>
              <w:rPr>
                <w:rFonts w:eastAsia="SimSun"/>
              </w:rPr>
            </w:pPr>
            <w:r w:rsidRPr="00C07B2E">
              <w:rPr>
                <w:rFonts w:eastAsia="SimSun"/>
              </w:rPr>
              <w:t>Порядок введения</w:t>
            </w:r>
          </w:p>
        </w:tc>
      </w:tr>
      <w:tr w:rsidR="008143D9" w:rsidRPr="00C07B2E" w14:paraId="2111B570" w14:textId="77777777" w:rsidTr="005A428D">
        <w:trPr>
          <w:cantSplit/>
          <w:trHeight w:val="20"/>
        </w:trPr>
        <w:tc>
          <w:tcPr>
            <w:tcW w:w="993" w:type="dxa"/>
            <w:vMerge w:val="restart"/>
            <w:textDirection w:val="btLr"/>
            <w:vAlign w:val="center"/>
          </w:tcPr>
          <w:p w14:paraId="67976161" w14:textId="77777777" w:rsidR="008143D9" w:rsidRPr="00C07B2E" w:rsidRDefault="008143D9" w:rsidP="005A428D">
            <w:pPr>
              <w:rPr>
                <w:rFonts w:eastAsia="SimSun"/>
              </w:rPr>
            </w:pPr>
            <w:r w:rsidRPr="00C07B2E">
              <w:rPr>
                <w:rFonts w:eastAsia="SimSun"/>
              </w:rPr>
              <w:t>Кондиционирование</w:t>
            </w:r>
          </w:p>
        </w:tc>
        <w:tc>
          <w:tcPr>
            <w:tcW w:w="1843" w:type="dxa"/>
            <w:vAlign w:val="center"/>
          </w:tcPr>
          <w:p w14:paraId="357FA9AB" w14:textId="77777777" w:rsidR="008143D9" w:rsidRPr="00C07B2E" w:rsidRDefault="008143D9" w:rsidP="005A428D">
            <w:pPr>
              <w:rPr>
                <w:rFonts w:eastAsia="SimSun"/>
              </w:rPr>
            </w:pPr>
            <w:r w:rsidRPr="00C07B2E">
              <w:rPr>
                <w:rFonts w:eastAsia="SimSun"/>
              </w:rPr>
              <w:t xml:space="preserve">Флударабин </w:t>
            </w:r>
          </w:p>
        </w:tc>
        <w:tc>
          <w:tcPr>
            <w:tcW w:w="1417" w:type="dxa"/>
            <w:vAlign w:val="center"/>
          </w:tcPr>
          <w:p w14:paraId="7D9CE061" w14:textId="77777777" w:rsidR="008143D9" w:rsidRPr="00C07B2E" w:rsidRDefault="008143D9" w:rsidP="005A428D">
            <w:pPr>
              <w:rPr>
                <w:rFonts w:eastAsia="SimSun"/>
              </w:rPr>
            </w:pPr>
            <w:r w:rsidRPr="00C07B2E">
              <w:rPr>
                <w:rFonts w:eastAsia="SimSun"/>
              </w:rPr>
              <w:t>30 мг/м</w:t>
            </w:r>
            <w:r w:rsidRPr="000F445E">
              <w:rPr>
                <w:rFonts w:eastAsia="SimSun"/>
                <w:vertAlign w:val="superscript"/>
              </w:rPr>
              <w:t>2</w:t>
            </w:r>
          </w:p>
        </w:tc>
        <w:tc>
          <w:tcPr>
            <w:tcW w:w="1418" w:type="dxa"/>
            <w:vAlign w:val="center"/>
          </w:tcPr>
          <w:p w14:paraId="0658F296" w14:textId="77777777" w:rsidR="008143D9" w:rsidRPr="00C07B2E" w:rsidRDefault="008143D9" w:rsidP="005A428D">
            <w:pPr>
              <w:rPr>
                <w:rFonts w:eastAsia="SimSun"/>
              </w:rPr>
            </w:pPr>
            <w:r w:rsidRPr="00C07B2E">
              <w:rPr>
                <w:rFonts w:eastAsia="SimSun"/>
              </w:rPr>
              <w:t>180 мг/м</w:t>
            </w:r>
            <w:r w:rsidRPr="000F445E">
              <w:rPr>
                <w:rFonts w:eastAsia="SimSun"/>
                <w:vertAlign w:val="superscript"/>
              </w:rPr>
              <w:t>2</w:t>
            </w:r>
          </w:p>
        </w:tc>
        <w:tc>
          <w:tcPr>
            <w:tcW w:w="1701" w:type="dxa"/>
            <w:vAlign w:val="center"/>
          </w:tcPr>
          <w:p w14:paraId="1D5F1606" w14:textId="77777777" w:rsidR="008143D9" w:rsidRPr="00C07B2E" w:rsidRDefault="008143D9" w:rsidP="005A428D">
            <w:pPr>
              <w:rPr>
                <w:rFonts w:eastAsia="SimSun"/>
              </w:rPr>
            </w:pPr>
            <w:r w:rsidRPr="00C07B2E">
              <w:rPr>
                <w:rFonts w:eastAsia="SimSun"/>
              </w:rPr>
              <w:t>С -7 дня по -2 день</w:t>
            </w:r>
          </w:p>
        </w:tc>
        <w:tc>
          <w:tcPr>
            <w:tcW w:w="2268" w:type="dxa"/>
            <w:vAlign w:val="center"/>
          </w:tcPr>
          <w:p w14:paraId="63DC9A20" w14:textId="77777777" w:rsidR="008143D9" w:rsidRPr="00C07B2E" w:rsidRDefault="008143D9" w:rsidP="005A428D">
            <w:pPr>
              <w:rPr>
                <w:rFonts w:eastAsia="SimSun"/>
              </w:rPr>
            </w:pPr>
            <w:r w:rsidRPr="00C07B2E">
              <w:rPr>
                <w:rFonts w:eastAsia="SimSun"/>
              </w:rPr>
              <w:t>В/в, в течение 30 - 60 мин</w:t>
            </w:r>
          </w:p>
        </w:tc>
      </w:tr>
      <w:tr w:rsidR="008143D9" w:rsidRPr="00C07B2E" w14:paraId="111D8469" w14:textId="77777777" w:rsidTr="005A428D">
        <w:trPr>
          <w:cantSplit/>
          <w:trHeight w:val="1207"/>
        </w:trPr>
        <w:tc>
          <w:tcPr>
            <w:tcW w:w="993" w:type="dxa"/>
            <w:vMerge/>
            <w:vAlign w:val="center"/>
          </w:tcPr>
          <w:p w14:paraId="3F6A4E2C" w14:textId="77777777" w:rsidR="008143D9" w:rsidRPr="00C07B2E" w:rsidRDefault="008143D9" w:rsidP="005A428D">
            <w:pPr>
              <w:rPr>
                <w:rFonts w:eastAsia="SimSun"/>
              </w:rPr>
            </w:pPr>
          </w:p>
        </w:tc>
        <w:tc>
          <w:tcPr>
            <w:tcW w:w="1843" w:type="dxa"/>
            <w:vAlign w:val="center"/>
          </w:tcPr>
          <w:p w14:paraId="6C45C892" w14:textId="77777777" w:rsidR="008143D9" w:rsidRPr="00C07B2E" w:rsidRDefault="008143D9" w:rsidP="005A428D">
            <w:pPr>
              <w:rPr>
                <w:rFonts w:eastAsia="SimSun"/>
              </w:rPr>
            </w:pPr>
            <w:r w:rsidRPr="00C07B2E">
              <w:rPr>
                <w:rFonts w:eastAsia="SimSun"/>
              </w:rPr>
              <w:t>Бусульфан</w:t>
            </w:r>
          </w:p>
        </w:tc>
        <w:tc>
          <w:tcPr>
            <w:tcW w:w="1417" w:type="dxa"/>
            <w:vAlign w:val="center"/>
          </w:tcPr>
          <w:p w14:paraId="4C2C7A08" w14:textId="77777777" w:rsidR="008143D9" w:rsidRPr="00C07B2E" w:rsidRDefault="008143D9" w:rsidP="005A428D">
            <w:pPr>
              <w:rPr>
                <w:rFonts w:eastAsia="SimSun"/>
              </w:rPr>
            </w:pPr>
            <w:r w:rsidRPr="00C07B2E">
              <w:rPr>
                <w:rFonts w:eastAsia="SimSun"/>
              </w:rPr>
              <w:t xml:space="preserve">4 мг/кг </w:t>
            </w:r>
          </w:p>
        </w:tc>
        <w:tc>
          <w:tcPr>
            <w:tcW w:w="1418" w:type="dxa"/>
            <w:vAlign w:val="center"/>
          </w:tcPr>
          <w:p w14:paraId="61525B72" w14:textId="77777777" w:rsidR="008143D9" w:rsidRPr="00C07B2E" w:rsidRDefault="008143D9" w:rsidP="005A428D">
            <w:pPr>
              <w:rPr>
                <w:rFonts w:eastAsia="SimSun"/>
              </w:rPr>
            </w:pPr>
            <w:r w:rsidRPr="00C07B2E">
              <w:rPr>
                <w:rFonts w:eastAsia="SimSun"/>
                <w:lang w:val="en-US"/>
              </w:rPr>
              <w:t>1</w:t>
            </w:r>
            <w:r w:rsidRPr="00C07B2E">
              <w:rPr>
                <w:rFonts w:eastAsia="SimSun"/>
              </w:rPr>
              <w:t xml:space="preserve">2мг/кг </w:t>
            </w:r>
          </w:p>
        </w:tc>
        <w:tc>
          <w:tcPr>
            <w:tcW w:w="1701" w:type="dxa"/>
            <w:vAlign w:val="center"/>
          </w:tcPr>
          <w:p w14:paraId="2F8B1CC0" w14:textId="77777777" w:rsidR="008143D9" w:rsidRPr="00C07B2E" w:rsidRDefault="008143D9" w:rsidP="005A428D">
            <w:pPr>
              <w:rPr>
                <w:rFonts w:eastAsia="SimSun"/>
              </w:rPr>
            </w:pPr>
            <w:r w:rsidRPr="00C07B2E">
              <w:rPr>
                <w:rFonts w:eastAsia="SimSun"/>
              </w:rPr>
              <w:t>С -</w:t>
            </w:r>
            <w:r w:rsidRPr="00C07B2E">
              <w:rPr>
                <w:rFonts w:eastAsia="SimSun"/>
                <w:lang w:val="en-US"/>
              </w:rPr>
              <w:t>5</w:t>
            </w:r>
            <w:r w:rsidRPr="00C07B2E">
              <w:rPr>
                <w:rFonts w:eastAsia="SimSun"/>
              </w:rPr>
              <w:t xml:space="preserve"> дня по -3 день</w:t>
            </w:r>
          </w:p>
        </w:tc>
        <w:tc>
          <w:tcPr>
            <w:tcW w:w="2268" w:type="dxa"/>
            <w:vAlign w:val="center"/>
          </w:tcPr>
          <w:p w14:paraId="06DAC0A7" w14:textId="77777777" w:rsidR="008143D9" w:rsidRPr="00C07B2E" w:rsidRDefault="008143D9" w:rsidP="005A428D">
            <w:pPr>
              <w:rPr>
                <w:rFonts w:eastAsia="SimSun"/>
              </w:rPr>
            </w:pPr>
            <w:r w:rsidRPr="00C07B2E">
              <w:rPr>
                <w:rFonts w:eastAsia="SimSun"/>
              </w:rPr>
              <w:t>Внутрь, суммарная суточная доза разделяется на 4 приема с интервалом 6 часов.</w:t>
            </w:r>
          </w:p>
        </w:tc>
      </w:tr>
      <w:tr w:rsidR="008143D9" w:rsidRPr="00C07B2E" w14:paraId="04F027E9" w14:textId="77777777" w:rsidTr="005A428D">
        <w:trPr>
          <w:cantSplit/>
          <w:trHeight w:val="1498"/>
        </w:trPr>
        <w:tc>
          <w:tcPr>
            <w:tcW w:w="993" w:type="dxa"/>
            <w:vMerge w:val="restart"/>
            <w:textDirection w:val="btLr"/>
            <w:vAlign w:val="center"/>
          </w:tcPr>
          <w:p w14:paraId="346D7D66" w14:textId="77777777" w:rsidR="008143D9" w:rsidRPr="00C07B2E" w:rsidRDefault="008143D9" w:rsidP="005A428D">
            <w:pPr>
              <w:rPr>
                <w:rFonts w:eastAsia="SimSun"/>
              </w:rPr>
            </w:pPr>
            <w:r w:rsidRPr="00C07B2E">
              <w:rPr>
                <w:rFonts w:eastAsia="SimSun"/>
              </w:rPr>
              <w:t>Профилактика РТПХ</w:t>
            </w:r>
          </w:p>
        </w:tc>
        <w:tc>
          <w:tcPr>
            <w:tcW w:w="1843" w:type="dxa"/>
            <w:vAlign w:val="center"/>
          </w:tcPr>
          <w:p w14:paraId="67706FF2" w14:textId="77777777" w:rsidR="008143D9" w:rsidRPr="00C07B2E" w:rsidRDefault="008143D9" w:rsidP="005A428D">
            <w:pPr>
              <w:rPr>
                <w:rFonts w:eastAsia="SimSun"/>
              </w:rPr>
            </w:pPr>
            <w:r w:rsidRPr="00C07B2E">
              <w:rPr>
                <w:rFonts w:eastAsia="SimSun"/>
              </w:rPr>
              <w:t>Циклофосфамид</w:t>
            </w:r>
          </w:p>
        </w:tc>
        <w:tc>
          <w:tcPr>
            <w:tcW w:w="1417" w:type="dxa"/>
            <w:vAlign w:val="center"/>
          </w:tcPr>
          <w:p w14:paraId="5F83721A" w14:textId="77777777" w:rsidR="008143D9" w:rsidRPr="00C07B2E" w:rsidRDefault="008143D9" w:rsidP="005A428D">
            <w:pPr>
              <w:rPr>
                <w:rFonts w:eastAsia="SimSun"/>
              </w:rPr>
            </w:pPr>
            <w:r w:rsidRPr="00C07B2E">
              <w:rPr>
                <w:rFonts w:eastAsia="SimSun"/>
              </w:rPr>
              <w:t>50 мг/кг</w:t>
            </w:r>
          </w:p>
        </w:tc>
        <w:tc>
          <w:tcPr>
            <w:tcW w:w="1418" w:type="dxa"/>
            <w:vAlign w:val="center"/>
          </w:tcPr>
          <w:p w14:paraId="50BD2B75" w14:textId="77777777" w:rsidR="008143D9" w:rsidRPr="00C07B2E" w:rsidRDefault="008143D9" w:rsidP="005A428D">
            <w:pPr>
              <w:rPr>
                <w:rFonts w:eastAsia="SimSun"/>
              </w:rPr>
            </w:pPr>
            <w:r w:rsidRPr="00C07B2E">
              <w:rPr>
                <w:rFonts w:eastAsia="SimSun"/>
              </w:rPr>
              <w:t>100 мг/кг</w:t>
            </w:r>
          </w:p>
        </w:tc>
        <w:tc>
          <w:tcPr>
            <w:tcW w:w="1701" w:type="dxa"/>
            <w:vAlign w:val="center"/>
          </w:tcPr>
          <w:p w14:paraId="04390372" w14:textId="77777777" w:rsidR="008143D9" w:rsidRPr="00C07B2E" w:rsidRDefault="008143D9" w:rsidP="005A428D">
            <w:pPr>
              <w:rPr>
                <w:rFonts w:eastAsia="SimSun"/>
              </w:rPr>
            </w:pPr>
            <w:r w:rsidRPr="00C07B2E">
              <w:rPr>
                <w:rFonts w:eastAsia="SimSun"/>
              </w:rPr>
              <w:t>С +3 дня по +4 день</w:t>
            </w:r>
          </w:p>
        </w:tc>
        <w:tc>
          <w:tcPr>
            <w:tcW w:w="2268" w:type="dxa"/>
            <w:vAlign w:val="center"/>
          </w:tcPr>
          <w:p w14:paraId="1A45DB06" w14:textId="77777777" w:rsidR="008143D9" w:rsidRPr="00C07B2E" w:rsidRDefault="008143D9" w:rsidP="005A428D">
            <w:pPr>
              <w:rPr>
                <w:rFonts w:eastAsia="SimSun"/>
              </w:rPr>
            </w:pPr>
            <w:r w:rsidRPr="00C07B2E">
              <w:rPr>
                <w:rFonts w:eastAsia="SimSun"/>
              </w:rPr>
              <w:t xml:space="preserve">В/в, в течение 2 ч  </w:t>
            </w:r>
          </w:p>
        </w:tc>
      </w:tr>
      <w:tr w:rsidR="008143D9" w:rsidRPr="00C07B2E" w14:paraId="2B9299F5" w14:textId="77777777" w:rsidTr="005A428D">
        <w:trPr>
          <w:cantSplit/>
          <w:trHeight w:val="958"/>
        </w:trPr>
        <w:tc>
          <w:tcPr>
            <w:tcW w:w="993" w:type="dxa"/>
            <w:vMerge/>
            <w:textDirection w:val="btLr"/>
            <w:vAlign w:val="center"/>
          </w:tcPr>
          <w:p w14:paraId="0C37C800" w14:textId="77777777" w:rsidR="008143D9" w:rsidRPr="00C07B2E" w:rsidRDefault="008143D9" w:rsidP="005A428D">
            <w:pPr>
              <w:rPr>
                <w:rFonts w:eastAsia="SimSun"/>
              </w:rPr>
            </w:pPr>
          </w:p>
        </w:tc>
        <w:tc>
          <w:tcPr>
            <w:tcW w:w="1843" w:type="dxa"/>
            <w:vAlign w:val="center"/>
          </w:tcPr>
          <w:p w14:paraId="53005DDF" w14:textId="77777777" w:rsidR="008143D9" w:rsidRPr="00C07B2E" w:rsidRDefault="008143D9" w:rsidP="005A428D">
            <w:pPr>
              <w:rPr>
                <w:rFonts w:eastAsia="SimSun"/>
              </w:rPr>
            </w:pPr>
            <w:r w:rsidRPr="00C07B2E">
              <w:rPr>
                <w:rFonts w:eastAsia="SimSun"/>
              </w:rPr>
              <w:t xml:space="preserve">Такролимус </w:t>
            </w:r>
          </w:p>
        </w:tc>
        <w:tc>
          <w:tcPr>
            <w:tcW w:w="1417" w:type="dxa"/>
            <w:vAlign w:val="center"/>
          </w:tcPr>
          <w:p w14:paraId="501E24DA" w14:textId="77777777" w:rsidR="008143D9" w:rsidRPr="00C07B2E" w:rsidRDefault="008143D9" w:rsidP="005A428D">
            <w:pPr>
              <w:rPr>
                <w:rFonts w:eastAsia="SimSun"/>
              </w:rPr>
            </w:pPr>
            <w:r w:rsidRPr="00C07B2E">
              <w:rPr>
                <w:rFonts w:eastAsia="SimSun"/>
              </w:rPr>
              <w:t>0,03 мг/кг</w:t>
            </w:r>
          </w:p>
        </w:tc>
        <w:tc>
          <w:tcPr>
            <w:tcW w:w="1418" w:type="dxa"/>
            <w:vAlign w:val="center"/>
          </w:tcPr>
          <w:p w14:paraId="2F78AE2A" w14:textId="77777777" w:rsidR="008143D9" w:rsidRPr="00C07B2E" w:rsidRDefault="008143D9" w:rsidP="005A428D">
            <w:pPr>
              <w:rPr>
                <w:rFonts w:eastAsia="SimSun"/>
              </w:rPr>
            </w:pPr>
            <w:r w:rsidRPr="00C07B2E">
              <w:rPr>
                <w:rFonts w:eastAsia="SimSun"/>
                <w:lang w:val="en-US"/>
              </w:rPr>
              <w:t>–</w:t>
            </w:r>
          </w:p>
        </w:tc>
        <w:tc>
          <w:tcPr>
            <w:tcW w:w="1701" w:type="dxa"/>
            <w:vAlign w:val="center"/>
          </w:tcPr>
          <w:p w14:paraId="43BE5B79" w14:textId="77777777" w:rsidR="008143D9" w:rsidRPr="00C07B2E" w:rsidRDefault="008143D9" w:rsidP="005A428D">
            <w:pPr>
              <w:rPr>
                <w:rFonts w:eastAsia="SimSun"/>
              </w:rPr>
            </w:pPr>
            <w:r w:rsidRPr="00C07B2E">
              <w:rPr>
                <w:rFonts w:eastAsia="SimSun"/>
              </w:rPr>
              <w:t xml:space="preserve">С +5 дня длительно </w:t>
            </w:r>
          </w:p>
        </w:tc>
        <w:tc>
          <w:tcPr>
            <w:tcW w:w="2268" w:type="dxa"/>
            <w:vAlign w:val="center"/>
          </w:tcPr>
          <w:p w14:paraId="78C7FF1B" w14:textId="77777777" w:rsidR="008143D9" w:rsidRPr="000F445E" w:rsidRDefault="008143D9" w:rsidP="005A428D">
            <w:pPr>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Перевод на прием внутрь при условии восстановления лейкоцитов &gt; 1</w:t>
            </w:r>
            <w:r>
              <w:rPr>
                <w:rFonts w:eastAsia="SimSun"/>
              </w:rPr>
              <w:t xml:space="preserve">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0F445E">
              <w:rPr>
                <w:rFonts w:eastAsia="SimSun"/>
              </w:rPr>
              <w:t xml:space="preserve"> 5-15 нг/мл.   </w:t>
            </w:r>
          </w:p>
        </w:tc>
      </w:tr>
      <w:tr w:rsidR="008143D9" w:rsidRPr="00C07B2E" w14:paraId="42BB76C6" w14:textId="77777777" w:rsidTr="005A428D">
        <w:trPr>
          <w:cantSplit/>
          <w:trHeight w:val="1861"/>
        </w:trPr>
        <w:tc>
          <w:tcPr>
            <w:tcW w:w="993" w:type="dxa"/>
            <w:vMerge/>
            <w:textDirection w:val="btLr"/>
            <w:vAlign w:val="center"/>
          </w:tcPr>
          <w:p w14:paraId="32291C41" w14:textId="77777777" w:rsidR="008143D9" w:rsidRPr="000F445E" w:rsidRDefault="008143D9" w:rsidP="005A428D">
            <w:pPr>
              <w:rPr>
                <w:rFonts w:eastAsia="SimSun"/>
              </w:rPr>
            </w:pPr>
          </w:p>
        </w:tc>
        <w:tc>
          <w:tcPr>
            <w:tcW w:w="1843" w:type="dxa"/>
            <w:vAlign w:val="center"/>
          </w:tcPr>
          <w:p w14:paraId="6E2DB1B1" w14:textId="77777777" w:rsidR="008143D9" w:rsidRPr="00C07B2E" w:rsidRDefault="008143D9" w:rsidP="005A428D">
            <w:pPr>
              <w:rPr>
                <w:rFonts w:eastAsia="SimSun"/>
              </w:rPr>
            </w:pPr>
            <w:r w:rsidRPr="00C07B2E">
              <w:rPr>
                <w:rFonts w:eastAsia="SimSun"/>
              </w:rPr>
              <w:t>Микофенолата мофетил</w:t>
            </w:r>
          </w:p>
        </w:tc>
        <w:tc>
          <w:tcPr>
            <w:tcW w:w="1417" w:type="dxa"/>
            <w:vAlign w:val="center"/>
          </w:tcPr>
          <w:p w14:paraId="6A06C976" w14:textId="77777777" w:rsidR="008143D9" w:rsidRPr="00C07B2E" w:rsidRDefault="008143D9" w:rsidP="005A428D">
            <w:pPr>
              <w:rPr>
                <w:rFonts w:eastAsia="SimSun"/>
              </w:rPr>
            </w:pPr>
            <w:r w:rsidRPr="00C07B2E">
              <w:rPr>
                <w:rFonts w:eastAsia="SimSun"/>
              </w:rPr>
              <w:t xml:space="preserve">30 мг/кг </w:t>
            </w:r>
          </w:p>
        </w:tc>
        <w:tc>
          <w:tcPr>
            <w:tcW w:w="1418" w:type="dxa"/>
            <w:vAlign w:val="center"/>
          </w:tcPr>
          <w:p w14:paraId="216B9EF1" w14:textId="77777777" w:rsidR="008143D9" w:rsidRPr="00C07B2E" w:rsidRDefault="008143D9" w:rsidP="005A428D">
            <w:pPr>
              <w:rPr>
                <w:rFonts w:eastAsia="SimSun"/>
              </w:rPr>
            </w:pPr>
            <w:r w:rsidRPr="00C07B2E">
              <w:rPr>
                <w:rFonts w:eastAsia="SimSun"/>
              </w:rPr>
              <w:t>–</w:t>
            </w:r>
          </w:p>
        </w:tc>
        <w:tc>
          <w:tcPr>
            <w:tcW w:w="1701" w:type="dxa"/>
            <w:vAlign w:val="center"/>
          </w:tcPr>
          <w:p w14:paraId="38BD4CAE" w14:textId="77777777" w:rsidR="008143D9" w:rsidRPr="00C07B2E" w:rsidRDefault="008143D9" w:rsidP="005A428D">
            <w:pPr>
              <w:rPr>
                <w:rFonts w:eastAsia="SimSun"/>
              </w:rPr>
            </w:pPr>
            <w:r w:rsidRPr="00C07B2E">
              <w:rPr>
                <w:rFonts w:eastAsia="SimSun"/>
              </w:rPr>
              <w:t xml:space="preserve">С +5 дня по +35 день </w:t>
            </w:r>
          </w:p>
        </w:tc>
        <w:tc>
          <w:tcPr>
            <w:tcW w:w="2268" w:type="dxa"/>
            <w:vAlign w:val="center"/>
          </w:tcPr>
          <w:p w14:paraId="513393D7" w14:textId="77777777" w:rsidR="008143D9" w:rsidRPr="00C07B2E" w:rsidRDefault="008143D9" w:rsidP="005A428D">
            <w:pPr>
              <w:rPr>
                <w:rFonts w:eastAsia="SimSun"/>
              </w:rPr>
            </w:pPr>
            <w:r w:rsidRPr="00C07B2E">
              <w:rPr>
                <w:rFonts w:eastAsia="SimSun"/>
              </w:rPr>
              <w:t>Внутрь, суммарная суточная доза разделяется на 2- 4 приема (не более 3г/сут).</w:t>
            </w:r>
          </w:p>
        </w:tc>
      </w:tr>
    </w:tbl>
    <w:p w14:paraId="2CC85156" w14:textId="77777777" w:rsidR="008143D9" w:rsidRPr="00C07B2E" w:rsidRDefault="008143D9" w:rsidP="008143D9">
      <w:pPr>
        <w:rPr>
          <w:rFonts w:eastAsia="SimSun"/>
        </w:rPr>
      </w:pPr>
    </w:p>
    <w:p w14:paraId="1BE52E0E" w14:textId="77777777" w:rsidR="008143D9" w:rsidRPr="00C07B2E" w:rsidRDefault="008143D9" w:rsidP="008143D9">
      <w:pPr>
        <w:rPr>
          <w:rFonts w:eastAsia="SimSun"/>
        </w:rPr>
      </w:pPr>
      <w:bookmarkStart w:id="116" w:name="_Toc44401150"/>
      <w:r w:rsidRPr="00042499">
        <w:rPr>
          <w:rFonts w:eastAsia="SimSun"/>
        </w:rPr>
        <w:t>Таблица</w:t>
      </w:r>
      <w:r w:rsidRPr="00C07B2E">
        <w:rPr>
          <w:rFonts w:eastAsia="SimSun"/>
        </w:rPr>
        <w:t xml:space="preserve"> </w:t>
      </w:r>
      <w:r>
        <w:rPr>
          <w:rFonts w:eastAsia="SimSun"/>
        </w:rPr>
        <w:t>5</w:t>
      </w:r>
      <w:r w:rsidRPr="00C07B2E">
        <w:rPr>
          <w:rFonts w:eastAsia="SimSun"/>
        </w:rPr>
        <w:t>.1.1.7  – Flu180+Bu12 / PT-Cy+CSA+MMF30</w:t>
      </w:r>
      <w:bookmarkEnd w:id="11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5"/>
        <w:gridCol w:w="1921"/>
        <w:gridCol w:w="1305"/>
        <w:gridCol w:w="1400"/>
        <w:gridCol w:w="1653"/>
        <w:gridCol w:w="2172"/>
      </w:tblGrid>
      <w:tr w:rsidR="008143D9" w:rsidRPr="00C07B2E" w14:paraId="4D77E90D" w14:textId="77777777" w:rsidTr="005A428D">
        <w:trPr>
          <w:cantSplit/>
          <w:trHeight w:val="20"/>
          <w:tblHeader/>
        </w:trPr>
        <w:tc>
          <w:tcPr>
            <w:tcW w:w="484" w:type="pct"/>
            <w:vAlign w:val="center"/>
          </w:tcPr>
          <w:p w14:paraId="42249272" w14:textId="77777777" w:rsidR="008143D9" w:rsidRPr="00470D3D" w:rsidRDefault="008143D9" w:rsidP="005A428D">
            <w:pPr>
              <w:rPr>
                <w:rFonts w:eastAsia="SimSun"/>
              </w:rPr>
            </w:pPr>
          </w:p>
        </w:tc>
        <w:tc>
          <w:tcPr>
            <w:tcW w:w="1003" w:type="pct"/>
            <w:vAlign w:val="center"/>
          </w:tcPr>
          <w:p w14:paraId="10130492" w14:textId="77777777" w:rsidR="008143D9" w:rsidRPr="00C07B2E" w:rsidRDefault="008143D9" w:rsidP="005A428D">
            <w:pPr>
              <w:rPr>
                <w:rFonts w:eastAsia="SimSun"/>
              </w:rPr>
            </w:pPr>
            <w:r w:rsidRPr="00C07B2E">
              <w:rPr>
                <w:rFonts w:eastAsia="SimSun"/>
              </w:rPr>
              <w:t>Препарат</w:t>
            </w:r>
          </w:p>
        </w:tc>
        <w:tc>
          <w:tcPr>
            <w:tcW w:w="703" w:type="pct"/>
            <w:vAlign w:val="center"/>
          </w:tcPr>
          <w:p w14:paraId="44A310C2" w14:textId="77777777" w:rsidR="008143D9" w:rsidRPr="00C07B2E" w:rsidRDefault="008143D9" w:rsidP="005A428D">
            <w:pPr>
              <w:rPr>
                <w:rFonts w:eastAsia="SimSun"/>
              </w:rPr>
            </w:pPr>
            <w:r w:rsidRPr="00C07B2E">
              <w:rPr>
                <w:rFonts w:eastAsia="SimSun"/>
              </w:rPr>
              <w:t>Суточная доза</w:t>
            </w:r>
          </w:p>
        </w:tc>
        <w:tc>
          <w:tcPr>
            <w:tcW w:w="754" w:type="pct"/>
            <w:vAlign w:val="center"/>
          </w:tcPr>
          <w:p w14:paraId="3EC6B366" w14:textId="77777777" w:rsidR="008143D9" w:rsidRPr="00C07B2E" w:rsidRDefault="008143D9" w:rsidP="005A428D">
            <w:pPr>
              <w:rPr>
                <w:rFonts w:eastAsia="SimSun"/>
              </w:rPr>
            </w:pPr>
            <w:r w:rsidRPr="00C07B2E">
              <w:rPr>
                <w:rFonts w:eastAsia="SimSun"/>
              </w:rPr>
              <w:t>Курсовая доза</w:t>
            </w:r>
          </w:p>
        </w:tc>
        <w:tc>
          <w:tcPr>
            <w:tcW w:w="889" w:type="pct"/>
            <w:vAlign w:val="center"/>
          </w:tcPr>
          <w:p w14:paraId="67DD307C" w14:textId="77777777" w:rsidR="008143D9" w:rsidRPr="00C07B2E" w:rsidRDefault="008143D9" w:rsidP="005A428D">
            <w:pPr>
              <w:rPr>
                <w:rFonts w:eastAsia="SimSun"/>
              </w:rPr>
            </w:pPr>
            <w:r w:rsidRPr="00C07B2E">
              <w:rPr>
                <w:rFonts w:eastAsia="SimSun"/>
              </w:rPr>
              <w:t>Дни введения</w:t>
            </w:r>
          </w:p>
        </w:tc>
        <w:tc>
          <w:tcPr>
            <w:tcW w:w="1167" w:type="pct"/>
            <w:vAlign w:val="center"/>
          </w:tcPr>
          <w:p w14:paraId="2B99FC7C" w14:textId="77777777" w:rsidR="008143D9" w:rsidRPr="00C07B2E" w:rsidRDefault="008143D9" w:rsidP="005A428D">
            <w:pPr>
              <w:rPr>
                <w:rFonts w:eastAsia="SimSun"/>
              </w:rPr>
            </w:pPr>
            <w:r w:rsidRPr="00C07B2E">
              <w:rPr>
                <w:rFonts w:eastAsia="SimSun"/>
              </w:rPr>
              <w:t>Порядок введения</w:t>
            </w:r>
          </w:p>
        </w:tc>
      </w:tr>
      <w:tr w:rsidR="008143D9" w:rsidRPr="00C07B2E" w14:paraId="2D677538" w14:textId="77777777" w:rsidTr="005A428D">
        <w:trPr>
          <w:cantSplit/>
          <w:trHeight w:val="20"/>
        </w:trPr>
        <w:tc>
          <w:tcPr>
            <w:tcW w:w="484" w:type="pct"/>
            <w:vMerge w:val="restart"/>
            <w:textDirection w:val="btLr"/>
            <w:vAlign w:val="center"/>
          </w:tcPr>
          <w:p w14:paraId="0C3486EB" w14:textId="77777777" w:rsidR="008143D9" w:rsidRPr="00C07B2E" w:rsidRDefault="008143D9" w:rsidP="005A428D">
            <w:pPr>
              <w:rPr>
                <w:rFonts w:eastAsia="SimSun"/>
              </w:rPr>
            </w:pPr>
            <w:r w:rsidRPr="00C07B2E">
              <w:rPr>
                <w:rFonts w:eastAsia="SimSun"/>
              </w:rPr>
              <w:t>Кондиционирование</w:t>
            </w:r>
          </w:p>
        </w:tc>
        <w:tc>
          <w:tcPr>
            <w:tcW w:w="1003" w:type="pct"/>
            <w:vAlign w:val="center"/>
          </w:tcPr>
          <w:p w14:paraId="5628AE20" w14:textId="77777777" w:rsidR="008143D9" w:rsidRPr="00C07B2E" w:rsidRDefault="008143D9" w:rsidP="005A428D">
            <w:pPr>
              <w:rPr>
                <w:rFonts w:eastAsia="SimSun"/>
              </w:rPr>
            </w:pPr>
            <w:r w:rsidRPr="00C07B2E">
              <w:rPr>
                <w:rFonts w:eastAsia="SimSun"/>
              </w:rPr>
              <w:t xml:space="preserve">Флударабин </w:t>
            </w:r>
          </w:p>
        </w:tc>
        <w:tc>
          <w:tcPr>
            <w:tcW w:w="703" w:type="pct"/>
            <w:vAlign w:val="center"/>
          </w:tcPr>
          <w:p w14:paraId="71ACE9C6" w14:textId="77777777" w:rsidR="008143D9" w:rsidRPr="00C07B2E" w:rsidRDefault="008143D9" w:rsidP="005A428D">
            <w:pPr>
              <w:rPr>
                <w:rFonts w:eastAsia="SimSun"/>
              </w:rPr>
            </w:pPr>
            <w:r w:rsidRPr="00C07B2E">
              <w:rPr>
                <w:rFonts w:eastAsia="SimSun"/>
              </w:rPr>
              <w:t>30 мг/м</w:t>
            </w:r>
            <w:r w:rsidRPr="000F445E">
              <w:rPr>
                <w:rFonts w:eastAsia="SimSun"/>
                <w:vertAlign w:val="superscript"/>
              </w:rPr>
              <w:t>2</w:t>
            </w:r>
          </w:p>
        </w:tc>
        <w:tc>
          <w:tcPr>
            <w:tcW w:w="754" w:type="pct"/>
            <w:vAlign w:val="center"/>
          </w:tcPr>
          <w:p w14:paraId="11913D34" w14:textId="77777777" w:rsidR="008143D9" w:rsidRPr="00C07B2E" w:rsidRDefault="008143D9" w:rsidP="005A428D">
            <w:pPr>
              <w:rPr>
                <w:rFonts w:eastAsia="SimSun"/>
              </w:rPr>
            </w:pPr>
            <w:r w:rsidRPr="00C07B2E">
              <w:rPr>
                <w:rFonts w:eastAsia="SimSun"/>
              </w:rPr>
              <w:t>180 мг/м</w:t>
            </w:r>
            <w:r w:rsidRPr="000F445E">
              <w:rPr>
                <w:rFonts w:eastAsia="SimSun"/>
                <w:vertAlign w:val="superscript"/>
              </w:rPr>
              <w:t>2</w:t>
            </w:r>
          </w:p>
        </w:tc>
        <w:tc>
          <w:tcPr>
            <w:tcW w:w="889" w:type="pct"/>
            <w:vAlign w:val="center"/>
          </w:tcPr>
          <w:p w14:paraId="0BE5B981" w14:textId="77777777" w:rsidR="008143D9" w:rsidRPr="00C07B2E" w:rsidRDefault="008143D9" w:rsidP="005A428D">
            <w:pPr>
              <w:rPr>
                <w:rFonts w:eastAsia="SimSun"/>
              </w:rPr>
            </w:pPr>
            <w:r w:rsidRPr="00C07B2E">
              <w:rPr>
                <w:rFonts w:eastAsia="SimSun"/>
              </w:rPr>
              <w:t>С -7 дня по -2 день</w:t>
            </w:r>
          </w:p>
        </w:tc>
        <w:tc>
          <w:tcPr>
            <w:tcW w:w="1167" w:type="pct"/>
            <w:vAlign w:val="center"/>
          </w:tcPr>
          <w:p w14:paraId="070A3387" w14:textId="77777777" w:rsidR="008143D9" w:rsidRPr="00C07B2E" w:rsidRDefault="008143D9" w:rsidP="005A428D">
            <w:pPr>
              <w:rPr>
                <w:rFonts w:eastAsia="SimSun"/>
              </w:rPr>
            </w:pPr>
            <w:r w:rsidRPr="00C07B2E">
              <w:rPr>
                <w:rFonts w:eastAsia="SimSun"/>
              </w:rPr>
              <w:t>В/в, в течение 30 - 60 мин</w:t>
            </w:r>
          </w:p>
        </w:tc>
      </w:tr>
      <w:tr w:rsidR="008143D9" w:rsidRPr="00C07B2E" w14:paraId="6DDF5031" w14:textId="77777777" w:rsidTr="005A428D">
        <w:trPr>
          <w:cantSplit/>
          <w:trHeight w:val="1207"/>
        </w:trPr>
        <w:tc>
          <w:tcPr>
            <w:tcW w:w="484" w:type="pct"/>
            <w:vMerge/>
            <w:vAlign w:val="center"/>
          </w:tcPr>
          <w:p w14:paraId="7508C181" w14:textId="77777777" w:rsidR="008143D9" w:rsidRPr="00C07B2E" w:rsidRDefault="008143D9" w:rsidP="005A428D">
            <w:pPr>
              <w:rPr>
                <w:rFonts w:eastAsia="SimSun"/>
              </w:rPr>
            </w:pPr>
          </w:p>
        </w:tc>
        <w:tc>
          <w:tcPr>
            <w:tcW w:w="1003" w:type="pct"/>
            <w:vAlign w:val="center"/>
          </w:tcPr>
          <w:p w14:paraId="6BF45BBC" w14:textId="77777777" w:rsidR="008143D9" w:rsidRPr="00C07B2E" w:rsidRDefault="008143D9" w:rsidP="005A428D">
            <w:pPr>
              <w:rPr>
                <w:rFonts w:eastAsia="SimSun"/>
              </w:rPr>
            </w:pPr>
            <w:r w:rsidRPr="00C07B2E">
              <w:rPr>
                <w:rFonts w:eastAsia="SimSun"/>
              </w:rPr>
              <w:t>Бусульфан</w:t>
            </w:r>
          </w:p>
        </w:tc>
        <w:tc>
          <w:tcPr>
            <w:tcW w:w="703" w:type="pct"/>
            <w:vAlign w:val="center"/>
          </w:tcPr>
          <w:p w14:paraId="18702E77" w14:textId="77777777" w:rsidR="008143D9" w:rsidRPr="00C07B2E" w:rsidRDefault="008143D9" w:rsidP="005A428D">
            <w:pPr>
              <w:rPr>
                <w:rFonts w:eastAsia="SimSun"/>
              </w:rPr>
            </w:pPr>
            <w:r w:rsidRPr="00C07B2E">
              <w:rPr>
                <w:rFonts w:eastAsia="SimSun"/>
              </w:rPr>
              <w:t xml:space="preserve">4 мг/кг </w:t>
            </w:r>
          </w:p>
        </w:tc>
        <w:tc>
          <w:tcPr>
            <w:tcW w:w="754" w:type="pct"/>
            <w:vAlign w:val="center"/>
          </w:tcPr>
          <w:p w14:paraId="22B345C0" w14:textId="77777777" w:rsidR="008143D9" w:rsidRPr="00C07B2E" w:rsidRDefault="008143D9" w:rsidP="005A428D">
            <w:pPr>
              <w:rPr>
                <w:rFonts w:eastAsia="SimSun"/>
              </w:rPr>
            </w:pPr>
            <w:r w:rsidRPr="00C07B2E">
              <w:rPr>
                <w:rFonts w:eastAsia="SimSun"/>
                <w:lang w:val="en-US"/>
              </w:rPr>
              <w:t>12</w:t>
            </w:r>
            <w:r w:rsidRPr="00C07B2E">
              <w:rPr>
                <w:rFonts w:eastAsia="SimSun"/>
              </w:rPr>
              <w:t xml:space="preserve"> мг/кг </w:t>
            </w:r>
          </w:p>
        </w:tc>
        <w:tc>
          <w:tcPr>
            <w:tcW w:w="889" w:type="pct"/>
            <w:vAlign w:val="center"/>
          </w:tcPr>
          <w:p w14:paraId="5287AB45" w14:textId="77777777" w:rsidR="008143D9" w:rsidRPr="00C07B2E" w:rsidRDefault="008143D9" w:rsidP="005A428D">
            <w:pPr>
              <w:rPr>
                <w:rFonts w:eastAsia="SimSun"/>
              </w:rPr>
            </w:pPr>
            <w:r w:rsidRPr="00C07B2E">
              <w:rPr>
                <w:rFonts w:eastAsia="SimSun"/>
              </w:rPr>
              <w:t>С -</w:t>
            </w:r>
            <w:r w:rsidRPr="00C07B2E">
              <w:rPr>
                <w:rFonts w:eastAsia="SimSun"/>
                <w:lang w:val="en-US"/>
              </w:rPr>
              <w:t>5</w:t>
            </w:r>
            <w:r w:rsidRPr="00C07B2E">
              <w:rPr>
                <w:rFonts w:eastAsia="SimSun"/>
              </w:rPr>
              <w:t xml:space="preserve"> дня по -3 день</w:t>
            </w:r>
          </w:p>
        </w:tc>
        <w:tc>
          <w:tcPr>
            <w:tcW w:w="1167" w:type="pct"/>
            <w:vAlign w:val="center"/>
          </w:tcPr>
          <w:p w14:paraId="39C24BB6" w14:textId="77777777" w:rsidR="008143D9" w:rsidRPr="00C07B2E" w:rsidRDefault="008143D9" w:rsidP="005A428D">
            <w:pPr>
              <w:rPr>
                <w:rFonts w:eastAsia="SimSun"/>
              </w:rPr>
            </w:pPr>
            <w:r w:rsidRPr="00C07B2E">
              <w:rPr>
                <w:rFonts w:eastAsia="SimSun"/>
              </w:rPr>
              <w:t>Внутрь, суммарная суточная доза разделяется на 4 приема с интервалом 6 часов.</w:t>
            </w:r>
          </w:p>
        </w:tc>
      </w:tr>
      <w:tr w:rsidR="008143D9" w:rsidRPr="00C07B2E" w14:paraId="0866C390" w14:textId="77777777" w:rsidTr="005A428D">
        <w:trPr>
          <w:cantSplit/>
          <w:trHeight w:val="1498"/>
        </w:trPr>
        <w:tc>
          <w:tcPr>
            <w:tcW w:w="484" w:type="pct"/>
            <w:vMerge w:val="restart"/>
            <w:textDirection w:val="btLr"/>
            <w:vAlign w:val="center"/>
          </w:tcPr>
          <w:p w14:paraId="2B146828" w14:textId="77777777" w:rsidR="008143D9" w:rsidRPr="00C07B2E" w:rsidRDefault="008143D9" w:rsidP="005A428D">
            <w:pPr>
              <w:rPr>
                <w:rFonts w:eastAsia="SimSun"/>
              </w:rPr>
            </w:pPr>
            <w:r w:rsidRPr="00C07B2E">
              <w:rPr>
                <w:rFonts w:eastAsia="SimSun"/>
              </w:rPr>
              <w:t>Профилактика РТПХ</w:t>
            </w:r>
          </w:p>
        </w:tc>
        <w:tc>
          <w:tcPr>
            <w:tcW w:w="1003" w:type="pct"/>
            <w:vAlign w:val="center"/>
          </w:tcPr>
          <w:p w14:paraId="48EC7FDA" w14:textId="77777777" w:rsidR="008143D9" w:rsidRPr="00C07B2E" w:rsidRDefault="008143D9" w:rsidP="005A428D">
            <w:pPr>
              <w:rPr>
                <w:rFonts w:eastAsia="SimSun"/>
              </w:rPr>
            </w:pPr>
            <w:r w:rsidRPr="00C07B2E">
              <w:rPr>
                <w:rFonts w:eastAsia="SimSun"/>
              </w:rPr>
              <w:t>Циклофосфамид</w:t>
            </w:r>
          </w:p>
        </w:tc>
        <w:tc>
          <w:tcPr>
            <w:tcW w:w="703" w:type="pct"/>
            <w:vAlign w:val="center"/>
          </w:tcPr>
          <w:p w14:paraId="33F1A650" w14:textId="77777777" w:rsidR="008143D9" w:rsidRPr="00C07B2E" w:rsidRDefault="008143D9" w:rsidP="005A428D">
            <w:pPr>
              <w:rPr>
                <w:rFonts w:eastAsia="SimSun"/>
              </w:rPr>
            </w:pPr>
            <w:r w:rsidRPr="00C07B2E">
              <w:rPr>
                <w:rFonts w:eastAsia="SimSun"/>
              </w:rPr>
              <w:t>50 мг/кг</w:t>
            </w:r>
          </w:p>
        </w:tc>
        <w:tc>
          <w:tcPr>
            <w:tcW w:w="754" w:type="pct"/>
            <w:vAlign w:val="center"/>
          </w:tcPr>
          <w:p w14:paraId="588615EA" w14:textId="77777777" w:rsidR="008143D9" w:rsidRPr="00C07B2E" w:rsidRDefault="008143D9" w:rsidP="005A428D">
            <w:pPr>
              <w:rPr>
                <w:rFonts w:eastAsia="SimSun"/>
              </w:rPr>
            </w:pPr>
            <w:r w:rsidRPr="00C07B2E">
              <w:rPr>
                <w:rFonts w:eastAsia="SimSun"/>
              </w:rPr>
              <w:t>100 мг/кг</w:t>
            </w:r>
          </w:p>
        </w:tc>
        <w:tc>
          <w:tcPr>
            <w:tcW w:w="889" w:type="pct"/>
            <w:vAlign w:val="center"/>
          </w:tcPr>
          <w:p w14:paraId="2B039D75" w14:textId="77777777" w:rsidR="008143D9" w:rsidRPr="00C07B2E" w:rsidRDefault="008143D9" w:rsidP="005A428D">
            <w:pPr>
              <w:rPr>
                <w:rFonts w:eastAsia="SimSun"/>
              </w:rPr>
            </w:pPr>
            <w:r w:rsidRPr="00C07B2E">
              <w:rPr>
                <w:rFonts w:eastAsia="SimSun"/>
              </w:rPr>
              <w:t>В +3 день  и +5 день</w:t>
            </w:r>
          </w:p>
        </w:tc>
        <w:tc>
          <w:tcPr>
            <w:tcW w:w="1167" w:type="pct"/>
            <w:vAlign w:val="center"/>
          </w:tcPr>
          <w:p w14:paraId="44BC571D" w14:textId="77777777" w:rsidR="008143D9" w:rsidRPr="00C07B2E" w:rsidRDefault="008143D9" w:rsidP="005A428D">
            <w:pPr>
              <w:rPr>
                <w:rFonts w:eastAsia="SimSun"/>
              </w:rPr>
            </w:pPr>
            <w:r w:rsidRPr="00C07B2E">
              <w:rPr>
                <w:rFonts w:eastAsia="SimSun"/>
              </w:rPr>
              <w:t xml:space="preserve">В/в, в течение 2 ч  </w:t>
            </w:r>
          </w:p>
        </w:tc>
      </w:tr>
      <w:tr w:rsidR="008143D9" w:rsidRPr="00C07B2E" w14:paraId="52CF72A0" w14:textId="77777777" w:rsidTr="005A428D">
        <w:trPr>
          <w:cantSplit/>
          <w:trHeight w:val="958"/>
        </w:trPr>
        <w:tc>
          <w:tcPr>
            <w:tcW w:w="484" w:type="pct"/>
            <w:vMerge/>
            <w:textDirection w:val="btLr"/>
            <w:vAlign w:val="center"/>
          </w:tcPr>
          <w:p w14:paraId="69691E7C" w14:textId="77777777" w:rsidR="008143D9" w:rsidRPr="00C07B2E" w:rsidRDefault="008143D9" w:rsidP="005A428D">
            <w:pPr>
              <w:rPr>
                <w:rFonts w:eastAsia="SimSun"/>
              </w:rPr>
            </w:pPr>
          </w:p>
        </w:tc>
        <w:tc>
          <w:tcPr>
            <w:tcW w:w="1003" w:type="pct"/>
            <w:vAlign w:val="center"/>
          </w:tcPr>
          <w:p w14:paraId="00C37D93" w14:textId="77777777" w:rsidR="008143D9" w:rsidRPr="00C07B2E" w:rsidRDefault="008143D9" w:rsidP="005A428D">
            <w:pPr>
              <w:rPr>
                <w:rFonts w:eastAsia="SimSun"/>
              </w:rPr>
            </w:pPr>
            <w:r w:rsidRPr="00C07B2E">
              <w:rPr>
                <w:rFonts w:eastAsia="SimSun"/>
              </w:rPr>
              <w:t>Микофенолата мофетил</w:t>
            </w:r>
          </w:p>
        </w:tc>
        <w:tc>
          <w:tcPr>
            <w:tcW w:w="703" w:type="pct"/>
            <w:vAlign w:val="center"/>
          </w:tcPr>
          <w:p w14:paraId="66B533E9" w14:textId="77777777" w:rsidR="008143D9" w:rsidRPr="00C07B2E" w:rsidRDefault="008143D9" w:rsidP="005A428D">
            <w:pPr>
              <w:rPr>
                <w:rFonts w:eastAsia="SimSun"/>
              </w:rPr>
            </w:pPr>
            <w:r w:rsidRPr="00C07B2E">
              <w:rPr>
                <w:rFonts w:eastAsia="SimSun"/>
              </w:rPr>
              <w:t xml:space="preserve">30 мг/кг </w:t>
            </w:r>
          </w:p>
        </w:tc>
        <w:tc>
          <w:tcPr>
            <w:tcW w:w="754" w:type="pct"/>
            <w:vAlign w:val="center"/>
          </w:tcPr>
          <w:p w14:paraId="509564BC" w14:textId="77777777" w:rsidR="008143D9" w:rsidRPr="00C07B2E" w:rsidRDefault="008143D9" w:rsidP="005A428D">
            <w:pPr>
              <w:rPr>
                <w:rFonts w:eastAsia="SimSun"/>
              </w:rPr>
            </w:pPr>
            <w:r w:rsidRPr="00C07B2E">
              <w:rPr>
                <w:rFonts w:eastAsia="SimSun"/>
              </w:rPr>
              <w:t>–</w:t>
            </w:r>
          </w:p>
        </w:tc>
        <w:tc>
          <w:tcPr>
            <w:tcW w:w="889" w:type="pct"/>
            <w:vAlign w:val="center"/>
          </w:tcPr>
          <w:p w14:paraId="0E46659A" w14:textId="77777777" w:rsidR="008143D9" w:rsidRPr="00C07B2E" w:rsidRDefault="008143D9" w:rsidP="005A428D">
            <w:pPr>
              <w:rPr>
                <w:rFonts w:eastAsia="SimSun"/>
              </w:rPr>
            </w:pPr>
            <w:r w:rsidRPr="00C07B2E">
              <w:rPr>
                <w:rFonts w:eastAsia="SimSun"/>
              </w:rPr>
              <w:t xml:space="preserve">С +1 дня по +28 день </w:t>
            </w:r>
          </w:p>
        </w:tc>
        <w:tc>
          <w:tcPr>
            <w:tcW w:w="1167" w:type="pct"/>
            <w:vAlign w:val="center"/>
          </w:tcPr>
          <w:p w14:paraId="3DB48E9A" w14:textId="77777777" w:rsidR="008143D9" w:rsidRPr="000F445E" w:rsidRDefault="008143D9" w:rsidP="005A428D">
            <w:pPr>
              <w:rPr>
                <w:rFonts w:eastAsia="SimSun"/>
              </w:rPr>
            </w:pPr>
            <w:r w:rsidRPr="000F445E">
              <w:rPr>
                <w:rFonts w:eastAsia="SimSun"/>
              </w:rPr>
              <w:t>Внутрь, суммарная суточная доза разделяется на 2- 4 приема (не более 3</w:t>
            </w:r>
            <w:r>
              <w:rPr>
                <w:rFonts w:eastAsia="SimSun"/>
              </w:rPr>
              <w:t xml:space="preserve"> </w:t>
            </w:r>
            <w:r w:rsidRPr="000F445E">
              <w:rPr>
                <w:rFonts w:eastAsia="SimSun"/>
              </w:rPr>
              <w:t>г/сут).</w:t>
            </w:r>
          </w:p>
        </w:tc>
      </w:tr>
      <w:tr w:rsidR="008143D9" w:rsidRPr="000F445E" w14:paraId="1F1B5FF8" w14:textId="77777777" w:rsidTr="005A428D">
        <w:trPr>
          <w:cantSplit/>
          <w:trHeight w:val="958"/>
        </w:trPr>
        <w:tc>
          <w:tcPr>
            <w:tcW w:w="484" w:type="pct"/>
            <w:vMerge/>
            <w:textDirection w:val="btLr"/>
            <w:vAlign w:val="center"/>
          </w:tcPr>
          <w:p w14:paraId="7B6D454E" w14:textId="77777777" w:rsidR="008143D9" w:rsidRPr="000F445E" w:rsidRDefault="008143D9" w:rsidP="005A428D">
            <w:pPr>
              <w:rPr>
                <w:rFonts w:eastAsia="SimSun"/>
              </w:rPr>
            </w:pPr>
          </w:p>
        </w:tc>
        <w:tc>
          <w:tcPr>
            <w:tcW w:w="1003" w:type="pct"/>
            <w:vAlign w:val="center"/>
          </w:tcPr>
          <w:p w14:paraId="2A08B1BB" w14:textId="77777777" w:rsidR="008143D9" w:rsidRPr="00C07B2E" w:rsidRDefault="008143D9" w:rsidP="005A428D">
            <w:pPr>
              <w:rPr>
                <w:rFonts w:eastAsia="SimSun"/>
              </w:rPr>
            </w:pPr>
            <w:r w:rsidRPr="00C07B2E">
              <w:rPr>
                <w:rFonts w:eastAsia="SimSun"/>
              </w:rPr>
              <w:t>Циклоспорин А</w:t>
            </w:r>
          </w:p>
        </w:tc>
        <w:tc>
          <w:tcPr>
            <w:tcW w:w="703" w:type="pct"/>
            <w:vAlign w:val="center"/>
          </w:tcPr>
          <w:p w14:paraId="2A971818" w14:textId="77777777" w:rsidR="008143D9" w:rsidRPr="00C07B2E" w:rsidRDefault="008143D9" w:rsidP="005A428D">
            <w:pPr>
              <w:rPr>
                <w:rFonts w:eastAsia="SimSun"/>
              </w:rPr>
            </w:pPr>
            <w:r w:rsidRPr="00C07B2E">
              <w:rPr>
                <w:rFonts w:eastAsia="SimSun"/>
              </w:rPr>
              <w:t>3  мг/кг</w:t>
            </w:r>
          </w:p>
        </w:tc>
        <w:tc>
          <w:tcPr>
            <w:tcW w:w="754" w:type="pct"/>
            <w:vAlign w:val="center"/>
          </w:tcPr>
          <w:p w14:paraId="01841D4D" w14:textId="77777777" w:rsidR="008143D9" w:rsidRPr="00C07B2E" w:rsidRDefault="008143D9" w:rsidP="005A428D">
            <w:pPr>
              <w:rPr>
                <w:rFonts w:eastAsia="SimSun"/>
              </w:rPr>
            </w:pPr>
            <w:r w:rsidRPr="00C07B2E">
              <w:rPr>
                <w:rFonts w:eastAsia="SimSun"/>
              </w:rPr>
              <w:t>-</w:t>
            </w:r>
          </w:p>
        </w:tc>
        <w:tc>
          <w:tcPr>
            <w:tcW w:w="889" w:type="pct"/>
            <w:vAlign w:val="center"/>
          </w:tcPr>
          <w:p w14:paraId="4464B883" w14:textId="77777777" w:rsidR="008143D9" w:rsidRPr="00C07B2E" w:rsidRDefault="008143D9" w:rsidP="005A428D">
            <w:pPr>
              <w:rPr>
                <w:rFonts w:eastAsia="SimSun"/>
              </w:rPr>
            </w:pPr>
            <w:r w:rsidRPr="00C07B2E">
              <w:rPr>
                <w:rFonts w:eastAsia="SimSun"/>
              </w:rPr>
              <w:t xml:space="preserve">С -1 дня по +100 день </w:t>
            </w:r>
          </w:p>
        </w:tc>
        <w:tc>
          <w:tcPr>
            <w:tcW w:w="1167" w:type="pct"/>
            <w:vAlign w:val="center"/>
          </w:tcPr>
          <w:p w14:paraId="67075381" w14:textId="77777777" w:rsidR="008143D9" w:rsidRPr="000F445E" w:rsidRDefault="008143D9" w:rsidP="005A428D">
            <w:pPr>
              <w:rPr>
                <w:rFonts w:eastAsia="SimSun"/>
              </w:rPr>
            </w:pPr>
            <w:r w:rsidRPr="00C07B2E">
              <w:rPr>
                <w:rFonts w:eastAsia="SimSun"/>
              </w:rPr>
              <w:t xml:space="preserve">В/в, 5-часовая инфузия 2 раза/сут. </w:t>
            </w:r>
            <w:r w:rsidRPr="000F445E">
              <w:rPr>
                <w:rFonts w:eastAsia="SimSun"/>
              </w:rPr>
              <w:t>Перевод на прием внутрь при условии восстановления лейкоцитов &gt; 1</w:t>
            </w:r>
            <w:r>
              <w:rPr>
                <w:rFonts w:eastAsia="SimSun"/>
              </w:rPr>
              <w:t xml:space="preserve"> х </w:t>
            </w:r>
            <w:r w:rsidRPr="000F445E">
              <w:rPr>
                <w:rFonts w:eastAsia="SimSun"/>
              </w:rPr>
              <w:t>10</w:t>
            </w:r>
            <w:r w:rsidRPr="000F445E">
              <w:rPr>
                <w:rFonts w:eastAsia="SimSun"/>
                <w:vertAlign w:val="superscript"/>
              </w:rPr>
              <w:t>9</w:t>
            </w:r>
            <w:r w:rsidRPr="000F445E">
              <w:rPr>
                <w:rFonts w:eastAsia="SimSun"/>
              </w:rPr>
              <w:t>/л, при отсутствии тошноты, рвоты, диареи и возможности приема внутрь. Концентрация 150-350</w:t>
            </w:r>
            <w:r>
              <w:rPr>
                <w:rFonts w:eastAsia="SimSun"/>
              </w:rPr>
              <w:t xml:space="preserve"> </w:t>
            </w:r>
            <w:r w:rsidRPr="000F445E">
              <w:rPr>
                <w:rFonts w:eastAsia="SimSun"/>
              </w:rPr>
              <w:t>пг/мл.</w:t>
            </w:r>
          </w:p>
        </w:tc>
      </w:tr>
    </w:tbl>
    <w:p w14:paraId="783D7A57" w14:textId="77777777" w:rsidR="008143D9" w:rsidRPr="00C07B2E" w:rsidRDefault="008143D9" w:rsidP="008143D9">
      <w:pPr>
        <w:rPr>
          <w:rFonts w:eastAsia="SimSun"/>
        </w:rPr>
      </w:pPr>
    </w:p>
    <w:p w14:paraId="698B6638" w14:textId="77777777" w:rsidR="008143D9" w:rsidRPr="00C07B2E" w:rsidRDefault="008143D9" w:rsidP="008143D9">
      <w:pPr>
        <w:rPr>
          <w:rFonts w:eastAsia="SimSun"/>
        </w:rPr>
      </w:pPr>
      <w:bookmarkStart w:id="117" w:name="_Toc44401151"/>
      <w:r w:rsidRPr="00042499">
        <w:rPr>
          <w:rFonts w:eastAsia="SimSun"/>
        </w:rPr>
        <w:t>Таблица</w:t>
      </w:r>
      <w:r w:rsidRPr="00C07B2E">
        <w:rPr>
          <w:rFonts w:eastAsia="SimSun"/>
        </w:rPr>
        <w:t xml:space="preserve"> </w:t>
      </w:r>
      <w:r>
        <w:rPr>
          <w:rFonts w:eastAsia="SimSun"/>
        </w:rPr>
        <w:t>5</w:t>
      </w:r>
      <w:r w:rsidRPr="00C07B2E">
        <w:rPr>
          <w:rFonts w:eastAsia="SimSun"/>
        </w:rPr>
        <w:t>.1.1.8  – Flu180+Bu14 / PT-Cy</w:t>
      </w:r>
      <w:bookmarkEnd w:id="117"/>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09"/>
        <w:gridCol w:w="1417"/>
        <w:gridCol w:w="1418"/>
        <w:gridCol w:w="1701"/>
        <w:gridCol w:w="2268"/>
      </w:tblGrid>
      <w:tr w:rsidR="008143D9" w:rsidRPr="00C07B2E" w14:paraId="0850F772" w14:textId="77777777" w:rsidTr="005A428D">
        <w:trPr>
          <w:cantSplit/>
          <w:trHeight w:val="20"/>
          <w:tblHeader/>
        </w:trPr>
        <w:tc>
          <w:tcPr>
            <w:tcW w:w="993" w:type="dxa"/>
            <w:vAlign w:val="center"/>
          </w:tcPr>
          <w:p w14:paraId="23DD740C" w14:textId="77777777" w:rsidR="008143D9" w:rsidRPr="00C07B2E" w:rsidRDefault="008143D9" w:rsidP="005A428D">
            <w:pPr>
              <w:rPr>
                <w:rFonts w:eastAsia="SimSun"/>
              </w:rPr>
            </w:pPr>
          </w:p>
        </w:tc>
        <w:tc>
          <w:tcPr>
            <w:tcW w:w="1809" w:type="dxa"/>
            <w:vAlign w:val="center"/>
          </w:tcPr>
          <w:p w14:paraId="01B9B3F3" w14:textId="77777777" w:rsidR="008143D9" w:rsidRPr="00C07B2E" w:rsidRDefault="008143D9" w:rsidP="005A428D">
            <w:pPr>
              <w:rPr>
                <w:rFonts w:eastAsia="SimSun"/>
              </w:rPr>
            </w:pPr>
            <w:r w:rsidRPr="00C07B2E">
              <w:rPr>
                <w:rFonts w:eastAsia="SimSun"/>
              </w:rPr>
              <w:t>Препарат</w:t>
            </w:r>
          </w:p>
        </w:tc>
        <w:tc>
          <w:tcPr>
            <w:tcW w:w="1417" w:type="dxa"/>
            <w:vAlign w:val="center"/>
          </w:tcPr>
          <w:p w14:paraId="4C391E9C" w14:textId="77777777" w:rsidR="008143D9" w:rsidRPr="00C07B2E" w:rsidRDefault="008143D9" w:rsidP="005A428D">
            <w:pPr>
              <w:rPr>
                <w:rFonts w:eastAsia="SimSun"/>
              </w:rPr>
            </w:pPr>
            <w:r w:rsidRPr="00C07B2E">
              <w:rPr>
                <w:rFonts w:eastAsia="SimSun"/>
              </w:rPr>
              <w:t>Суточная доза</w:t>
            </w:r>
          </w:p>
        </w:tc>
        <w:tc>
          <w:tcPr>
            <w:tcW w:w="1418" w:type="dxa"/>
            <w:vAlign w:val="center"/>
          </w:tcPr>
          <w:p w14:paraId="46581C64" w14:textId="77777777" w:rsidR="008143D9" w:rsidRPr="00C07B2E" w:rsidRDefault="008143D9" w:rsidP="005A428D">
            <w:pPr>
              <w:rPr>
                <w:rFonts w:eastAsia="SimSun"/>
              </w:rPr>
            </w:pPr>
            <w:r w:rsidRPr="00C07B2E">
              <w:rPr>
                <w:rFonts w:eastAsia="SimSun"/>
              </w:rPr>
              <w:t>Курсовая доза</w:t>
            </w:r>
          </w:p>
        </w:tc>
        <w:tc>
          <w:tcPr>
            <w:tcW w:w="1701" w:type="dxa"/>
            <w:vAlign w:val="center"/>
          </w:tcPr>
          <w:p w14:paraId="3D461161" w14:textId="77777777" w:rsidR="008143D9" w:rsidRPr="00C07B2E" w:rsidRDefault="008143D9" w:rsidP="005A428D">
            <w:pPr>
              <w:rPr>
                <w:rFonts w:eastAsia="SimSun"/>
              </w:rPr>
            </w:pPr>
            <w:r w:rsidRPr="00C07B2E">
              <w:rPr>
                <w:rFonts w:eastAsia="SimSun"/>
              </w:rPr>
              <w:t>Дни введения</w:t>
            </w:r>
          </w:p>
        </w:tc>
        <w:tc>
          <w:tcPr>
            <w:tcW w:w="2268" w:type="dxa"/>
            <w:vAlign w:val="center"/>
          </w:tcPr>
          <w:p w14:paraId="4415830A" w14:textId="77777777" w:rsidR="008143D9" w:rsidRPr="00C07B2E" w:rsidRDefault="008143D9" w:rsidP="005A428D">
            <w:pPr>
              <w:rPr>
                <w:rFonts w:eastAsia="SimSun"/>
              </w:rPr>
            </w:pPr>
            <w:r w:rsidRPr="00C07B2E">
              <w:rPr>
                <w:rFonts w:eastAsia="SimSun"/>
              </w:rPr>
              <w:t>Порядок введения</w:t>
            </w:r>
          </w:p>
        </w:tc>
      </w:tr>
      <w:tr w:rsidR="008143D9" w:rsidRPr="00C07B2E" w14:paraId="68476075" w14:textId="77777777" w:rsidTr="005A428D">
        <w:trPr>
          <w:cantSplit/>
          <w:trHeight w:val="20"/>
        </w:trPr>
        <w:tc>
          <w:tcPr>
            <w:tcW w:w="993" w:type="dxa"/>
            <w:vMerge w:val="restart"/>
            <w:textDirection w:val="btLr"/>
            <w:vAlign w:val="center"/>
          </w:tcPr>
          <w:p w14:paraId="2531779B" w14:textId="77777777" w:rsidR="008143D9" w:rsidRPr="00C07B2E" w:rsidRDefault="008143D9" w:rsidP="005A428D">
            <w:pPr>
              <w:rPr>
                <w:rFonts w:eastAsia="SimSun"/>
              </w:rPr>
            </w:pPr>
            <w:r w:rsidRPr="00C07B2E">
              <w:rPr>
                <w:rFonts w:eastAsia="SimSun"/>
              </w:rPr>
              <w:t>Кондиционирование</w:t>
            </w:r>
          </w:p>
        </w:tc>
        <w:tc>
          <w:tcPr>
            <w:tcW w:w="1809" w:type="dxa"/>
            <w:vAlign w:val="center"/>
          </w:tcPr>
          <w:p w14:paraId="75C628B5" w14:textId="77777777" w:rsidR="008143D9" w:rsidRPr="00C07B2E" w:rsidRDefault="008143D9" w:rsidP="005A428D">
            <w:pPr>
              <w:rPr>
                <w:rFonts w:eastAsia="SimSun"/>
              </w:rPr>
            </w:pPr>
            <w:r w:rsidRPr="00C07B2E">
              <w:rPr>
                <w:rFonts w:eastAsia="SimSun"/>
              </w:rPr>
              <w:t xml:space="preserve">Флударабин </w:t>
            </w:r>
          </w:p>
        </w:tc>
        <w:tc>
          <w:tcPr>
            <w:tcW w:w="1417" w:type="dxa"/>
            <w:vAlign w:val="center"/>
          </w:tcPr>
          <w:p w14:paraId="4E1498D2" w14:textId="77777777" w:rsidR="008143D9" w:rsidRPr="00C07B2E" w:rsidRDefault="008143D9" w:rsidP="005A428D">
            <w:pPr>
              <w:rPr>
                <w:rFonts w:eastAsia="SimSun"/>
              </w:rPr>
            </w:pPr>
            <w:r w:rsidRPr="00C07B2E">
              <w:rPr>
                <w:rFonts w:eastAsia="SimSun"/>
              </w:rPr>
              <w:t>30 мг/м</w:t>
            </w:r>
            <w:r w:rsidRPr="000F445E">
              <w:rPr>
                <w:rFonts w:eastAsia="SimSun"/>
                <w:vertAlign w:val="superscript"/>
              </w:rPr>
              <w:t>2</w:t>
            </w:r>
          </w:p>
        </w:tc>
        <w:tc>
          <w:tcPr>
            <w:tcW w:w="1418" w:type="dxa"/>
            <w:vAlign w:val="center"/>
          </w:tcPr>
          <w:p w14:paraId="07378DE1" w14:textId="77777777" w:rsidR="008143D9" w:rsidRPr="00C07B2E" w:rsidRDefault="008143D9" w:rsidP="005A428D">
            <w:pPr>
              <w:rPr>
                <w:rFonts w:eastAsia="SimSun"/>
              </w:rPr>
            </w:pPr>
            <w:r w:rsidRPr="00C07B2E">
              <w:rPr>
                <w:rFonts w:eastAsia="SimSun"/>
              </w:rPr>
              <w:t>180 мг/м</w:t>
            </w:r>
            <w:r w:rsidRPr="000F445E">
              <w:rPr>
                <w:rFonts w:eastAsia="SimSun"/>
                <w:vertAlign w:val="superscript"/>
              </w:rPr>
              <w:t>2</w:t>
            </w:r>
          </w:p>
        </w:tc>
        <w:tc>
          <w:tcPr>
            <w:tcW w:w="1701" w:type="dxa"/>
            <w:vAlign w:val="center"/>
          </w:tcPr>
          <w:p w14:paraId="794A9F31" w14:textId="77777777" w:rsidR="008143D9" w:rsidRPr="00C07B2E" w:rsidRDefault="008143D9" w:rsidP="005A428D">
            <w:pPr>
              <w:rPr>
                <w:rFonts w:eastAsia="SimSun"/>
              </w:rPr>
            </w:pPr>
            <w:r w:rsidRPr="00C07B2E">
              <w:rPr>
                <w:rFonts w:eastAsia="SimSun"/>
              </w:rPr>
              <w:t>С -7 дня по -2 день</w:t>
            </w:r>
          </w:p>
        </w:tc>
        <w:tc>
          <w:tcPr>
            <w:tcW w:w="2268" w:type="dxa"/>
            <w:vAlign w:val="center"/>
          </w:tcPr>
          <w:p w14:paraId="3ECA0C51" w14:textId="77777777" w:rsidR="008143D9" w:rsidRPr="00C07B2E" w:rsidRDefault="008143D9" w:rsidP="005A428D">
            <w:pPr>
              <w:rPr>
                <w:rFonts w:eastAsia="SimSun"/>
              </w:rPr>
            </w:pPr>
            <w:r w:rsidRPr="00C07B2E">
              <w:rPr>
                <w:rFonts w:eastAsia="SimSun"/>
              </w:rPr>
              <w:t>В/в, в течение 30 - 60 мин</w:t>
            </w:r>
          </w:p>
        </w:tc>
      </w:tr>
      <w:tr w:rsidR="008143D9" w:rsidRPr="00C07B2E" w14:paraId="1837549B" w14:textId="77777777" w:rsidTr="005A428D">
        <w:trPr>
          <w:cantSplit/>
          <w:trHeight w:val="1207"/>
        </w:trPr>
        <w:tc>
          <w:tcPr>
            <w:tcW w:w="993" w:type="dxa"/>
            <w:vMerge/>
            <w:vAlign w:val="center"/>
          </w:tcPr>
          <w:p w14:paraId="154C4AF6" w14:textId="77777777" w:rsidR="008143D9" w:rsidRPr="00C07B2E" w:rsidRDefault="008143D9" w:rsidP="005A428D">
            <w:pPr>
              <w:rPr>
                <w:rFonts w:eastAsia="SimSun"/>
              </w:rPr>
            </w:pPr>
          </w:p>
        </w:tc>
        <w:tc>
          <w:tcPr>
            <w:tcW w:w="1809" w:type="dxa"/>
            <w:vAlign w:val="center"/>
          </w:tcPr>
          <w:p w14:paraId="2AE48CC5" w14:textId="77777777" w:rsidR="008143D9" w:rsidRPr="00C07B2E" w:rsidRDefault="008143D9" w:rsidP="005A428D">
            <w:pPr>
              <w:rPr>
                <w:rFonts w:eastAsia="SimSun"/>
              </w:rPr>
            </w:pPr>
            <w:r w:rsidRPr="00C07B2E">
              <w:rPr>
                <w:rFonts w:eastAsia="SimSun"/>
              </w:rPr>
              <w:t>Бусульфан</w:t>
            </w:r>
          </w:p>
        </w:tc>
        <w:tc>
          <w:tcPr>
            <w:tcW w:w="1417" w:type="dxa"/>
            <w:vAlign w:val="center"/>
          </w:tcPr>
          <w:p w14:paraId="1CF92D65" w14:textId="77777777" w:rsidR="008143D9" w:rsidRPr="00C07B2E" w:rsidRDefault="008143D9" w:rsidP="005A428D">
            <w:pPr>
              <w:rPr>
                <w:rFonts w:eastAsia="SimSun"/>
              </w:rPr>
            </w:pPr>
            <w:r w:rsidRPr="00C07B2E">
              <w:rPr>
                <w:rFonts w:eastAsia="SimSun"/>
              </w:rPr>
              <w:t xml:space="preserve">4 мг/кг </w:t>
            </w:r>
          </w:p>
        </w:tc>
        <w:tc>
          <w:tcPr>
            <w:tcW w:w="1418" w:type="dxa"/>
            <w:vAlign w:val="center"/>
          </w:tcPr>
          <w:p w14:paraId="1E4F4EA4" w14:textId="77777777" w:rsidR="008143D9" w:rsidRPr="00C07B2E" w:rsidRDefault="008143D9" w:rsidP="005A428D">
            <w:pPr>
              <w:rPr>
                <w:rFonts w:eastAsia="SimSun"/>
              </w:rPr>
            </w:pPr>
            <w:r w:rsidRPr="00C07B2E">
              <w:rPr>
                <w:rFonts w:eastAsia="SimSun"/>
                <w:lang w:val="en-US"/>
              </w:rPr>
              <w:t>14</w:t>
            </w:r>
            <w:r w:rsidRPr="00C07B2E">
              <w:rPr>
                <w:rFonts w:eastAsia="SimSun"/>
              </w:rPr>
              <w:t xml:space="preserve"> мг/кг </w:t>
            </w:r>
          </w:p>
        </w:tc>
        <w:tc>
          <w:tcPr>
            <w:tcW w:w="1701" w:type="dxa"/>
            <w:vAlign w:val="center"/>
          </w:tcPr>
          <w:p w14:paraId="63889FF9" w14:textId="77777777" w:rsidR="008143D9" w:rsidRPr="00C07B2E" w:rsidRDefault="008143D9" w:rsidP="005A428D">
            <w:pPr>
              <w:rPr>
                <w:rFonts w:eastAsia="SimSun"/>
              </w:rPr>
            </w:pPr>
            <w:r w:rsidRPr="00C07B2E">
              <w:rPr>
                <w:rFonts w:eastAsia="SimSun"/>
              </w:rPr>
              <w:t>С -</w:t>
            </w:r>
            <w:r w:rsidRPr="00C07B2E">
              <w:rPr>
                <w:rFonts w:eastAsia="SimSun"/>
                <w:lang w:val="en-US"/>
              </w:rPr>
              <w:t>6</w:t>
            </w:r>
            <w:r w:rsidRPr="00C07B2E">
              <w:rPr>
                <w:rFonts w:eastAsia="SimSun"/>
              </w:rPr>
              <w:t xml:space="preserve"> дня по -3 день</w:t>
            </w:r>
          </w:p>
        </w:tc>
        <w:tc>
          <w:tcPr>
            <w:tcW w:w="2268" w:type="dxa"/>
            <w:vAlign w:val="center"/>
          </w:tcPr>
          <w:p w14:paraId="0B6E0EB8" w14:textId="77777777" w:rsidR="008143D9" w:rsidRPr="00C07B2E" w:rsidRDefault="008143D9" w:rsidP="005A428D">
            <w:pPr>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8143D9" w:rsidRPr="00C07B2E" w14:paraId="03A97B0F" w14:textId="77777777" w:rsidTr="005A428D">
        <w:trPr>
          <w:cantSplit/>
          <w:trHeight w:val="1498"/>
        </w:trPr>
        <w:tc>
          <w:tcPr>
            <w:tcW w:w="993" w:type="dxa"/>
            <w:textDirection w:val="btLr"/>
            <w:vAlign w:val="center"/>
          </w:tcPr>
          <w:p w14:paraId="1DB574C9" w14:textId="77777777" w:rsidR="008143D9" w:rsidRPr="00C07B2E" w:rsidRDefault="008143D9" w:rsidP="005A428D">
            <w:pPr>
              <w:rPr>
                <w:rFonts w:eastAsia="SimSun"/>
              </w:rPr>
            </w:pPr>
            <w:r w:rsidRPr="00C07B2E">
              <w:rPr>
                <w:rFonts w:eastAsia="SimSun"/>
              </w:rPr>
              <w:t>Профилактика РТПХ</w:t>
            </w:r>
          </w:p>
        </w:tc>
        <w:tc>
          <w:tcPr>
            <w:tcW w:w="1809" w:type="dxa"/>
            <w:vAlign w:val="center"/>
          </w:tcPr>
          <w:p w14:paraId="554DF884" w14:textId="77777777" w:rsidR="008143D9" w:rsidRPr="00C07B2E" w:rsidRDefault="008143D9" w:rsidP="005A428D">
            <w:pPr>
              <w:rPr>
                <w:rFonts w:eastAsia="SimSun"/>
              </w:rPr>
            </w:pPr>
            <w:r w:rsidRPr="00C07B2E">
              <w:rPr>
                <w:rFonts w:eastAsia="SimSun"/>
              </w:rPr>
              <w:t>Циклофосфамид</w:t>
            </w:r>
          </w:p>
        </w:tc>
        <w:tc>
          <w:tcPr>
            <w:tcW w:w="1417" w:type="dxa"/>
            <w:vAlign w:val="center"/>
          </w:tcPr>
          <w:p w14:paraId="2B43D451" w14:textId="77777777" w:rsidR="008143D9" w:rsidRPr="00C07B2E" w:rsidRDefault="008143D9" w:rsidP="005A428D">
            <w:pPr>
              <w:rPr>
                <w:rFonts w:eastAsia="SimSun"/>
              </w:rPr>
            </w:pPr>
            <w:r w:rsidRPr="00C07B2E">
              <w:rPr>
                <w:rFonts w:eastAsia="SimSun"/>
              </w:rPr>
              <w:t>50 мг/кг</w:t>
            </w:r>
          </w:p>
        </w:tc>
        <w:tc>
          <w:tcPr>
            <w:tcW w:w="1418" w:type="dxa"/>
            <w:vAlign w:val="center"/>
          </w:tcPr>
          <w:p w14:paraId="643504A2" w14:textId="77777777" w:rsidR="008143D9" w:rsidRPr="00C07B2E" w:rsidRDefault="008143D9" w:rsidP="005A428D">
            <w:pPr>
              <w:rPr>
                <w:rFonts w:eastAsia="SimSun"/>
              </w:rPr>
            </w:pPr>
            <w:r w:rsidRPr="00C07B2E">
              <w:rPr>
                <w:rFonts w:eastAsia="SimSun"/>
              </w:rPr>
              <w:t>100 мг/кг</w:t>
            </w:r>
          </w:p>
        </w:tc>
        <w:tc>
          <w:tcPr>
            <w:tcW w:w="1701" w:type="dxa"/>
            <w:vAlign w:val="center"/>
          </w:tcPr>
          <w:p w14:paraId="60FFB98E" w14:textId="77777777" w:rsidR="008143D9" w:rsidRPr="00C07B2E" w:rsidRDefault="008143D9" w:rsidP="005A428D">
            <w:pPr>
              <w:rPr>
                <w:rFonts w:eastAsia="SimSun"/>
              </w:rPr>
            </w:pPr>
            <w:r w:rsidRPr="00C07B2E">
              <w:rPr>
                <w:rFonts w:eastAsia="SimSun"/>
              </w:rPr>
              <w:t>С +3 дня по +4 день</w:t>
            </w:r>
          </w:p>
        </w:tc>
        <w:tc>
          <w:tcPr>
            <w:tcW w:w="2268" w:type="dxa"/>
            <w:vAlign w:val="center"/>
          </w:tcPr>
          <w:p w14:paraId="4D7E5C58" w14:textId="77777777" w:rsidR="008143D9" w:rsidRPr="00C07B2E" w:rsidRDefault="008143D9" w:rsidP="005A428D">
            <w:pPr>
              <w:rPr>
                <w:rFonts w:eastAsia="SimSun"/>
              </w:rPr>
            </w:pPr>
            <w:r w:rsidRPr="00C07B2E">
              <w:rPr>
                <w:rFonts w:eastAsia="SimSun"/>
              </w:rPr>
              <w:t xml:space="preserve">В/в, в течение 2 ч  </w:t>
            </w:r>
          </w:p>
        </w:tc>
      </w:tr>
    </w:tbl>
    <w:p w14:paraId="17E28ED2" w14:textId="77777777" w:rsidR="008143D9" w:rsidRPr="00C07B2E" w:rsidRDefault="008143D9" w:rsidP="008143D9">
      <w:pPr>
        <w:rPr>
          <w:rFonts w:eastAsia="SimSun"/>
        </w:rPr>
      </w:pPr>
    </w:p>
    <w:p w14:paraId="698DD3BF" w14:textId="77777777" w:rsidR="008143D9" w:rsidRPr="00C07B2E" w:rsidRDefault="008143D9" w:rsidP="008143D9">
      <w:pPr>
        <w:rPr>
          <w:rFonts w:eastAsia="SimSun"/>
        </w:rPr>
      </w:pPr>
      <w:bookmarkStart w:id="118" w:name="_Toc44401152"/>
      <w:r w:rsidRPr="00042499">
        <w:rPr>
          <w:rFonts w:eastAsia="SimSun"/>
        </w:rPr>
        <w:t>Таблица</w:t>
      </w:r>
      <w:r w:rsidRPr="00C07B2E">
        <w:rPr>
          <w:rFonts w:eastAsia="SimSun"/>
        </w:rPr>
        <w:t xml:space="preserve"> </w:t>
      </w:r>
      <w:r>
        <w:rPr>
          <w:rFonts w:eastAsia="SimSun"/>
        </w:rPr>
        <w:t>5</w:t>
      </w:r>
      <w:r w:rsidRPr="00C07B2E">
        <w:rPr>
          <w:rFonts w:eastAsia="SimSun"/>
        </w:rPr>
        <w:t>.1.1.9 – Flu180+Bu14 / PT-Cy+Tx+MMF30</w:t>
      </w:r>
      <w:bookmarkEnd w:id="118"/>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09"/>
        <w:gridCol w:w="1417"/>
        <w:gridCol w:w="1418"/>
        <w:gridCol w:w="1701"/>
        <w:gridCol w:w="2268"/>
      </w:tblGrid>
      <w:tr w:rsidR="008143D9" w:rsidRPr="00C07B2E" w14:paraId="2050C328" w14:textId="77777777" w:rsidTr="005A428D">
        <w:trPr>
          <w:cantSplit/>
          <w:trHeight w:val="20"/>
          <w:tblHeader/>
        </w:trPr>
        <w:tc>
          <w:tcPr>
            <w:tcW w:w="993" w:type="dxa"/>
            <w:vAlign w:val="center"/>
          </w:tcPr>
          <w:p w14:paraId="01012ED7" w14:textId="77777777" w:rsidR="008143D9" w:rsidRPr="00470D3D" w:rsidRDefault="008143D9" w:rsidP="005A428D">
            <w:pPr>
              <w:rPr>
                <w:rFonts w:eastAsia="SimSun"/>
              </w:rPr>
            </w:pPr>
          </w:p>
        </w:tc>
        <w:tc>
          <w:tcPr>
            <w:tcW w:w="1809" w:type="dxa"/>
            <w:vAlign w:val="center"/>
          </w:tcPr>
          <w:p w14:paraId="256EA987" w14:textId="77777777" w:rsidR="008143D9" w:rsidRPr="00C07B2E" w:rsidRDefault="008143D9" w:rsidP="005A428D">
            <w:pPr>
              <w:rPr>
                <w:rFonts w:eastAsia="SimSun"/>
              </w:rPr>
            </w:pPr>
            <w:r w:rsidRPr="00C07B2E">
              <w:rPr>
                <w:rFonts w:eastAsia="SimSun"/>
              </w:rPr>
              <w:t>Препарат</w:t>
            </w:r>
          </w:p>
        </w:tc>
        <w:tc>
          <w:tcPr>
            <w:tcW w:w="1417" w:type="dxa"/>
            <w:vAlign w:val="center"/>
          </w:tcPr>
          <w:p w14:paraId="216A5518" w14:textId="77777777" w:rsidR="008143D9" w:rsidRPr="00C07B2E" w:rsidRDefault="008143D9" w:rsidP="005A428D">
            <w:pPr>
              <w:rPr>
                <w:rFonts w:eastAsia="SimSun"/>
              </w:rPr>
            </w:pPr>
            <w:r w:rsidRPr="00C07B2E">
              <w:rPr>
                <w:rFonts w:eastAsia="SimSun"/>
              </w:rPr>
              <w:t>Суточная доза</w:t>
            </w:r>
          </w:p>
        </w:tc>
        <w:tc>
          <w:tcPr>
            <w:tcW w:w="1418" w:type="dxa"/>
            <w:vAlign w:val="center"/>
          </w:tcPr>
          <w:p w14:paraId="074F4FC7" w14:textId="77777777" w:rsidR="008143D9" w:rsidRPr="00C07B2E" w:rsidRDefault="008143D9" w:rsidP="005A428D">
            <w:pPr>
              <w:rPr>
                <w:rFonts w:eastAsia="SimSun"/>
              </w:rPr>
            </w:pPr>
            <w:r w:rsidRPr="00C07B2E">
              <w:rPr>
                <w:rFonts w:eastAsia="SimSun"/>
              </w:rPr>
              <w:t>Курсовая доза</w:t>
            </w:r>
          </w:p>
        </w:tc>
        <w:tc>
          <w:tcPr>
            <w:tcW w:w="1701" w:type="dxa"/>
            <w:vAlign w:val="center"/>
          </w:tcPr>
          <w:p w14:paraId="08B43D28" w14:textId="77777777" w:rsidR="008143D9" w:rsidRPr="00C07B2E" w:rsidRDefault="008143D9" w:rsidP="005A428D">
            <w:pPr>
              <w:rPr>
                <w:rFonts w:eastAsia="SimSun"/>
              </w:rPr>
            </w:pPr>
            <w:r w:rsidRPr="00C07B2E">
              <w:rPr>
                <w:rFonts w:eastAsia="SimSun"/>
              </w:rPr>
              <w:t>Дни введения</w:t>
            </w:r>
          </w:p>
        </w:tc>
        <w:tc>
          <w:tcPr>
            <w:tcW w:w="2268" w:type="dxa"/>
            <w:vAlign w:val="center"/>
          </w:tcPr>
          <w:p w14:paraId="059AD7AD" w14:textId="77777777" w:rsidR="008143D9" w:rsidRPr="00C07B2E" w:rsidRDefault="008143D9" w:rsidP="005A428D">
            <w:pPr>
              <w:rPr>
                <w:rFonts w:eastAsia="SimSun"/>
              </w:rPr>
            </w:pPr>
            <w:r w:rsidRPr="00C07B2E">
              <w:rPr>
                <w:rFonts w:eastAsia="SimSun"/>
              </w:rPr>
              <w:t>Порядок введения</w:t>
            </w:r>
          </w:p>
        </w:tc>
      </w:tr>
      <w:tr w:rsidR="008143D9" w:rsidRPr="00C07B2E" w14:paraId="2DBA3CE3" w14:textId="77777777" w:rsidTr="005A428D">
        <w:trPr>
          <w:cantSplit/>
          <w:trHeight w:val="20"/>
        </w:trPr>
        <w:tc>
          <w:tcPr>
            <w:tcW w:w="993" w:type="dxa"/>
            <w:vMerge w:val="restart"/>
            <w:textDirection w:val="btLr"/>
            <w:vAlign w:val="center"/>
          </w:tcPr>
          <w:p w14:paraId="555B934F" w14:textId="77777777" w:rsidR="008143D9" w:rsidRPr="00C07B2E" w:rsidRDefault="008143D9" w:rsidP="005A428D">
            <w:pPr>
              <w:rPr>
                <w:rFonts w:eastAsia="SimSun"/>
              </w:rPr>
            </w:pPr>
            <w:r w:rsidRPr="00C07B2E">
              <w:rPr>
                <w:rFonts w:eastAsia="SimSun"/>
              </w:rPr>
              <w:t>Кондиционирование</w:t>
            </w:r>
          </w:p>
        </w:tc>
        <w:tc>
          <w:tcPr>
            <w:tcW w:w="1809" w:type="dxa"/>
            <w:vAlign w:val="center"/>
          </w:tcPr>
          <w:p w14:paraId="352F219E" w14:textId="77777777" w:rsidR="008143D9" w:rsidRPr="00C07B2E" w:rsidRDefault="008143D9" w:rsidP="005A428D">
            <w:pPr>
              <w:rPr>
                <w:rFonts w:eastAsia="SimSun"/>
              </w:rPr>
            </w:pPr>
            <w:r w:rsidRPr="00C07B2E">
              <w:rPr>
                <w:rFonts w:eastAsia="SimSun"/>
              </w:rPr>
              <w:t xml:space="preserve">Флударабин </w:t>
            </w:r>
          </w:p>
        </w:tc>
        <w:tc>
          <w:tcPr>
            <w:tcW w:w="1417" w:type="dxa"/>
            <w:vAlign w:val="center"/>
          </w:tcPr>
          <w:p w14:paraId="6C29795F" w14:textId="77777777" w:rsidR="008143D9" w:rsidRPr="00C07B2E" w:rsidRDefault="008143D9" w:rsidP="005A428D">
            <w:pPr>
              <w:rPr>
                <w:rFonts w:eastAsia="SimSun"/>
              </w:rPr>
            </w:pPr>
            <w:r w:rsidRPr="00C07B2E">
              <w:rPr>
                <w:rFonts w:eastAsia="SimSun"/>
              </w:rPr>
              <w:t>30 мг/м</w:t>
            </w:r>
            <w:r w:rsidRPr="000F445E">
              <w:rPr>
                <w:rFonts w:eastAsia="SimSun"/>
                <w:vertAlign w:val="superscript"/>
              </w:rPr>
              <w:t>2</w:t>
            </w:r>
          </w:p>
        </w:tc>
        <w:tc>
          <w:tcPr>
            <w:tcW w:w="1418" w:type="dxa"/>
            <w:vAlign w:val="center"/>
          </w:tcPr>
          <w:p w14:paraId="0E221C96" w14:textId="77777777" w:rsidR="008143D9" w:rsidRPr="00C07B2E" w:rsidRDefault="008143D9" w:rsidP="005A428D">
            <w:pPr>
              <w:rPr>
                <w:rFonts w:eastAsia="SimSun"/>
              </w:rPr>
            </w:pPr>
            <w:r w:rsidRPr="00C07B2E">
              <w:rPr>
                <w:rFonts w:eastAsia="SimSun"/>
              </w:rPr>
              <w:t>180 мг/м</w:t>
            </w:r>
            <w:r w:rsidRPr="000F445E">
              <w:rPr>
                <w:rFonts w:eastAsia="SimSun"/>
                <w:vertAlign w:val="superscript"/>
              </w:rPr>
              <w:t>2</w:t>
            </w:r>
          </w:p>
        </w:tc>
        <w:tc>
          <w:tcPr>
            <w:tcW w:w="1701" w:type="dxa"/>
            <w:vAlign w:val="center"/>
          </w:tcPr>
          <w:p w14:paraId="4DAF6FB2" w14:textId="77777777" w:rsidR="008143D9" w:rsidRPr="00C07B2E" w:rsidRDefault="008143D9" w:rsidP="005A428D">
            <w:pPr>
              <w:rPr>
                <w:rFonts w:eastAsia="SimSun"/>
              </w:rPr>
            </w:pPr>
            <w:r w:rsidRPr="00C07B2E">
              <w:rPr>
                <w:rFonts w:eastAsia="SimSun"/>
              </w:rPr>
              <w:t>С -7 дня по -2 день</w:t>
            </w:r>
          </w:p>
        </w:tc>
        <w:tc>
          <w:tcPr>
            <w:tcW w:w="2268" w:type="dxa"/>
            <w:vAlign w:val="center"/>
          </w:tcPr>
          <w:p w14:paraId="5E5CEB42" w14:textId="77777777" w:rsidR="008143D9" w:rsidRPr="00C07B2E" w:rsidRDefault="008143D9" w:rsidP="005A428D">
            <w:pPr>
              <w:rPr>
                <w:rFonts w:eastAsia="SimSun"/>
              </w:rPr>
            </w:pPr>
            <w:r w:rsidRPr="00C07B2E">
              <w:rPr>
                <w:rFonts w:eastAsia="SimSun"/>
              </w:rPr>
              <w:t>В/в, в течение 30 - 60 мин</w:t>
            </w:r>
          </w:p>
        </w:tc>
      </w:tr>
      <w:tr w:rsidR="008143D9" w:rsidRPr="00C07B2E" w14:paraId="68CE24A3" w14:textId="77777777" w:rsidTr="005A428D">
        <w:trPr>
          <w:cantSplit/>
          <w:trHeight w:val="1207"/>
        </w:trPr>
        <w:tc>
          <w:tcPr>
            <w:tcW w:w="993" w:type="dxa"/>
            <w:vMerge/>
            <w:vAlign w:val="center"/>
          </w:tcPr>
          <w:p w14:paraId="5CBE983F" w14:textId="77777777" w:rsidR="008143D9" w:rsidRPr="00C07B2E" w:rsidRDefault="008143D9" w:rsidP="005A428D">
            <w:pPr>
              <w:rPr>
                <w:rFonts w:eastAsia="SimSun"/>
              </w:rPr>
            </w:pPr>
          </w:p>
        </w:tc>
        <w:tc>
          <w:tcPr>
            <w:tcW w:w="1809" w:type="dxa"/>
            <w:vAlign w:val="center"/>
          </w:tcPr>
          <w:p w14:paraId="16E3832E" w14:textId="77777777" w:rsidR="008143D9" w:rsidRPr="00C07B2E" w:rsidRDefault="008143D9" w:rsidP="005A428D">
            <w:pPr>
              <w:rPr>
                <w:rFonts w:eastAsia="SimSun"/>
              </w:rPr>
            </w:pPr>
            <w:r w:rsidRPr="00C07B2E">
              <w:rPr>
                <w:rFonts w:eastAsia="SimSun"/>
              </w:rPr>
              <w:t>Бусульфан</w:t>
            </w:r>
          </w:p>
        </w:tc>
        <w:tc>
          <w:tcPr>
            <w:tcW w:w="1417" w:type="dxa"/>
            <w:vAlign w:val="center"/>
          </w:tcPr>
          <w:p w14:paraId="312C2A78" w14:textId="77777777" w:rsidR="008143D9" w:rsidRPr="00C07B2E" w:rsidRDefault="008143D9" w:rsidP="005A428D">
            <w:pPr>
              <w:rPr>
                <w:rFonts w:eastAsia="SimSun"/>
              </w:rPr>
            </w:pPr>
            <w:r w:rsidRPr="00C07B2E">
              <w:rPr>
                <w:rFonts w:eastAsia="SimSun"/>
              </w:rPr>
              <w:t xml:space="preserve">4 мг/кг </w:t>
            </w:r>
          </w:p>
        </w:tc>
        <w:tc>
          <w:tcPr>
            <w:tcW w:w="1418" w:type="dxa"/>
            <w:vAlign w:val="center"/>
          </w:tcPr>
          <w:p w14:paraId="0665FE43" w14:textId="77777777" w:rsidR="008143D9" w:rsidRPr="00C07B2E" w:rsidRDefault="008143D9" w:rsidP="005A428D">
            <w:pPr>
              <w:rPr>
                <w:rFonts w:eastAsia="SimSun"/>
              </w:rPr>
            </w:pPr>
            <w:r w:rsidRPr="00C07B2E">
              <w:rPr>
                <w:rFonts w:eastAsia="SimSun"/>
                <w:lang w:val="en-US"/>
              </w:rPr>
              <w:t>1</w:t>
            </w:r>
            <w:r w:rsidRPr="00C07B2E">
              <w:rPr>
                <w:rFonts w:eastAsia="SimSun"/>
              </w:rPr>
              <w:t xml:space="preserve">4мг/кг </w:t>
            </w:r>
          </w:p>
        </w:tc>
        <w:tc>
          <w:tcPr>
            <w:tcW w:w="1701" w:type="dxa"/>
            <w:vAlign w:val="center"/>
          </w:tcPr>
          <w:p w14:paraId="11D7FA74" w14:textId="77777777" w:rsidR="008143D9" w:rsidRPr="00C07B2E" w:rsidRDefault="008143D9" w:rsidP="005A428D">
            <w:pPr>
              <w:rPr>
                <w:rFonts w:eastAsia="SimSun"/>
              </w:rPr>
            </w:pPr>
            <w:r w:rsidRPr="00C07B2E">
              <w:rPr>
                <w:rFonts w:eastAsia="SimSun"/>
              </w:rPr>
              <w:t>С -6 дня по -3 день</w:t>
            </w:r>
          </w:p>
        </w:tc>
        <w:tc>
          <w:tcPr>
            <w:tcW w:w="2268" w:type="dxa"/>
            <w:vAlign w:val="center"/>
          </w:tcPr>
          <w:p w14:paraId="25AFEAC4" w14:textId="77777777" w:rsidR="008143D9" w:rsidRPr="00C07B2E" w:rsidRDefault="008143D9" w:rsidP="005A428D">
            <w:pPr>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8143D9" w:rsidRPr="00C07B2E" w14:paraId="3444724D" w14:textId="77777777" w:rsidTr="005A428D">
        <w:trPr>
          <w:cantSplit/>
          <w:trHeight w:val="622"/>
        </w:trPr>
        <w:tc>
          <w:tcPr>
            <w:tcW w:w="993" w:type="dxa"/>
            <w:vMerge w:val="restart"/>
            <w:textDirection w:val="btLr"/>
            <w:vAlign w:val="center"/>
          </w:tcPr>
          <w:p w14:paraId="47606D56" w14:textId="77777777" w:rsidR="008143D9" w:rsidRPr="00C07B2E" w:rsidRDefault="008143D9" w:rsidP="005A428D">
            <w:pPr>
              <w:rPr>
                <w:rFonts w:eastAsia="SimSun"/>
              </w:rPr>
            </w:pPr>
            <w:r w:rsidRPr="00C07B2E">
              <w:rPr>
                <w:rFonts w:eastAsia="SimSun"/>
              </w:rPr>
              <w:t>Профилактика РТПХ</w:t>
            </w:r>
          </w:p>
        </w:tc>
        <w:tc>
          <w:tcPr>
            <w:tcW w:w="1809" w:type="dxa"/>
            <w:vAlign w:val="center"/>
          </w:tcPr>
          <w:p w14:paraId="594F5A33" w14:textId="77777777" w:rsidR="008143D9" w:rsidRPr="00C07B2E" w:rsidRDefault="008143D9" w:rsidP="005A428D">
            <w:pPr>
              <w:rPr>
                <w:rFonts w:eastAsia="SimSun"/>
              </w:rPr>
            </w:pPr>
            <w:r w:rsidRPr="00C07B2E">
              <w:rPr>
                <w:rFonts w:eastAsia="SimSun"/>
              </w:rPr>
              <w:t>Циклофосфамид</w:t>
            </w:r>
          </w:p>
        </w:tc>
        <w:tc>
          <w:tcPr>
            <w:tcW w:w="1417" w:type="dxa"/>
            <w:vAlign w:val="center"/>
          </w:tcPr>
          <w:p w14:paraId="54444E30" w14:textId="77777777" w:rsidR="008143D9" w:rsidRPr="00C07B2E" w:rsidRDefault="008143D9" w:rsidP="005A428D">
            <w:pPr>
              <w:rPr>
                <w:rFonts w:eastAsia="SimSun"/>
              </w:rPr>
            </w:pPr>
            <w:r w:rsidRPr="00C07B2E">
              <w:rPr>
                <w:rFonts w:eastAsia="SimSun"/>
              </w:rPr>
              <w:t>50 мг/кг</w:t>
            </w:r>
          </w:p>
        </w:tc>
        <w:tc>
          <w:tcPr>
            <w:tcW w:w="1418" w:type="dxa"/>
            <w:vAlign w:val="center"/>
          </w:tcPr>
          <w:p w14:paraId="5B786459" w14:textId="77777777" w:rsidR="008143D9" w:rsidRPr="00C07B2E" w:rsidRDefault="008143D9" w:rsidP="005A428D">
            <w:pPr>
              <w:rPr>
                <w:rFonts w:eastAsia="SimSun"/>
              </w:rPr>
            </w:pPr>
            <w:r w:rsidRPr="00C07B2E">
              <w:rPr>
                <w:rFonts w:eastAsia="SimSun"/>
              </w:rPr>
              <w:t>100 мг/кг</w:t>
            </w:r>
          </w:p>
        </w:tc>
        <w:tc>
          <w:tcPr>
            <w:tcW w:w="1701" w:type="dxa"/>
            <w:vAlign w:val="center"/>
          </w:tcPr>
          <w:p w14:paraId="34AE8D2A" w14:textId="77777777" w:rsidR="008143D9" w:rsidRPr="00C07B2E" w:rsidRDefault="008143D9" w:rsidP="005A428D">
            <w:pPr>
              <w:rPr>
                <w:rFonts w:eastAsia="SimSun"/>
              </w:rPr>
            </w:pPr>
            <w:r w:rsidRPr="00C07B2E">
              <w:rPr>
                <w:rFonts w:eastAsia="SimSun"/>
              </w:rPr>
              <w:t>С +3 дня по +4 день</w:t>
            </w:r>
          </w:p>
        </w:tc>
        <w:tc>
          <w:tcPr>
            <w:tcW w:w="2268" w:type="dxa"/>
            <w:vAlign w:val="center"/>
          </w:tcPr>
          <w:p w14:paraId="276A4E24" w14:textId="77777777" w:rsidR="008143D9" w:rsidRPr="00C07B2E" w:rsidRDefault="008143D9" w:rsidP="005A428D">
            <w:pPr>
              <w:rPr>
                <w:rFonts w:eastAsia="SimSun"/>
              </w:rPr>
            </w:pPr>
            <w:r w:rsidRPr="00C07B2E">
              <w:rPr>
                <w:rFonts w:eastAsia="SimSun"/>
              </w:rPr>
              <w:t xml:space="preserve">В/в, в течение 2 ч  </w:t>
            </w:r>
          </w:p>
        </w:tc>
      </w:tr>
      <w:tr w:rsidR="008143D9" w:rsidRPr="00C07B2E" w14:paraId="6FBAD735" w14:textId="77777777" w:rsidTr="005A428D">
        <w:trPr>
          <w:cantSplit/>
          <w:trHeight w:val="958"/>
        </w:trPr>
        <w:tc>
          <w:tcPr>
            <w:tcW w:w="993" w:type="dxa"/>
            <w:vMerge/>
            <w:textDirection w:val="btLr"/>
            <w:vAlign w:val="center"/>
          </w:tcPr>
          <w:p w14:paraId="40E1C8CB" w14:textId="77777777" w:rsidR="008143D9" w:rsidRPr="00C07B2E" w:rsidRDefault="008143D9" w:rsidP="005A428D">
            <w:pPr>
              <w:rPr>
                <w:rFonts w:eastAsia="SimSun"/>
              </w:rPr>
            </w:pPr>
          </w:p>
        </w:tc>
        <w:tc>
          <w:tcPr>
            <w:tcW w:w="1809" w:type="dxa"/>
            <w:vAlign w:val="center"/>
          </w:tcPr>
          <w:p w14:paraId="30E0DEE7" w14:textId="77777777" w:rsidR="008143D9" w:rsidRPr="00C07B2E" w:rsidRDefault="008143D9" w:rsidP="005A428D">
            <w:pPr>
              <w:rPr>
                <w:rFonts w:eastAsia="SimSun"/>
              </w:rPr>
            </w:pPr>
            <w:r w:rsidRPr="00C07B2E">
              <w:rPr>
                <w:rFonts w:eastAsia="SimSun"/>
              </w:rPr>
              <w:t xml:space="preserve">Такролимус </w:t>
            </w:r>
          </w:p>
        </w:tc>
        <w:tc>
          <w:tcPr>
            <w:tcW w:w="1417" w:type="dxa"/>
            <w:vAlign w:val="center"/>
          </w:tcPr>
          <w:p w14:paraId="3DD3FE83" w14:textId="77777777" w:rsidR="008143D9" w:rsidRPr="00C07B2E" w:rsidRDefault="008143D9" w:rsidP="005A428D">
            <w:pPr>
              <w:rPr>
                <w:rFonts w:eastAsia="SimSun"/>
              </w:rPr>
            </w:pPr>
            <w:r w:rsidRPr="00C07B2E">
              <w:rPr>
                <w:rFonts w:eastAsia="SimSun"/>
              </w:rPr>
              <w:t>0,03 мг/кг</w:t>
            </w:r>
          </w:p>
        </w:tc>
        <w:tc>
          <w:tcPr>
            <w:tcW w:w="1418" w:type="dxa"/>
            <w:vAlign w:val="center"/>
          </w:tcPr>
          <w:p w14:paraId="08D7C315" w14:textId="77777777" w:rsidR="008143D9" w:rsidRPr="00C07B2E" w:rsidRDefault="008143D9" w:rsidP="005A428D">
            <w:pPr>
              <w:rPr>
                <w:rFonts w:eastAsia="SimSun"/>
              </w:rPr>
            </w:pPr>
            <w:r w:rsidRPr="00C07B2E">
              <w:rPr>
                <w:rFonts w:eastAsia="SimSun"/>
                <w:lang w:val="en-US"/>
              </w:rPr>
              <w:t>–</w:t>
            </w:r>
          </w:p>
        </w:tc>
        <w:tc>
          <w:tcPr>
            <w:tcW w:w="1701" w:type="dxa"/>
            <w:vAlign w:val="center"/>
          </w:tcPr>
          <w:p w14:paraId="5863A7C9" w14:textId="77777777" w:rsidR="008143D9" w:rsidRPr="00C07B2E" w:rsidRDefault="008143D9" w:rsidP="005A428D">
            <w:pPr>
              <w:rPr>
                <w:rFonts w:eastAsia="SimSun"/>
              </w:rPr>
            </w:pPr>
            <w:r w:rsidRPr="00C07B2E">
              <w:rPr>
                <w:rFonts w:eastAsia="SimSun"/>
              </w:rPr>
              <w:t xml:space="preserve">С +5 дня длительно </w:t>
            </w:r>
          </w:p>
        </w:tc>
        <w:tc>
          <w:tcPr>
            <w:tcW w:w="2268" w:type="dxa"/>
            <w:vAlign w:val="center"/>
          </w:tcPr>
          <w:p w14:paraId="0228BBD7" w14:textId="77777777" w:rsidR="008143D9" w:rsidRPr="000F445E" w:rsidRDefault="008143D9" w:rsidP="005A428D">
            <w:pPr>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Перевод на прием внутрь при условии восстановления лейкоцитов &gt; 1</w:t>
            </w:r>
            <w:r>
              <w:rPr>
                <w:rFonts w:eastAsia="SimSun"/>
              </w:rPr>
              <w:t xml:space="preserve"> 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0F445E">
              <w:rPr>
                <w:rFonts w:eastAsia="SimSun"/>
              </w:rPr>
              <w:t xml:space="preserve"> 5-15 нг/мл.    </w:t>
            </w:r>
          </w:p>
        </w:tc>
      </w:tr>
      <w:tr w:rsidR="008143D9" w:rsidRPr="00C07B2E" w14:paraId="7CB9C4BB" w14:textId="77777777" w:rsidTr="005A428D">
        <w:trPr>
          <w:cantSplit/>
          <w:trHeight w:val="986"/>
        </w:trPr>
        <w:tc>
          <w:tcPr>
            <w:tcW w:w="993" w:type="dxa"/>
            <w:vMerge/>
            <w:textDirection w:val="btLr"/>
            <w:vAlign w:val="center"/>
          </w:tcPr>
          <w:p w14:paraId="6DDEFD9F" w14:textId="77777777" w:rsidR="008143D9" w:rsidRPr="000F445E" w:rsidRDefault="008143D9" w:rsidP="005A428D">
            <w:pPr>
              <w:rPr>
                <w:rFonts w:eastAsia="SimSun"/>
              </w:rPr>
            </w:pPr>
          </w:p>
        </w:tc>
        <w:tc>
          <w:tcPr>
            <w:tcW w:w="1809" w:type="dxa"/>
            <w:vAlign w:val="center"/>
          </w:tcPr>
          <w:p w14:paraId="1EB4A6CA" w14:textId="77777777" w:rsidR="008143D9" w:rsidRPr="00C07B2E" w:rsidRDefault="008143D9" w:rsidP="005A428D">
            <w:pPr>
              <w:rPr>
                <w:rFonts w:eastAsia="SimSun"/>
              </w:rPr>
            </w:pPr>
            <w:r w:rsidRPr="00C07B2E">
              <w:rPr>
                <w:rFonts w:eastAsia="SimSun"/>
              </w:rPr>
              <w:t>Микофенолата мофетил</w:t>
            </w:r>
          </w:p>
        </w:tc>
        <w:tc>
          <w:tcPr>
            <w:tcW w:w="1417" w:type="dxa"/>
            <w:vAlign w:val="center"/>
          </w:tcPr>
          <w:p w14:paraId="136F47C3" w14:textId="77777777" w:rsidR="008143D9" w:rsidRPr="00C07B2E" w:rsidRDefault="008143D9" w:rsidP="005A428D">
            <w:pPr>
              <w:rPr>
                <w:rFonts w:eastAsia="SimSun"/>
              </w:rPr>
            </w:pPr>
            <w:r w:rsidRPr="00C07B2E">
              <w:rPr>
                <w:rFonts w:eastAsia="SimSun"/>
              </w:rPr>
              <w:t xml:space="preserve">30 мг/кг </w:t>
            </w:r>
          </w:p>
        </w:tc>
        <w:tc>
          <w:tcPr>
            <w:tcW w:w="1418" w:type="dxa"/>
            <w:vAlign w:val="center"/>
          </w:tcPr>
          <w:p w14:paraId="2F20B60B" w14:textId="77777777" w:rsidR="008143D9" w:rsidRPr="00C07B2E" w:rsidRDefault="008143D9" w:rsidP="005A428D">
            <w:pPr>
              <w:rPr>
                <w:rFonts w:eastAsia="SimSun"/>
              </w:rPr>
            </w:pPr>
            <w:r w:rsidRPr="00C07B2E">
              <w:rPr>
                <w:rFonts w:eastAsia="SimSun"/>
              </w:rPr>
              <w:t>–</w:t>
            </w:r>
          </w:p>
        </w:tc>
        <w:tc>
          <w:tcPr>
            <w:tcW w:w="1701" w:type="dxa"/>
            <w:vAlign w:val="center"/>
          </w:tcPr>
          <w:p w14:paraId="14F4924D" w14:textId="77777777" w:rsidR="008143D9" w:rsidRPr="00C07B2E" w:rsidRDefault="008143D9" w:rsidP="005A428D">
            <w:pPr>
              <w:rPr>
                <w:rFonts w:eastAsia="SimSun"/>
              </w:rPr>
            </w:pPr>
            <w:r w:rsidRPr="00C07B2E">
              <w:rPr>
                <w:rFonts w:eastAsia="SimSun"/>
              </w:rPr>
              <w:t xml:space="preserve">С +5 дня по +35 день </w:t>
            </w:r>
          </w:p>
        </w:tc>
        <w:tc>
          <w:tcPr>
            <w:tcW w:w="2268" w:type="dxa"/>
            <w:vAlign w:val="center"/>
          </w:tcPr>
          <w:p w14:paraId="059D4056" w14:textId="77777777" w:rsidR="008143D9" w:rsidRPr="00C07B2E" w:rsidRDefault="008143D9" w:rsidP="005A428D">
            <w:pPr>
              <w:rPr>
                <w:rFonts w:eastAsia="SimSun"/>
              </w:rPr>
            </w:pPr>
            <w:r w:rsidRPr="00C07B2E">
              <w:rPr>
                <w:rFonts w:eastAsia="SimSun"/>
              </w:rPr>
              <w:t>Внутрь, суммарная суточная доза разделяется на 2- 4 приема (не более 3г/сут).</w:t>
            </w:r>
          </w:p>
        </w:tc>
      </w:tr>
    </w:tbl>
    <w:p w14:paraId="7DBD418D" w14:textId="77777777" w:rsidR="008143D9" w:rsidRPr="00C07B2E" w:rsidRDefault="008143D9" w:rsidP="008143D9">
      <w:pPr>
        <w:rPr>
          <w:rFonts w:eastAsia="SimSun"/>
        </w:rPr>
      </w:pPr>
    </w:p>
    <w:p w14:paraId="6088B5BB" w14:textId="77777777" w:rsidR="008143D9" w:rsidRPr="00C07B2E" w:rsidRDefault="008143D9" w:rsidP="008143D9">
      <w:pPr>
        <w:rPr>
          <w:rFonts w:eastAsia="SimSun"/>
        </w:rPr>
      </w:pPr>
      <w:bookmarkStart w:id="119" w:name="_Toc44401153"/>
      <w:r w:rsidRPr="00042499">
        <w:rPr>
          <w:rFonts w:eastAsia="SimSun"/>
        </w:rPr>
        <w:t>Таблица</w:t>
      </w:r>
      <w:r w:rsidRPr="00C07B2E">
        <w:rPr>
          <w:rFonts w:eastAsia="SimSun"/>
        </w:rPr>
        <w:t xml:space="preserve"> </w:t>
      </w:r>
      <w:r>
        <w:rPr>
          <w:rFonts w:eastAsia="SimSun"/>
        </w:rPr>
        <w:t>5</w:t>
      </w:r>
      <w:r w:rsidRPr="00C07B2E">
        <w:rPr>
          <w:rFonts w:eastAsia="SimSun"/>
        </w:rPr>
        <w:t>.1.1.10  – Flu180+Bu14 / PT-Cy+CSA+MMF30</w:t>
      </w:r>
      <w:bookmarkEnd w:id="119"/>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2"/>
        <w:gridCol w:w="1810"/>
        <w:gridCol w:w="1417"/>
        <w:gridCol w:w="1418"/>
        <w:gridCol w:w="1701"/>
        <w:gridCol w:w="2268"/>
      </w:tblGrid>
      <w:tr w:rsidR="008143D9" w:rsidRPr="00C07B2E" w14:paraId="28A78329" w14:textId="77777777" w:rsidTr="005A428D">
        <w:trPr>
          <w:cantSplit/>
          <w:trHeight w:val="20"/>
          <w:tblHeader/>
        </w:trPr>
        <w:tc>
          <w:tcPr>
            <w:tcW w:w="992" w:type="dxa"/>
            <w:vAlign w:val="center"/>
          </w:tcPr>
          <w:p w14:paraId="77B0BC58" w14:textId="77777777" w:rsidR="008143D9" w:rsidRPr="00470D3D" w:rsidRDefault="008143D9" w:rsidP="005A428D">
            <w:pPr>
              <w:rPr>
                <w:rFonts w:eastAsia="SimSun"/>
              </w:rPr>
            </w:pPr>
          </w:p>
        </w:tc>
        <w:tc>
          <w:tcPr>
            <w:tcW w:w="1810" w:type="dxa"/>
            <w:vAlign w:val="center"/>
          </w:tcPr>
          <w:p w14:paraId="52366E02" w14:textId="77777777" w:rsidR="008143D9" w:rsidRPr="00C07B2E" w:rsidRDefault="008143D9" w:rsidP="005A428D">
            <w:pPr>
              <w:rPr>
                <w:rFonts w:eastAsia="SimSun"/>
              </w:rPr>
            </w:pPr>
            <w:r w:rsidRPr="00C07B2E">
              <w:rPr>
                <w:rFonts w:eastAsia="SimSun"/>
              </w:rPr>
              <w:t>Препарат</w:t>
            </w:r>
          </w:p>
        </w:tc>
        <w:tc>
          <w:tcPr>
            <w:tcW w:w="1417" w:type="dxa"/>
            <w:vAlign w:val="center"/>
          </w:tcPr>
          <w:p w14:paraId="0D272E41" w14:textId="77777777" w:rsidR="008143D9" w:rsidRPr="00C07B2E" w:rsidRDefault="008143D9" w:rsidP="005A428D">
            <w:pPr>
              <w:rPr>
                <w:rFonts w:eastAsia="SimSun"/>
              </w:rPr>
            </w:pPr>
            <w:r w:rsidRPr="00C07B2E">
              <w:rPr>
                <w:rFonts w:eastAsia="SimSun"/>
              </w:rPr>
              <w:t>Суточная доза</w:t>
            </w:r>
          </w:p>
        </w:tc>
        <w:tc>
          <w:tcPr>
            <w:tcW w:w="1418" w:type="dxa"/>
            <w:vAlign w:val="center"/>
          </w:tcPr>
          <w:p w14:paraId="332619D4" w14:textId="77777777" w:rsidR="008143D9" w:rsidRPr="00C07B2E" w:rsidRDefault="008143D9" w:rsidP="005A428D">
            <w:pPr>
              <w:rPr>
                <w:rFonts w:eastAsia="SimSun"/>
              </w:rPr>
            </w:pPr>
            <w:r w:rsidRPr="00C07B2E">
              <w:rPr>
                <w:rFonts w:eastAsia="SimSun"/>
              </w:rPr>
              <w:t>Курсовая доза</w:t>
            </w:r>
          </w:p>
        </w:tc>
        <w:tc>
          <w:tcPr>
            <w:tcW w:w="1701" w:type="dxa"/>
            <w:vAlign w:val="center"/>
          </w:tcPr>
          <w:p w14:paraId="57B9A5EB" w14:textId="77777777" w:rsidR="008143D9" w:rsidRPr="00C07B2E" w:rsidRDefault="008143D9" w:rsidP="005A428D">
            <w:pPr>
              <w:rPr>
                <w:rFonts w:eastAsia="SimSun"/>
              </w:rPr>
            </w:pPr>
            <w:r w:rsidRPr="00C07B2E">
              <w:rPr>
                <w:rFonts w:eastAsia="SimSun"/>
              </w:rPr>
              <w:t>Дни введения</w:t>
            </w:r>
          </w:p>
        </w:tc>
        <w:tc>
          <w:tcPr>
            <w:tcW w:w="2268" w:type="dxa"/>
            <w:vAlign w:val="center"/>
          </w:tcPr>
          <w:p w14:paraId="081F024A" w14:textId="77777777" w:rsidR="008143D9" w:rsidRPr="00C07B2E" w:rsidRDefault="008143D9" w:rsidP="005A428D">
            <w:pPr>
              <w:rPr>
                <w:rFonts w:eastAsia="SimSun"/>
              </w:rPr>
            </w:pPr>
            <w:r w:rsidRPr="00C07B2E">
              <w:rPr>
                <w:rFonts w:eastAsia="SimSun"/>
              </w:rPr>
              <w:t>Порядок введения</w:t>
            </w:r>
          </w:p>
        </w:tc>
      </w:tr>
      <w:tr w:rsidR="008143D9" w:rsidRPr="00C07B2E" w14:paraId="1A8B9E30" w14:textId="77777777" w:rsidTr="005A428D">
        <w:trPr>
          <w:cantSplit/>
          <w:trHeight w:val="20"/>
        </w:trPr>
        <w:tc>
          <w:tcPr>
            <w:tcW w:w="992" w:type="dxa"/>
            <w:vMerge w:val="restart"/>
            <w:textDirection w:val="btLr"/>
            <w:vAlign w:val="center"/>
          </w:tcPr>
          <w:p w14:paraId="3D5F912A" w14:textId="77777777" w:rsidR="008143D9" w:rsidRPr="00C07B2E" w:rsidRDefault="008143D9" w:rsidP="005A428D">
            <w:pPr>
              <w:rPr>
                <w:rFonts w:eastAsia="SimSun"/>
              </w:rPr>
            </w:pPr>
            <w:r w:rsidRPr="00C07B2E">
              <w:rPr>
                <w:rFonts w:eastAsia="SimSun"/>
              </w:rPr>
              <w:t>Кондиционирование</w:t>
            </w:r>
          </w:p>
        </w:tc>
        <w:tc>
          <w:tcPr>
            <w:tcW w:w="1810" w:type="dxa"/>
            <w:vAlign w:val="center"/>
          </w:tcPr>
          <w:p w14:paraId="1650C6DC" w14:textId="77777777" w:rsidR="008143D9" w:rsidRPr="00C07B2E" w:rsidRDefault="008143D9" w:rsidP="005A428D">
            <w:pPr>
              <w:rPr>
                <w:rFonts w:eastAsia="SimSun"/>
              </w:rPr>
            </w:pPr>
            <w:r w:rsidRPr="00C07B2E">
              <w:rPr>
                <w:rFonts w:eastAsia="SimSun"/>
              </w:rPr>
              <w:t xml:space="preserve">Флударабин </w:t>
            </w:r>
          </w:p>
        </w:tc>
        <w:tc>
          <w:tcPr>
            <w:tcW w:w="1417" w:type="dxa"/>
            <w:vAlign w:val="center"/>
          </w:tcPr>
          <w:p w14:paraId="33E9AE27" w14:textId="77777777" w:rsidR="008143D9" w:rsidRPr="00C07B2E" w:rsidRDefault="008143D9" w:rsidP="005A428D">
            <w:pPr>
              <w:rPr>
                <w:rFonts w:eastAsia="SimSun"/>
              </w:rPr>
            </w:pPr>
            <w:r w:rsidRPr="00C07B2E">
              <w:rPr>
                <w:rFonts w:eastAsia="SimSun"/>
              </w:rPr>
              <w:t>30 мг/м</w:t>
            </w:r>
            <w:r w:rsidRPr="000F445E">
              <w:rPr>
                <w:rFonts w:eastAsia="SimSun"/>
                <w:vertAlign w:val="superscript"/>
              </w:rPr>
              <w:t>2</w:t>
            </w:r>
          </w:p>
        </w:tc>
        <w:tc>
          <w:tcPr>
            <w:tcW w:w="1418" w:type="dxa"/>
            <w:vAlign w:val="center"/>
          </w:tcPr>
          <w:p w14:paraId="26CAEBE8" w14:textId="77777777" w:rsidR="008143D9" w:rsidRPr="00C07B2E" w:rsidRDefault="008143D9" w:rsidP="005A428D">
            <w:pPr>
              <w:rPr>
                <w:rFonts w:eastAsia="SimSun"/>
              </w:rPr>
            </w:pPr>
            <w:r w:rsidRPr="00C07B2E">
              <w:rPr>
                <w:rFonts w:eastAsia="SimSun"/>
              </w:rPr>
              <w:t>180 мг/м</w:t>
            </w:r>
            <w:r w:rsidRPr="000F445E">
              <w:rPr>
                <w:rFonts w:eastAsia="SimSun"/>
                <w:vertAlign w:val="superscript"/>
              </w:rPr>
              <w:t>2</w:t>
            </w:r>
          </w:p>
        </w:tc>
        <w:tc>
          <w:tcPr>
            <w:tcW w:w="1701" w:type="dxa"/>
            <w:vAlign w:val="center"/>
          </w:tcPr>
          <w:p w14:paraId="51C8DFAC" w14:textId="77777777" w:rsidR="008143D9" w:rsidRPr="00C07B2E" w:rsidRDefault="008143D9" w:rsidP="005A428D">
            <w:pPr>
              <w:rPr>
                <w:rFonts w:eastAsia="SimSun"/>
              </w:rPr>
            </w:pPr>
            <w:r w:rsidRPr="00C07B2E">
              <w:rPr>
                <w:rFonts w:eastAsia="SimSun"/>
              </w:rPr>
              <w:t>С -7 дня по -2 день</w:t>
            </w:r>
          </w:p>
        </w:tc>
        <w:tc>
          <w:tcPr>
            <w:tcW w:w="2268" w:type="dxa"/>
            <w:vAlign w:val="center"/>
          </w:tcPr>
          <w:p w14:paraId="2239B2C3" w14:textId="77777777" w:rsidR="008143D9" w:rsidRPr="00C07B2E" w:rsidRDefault="008143D9" w:rsidP="005A428D">
            <w:pPr>
              <w:rPr>
                <w:rFonts w:eastAsia="SimSun"/>
              </w:rPr>
            </w:pPr>
            <w:r w:rsidRPr="00C07B2E">
              <w:rPr>
                <w:rFonts w:eastAsia="SimSun"/>
              </w:rPr>
              <w:t>В/в, в течение 30 - 60 мин</w:t>
            </w:r>
          </w:p>
        </w:tc>
      </w:tr>
      <w:tr w:rsidR="008143D9" w:rsidRPr="00C07B2E" w14:paraId="6F82F07E" w14:textId="77777777" w:rsidTr="005A428D">
        <w:trPr>
          <w:cantSplit/>
          <w:trHeight w:val="1207"/>
        </w:trPr>
        <w:tc>
          <w:tcPr>
            <w:tcW w:w="992" w:type="dxa"/>
            <w:vMerge/>
            <w:vAlign w:val="center"/>
          </w:tcPr>
          <w:p w14:paraId="79404584" w14:textId="77777777" w:rsidR="008143D9" w:rsidRPr="00C07B2E" w:rsidRDefault="008143D9" w:rsidP="005A428D">
            <w:pPr>
              <w:rPr>
                <w:rFonts w:eastAsia="SimSun"/>
              </w:rPr>
            </w:pPr>
          </w:p>
        </w:tc>
        <w:tc>
          <w:tcPr>
            <w:tcW w:w="1810" w:type="dxa"/>
            <w:vAlign w:val="center"/>
          </w:tcPr>
          <w:p w14:paraId="31B7CDFE" w14:textId="77777777" w:rsidR="008143D9" w:rsidRPr="00C07B2E" w:rsidRDefault="008143D9" w:rsidP="005A428D">
            <w:pPr>
              <w:rPr>
                <w:rFonts w:eastAsia="SimSun"/>
              </w:rPr>
            </w:pPr>
            <w:r w:rsidRPr="00C07B2E">
              <w:rPr>
                <w:rFonts w:eastAsia="SimSun"/>
              </w:rPr>
              <w:t>Бусульфан</w:t>
            </w:r>
          </w:p>
        </w:tc>
        <w:tc>
          <w:tcPr>
            <w:tcW w:w="1417" w:type="dxa"/>
            <w:vAlign w:val="center"/>
          </w:tcPr>
          <w:p w14:paraId="7366589F" w14:textId="77777777" w:rsidR="008143D9" w:rsidRPr="00C07B2E" w:rsidRDefault="008143D9" w:rsidP="005A428D">
            <w:pPr>
              <w:rPr>
                <w:rFonts w:eastAsia="SimSun"/>
              </w:rPr>
            </w:pPr>
            <w:r w:rsidRPr="00C07B2E">
              <w:rPr>
                <w:rFonts w:eastAsia="SimSun"/>
              </w:rPr>
              <w:t xml:space="preserve">4 мг/кг </w:t>
            </w:r>
          </w:p>
        </w:tc>
        <w:tc>
          <w:tcPr>
            <w:tcW w:w="1418" w:type="dxa"/>
            <w:vAlign w:val="center"/>
          </w:tcPr>
          <w:p w14:paraId="3862B350" w14:textId="77777777" w:rsidR="008143D9" w:rsidRPr="00C07B2E" w:rsidRDefault="008143D9" w:rsidP="005A428D">
            <w:pPr>
              <w:rPr>
                <w:rFonts w:eastAsia="SimSun"/>
              </w:rPr>
            </w:pPr>
            <w:r w:rsidRPr="00C07B2E">
              <w:rPr>
                <w:rFonts w:eastAsia="SimSun"/>
                <w:lang w:val="en-US"/>
              </w:rPr>
              <w:t>14</w:t>
            </w:r>
            <w:r w:rsidRPr="00C07B2E">
              <w:rPr>
                <w:rFonts w:eastAsia="SimSun"/>
              </w:rPr>
              <w:t xml:space="preserve"> мг/кг </w:t>
            </w:r>
          </w:p>
        </w:tc>
        <w:tc>
          <w:tcPr>
            <w:tcW w:w="1701" w:type="dxa"/>
            <w:vAlign w:val="center"/>
          </w:tcPr>
          <w:p w14:paraId="3D85DF1A" w14:textId="77777777" w:rsidR="008143D9" w:rsidRPr="00C07B2E" w:rsidRDefault="008143D9" w:rsidP="005A428D">
            <w:pPr>
              <w:rPr>
                <w:rFonts w:eastAsia="SimSun"/>
              </w:rPr>
            </w:pPr>
            <w:r w:rsidRPr="00C07B2E">
              <w:rPr>
                <w:rFonts w:eastAsia="SimSun"/>
              </w:rPr>
              <w:t>С -</w:t>
            </w:r>
            <w:r w:rsidRPr="00C07B2E">
              <w:rPr>
                <w:rFonts w:eastAsia="SimSun"/>
                <w:lang w:val="en-US"/>
              </w:rPr>
              <w:t>6</w:t>
            </w:r>
            <w:r w:rsidRPr="00C07B2E">
              <w:rPr>
                <w:rFonts w:eastAsia="SimSun"/>
              </w:rPr>
              <w:t xml:space="preserve"> дня по -3 день</w:t>
            </w:r>
          </w:p>
        </w:tc>
        <w:tc>
          <w:tcPr>
            <w:tcW w:w="2268" w:type="dxa"/>
            <w:vAlign w:val="center"/>
          </w:tcPr>
          <w:p w14:paraId="53CCB685" w14:textId="77777777" w:rsidR="008143D9" w:rsidRPr="00C07B2E" w:rsidRDefault="008143D9" w:rsidP="005A428D">
            <w:pPr>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8143D9" w:rsidRPr="00C07B2E" w14:paraId="5DBF49F2" w14:textId="77777777" w:rsidTr="005A428D">
        <w:trPr>
          <w:cantSplit/>
          <w:trHeight w:val="424"/>
        </w:trPr>
        <w:tc>
          <w:tcPr>
            <w:tcW w:w="992" w:type="dxa"/>
            <w:vMerge w:val="restart"/>
            <w:textDirection w:val="btLr"/>
            <w:vAlign w:val="center"/>
          </w:tcPr>
          <w:p w14:paraId="0D510C5C" w14:textId="77777777" w:rsidR="008143D9" w:rsidRPr="00C07B2E" w:rsidRDefault="008143D9" w:rsidP="005A428D">
            <w:pPr>
              <w:rPr>
                <w:rFonts w:eastAsia="SimSun"/>
              </w:rPr>
            </w:pPr>
            <w:r w:rsidRPr="00C07B2E">
              <w:rPr>
                <w:rFonts w:eastAsia="SimSun"/>
              </w:rPr>
              <w:t>Профилактика РТПХ</w:t>
            </w:r>
          </w:p>
        </w:tc>
        <w:tc>
          <w:tcPr>
            <w:tcW w:w="1810" w:type="dxa"/>
            <w:vAlign w:val="center"/>
          </w:tcPr>
          <w:p w14:paraId="7953DF30" w14:textId="77777777" w:rsidR="008143D9" w:rsidRPr="00C07B2E" w:rsidRDefault="008143D9" w:rsidP="005A428D">
            <w:pPr>
              <w:rPr>
                <w:rFonts w:eastAsia="SimSun"/>
              </w:rPr>
            </w:pPr>
            <w:r w:rsidRPr="00C07B2E">
              <w:rPr>
                <w:rFonts w:eastAsia="SimSun"/>
              </w:rPr>
              <w:t>Циклофосфамид</w:t>
            </w:r>
          </w:p>
        </w:tc>
        <w:tc>
          <w:tcPr>
            <w:tcW w:w="1417" w:type="dxa"/>
            <w:vAlign w:val="center"/>
          </w:tcPr>
          <w:p w14:paraId="21A6365E" w14:textId="77777777" w:rsidR="008143D9" w:rsidRPr="00C07B2E" w:rsidRDefault="008143D9" w:rsidP="005A428D">
            <w:pPr>
              <w:rPr>
                <w:rFonts w:eastAsia="SimSun"/>
              </w:rPr>
            </w:pPr>
            <w:r w:rsidRPr="00C07B2E">
              <w:rPr>
                <w:rFonts w:eastAsia="SimSun"/>
              </w:rPr>
              <w:t>50 мг/кг</w:t>
            </w:r>
          </w:p>
        </w:tc>
        <w:tc>
          <w:tcPr>
            <w:tcW w:w="1418" w:type="dxa"/>
            <w:vAlign w:val="center"/>
          </w:tcPr>
          <w:p w14:paraId="0080666E" w14:textId="77777777" w:rsidR="008143D9" w:rsidRPr="00C07B2E" w:rsidRDefault="008143D9" w:rsidP="005A428D">
            <w:pPr>
              <w:rPr>
                <w:rFonts w:eastAsia="SimSun"/>
              </w:rPr>
            </w:pPr>
            <w:r w:rsidRPr="00C07B2E">
              <w:rPr>
                <w:rFonts w:eastAsia="SimSun"/>
              </w:rPr>
              <w:t>100 мг/кг</w:t>
            </w:r>
          </w:p>
        </w:tc>
        <w:tc>
          <w:tcPr>
            <w:tcW w:w="1701" w:type="dxa"/>
            <w:vAlign w:val="center"/>
          </w:tcPr>
          <w:p w14:paraId="58E638DD" w14:textId="77777777" w:rsidR="008143D9" w:rsidRPr="00C07B2E" w:rsidRDefault="008143D9" w:rsidP="005A428D">
            <w:pPr>
              <w:rPr>
                <w:rFonts w:eastAsia="SimSun"/>
              </w:rPr>
            </w:pPr>
            <w:r w:rsidRPr="00C07B2E">
              <w:rPr>
                <w:rFonts w:eastAsia="SimSun"/>
              </w:rPr>
              <w:t>В +3 день  и +5 день</w:t>
            </w:r>
          </w:p>
        </w:tc>
        <w:tc>
          <w:tcPr>
            <w:tcW w:w="2268" w:type="dxa"/>
            <w:vAlign w:val="center"/>
          </w:tcPr>
          <w:p w14:paraId="13206B41" w14:textId="77777777" w:rsidR="008143D9" w:rsidRPr="00C07B2E" w:rsidRDefault="008143D9" w:rsidP="005A428D">
            <w:pPr>
              <w:rPr>
                <w:rFonts w:eastAsia="SimSun"/>
              </w:rPr>
            </w:pPr>
            <w:r w:rsidRPr="00C07B2E">
              <w:rPr>
                <w:rFonts w:eastAsia="SimSun"/>
              </w:rPr>
              <w:t xml:space="preserve">В/в, в течение 2 ч  </w:t>
            </w:r>
          </w:p>
        </w:tc>
      </w:tr>
      <w:tr w:rsidR="008143D9" w:rsidRPr="00C07B2E" w14:paraId="43D37499" w14:textId="77777777" w:rsidTr="005A428D">
        <w:trPr>
          <w:cantSplit/>
          <w:trHeight w:val="958"/>
        </w:trPr>
        <w:tc>
          <w:tcPr>
            <w:tcW w:w="992" w:type="dxa"/>
            <w:vMerge/>
            <w:textDirection w:val="btLr"/>
            <w:vAlign w:val="center"/>
          </w:tcPr>
          <w:p w14:paraId="0E849EA3" w14:textId="77777777" w:rsidR="008143D9" w:rsidRPr="00C07B2E" w:rsidRDefault="008143D9" w:rsidP="005A428D">
            <w:pPr>
              <w:rPr>
                <w:rFonts w:eastAsia="SimSun"/>
              </w:rPr>
            </w:pPr>
          </w:p>
        </w:tc>
        <w:tc>
          <w:tcPr>
            <w:tcW w:w="1810" w:type="dxa"/>
            <w:vAlign w:val="center"/>
          </w:tcPr>
          <w:p w14:paraId="10C67EE7" w14:textId="77777777" w:rsidR="008143D9" w:rsidRPr="00C07B2E" w:rsidRDefault="008143D9" w:rsidP="005A428D">
            <w:pPr>
              <w:rPr>
                <w:rFonts w:eastAsia="SimSun"/>
              </w:rPr>
            </w:pPr>
            <w:r w:rsidRPr="00C07B2E">
              <w:rPr>
                <w:rFonts w:eastAsia="SimSun"/>
              </w:rPr>
              <w:t>Микофенолата мофетил</w:t>
            </w:r>
          </w:p>
        </w:tc>
        <w:tc>
          <w:tcPr>
            <w:tcW w:w="1417" w:type="dxa"/>
            <w:vAlign w:val="center"/>
          </w:tcPr>
          <w:p w14:paraId="29FF136D" w14:textId="77777777" w:rsidR="008143D9" w:rsidRPr="00C07B2E" w:rsidRDefault="008143D9" w:rsidP="005A428D">
            <w:pPr>
              <w:rPr>
                <w:rFonts w:eastAsia="SimSun"/>
              </w:rPr>
            </w:pPr>
            <w:r w:rsidRPr="00C07B2E">
              <w:rPr>
                <w:rFonts w:eastAsia="SimSun"/>
              </w:rPr>
              <w:t xml:space="preserve">30 мг/кг </w:t>
            </w:r>
          </w:p>
        </w:tc>
        <w:tc>
          <w:tcPr>
            <w:tcW w:w="1418" w:type="dxa"/>
            <w:vAlign w:val="center"/>
          </w:tcPr>
          <w:p w14:paraId="3998F638" w14:textId="77777777" w:rsidR="008143D9" w:rsidRPr="00C07B2E" w:rsidRDefault="008143D9" w:rsidP="005A428D">
            <w:pPr>
              <w:rPr>
                <w:rFonts w:eastAsia="SimSun"/>
              </w:rPr>
            </w:pPr>
            <w:r w:rsidRPr="00C07B2E">
              <w:rPr>
                <w:rFonts w:eastAsia="SimSun"/>
              </w:rPr>
              <w:t>–</w:t>
            </w:r>
          </w:p>
        </w:tc>
        <w:tc>
          <w:tcPr>
            <w:tcW w:w="1701" w:type="dxa"/>
            <w:vAlign w:val="center"/>
          </w:tcPr>
          <w:p w14:paraId="3C2A8FF8" w14:textId="77777777" w:rsidR="008143D9" w:rsidRPr="00C07B2E" w:rsidRDefault="008143D9" w:rsidP="005A428D">
            <w:pPr>
              <w:rPr>
                <w:rFonts w:eastAsia="SimSun"/>
              </w:rPr>
            </w:pPr>
            <w:r w:rsidRPr="00C07B2E">
              <w:rPr>
                <w:rFonts w:eastAsia="SimSun"/>
              </w:rPr>
              <w:t xml:space="preserve">С +1 дня по +28 день </w:t>
            </w:r>
          </w:p>
        </w:tc>
        <w:tc>
          <w:tcPr>
            <w:tcW w:w="2268" w:type="dxa"/>
            <w:vAlign w:val="center"/>
          </w:tcPr>
          <w:p w14:paraId="47E1FDD3" w14:textId="77777777" w:rsidR="008143D9" w:rsidRPr="00C07B2E" w:rsidRDefault="008143D9" w:rsidP="005A428D">
            <w:pPr>
              <w:rPr>
                <w:rFonts w:eastAsia="SimSun"/>
              </w:rPr>
            </w:pPr>
            <w:r w:rsidRPr="00C07B2E">
              <w:rPr>
                <w:rFonts w:eastAsia="SimSun"/>
              </w:rPr>
              <w:t>Внутрь, суммарная суточная доза разделяется на 2- 4 приема (не более 3г/сут).</w:t>
            </w:r>
          </w:p>
        </w:tc>
      </w:tr>
      <w:tr w:rsidR="008143D9" w:rsidRPr="000F445E" w14:paraId="56FA4E22" w14:textId="77777777" w:rsidTr="005A428D">
        <w:trPr>
          <w:cantSplit/>
          <w:trHeight w:val="958"/>
        </w:trPr>
        <w:tc>
          <w:tcPr>
            <w:tcW w:w="992" w:type="dxa"/>
            <w:vMerge/>
            <w:textDirection w:val="btLr"/>
            <w:vAlign w:val="center"/>
          </w:tcPr>
          <w:p w14:paraId="222CEF78" w14:textId="77777777" w:rsidR="008143D9" w:rsidRPr="00C07B2E" w:rsidRDefault="008143D9" w:rsidP="005A428D">
            <w:pPr>
              <w:rPr>
                <w:rFonts w:eastAsia="SimSun"/>
              </w:rPr>
            </w:pPr>
          </w:p>
        </w:tc>
        <w:tc>
          <w:tcPr>
            <w:tcW w:w="1810" w:type="dxa"/>
            <w:vAlign w:val="center"/>
          </w:tcPr>
          <w:p w14:paraId="30EB98ED" w14:textId="77777777" w:rsidR="008143D9" w:rsidRPr="00C07B2E" w:rsidRDefault="008143D9" w:rsidP="005A428D">
            <w:pPr>
              <w:rPr>
                <w:rFonts w:eastAsia="SimSun"/>
              </w:rPr>
            </w:pPr>
            <w:r w:rsidRPr="00C07B2E">
              <w:rPr>
                <w:rFonts w:eastAsia="SimSun"/>
              </w:rPr>
              <w:t>Циклоспорин А</w:t>
            </w:r>
          </w:p>
        </w:tc>
        <w:tc>
          <w:tcPr>
            <w:tcW w:w="1417" w:type="dxa"/>
            <w:vAlign w:val="center"/>
          </w:tcPr>
          <w:p w14:paraId="595676C4" w14:textId="77777777" w:rsidR="008143D9" w:rsidRPr="00C07B2E" w:rsidRDefault="008143D9" w:rsidP="005A428D">
            <w:pPr>
              <w:rPr>
                <w:rFonts w:eastAsia="SimSun"/>
              </w:rPr>
            </w:pPr>
            <w:r w:rsidRPr="00C07B2E">
              <w:rPr>
                <w:rFonts w:eastAsia="SimSun"/>
              </w:rPr>
              <w:t>3 мг/кг</w:t>
            </w:r>
          </w:p>
        </w:tc>
        <w:tc>
          <w:tcPr>
            <w:tcW w:w="1418" w:type="dxa"/>
            <w:vAlign w:val="center"/>
          </w:tcPr>
          <w:p w14:paraId="65171FA8" w14:textId="77777777" w:rsidR="008143D9" w:rsidRPr="00C07B2E" w:rsidRDefault="008143D9" w:rsidP="005A428D">
            <w:pPr>
              <w:rPr>
                <w:rFonts w:eastAsia="SimSun"/>
              </w:rPr>
            </w:pPr>
            <w:r w:rsidRPr="00C07B2E">
              <w:rPr>
                <w:rFonts w:eastAsia="SimSun"/>
              </w:rPr>
              <w:t>-</w:t>
            </w:r>
          </w:p>
        </w:tc>
        <w:tc>
          <w:tcPr>
            <w:tcW w:w="1701" w:type="dxa"/>
            <w:vAlign w:val="center"/>
          </w:tcPr>
          <w:p w14:paraId="432663CC" w14:textId="77777777" w:rsidR="008143D9" w:rsidRPr="00C07B2E" w:rsidRDefault="008143D9" w:rsidP="005A428D">
            <w:pPr>
              <w:rPr>
                <w:rFonts w:eastAsia="SimSun"/>
              </w:rPr>
            </w:pPr>
            <w:r w:rsidRPr="00C07B2E">
              <w:rPr>
                <w:rFonts w:eastAsia="SimSun"/>
              </w:rPr>
              <w:t xml:space="preserve">С -1 дня по +100 день </w:t>
            </w:r>
          </w:p>
        </w:tc>
        <w:tc>
          <w:tcPr>
            <w:tcW w:w="2268" w:type="dxa"/>
            <w:vAlign w:val="center"/>
          </w:tcPr>
          <w:p w14:paraId="32CF54F0" w14:textId="77777777" w:rsidR="008143D9" w:rsidRPr="000F445E" w:rsidRDefault="008143D9" w:rsidP="005A428D">
            <w:pPr>
              <w:rPr>
                <w:rFonts w:eastAsia="SimSun"/>
              </w:rPr>
            </w:pPr>
            <w:r w:rsidRPr="00C07B2E">
              <w:rPr>
                <w:rFonts w:eastAsia="SimSun"/>
              </w:rPr>
              <w:t xml:space="preserve">В/в, 5-часовая инфузия 2 раза/сут. </w:t>
            </w:r>
            <w:r w:rsidRPr="000F445E">
              <w:rPr>
                <w:rFonts w:eastAsia="SimSun"/>
              </w:rPr>
              <w:t>Перевод на прием внутрь при условии восстановления лейкоцитов &gt; 1</w:t>
            </w:r>
            <w:r>
              <w:rPr>
                <w:rFonts w:eastAsia="SimSun"/>
              </w:rPr>
              <w:t>х 1</w:t>
            </w:r>
            <w:r w:rsidRPr="000F445E">
              <w:rPr>
                <w:rFonts w:eastAsia="SimSun"/>
              </w:rPr>
              <w:t>0</w:t>
            </w:r>
            <w:r w:rsidRPr="000F445E">
              <w:rPr>
                <w:rFonts w:eastAsia="SimSun"/>
                <w:vertAlign w:val="superscript"/>
              </w:rPr>
              <w:t>9</w:t>
            </w:r>
            <w:r w:rsidRPr="000F445E">
              <w:rPr>
                <w:rFonts w:eastAsia="SimSun"/>
              </w:rPr>
              <w:t>/л, при отсутствии тошноты, рвоты, диареи и возможности приема внутрь. Концентрация 150-350пг/мл.</w:t>
            </w:r>
          </w:p>
        </w:tc>
      </w:tr>
    </w:tbl>
    <w:p w14:paraId="5B944B1D" w14:textId="77777777" w:rsidR="008143D9" w:rsidRPr="00C07B2E" w:rsidRDefault="008143D9" w:rsidP="008143D9">
      <w:pPr>
        <w:rPr>
          <w:rFonts w:eastAsia="SimSun"/>
        </w:rPr>
      </w:pPr>
    </w:p>
    <w:p w14:paraId="63126C6D" w14:textId="77777777" w:rsidR="008143D9" w:rsidRPr="00C07B2E" w:rsidRDefault="008143D9" w:rsidP="008143D9">
      <w:pPr>
        <w:rPr>
          <w:rFonts w:eastAsia="SimSun"/>
        </w:rPr>
      </w:pPr>
      <w:bookmarkStart w:id="120" w:name="_Toc44401154"/>
      <w:r w:rsidRPr="00042499">
        <w:rPr>
          <w:rFonts w:eastAsia="SimSun"/>
        </w:rPr>
        <w:t>Таблица</w:t>
      </w:r>
      <w:r w:rsidRPr="00C07B2E">
        <w:rPr>
          <w:rFonts w:eastAsia="SimSun"/>
        </w:rPr>
        <w:t xml:space="preserve"> </w:t>
      </w:r>
      <w:r>
        <w:rPr>
          <w:rFonts w:eastAsia="SimSun"/>
        </w:rPr>
        <w:t>5</w:t>
      </w:r>
      <w:r w:rsidRPr="00C07B2E">
        <w:rPr>
          <w:rFonts w:eastAsia="SimSun"/>
        </w:rPr>
        <w:t>.1.1.11  – Flu180+Bu14 / Tx+MMF30</w:t>
      </w:r>
      <w:bookmarkEnd w:id="120"/>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09"/>
        <w:gridCol w:w="1417"/>
        <w:gridCol w:w="1418"/>
        <w:gridCol w:w="1701"/>
        <w:gridCol w:w="2268"/>
      </w:tblGrid>
      <w:tr w:rsidR="008143D9" w:rsidRPr="00C07B2E" w14:paraId="6165855B" w14:textId="77777777" w:rsidTr="005A428D">
        <w:trPr>
          <w:cantSplit/>
          <w:trHeight w:val="20"/>
          <w:tblHeader/>
        </w:trPr>
        <w:tc>
          <w:tcPr>
            <w:tcW w:w="993" w:type="dxa"/>
            <w:vAlign w:val="center"/>
          </w:tcPr>
          <w:p w14:paraId="54D68A15" w14:textId="77777777" w:rsidR="008143D9" w:rsidRPr="00C07B2E" w:rsidRDefault="008143D9" w:rsidP="005A428D">
            <w:pPr>
              <w:rPr>
                <w:rFonts w:eastAsia="SimSun"/>
              </w:rPr>
            </w:pPr>
          </w:p>
        </w:tc>
        <w:tc>
          <w:tcPr>
            <w:tcW w:w="1809" w:type="dxa"/>
            <w:vAlign w:val="center"/>
          </w:tcPr>
          <w:p w14:paraId="457C2477" w14:textId="77777777" w:rsidR="008143D9" w:rsidRPr="00C07B2E" w:rsidRDefault="008143D9" w:rsidP="005A428D">
            <w:pPr>
              <w:rPr>
                <w:rFonts w:eastAsia="SimSun"/>
              </w:rPr>
            </w:pPr>
            <w:r w:rsidRPr="00C07B2E">
              <w:rPr>
                <w:rFonts w:eastAsia="SimSun"/>
              </w:rPr>
              <w:t>Препарат</w:t>
            </w:r>
          </w:p>
        </w:tc>
        <w:tc>
          <w:tcPr>
            <w:tcW w:w="1417" w:type="dxa"/>
            <w:vAlign w:val="center"/>
          </w:tcPr>
          <w:p w14:paraId="468FC518" w14:textId="77777777" w:rsidR="008143D9" w:rsidRPr="00C07B2E" w:rsidRDefault="008143D9" w:rsidP="005A428D">
            <w:pPr>
              <w:rPr>
                <w:rFonts w:eastAsia="SimSun"/>
              </w:rPr>
            </w:pPr>
            <w:r w:rsidRPr="00C07B2E">
              <w:rPr>
                <w:rFonts w:eastAsia="SimSun"/>
              </w:rPr>
              <w:t>Суточная доза</w:t>
            </w:r>
          </w:p>
        </w:tc>
        <w:tc>
          <w:tcPr>
            <w:tcW w:w="1418" w:type="dxa"/>
            <w:vAlign w:val="center"/>
          </w:tcPr>
          <w:p w14:paraId="1488F7B9" w14:textId="77777777" w:rsidR="008143D9" w:rsidRPr="00C07B2E" w:rsidRDefault="008143D9" w:rsidP="005A428D">
            <w:pPr>
              <w:rPr>
                <w:rFonts w:eastAsia="SimSun"/>
              </w:rPr>
            </w:pPr>
            <w:r w:rsidRPr="00C07B2E">
              <w:rPr>
                <w:rFonts w:eastAsia="SimSun"/>
              </w:rPr>
              <w:t>Курсовая доза</w:t>
            </w:r>
          </w:p>
        </w:tc>
        <w:tc>
          <w:tcPr>
            <w:tcW w:w="1701" w:type="dxa"/>
            <w:vAlign w:val="center"/>
          </w:tcPr>
          <w:p w14:paraId="65942B0D" w14:textId="77777777" w:rsidR="008143D9" w:rsidRPr="00C07B2E" w:rsidRDefault="008143D9" w:rsidP="005A428D">
            <w:pPr>
              <w:rPr>
                <w:rFonts w:eastAsia="SimSun"/>
              </w:rPr>
            </w:pPr>
            <w:r w:rsidRPr="00C07B2E">
              <w:rPr>
                <w:rFonts w:eastAsia="SimSun"/>
              </w:rPr>
              <w:t>Дни введения</w:t>
            </w:r>
          </w:p>
        </w:tc>
        <w:tc>
          <w:tcPr>
            <w:tcW w:w="2268" w:type="dxa"/>
            <w:vAlign w:val="center"/>
          </w:tcPr>
          <w:p w14:paraId="0044906E" w14:textId="77777777" w:rsidR="008143D9" w:rsidRPr="00C07B2E" w:rsidRDefault="008143D9" w:rsidP="005A428D">
            <w:pPr>
              <w:rPr>
                <w:rFonts w:eastAsia="SimSun"/>
              </w:rPr>
            </w:pPr>
            <w:r w:rsidRPr="00C07B2E">
              <w:rPr>
                <w:rFonts w:eastAsia="SimSun"/>
              </w:rPr>
              <w:t>Порядок введения</w:t>
            </w:r>
          </w:p>
        </w:tc>
      </w:tr>
      <w:tr w:rsidR="008143D9" w:rsidRPr="00C07B2E" w14:paraId="481FBC8E" w14:textId="77777777" w:rsidTr="005A428D">
        <w:trPr>
          <w:cantSplit/>
          <w:trHeight w:val="20"/>
        </w:trPr>
        <w:tc>
          <w:tcPr>
            <w:tcW w:w="993" w:type="dxa"/>
            <w:vMerge w:val="restart"/>
            <w:textDirection w:val="btLr"/>
            <w:vAlign w:val="center"/>
          </w:tcPr>
          <w:p w14:paraId="0EB9D326" w14:textId="77777777" w:rsidR="008143D9" w:rsidRPr="00C07B2E" w:rsidRDefault="008143D9" w:rsidP="005A428D">
            <w:pPr>
              <w:rPr>
                <w:rFonts w:eastAsia="SimSun"/>
              </w:rPr>
            </w:pPr>
            <w:r w:rsidRPr="00C07B2E">
              <w:rPr>
                <w:rFonts w:eastAsia="SimSun"/>
              </w:rPr>
              <w:t>Кондиционирование</w:t>
            </w:r>
          </w:p>
        </w:tc>
        <w:tc>
          <w:tcPr>
            <w:tcW w:w="1809" w:type="dxa"/>
            <w:vAlign w:val="center"/>
          </w:tcPr>
          <w:p w14:paraId="09E60790" w14:textId="77777777" w:rsidR="008143D9" w:rsidRPr="00C07B2E" w:rsidRDefault="008143D9" w:rsidP="005A428D">
            <w:pPr>
              <w:rPr>
                <w:rFonts w:eastAsia="SimSun"/>
              </w:rPr>
            </w:pPr>
            <w:r w:rsidRPr="00C07B2E">
              <w:rPr>
                <w:rFonts w:eastAsia="SimSun"/>
              </w:rPr>
              <w:t xml:space="preserve">Флударабин </w:t>
            </w:r>
          </w:p>
        </w:tc>
        <w:tc>
          <w:tcPr>
            <w:tcW w:w="1417" w:type="dxa"/>
            <w:vAlign w:val="center"/>
          </w:tcPr>
          <w:p w14:paraId="58BCDFF9" w14:textId="77777777" w:rsidR="008143D9" w:rsidRPr="00C07B2E" w:rsidRDefault="008143D9" w:rsidP="005A428D">
            <w:pPr>
              <w:rPr>
                <w:rFonts w:eastAsia="SimSun"/>
              </w:rPr>
            </w:pPr>
            <w:r w:rsidRPr="00C07B2E">
              <w:rPr>
                <w:rFonts w:eastAsia="SimSun"/>
              </w:rPr>
              <w:t>30 мг/м</w:t>
            </w:r>
            <w:r w:rsidRPr="000F445E">
              <w:rPr>
                <w:rFonts w:eastAsia="SimSun"/>
                <w:vertAlign w:val="superscript"/>
              </w:rPr>
              <w:t>2</w:t>
            </w:r>
          </w:p>
        </w:tc>
        <w:tc>
          <w:tcPr>
            <w:tcW w:w="1418" w:type="dxa"/>
            <w:vAlign w:val="center"/>
          </w:tcPr>
          <w:p w14:paraId="60E94A4B" w14:textId="77777777" w:rsidR="008143D9" w:rsidRPr="00C07B2E" w:rsidRDefault="008143D9" w:rsidP="005A428D">
            <w:pPr>
              <w:rPr>
                <w:rFonts w:eastAsia="SimSun"/>
              </w:rPr>
            </w:pPr>
            <w:r w:rsidRPr="00C07B2E">
              <w:rPr>
                <w:rFonts w:eastAsia="SimSun"/>
              </w:rPr>
              <w:t>180 мг/м</w:t>
            </w:r>
            <w:r w:rsidRPr="000F445E">
              <w:rPr>
                <w:rFonts w:eastAsia="SimSun"/>
                <w:vertAlign w:val="superscript"/>
              </w:rPr>
              <w:t>2</w:t>
            </w:r>
          </w:p>
        </w:tc>
        <w:tc>
          <w:tcPr>
            <w:tcW w:w="1701" w:type="dxa"/>
            <w:vAlign w:val="center"/>
          </w:tcPr>
          <w:p w14:paraId="70D3FC3B" w14:textId="77777777" w:rsidR="008143D9" w:rsidRPr="00C07B2E" w:rsidRDefault="008143D9" w:rsidP="005A428D">
            <w:pPr>
              <w:rPr>
                <w:rFonts w:eastAsia="SimSun"/>
              </w:rPr>
            </w:pPr>
            <w:r w:rsidRPr="00C07B2E">
              <w:rPr>
                <w:rFonts w:eastAsia="SimSun"/>
              </w:rPr>
              <w:t>С -7 дня по -2 день</w:t>
            </w:r>
          </w:p>
        </w:tc>
        <w:tc>
          <w:tcPr>
            <w:tcW w:w="2268" w:type="dxa"/>
            <w:vAlign w:val="center"/>
          </w:tcPr>
          <w:p w14:paraId="0F804D3C" w14:textId="77777777" w:rsidR="008143D9" w:rsidRPr="00C07B2E" w:rsidRDefault="008143D9" w:rsidP="005A428D">
            <w:pPr>
              <w:rPr>
                <w:rFonts w:eastAsia="SimSun"/>
              </w:rPr>
            </w:pPr>
            <w:r w:rsidRPr="00C07B2E">
              <w:rPr>
                <w:rFonts w:eastAsia="SimSun"/>
              </w:rPr>
              <w:t>В/в, в течение 30 - 60 мин</w:t>
            </w:r>
          </w:p>
        </w:tc>
      </w:tr>
      <w:tr w:rsidR="008143D9" w:rsidRPr="00C07B2E" w14:paraId="6E059062" w14:textId="77777777" w:rsidTr="005A428D">
        <w:trPr>
          <w:cantSplit/>
          <w:trHeight w:val="1207"/>
        </w:trPr>
        <w:tc>
          <w:tcPr>
            <w:tcW w:w="993" w:type="dxa"/>
            <w:vMerge/>
            <w:vAlign w:val="center"/>
          </w:tcPr>
          <w:p w14:paraId="0491718D" w14:textId="77777777" w:rsidR="008143D9" w:rsidRPr="00C07B2E" w:rsidRDefault="008143D9" w:rsidP="005A428D">
            <w:pPr>
              <w:rPr>
                <w:rFonts w:eastAsia="SimSun"/>
              </w:rPr>
            </w:pPr>
          </w:p>
        </w:tc>
        <w:tc>
          <w:tcPr>
            <w:tcW w:w="1809" w:type="dxa"/>
            <w:vAlign w:val="center"/>
          </w:tcPr>
          <w:p w14:paraId="5ABDD928" w14:textId="77777777" w:rsidR="008143D9" w:rsidRPr="00C07B2E" w:rsidRDefault="008143D9" w:rsidP="005A428D">
            <w:pPr>
              <w:rPr>
                <w:rFonts w:eastAsia="SimSun"/>
              </w:rPr>
            </w:pPr>
            <w:r w:rsidRPr="00C07B2E">
              <w:rPr>
                <w:rFonts w:eastAsia="SimSun"/>
              </w:rPr>
              <w:t>Бусульфан</w:t>
            </w:r>
          </w:p>
        </w:tc>
        <w:tc>
          <w:tcPr>
            <w:tcW w:w="1417" w:type="dxa"/>
            <w:vAlign w:val="center"/>
          </w:tcPr>
          <w:p w14:paraId="4040B071" w14:textId="77777777" w:rsidR="008143D9" w:rsidRPr="00C07B2E" w:rsidRDefault="008143D9" w:rsidP="005A428D">
            <w:pPr>
              <w:rPr>
                <w:rFonts w:eastAsia="SimSun"/>
              </w:rPr>
            </w:pPr>
            <w:r w:rsidRPr="00C07B2E">
              <w:rPr>
                <w:rFonts w:eastAsia="SimSun"/>
              </w:rPr>
              <w:t xml:space="preserve">4 мг/кг </w:t>
            </w:r>
          </w:p>
        </w:tc>
        <w:tc>
          <w:tcPr>
            <w:tcW w:w="1418" w:type="dxa"/>
            <w:vAlign w:val="center"/>
          </w:tcPr>
          <w:p w14:paraId="0CBDC1E2" w14:textId="77777777" w:rsidR="008143D9" w:rsidRPr="00C07B2E" w:rsidRDefault="008143D9" w:rsidP="005A428D">
            <w:pPr>
              <w:rPr>
                <w:rFonts w:eastAsia="SimSun"/>
              </w:rPr>
            </w:pPr>
            <w:r w:rsidRPr="00C07B2E">
              <w:rPr>
                <w:rFonts w:eastAsia="SimSun"/>
                <w:lang w:val="en-US"/>
              </w:rPr>
              <w:t>14</w:t>
            </w:r>
            <w:r w:rsidRPr="00C07B2E">
              <w:rPr>
                <w:rFonts w:eastAsia="SimSun"/>
              </w:rPr>
              <w:t xml:space="preserve"> мг/кг </w:t>
            </w:r>
          </w:p>
        </w:tc>
        <w:tc>
          <w:tcPr>
            <w:tcW w:w="1701" w:type="dxa"/>
            <w:vAlign w:val="center"/>
          </w:tcPr>
          <w:p w14:paraId="66C3C4FB" w14:textId="77777777" w:rsidR="008143D9" w:rsidRPr="00C07B2E" w:rsidRDefault="008143D9" w:rsidP="005A428D">
            <w:pPr>
              <w:rPr>
                <w:rFonts w:eastAsia="SimSun"/>
              </w:rPr>
            </w:pPr>
            <w:r w:rsidRPr="00C07B2E">
              <w:rPr>
                <w:rFonts w:eastAsia="SimSun"/>
              </w:rPr>
              <w:t>С -</w:t>
            </w:r>
            <w:r w:rsidRPr="00C07B2E">
              <w:rPr>
                <w:rFonts w:eastAsia="SimSun"/>
                <w:lang w:val="en-US"/>
              </w:rPr>
              <w:t>6</w:t>
            </w:r>
            <w:r w:rsidRPr="00C07B2E">
              <w:rPr>
                <w:rFonts w:eastAsia="SimSun"/>
              </w:rPr>
              <w:t xml:space="preserve"> дня по -3 день</w:t>
            </w:r>
          </w:p>
        </w:tc>
        <w:tc>
          <w:tcPr>
            <w:tcW w:w="2268" w:type="dxa"/>
            <w:vAlign w:val="center"/>
          </w:tcPr>
          <w:p w14:paraId="7F68AEC4" w14:textId="77777777" w:rsidR="008143D9" w:rsidRPr="00C07B2E" w:rsidRDefault="008143D9" w:rsidP="005A428D">
            <w:pPr>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8143D9" w:rsidRPr="000F445E" w14:paraId="211E3695" w14:textId="77777777" w:rsidTr="005A428D">
        <w:trPr>
          <w:cantSplit/>
          <w:trHeight w:val="1498"/>
        </w:trPr>
        <w:tc>
          <w:tcPr>
            <w:tcW w:w="993" w:type="dxa"/>
            <w:vMerge w:val="restart"/>
            <w:textDirection w:val="btLr"/>
            <w:vAlign w:val="center"/>
          </w:tcPr>
          <w:p w14:paraId="6680F11E" w14:textId="77777777" w:rsidR="008143D9" w:rsidRPr="00C07B2E" w:rsidRDefault="008143D9" w:rsidP="005A428D">
            <w:pPr>
              <w:rPr>
                <w:rFonts w:eastAsia="SimSun"/>
              </w:rPr>
            </w:pPr>
            <w:r w:rsidRPr="00C07B2E">
              <w:rPr>
                <w:rFonts w:eastAsia="SimSun"/>
              </w:rPr>
              <w:t>Профилактика РТПХ</w:t>
            </w:r>
          </w:p>
        </w:tc>
        <w:tc>
          <w:tcPr>
            <w:tcW w:w="1809" w:type="dxa"/>
            <w:vAlign w:val="center"/>
          </w:tcPr>
          <w:p w14:paraId="7BAEECED" w14:textId="77777777" w:rsidR="008143D9" w:rsidRPr="00C07B2E" w:rsidRDefault="008143D9" w:rsidP="005A428D">
            <w:pPr>
              <w:rPr>
                <w:rFonts w:eastAsia="SimSun"/>
              </w:rPr>
            </w:pPr>
            <w:r w:rsidRPr="00C07B2E">
              <w:rPr>
                <w:rFonts w:eastAsia="SimSun"/>
              </w:rPr>
              <w:t xml:space="preserve">Такролимус </w:t>
            </w:r>
          </w:p>
        </w:tc>
        <w:tc>
          <w:tcPr>
            <w:tcW w:w="1417" w:type="dxa"/>
            <w:vAlign w:val="center"/>
          </w:tcPr>
          <w:p w14:paraId="00C448EC" w14:textId="77777777" w:rsidR="008143D9" w:rsidRPr="00C07B2E" w:rsidRDefault="008143D9" w:rsidP="005A428D">
            <w:pPr>
              <w:rPr>
                <w:rFonts w:eastAsia="SimSun"/>
              </w:rPr>
            </w:pPr>
            <w:r w:rsidRPr="00C07B2E">
              <w:rPr>
                <w:rFonts w:eastAsia="SimSun"/>
              </w:rPr>
              <w:t>0,03 мг/кг</w:t>
            </w:r>
          </w:p>
        </w:tc>
        <w:tc>
          <w:tcPr>
            <w:tcW w:w="1418" w:type="dxa"/>
            <w:vAlign w:val="center"/>
          </w:tcPr>
          <w:p w14:paraId="052E2CED" w14:textId="77777777" w:rsidR="008143D9" w:rsidRPr="00C07B2E" w:rsidRDefault="008143D9" w:rsidP="005A428D">
            <w:pPr>
              <w:rPr>
                <w:rFonts w:eastAsia="SimSun"/>
              </w:rPr>
            </w:pPr>
            <w:r w:rsidRPr="00C07B2E">
              <w:rPr>
                <w:rFonts w:eastAsia="SimSun"/>
              </w:rPr>
              <w:t>–</w:t>
            </w:r>
          </w:p>
        </w:tc>
        <w:tc>
          <w:tcPr>
            <w:tcW w:w="1701" w:type="dxa"/>
            <w:vAlign w:val="center"/>
          </w:tcPr>
          <w:p w14:paraId="577E3380" w14:textId="77777777" w:rsidR="008143D9" w:rsidRPr="00C07B2E" w:rsidRDefault="008143D9" w:rsidP="005A428D">
            <w:pPr>
              <w:rPr>
                <w:rFonts w:eastAsia="SimSun"/>
              </w:rPr>
            </w:pPr>
            <w:r w:rsidRPr="00C07B2E">
              <w:rPr>
                <w:rFonts w:eastAsia="SimSun"/>
              </w:rPr>
              <w:t xml:space="preserve">С +5 дня длительно </w:t>
            </w:r>
          </w:p>
        </w:tc>
        <w:tc>
          <w:tcPr>
            <w:tcW w:w="2268" w:type="dxa"/>
            <w:vAlign w:val="center"/>
          </w:tcPr>
          <w:p w14:paraId="1F8A8BB4" w14:textId="77777777" w:rsidR="008143D9" w:rsidRPr="000F445E" w:rsidRDefault="008143D9" w:rsidP="005A428D">
            <w:pPr>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 xml:space="preserve">Перевод на прием внутрь при условии восстановления лейкоцитов &gt; 1 </w:t>
            </w:r>
            <w:r>
              <w:rPr>
                <w:rFonts w:eastAsia="SimSun"/>
              </w:rPr>
              <w:t xml:space="preserve">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0F445E">
              <w:rPr>
                <w:rFonts w:eastAsia="SimSun"/>
              </w:rPr>
              <w:t xml:space="preserve"> 5-15 нг/мл.    </w:t>
            </w:r>
          </w:p>
        </w:tc>
      </w:tr>
      <w:tr w:rsidR="008143D9" w:rsidRPr="00C07B2E" w14:paraId="2841B467" w14:textId="77777777" w:rsidTr="005A428D">
        <w:trPr>
          <w:cantSplit/>
          <w:trHeight w:val="805"/>
        </w:trPr>
        <w:tc>
          <w:tcPr>
            <w:tcW w:w="993" w:type="dxa"/>
            <w:vMerge/>
            <w:textDirection w:val="btLr"/>
            <w:vAlign w:val="center"/>
          </w:tcPr>
          <w:p w14:paraId="1F20C2D4" w14:textId="77777777" w:rsidR="008143D9" w:rsidRPr="000F445E" w:rsidRDefault="008143D9" w:rsidP="005A428D">
            <w:pPr>
              <w:rPr>
                <w:rFonts w:eastAsia="SimSun"/>
              </w:rPr>
            </w:pPr>
          </w:p>
        </w:tc>
        <w:tc>
          <w:tcPr>
            <w:tcW w:w="1809" w:type="dxa"/>
            <w:vAlign w:val="center"/>
          </w:tcPr>
          <w:p w14:paraId="46DF0A8B" w14:textId="77777777" w:rsidR="008143D9" w:rsidRPr="00C07B2E" w:rsidRDefault="008143D9" w:rsidP="005A428D">
            <w:pPr>
              <w:rPr>
                <w:rFonts w:eastAsia="SimSun"/>
              </w:rPr>
            </w:pPr>
            <w:r w:rsidRPr="00C07B2E">
              <w:rPr>
                <w:rFonts w:eastAsia="SimSun"/>
              </w:rPr>
              <w:t>Микофенолата мофетил</w:t>
            </w:r>
          </w:p>
        </w:tc>
        <w:tc>
          <w:tcPr>
            <w:tcW w:w="1417" w:type="dxa"/>
            <w:vAlign w:val="center"/>
          </w:tcPr>
          <w:p w14:paraId="75A453EE" w14:textId="77777777" w:rsidR="008143D9" w:rsidRPr="00C07B2E" w:rsidRDefault="008143D9" w:rsidP="005A428D">
            <w:pPr>
              <w:rPr>
                <w:rFonts w:eastAsia="SimSun"/>
              </w:rPr>
            </w:pPr>
            <w:r w:rsidRPr="00C07B2E">
              <w:rPr>
                <w:rFonts w:eastAsia="SimSun"/>
              </w:rPr>
              <w:t xml:space="preserve">30 мг/кг </w:t>
            </w:r>
          </w:p>
        </w:tc>
        <w:tc>
          <w:tcPr>
            <w:tcW w:w="1418" w:type="dxa"/>
            <w:vAlign w:val="center"/>
          </w:tcPr>
          <w:p w14:paraId="3C34BEB5" w14:textId="77777777" w:rsidR="008143D9" w:rsidRPr="00C07B2E" w:rsidRDefault="008143D9" w:rsidP="005A428D">
            <w:pPr>
              <w:rPr>
                <w:rFonts w:eastAsia="SimSun"/>
              </w:rPr>
            </w:pPr>
            <w:r w:rsidRPr="00C07B2E">
              <w:rPr>
                <w:rFonts w:eastAsia="SimSun"/>
              </w:rPr>
              <w:t>–</w:t>
            </w:r>
          </w:p>
        </w:tc>
        <w:tc>
          <w:tcPr>
            <w:tcW w:w="1701" w:type="dxa"/>
            <w:vAlign w:val="center"/>
          </w:tcPr>
          <w:p w14:paraId="4E84F94C" w14:textId="77777777" w:rsidR="008143D9" w:rsidRPr="00C07B2E" w:rsidRDefault="008143D9" w:rsidP="005A428D">
            <w:pPr>
              <w:rPr>
                <w:rFonts w:eastAsia="SimSun"/>
              </w:rPr>
            </w:pPr>
            <w:r w:rsidRPr="00C07B2E">
              <w:rPr>
                <w:rFonts w:eastAsia="SimSun"/>
              </w:rPr>
              <w:t xml:space="preserve">С +5 дня по +35 день </w:t>
            </w:r>
          </w:p>
        </w:tc>
        <w:tc>
          <w:tcPr>
            <w:tcW w:w="2268" w:type="dxa"/>
            <w:vAlign w:val="center"/>
          </w:tcPr>
          <w:p w14:paraId="5E5CC6C1" w14:textId="77777777" w:rsidR="008143D9" w:rsidRPr="000F445E" w:rsidRDefault="008143D9" w:rsidP="005A428D">
            <w:pPr>
              <w:rPr>
                <w:rFonts w:eastAsia="SimSun"/>
              </w:rPr>
            </w:pPr>
            <w:r w:rsidRPr="000F445E">
              <w:rPr>
                <w:rFonts w:eastAsia="SimSun"/>
              </w:rPr>
              <w:t>Внутрь, суммарная суточная доза разделяется на 2- 4 приема (не более 3</w:t>
            </w:r>
            <w:r>
              <w:rPr>
                <w:rFonts w:eastAsia="SimSun"/>
              </w:rPr>
              <w:t xml:space="preserve"> </w:t>
            </w:r>
            <w:r w:rsidRPr="000F445E">
              <w:rPr>
                <w:rFonts w:eastAsia="SimSun"/>
              </w:rPr>
              <w:t>г/сут).</w:t>
            </w:r>
          </w:p>
        </w:tc>
      </w:tr>
    </w:tbl>
    <w:p w14:paraId="7BB2A888" w14:textId="77777777" w:rsidR="008143D9" w:rsidRPr="00C07B2E" w:rsidRDefault="008143D9" w:rsidP="008143D9">
      <w:pPr>
        <w:rPr>
          <w:rFonts w:eastAsia="SimSun"/>
        </w:rPr>
      </w:pPr>
    </w:p>
    <w:p w14:paraId="0FF876CD" w14:textId="77777777" w:rsidR="008143D9" w:rsidRPr="00C07B2E" w:rsidRDefault="008143D9" w:rsidP="008143D9">
      <w:pPr>
        <w:rPr>
          <w:rFonts w:eastAsia="SimSun"/>
        </w:rPr>
      </w:pPr>
      <w:bookmarkStart w:id="121" w:name="_Toc44401155"/>
      <w:r w:rsidRPr="00042499">
        <w:rPr>
          <w:rFonts w:eastAsia="SimSun"/>
        </w:rPr>
        <w:t>Таблица</w:t>
      </w:r>
      <w:r w:rsidRPr="00C07B2E">
        <w:rPr>
          <w:rFonts w:eastAsia="SimSun"/>
        </w:rPr>
        <w:t xml:space="preserve"> </w:t>
      </w:r>
      <w:r>
        <w:rPr>
          <w:rFonts w:eastAsia="SimSun"/>
        </w:rPr>
        <w:t>5</w:t>
      </w:r>
      <w:r w:rsidRPr="00C07B2E">
        <w:rPr>
          <w:rFonts w:eastAsia="SimSun"/>
        </w:rPr>
        <w:t>.1.1.12  – Flu180+Treo42 / PT-Cy+Tx+MMF30</w:t>
      </w:r>
      <w:bookmarkEnd w:id="121"/>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1"/>
        <w:gridCol w:w="1701"/>
        <w:gridCol w:w="1417"/>
        <w:gridCol w:w="1418"/>
        <w:gridCol w:w="1701"/>
        <w:gridCol w:w="2268"/>
      </w:tblGrid>
      <w:tr w:rsidR="008143D9" w:rsidRPr="00C07B2E" w14:paraId="350FEE07" w14:textId="77777777" w:rsidTr="005A428D">
        <w:trPr>
          <w:cantSplit/>
          <w:trHeight w:val="20"/>
          <w:tblHeader/>
        </w:trPr>
        <w:tc>
          <w:tcPr>
            <w:tcW w:w="1101" w:type="dxa"/>
            <w:vAlign w:val="center"/>
          </w:tcPr>
          <w:p w14:paraId="49F240A8" w14:textId="77777777" w:rsidR="008143D9" w:rsidRPr="00470D3D" w:rsidRDefault="008143D9" w:rsidP="005A428D">
            <w:pPr>
              <w:rPr>
                <w:rFonts w:eastAsia="SimSun"/>
              </w:rPr>
            </w:pPr>
          </w:p>
        </w:tc>
        <w:tc>
          <w:tcPr>
            <w:tcW w:w="1701" w:type="dxa"/>
            <w:vAlign w:val="center"/>
          </w:tcPr>
          <w:p w14:paraId="6DA750FC" w14:textId="77777777" w:rsidR="008143D9" w:rsidRPr="00C07B2E" w:rsidRDefault="008143D9" w:rsidP="005A428D">
            <w:pPr>
              <w:rPr>
                <w:rFonts w:eastAsia="SimSun"/>
              </w:rPr>
            </w:pPr>
            <w:r w:rsidRPr="00C07B2E">
              <w:rPr>
                <w:rFonts w:eastAsia="SimSun"/>
              </w:rPr>
              <w:t>Препарат</w:t>
            </w:r>
          </w:p>
        </w:tc>
        <w:tc>
          <w:tcPr>
            <w:tcW w:w="1417" w:type="dxa"/>
            <w:vAlign w:val="center"/>
          </w:tcPr>
          <w:p w14:paraId="46DAB939" w14:textId="77777777" w:rsidR="008143D9" w:rsidRPr="00C07B2E" w:rsidRDefault="008143D9" w:rsidP="005A428D">
            <w:pPr>
              <w:rPr>
                <w:rFonts w:eastAsia="SimSun"/>
              </w:rPr>
            </w:pPr>
            <w:r w:rsidRPr="00C07B2E">
              <w:rPr>
                <w:rFonts w:eastAsia="SimSun"/>
              </w:rPr>
              <w:t>Суточная доза</w:t>
            </w:r>
          </w:p>
        </w:tc>
        <w:tc>
          <w:tcPr>
            <w:tcW w:w="1418" w:type="dxa"/>
            <w:vAlign w:val="center"/>
          </w:tcPr>
          <w:p w14:paraId="5000AC47" w14:textId="77777777" w:rsidR="008143D9" w:rsidRPr="00C07B2E" w:rsidRDefault="008143D9" w:rsidP="005A428D">
            <w:pPr>
              <w:rPr>
                <w:rFonts w:eastAsia="SimSun"/>
              </w:rPr>
            </w:pPr>
            <w:r w:rsidRPr="00C07B2E">
              <w:rPr>
                <w:rFonts w:eastAsia="SimSun"/>
              </w:rPr>
              <w:t>Курсовая доза</w:t>
            </w:r>
          </w:p>
        </w:tc>
        <w:tc>
          <w:tcPr>
            <w:tcW w:w="1701" w:type="dxa"/>
            <w:vAlign w:val="center"/>
          </w:tcPr>
          <w:p w14:paraId="44DE0133" w14:textId="77777777" w:rsidR="008143D9" w:rsidRPr="00C07B2E" w:rsidRDefault="008143D9" w:rsidP="005A428D">
            <w:pPr>
              <w:rPr>
                <w:rFonts w:eastAsia="SimSun"/>
              </w:rPr>
            </w:pPr>
            <w:r w:rsidRPr="00C07B2E">
              <w:rPr>
                <w:rFonts w:eastAsia="SimSun"/>
              </w:rPr>
              <w:t>Дни введения</w:t>
            </w:r>
          </w:p>
        </w:tc>
        <w:tc>
          <w:tcPr>
            <w:tcW w:w="2268" w:type="dxa"/>
            <w:vAlign w:val="center"/>
          </w:tcPr>
          <w:p w14:paraId="13E0E077" w14:textId="77777777" w:rsidR="008143D9" w:rsidRPr="00C07B2E" w:rsidRDefault="008143D9" w:rsidP="005A428D">
            <w:pPr>
              <w:rPr>
                <w:rFonts w:eastAsia="SimSun"/>
              </w:rPr>
            </w:pPr>
            <w:r w:rsidRPr="00C07B2E">
              <w:rPr>
                <w:rFonts w:eastAsia="SimSun"/>
              </w:rPr>
              <w:t>Порядок введения</w:t>
            </w:r>
          </w:p>
        </w:tc>
      </w:tr>
      <w:tr w:rsidR="008143D9" w:rsidRPr="00C07B2E" w14:paraId="4AECA12F" w14:textId="77777777" w:rsidTr="005A428D">
        <w:trPr>
          <w:cantSplit/>
          <w:trHeight w:val="20"/>
        </w:trPr>
        <w:tc>
          <w:tcPr>
            <w:tcW w:w="1101" w:type="dxa"/>
            <w:vMerge w:val="restart"/>
            <w:textDirection w:val="btLr"/>
            <w:vAlign w:val="center"/>
          </w:tcPr>
          <w:p w14:paraId="3F2B503E" w14:textId="77777777" w:rsidR="008143D9" w:rsidRPr="00C07B2E" w:rsidRDefault="008143D9" w:rsidP="005A428D">
            <w:pPr>
              <w:rPr>
                <w:rFonts w:eastAsia="SimSun"/>
              </w:rPr>
            </w:pPr>
            <w:r w:rsidRPr="00C07B2E">
              <w:rPr>
                <w:rFonts w:eastAsia="SimSun"/>
              </w:rPr>
              <w:t>Кондиционирование</w:t>
            </w:r>
          </w:p>
        </w:tc>
        <w:tc>
          <w:tcPr>
            <w:tcW w:w="1701" w:type="dxa"/>
            <w:vAlign w:val="center"/>
          </w:tcPr>
          <w:p w14:paraId="7BB24239" w14:textId="77777777" w:rsidR="008143D9" w:rsidRPr="00C07B2E" w:rsidRDefault="008143D9" w:rsidP="005A428D">
            <w:pPr>
              <w:rPr>
                <w:rFonts w:eastAsia="SimSun"/>
              </w:rPr>
            </w:pPr>
            <w:r w:rsidRPr="00C07B2E">
              <w:rPr>
                <w:rFonts w:eastAsia="SimSun"/>
              </w:rPr>
              <w:t xml:space="preserve">Флударабин </w:t>
            </w:r>
          </w:p>
        </w:tc>
        <w:tc>
          <w:tcPr>
            <w:tcW w:w="1417" w:type="dxa"/>
            <w:vAlign w:val="center"/>
          </w:tcPr>
          <w:p w14:paraId="00A36D89" w14:textId="77777777" w:rsidR="008143D9" w:rsidRPr="000F445E" w:rsidRDefault="008143D9" w:rsidP="005A428D">
            <w:pPr>
              <w:rPr>
                <w:rFonts w:eastAsia="SimSun"/>
              </w:rPr>
            </w:pPr>
            <w:r w:rsidRPr="00C07B2E">
              <w:rPr>
                <w:rFonts w:eastAsia="SimSun"/>
              </w:rPr>
              <w:t>30 мг/м</w:t>
            </w:r>
            <w:r w:rsidRPr="000F445E">
              <w:rPr>
                <w:rFonts w:eastAsia="SimSun"/>
                <w:vertAlign w:val="superscript"/>
              </w:rPr>
              <w:t>2</w:t>
            </w:r>
          </w:p>
        </w:tc>
        <w:tc>
          <w:tcPr>
            <w:tcW w:w="1418" w:type="dxa"/>
            <w:vAlign w:val="center"/>
          </w:tcPr>
          <w:p w14:paraId="18ADD8BE" w14:textId="77777777" w:rsidR="008143D9" w:rsidRPr="00C07B2E" w:rsidRDefault="008143D9" w:rsidP="005A428D">
            <w:pPr>
              <w:rPr>
                <w:rFonts w:eastAsia="SimSun"/>
              </w:rPr>
            </w:pPr>
            <w:r w:rsidRPr="00C07B2E">
              <w:rPr>
                <w:rFonts w:eastAsia="SimSun"/>
              </w:rPr>
              <w:t>180 мг/м</w:t>
            </w:r>
            <w:r w:rsidRPr="005659AA">
              <w:rPr>
                <w:rFonts w:eastAsia="SimSun"/>
                <w:vertAlign w:val="superscript"/>
              </w:rPr>
              <w:t>2</w:t>
            </w:r>
          </w:p>
        </w:tc>
        <w:tc>
          <w:tcPr>
            <w:tcW w:w="1701" w:type="dxa"/>
            <w:vAlign w:val="center"/>
          </w:tcPr>
          <w:p w14:paraId="6060BECC" w14:textId="77777777" w:rsidR="008143D9" w:rsidRPr="00C07B2E" w:rsidRDefault="008143D9" w:rsidP="005A428D">
            <w:pPr>
              <w:rPr>
                <w:rFonts w:eastAsia="SimSun"/>
              </w:rPr>
            </w:pPr>
            <w:r w:rsidRPr="00C07B2E">
              <w:rPr>
                <w:rFonts w:eastAsia="SimSun"/>
              </w:rPr>
              <w:t>С -7 дня по -2 день</w:t>
            </w:r>
          </w:p>
        </w:tc>
        <w:tc>
          <w:tcPr>
            <w:tcW w:w="2268" w:type="dxa"/>
            <w:vAlign w:val="center"/>
          </w:tcPr>
          <w:p w14:paraId="7A849247" w14:textId="77777777" w:rsidR="008143D9" w:rsidRPr="006A31EC" w:rsidRDefault="008143D9" w:rsidP="005A428D">
            <w:pPr>
              <w:rPr>
                <w:rFonts w:eastAsia="SimSun"/>
              </w:rPr>
            </w:pPr>
            <w:r w:rsidRPr="006A31EC">
              <w:rPr>
                <w:rFonts w:eastAsia="SimSun"/>
              </w:rPr>
              <w:t>В/в, в течение 30 - 60 мин</w:t>
            </w:r>
          </w:p>
        </w:tc>
      </w:tr>
      <w:tr w:rsidR="008143D9" w:rsidRPr="00C07B2E" w14:paraId="49555136" w14:textId="77777777" w:rsidTr="005A428D">
        <w:trPr>
          <w:cantSplit/>
          <w:trHeight w:val="778"/>
        </w:trPr>
        <w:tc>
          <w:tcPr>
            <w:tcW w:w="1101" w:type="dxa"/>
            <w:vMerge/>
            <w:vAlign w:val="center"/>
          </w:tcPr>
          <w:p w14:paraId="72F0576C" w14:textId="77777777" w:rsidR="008143D9" w:rsidRPr="006A31EC" w:rsidRDefault="008143D9" w:rsidP="005A428D">
            <w:pPr>
              <w:rPr>
                <w:rFonts w:eastAsia="SimSun"/>
              </w:rPr>
            </w:pPr>
          </w:p>
        </w:tc>
        <w:tc>
          <w:tcPr>
            <w:tcW w:w="1701" w:type="dxa"/>
            <w:vAlign w:val="center"/>
          </w:tcPr>
          <w:p w14:paraId="0956B1CA" w14:textId="77777777" w:rsidR="008143D9" w:rsidRPr="00C07B2E" w:rsidRDefault="008143D9" w:rsidP="005A428D">
            <w:pPr>
              <w:rPr>
                <w:rFonts w:eastAsia="SimSun"/>
              </w:rPr>
            </w:pPr>
            <w:r w:rsidRPr="00C07B2E">
              <w:rPr>
                <w:rFonts w:eastAsia="SimSun"/>
              </w:rPr>
              <w:t xml:space="preserve">Треосульфан </w:t>
            </w:r>
          </w:p>
        </w:tc>
        <w:tc>
          <w:tcPr>
            <w:tcW w:w="1417" w:type="dxa"/>
            <w:vAlign w:val="center"/>
          </w:tcPr>
          <w:p w14:paraId="5DEF470E" w14:textId="77777777" w:rsidR="008143D9" w:rsidRPr="00C07B2E" w:rsidRDefault="008143D9" w:rsidP="005A428D">
            <w:pPr>
              <w:rPr>
                <w:rFonts w:eastAsia="SimSun"/>
              </w:rPr>
            </w:pPr>
            <w:r w:rsidRPr="00C07B2E">
              <w:rPr>
                <w:rFonts w:eastAsia="SimSun"/>
              </w:rPr>
              <w:t>14 г/кг</w:t>
            </w:r>
          </w:p>
        </w:tc>
        <w:tc>
          <w:tcPr>
            <w:tcW w:w="1418" w:type="dxa"/>
            <w:vAlign w:val="center"/>
          </w:tcPr>
          <w:p w14:paraId="3F85D886" w14:textId="77777777" w:rsidR="008143D9" w:rsidRPr="00C07B2E" w:rsidRDefault="008143D9" w:rsidP="005A428D">
            <w:pPr>
              <w:rPr>
                <w:rFonts w:eastAsia="SimSun"/>
              </w:rPr>
            </w:pPr>
            <w:r w:rsidRPr="00C07B2E">
              <w:rPr>
                <w:rFonts w:eastAsia="SimSun"/>
              </w:rPr>
              <w:t>42 г/кг</w:t>
            </w:r>
          </w:p>
        </w:tc>
        <w:tc>
          <w:tcPr>
            <w:tcW w:w="1701" w:type="dxa"/>
            <w:vAlign w:val="center"/>
          </w:tcPr>
          <w:p w14:paraId="0CD070DD" w14:textId="77777777" w:rsidR="008143D9" w:rsidRPr="00C07B2E" w:rsidRDefault="008143D9" w:rsidP="005A428D">
            <w:pPr>
              <w:rPr>
                <w:rFonts w:eastAsia="SimSun"/>
              </w:rPr>
            </w:pPr>
            <w:r w:rsidRPr="00C07B2E">
              <w:rPr>
                <w:rFonts w:eastAsia="SimSun"/>
              </w:rPr>
              <w:t xml:space="preserve">С -5 дня по -3 день </w:t>
            </w:r>
          </w:p>
        </w:tc>
        <w:tc>
          <w:tcPr>
            <w:tcW w:w="2268" w:type="dxa"/>
            <w:vAlign w:val="center"/>
          </w:tcPr>
          <w:p w14:paraId="33867C24" w14:textId="77777777" w:rsidR="008143D9" w:rsidRPr="006A31EC" w:rsidRDefault="008143D9" w:rsidP="005A428D">
            <w:pPr>
              <w:rPr>
                <w:rFonts w:eastAsia="SimSun"/>
              </w:rPr>
            </w:pPr>
            <w:r w:rsidRPr="006A31EC">
              <w:rPr>
                <w:rFonts w:eastAsia="SimSun"/>
              </w:rPr>
              <w:t xml:space="preserve">В/в инфуия, в течение 2 часов </w:t>
            </w:r>
          </w:p>
        </w:tc>
      </w:tr>
      <w:tr w:rsidR="008143D9" w:rsidRPr="005659AA" w14:paraId="69B29539" w14:textId="77777777" w:rsidTr="005A428D">
        <w:trPr>
          <w:cantSplit/>
          <w:trHeight w:val="1498"/>
        </w:trPr>
        <w:tc>
          <w:tcPr>
            <w:tcW w:w="1101" w:type="dxa"/>
            <w:vMerge w:val="restart"/>
            <w:textDirection w:val="btLr"/>
            <w:vAlign w:val="center"/>
          </w:tcPr>
          <w:p w14:paraId="6919602D" w14:textId="77777777" w:rsidR="008143D9" w:rsidRPr="00C07B2E" w:rsidRDefault="008143D9" w:rsidP="005A428D">
            <w:pPr>
              <w:rPr>
                <w:rFonts w:eastAsia="SimSun"/>
              </w:rPr>
            </w:pPr>
            <w:r w:rsidRPr="00C07B2E">
              <w:rPr>
                <w:rFonts w:eastAsia="SimSun"/>
              </w:rPr>
              <w:t>Профилактика РТПХ</w:t>
            </w:r>
          </w:p>
        </w:tc>
        <w:tc>
          <w:tcPr>
            <w:tcW w:w="1701" w:type="dxa"/>
            <w:vAlign w:val="center"/>
          </w:tcPr>
          <w:p w14:paraId="0D8B9D34" w14:textId="77777777" w:rsidR="008143D9" w:rsidRPr="00C07B2E" w:rsidRDefault="008143D9" w:rsidP="005A428D">
            <w:pPr>
              <w:rPr>
                <w:rFonts w:eastAsia="SimSun"/>
              </w:rPr>
            </w:pPr>
            <w:r w:rsidRPr="00C07B2E">
              <w:rPr>
                <w:rFonts w:eastAsia="SimSun"/>
              </w:rPr>
              <w:t xml:space="preserve">Такролимус </w:t>
            </w:r>
          </w:p>
        </w:tc>
        <w:tc>
          <w:tcPr>
            <w:tcW w:w="1417" w:type="dxa"/>
            <w:vAlign w:val="center"/>
          </w:tcPr>
          <w:p w14:paraId="401A9B39" w14:textId="77777777" w:rsidR="008143D9" w:rsidRPr="00C07B2E" w:rsidRDefault="008143D9" w:rsidP="005A428D">
            <w:pPr>
              <w:rPr>
                <w:rFonts w:eastAsia="SimSun"/>
              </w:rPr>
            </w:pPr>
            <w:r w:rsidRPr="00C07B2E">
              <w:rPr>
                <w:rFonts w:eastAsia="SimSun"/>
              </w:rPr>
              <w:t>0,03 мг/кг</w:t>
            </w:r>
          </w:p>
        </w:tc>
        <w:tc>
          <w:tcPr>
            <w:tcW w:w="1418" w:type="dxa"/>
            <w:vAlign w:val="center"/>
          </w:tcPr>
          <w:p w14:paraId="57C1B08C" w14:textId="77777777" w:rsidR="008143D9" w:rsidRPr="00C07B2E" w:rsidRDefault="008143D9" w:rsidP="005A428D">
            <w:pPr>
              <w:rPr>
                <w:rFonts w:eastAsia="SimSun"/>
              </w:rPr>
            </w:pPr>
            <w:r w:rsidRPr="00C07B2E">
              <w:rPr>
                <w:rFonts w:eastAsia="SimSun"/>
                <w:lang w:val="en-US"/>
              </w:rPr>
              <w:t>–</w:t>
            </w:r>
          </w:p>
        </w:tc>
        <w:tc>
          <w:tcPr>
            <w:tcW w:w="1701" w:type="dxa"/>
            <w:vAlign w:val="center"/>
          </w:tcPr>
          <w:p w14:paraId="3C9ED8B4" w14:textId="77777777" w:rsidR="008143D9" w:rsidRPr="00C07B2E" w:rsidRDefault="008143D9" w:rsidP="005A428D">
            <w:pPr>
              <w:rPr>
                <w:rFonts w:eastAsia="SimSun"/>
              </w:rPr>
            </w:pPr>
            <w:r w:rsidRPr="00C07B2E">
              <w:rPr>
                <w:rFonts w:eastAsia="SimSun"/>
              </w:rPr>
              <w:t xml:space="preserve">С +5 дня длительно </w:t>
            </w:r>
          </w:p>
        </w:tc>
        <w:tc>
          <w:tcPr>
            <w:tcW w:w="2268" w:type="dxa"/>
            <w:vAlign w:val="center"/>
          </w:tcPr>
          <w:p w14:paraId="34EC562C" w14:textId="77777777" w:rsidR="008143D9" w:rsidRPr="005659AA" w:rsidRDefault="008143D9" w:rsidP="005A428D">
            <w:pPr>
              <w:rPr>
                <w:rFonts w:eastAsia="SimSun"/>
              </w:rPr>
            </w:pPr>
            <w:r w:rsidRPr="006A31EC">
              <w:rPr>
                <w:rFonts w:eastAsia="SimSun"/>
              </w:rPr>
              <w:t xml:space="preserve">В/в инфузия в течение 24 ч с последующей коррекцией суточной дозы по концентрации. Перевод на прием внутрь при условии восстановления лейкоцитов &gt; 1 </w:t>
            </w:r>
            <w:r>
              <w:rPr>
                <w:rFonts w:eastAsia="SimSun"/>
              </w:rPr>
              <w:t xml:space="preserve">х </w:t>
            </w:r>
            <w:r w:rsidRPr="006A31EC">
              <w:rPr>
                <w:rFonts w:eastAsia="SimSun"/>
              </w:rPr>
              <w:t>10</w:t>
            </w:r>
            <w:r w:rsidRPr="006A31EC">
              <w:rPr>
                <w:rFonts w:eastAsia="SimSun"/>
                <w:vertAlign w:val="superscript"/>
              </w:rPr>
              <w:t>9</w:t>
            </w:r>
            <w:r w:rsidRPr="006A31EC">
              <w:rPr>
                <w:rFonts w:eastAsia="SimSun"/>
              </w:rPr>
              <w:t xml:space="preserve">/л, при отсутствии тошноты, рвоты, диареи и возможности приема внутрь. </w:t>
            </w:r>
            <w:r w:rsidRPr="005659AA">
              <w:rPr>
                <w:rFonts w:eastAsia="SimSun"/>
              </w:rPr>
              <w:t xml:space="preserve">Концентрация </w:t>
            </w:r>
            <w:r w:rsidRPr="00C07B2E">
              <w:rPr>
                <w:rFonts w:eastAsia="SimSun"/>
              </w:rPr>
              <w:t>Tx</w:t>
            </w:r>
            <w:r w:rsidRPr="005659AA">
              <w:rPr>
                <w:rFonts w:eastAsia="SimSun"/>
              </w:rPr>
              <w:t xml:space="preserve"> 5-15 нг/мл.    </w:t>
            </w:r>
          </w:p>
        </w:tc>
      </w:tr>
      <w:tr w:rsidR="008143D9" w:rsidRPr="00C07B2E" w14:paraId="3C221943" w14:textId="77777777" w:rsidTr="005A428D">
        <w:trPr>
          <w:cantSplit/>
          <w:trHeight w:val="858"/>
        </w:trPr>
        <w:tc>
          <w:tcPr>
            <w:tcW w:w="1101" w:type="dxa"/>
            <w:vMerge/>
            <w:textDirection w:val="btLr"/>
            <w:vAlign w:val="center"/>
          </w:tcPr>
          <w:p w14:paraId="0313913D" w14:textId="77777777" w:rsidR="008143D9" w:rsidRPr="005659AA" w:rsidRDefault="008143D9" w:rsidP="005A428D">
            <w:pPr>
              <w:rPr>
                <w:rFonts w:eastAsia="SimSun"/>
              </w:rPr>
            </w:pPr>
          </w:p>
        </w:tc>
        <w:tc>
          <w:tcPr>
            <w:tcW w:w="1701" w:type="dxa"/>
            <w:vAlign w:val="center"/>
          </w:tcPr>
          <w:p w14:paraId="20B7895C" w14:textId="77777777" w:rsidR="008143D9" w:rsidRPr="00C07B2E" w:rsidRDefault="008143D9" w:rsidP="005A428D">
            <w:pPr>
              <w:rPr>
                <w:rFonts w:eastAsia="SimSun"/>
              </w:rPr>
            </w:pPr>
            <w:r w:rsidRPr="00C07B2E">
              <w:rPr>
                <w:rFonts w:eastAsia="SimSun"/>
              </w:rPr>
              <w:t>Микофенолата мофетил</w:t>
            </w:r>
          </w:p>
        </w:tc>
        <w:tc>
          <w:tcPr>
            <w:tcW w:w="1417" w:type="dxa"/>
            <w:vAlign w:val="center"/>
          </w:tcPr>
          <w:p w14:paraId="3C1D4ABE" w14:textId="77777777" w:rsidR="008143D9" w:rsidRPr="00C07B2E" w:rsidRDefault="008143D9" w:rsidP="005A428D">
            <w:pPr>
              <w:rPr>
                <w:rFonts w:eastAsia="SimSun"/>
              </w:rPr>
            </w:pPr>
            <w:r w:rsidRPr="00C07B2E">
              <w:rPr>
                <w:rFonts w:eastAsia="SimSun"/>
                <w:lang w:val="en-US"/>
              </w:rPr>
              <w:t>30</w:t>
            </w:r>
            <w:r w:rsidRPr="00C07B2E">
              <w:rPr>
                <w:rFonts w:eastAsia="SimSun"/>
              </w:rPr>
              <w:t xml:space="preserve"> мг/кг </w:t>
            </w:r>
          </w:p>
        </w:tc>
        <w:tc>
          <w:tcPr>
            <w:tcW w:w="1418" w:type="dxa"/>
            <w:vAlign w:val="center"/>
          </w:tcPr>
          <w:p w14:paraId="4AC92DF8" w14:textId="77777777" w:rsidR="008143D9" w:rsidRPr="00C07B2E" w:rsidRDefault="008143D9" w:rsidP="005A428D">
            <w:pPr>
              <w:rPr>
                <w:rFonts w:eastAsia="SimSun"/>
              </w:rPr>
            </w:pPr>
            <w:r w:rsidRPr="00C07B2E">
              <w:rPr>
                <w:rFonts w:eastAsia="SimSun"/>
              </w:rPr>
              <w:t>–</w:t>
            </w:r>
          </w:p>
        </w:tc>
        <w:tc>
          <w:tcPr>
            <w:tcW w:w="1701" w:type="dxa"/>
            <w:vAlign w:val="center"/>
          </w:tcPr>
          <w:p w14:paraId="22F55FDB" w14:textId="77777777" w:rsidR="008143D9" w:rsidRPr="00C07B2E" w:rsidRDefault="008143D9" w:rsidP="005A428D">
            <w:pPr>
              <w:rPr>
                <w:rFonts w:eastAsia="SimSun"/>
              </w:rPr>
            </w:pPr>
            <w:r w:rsidRPr="00C07B2E">
              <w:rPr>
                <w:rFonts w:eastAsia="SimSun"/>
              </w:rPr>
              <w:t xml:space="preserve">С +5 дня по +35 день </w:t>
            </w:r>
          </w:p>
        </w:tc>
        <w:tc>
          <w:tcPr>
            <w:tcW w:w="2268" w:type="dxa"/>
            <w:vAlign w:val="center"/>
          </w:tcPr>
          <w:p w14:paraId="3A6B2974" w14:textId="77777777" w:rsidR="008143D9" w:rsidRPr="005659AA" w:rsidRDefault="008143D9" w:rsidP="005A428D">
            <w:pPr>
              <w:rPr>
                <w:rFonts w:eastAsia="SimSun"/>
              </w:rPr>
            </w:pPr>
            <w:r w:rsidRPr="005659AA">
              <w:rPr>
                <w:rFonts w:eastAsia="SimSun"/>
              </w:rPr>
              <w:t>Внутрь, суммарная суточная доза разделяется на 2- 4 приема (не более 3</w:t>
            </w:r>
            <w:r>
              <w:rPr>
                <w:rFonts w:eastAsia="SimSun"/>
              </w:rPr>
              <w:t xml:space="preserve"> </w:t>
            </w:r>
            <w:r w:rsidRPr="005659AA">
              <w:rPr>
                <w:rFonts w:eastAsia="SimSun"/>
              </w:rPr>
              <w:t>г/сут).</w:t>
            </w:r>
          </w:p>
        </w:tc>
      </w:tr>
      <w:tr w:rsidR="008143D9" w:rsidRPr="00C07B2E" w14:paraId="42A5B1E8" w14:textId="77777777" w:rsidTr="005A428D">
        <w:trPr>
          <w:cantSplit/>
          <w:trHeight w:val="472"/>
        </w:trPr>
        <w:tc>
          <w:tcPr>
            <w:tcW w:w="1101" w:type="dxa"/>
            <w:vMerge/>
            <w:textDirection w:val="btLr"/>
            <w:vAlign w:val="center"/>
          </w:tcPr>
          <w:p w14:paraId="032FFC2E" w14:textId="77777777" w:rsidR="008143D9" w:rsidRPr="005659AA" w:rsidRDefault="008143D9" w:rsidP="005A428D">
            <w:pPr>
              <w:rPr>
                <w:rFonts w:eastAsia="SimSun"/>
              </w:rPr>
            </w:pPr>
          </w:p>
        </w:tc>
        <w:tc>
          <w:tcPr>
            <w:tcW w:w="1701" w:type="dxa"/>
            <w:vAlign w:val="center"/>
          </w:tcPr>
          <w:p w14:paraId="62EA2635" w14:textId="77777777" w:rsidR="008143D9" w:rsidRPr="00C07B2E" w:rsidRDefault="008143D9" w:rsidP="005A428D">
            <w:pPr>
              <w:rPr>
                <w:rFonts w:eastAsia="SimSun"/>
              </w:rPr>
            </w:pPr>
            <w:r w:rsidRPr="00C07B2E">
              <w:rPr>
                <w:rFonts w:eastAsia="SimSun"/>
              </w:rPr>
              <w:t xml:space="preserve">Циклофосфамид </w:t>
            </w:r>
          </w:p>
        </w:tc>
        <w:tc>
          <w:tcPr>
            <w:tcW w:w="1417" w:type="dxa"/>
            <w:vAlign w:val="center"/>
          </w:tcPr>
          <w:p w14:paraId="4BC8B39F" w14:textId="77777777" w:rsidR="008143D9" w:rsidRPr="00C07B2E" w:rsidRDefault="008143D9" w:rsidP="005A428D">
            <w:pPr>
              <w:rPr>
                <w:rFonts w:eastAsia="SimSun"/>
              </w:rPr>
            </w:pPr>
            <w:r w:rsidRPr="00C07B2E">
              <w:rPr>
                <w:rFonts w:eastAsia="SimSun"/>
              </w:rPr>
              <w:t xml:space="preserve">50 мг/кг </w:t>
            </w:r>
          </w:p>
        </w:tc>
        <w:tc>
          <w:tcPr>
            <w:tcW w:w="1418" w:type="dxa"/>
            <w:vAlign w:val="center"/>
          </w:tcPr>
          <w:p w14:paraId="6D9FA89C" w14:textId="77777777" w:rsidR="008143D9" w:rsidRPr="00C07B2E" w:rsidRDefault="008143D9" w:rsidP="005A428D">
            <w:pPr>
              <w:rPr>
                <w:rFonts w:eastAsia="SimSun"/>
              </w:rPr>
            </w:pPr>
            <w:r w:rsidRPr="00C07B2E">
              <w:rPr>
                <w:rFonts w:eastAsia="SimSun"/>
              </w:rPr>
              <w:t>100 мг/кг</w:t>
            </w:r>
          </w:p>
        </w:tc>
        <w:tc>
          <w:tcPr>
            <w:tcW w:w="1701" w:type="dxa"/>
            <w:vAlign w:val="center"/>
          </w:tcPr>
          <w:p w14:paraId="21145E50" w14:textId="77777777" w:rsidR="008143D9" w:rsidRPr="00C07B2E" w:rsidRDefault="008143D9" w:rsidP="005A428D">
            <w:pPr>
              <w:rPr>
                <w:rFonts w:eastAsia="SimSun"/>
              </w:rPr>
            </w:pPr>
            <w:r w:rsidRPr="00C07B2E">
              <w:rPr>
                <w:rFonts w:eastAsia="SimSun"/>
              </w:rPr>
              <w:t>С +3 дня по +4 день</w:t>
            </w:r>
          </w:p>
        </w:tc>
        <w:tc>
          <w:tcPr>
            <w:tcW w:w="2268" w:type="dxa"/>
            <w:vAlign w:val="center"/>
          </w:tcPr>
          <w:p w14:paraId="2572DD6F" w14:textId="77777777" w:rsidR="008143D9" w:rsidRPr="00C07B2E" w:rsidRDefault="008143D9" w:rsidP="005A428D">
            <w:pPr>
              <w:rPr>
                <w:rFonts w:eastAsia="SimSun"/>
              </w:rPr>
            </w:pPr>
            <w:r w:rsidRPr="00C07B2E">
              <w:rPr>
                <w:rFonts w:eastAsia="SimSun"/>
              </w:rPr>
              <w:t xml:space="preserve">В/в, в течение 2 ч  </w:t>
            </w:r>
          </w:p>
        </w:tc>
      </w:tr>
    </w:tbl>
    <w:p w14:paraId="69A6EF2A" w14:textId="77777777" w:rsidR="008143D9" w:rsidRPr="00C07B2E" w:rsidRDefault="008143D9" w:rsidP="008143D9">
      <w:pPr>
        <w:rPr>
          <w:rFonts w:eastAsia="SimSun"/>
        </w:rPr>
        <w:sectPr w:rsidR="008143D9" w:rsidRPr="00C07B2E" w:rsidSect="00980822">
          <w:type w:val="continuous"/>
          <w:pgSz w:w="11907" w:h="16839" w:code="9"/>
          <w:pgMar w:top="1134" w:right="850" w:bottom="1134" w:left="1701" w:header="709" w:footer="567" w:gutter="0"/>
          <w:cols w:space="708"/>
          <w:docGrid w:linePitch="360"/>
        </w:sectPr>
      </w:pPr>
    </w:p>
    <w:p w14:paraId="44320EF3" w14:textId="77777777" w:rsidR="008143D9" w:rsidRDefault="008143D9" w:rsidP="008143D9">
      <w:pPr>
        <w:rPr>
          <w:rFonts w:eastAsia="SimSun"/>
        </w:rPr>
      </w:pPr>
      <w:bookmarkStart w:id="122" w:name="_Toc44401156"/>
    </w:p>
    <w:bookmarkEnd w:id="122"/>
    <w:p w14:paraId="4F74614F" w14:textId="77777777" w:rsidR="008143D9" w:rsidRPr="00C07B2E" w:rsidRDefault="008143D9" w:rsidP="008143D9">
      <w:pPr>
        <w:rPr>
          <w:rFonts w:eastAsia="SimSun"/>
        </w:rPr>
      </w:pPr>
      <w:r w:rsidRPr="00C07B2E">
        <w:rPr>
          <w:rFonts w:eastAsia="SimSun"/>
        </w:rPr>
        <w:t>Схемы и режимы применения препаратов для кондиционирования и профилактики РТПХ</w:t>
      </w:r>
      <w:r>
        <w:rPr>
          <w:rFonts w:eastAsia="SimSun"/>
        </w:rPr>
        <w:t xml:space="preserve"> при проведении </w:t>
      </w:r>
      <w:r w:rsidRPr="006A31EC">
        <w:rPr>
          <w:rFonts w:eastAsia="SimSun"/>
          <w:b/>
          <w:u w:val="single"/>
        </w:rPr>
        <w:t>аллоТГСК в режиме пониженной интенсивности</w:t>
      </w:r>
      <w:r w:rsidRPr="00C07B2E">
        <w:rPr>
          <w:rFonts w:eastAsia="SimSun"/>
        </w:rPr>
        <w:t xml:space="preserve"> указаны в Таблице </w:t>
      </w:r>
      <w:r>
        <w:rPr>
          <w:rFonts w:eastAsia="SimSun"/>
        </w:rPr>
        <w:t>5.</w:t>
      </w:r>
      <w:r w:rsidRPr="00C07B2E">
        <w:rPr>
          <w:rFonts w:eastAsia="SimSun"/>
        </w:rPr>
        <w:t>1.2</w:t>
      </w:r>
    </w:p>
    <w:p w14:paraId="3EC5F628" w14:textId="77777777" w:rsidR="008143D9" w:rsidRPr="00C07B2E" w:rsidRDefault="008143D9" w:rsidP="008143D9">
      <w:pPr>
        <w:rPr>
          <w:rFonts w:eastAsia="SimSun"/>
        </w:rPr>
        <w:sectPr w:rsidR="008143D9" w:rsidRPr="00C07B2E" w:rsidSect="00980822">
          <w:footerReference w:type="default" r:id="rId12"/>
          <w:type w:val="continuous"/>
          <w:pgSz w:w="11907" w:h="16839" w:code="9"/>
          <w:pgMar w:top="1134" w:right="850" w:bottom="1134" w:left="1701" w:header="709" w:footer="567" w:gutter="0"/>
          <w:cols w:space="708"/>
          <w:docGrid w:linePitch="360"/>
        </w:sectPr>
      </w:pPr>
    </w:p>
    <w:p w14:paraId="4B8129EF" w14:textId="77777777" w:rsidR="008143D9" w:rsidRPr="00C07B2E" w:rsidRDefault="008143D9" w:rsidP="008143D9">
      <w:pPr>
        <w:rPr>
          <w:rFonts w:eastAsia="SimSun"/>
        </w:rPr>
      </w:pPr>
      <w:r w:rsidRPr="00C07B2E">
        <w:rPr>
          <w:rFonts w:eastAsia="SimSun"/>
        </w:rPr>
        <w:t xml:space="preserve">Таблица </w:t>
      </w:r>
      <w:r>
        <w:rPr>
          <w:rFonts w:eastAsia="SimSun"/>
        </w:rPr>
        <w:t>5.</w:t>
      </w:r>
      <w:r w:rsidRPr="00C07B2E">
        <w:rPr>
          <w:rFonts w:eastAsia="SimSun"/>
        </w:rPr>
        <w:t xml:space="preserve">1.2 Схемы и режимы применения препаратов для кондиционирования и профилактики РТПХ со ссылками на </w:t>
      </w:r>
      <w:r>
        <w:rPr>
          <w:rFonts w:eastAsia="SimSun"/>
        </w:rPr>
        <w:t>таблицы с описанием</w:t>
      </w:r>
    </w:p>
    <w:p w14:paraId="353281A7" w14:textId="77777777" w:rsidR="008143D9" w:rsidRPr="00C07B2E" w:rsidRDefault="008143D9" w:rsidP="008143D9">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
        <w:gridCol w:w="808"/>
        <w:gridCol w:w="742"/>
        <w:gridCol w:w="1136"/>
        <w:gridCol w:w="959"/>
        <w:gridCol w:w="931"/>
        <w:gridCol w:w="959"/>
        <w:gridCol w:w="839"/>
        <w:gridCol w:w="839"/>
        <w:gridCol w:w="959"/>
        <w:gridCol w:w="960"/>
        <w:gridCol w:w="1143"/>
        <w:gridCol w:w="1260"/>
        <w:gridCol w:w="960"/>
        <w:gridCol w:w="949"/>
      </w:tblGrid>
      <w:tr w:rsidR="008143D9" w:rsidRPr="006A31EC" w14:paraId="58C64427" w14:textId="77777777" w:rsidTr="005A428D">
        <w:trPr>
          <w:cantSplit/>
          <w:trHeight w:val="381"/>
        </w:trPr>
        <w:tc>
          <w:tcPr>
            <w:tcW w:w="1237" w:type="pct"/>
            <w:gridSpan w:val="4"/>
            <w:vMerge w:val="restart"/>
            <w:shd w:val="clear" w:color="auto" w:fill="auto"/>
            <w:vAlign w:val="center"/>
          </w:tcPr>
          <w:p w14:paraId="6DA4B69C" w14:textId="77777777" w:rsidR="008143D9" w:rsidRPr="006A31EC" w:rsidRDefault="008143D9" w:rsidP="005A428D">
            <w:pPr>
              <w:rPr>
                <w:rFonts w:eastAsia="SimSun"/>
                <w:sz w:val="22"/>
              </w:rPr>
            </w:pPr>
            <w:r w:rsidRPr="006A31EC">
              <w:rPr>
                <w:rFonts w:eastAsia="SimSun"/>
                <w:sz w:val="22"/>
              </w:rPr>
              <w:t>Профилактика РТПХ</w:t>
            </w:r>
          </w:p>
        </w:tc>
        <w:tc>
          <w:tcPr>
            <w:tcW w:w="3763" w:type="pct"/>
            <w:gridSpan w:val="11"/>
          </w:tcPr>
          <w:p w14:paraId="62FE81CB" w14:textId="77777777" w:rsidR="008143D9" w:rsidRPr="006A31EC" w:rsidRDefault="008143D9" w:rsidP="005A428D">
            <w:pPr>
              <w:rPr>
                <w:rFonts w:eastAsia="SimSun"/>
                <w:sz w:val="22"/>
              </w:rPr>
            </w:pPr>
            <w:r w:rsidRPr="006A31EC">
              <w:rPr>
                <w:rFonts w:eastAsia="SimSun"/>
                <w:sz w:val="22"/>
              </w:rPr>
              <w:t>Режим кондиционирования</w:t>
            </w:r>
          </w:p>
        </w:tc>
      </w:tr>
      <w:tr w:rsidR="008143D9" w:rsidRPr="006A31EC" w14:paraId="734BEB42" w14:textId="77777777" w:rsidTr="005A428D">
        <w:trPr>
          <w:cantSplit/>
          <w:trHeight w:val="400"/>
        </w:trPr>
        <w:tc>
          <w:tcPr>
            <w:tcW w:w="1237" w:type="pct"/>
            <w:gridSpan w:val="4"/>
            <w:vMerge/>
            <w:shd w:val="clear" w:color="auto" w:fill="auto"/>
            <w:vAlign w:val="center"/>
          </w:tcPr>
          <w:p w14:paraId="49316C3A" w14:textId="77777777" w:rsidR="008143D9" w:rsidRPr="006A31EC" w:rsidRDefault="008143D9" w:rsidP="005A428D">
            <w:pPr>
              <w:rPr>
                <w:rFonts w:eastAsia="SimSun"/>
                <w:sz w:val="22"/>
                <w:lang w:val="en-US"/>
              </w:rPr>
            </w:pPr>
          </w:p>
        </w:tc>
        <w:tc>
          <w:tcPr>
            <w:tcW w:w="337" w:type="pct"/>
            <w:shd w:val="clear" w:color="auto" w:fill="D9D9D9"/>
            <w:vAlign w:val="center"/>
          </w:tcPr>
          <w:p w14:paraId="0811C1AB" w14:textId="77777777" w:rsidR="008143D9" w:rsidRPr="006A31EC" w:rsidRDefault="008143D9" w:rsidP="005A428D">
            <w:pPr>
              <w:rPr>
                <w:rFonts w:eastAsia="SimSun"/>
                <w:sz w:val="22"/>
              </w:rPr>
            </w:pPr>
            <w:r w:rsidRPr="006A31EC">
              <w:rPr>
                <w:rFonts w:eastAsia="SimSun"/>
                <w:sz w:val="22"/>
                <w:lang w:val="en-US"/>
              </w:rPr>
              <w:t>Flu</w:t>
            </w:r>
            <w:r w:rsidRPr="006A31EC">
              <w:rPr>
                <w:rFonts w:eastAsia="SimSun"/>
                <w:sz w:val="22"/>
              </w:rPr>
              <w:t>90</w:t>
            </w:r>
          </w:p>
        </w:tc>
        <w:tc>
          <w:tcPr>
            <w:tcW w:w="312" w:type="pct"/>
            <w:shd w:val="clear" w:color="auto" w:fill="D9D9D9"/>
            <w:vAlign w:val="center"/>
          </w:tcPr>
          <w:p w14:paraId="2C3F735F" w14:textId="77777777" w:rsidR="008143D9" w:rsidRPr="006A31EC" w:rsidRDefault="008143D9" w:rsidP="005A428D">
            <w:pPr>
              <w:rPr>
                <w:rFonts w:eastAsia="SimSun"/>
                <w:sz w:val="22"/>
                <w:lang w:val="en-US"/>
              </w:rPr>
            </w:pPr>
            <w:r w:rsidRPr="006A31EC">
              <w:rPr>
                <w:rFonts w:eastAsia="SimSun"/>
                <w:sz w:val="22"/>
                <w:lang w:val="en-US"/>
              </w:rPr>
              <w:t>Flu10</w:t>
            </w:r>
            <w:r w:rsidRPr="006A31EC">
              <w:rPr>
                <w:rFonts w:eastAsia="SimSun"/>
                <w:sz w:val="22"/>
              </w:rPr>
              <w:t>0</w:t>
            </w:r>
          </w:p>
        </w:tc>
        <w:tc>
          <w:tcPr>
            <w:tcW w:w="337" w:type="pct"/>
            <w:shd w:val="clear" w:color="auto" w:fill="D9D9D9"/>
            <w:vAlign w:val="center"/>
          </w:tcPr>
          <w:p w14:paraId="1939CA79" w14:textId="77777777" w:rsidR="008143D9" w:rsidRPr="006A31EC" w:rsidRDefault="008143D9" w:rsidP="005A428D">
            <w:pPr>
              <w:rPr>
                <w:rFonts w:eastAsia="SimSun"/>
                <w:sz w:val="22"/>
              </w:rPr>
            </w:pPr>
            <w:r w:rsidRPr="006A31EC">
              <w:rPr>
                <w:rFonts w:eastAsia="SimSun"/>
                <w:sz w:val="22"/>
                <w:lang w:val="en-US"/>
              </w:rPr>
              <w:t>Flu1</w:t>
            </w:r>
            <w:r w:rsidRPr="006A31EC">
              <w:rPr>
                <w:rFonts w:eastAsia="SimSun"/>
                <w:sz w:val="22"/>
              </w:rPr>
              <w:t>20</w:t>
            </w:r>
          </w:p>
        </w:tc>
        <w:tc>
          <w:tcPr>
            <w:tcW w:w="1264" w:type="pct"/>
            <w:gridSpan w:val="4"/>
            <w:shd w:val="clear" w:color="auto" w:fill="D9D9D9"/>
            <w:vAlign w:val="center"/>
          </w:tcPr>
          <w:p w14:paraId="591937F5" w14:textId="77777777" w:rsidR="008143D9" w:rsidRPr="006A31EC" w:rsidRDefault="008143D9" w:rsidP="005A428D">
            <w:pPr>
              <w:rPr>
                <w:rFonts w:eastAsia="SimSun"/>
                <w:sz w:val="22"/>
              </w:rPr>
            </w:pPr>
            <w:r w:rsidRPr="006A31EC">
              <w:rPr>
                <w:rFonts w:eastAsia="SimSun"/>
                <w:sz w:val="22"/>
                <w:lang w:val="en-US"/>
              </w:rPr>
              <w:t>Flu150</w:t>
            </w:r>
          </w:p>
        </w:tc>
        <w:tc>
          <w:tcPr>
            <w:tcW w:w="1515" w:type="pct"/>
            <w:gridSpan w:val="4"/>
            <w:shd w:val="clear" w:color="auto" w:fill="D9D9D9"/>
            <w:vAlign w:val="center"/>
          </w:tcPr>
          <w:p w14:paraId="37848E17" w14:textId="77777777" w:rsidR="008143D9" w:rsidRPr="006A31EC" w:rsidRDefault="008143D9" w:rsidP="005A428D">
            <w:pPr>
              <w:rPr>
                <w:rFonts w:eastAsia="SimSun"/>
                <w:sz w:val="22"/>
                <w:lang w:val="en-US"/>
              </w:rPr>
            </w:pPr>
            <w:r w:rsidRPr="006A31EC">
              <w:rPr>
                <w:rFonts w:eastAsia="SimSun"/>
                <w:sz w:val="22"/>
                <w:lang w:val="en-US"/>
              </w:rPr>
              <w:t>Flu180</w:t>
            </w:r>
          </w:p>
        </w:tc>
      </w:tr>
      <w:tr w:rsidR="008143D9" w:rsidRPr="006A31EC" w14:paraId="67A3D4C7" w14:textId="77777777" w:rsidTr="005A428D">
        <w:trPr>
          <w:cantSplit/>
          <w:trHeight w:val="351"/>
        </w:trPr>
        <w:tc>
          <w:tcPr>
            <w:tcW w:w="1237" w:type="pct"/>
            <w:gridSpan w:val="4"/>
            <w:vMerge/>
            <w:shd w:val="clear" w:color="auto" w:fill="auto"/>
            <w:vAlign w:val="center"/>
          </w:tcPr>
          <w:p w14:paraId="428D3A30" w14:textId="77777777" w:rsidR="008143D9" w:rsidRPr="006A31EC" w:rsidRDefault="008143D9" w:rsidP="005A428D">
            <w:pPr>
              <w:rPr>
                <w:rFonts w:eastAsia="SimSun"/>
                <w:sz w:val="22"/>
                <w:lang w:val="en-US"/>
              </w:rPr>
            </w:pPr>
          </w:p>
        </w:tc>
        <w:tc>
          <w:tcPr>
            <w:tcW w:w="337" w:type="pct"/>
            <w:shd w:val="clear" w:color="auto" w:fill="D9D9D9"/>
            <w:vAlign w:val="center"/>
          </w:tcPr>
          <w:p w14:paraId="3EFE1CFA" w14:textId="77777777" w:rsidR="008143D9" w:rsidRPr="006A31EC" w:rsidRDefault="008143D9" w:rsidP="005A428D">
            <w:pPr>
              <w:rPr>
                <w:rFonts w:eastAsia="SimSun"/>
                <w:sz w:val="22"/>
                <w:lang w:val="en-US"/>
              </w:rPr>
            </w:pPr>
            <w:r w:rsidRPr="006A31EC">
              <w:rPr>
                <w:rFonts w:eastAsia="SimSun"/>
                <w:sz w:val="22"/>
                <w:lang w:val="en-US"/>
              </w:rPr>
              <w:t>Benda</w:t>
            </w:r>
          </w:p>
        </w:tc>
        <w:tc>
          <w:tcPr>
            <w:tcW w:w="312" w:type="pct"/>
            <w:shd w:val="clear" w:color="auto" w:fill="D9D9D9"/>
            <w:vAlign w:val="center"/>
          </w:tcPr>
          <w:p w14:paraId="35AA7EFC" w14:textId="77777777" w:rsidR="008143D9" w:rsidRPr="006A31EC" w:rsidRDefault="008143D9" w:rsidP="005A428D">
            <w:pPr>
              <w:rPr>
                <w:rFonts w:eastAsia="SimSun"/>
                <w:sz w:val="22"/>
                <w:lang w:val="en-US"/>
              </w:rPr>
            </w:pPr>
            <w:r w:rsidRPr="006A31EC">
              <w:rPr>
                <w:rFonts w:eastAsia="SimSun"/>
                <w:sz w:val="22"/>
                <w:lang w:val="en-US"/>
              </w:rPr>
              <w:t>Cy100</w:t>
            </w:r>
          </w:p>
        </w:tc>
        <w:tc>
          <w:tcPr>
            <w:tcW w:w="337" w:type="pct"/>
            <w:shd w:val="clear" w:color="auto" w:fill="D9D9D9"/>
            <w:vAlign w:val="center"/>
          </w:tcPr>
          <w:p w14:paraId="68D64D0E" w14:textId="77777777" w:rsidR="008143D9" w:rsidRPr="006A31EC" w:rsidRDefault="008143D9" w:rsidP="005A428D">
            <w:pPr>
              <w:rPr>
                <w:rFonts w:eastAsia="SimSun"/>
                <w:sz w:val="22"/>
                <w:lang w:val="en-US"/>
              </w:rPr>
            </w:pPr>
            <w:r w:rsidRPr="006A31EC">
              <w:rPr>
                <w:rFonts w:eastAsia="SimSun"/>
                <w:sz w:val="22"/>
                <w:lang w:val="en-US"/>
              </w:rPr>
              <w:t>Cy2000</w:t>
            </w:r>
          </w:p>
        </w:tc>
        <w:tc>
          <w:tcPr>
            <w:tcW w:w="590" w:type="pct"/>
            <w:gridSpan w:val="2"/>
            <w:shd w:val="clear" w:color="auto" w:fill="D9D9D9"/>
            <w:vAlign w:val="center"/>
          </w:tcPr>
          <w:p w14:paraId="0057052E" w14:textId="77777777" w:rsidR="008143D9" w:rsidRPr="006A31EC" w:rsidRDefault="008143D9" w:rsidP="005A428D">
            <w:pPr>
              <w:rPr>
                <w:rFonts w:eastAsia="SimSun"/>
                <w:sz w:val="22"/>
                <w:lang w:val="en-US"/>
              </w:rPr>
            </w:pPr>
            <w:r w:rsidRPr="006A31EC">
              <w:rPr>
                <w:rFonts w:eastAsia="SimSun"/>
                <w:sz w:val="22"/>
                <w:lang w:val="en-US"/>
              </w:rPr>
              <w:t>Bu8</w:t>
            </w:r>
          </w:p>
        </w:tc>
        <w:tc>
          <w:tcPr>
            <w:tcW w:w="337" w:type="pct"/>
            <w:shd w:val="clear" w:color="auto" w:fill="D9D9D9"/>
            <w:vAlign w:val="center"/>
          </w:tcPr>
          <w:p w14:paraId="256E6930" w14:textId="77777777" w:rsidR="008143D9" w:rsidRPr="006A31EC" w:rsidRDefault="008143D9" w:rsidP="005A428D">
            <w:pPr>
              <w:rPr>
                <w:rFonts w:eastAsia="SimSun"/>
                <w:sz w:val="22"/>
                <w:lang w:val="en-US"/>
              </w:rPr>
            </w:pPr>
            <w:r w:rsidRPr="006A31EC">
              <w:rPr>
                <w:rFonts w:eastAsia="SimSun"/>
                <w:sz w:val="22"/>
                <w:lang w:val="en-US"/>
              </w:rPr>
              <w:t>-</w:t>
            </w:r>
          </w:p>
        </w:tc>
        <w:tc>
          <w:tcPr>
            <w:tcW w:w="337" w:type="pct"/>
            <w:shd w:val="clear" w:color="auto" w:fill="D9D9D9"/>
            <w:vAlign w:val="center"/>
          </w:tcPr>
          <w:p w14:paraId="17C6281D" w14:textId="77777777" w:rsidR="008143D9" w:rsidRPr="006A31EC" w:rsidRDefault="008143D9" w:rsidP="005A428D">
            <w:pPr>
              <w:rPr>
                <w:rFonts w:eastAsia="SimSun"/>
                <w:sz w:val="22"/>
                <w:lang w:val="en-US"/>
              </w:rPr>
            </w:pPr>
            <w:r w:rsidRPr="006A31EC">
              <w:rPr>
                <w:rFonts w:eastAsia="SimSun"/>
                <w:sz w:val="22"/>
                <w:lang w:val="en-US"/>
              </w:rPr>
              <w:t>-</w:t>
            </w:r>
          </w:p>
        </w:tc>
        <w:tc>
          <w:tcPr>
            <w:tcW w:w="401" w:type="pct"/>
            <w:shd w:val="clear" w:color="auto" w:fill="D9D9D9"/>
            <w:vAlign w:val="center"/>
          </w:tcPr>
          <w:p w14:paraId="27FDA1F3" w14:textId="77777777" w:rsidR="008143D9" w:rsidRPr="006A31EC" w:rsidRDefault="008143D9" w:rsidP="005A428D">
            <w:pPr>
              <w:rPr>
                <w:rFonts w:eastAsia="SimSun"/>
                <w:sz w:val="22"/>
                <w:lang w:val="en-US"/>
              </w:rPr>
            </w:pPr>
            <w:r w:rsidRPr="006A31EC">
              <w:rPr>
                <w:rFonts w:eastAsia="SimSun"/>
                <w:sz w:val="22"/>
                <w:lang w:val="en-US"/>
              </w:rPr>
              <w:t>Bu8</w:t>
            </w:r>
          </w:p>
        </w:tc>
        <w:tc>
          <w:tcPr>
            <w:tcW w:w="442" w:type="pct"/>
            <w:shd w:val="clear" w:color="auto" w:fill="D9D9D9"/>
            <w:vAlign w:val="center"/>
          </w:tcPr>
          <w:p w14:paraId="483AB0B5" w14:textId="77777777" w:rsidR="008143D9" w:rsidRPr="006A31EC" w:rsidRDefault="008143D9" w:rsidP="005A428D">
            <w:pPr>
              <w:rPr>
                <w:rFonts w:eastAsia="SimSun"/>
                <w:sz w:val="22"/>
                <w:lang w:val="en-US"/>
              </w:rPr>
            </w:pPr>
            <w:r w:rsidRPr="006A31EC">
              <w:rPr>
                <w:rFonts w:eastAsia="SimSun"/>
                <w:sz w:val="22"/>
                <w:lang w:val="en-US"/>
              </w:rPr>
              <w:t>Bu10</w:t>
            </w:r>
          </w:p>
        </w:tc>
        <w:tc>
          <w:tcPr>
            <w:tcW w:w="337" w:type="pct"/>
            <w:shd w:val="clear" w:color="auto" w:fill="D9D9D9"/>
            <w:vAlign w:val="center"/>
          </w:tcPr>
          <w:p w14:paraId="0E99E9E5" w14:textId="77777777" w:rsidR="008143D9" w:rsidRPr="006A31EC" w:rsidRDefault="008143D9" w:rsidP="005A428D">
            <w:pPr>
              <w:rPr>
                <w:rFonts w:eastAsia="SimSun"/>
                <w:sz w:val="22"/>
                <w:lang w:val="en-US"/>
              </w:rPr>
            </w:pPr>
            <w:r w:rsidRPr="006A31EC">
              <w:rPr>
                <w:rFonts w:eastAsia="SimSun"/>
                <w:sz w:val="22"/>
                <w:lang w:val="en-US"/>
              </w:rPr>
              <w:t>Cy</w:t>
            </w:r>
            <w:r w:rsidRPr="006A31EC">
              <w:rPr>
                <w:rFonts w:eastAsia="SimSun"/>
                <w:sz w:val="22"/>
              </w:rPr>
              <w:t>12</w:t>
            </w:r>
            <w:r w:rsidRPr="006A31EC">
              <w:rPr>
                <w:rFonts w:eastAsia="SimSun"/>
                <w:sz w:val="22"/>
                <w:lang w:val="en-US"/>
              </w:rPr>
              <w:t>00</w:t>
            </w:r>
          </w:p>
        </w:tc>
        <w:tc>
          <w:tcPr>
            <w:tcW w:w="337" w:type="pct"/>
            <w:shd w:val="clear" w:color="auto" w:fill="D9D9D9"/>
            <w:vAlign w:val="center"/>
          </w:tcPr>
          <w:p w14:paraId="41AEBD60" w14:textId="77777777" w:rsidR="008143D9" w:rsidRPr="006A31EC" w:rsidRDefault="008143D9" w:rsidP="005A428D">
            <w:pPr>
              <w:rPr>
                <w:rFonts w:eastAsia="SimSun"/>
                <w:sz w:val="22"/>
                <w:lang w:val="en-US"/>
              </w:rPr>
            </w:pPr>
            <w:r w:rsidRPr="006A31EC">
              <w:rPr>
                <w:rFonts w:eastAsia="SimSun"/>
                <w:sz w:val="22"/>
                <w:lang w:val="en-US"/>
              </w:rPr>
              <w:t>Mel100</w:t>
            </w:r>
          </w:p>
        </w:tc>
      </w:tr>
      <w:tr w:rsidR="008143D9" w:rsidRPr="006A31EC" w14:paraId="183B2635" w14:textId="77777777" w:rsidTr="005A428D">
        <w:trPr>
          <w:cantSplit/>
          <w:trHeight w:val="354"/>
        </w:trPr>
        <w:tc>
          <w:tcPr>
            <w:tcW w:w="1237" w:type="pct"/>
            <w:gridSpan w:val="4"/>
            <w:vMerge/>
            <w:shd w:val="clear" w:color="auto" w:fill="auto"/>
            <w:vAlign w:val="center"/>
          </w:tcPr>
          <w:p w14:paraId="1326CC62" w14:textId="77777777" w:rsidR="008143D9" w:rsidRPr="006A31EC" w:rsidRDefault="008143D9" w:rsidP="005A428D">
            <w:pPr>
              <w:rPr>
                <w:rFonts w:eastAsia="SimSun"/>
                <w:sz w:val="22"/>
                <w:lang w:val="en-US"/>
              </w:rPr>
            </w:pPr>
          </w:p>
        </w:tc>
        <w:tc>
          <w:tcPr>
            <w:tcW w:w="337" w:type="pct"/>
            <w:shd w:val="clear" w:color="auto" w:fill="D9D9D9"/>
            <w:vAlign w:val="center"/>
          </w:tcPr>
          <w:p w14:paraId="527B8944" w14:textId="77777777" w:rsidR="008143D9" w:rsidRPr="006A31EC" w:rsidRDefault="008143D9" w:rsidP="005A428D">
            <w:pPr>
              <w:rPr>
                <w:rFonts w:eastAsia="SimSun"/>
                <w:sz w:val="22"/>
                <w:lang w:val="en-US"/>
              </w:rPr>
            </w:pPr>
            <w:r w:rsidRPr="006A31EC">
              <w:rPr>
                <w:rFonts w:eastAsia="SimSun"/>
                <w:sz w:val="22"/>
                <w:lang w:val="en-US"/>
              </w:rPr>
              <w:t>-</w:t>
            </w:r>
          </w:p>
        </w:tc>
        <w:tc>
          <w:tcPr>
            <w:tcW w:w="312" w:type="pct"/>
            <w:shd w:val="clear" w:color="auto" w:fill="D9D9D9"/>
          </w:tcPr>
          <w:p w14:paraId="684DE259" w14:textId="77777777" w:rsidR="008143D9" w:rsidRPr="006A31EC" w:rsidRDefault="008143D9" w:rsidP="005A428D">
            <w:pPr>
              <w:rPr>
                <w:rFonts w:eastAsia="SimSun"/>
                <w:sz w:val="22"/>
                <w:lang w:val="en-US"/>
              </w:rPr>
            </w:pPr>
          </w:p>
        </w:tc>
        <w:tc>
          <w:tcPr>
            <w:tcW w:w="337" w:type="pct"/>
            <w:shd w:val="clear" w:color="auto" w:fill="D9D9D9"/>
            <w:vAlign w:val="center"/>
          </w:tcPr>
          <w:p w14:paraId="0EF158B6" w14:textId="77777777" w:rsidR="008143D9" w:rsidRPr="006A31EC" w:rsidRDefault="008143D9" w:rsidP="005A428D">
            <w:pPr>
              <w:rPr>
                <w:rFonts w:eastAsia="SimSun"/>
                <w:sz w:val="22"/>
                <w:lang w:val="en-US"/>
              </w:rPr>
            </w:pPr>
            <w:r w:rsidRPr="006A31EC">
              <w:rPr>
                <w:rFonts w:eastAsia="SimSun"/>
                <w:sz w:val="22"/>
                <w:lang w:val="en-US"/>
              </w:rPr>
              <w:t>Mel 140</w:t>
            </w:r>
          </w:p>
        </w:tc>
        <w:tc>
          <w:tcPr>
            <w:tcW w:w="295" w:type="pct"/>
            <w:shd w:val="clear" w:color="auto" w:fill="D9D9D9"/>
          </w:tcPr>
          <w:p w14:paraId="5BE4F291" w14:textId="77777777" w:rsidR="008143D9" w:rsidRPr="006A31EC" w:rsidRDefault="008143D9" w:rsidP="005A428D">
            <w:pPr>
              <w:rPr>
                <w:rFonts w:eastAsia="SimSun"/>
                <w:sz w:val="22"/>
                <w:lang w:val="en-US"/>
              </w:rPr>
            </w:pPr>
            <w:r w:rsidRPr="006A31EC">
              <w:rPr>
                <w:rFonts w:eastAsia="SimSun"/>
                <w:sz w:val="22"/>
                <w:lang w:val="en-US"/>
              </w:rPr>
              <w:t>-</w:t>
            </w:r>
          </w:p>
        </w:tc>
        <w:tc>
          <w:tcPr>
            <w:tcW w:w="295" w:type="pct"/>
            <w:shd w:val="clear" w:color="auto" w:fill="D9D9D9"/>
            <w:vAlign w:val="center"/>
          </w:tcPr>
          <w:p w14:paraId="793A8435" w14:textId="77777777" w:rsidR="008143D9" w:rsidRPr="006A31EC" w:rsidRDefault="008143D9" w:rsidP="005A428D">
            <w:pPr>
              <w:rPr>
                <w:rFonts w:eastAsia="SimSun"/>
                <w:sz w:val="22"/>
                <w:lang w:val="en-US"/>
              </w:rPr>
            </w:pPr>
            <w:r w:rsidRPr="006A31EC">
              <w:rPr>
                <w:rFonts w:eastAsia="SimSun"/>
                <w:sz w:val="22"/>
                <w:lang w:val="en-US"/>
              </w:rPr>
              <w:t>Thio</w:t>
            </w:r>
          </w:p>
        </w:tc>
        <w:tc>
          <w:tcPr>
            <w:tcW w:w="337" w:type="pct"/>
            <w:shd w:val="clear" w:color="auto" w:fill="D9D9D9"/>
            <w:vAlign w:val="center"/>
          </w:tcPr>
          <w:p w14:paraId="54EED5CC" w14:textId="77777777" w:rsidR="008143D9" w:rsidRPr="006A31EC" w:rsidRDefault="008143D9" w:rsidP="005A428D">
            <w:pPr>
              <w:rPr>
                <w:rFonts w:eastAsia="SimSun"/>
                <w:sz w:val="22"/>
                <w:lang w:val="en-US"/>
              </w:rPr>
            </w:pPr>
            <w:r w:rsidRPr="006A31EC">
              <w:rPr>
                <w:rFonts w:eastAsia="SimSun"/>
                <w:sz w:val="22"/>
                <w:lang w:val="en-US"/>
              </w:rPr>
              <w:t>Treo36</w:t>
            </w:r>
          </w:p>
        </w:tc>
        <w:tc>
          <w:tcPr>
            <w:tcW w:w="337" w:type="pct"/>
            <w:shd w:val="clear" w:color="auto" w:fill="D9D9D9"/>
            <w:vAlign w:val="center"/>
          </w:tcPr>
          <w:p w14:paraId="698CC65A" w14:textId="77777777" w:rsidR="008143D9" w:rsidRPr="006A31EC" w:rsidRDefault="008143D9" w:rsidP="005A428D">
            <w:pPr>
              <w:rPr>
                <w:rFonts w:eastAsia="SimSun"/>
                <w:sz w:val="22"/>
                <w:lang w:val="en-US"/>
              </w:rPr>
            </w:pPr>
            <w:r w:rsidRPr="006A31EC">
              <w:rPr>
                <w:rFonts w:eastAsia="SimSun"/>
                <w:sz w:val="22"/>
                <w:lang w:val="en-US"/>
              </w:rPr>
              <w:t>Thio</w:t>
            </w:r>
          </w:p>
        </w:tc>
        <w:tc>
          <w:tcPr>
            <w:tcW w:w="401" w:type="pct"/>
            <w:shd w:val="clear" w:color="auto" w:fill="D9D9D9"/>
            <w:vAlign w:val="center"/>
          </w:tcPr>
          <w:p w14:paraId="58A26354" w14:textId="77777777" w:rsidR="008143D9" w:rsidRPr="006A31EC" w:rsidRDefault="008143D9" w:rsidP="005A428D">
            <w:pPr>
              <w:rPr>
                <w:rFonts w:eastAsia="SimSun"/>
                <w:sz w:val="22"/>
                <w:lang w:val="en-US"/>
              </w:rPr>
            </w:pPr>
            <w:r w:rsidRPr="006A31EC">
              <w:rPr>
                <w:rFonts w:eastAsia="SimSun"/>
                <w:sz w:val="22"/>
                <w:lang w:val="en-US"/>
              </w:rPr>
              <w:t>-</w:t>
            </w:r>
          </w:p>
        </w:tc>
        <w:tc>
          <w:tcPr>
            <w:tcW w:w="442" w:type="pct"/>
            <w:shd w:val="clear" w:color="auto" w:fill="D9D9D9"/>
            <w:vAlign w:val="center"/>
          </w:tcPr>
          <w:p w14:paraId="68C97849" w14:textId="77777777" w:rsidR="008143D9" w:rsidRPr="006A31EC" w:rsidRDefault="008143D9" w:rsidP="005A428D">
            <w:pPr>
              <w:rPr>
                <w:rFonts w:eastAsia="SimSun"/>
                <w:sz w:val="22"/>
                <w:lang w:val="en-US"/>
              </w:rPr>
            </w:pPr>
            <w:r w:rsidRPr="006A31EC">
              <w:rPr>
                <w:rFonts w:eastAsia="SimSun"/>
                <w:sz w:val="22"/>
                <w:lang w:val="en-US"/>
              </w:rPr>
              <w:t>-</w:t>
            </w:r>
          </w:p>
        </w:tc>
        <w:tc>
          <w:tcPr>
            <w:tcW w:w="337" w:type="pct"/>
            <w:shd w:val="clear" w:color="auto" w:fill="D9D9D9"/>
            <w:vAlign w:val="center"/>
          </w:tcPr>
          <w:p w14:paraId="14188281" w14:textId="77777777" w:rsidR="008143D9" w:rsidRPr="006A31EC" w:rsidRDefault="008143D9" w:rsidP="005A428D">
            <w:pPr>
              <w:rPr>
                <w:rFonts w:eastAsia="SimSun"/>
                <w:sz w:val="22"/>
                <w:lang w:val="en-US"/>
              </w:rPr>
            </w:pPr>
            <w:r w:rsidRPr="006A31EC">
              <w:rPr>
                <w:rFonts w:eastAsia="SimSun"/>
                <w:sz w:val="22"/>
                <w:lang w:val="en-US"/>
              </w:rPr>
              <w:t>-</w:t>
            </w:r>
          </w:p>
        </w:tc>
        <w:tc>
          <w:tcPr>
            <w:tcW w:w="337" w:type="pct"/>
            <w:shd w:val="clear" w:color="auto" w:fill="D9D9D9"/>
          </w:tcPr>
          <w:p w14:paraId="0B535D9E" w14:textId="77777777" w:rsidR="008143D9" w:rsidRPr="006A31EC" w:rsidRDefault="008143D9" w:rsidP="005A428D">
            <w:pPr>
              <w:rPr>
                <w:rFonts w:eastAsia="SimSun"/>
                <w:sz w:val="22"/>
                <w:lang w:val="en-US"/>
              </w:rPr>
            </w:pPr>
          </w:p>
        </w:tc>
      </w:tr>
      <w:tr w:rsidR="008143D9" w:rsidRPr="006A31EC" w14:paraId="1E3BB76F" w14:textId="77777777" w:rsidTr="005A428D">
        <w:trPr>
          <w:cantSplit/>
          <w:trHeight w:val="624"/>
        </w:trPr>
        <w:tc>
          <w:tcPr>
            <w:tcW w:w="293" w:type="pct"/>
            <w:vMerge w:val="restart"/>
            <w:shd w:val="clear" w:color="auto" w:fill="D9D9D9"/>
            <w:vAlign w:val="center"/>
          </w:tcPr>
          <w:p w14:paraId="30356E63" w14:textId="77777777" w:rsidR="008143D9" w:rsidRPr="006A31EC" w:rsidRDefault="008143D9" w:rsidP="005A428D">
            <w:pPr>
              <w:rPr>
                <w:rFonts w:eastAsia="SimSun"/>
                <w:sz w:val="22"/>
                <w:lang w:val="en-US"/>
              </w:rPr>
            </w:pPr>
            <w:r w:rsidRPr="006A31EC">
              <w:rPr>
                <w:rFonts w:eastAsia="SimSun"/>
                <w:sz w:val="22"/>
                <w:lang w:val="en-US"/>
              </w:rPr>
              <w:t>hATG</w:t>
            </w:r>
          </w:p>
        </w:tc>
        <w:tc>
          <w:tcPr>
            <w:tcW w:w="284" w:type="pct"/>
            <w:vMerge w:val="restart"/>
            <w:shd w:val="clear" w:color="auto" w:fill="D9D9D9"/>
            <w:vAlign w:val="center"/>
          </w:tcPr>
          <w:p w14:paraId="0CD8891C" w14:textId="77777777" w:rsidR="008143D9" w:rsidRPr="006A31EC" w:rsidRDefault="008143D9" w:rsidP="005A428D">
            <w:pPr>
              <w:rPr>
                <w:rFonts w:eastAsia="SimSun"/>
                <w:sz w:val="22"/>
                <w:lang w:val="en-US"/>
              </w:rPr>
            </w:pPr>
            <w:r w:rsidRPr="006A31EC">
              <w:rPr>
                <w:rFonts w:eastAsia="SimSun"/>
                <w:sz w:val="22"/>
                <w:lang w:val="en-US"/>
              </w:rPr>
              <w:t>CSA</w:t>
            </w:r>
          </w:p>
        </w:tc>
        <w:tc>
          <w:tcPr>
            <w:tcW w:w="261" w:type="pct"/>
            <w:vMerge w:val="restart"/>
            <w:shd w:val="clear" w:color="auto" w:fill="D9D9D9"/>
            <w:vAlign w:val="center"/>
          </w:tcPr>
          <w:p w14:paraId="6A10B30A" w14:textId="77777777" w:rsidR="008143D9" w:rsidRPr="006A31EC" w:rsidRDefault="008143D9" w:rsidP="005A428D">
            <w:pPr>
              <w:rPr>
                <w:rFonts w:eastAsia="SimSun"/>
                <w:sz w:val="22"/>
                <w:lang w:val="en-US"/>
              </w:rPr>
            </w:pPr>
            <w:r w:rsidRPr="006A31EC">
              <w:rPr>
                <w:rFonts w:eastAsia="SimSun"/>
                <w:sz w:val="22"/>
                <w:lang w:val="en-US"/>
              </w:rPr>
              <w:t>MTX</w:t>
            </w:r>
          </w:p>
        </w:tc>
        <w:tc>
          <w:tcPr>
            <w:tcW w:w="398" w:type="pct"/>
            <w:shd w:val="clear" w:color="auto" w:fill="D9D9D9"/>
            <w:vAlign w:val="center"/>
          </w:tcPr>
          <w:p w14:paraId="1DB1657F" w14:textId="77777777" w:rsidR="008143D9" w:rsidRPr="006A31EC" w:rsidRDefault="008143D9" w:rsidP="005A428D">
            <w:pPr>
              <w:rPr>
                <w:rFonts w:eastAsia="SimSun"/>
                <w:sz w:val="22"/>
                <w:lang w:val="en-US"/>
              </w:rPr>
            </w:pPr>
            <w:r w:rsidRPr="006A31EC">
              <w:rPr>
                <w:rFonts w:eastAsia="SimSun"/>
                <w:sz w:val="22"/>
                <w:lang w:val="en-US"/>
              </w:rPr>
              <w:t>-</w:t>
            </w:r>
          </w:p>
        </w:tc>
        <w:tc>
          <w:tcPr>
            <w:tcW w:w="337" w:type="pct"/>
            <w:shd w:val="clear" w:color="auto" w:fill="auto"/>
            <w:vAlign w:val="center"/>
          </w:tcPr>
          <w:p w14:paraId="398F6AF7" w14:textId="77777777" w:rsidR="008143D9" w:rsidRPr="006A31EC" w:rsidRDefault="008143D9" w:rsidP="005A428D">
            <w:pPr>
              <w:rPr>
                <w:rFonts w:eastAsia="SimSun"/>
                <w:sz w:val="22"/>
                <w:lang w:val="en-US"/>
              </w:rPr>
            </w:pPr>
          </w:p>
        </w:tc>
        <w:tc>
          <w:tcPr>
            <w:tcW w:w="312" w:type="pct"/>
            <w:vAlign w:val="center"/>
          </w:tcPr>
          <w:p w14:paraId="4E07578D" w14:textId="77777777" w:rsidR="008143D9" w:rsidRPr="006A31EC" w:rsidRDefault="008143D9" w:rsidP="005A428D">
            <w:pPr>
              <w:rPr>
                <w:rFonts w:eastAsia="SimSun"/>
                <w:sz w:val="22"/>
              </w:rPr>
            </w:pPr>
            <w:r w:rsidRPr="006A31EC">
              <w:rPr>
                <w:rFonts w:eastAsia="SimSun"/>
                <w:sz w:val="22"/>
                <w:lang w:val="en-US"/>
              </w:rPr>
              <w:t>5.1.2.</w:t>
            </w:r>
            <w:r w:rsidRPr="006A31EC">
              <w:rPr>
                <w:rFonts w:eastAsia="SimSun"/>
                <w:sz w:val="22"/>
              </w:rPr>
              <w:t>18</w:t>
            </w:r>
          </w:p>
        </w:tc>
        <w:tc>
          <w:tcPr>
            <w:tcW w:w="337" w:type="pct"/>
            <w:shd w:val="clear" w:color="auto" w:fill="auto"/>
            <w:vAlign w:val="center"/>
          </w:tcPr>
          <w:p w14:paraId="0AB6A38D" w14:textId="77777777" w:rsidR="008143D9" w:rsidRPr="006A31EC" w:rsidRDefault="008143D9" w:rsidP="005A428D">
            <w:pPr>
              <w:rPr>
                <w:rFonts w:eastAsia="SimSun"/>
                <w:sz w:val="22"/>
                <w:lang w:val="en-US"/>
              </w:rPr>
            </w:pPr>
          </w:p>
        </w:tc>
        <w:tc>
          <w:tcPr>
            <w:tcW w:w="295" w:type="pct"/>
            <w:shd w:val="clear" w:color="auto" w:fill="auto"/>
            <w:vAlign w:val="center"/>
          </w:tcPr>
          <w:p w14:paraId="1BAD1E35" w14:textId="77777777" w:rsidR="008143D9" w:rsidRPr="006A31EC" w:rsidRDefault="008143D9" w:rsidP="005A428D">
            <w:pPr>
              <w:rPr>
                <w:rFonts w:eastAsia="SimSun"/>
                <w:sz w:val="22"/>
                <w:lang w:val="en-US"/>
              </w:rPr>
            </w:pPr>
          </w:p>
        </w:tc>
        <w:tc>
          <w:tcPr>
            <w:tcW w:w="295" w:type="pct"/>
            <w:shd w:val="clear" w:color="auto" w:fill="auto"/>
            <w:vAlign w:val="center"/>
          </w:tcPr>
          <w:p w14:paraId="5B6CA3C1" w14:textId="77777777" w:rsidR="008143D9" w:rsidRPr="006A31EC" w:rsidRDefault="008143D9" w:rsidP="005A428D">
            <w:pPr>
              <w:rPr>
                <w:rFonts w:eastAsia="SimSun"/>
                <w:sz w:val="22"/>
                <w:lang w:val="en-US"/>
              </w:rPr>
            </w:pPr>
          </w:p>
        </w:tc>
        <w:tc>
          <w:tcPr>
            <w:tcW w:w="337" w:type="pct"/>
            <w:shd w:val="clear" w:color="auto" w:fill="auto"/>
            <w:vAlign w:val="center"/>
          </w:tcPr>
          <w:p w14:paraId="71D30E68" w14:textId="77777777" w:rsidR="008143D9" w:rsidRPr="006A31EC" w:rsidRDefault="008143D9" w:rsidP="005A428D">
            <w:pPr>
              <w:rPr>
                <w:rFonts w:eastAsia="SimSun"/>
                <w:sz w:val="22"/>
                <w:lang w:val="en-US"/>
              </w:rPr>
            </w:pPr>
          </w:p>
        </w:tc>
        <w:tc>
          <w:tcPr>
            <w:tcW w:w="337" w:type="pct"/>
            <w:shd w:val="clear" w:color="auto" w:fill="auto"/>
            <w:vAlign w:val="center"/>
          </w:tcPr>
          <w:p w14:paraId="48DCB02E" w14:textId="77777777" w:rsidR="008143D9" w:rsidRPr="006A31EC" w:rsidRDefault="008143D9" w:rsidP="005A428D">
            <w:pPr>
              <w:rPr>
                <w:sz w:val="22"/>
              </w:rPr>
            </w:pPr>
          </w:p>
        </w:tc>
        <w:tc>
          <w:tcPr>
            <w:tcW w:w="401" w:type="pct"/>
            <w:shd w:val="clear" w:color="auto" w:fill="auto"/>
            <w:vAlign w:val="center"/>
          </w:tcPr>
          <w:p w14:paraId="555FAD0D" w14:textId="77777777" w:rsidR="008143D9" w:rsidRPr="006A31EC" w:rsidRDefault="008143D9" w:rsidP="005A428D">
            <w:pPr>
              <w:rPr>
                <w:sz w:val="22"/>
              </w:rPr>
            </w:pPr>
          </w:p>
        </w:tc>
        <w:tc>
          <w:tcPr>
            <w:tcW w:w="442" w:type="pct"/>
            <w:shd w:val="clear" w:color="auto" w:fill="auto"/>
            <w:vAlign w:val="center"/>
          </w:tcPr>
          <w:p w14:paraId="527EAB7B" w14:textId="77777777" w:rsidR="008143D9" w:rsidRPr="006A31EC" w:rsidRDefault="008143D9" w:rsidP="005A428D">
            <w:pPr>
              <w:rPr>
                <w:rFonts w:eastAsia="SimSun"/>
                <w:sz w:val="22"/>
                <w:lang w:val="en-US"/>
              </w:rPr>
            </w:pPr>
          </w:p>
        </w:tc>
        <w:tc>
          <w:tcPr>
            <w:tcW w:w="337" w:type="pct"/>
            <w:shd w:val="clear" w:color="auto" w:fill="auto"/>
            <w:vAlign w:val="center"/>
          </w:tcPr>
          <w:p w14:paraId="60856CC4" w14:textId="77777777" w:rsidR="008143D9" w:rsidRPr="006A31EC" w:rsidRDefault="008143D9" w:rsidP="005A428D">
            <w:pPr>
              <w:rPr>
                <w:rFonts w:eastAsia="SimSun"/>
                <w:sz w:val="22"/>
                <w:lang w:val="en-US"/>
              </w:rPr>
            </w:pPr>
          </w:p>
        </w:tc>
        <w:tc>
          <w:tcPr>
            <w:tcW w:w="337" w:type="pct"/>
          </w:tcPr>
          <w:p w14:paraId="79AA884C" w14:textId="77777777" w:rsidR="008143D9" w:rsidRPr="006A31EC" w:rsidRDefault="008143D9" w:rsidP="005A428D">
            <w:pPr>
              <w:rPr>
                <w:rFonts w:eastAsia="SimSun"/>
                <w:sz w:val="22"/>
                <w:lang w:val="en-US"/>
              </w:rPr>
            </w:pPr>
          </w:p>
        </w:tc>
      </w:tr>
      <w:tr w:rsidR="008143D9" w:rsidRPr="006A31EC" w14:paraId="4A172231" w14:textId="77777777" w:rsidTr="005A428D">
        <w:trPr>
          <w:cantSplit/>
          <w:trHeight w:val="624"/>
        </w:trPr>
        <w:tc>
          <w:tcPr>
            <w:tcW w:w="293" w:type="pct"/>
            <w:vMerge/>
            <w:shd w:val="clear" w:color="auto" w:fill="D9D9D9"/>
            <w:vAlign w:val="center"/>
          </w:tcPr>
          <w:p w14:paraId="73F8DF7C" w14:textId="77777777" w:rsidR="008143D9" w:rsidRPr="006A31EC" w:rsidRDefault="008143D9" w:rsidP="005A428D">
            <w:pPr>
              <w:rPr>
                <w:rFonts w:eastAsia="SimSun"/>
                <w:sz w:val="22"/>
                <w:lang w:val="en-US"/>
              </w:rPr>
            </w:pPr>
          </w:p>
        </w:tc>
        <w:tc>
          <w:tcPr>
            <w:tcW w:w="284" w:type="pct"/>
            <w:vMerge/>
            <w:shd w:val="clear" w:color="auto" w:fill="D9D9D9"/>
            <w:vAlign w:val="center"/>
          </w:tcPr>
          <w:p w14:paraId="2DA280CC" w14:textId="77777777" w:rsidR="008143D9" w:rsidRPr="006A31EC" w:rsidRDefault="008143D9" w:rsidP="005A428D">
            <w:pPr>
              <w:rPr>
                <w:rFonts w:eastAsia="SimSun"/>
                <w:sz w:val="22"/>
                <w:lang w:val="en-US"/>
              </w:rPr>
            </w:pPr>
          </w:p>
        </w:tc>
        <w:tc>
          <w:tcPr>
            <w:tcW w:w="261" w:type="pct"/>
            <w:vMerge/>
            <w:shd w:val="clear" w:color="auto" w:fill="D9D9D9"/>
            <w:vAlign w:val="center"/>
          </w:tcPr>
          <w:p w14:paraId="4E33E98D" w14:textId="77777777" w:rsidR="008143D9" w:rsidRPr="006A31EC" w:rsidRDefault="008143D9" w:rsidP="005A428D">
            <w:pPr>
              <w:rPr>
                <w:rFonts w:eastAsia="SimSun"/>
                <w:sz w:val="22"/>
                <w:lang w:val="en-US"/>
              </w:rPr>
            </w:pPr>
          </w:p>
        </w:tc>
        <w:tc>
          <w:tcPr>
            <w:tcW w:w="398" w:type="pct"/>
            <w:shd w:val="clear" w:color="auto" w:fill="D9D9D9"/>
            <w:vAlign w:val="center"/>
          </w:tcPr>
          <w:p w14:paraId="38939F17" w14:textId="77777777" w:rsidR="008143D9" w:rsidRPr="006A31EC" w:rsidRDefault="008143D9" w:rsidP="005A428D">
            <w:pPr>
              <w:rPr>
                <w:rFonts w:eastAsia="SimSun"/>
                <w:sz w:val="22"/>
                <w:lang w:val="en-US"/>
              </w:rPr>
            </w:pPr>
            <w:r w:rsidRPr="006A31EC">
              <w:rPr>
                <w:rFonts w:eastAsia="SimSun"/>
                <w:sz w:val="22"/>
                <w:lang w:val="en-US"/>
              </w:rPr>
              <w:t>MMF30</w:t>
            </w:r>
          </w:p>
        </w:tc>
        <w:tc>
          <w:tcPr>
            <w:tcW w:w="337" w:type="pct"/>
            <w:shd w:val="clear" w:color="auto" w:fill="auto"/>
            <w:vAlign w:val="center"/>
          </w:tcPr>
          <w:p w14:paraId="124AF92B" w14:textId="77777777" w:rsidR="008143D9" w:rsidRPr="006A31EC" w:rsidRDefault="008143D9" w:rsidP="005A428D">
            <w:pPr>
              <w:rPr>
                <w:sz w:val="22"/>
              </w:rPr>
            </w:pPr>
            <w:r w:rsidRPr="006A31EC">
              <w:rPr>
                <w:rFonts w:eastAsia="SimSun"/>
                <w:sz w:val="22"/>
                <w:lang w:val="en-US"/>
              </w:rPr>
              <w:t>-</w:t>
            </w:r>
          </w:p>
        </w:tc>
        <w:tc>
          <w:tcPr>
            <w:tcW w:w="312" w:type="pct"/>
          </w:tcPr>
          <w:p w14:paraId="6145A8DB" w14:textId="77777777" w:rsidR="008143D9" w:rsidRPr="006A31EC" w:rsidRDefault="008143D9" w:rsidP="005A428D">
            <w:pPr>
              <w:rPr>
                <w:rFonts w:eastAsia="SimSun"/>
                <w:sz w:val="22"/>
                <w:lang w:val="en-US"/>
              </w:rPr>
            </w:pPr>
          </w:p>
        </w:tc>
        <w:tc>
          <w:tcPr>
            <w:tcW w:w="337" w:type="pct"/>
            <w:shd w:val="clear" w:color="auto" w:fill="auto"/>
            <w:vAlign w:val="center"/>
          </w:tcPr>
          <w:p w14:paraId="486BC947" w14:textId="77777777" w:rsidR="008143D9" w:rsidRPr="006A31EC" w:rsidRDefault="008143D9" w:rsidP="005A428D">
            <w:pPr>
              <w:rPr>
                <w:sz w:val="22"/>
              </w:rPr>
            </w:pPr>
            <w:r w:rsidRPr="006A31EC">
              <w:rPr>
                <w:rFonts w:eastAsia="SimSun"/>
                <w:sz w:val="22"/>
                <w:lang w:val="en-US"/>
              </w:rPr>
              <w:t>-</w:t>
            </w:r>
          </w:p>
        </w:tc>
        <w:tc>
          <w:tcPr>
            <w:tcW w:w="295" w:type="pct"/>
            <w:shd w:val="clear" w:color="auto" w:fill="auto"/>
            <w:vAlign w:val="center"/>
          </w:tcPr>
          <w:p w14:paraId="6A157BF6" w14:textId="77777777" w:rsidR="008143D9" w:rsidRPr="006A31EC" w:rsidRDefault="008143D9" w:rsidP="005A428D">
            <w:pPr>
              <w:rPr>
                <w:sz w:val="22"/>
              </w:rPr>
            </w:pPr>
            <w:r w:rsidRPr="006A31EC">
              <w:rPr>
                <w:rFonts w:eastAsia="SimSun"/>
                <w:sz w:val="22"/>
                <w:lang w:val="en-US"/>
              </w:rPr>
              <w:t>-</w:t>
            </w:r>
          </w:p>
        </w:tc>
        <w:tc>
          <w:tcPr>
            <w:tcW w:w="295" w:type="pct"/>
            <w:shd w:val="clear" w:color="auto" w:fill="auto"/>
            <w:vAlign w:val="center"/>
          </w:tcPr>
          <w:p w14:paraId="55417E08" w14:textId="77777777" w:rsidR="008143D9" w:rsidRPr="006A31EC" w:rsidRDefault="008143D9" w:rsidP="005A428D">
            <w:pPr>
              <w:rPr>
                <w:rFonts w:eastAsia="SimSun"/>
                <w:sz w:val="22"/>
                <w:lang w:val="en-US"/>
              </w:rPr>
            </w:pPr>
            <w:r w:rsidRPr="006A31EC">
              <w:rPr>
                <w:rFonts w:eastAsia="SimSun"/>
                <w:sz w:val="22"/>
                <w:lang w:val="en-US"/>
              </w:rPr>
              <w:t>5.1.2.1</w:t>
            </w:r>
          </w:p>
        </w:tc>
        <w:tc>
          <w:tcPr>
            <w:tcW w:w="337" w:type="pct"/>
            <w:shd w:val="clear" w:color="auto" w:fill="auto"/>
            <w:vAlign w:val="center"/>
          </w:tcPr>
          <w:p w14:paraId="4C8CE7CD" w14:textId="77777777" w:rsidR="008143D9" w:rsidRPr="006A31EC" w:rsidRDefault="008143D9" w:rsidP="005A428D">
            <w:pPr>
              <w:rPr>
                <w:sz w:val="22"/>
              </w:rPr>
            </w:pPr>
            <w:r w:rsidRPr="006A31EC">
              <w:rPr>
                <w:rFonts w:eastAsia="SimSun"/>
                <w:sz w:val="22"/>
                <w:lang w:val="en-US"/>
              </w:rPr>
              <w:t>-</w:t>
            </w:r>
          </w:p>
        </w:tc>
        <w:tc>
          <w:tcPr>
            <w:tcW w:w="337" w:type="pct"/>
            <w:shd w:val="clear" w:color="auto" w:fill="auto"/>
            <w:vAlign w:val="center"/>
          </w:tcPr>
          <w:p w14:paraId="54A576B8" w14:textId="77777777" w:rsidR="008143D9" w:rsidRPr="006A31EC" w:rsidRDefault="008143D9" w:rsidP="005A428D">
            <w:pPr>
              <w:rPr>
                <w:sz w:val="22"/>
              </w:rPr>
            </w:pPr>
          </w:p>
        </w:tc>
        <w:tc>
          <w:tcPr>
            <w:tcW w:w="401" w:type="pct"/>
            <w:shd w:val="clear" w:color="auto" w:fill="auto"/>
            <w:vAlign w:val="center"/>
          </w:tcPr>
          <w:p w14:paraId="6AC8431D" w14:textId="77777777" w:rsidR="008143D9" w:rsidRPr="006A31EC" w:rsidRDefault="008143D9" w:rsidP="005A428D">
            <w:pPr>
              <w:rPr>
                <w:sz w:val="22"/>
              </w:rPr>
            </w:pPr>
            <w:r w:rsidRPr="006A31EC">
              <w:rPr>
                <w:sz w:val="22"/>
              </w:rPr>
              <w:t>5.1.2.5</w:t>
            </w:r>
          </w:p>
        </w:tc>
        <w:tc>
          <w:tcPr>
            <w:tcW w:w="442" w:type="pct"/>
            <w:shd w:val="clear" w:color="auto" w:fill="auto"/>
            <w:vAlign w:val="center"/>
          </w:tcPr>
          <w:p w14:paraId="1FC39A4F" w14:textId="77777777" w:rsidR="008143D9" w:rsidRPr="006A31EC" w:rsidRDefault="008143D9" w:rsidP="005A428D">
            <w:pPr>
              <w:rPr>
                <w:sz w:val="22"/>
              </w:rPr>
            </w:pPr>
            <w:r w:rsidRPr="006A31EC">
              <w:rPr>
                <w:rFonts w:eastAsia="SimSun"/>
                <w:sz w:val="22"/>
                <w:lang w:val="en-US"/>
              </w:rPr>
              <w:t>-</w:t>
            </w:r>
          </w:p>
        </w:tc>
        <w:tc>
          <w:tcPr>
            <w:tcW w:w="337" w:type="pct"/>
            <w:shd w:val="clear" w:color="auto" w:fill="auto"/>
            <w:vAlign w:val="center"/>
          </w:tcPr>
          <w:p w14:paraId="2E039C65" w14:textId="77777777" w:rsidR="008143D9" w:rsidRPr="006A31EC" w:rsidRDefault="008143D9" w:rsidP="005A428D">
            <w:pPr>
              <w:rPr>
                <w:sz w:val="22"/>
              </w:rPr>
            </w:pPr>
            <w:r w:rsidRPr="006A31EC">
              <w:rPr>
                <w:rFonts w:eastAsia="SimSun"/>
                <w:sz w:val="22"/>
                <w:lang w:val="en-US"/>
              </w:rPr>
              <w:t>-</w:t>
            </w:r>
          </w:p>
        </w:tc>
        <w:tc>
          <w:tcPr>
            <w:tcW w:w="337" w:type="pct"/>
          </w:tcPr>
          <w:p w14:paraId="5B93A468" w14:textId="77777777" w:rsidR="008143D9" w:rsidRPr="006A31EC" w:rsidRDefault="008143D9" w:rsidP="005A428D">
            <w:pPr>
              <w:rPr>
                <w:rFonts w:eastAsia="SimSun"/>
                <w:sz w:val="22"/>
                <w:lang w:val="en-US"/>
              </w:rPr>
            </w:pPr>
          </w:p>
        </w:tc>
      </w:tr>
      <w:tr w:rsidR="008143D9" w:rsidRPr="006A31EC" w14:paraId="4B397C7B" w14:textId="77777777" w:rsidTr="005A428D">
        <w:trPr>
          <w:cantSplit/>
          <w:trHeight w:val="624"/>
        </w:trPr>
        <w:tc>
          <w:tcPr>
            <w:tcW w:w="293" w:type="pct"/>
            <w:vMerge/>
            <w:shd w:val="clear" w:color="auto" w:fill="D9D9D9"/>
            <w:vAlign w:val="center"/>
          </w:tcPr>
          <w:p w14:paraId="748787AA" w14:textId="77777777" w:rsidR="008143D9" w:rsidRPr="006A31EC" w:rsidRDefault="008143D9" w:rsidP="005A428D">
            <w:pPr>
              <w:rPr>
                <w:rFonts w:eastAsia="SimSun"/>
                <w:sz w:val="22"/>
                <w:lang w:val="en-US"/>
              </w:rPr>
            </w:pPr>
          </w:p>
        </w:tc>
        <w:tc>
          <w:tcPr>
            <w:tcW w:w="284" w:type="pct"/>
            <w:shd w:val="clear" w:color="auto" w:fill="D9D9D9"/>
            <w:vAlign w:val="center"/>
          </w:tcPr>
          <w:p w14:paraId="0E6C8B1C" w14:textId="77777777" w:rsidR="008143D9" w:rsidRPr="006A31EC" w:rsidRDefault="008143D9" w:rsidP="005A428D">
            <w:pPr>
              <w:rPr>
                <w:rFonts w:eastAsia="SimSun"/>
                <w:sz w:val="22"/>
                <w:lang w:val="en-US"/>
              </w:rPr>
            </w:pPr>
            <w:r w:rsidRPr="006A31EC">
              <w:rPr>
                <w:rFonts w:eastAsia="SimSun"/>
                <w:sz w:val="22"/>
                <w:lang w:val="en-US"/>
              </w:rPr>
              <w:t>Tx</w:t>
            </w:r>
          </w:p>
        </w:tc>
        <w:tc>
          <w:tcPr>
            <w:tcW w:w="261" w:type="pct"/>
            <w:shd w:val="clear" w:color="auto" w:fill="D9D9D9"/>
            <w:vAlign w:val="center"/>
          </w:tcPr>
          <w:p w14:paraId="75215882" w14:textId="77777777" w:rsidR="008143D9" w:rsidRPr="006A31EC" w:rsidRDefault="008143D9" w:rsidP="005A428D">
            <w:pPr>
              <w:rPr>
                <w:rFonts w:eastAsia="SimSun"/>
                <w:sz w:val="22"/>
                <w:lang w:val="en-US"/>
              </w:rPr>
            </w:pPr>
            <w:r w:rsidRPr="006A31EC">
              <w:rPr>
                <w:rFonts w:eastAsia="SimSun"/>
                <w:sz w:val="22"/>
                <w:lang w:val="en-US"/>
              </w:rPr>
              <w:t>-</w:t>
            </w:r>
          </w:p>
        </w:tc>
        <w:tc>
          <w:tcPr>
            <w:tcW w:w="398" w:type="pct"/>
            <w:shd w:val="clear" w:color="auto" w:fill="D9D9D9"/>
            <w:vAlign w:val="center"/>
          </w:tcPr>
          <w:p w14:paraId="1B4D5AEE" w14:textId="77777777" w:rsidR="008143D9" w:rsidRPr="006A31EC" w:rsidRDefault="008143D9" w:rsidP="005A428D">
            <w:pPr>
              <w:rPr>
                <w:rFonts w:eastAsia="SimSun"/>
                <w:sz w:val="22"/>
                <w:lang w:val="en-US"/>
              </w:rPr>
            </w:pPr>
            <w:r w:rsidRPr="006A31EC">
              <w:rPr>
                <w:rFonts w:eastAsia="SimSun"/>
                <w:sz w:val="22"/>
                <w:lang w:val="en-US"/>
              </w:rPr>
              <w:t>MMF30</w:t>
            </w:r>
          </w:p>
        </w:tc>
        <w:tc>
          <w:tcPr>
            <w:tcW w:w="337" w:type="pct"/>
            <w:shd w:val="clear" w:color="auto" w:fill="auto"/>
            <w:vAlign w:val="center"/>
          </w:tcPr>
          <w:p w14:paraId="01A61EED" w14:textId="77777777" w:rsidR="008143D9" w:rsidRPr="006A31EC" w:rsidRDefault="008143D9" w:rsidP="005A428D">
            <w:pPr>
              <w:rPr>
                <w:sz w:val="22"/>
              </w:rPr>
            </w:pPr>
            <w:r w:rsidRPr="006A31EC">
              <w:rPr>
                <w:rFonts w:eastAsia="SimSun"/>
                <w:sz w:val="22"/>
                <w:lang w:val="en-US"/>
              </w:rPr>
              <w:t>-</w:t>
            </w:r>
          </w:p>
        </w:tc>
        <w:tc>
          <w:tcPr>
            <w:tcW w:w="312" w:type="pct"/>
          </w:tcPr>
          <w:p w14:paraId="5CFD21FE" w14:textId="77777777" w:rsidR="008143D9" w:rsidRPr="006A31EC" w:rsidRDefault="008143D9" w:rsidP="005A428D">
            <w:pPr>
              <w:rPr>
                <w:rFonts w:eastAsia="SimSun"/>
                <w:sz w:val="22"/>
                <w:lang w:val="en-US"/>
              </w:rPr>
            </w:pPr>
          </w:p>
        </w:tc>
        <w:tc>
          <w:tcPr>
            <w:tcW w:w="337" w:type="pct"/>
            <w:shd w:val="clear" w:color="auto" w:fill="auto"/>
            <w:vAlign w:val="center"/>
          </w:tcPr>
          <w:p w14:paraId="760DFA71" w14:textId="77777777" w:rsidR="008143D9" w:rsidRPr="006A31EC" w:rsidRDefault="008143D9" w:rsidP="005A428D">
            <w:pPr>
              <w:rPr>
                <w:sz w:val="22"/>
              </w:rPr>
            </w:pPr>
            <w:r w:rsidRPr="006A31EC">
              <w:rPr>
                <w:rFonts w:eastAsia="SimSun"/>
                <w:sz w:val="22"/>
                <w:lang w:val="en-US"/>
              </w:rPr>
              <w:t>-</w:t>
            </w:r>
          </w:p>
        </w:tc>
        <w:tc>
          <w:tcPr>
            <w:tcW w:w="295" w:type="pct"/>
            <w:shd w:val="clear" w:color="auto" w:fill="auto"/>
            <w:vAlign w:val="center"/>
          </w:tcPr>
          <w:p w14:paraId="114DBF4F" w14:textId="77777777" w:rsidR="008143D9" w:rsidRPr="006A31EC" w:rsidRDefault="008143D9" w:rsidP="005A428D">
            <w:pPr>
              <w:rPr>
                <w:sz w:val="22"/>
              </w:rPr>
            </w:pPr>
            <w:r w:rsidRPr="006A31EC">
              <w:rPr>
                <w:rFonts w:eastAsia="SimSun"/>
                <w:sz w:val="22"/>
                <w:lang w:val="en-US"/>
              </w:rPr>
              <w:t>-</w:t>
            </w:r>
          </w:p>
        </w:tc>
        <w:tc>
          <w:tcPr>
            <w:tcW w:w="295" w:type="pct"/>
            <w:shd w:val="clear" w:color="auto" w:fill="auto"/>
            <w:vAlign w:val="center"/>
          </w:tcPr>
          <w:p w14:paraId="6EB0EFB8" w14:textId="77777777" w:rsidR="008143D9" w:rsidRPr="006A31EC" w:rsidRDefault="008143D9" w:rsidP="005A428D">
            <w:pPr>
              <w:rPr>
                <w:sz w:val="22"/>
              </w:rPr>
            </w:pPr>
            <w:r w:rsidRPr="006A31EC">
              <w:rPr>
                <w:rFonts w:eastAsia="SimSun"/>
                <w:sz w:val="22"/>
                <w:lang w:val="en-US"/>
              </w:rPr>
              <w:t>-</w:t>
            </w:r>
          </w:p>
        </w:tc>
        <w:tc>
          <w:tcPr>
            <w:tcW w:w="337" w:type="pct"/>
            <w:shd w:val="clear" w:color="auto" w:fill="auto"/>
            <w:vAlign w:val="center"/>
          </w:tcPr>
          <w:p w14:paraId="14E964A0" w14:textId="77777777" w:rsidR="008143D9" w:rsidRPr="006A31EC" w:rsidRDefault="008143D9" w:rsidP="005A428D">
            <w:pPr>
              <w:rPr>
                <w:sz w:val="22"/>
              </w:rPr>
            </w:pPr>
            <w:r w:rsidRPr="006A31EC">
              <w:rPr>
                <w:rFonts w:eastAsia="SimSun"/>
                <w:sz w:val="22"/>
                <w:lang w:val="en-US"/>
              </w:rPr>
              <w:t>-</w:t>
            </w:r>
          </w:p>
        </w:tc>
        <w:tc>
          <w:tcPr>
            <w:tcW w:w="337" w:type="pct"/>
            <w:shd w:val="clear" w:color="auto" w:fill="auto"/>
            <w:vAlign w:val="center"/>
          </w:tcPr>
          <w:p w14:paraId="58C60E7D" w14:textId="77777777" w:rsidR="008143D9" w:rsidRPr="006A31EC" w:rsidRDefault="008143D9" w:rsidP="005A428D">
            <w:pPr>
              <w:rPr>
                <w:sz w:val="22"/>
              </w:rPr>
            </w:pPr>
            <w:r w:rsidRPr="006A31EC">
              <w:rPr>
                <w:sz w:val="22"/>
              </w:rPr>
              <w:t>5.1.2.21</w:t>
            </w:r>
          </w:p>
        </w:tc>
        <w:tc>
          <w:tcPr>
            <w:tcW w:w="401" w:type="pct"/>
            <w:shd w:val="clear" w:color="auto" w:fill="auto"/>
            <w:vAlign w:val="center"/>
          </w:tcPr>
          <w:p w14:paraId="4126AC60" w14:textId="77777777" w:rsidR="008143D9" w:rsidRPr="006A31EC" w:rsidRDefault="008143D9" w:rsidP="005A428D">
            <w:pPr>
              <w:rPr>
                <w:sz w:val="22"/>
              </w:rPr>
            </w:pPr>
            <w:r w:rsidRPr="006A31EC">
              <w:rPr>
                <w:rFonts w:eastAsia="SimSun"/>
                <w:sz w:val="22"/>
                <w:lang w:val="en-US"/>
              </w:rPr>
              <w:t>-</w:t>
            </w:r>
          </w:p>
        </w:tc>
        <w:tc>
          <w:tcPr>
            <w:tcW w:w="442" w:type="pct"/>
            <w:shd w:val="clear" w:color="auto" w:fill="auto"/>
            <w:vAlign w:val="center"/>
          </w:tcPr>
          <w:p w14:paraId="03AFA5FC" w14:textId="77777777" w:rsidR="008143D9" w:rsidRPr="006A31EC" w:rsidRDefault="008143D9" w:rsidP="005A428D">
            <w:pPr>
              <w:rPr>
                <w:sz w:val="22"/>
              </w:rPr>
            </w:pPr>
            <w:r w:rsidRPr="006A31EC">
              <w:rPr>
                <w:rFonts w:eastAsia="SimSun"/>
                <w:sz w:val="22"/>
                <w:lang w:val="en-US"/>
              </w:rPr>
              <w:t>-</w:t>
            </w:r>
          </w:p>
        </w:tc>
        <w:tc>
          <w:tcPr>
            <w:tcW w:w="337" w:type="pct"/>
            <w:shd w:val="clear" w:color="auto" w:fill="auto"/>
            <w:vAlign w:val="center"/>
          </w:tcPr>
          <w:p w14:paraId="047F767D" w14:textId="77777777" w:rsidR="008143D9" w:rsidRPr="006A31EC" w:rsidRDefault="008143D9" w:rsidP="005A428D">
            <w:pPr>
              <w:rPr>
                <w:rFonts w:eastAsia="SimSun"/>
                <w:sz w:val="22"/>
              </w:rPr>
            </w:pPr>
            <w:r w:rsidRPr="006A31EC">
              <w:rPr>
                <w:rFonts w:eastAsia="SimSun"/>
                <w:sz w:val="22"/>
                <w:lang w:val="en-US"/>
              </w:rPr>
              <w:t>5.1.2.2</w:t>
            </w:r>
            <w:r w:rsidRPr="006A31EC">
              <w:rPr>
                <w:rFonts w:eastAsia="SimSun"/>
                <w:sz w:val="22"/>
              </w:rPr>
              <w:t>2</w:t>
            </w:r>
          </w:p>
        </w:tc>
        <w:tc>
          <w:tcPr>
            <w:tcW w:w="337" w:type="pct"/>
          </w:tcPr>
          <w:p w14:paraId="28F146E5" w14:textId="77777777" w:rsidR="008143D9" w:rsidRPr="006A31EC" w:rsidRDefault="008143D9" w:rsidP="005A428D">
            <w:pPr>
              <w:rPr>
                <w:rFonts w:eastAsia="SimSun"/>
                <w:sz w:val="22"/>
                <w:lang w:val="en-US"/>
              </w:rPr>
            </w:pPr>
          </w:p>
        </w:tc>
      </w:tr>
      <w:tr w:rsidR="008143D9" w:rsidRPr="006A31EC" w14:paraId="6076EE16" w14:textId="77777777" w:rsidTr="005A428D">
        <w:trPr>
          <w:cantSplit/>
          <w:trHeight w:val="624"/>
        </w:trPr>
        <w:tc>
          <w:tcPr>
            <w:tcW w:w="293" w:type="pct"/>
            <w:vMerge w:val="restart"/>
            <w:shd w:val="clear" w:color="auto" w:fill="D9D9D9"/>
            <w:vAlign w:val="center"/>
          </w:tcPr>
          <w:p w14:paraId="77696AD9" w14:textId="77777777" w:rsidR="008143D9" w:rsidRPr="006A31EC" w:rsidRDefault="008143D9" w:rsidP="005A428D">
            <w:pPr>
              <w:rPr>
                <w:rFonts w:eastAsia="SimSun"/>
                <w:sz w:val="22"/>
                <w:lang w:val="en-US"/>
              </w:rPr>
            </w:pPr>
            <w:r w:rsidRPr="006A31EC">
              <w:rPr>
                <w:rFonts w:eastAsia="SimSun"/>
                <w:sz w:val="22"/>
                <w:lang w:val="en-US"/>
              </w:rPr>
              <w:t>rATG</w:t>
            </w:r>
          </w:p>
        </w:tc>
        <w:tc>
          <w:tcPr>
            <w:tcW w:w="284" w:type="pct"/>
            <w:shd w:val="clear" w:color="auto" w:fill="D9D9D9"/>
            <w:vAlign w:val="center"/>
          </w:tcPr>
          <w:p w14:paraId="223503D1" w14:textId="77777777" w:rsidR="008143D9" w:rsidRPr="006A31EC" w:rsidRDefault="008143D9" w:rsidP="005A428D">
            <w:pPr>
              <w:rPr>
                <w:rFonts w:eastAsia="SimSun"/>
                <w:sz w:val="22"/>
                <w:lang w:val="en-US"/>
              </w:rPr>
            </w:pPr>
            <w:r w:rsidRPr="006A31EC">
              <w:rPr>
                <w:rFonts w:eastAsia="SimSun"/>
                <w:sz w:val="22"/>
                <w:lang w:val="en-US"/>
              </w:rPr>
              <w:t>CSA</w:t>
            </w:r>
          </w:p>
        </w:tc>
        <w:tc>
          <w:tcPr>
            <w:tcW w:w="261" w:type="pct"/>
            <w:shd w:val="clear" w:color="auto" w:fill="D9D9D9"/>
            <w:vAlign w:val="center"/>
          </w:tcPr>
          <w:p w14:paraId="66E01B80" w14:textId="77777777" w:rsidR="008143D9" w:rsidRPr="006A31EC" w:rsidRDefault="008143D9" w:rsidP="005A428D">
            <w:pPr>
              <w:rPr>
                <w:rFonts w:eastAsia="SimSun"/>
                <w:sz w:val="22"/>
                <w:lang w:val="en-US"/>
              </w:rPr>
            </w:pPr>
            <w:r w:rsidRPr="006A31EC">
              <w:rPr>
                <w:rFonts w:eastAsia="SimSun"/>
                <w:sz w:val="22"/>
                <w:lang w:val="en-US"/>
              </w:rPr>
              <w:t>MTX</w:t>
            </w:r>
          </w:p>
        </w:tc>
        <w:tc>
          <w:tcPr>
            <w:tcW w:w="398" w:type="pct"/>
            <w:shd w:val="clear" w:color="auto" w:fill="D9D9D9"/>
            <w:vAlign w:val="center"/>
          </w:tcPr>
          <w:p w14:paraId="3E8BEEA4" w14:textId="77777777" w:rsidR="008143D9" w:rsidRPr="006A31EC" w:rsidRDefault="008143D9" w:rsidP="005A428D">
            <w:pPr>
              <w:rPr>
                <w:rFonts w:eastAsia="SimSun"/>
                <w:sz w:val="22"/>
                <w:lang w:val="en-US"/>
              </w:rPr>
            </w:pPr>
            <w:r w:rsidRPr="006A31EC">
              <w:rPr>
                <w:rFonts w:eastAsia="SimSun"/>
                <w:sz w:val="22"/>
                <w:lang w:val="en-US"/>
              </w:rPr>
              <w:t>MMF30</w:t>
            </w:r>
          </w:p>
        </w:tc>
        <w:tc>
          <w:tcPr>
            <w:tcW w:w="337" w:type="pct"/>
            <w:shd w:val="clear" w:color="auto" w:fill="auto"/>
            <w:vAlign w:val="center"/>
          </w:tcPr>
          <w:p w14:paraId="194EEE0F" w14:textId="77777777" w:rsidR="008143D9" w:rsidRPr="006A31EC" w:rsidRDefault="008143D9" w:rsidP="005A428D">
            <w:pPr>
              <w:rPr>
                <w:sz w:val="22"/>
              </w:rPr>
            </w:pPr>
            <w:r w:rsidRPr="006A31EC">
              <w:rPr>
                <w:rFonts w:eastAsia="SimSun"/>
                <w:sz w:val="22"/>
                <w:lang w:val="en-US"/>
              </w:rPr>
              <w:t>-</w:t>
            </w:r>
          </w:p>
        </w:tc>
        <w:tc>
          <w:tcPr>
            <w:tcW w:w="312" w:type="pct"/>
          </w:tcPr>
          <w:p w14:paraId="040F7F2F" w14:textId="77777777" w:rsidR="008143D9" w:rsidRPr="006A31EC" w:rsidRDefault="008143D9" w:rsidP="005A428D">
            <w:pPr>
              <w:rPr>
                <w:rFonts w:eastAsia="SimSun"/>
                <w:sz w:val="22"/>
                <w:lang w:val="en-US"/>
              </w:rPr>
            </w:pPr>
          </w:p>
        </w:tc>
        <w:tc>
          <w:tcPr>
            <w:tcW w:w="337" w:type="pct"/>
            <w:shd w:val="clear" w:color="auto" w:fill="auto"/>
            <w:vAlign w:val="center"/>
          </w:tcPr>
          <w:p w14:paraId="618ED75C" w14:textId="77777777" w:rsidR="008143D9" w:rsidRPr="006A31EC" w:rsidRDefault="008143D9" w:rsidP="005A428D">
            <w:pPr>
              <w:rPr>
                <w:sz w:val="22"/>
              </w:rPr>
            </w:pPr>
            <w:r w:rsidRPr="006A31EC">
              <w:rPr>
                <w:rFonts w:eastAsia="SimSun"/>
                <w:sz w:val="22"/>
                <w:lang w:val="en-US"/>
              </w:rPr>
              <w:t>-</w:t>
            </w:r>
          </w:p>
        </w:tc>
        <w:tc>
          <w:tcPr>
            <w:tcW w:w="295" w:type="pct"/>
            <w:shd w:val="clear" w:color="auto" w:fill="auto"/>
            <w:vAlign w:val="center"/>
          </w:tcPr>
          <w:p w14:paraId="3FE8C17C" w14:textId="77777777" w:rsidR="008143D9" w:rsidRPr="006A31EC" w:rsidRDefault="008143D9" w:rsidP="005A428D">
            <w:pPr>
              <w:rPr>
                <w:sz w:val="22"/>
              </w:rPr>
            </w:pPr>
            <w:r w:rsidRPr="006A31EC">
              <w:rPr>
                <w:rFonts w:eastAsia="SimSun"/>
                <w:sz w:val="22"/>
                <w:lang w:val="en-US"/>
              </w:rPr>
              <w:t>-</w:t>
            </w:r>
          </w:p>
        </w:tc>
        <w:tc>
          <w:tcPr>
            <w:tcW w:w="295" w:type="pct"/>
            <w:shd w:val="clear" w:color="auto" w:fill="auto"/>
            <w:vAlign w:val="center"/>
          </w:tcPr>
          <w:p w14:paraId="5F537C73" w14:textId="77777777" w:rsidR="008143D9" w:rsidRPr="006A31EC" w:rsidRDefault="008143D9" w:rsidP="005A428D">
            <w:pPr>
              <w:rPr>
                <w:rFonts w:eastAsia="SimSun"/>
                <w:sz w:val="22"/>
                <w:lang w:val="en-US"/>
              </w:rPr>
            </w:pPr>
            <w:r w:rsidRPr="006A31EC">
              <w:rPr>
                <w:rFonts w:eastAsia="SimSun"/>
                <w:sz w:val="22"/>
                <w:lang w:val="en-US"/>
              </w:rPr>
              <w:t>5.1.2.2</w:t>
            </w:r>
          </w:p>
        </w:tc>
        <w:tc>
          <w:tcPr>
            <w:tcW w:w="337" w:type="pct"/>
            <w:shd w:val="clear" w:color="auto" w:fill="auto"/>
            <w:vAlign w:val="center"/>
          </w:tcPr>
          <w:p w14:paraId="20DA2FC8" w14:textId="77777777" w:rsidR="008143D9" w:rsidRPr="006A31EC" w:rsidRDefault="008143D9" w:rsidP="005A428D">
            <w:pPr>
              <w:rPr>
                <w:sz w:val="22"/>
              </w:rPr>
            </w:pPr>
            <w:r w:rsidRPr="006A31EC">
              <w:rPr>
                <w:rFonts w:eastAsia="SimSun"/>
                <w:sz w:val="22"/>
                <w:lang w:val="en-US"/>
              </w:rPr>
              <w:t>-</w:t>
            </w:r>
          </w:p>
        </w:tc>
        <w:tc>
          <w:tcPr>
            <w:tcW w:w="337" w:type="pct"/>
            <w:shd w:val="clear" w:color="auto" w:fill="auto"/>
            <w:vAlign w:val="center"/>
          </w:tcPr>
          <w:p w14:paraId="6D67C3A0" w14:textId="77777777" w:rsidR="008143D9" w:rsidRPr="006A31EC" w:rsidRDefault="008143D9" w:rsidP="005A428D">
            <w:pPr>
              <w:rPr>
                <w:rFonts w:eastAsia="SimSun"/>
                <w:sz w:val="22"/>
              </w:rPr>
            </w:pPr>
            <w:r w:rsidRPr="006A31EC">
              <w:rPr>
                <w:rFonts w:eastAsia="SimSun"/>
                <w:sz w:val="22"/>
                <w:lang w:val="en-US"/>
              </w:rPr>
              <w:t>-</w:t>
            </w:r>
          </w:p>
        </w:tc>
        <w:tc>
          <w:tcPr>
            <w:tcW w:w="401" w:type="pct"/>
            <w:shd w:val="clear" w:color="auto" w:fill="auto"/>
            <w:vAlign w:val="center"/>
          </w:tcPr>
          <w:p w14:paraId="40C8C544" w14:textId="77777777" w:rsidR="008143D9" w:rsidRPr="006A31EC" w:rsidRDefault="008143D9" w:rsidP="005A428D">
            <w:pPr>
              <w:rPr>
                <w:rFonts w:eastAsia="SimSun"/>
                <w:sz w:val="22"/>
                <w:lang w:val="en-US"/>
              </w:rPr>
            </w:pPr>
            <w:r w:rsidRPr="006A31EC">
              <w:rPr>
                <w:rFonts w:eastAsia="SimSun"/>
                <w:sz w:val="22"/>
                <w:lang w:val="en-US"/>
              </w:rPr>
              <w:t>5.1.2.6</w:t>
            </w:r>
          </w:p>
        </w:tc>
        <w:tc>
          <w:tcPr>
            <w:tcW w:w="442" w:type="pct"/>
            <w:shd w:val="clear" w:color="auto" w:fill="auto"/>
            <w:vAlign w:val="center"/>
          </w:tcPr>
          <w:p w14:paraId="71448A28" w14:textId="77777777" w:rsidR="008143D9" w:rsidRPr="006A31EC" w:rsidRDefault="008143D9" w:rsidP="005A428D">
            <w:pPr>
              <w:rPr>
                <w:sz w:val="22"/>
              </w:rPr>
            </w:pPr>
            <w:r w:rsidRPr="006A31EC">
              <w:rPr>
                <w:rFonts w:eastAsia="SimSun"/>
                <w:sz w:val="22"/>
                <w:lang w:val="en-US"/>
              </w:rPr>
              <w:t>-</w:t>
            </w:r>
          </w:p>
        </w:tc>
        <w:tc>
          <w:tcPr>
            <w:tcW w:w="337" w:type="pct"/>
            <w:shd w:val="clear" w:color="auto" w:fill="auto"/>
            <w:vAlign w:val="center"/>
          </w:tcPr>
          <w:p w14:paraId="6D75132B" w14:textId="77777777" w:rsidR="008143D9" w:rsidRPr="006A31EC" w:rsidRDefault="008143D9" w:rsidP="005A428D">
            <w:pPr>
              <w:rPr>
                <w:sz w:val="22"/>
              </w:rPr>
            </w:pPr>
            <w:r w:rsidRPr="006A31EC">
              <w:rPr>
                <w:rFonts w:eastAsia="SimSun"/>
                <w:sz w:val="22"/>
                <w:lang w:val="en-US"/>
              </w:rPr>
              <w:t>-</w:t>
            </w:r>
          </w:p>
        </w:tc>
        <w:tc>
          <w:tcPr>
            <w:tcW w:w="337" w:type="pct"/>
          </w:tcPr>
          <w:p w14:paraId="3F6D5587" w14:textId="77777777" w:rsidR="008143D9" w:rsidRPr="006A31EC" w:rsidRDefault="008143D9" w:rsidP="005A428D">
            <w:pPr>
              <w:rPr>
                <w:rFonts w:eastAsia="SimSun"/>
                <w:sz w:val="22"/>
                <w:lang w:val="en-US"/>
              </w:rPr>
            </w:pPr>
          </w:p>
        </w:tc>
      </w:tr>
      <w:tr w:rsidR="008143D9" w:rsidRPr="006A31EC" w14:paraId="6D7493F3" w14:textId="77777777" w:rsidTr="005A428D">
        <w:trPr>
          <w:cantSplit/>
          <w:trHeight w:val="624"/>
        </w:trPr>
        <w:tc>
          <w:tcPr>
            <w:tcW w:w="293" w:type="pct"/>
            <w:vMerge/>
            <w:shd w:val="clear" w:color="auto" w:fill="D9D9D9"/>
            <w:vAlign w:val="center"/>
          </w:tcPr>
          <w:p w14:paraId="4D98BE39" w14:textId="77777777" w:rsidR="008143D9" w:rsidRPr="006A31EC" w:rsidRDefault="008143D9" w:rsidP="005A428D">
            <w:pPr>
              <w:rPr>
                <w:rFonts w:eastAsia="SimSun"/>
                <w:sz w:val="22"/>
                <w:lang w:val="en-US"/>
              </w:rPr>
            </w:pPr>
          </w:p>
        </w:tc>
        <w:tc>
          <w:tcPr>
            <w:tcW w:w="284" w:type="pct"/>
            <w:shd w:val="clear" w:color="auto" w:fill="D9D9D9"/>
            <w:vAlign w:val="center"/>
          </w:tcPr>
          <w:p w14:paraId="77C670B0" w14:textId="77777777" w:rsidR="008143D9" w:rsidRPr="006A31EC" w:rsidRDefault="008143D9" w:rsidP="005A428D">
            <w:pPr>
              <w:rPr>
                <w:rFonts w:eastAsia="SimSun"/>
                <w:sz w:val="22"/>
                <w:lang w:val="en-US"/>
              </w:rPr>
            </w:pPr>
            <w:r w:rsidRPr="006A31EC">
              <w:rPr>
                <w:rFonts w:eastAsia="SimSun"/>
                <w:sz w:val="22"/>
                <w:lang w:val="en-US"/>
              </w:rPr>
              <w:t>Tx</w:t>
            </w:r>
          </w:p>
        </w:tc>
        <w:tc>
          <w:tcPr>
            <w:tcW w:w="261" w:type="pct"/>
            <w:shd w:val="clear" w:color="auto" w:fill="D9D9D9"/>
            <w:vAlign w:val="center"/>
          </w:tcPr>
          <w:p w14:paraId="12DE03EE" w14:textId="77777777" w:rsidR="008143D9" w:rsidRPr="006A31EC" w:rsidRDefault="008143D9" w:rsidP="005A428D">
            <w:pPr>
              <w:rPr>
                <w:rFonts w:eastAsia="SimSun"/>
                <w:sz w:val="22"/>
                <w:lang w:val="en-US"/>
              </w:rPr>
            </w:pPr>
            <w:r w:rsidRPr="006A31EC">
              <w:rPr>
                <w:rFonts w:eastAsia="SimSun"/>
                <w:sz w:val="22"/>
                <w:lang w:val="en-US"/>
              </w:rPr>
              <w:t>-</w:t>
            </w:r>
          </w:p>
        </w:tc>
        <w:tc>
          <w:tcPr>
            <w:tcW w:w="398" w:type="pct"/>
            <w:shd w:val="clear" w:color="auto" w:fill="D9D9D9"/>
            <w:vAlign w:val="center"/>
          </w:tcPr>
          <w:p w14:paraId="6A497BD4" w14:textId="77777777" w:rsidR="008143D9" w:rsidRPr="006A31EC" w:rsidRDefault="008143D9" w:rsidP="005A428D">
            <w:pPr>
              <w:rPr>
                <w:rFonts w:eastAsia="SimSun"/>
                <w:sz w:val="22"/>
              </w:rPr>
            </w:pPr>
            <w:r w:rsidRPr="006A31EC">
              <w:rPr>
                <w:rFonts w:eastAsia="SimSun"/>
                <w:sz w:val="22"/>
                <w:lang w:val="en-US"/>
              </w:rPr>
              <w:t>MMF30</w:t>
            </w:r>
          </w:p>
        </w:tc>
        <w:tc>
          <w:tcPr>
            <w:tcW w:w="337" w:type="pct"/>
            <w:shd w:val="clear" w:color="auto" w:fill="auto"/>
            <w:vAlign w:val="center"/>
          </w:tcPr>
          <w:p w14:paraId="202060F7" w14:textId="77777777" w:rsidR="008143D9" w:rsidRPr="006A31EC" w:rsidRDefault="008143D9" w:rsidP="005A428D">
            <w:pPr>
              <w:rPr>
                <w:sz w:val="22"/>
              </w:rPr>
            </w:pPr>
            <w:r w:rsidRPr="006A31EC">
              <w:rPr>
                <w:rFonts w:eastAsia="SimSun"/>
                <w:sz w:val="22"/>
                <w:lang w:val="en-US"/>
              </w:rPr>
              <w:t>-</w:t>
            </w:r>
          </w:p>
        </w:tc>
        <w:tc>
          <w:tcPr>
            <w:tcW w:w="312" w:type="pct"/>
          </w:tcPr>
          <w:p w14:paraId="15349B41" w14:textId="77777777" w:rsidR="008143D9" w:rsidRPr="006A31EC" w:rsidRDefault="008143D9" w:rsidP="005A428D">
            <w:pPr>
              <w:rPr>
                <w:rFonts w:eastAsia="SimSun"/>
                <w:sz w:val="22"/>
                <w:lang w:val="en-US"/>
              </w:rPr>
            </w:pPr>
          </w:p>
        </w:tc>
        <w:tc>
          <w:tcPr>
            <w:tcW w:w="337" w:type="pct"/>
            <w:shd w:val="clear" w:color="auto" w:fill="auto"/>
            <w:vAlign w:val="center"/>
          </w:tcPr>
          <w:p w14:paraId="1E34D6F2" w14:textId="77777777" w:rsidR="008143D9" w:rsidRPr="006A31EC" w:rsidRDefault="008143D9" w:rsidP="005A428D">
            <w:pPr>
              <w:rPr>
                <w:sz w:val="22"/>
              </w:rPr>
            </w:pPr>
            <w:r w:rsidRPr="006A31EC">
              <w:rPr>
                <w:rFonts w:eastAsia="SimSun"/>
                <w:sz w:val="22"/>
                <w:lang w:val="en-US"/>
              </w:rPr>
              <w:t>-</w:t>
            </w:r>
          </w:p>
        </w:tc>
        <w:tc>
          <w:tcPr>
            <w:tcW w:w="295" w:type="pct"/>
            <w:shd w:val="clear" w:color="auto" w:fill="auto"/>
            <w:vAlign w:val="center"/>
          </w:tcPr>
          <w:p w14:paraId="6C26BC95" w14:textId="77777777" w:rsidR="008143D9" w:rsidRPr="006A31EC" w:rsidRDefault="008143D9" w:rsidP="005A428D">
            <w:pPr>
              <w:rPr>
                <w:sz w:val="22"/>
              </w:rPr>
            </w:pPr>
            <w:r w:rsidRPr="006A31EC">
              <w:rPr>
                <w:rFonts w:eastAsia="SimSun"/>
                <w:sz w:val="22"/>
                <w:lang w:val="en-US"/>
              </w:rPr>
              <w:t>-</w:t>
            </w:r>
          </w:p>
        </w:tc>
        <w:tc>
          <w:tcPr>
            <w:tcW w:w="295" w:type="pct"/>
            <w:shd w:val="clear" w:color="auto" w:fill="auto"/>
            <w:vAlign w:val="center"/>
          </w:tcPr>
          <w:p w14:paraId="251D8296" w14:textId="77777777" w:rsidR="008143D9" w:rsidRPr="006A31EC" w:rsidRDefault="008143D9" w:rsidP="005A428D">
            <w:pPr>
              <w:rPr>
                <w:sz w:val="22"/>
              </w:rPr>
            </w:pPr>
            <w:r w:rsidRPr="006A31EC">
              <w:rPr>
                <w:rFonts w:eastAsia="SimSun"/>
                <w:sz w:val="22"/>
                <w:lang w:val="en-US"/>
              </w:rPr>
              <w:t>-</w:t>
            </w:r>
          </w:p>
        </w:tc>
        <w:tc>
          <w:tcPr>
            <w:tcW w:w="337" w:type="pct"/>
            <w:shd w:val="clear" w:color="auto" w:fill="auto"/>
            <w:vAlign w:val="center"/>
          </w:tcPr>
          <w:p w14:paraId="7827820A" w14:textId="77777777" w:rsidR="008143D9" w:rsidRPr="006A31EC" w:rsidRDefault="008143D9" w:rsidP="005A428D">
            <w:pPr>
              <w:rPr>
                <w:sz w:val="22"/>
              </w:rPr>
            </w:pPr>
            <w:r w:rsidRPr="006A31EC">
              <w:rPr>
                <w:rFonts w:eastAsia="SimSun"/>
                <w:sz w:val="22"/>
                <w:lang w:val="en-US"/>
              </w:rPr>
              <w:t>-</w:t>
            </w:r>
          </w:p>
        </w:tc>
        <w:tc>
          <w:tcPr>
            <w:tcW w:w="337" w:type="pct"/>
            <w:shd w:val="clear" w:color="auto" w:fill="auto"/>
            <w:vAlign w:val="center"/>
          </w:tcPr>
          <w:p w14:paraId="1EB4B9C3" w14:textId="77777777" w:rsidR="008143D9" w:rsidRPr="006A31EC" w:rsidRDefault="008143D9" w:rsidP="005A428D">
            <w:pPr>
              <w:rPr>
                <w:sz w:val="22"/>
              </w:rPr>
            </w:pPr>
            <w:r w:rsidRPr="006A31EC">
              <w:rPr>
                <w:rFonts w:eastAsia="SimSun"/>
                <w:sz w:val="22"/>
                <w:lang w:val="en-US"/>
              </w:rPr>
              <w:t>-</w:t>
            </w:r>
          </w:p>
        </w:tc>
        <w:tc>
          <w:tcPr>
            <w:tcW w:w="401" w:type="pct"/>
            <w:shd w:val="clear" w:color="auto" w:fill="auto"/>
            <w:vAlign w:val="center"/>
          </w:tcPr>
          <w:p w14:paraId="164738B2" w14:textId="77777777" w:rsidR="008143D9" w:rsidRPr="006A31EC" w:rsidRDefault="008143D9" w:rsidP="005A428D">
            <w:pPr>
              <w:rPr>
                <w:sz w:val="22"/>
              </w:rPr>
            </w:pPr>
            <w:r w:rsidRPr="006A31EC">
              <w:rPr>
                <w:rFonts w:eastAsia="SimSun"/>
                <w:sz w:val="22"/>
                <w:lang w:val="en-US"/>
              </w:rPr>
              <w:t>-</w:t>
            </w:r>
          </w:p>
        </w:tc>
        <w:tc>
          <w:tcPr>
            <w:tcW w:w="442" w:type="pct"/>
            <w:shd w:val="clear" w:color="auto" w:fill="auto"/>
            <w:vAlign w:val="center"/>
          </w:tcPr>
          <w:p w14:paraId="4556C9BF" w14:textId="77777777" w:rsidR="008143D9" w:rsidRPr="006A31EC" w:rsidRDefault="008143D9" w:rsidP="005A428D">
            <w:pPr>
              <w:rPr>
                <w:sz w:val="22"/>
              </w:rPr>
            </w:pPr>
            <w:r w:rsidRPr="006A31EC">
              <w:rPr>
                <w:rFonts w:eastAsia="SimSun"/>
                <w:sz w:val="22"/>
                <w:lang w:val="en-US"/>
              </w:rPr>
              <w:t>-</w:t>
            </w:r>
          </w:p>
        </w:tc>
        <w:tc>
          <w:tcPr>
            <w:tcW w:w="337" w:type="pct"/>
            <w:shd w:val="clear" w:color="auto" w:fill="auto"/>
            <w:vAlign w:val="center"/>
          </w:tcPr>
          <w:p w14:paraId="2D86905C" w14:textId="77777777" w:rsidR="008143D9" w:rsidRPr="006A31EC" w:rsidRDefault="008143D9" w:rsidP="005A428D">
            <w:pPr>
              <w:rPr>
                <w:rFonts w:eastAsia="SimSun"/>
                <w:sz w:val="22"/>
              </w:rPr>
            </w:pPr>
            <w:r w:rsidRPr="006A31EC">
              <w:rPr>
                <w:rFonts w:eastAsia="SimSun"/>
                <w:sz w:val="22"/>
                <w:lang w:val="en-US"/>
              </w:rPr>
              <w:t>5.1.2.2</w:t>
            </w:r>
            <w:r w:rsidRPr="006A31EC">
              <w:rPr>
                <w:rFonts w:eastAsia="SimSun"/>
                <w:sz w:val="22"/>
              </w:rPr>
              <w:t>3</w:t>
            </w:r>
          </w:p>
        </w:tc>
        <w:tc>
          <w:tcPr>
            <w:tcW w:w="337" w:type="pct"/>
          </w:tcPr>
          <w:p w14:paraId="1E5CE973" w14:textId="77777777" w:rsidR="008143D9" w:rsidRPr="006A31EC" w:rsidRDefault="008143D9" w:rsidP="005A428D">
            <w:pPr>
              <w:rPr>
                <w:rFonts w:eastAsia="SimSun"/>
                <w:sz w:val="22"/>
                <w:lang w:val="en-US"/>
              </w:rPr>
            </w:pPr>
          </w:p>
        </w:tc>
      </w:tr>
      <w:tr w:rsidR="008143D9" w:rsidRPr="006A31EC" w14:paraId="1A47AE48" w14:textId="77777777" w:rsidTr="005A428D">
        <w:trPr>
          <w:cantSplit/>
          <w:trHeight w:val="624"/>
        </w:trPr>
        <w:tc>
          <w:tcPr>
            <w:tcW w:w="293" w:type="pct"/>
            <w:vMerge w:val="restart"/>
            <w:shd w:val="clear" w:color="auto" w:fill="D9D9D9"/>
            <w:vAlign w:val="center"/>
          </w:tcPr>
          <w:p w14:paraId="2C5CD3CE" w14:textId="77777777" w:rsidR="008143D9" w:rsidRPr="006A31EC" w:rsidRDefault="008143D9" w:rsidP="005A428D">
            <w:pPr>
              <w:rPr>
                <w:rFonts w:eastAsia="SimSun"/>
                <w:sz w:val="22"/>
                <w:lang w:val="en-US"/>
              </w:rPr>
            </w:pPr>
            <w:r w:rsidRPr="006A31EC">
              <w:rPr>
                <w:rFonts w:eastAsia="SimSun"/>
                <w:sz w:val="22"/>
                <w:lang w:val="en-US"/>
              </w:rPr>
              <w:t>PT-Cy</w:t>
            </w:r>
          </w:p>
          <w:p w14:paraId="00364980" w14:textId="77777777" w:rsidR="008143D9" w:rsidRPr="006A31EC" w:rsidRDefault="008143D9" w:rsidP="005A428D">
            <w:pPr>
              <w:rPr>
                <w:rFonts w:eastAsia="SimSun"/>
                <w:sz w:val="22"/>
                <w:lang w:val="en-US"/>
              </w:rPr>
            </w:pPr>
          </w:p>
        </w:tc>
        <w:tc>
          <w:tcPr>
            <w:tcW w:w="284" w:type="pct"/>
            <w:shd w:val="clear" w:color="auto" w:fill="D9D9D9"/>
            <w:vAlign w:val="center"/>
          </w:tcPr>
          <w:p w14:paraId="3DAE67CD" w14:textId="77777777" w:rsidR="008143D9" w:rsidRPr="006A31EC" w:rsidRDefault="008143D9" w:rsidP="005A428D">
            <w:pPr>
              <w:rPr>
                <w:rFonts w:eastAsia="SimSun"/>
                <w:sz w:val="22"/>
                <w:lang w:val="en-US"/>
              </w:rPr>
            </w:pPr>
            <w:r w:rsidRPr="006A31EC">
              <w:rPr>
                <w:rFonts w:eastAsia="SimSun"/>
                <w:sz w:val="22"/>
                <w:lang w:val="en-US"/>
              </w:rPr>
              <w:t>-</w:t>
            </w:r>
          </w:p>
        </w:tc>
        <w:tc>
          <w:tcPr>
            <w:tcW w:w="261" w:type="pct"/>
            <w:shd w:val="clear" w:color="auto" w:fill="D9D9D9"/>
            <w:vAlign w:val="center"/>
          </w:tcPr>
          <w:p w14:paraId="66D0F512" w14:textId="77777777" w:rsidR="008143D9" w:rsidRPr="006A31EC" w:rsidRDefault="008143D9" w:rsidP="005A428D">
            <w:pPr>
              <w:rPr>
                <w:rFonts w:eastAsia="SimSun"/>
                <w:sz w:val="22"/>
                <w:lang w:val="en-US"/>
              </w:rPr>
            </w:pPr>
            <w:r w:rsidRPr="006A31EC">
              <w:rPr>
                <w:rFonts w:eastAsia="SimSun"/>
                <w:sz w:val="22"/>
                <w:lang w:val="en-US"/>
              </w:rPr>
              <w:t>-</w:t>
            </w:r>
          </w:p>
        </w:tc>
        <w:tc>
          <w:tcPr>
            <w:tcW w:w="398" w:type="pct"/>
            <w:shd w:val="clear" w:color="auto" w:fill="D9D9D9"/>
            <w:vAlign w:val="center"/>
          </w:tcPr>
          <w:p w14:paraId="79569458" w14:textId="77777777" w:rsidR="008143D9" w:rsidRPr="006A31EC" w:rsidRDefault="008143D9" w:rsidP="005A428D">
            <w:pPr>
              <w:rPr>
                <w:rFonts w:eastAsia="SimSun"/>
                <w:sz w:val="22"/>
                <w:lang w:val="en-US"/>
              </w:rPr>
            </w:pPr>
            <w:r w:rsidRPr="006A31EC">
              <w:rPr>
                <w:rFonts w:eastAsia="SimSun"/>
                <w:sz w:val="22"/>
                <w:lang w:val="en-US"/>
              </w:rPr>
              <w:t>-</w:t>
            </w:r>
          </w:p>
        </w:tc>
        <w:tc>
          <w:tcPr>
            <w:tcW w:w="337" w:type="pct"/>
            <w:shd w:val="clear" w:color="auto" w:fill="auto"/>
            <w:vAlign w:val="center"/>
          </w:tcPr>
          <w:p w14:paraId="0985E7E3" w14:textId="77777777" w:rsidR="008143D9" w:rsidRPr="006A31EC" w:rsidRDefault="008143D9" w:rsidP="005A428D">
            <w:pPr>
              <w:rPr>
                <w:rFonts w:eastAsia="SimSun"/>
                <w:sz w:val="22"/>
                <w:lang w:val="en-US"/>
              </w:rPr>
            </w:pPr>
            <w:r w:rsidRPr="006A31EC">
              <w:rPr>
                <w:rFonts w:eastAsia="SimSun"/>
                <w:sz w:val="22"/>
                <w:lang w:val="en-US"/>
              </w:rPr>
              <w:t>5.1.2.17</w:t>
            </w:r>
          </w:p>
        </w:tc>
        <w:tc>
          <w:tcPr>
            <w:tcW w:w="312" w:type="pct"/>
          </w:tcPr>
          <w:p w14:paraId="711DA2F0" w14:textId="77777777" w:rsidR="008143D9" w:rsidRPr="006A31EC" w:rsidRDefault="008143D9" w:rsidP="005A428D">
            <w:pPr>
              <w:rPr>
                <w:rFonts w:eastAsia="SimSun"/>
                <w:sz w:val="22"/>
                <w:lang w:val="en-US"/>
              </w:rPr>
            </w:pPr>
          </w:p>
        </w:tc>
        <w:tc>
          <w:tcPr>
            <w:tcW w:w="337" w:type="pct"/>
            <w:shd w:val="clear" w:color="auto" w:fill="auto"/>
            <w:vAlign w:val="center"/>
          </w:tcPr>
          <w:p w14:paraId="1900C93A" w14:textId="77777777" w:rsidR="008143D9" w:rsidRPr="006A31EC" w:rsidRDefault="008143D9" w:rsidP="005A428D">
            <w:pPr>
              <w:rPr>
                <w:sz w:val="22"/>
              </w:rPr>
            </w:pPr>
            <w:r w:rsidRPr="006A31EC">
              <w:rPr>
                <w:rFonts w:eastAsia="SimSun"/>
                <w:sz w:val="22"/>
                <w:lang w:val="en-US"/>
              </w:rPr>
              <w:t>-</w:t>
            </w:r>
          </w:p>
        </w:tc>
        <w:tc>
          <w:tcPr>
            <w:tcW w:w="295" w:type="pct"/>
            <w:shd w:val="clear" w:color="auto" w:fill="auto"/>
            <w:vAlign w:val="center"/>
          </w:tcPr>
          <w:p w14:paraId="4E34693F" w14:textId="77777777" w:rsidR="008143D9" w:rsidRPr="006A31EC" w:rsidRDefault="008143D9" w:rsidP="005A428D">
            <w:pPr>
              <w:rPr>
                <w:sz w:val="22"/>
              </w:rPr>
            </w:pPr>
            <w:r w:rsidRPr="006A31EC">
              <w:rPr>
                <w:rFonts w:eastAsia="SimSun"/>
                <w:sz w:val="22"/>
                <w:lang w:val="en-US"/>
              </w:rPr>
              <w:t>-</w:t>
            </w:r>
          </w:p>
        </w:tc>
        <w:tc>
          <w:tcPr>
            <w:tcW w:w="295" w:type="pct"/>
            <w:shd w:val="clear" w:color="auto" w:fill="auto"/>
            <w:vAlign w:val="center"/>
          </w:tcPr>
          <w:p w14:paraId="4BB6720C" w14:textId="77777777" w:rsidR="008143D9" w:rsidRPr="006A31EC" w:rsidRDefault="008143D9" w:rsidP="005A428D">
            <w:pPr>
              <w:rPr>
                <w:sz w:val="22"/>
              </w:rPr>
            </w:pPr>
            <w:r w:rsidRPr="006A31EC">
              <w:rPr>
                <w:rFonts w:eastAsia="SimSun"/>
                <w:sz w:val="22"/>
                <w:lang w:val="en-US"/>
              </w:rPr>
              <w:t>-</w:t>
            </w:r>
          </w:p>
        </w:tc>
        <w:tc>
          <w:tcPr>
            <w:tcW w:w="337" w:type="pct"/>
            <w:shd w:val="clear" w:color="auto" w:fill="auto"/>
            <w:vAlign w:val="center"/>
          </w:tcPr>
          <w:p w14:paraId="3142203C" w14:textId="77777777" w:rsidR="008143D9" w:rsidRPr="006A31EC" w:rsidRDefault="008143D9" w:rsidP="005A428D">
            <w:pPr>
              <w:rPr>
                <w:sz w:val="22"/>
              </w:rPr>
            </w:pPr>
            <w:r w:rsidRPr="006A31EC">
              <w:rPr>
                <w:rFonts w:eastAsia="SimSun"/>
                <w:sz w:val="22"/>
                <w:lang w:val="en-US"/>
              </w:rPr>
              <w:t>-</w:t>
            </w:r>
          </w:p>
        </w:tc>
        <w:tc>
          <w:tcPr>
            <w:tcW w:w="337" w:type="pct"/>
            <w:shd w:val="clear" w:color="auto" w:fill="auto"/>
            <w:vAlign w:val="center"/>
          </w:tcPr>
          <w:p w14:paraId="50DB6A86" w14:textId="77777777" w:rsidR="008143D9" w:rsidRPr="006A31EC" w:rsidRDefault="008143D9" w:rsidP="005A428D">
            <w:pPr>
              <w:rPr>
                <w:sz w:val="22"/>
              </w:rPr>
            </w:pPr>
            <w:r w:rsidRPr="006A31EC">
              <w:rPr>
                <w:rFonts w:eastAsia="SimSun"/>
                <w:sz w:val="22"/>
                <w:lang w:val="en-US"/>
              </w:rPr>
              <w:t>-</w:t>
            </w:r>
          </w:p>
        </w:tc>
        <w:tc>
          <w:tcPr>
            <w:tcW w:w="401" w:type="pct"/>
            <w:shd w:val="clear" w:color="auto" w:fill="auto"/>
            <w:vAlign w:val="center"/>
          </w:tcPr>
          <w:p w14:paraId="0C927086" w14:textId="77777777" w:rsidR="008143D9" w:rsidRPr="006A31EC" w:rsidRDefault="008143D9" w:rsidP="005A428D">
            <w:pPr>
              <w:rPr>
                <w:rFonts w:eastAsia="SimSun"/>
                <w:sz w:val="22"/>
                <w:lang w:val="en-US"/>
              </w:rPr>
            </w:pPr>
            <w:r w:rsidRPr="006A31EC">
              <w:rPr>
                <w:rFonts w:eastAsia="SimSun"/>
                <w:sz w:val="22"/>
                <w:lang w:val="en-US"/>
              </w:rPr>
              <w:t>5.1.2.8</w:t>
            </w:r>
          </w:p>
        </w:tc>
        <w:tc>
          <w:tcPr>
            <w:tcW w:w="442" w:type="pct"/>
            <w:shd w:val="clear" w:color="auto" w:fill="auto"/>
            <w:vAlign w:val="center"/>
          </w:tcPr>
          <w:p w14:paraId="68F36FFC" w14:textId="77777777" w:rsidR="008143D9" w:rsidRPr="006A31EC" w:rsidRDefault="008143D9" w:rsidP="005A428D">
            <w:pPr>
              <w:rPr>
                <w:rFonts w:eastAsia="SimSun"/>
                <w:sz w:val="22"/>
                <w:lang w:val="en-US"/>
              </w:rPr>
            </w:pPr>
            <w:r w:rsidRPr="006A31EC">
              <w:rPr>
                <w:rFonts w:eastAsia="SimSun"/>
                <w:sz w:val="22"/>
                <w:lang w:val="en-US"/>
              </w:rPr>
              <w:t>5.1.2.13</w:t>
            </w:r>
          </w:p>
        </w:tc>
        <w:tc>
          <w:tcPr>
            <w:tcW w:w="337" w:type="pct"/>
            <w:shd w:val="clear" w:color="auto" w:fill="auto"/>
            <w:vAlign w:val="center"/>
          </w:tcPr>
          <w:p w14:paraId="5E1C164C" w14:textId="77777777" w:rsidR="008143D9" w:rsidRPr="006A31EC" w:rsidRDefault="008143D9" w:rsidP="005A428D">
            <w:pPr>
              <w:rPr>
                <w:sz w:val="22"/>
              </w:rPr>
            </w:pPr>
            <w:r w:rsidRPr="006A31EC">
              <w:rPr>
                <w:rFonts w:eastAsia="SimSun"/>
                <w:sz w:val="22"/>
                <w:lang w:val="en-US"/>
              </w:rPr>
              <w:t>-</w:t>
            </w:r>
          </w:p>
        </w:tc>
        <w:tc>
          <w:tcPr>
            <w:tcW w:w="337" w:type="pct"/>
          </w:tcPr>
          <w:p w14:paraId="76905632" w14:textId="77777777" w:rsidR="008143D9" w:rsidRPr="006A31EC" w:rsidRDefault="008143D9" w:rsidP="005A428D">
            <w:pPr>
              <w:rPr>
                <w:rFonts w:eastAsia="SimSun"/>
                <w:sz w:val="22"/>
                <w:lang w:val="en-US"/>
              </w:rPr>
            </w:pPr>
          </w:p>
        </w:tc>
      </w:tr>
      <w:tr w:rsidR="008143D9" w:rsidRPr="006A31EC" w14:paraId="42B80E45" w14:textId="77777777" w:rsidTr="005A428D">
        <w:trPr>
          <w:cantSplit/>
          <w:trHeight w:val="624"/>
        </w:trPr>
        <w:tc>
          <w:tcPr>
            <w:tcW w:w="293" w:type="pct"/>
            <w:vMerge/>
            <w:shd w:val="clear" w:color="auto" w:fill="D9D9D9"/>
            <w:vAlign w:val="center"/>
          </w:tcPr>
          <w:p w14:paraId="4AF5CC35" w14:textId="77777777" w:rsidR="008143D9" w:rsidRPr="006A31EC" w:rsidRDefault="008143D9" w:rsidP="005A428D">
            <w:pPr>
              <w:rPr>
                <w:rFonts w:eastAsia="SimSun"/>
                <w:sz w:val="22"/>
                <w:lang w:val="en-US"/>
              </w:rPr>
            </w:pPr>
          </w:p>
        </w:tc>
        <w:tc>
          <w:tcPr>
            <w:tcW w:w="284" w:type="pct"/>
            <w:vMerge w:val="restart"/>
            <w:shd w:val="clear" w:color="auto" w:fill="D9D9D9"/>
            <w:vAlign w:val="center"/>
          </w:tcPr>
          <w:p w14:paraId="52A7F51B" w14:textId="77777777" w:rsidR="008143D9" w:rsidRPr="006A31EC" w:rsidRDefault="008143D9" w:rsidP="005A428D">
            <w:pPr>
              <w:rPr>
                <w:rFonts w:eastAsia="SimSun"/>
                <w:sz w:val="22"/>
              </w:rPr>
            </w:pPr>
            <w:r w:rsidRPr="006A31EC">
              <w:rPr>
                <w:rFonts w:eastAsia="SimSun"/>
                <w:sz w:val="22"/>
                <w:lang w:val="en-US"/>
              </w:rPr>
              <w:t>CSA</w:t>
            </w:r>
          </w:p>
          <w:p w14:paraId="1072DD36" w14:textId="77777777" w:rsidR="008143D9" w:rsidRPr="006A31EC" w:rsidRDefault="008143D9" w:rsidP="005A428D">
            <w:pPr>
              <w:rPr>
                <w:rFonts w:eastAsia="SimSun"/>
                <w:sz w:val="22"/>
              </w:rPr>
            </w:pPr>
          </w:p>
        </w:tc>
        <w:tc>
          <w:tcPr>
            <w:tcW w:w="261" w:type="pct"/>
            <w:shd w:val="clear" w:color="auto" w:fill="D9D9D9"/>
            <w:vAlign w:val="center"/>
          </w:tcPr>
          <w:p w14:paraId="219D1046" w14:textId="77777777" w:rsidR="008143D9" w:rsidRPr="006A31EC" w:rsidRDefault="008143D9" w:rsidP="005A428D">
            <w:pPr>
              <w:rPr>
                <w:rFonts w:eastAsia="SimSun"/>
                <w:sz w:val="22"/>
                <w:lang w:val="en-US"/>
              </w:rPr>
            </w:pPr>
            <w:r w:rsidRPr="006A31EC">
              <w:rPr>
                <w:rFonts w:eastAsia="SimSun"/>
                <w:sz w:val="22"/>
                <w:lang w:val="en-US"/>
              </w:rPr>
              <w:t>-</w:t>
            </w:r>
          </w:p>
        </w:tc>
        <w:tc>
          <w:tcPr>
            <w:tcW w:w="398" w:type="pct"/>
            <w:shd w:val="clear" w:color="auto" w:fill="D9D9D9"/>
            <w:vAlign w:val="center"/>
          </w:tcPr>
          <w:p w14:paraId="218614FD" w14:textId="77777777" w:rsidR="008143D9" w:rsidRPr="006A31EC" w:rsidRDefault="008143D9" w:rsidP="005A428D">
            <w:pPr>
              <w:rPr>
                <w:rFonts w:eastAsia="SimSun"/>
                <w:sz w:val="22"/>
              </w:rPr>
            </w:pPr>
            <w:r w:rsidRPr="006A31EC">
              <w:rPr>
                <w:rFonts w:eastAsia="SimSun"/>
                <w:sz w:val="22"/>
                <w:lang w:val="en-US"/>
              </w:rPr>
              <w:t>MMF30</w:t>
            </w:r>
          </w:p>
        </w:tc>
        <w:tc>
          <w:tcPr>
            <w:tcW w:w="337" w:type="pct"/>
            <w:shd w:val="clear" w:color="auto" w:fill="auto"/>
            <w:vAlign w:val="center"/>
          </w:tcPr>
          <w:p w14:paraId="2FDFF34C" w14:textId="77777777" w:rsidR="008143D9" w:rsidRPr="006A31EC" w:rsidRDefault="008143D9" w:rsidP="005A428D">
            <w:pPr>
              <w:rPr>
                <w:sz w:val="22"/>
              </w:rPr>
            </w:pPr>
            <w:r w:rsidRPr="006A31EC">
              <w:rPr>
                <w:rFonts w:eastAsia="SimSun"/>
                <w:sz w:val="22"/>
                <w:lang w:val="en-US"/>
              </w:rPr>
              <w:t>-</w:t>
            </w:r>
          </w:p>
        </w:tc>
        <w:tc>
          <w:tcPr>
            <w:tcW w:w="312" w:type="pct"/>
          </w:tcPr>
          <w:p w14:paraId="3D8565BA" w14:textId="77777777" w:rsidR="008143D9" w:rsidRPr="006A31EC" w:rsidRDefault="008143D9" w:rsidP="005A428D">
            <w:pPr>
              <w:rPr>
                <w:rFonts w:eastAsia="SimSun"/>
                <w:sz w:val="22"/>
                <w:lang w:val="en-US"/>
              </w:rPr>
            </w:pPr>
          </w:p>
        </w:tc>
        <w:tc>
          <w:tcPr>
            <w:tcW w:w="337" w:type="pct"/>
            <w:shd w:val="clear" w:color="auto" w:fill="auto"/>
            <w:vAlign w:val="center"/>
          </w:tcPr>
          <w:p w14:paraId="419C7679" w14:textId="77777777" w:rsidR="008143D9" w:rsidRPr="006A31EC" w:rsidRDefault="008143D9" w:rsidP="005A428D">
            <w:pPr>
              <w:rPr>
                <w:sz w:val="22"/>
              </w:rPr>
            </w:pPr>
            <w:r w:rsidRPr="006A31EC">
              <w:rPr>
                <w:rFonts w:eastAsia="SimSun"/>
                <w:sz w:val="22"/>
                <w:lang w:val="en-US"/>
              </w:rPr>
              <w:t>-</w:t>
            </w:r>
          </w:p>
        </w:tc>
        <w:tc>
          <w:tcPr>
            <w:tcW w:w="295" w:type="pct"/>
            <w:shd w:val="clear" w:color="auto" w:fill="auto"/>
            <w:vAlign w:val="center"/>
          </w:tcPr>
          <w:p w14:paraId="2A79DAFF" w14:textId="77777777" w:rsidR="008143D9" w:rsidRPr="006A31EC" w:rsidRDefault="008143D9" w:rsidP="005A428D">
            <w:pPr>
              <w:rPr>
                <w:sz w:val="22"/>
              </w:rPr>
            </w:pPr>
            <w:r w:rsidRPr="006A31EC">
              <w:rPr>
                <w:rFonts w:eastAsia="SimSun"/>
                <w:sz w:val="22"/>
                <w:lang w:val="en-US"/>
              </w:rPr>
              <w:t>-</w:t>
            </w:r>
          </w:p>
        </w:tc>
        <w:tc>
          <w:tcPr>
            <w:tcW w:w="295" w:type="pct"/>
            <w:shd w:val="clear" w:color="auto" w:fill="auto"/>
            <w:vAlign w:val="center"/>
          </w:tcPr>
          <w:p w14:paraId="1FD336B7" w14:textId="77777777" w:rsidR="008143D9" w:rsidRPr="006A31EC" w:rsidRDefault="008143D9" w:rsidP="005A428D">
            <w:pPr>
              <w:rPr>
                <w:sz w:val="22"/>
              </w:rPr>
            </w:pPr>
            <w:r w:rsidRPr="006A31EC">
              <w:rPr>
                <w:rFonts w:eastAsia="SimSun"/>
                <w:sz w:val="22"/>
                <w:lang w:val="en-US"/>
              </w:rPr>
              <w:t>5.1.2.4</w:t>
            </w:r>
          </w:p>
        </w:tc>
        <w:tc>
          <w:tcPr>
            <w:tcW w:w="337" w:type="pct"/>
            <w:shd w:val="clear" w:color="auto" w:fill="auto"/>
            <w:vAlign w:val="center"/>
          </w:tcPr>
          <w:p w14:paraId="04E6C84D" w14:textId="77777777" w:rsidR="008143D9" w:rsidRPr="006A31EC" w:rsidRDefault="008143D9" w:rsidP="005A428D">
            <w:pPr>
              <w:rPr>
                <w:sz w:val="22"/>
              </w:rPr>
            </w:pPr>
            <w:r w:rsidRPr="006A31EC">
              <w:rPr>
                <w:sz w:val="22"/>
              </w:rPr>
              <w:t>5.1.2.20</w:t>
            </w:r>
          </w:p>
        </w:tc>
        <w:tc>
          <w:tcPr>
            <w:tcW w:w="337" w:type="pct"/>
            <w:shd w:val="clear" w:color="auto" w:fill="auto"/>
            <w:vAlign w:val="center"/>
          </w:tcPr>
          <w:p w14:paraId="249EDFD5" w14:textId="77777777" w:rsidR="008143D9" w:rsidRPr="006A31EC" w:rsidRDefault="008143D9" w:rsidP="005A428D">
            <w:pPr>
              <w:rPr>
                <w:sz w:val="22"/>
              </w:rPr>
            </w:pPr>
            <w:r w:rsidRPr="006A31EC">
              <w:rPr>
                <w:rFonts w:eastAsia="SimSun"/>
                <w:sz w:val="22"/>
                <w:lang w:val="en-US"/>
              </w:rPr>
              <w:t>-</w:t>
            </w:r>
          </w:p>
        </w:tc>
        <w:tc>
          <w:tcPr>
            <w:tcW w:w="401" w:type="pct"/>
            <w:shd w:val="clear" w:color="auto" w:fill="auto"/>
            <w:vAlign w:val="center"/>
          </w:tcPr>
          <w:p w14:paraId="7DFDA825" w14:textId="77777777" w:rsidR="008143D9" w:rsidRPr="006A31EC" w:rsidRDefault="008143D9" w:rsidP="005A428D">
            <w:pPr>
              <w:rPr>
                <w:rFonts w:eastAsia="SimSun"/>
                <w:sz w:val="22"/>
                <w:lang w:val="en-US"/>
              </w:rPr>
            </w:pPr>
            <w:r w:rsidRPr="006A31EC">
              <w:rPr>
                <w:rFonts w:eastAsia="SimSun"/>
                <w:sz w:val="22"/>
                <w:lang w:val="en-US"/>
              </w:rPr>
              <w:t>5.1.2.7/11</w:t>
            </w:r>
          </w:p>
        </w:tc>
        <w:tc>
          <w:tcPr>
            <w:tcW w:w="442" w:type="pct"/>
            <w:shd w:val="clear" w:color="auto" w:fill="auto"/>
            <w:vAlign w:val="center"/>
          </w:tcPr>
          <w:p w14:paraId="0728955F" w14:textId="77777777" w:rsidR="008143D9" w:rsidRPr="006A31EC" w:rsidRDefault="008143D9" w:rsidP="005A428D">
            <w:pPr>
              <w:rPr>
                <w:sz w:val="22"/>
              </w:rPr>
            </w:pPr>
            <w:r w:rsidRPr="006A31EC">
              <w:rPr>
                <w:rFonts w:eastAsia="SimSun"/>
                <w:sz w:val="22"/>
                <w:lang w:val="en-US"/>
              </w:rPr>
              <w:t>-</w:t>
            </w:r>
          </w:p>
        </w:tc>
        <w:tc>
          <w:tcPr>
            <w:tcW w:w="337" w:type="pct"/>
            <w:shd w:val="clear" w:color="auto" w:fill="auto"/>
            <w:vAlign w:val="center"/>
          </w:tcPr>
          <w:p w14:paraId="3AF70FCA" w14:textId="77777777" w:rsidR="008143D9" w:rsidRPr="006A31EC" w:rsidRDefault="008143D9" w:rsidP="005A428D">
            <w:pPr>
              <w:rPr>
                <w:sz w:val="22"/>
              </w:rPr>
            </w:pPr>
            <w:r w:rsidRPr="006A31EC">
              <w:rPr>
                <w:rFonts w:eastAsia="SimSun"/>
                <w:sz w:val="22"/>
                <w:lang w:val="en-US"/>
              </w:rPr>
              <w:t>-</w:t>
            </w:r>
          </w:p>
        </w:tc>
        <w:tc>
          <w:tcPr>
            <w:tcW w:w="337" w:type="pct"/>
          </w:tcPr>
          <w:p w14:paraId="33258DA7" w14:textId="77777777" w:rsidR="008143D9" w:rsidRPr="006A31EC" w:rsidRDefault="008143D9" w:rsidP="005A428D">
            <w:pPr>
              <w:rPr>
                <w:rFonts w:eastAsia="SimSun"/>
                <w:sz w:val="22"/>
                <w:lang w:val="en-US"/>
              </w:rPr>
            </w:pPr>
          </w:p>
        </w:tc>
      </w:tr>
      <w:tr w:rsidR="008143D9" w:rsidRPr="006A31EC" w14:paraId="12CFB493" w14:textId="77777777" w:rsidTr="005A428D">
        <w:trPr>
          <w:cantSplit/>
          <w:trHeight w:val="624"/>
        </w:trPr>
        <w:tc>
          <w:tcPr>
            <w:tcW w:w="293" w:type="pct"/>
            <w:vMerge/>
            <w:shd w:val="clear" w:color="auto" w:fill="D9D9D9"/>
            <w:vAlign w:val="center"/>
          </w:tcPr>
          <w:p w14:paraId="2A08354D" w14:textId="77777777" w:rsidR="008143D9" w:rsidRPr="006A31EC" w:rsidRDefault="008143D9" w:rsidP="005A428D">
            <w:pPr>
              <w:rPr>
                <w:rFonts w:eastAsia="SimSun"/>
                <w:sz w:val="22"/>
                <w:lang w:val="en-US"/>
              </w:rPr>
            </w:pPr>
          </w:p>
        </w:tc>
        <w:tc>
          <w:tcPr>
            <w:tcW w:w="284" w:type="pct"/>
            <w:vMerge/>
            <w:shd w:val="clear" w:color="auto" w:fill="D9D9D9"/>
            <w:vAlign w:val="center"/>
          </w:tcPr>
          <w:p w14:paraId="17F18259" w14:textId="77777777" w:rsidR="008143D9" w:rsidRPr="006A31EC" w:rsidRDefault="008143D9" w:rsidP="005A428D">
            <w:pPr>
              <w:rPr>
                <w:rFonts w:eastAsia="SimSun"/>
                <w:sz w:val="22"/>
                <w:lang w:val="en-US"/>
              </w:rPr>
            </w:pPr>
          </w:p>
        </w:tc>
        <w:tc>
          <w:tcPr>
            <w:tcW w:w="261" w:type="pct"/>
            <w:shd w:val="clear" w:color="auto" w:fill="D9D9D9"/>
            <w:vAlign w:val="center"/>
          </w:tcPr>
          <w:p w14:paraId="27224CBA" w14:textId="77777777" w:rsidR="008143D9" w:rsidRPr="006A31EC" w:rsidRDefault="008143D9" w:rsidP="005A428D">
            <w:pPr>
              <w:rPr>
                <w:rFonts w:eastAsia="SimSun"/>
                <w:sz w:val="22"/>
                <w:lang w:val="en-US"/>
              </w:rPr>
            </w:pPr>
            <w:r w:rsidRPr="006A31EC">
              <w:rPr>
                <w:rFonts w:eastAsia="SimSun"/>
                <w:sz w:val="22"/>
                <w:lang w:val="en-US"/>
              </w:rPr>
              <w:t>-</w:t>
            </w:r>
          </w:p>
        </w:tc>
        <w:tc>
          <w:tcPr>
            <w:tcW w:w="398" w:type="pct"/>
            <w:shd w:val="clear" w:color="auto" w:fill="D9D9D9"/>
            <w:vAlign w:val="center"/>
          </w:tcPr>
          <w:p w14:paraId="69E63E7B" w14:textId="77777777" w:rsidR="008143D9" w:rsidRPr="006A31EC" w:rsidRDefault="008143D9" w:rsidP="005A428D">
            <w:pPr>
              <w:rPr>
                <w:rFonts w:eastAsia="SimSun"/>
                <w:sz w:val="22"/>
                <w:lang w:val="en-US"/>
              </w:rPr>
            </w:pPr>
            <w:r w:rsidRPr="006A31EC">
              <w:rPr>
                <w:rFonts w:eastAsia="SimSun"/>
                <w:sz w:val="22"/>
                <w:lang w:val="en-US"/>
              </w:rPr>
              <w:t>MMF45</w:t>
            </w:r>
          </w:p>
        </w:tc>
        <w:tc>
          <w:tcPr>
            <w:tcW w:w="337" w:type="pct"/>
            <w:shd w:val="clear" w:color="auto" w:fill="auto"/>
            <w:vAlign w:val="center"/>
          </w:tcPr>
          <w:p w14:paraId="40F7D664" w14:textId="77777777" w:rsidR="008143D9" w:rsidRPr="006A31EC" w:rsidRDefault="008143D9" w:rsidP="005A428D">
            <w:pPr>
              <w:rPr>
                <w:rFonts w:eastAsia="SimSun"/>
                <w:sz w:val="22"/>
              </w:rPr>
            </w:pPr>
            <w:r w:rsidRPr="006A31EC">
              <w:rPr>
                <w:rFonts w:eastAsia="SimSun"/>
                <w:sz w:val="22"/>
                <w:lang w:val="en-US"/>
              </w:rPr>
              <w:t>-</w:t>
            </w:r>
          </w:p>
        </w:tc>
        <w:tc>
          <w:tcPr>
            <w:tcW w:w="312" w:type="pct"/>
          </w:tcPr>
          <w:p w14:paraId="7EE88EC5" w14:textId="77777777" w:rsidR="008143D9" w:rsidRPr="006A31EC" w:rsidRDefault="008143D9" w:rsidP="005A428D">
            <w:pPr>
              <w:rPr>
                <w:rFonts w:eastAsia="SimSun"/>
                <w:sz w:val="22"/>
                <w:lang w:val="en-US"/>
              </w:rPr>
            </w:pPr>
          </w:p>
        </w:tc>
        <w:tc>
          <w:tcPr>
            <w:tcW w:w="337" w:type="pct"/>
            <w:shd w:val="clear" w:color="auto" w:fill="auto"/>
            <w:vAlign w:val="center"/>
          </w:tcPr>
          <w:p w14:paraId="3ABA109B" w14:textId="77777777" w:rsidR="008143D9" w:rsidRPr="006A31EC" w:rsidRDefault="008143D9" w:rsidP="005A428D">
            <w:pPr>
              <w:rPr>
                <w:rFonts w:eastAsia="SimSun"/>
                <w:sz w:val="22"/>
              </w:rPr>
            </w:pPr>
            <w:r w:rsidRPr="006A31EC">
              <w:rPr>
                <w:rFonts w:eastAsia="SimSun"/>
                <w:sz w:val="22"/>
                <w:lang w:val="en-US"/>
              </w:rPr>
              <w:t>5.1.2.1</w:t>
            </w:r>
            <w:r w:rsidRPr="006A31EC">
              <w:rPr>
                <w:rFonts w:eastAsia="SimSun"/>
                <w:sz w:val="22"/>
              </w:rPr>
              <w:t>9</w:t>
            </w:r>
          </w:p>
        </w:tc>
        <w:tc>
          <w:tcPr>
            <w:tcW w:w="295" w:type="pct"/>
            <w:shd w:val="clear" w:color="auto" w:fill="auto"/>
            <w:vAlign w:val="center"/>
          </w:tcPr>
          <w:p w14:paraId="0F1BD9A9" w14:textId="77777777" w:rsidR="008143D9" w:rsidRPr="006A31EC" w:rsidRDefault="008143D9" w:rsidP="005A428D">
            <w:pPr>
              <w:rPr>
                <w:sz w:val="22"/>
              </w:rPr>
            </w:pPr>
            <w:r w:rsidRPr="006A31EC">
              <w:rPr>
                <w:rFonts w:eastAsia="SimSun"/>
                <w:sz w:val="22"/>
                <w:lang w:val="en-US"/>
              </w:rPr>
              <w:t>5.1.2.3</w:t>
            </w:r>
          </w:p>
        </w:tc>
        <w:tc>
          <w:tcPr>
            <w:tcW w:w="295" w:type="pct"/>
            <w:shd w:val="clear" w:color="auto" w:fill="auto"/>
            <w:vAlign w:val="center"/>
          </w:tcPr>
          <w:p w14:paraId="3A79E995" w14:textId="77777777" w:rsidR="008143D9" w:rsidRPr="006A31EC" w:rsidRDefault="008143D9" w:rsidP="005A428D">
            <w:pPr>
              <w:rPr>
                <w:sz w:val="22"/>
              </w:rPr>
            </w:pPr>
            <w:r w:rsidRPr="006A31EC">
              <w:rPr>
                <w:rFonts w:eastAsia="SimSun"/>
                <w:sz w:val="22"/>
                <w:lang w:val="en-US"/>
              </w:rPr>
              <w:t>-</w:t>
            </w:r>
          </w:p>
        </w:tc>
        <w:tc>
          <w:tcPr>
            <w:tcW w:w="337" w:type="pct"/>
            <w:shd w:val="clear" w:color="auto" w:fill="auto"/>
            <w:vAlign w:val="center"/>
          </w:tcPr>
          <w:p w14:paraId="7202D404" w14:textId="77777777" w:rsidR="008143D9" w:rsidRPr="006A31EC" w:rsidRDefault="008143D9" w:rsidP="005A428D">
            <w:pPr>
              <w:rPr>
                <w:sz w:val="22"/>
              </w:rPr>
            </w:pPr>
            <w:r w:rsidRPr="006A31EC">
              <w:rPr>
                <w:rFonts w:eastAsia="SimSun"/>
                <w:sz w:val="22"/>
                <w:lang w:val="en-US"/>
              </w:rPr>
              <w:t>-</w:t>
            </w:r>
          </w:p>
        </w:tc>
        <w:tc>
          <w:tcPr>
            <w:tcW w:w="337" w:type="pct"/>
            <w:shd w:val="clear" w:color="auto" w:fill="auto"/>
            <w:vAlign w:val="center"/>
          </w:tcPr>
          <w:p w14:paraId="718C83F4" w14:textId="77777777" w:rsidR="008143D9" w:rsidRPr="006A31EC" w:rsidRDefault="008143D9" w:rsidP="005A428D">
            <w:pPr>
              <w:rPr>
                <w:sz w:val="22"/>
              </w:rPr>
            </w:pPr>
            <w:r w:rsidRPr="006A31EC">
              <w:rPr>
                <w:rFonts w:eastAsia="SimSun"/>
                <w:sz w:val="22"/>
                <w:lang w:val="en-US"/>
              </w:rPr>
              <w:t>-</w:t>
            </w:r>
          </w:p>
        </w:tc>
        <w:tc>
          <w:tcPr>
            <w:tcW w:w="401" w:type="pct"/>
            <w:shd w:val="clear" w:color="auto" w:fill="auto"/>
            <w:vAlign w:val="center"/>
          </w:tcPr>
          <w:p w14:paraId="36AF1410" w14:textId="77777777" w:rsidR="008143D9" w:rsidRPr="006A31EC" w:rsidRDefault="008143D9" w:rsidP="005A428D">
            <w:pPr>
              <w:rPr>
                <w:sz w:val="22"/>
              </w:rPr>
            </w:pPr>
            <w:r w:rsidRPr="006A31EC">
              <w:rPr>
                <w:rFonts w:eastAsia="SimSun"/>
                <w:sz w:val="22"/>
                <w:lang w:val="en-US"/>
              </w:rPr>
              <w:t>-</w:t>
            </w:r>
          </w:p>
        </w:tc>
        <w:tc>
          <w:tcPr>
            <w:tcW w:w="442" w:type="pct"/>
            <w:shd w:val="clear" w:color="auto" w:fill="auto"/>
            <w:vAlign w:val="center"/>
          </w:tcPr>
          <w:p w14:paraId="75A17D5B" w14:textId="77777777" w:rsidR="008143D9" w:rsidRPr="006A31EC" w:rsidRDefault="008143D9" w:rsidP="005A428D">
            <w:pPr>
              <w:rPr>
                <w:sz w:val="22"/>
              </w:rPr>
            </w:pPr>
            <w:r w:rsidRPr="006A31EC">
              <w:rPr>
                <w:rFonts w:eastAsia="SimSun"/>
                <w:sz w:val="22"/>
                <w:lang w:val="en-US"/>
              </w:rPr>
              <w:t>-</w:t>
            </w:r>
          </w:p>
        </w:tc>
        <w:tc>
          <w:tcPr>
            <w:tcW w:w="337" w:type="pct"/>
            <w:shd w:val="clear" w:color="auto" w:fill="auto"/>
            <w:vAlign w:val="center"/>
          </w:tcPr>
          <w:p w14:paraId="4F52FA34" w14:textId="77777777" w:rsidR="008143D9" w:rsidRPr="006A31EC" w:rsidRDefault="008143D9" w:rsidP="005A428D">
            <w:pPr>
              <w:rPr>
                <w:sz w:val="22"/>
              </w:rPr>
            </w:pPr>
            <w:r w:rsidRPr="006A31EC">
              <w:rPr>
                <w:rFonts w:eastAsia="SimSun"/>
                <w:sz w:val="22"/>
                <w:lang w:val="en-US"/>
              </w:rPr>
              <w:t>-</w:t>
            </w:r>
          </w:p>
        </w:tc>
        <w:tc>
          <w:tcPr>
            <w:tcW w:w="337" w:type="pct"/>
          </w:tcPr>
          <w:p w14:paraId="3D557754" w14:textId="77777777" w:rsidR="008143D9" w:rsidRPr="006A31EC" w:rsidRDefault="008143D9" w:rsidP="005A428D">
            <w:pPr>
              <w:rPr>
                <w:rFonts w:eastAsia="SimSun"/>
                <w:sz w:val="22"/>
                <w:lang w:val="en-US"/>
              </w:rPr>
            </w:pPr>
          </w:p>
        </w:tc>
      </w:tr>
      <w:tr w:rsidR="008143D9" w:rsidRPr="006A31EC" w14:paraId="519BF943" w14:textId="77777777" w:rsidTr="005A428D">
        <w:trPr>
          <w:cantSplit/>
          <w:trHeight w:val="624"/>
        </w:trPr>
        <w:tc>
          <w:tcPr>
            <w:tcW w:w="293" w:type="pct"/>
            <w:vMerge/>
            <w:shd w:val="clear" w:color="auto" w:fill="D9D9D9"/>
            <w:vAlign w:val="center"/>
          </w:tcPr>
          <w:p w14:paraId="454F23D3" w14:textId="77777777" w:rsidR="008143D9" w:rsidRPr="006A31EC" w:rsidRDefault="008143D9" w:rsidP="005A428D">
            <w:pPr>
              <w:rPr>
                <w:rFonts w:eastAsia="SimSun"/>
                <w:sz w:val="22"/>
                <w:lang w:val="en-US"/>
              </w:rPr>
            </w:pPr>
          </w:p>
        </w:tc>
        <w:tc>
          <w:tcPr>
            <w:tcW w:w="284" w:type="pct"/>
            <w:shd w:val="clear" w:color="auto" w:fill="D9D9D9"/>
            <w:vAlign w:val="center"/>
          </w:tcPr>
          <w:p w14:paraId="081E26E1" w14:textId="77777777" w:rsidR="008143D9" w:rsidRPr="006A31EC" w:rsidRDefault="008143D9" w:rsidP="005A428D">
            <w:pPr>
              <w:rPr>
                <w:rFonts w:eastAsia="SimSun"/>
                <w:sz w:val="22"/>
                <w:lang w:val="en-US"/>
              </w:rPr>
            </w:pPr>
            <w:r w:rsidRPr="006A31EC">
              <w:rPr>
                <w:rFonts w:eastAsia="SimSun"/>
                <w:sz w:val="22"/>
                <w:lang w:val="en-US"/>
              </w:rPr>
              <w:t>Tx</w:t>
            </w:r>
          </w:p>
        </w:tc>
        <w:tc>
          <w:tcPr>
            <w:tcW w:w="261" w:type="pct"/>
            <w:shd w:val="clear" w:color="auto" w:fill="D9D9D9"/>
            <w:vAlign w:val="center"/>
          </w:tcPr>
          <w:p w14:paraId="07C63552" w14:textId="77777777" w:rsidR="008143D9" w:rsidRPr="006A31EC" w:rsidRDefault="008143D9" w:rsidP="005A428D">
            <w:pPr>
              <w:rPr>
                <w:rFonts w:eastAsia="SimSun"/>
                <w:sz w:val="22"/>
                <w:lang w:val="en-US"/>
              </w:rPr>
            </w:pPr>
            <w:r w:rsidRPr="006A31EC">
              <w:rPr>
                <w:rFonts w:eastAsia="SimSun"/>
                <w:sz w:val="22"/>
                <w:lang w:val="en-US"/>
              </w:rPr>
              <w:t>-</w:t>
            </w:r>
          </w:p>
        </w:tc>
        <w:tc>
          <w:tcPr>
            <w:tcW w:w="398" w:type="pct"/>
            <w:shd w:val="clear" w:color="auto" w:fill="D9D9D9"/>
            <w:vAlign w:val="center"/>
          </w:tcPr>
          <w:p w14:paraId="59F84B60" w14:textId="77777777" w:rsidR="008143D9" w:rsidRPr="006A31EC" w:rsidRDefault="008143D9" w:rsidP="005A428D">
            <w:pPr>
              <w:rPr>
                <w:rFonts w:eastAsia="SimSun"/>
                <w:sz w:val="22"/>
                <w:lang w:val="en-US"/>
              </w:rPr>
            </w:pPr>
            <w:r w:rsidRPr="006A31EC">
              <w:rPr>
                <w:rFonts w:eastAsia="SimSun"/>
                <w:sz w:val="22"/>
                <w:lang w:val="en-US"/>
              </w:rPr>
              <w:t>MMF30</w:t>
            </w:r>
          </w:p>
        </w:tc>
        <w:tc>
          <w:tcPr>
            <w:tcW w:w="337" w:type="pct"/>
            <w:shd w:val="clear" w:color="auto" w:fill="auto"/>
            <w:vAlign w:val="center"/>
          </w:tcPr>
          <w:p w14:paraId="257091BF" w14:textId="77777777" w:rsidR="008143D9" w:rsidRPr="006A31EC" w:rsidRDefault="008143D9" w:rsidP="005A428D">
            <w:pPr>
              <w:rPr>
                <w:rFonts w:eastAsia="SimSun"/>
                <w:sz w:val="22"/>
                <w:lang w:val="en-US"/>
              </w:rPr>
            </w:pPr>
            <w:r w:rsidRPr="006A31EC">
              <w:rPr>
                <w:rFonts w:eastAsia="SimSun"/>
                <w:sz w:val="22"/>
                <w:lang w:val="en-US"/>
              </w:rPr>
              <w:t>5.1.2.16</w:t>
            </w:r>
          </w:p>
        </w:tc>
        <w:tc>
          <w:tcPr>
            <w:tcW w:w="312" w:type="pct"/>
          </w:tcPr>
          <w:p w14:paraId="6A940721" w14:textId="77777777" w:rsidR="008143D9" w:rsidRPr="006A31EC" w:rsidRDefault="008143D9" w:rsidP="005A428D">
            <w:pPr>
              <w:rPr>
                <w:rFonts w:eastAsia="SimSun"/>
                <w:sz w:val="22"/>
                <w:lang w:val="en-US"/>
              </w:rPr>
            </w:pPr>
          </w:p>
        </w:tc>
        <w:tc>
          <w:tcPr>
            <w:tcW w:w="337" w:type="pct"/>
            <w:shd w:val="clear" w:color="auto" w:fill="auto"/>
            <w:vAlign w:val="center"/>
          </w:tcPr>
          <w:p w14:paraId="4BE26669" w14:textId="77777777" w:rsidR="008143D9" w:rsidRPr="006A31EC" w:rsidRDefault="008143D9" w:rsidP="005A428D">
            <w:pPr>
              <w:rPr>
                <w:sz w:val="22"/>
              </w:rPr>
            </w:pPr>
            <w:r w:rsidRPr="006A31EC">
              <w:rPr>
                <w:rFonts w:eastAsia="SimSun"/>
                <w:sz w:val="22"/>
                <w:lang w:val="en-US"/>
              </w:rPr>
              <w:t>-</w:t>
            </w:r>
          </w:p>
        </w:tc>
        <w:tc>
          <w:tcPr>
            <w:tcW w:w="295" w:type="pct"/>
            <w:shd w:val="clear" w:color="auto" w:fill="auto"/>
            <w:vAlign w:val="center"/>
          </w:tcPr>
          <w:p w14:paraId="477FB9CA" w14:textId="77777777" w:rsidR="008143D9" w:rsidRPr="006A31EC" w:rsidRDefault="008143D9" w:rsidP="005A428D">
            <w:pPr>
              <w:rPr>
                <w:sz w:val="22"/>
              </w:rPr>
            </w:pPr>
            <w:r w:rsidRPr="006A31EC">
              <w:rPr>
                <w:rFonts w:eastAsia="SimSun"/>
                <w:sz w:val="22"/>
                <w:lang w:val="en-US"/>
              </w:rPr>
              <w:t>-</w:t>
            </w:r>
          </w:p>
        </w:tc>
        <w:tc>
          <w:tcPr>
            <w:tcW w:w="295" w:type="pct"/>
            <w:shd w:val="clear" w:color="auto" w:fill="auto"/>
            <w:vAlign w:val="center"/>
          </w:tcPr>
          <w:p w14:paraId="0A074697" w14:textId="77777777" w:rsidR="008143D9" w:rsidRPr="006A31EC" w:rsidRDefault="008143D9" w:rsidP="005A428D">
            <w:pPr>
              <w:rPr>
                <w:sz w:val="22"/>
              </w:rPr>
            </w:pPr>
            <w:r w:rsidRPr="006A31EC">
              <w:rPr>
                <w:rFonts w:eastAsia="SimSun"/>
                <w:sz w:val="22"/>
                <w:lang w:val="en-US"/>
              </w:rPr>
              <w:t>-</w:t>
            </w:r>
          </w:p>
        </w:tc>
        <w:tc>
          <w:tcPr>
            <w:tcW w:w="337" w:type="pct"/>
            <w:shd w:val="clear" w:color="auto" w:fill="auto"/>
            <w:vAlign w:val="center"/>
          </w:tcPr>
          <w:p w14:paraId="542BB7EA" w14:textId="77777777" w:rsidR="008143D9" w:rsidRPr="006A31EC" w:rsidRDefault="008143D9" w:rsidP="005A428D">
            <w:pPr>
              <w:rPr>
                <w:sz w:val="22"/>
              </w:rPr>
            </w:pPr>
            <w:r w:rsidRPr="006A31EC">
              <w:rPr>
                <w:rFonts w:eastAsia="SimSun"/>
                <w:sz w:val="22"/>
                <w:lang w:val="en-US"/>
              </w:rPr>
              <w:t>-</w:t>
            </w:r>
          </w:p>
        </w:tc>
        <w:tc>
          <w:tcPr>
            <w:tcW w:w="337" w:type="pct"/>
            <w:shd w:val="clear" w:color="auto" w:fill="auto"/>
            <w:vAlign w:val="center"/>
          </w:tcPr>
          <w:p w14:paraId="2C3B7A87" w14:textId="77777777" w:rsidR="008143D9" w:rsidRPr="006A31EC" w:rsidRDefault="008143D9" w:rsidP="005A428D">
            <w:pPr>
              <w:rPr>
                <w:sz w:val="22"/>
              </w:rPr>
            </w:pPr>
            <w:r w:rsidRPr="006A31EC">
              <w:rPr>
                <w:rFonts w:eastAsia="SimSun"/>
                <w:sz w:val="22"/>
                <w:lang w:val="en-US"/>
              </w:rPr>
              <w:t>-</w:t>
            </w:r>
          </w:p>
        </w:tc>
        <w:tc>
          <w:tcPr>
            <w:tcW w:w="401" w:type="pct"/>
            <w:shd w:val="clear" w:color="auto" w:fill="auto"/>
            <w:vAlign w:val="center"/>
          </w:tcPr>
          <w:p w14:paraId="00D863D0" w14:textId="77777777" w:rsidR="008143D9" w:rsidRPr="006A31EC" w:rsidRDefault="008143D9" w:rsidP="005A428D">
            <w:pPr>
              <w:rPr>
                <w:rFonts w:eastAsia="SimSun"/>
                <w:sz w:val="22"/>
                <w:lang w:val="en-US"/>
              </w:rPr>
            </w:pPr>
            <w:r w:rsidRPr="006A31EC">
              <w:rPr>
                <w:rFonts w:eastAsia="SimSun"/>
                <w:sz w:val="22"/>
                <w:lang w:val="en-US"/>
              </w:rPr>
              <w:t>5.1.2.9</w:t>
            </w:r>
          </w:p>
        </w:tc>
        <w:tc>
          <w:tcPr>
            <w:tcW w:w="442" w:type="pct"/>
            <w:shd w:val="clear" w:color="auto" w:fill="auto"/>
            <w:vAlign w:val="center"/>
          </w:tcPr>
          <w:p w14:paraId="0879E314" w14:textId="77777777" w:rsidR="008143D9" w:rsidRPr="006A31EC" w:rsidRDefault="008143D9" w:rsidP="005A428D">
            <w:pPr>
              <w:rPr>
                <w:rFonts w:eastAsia="SimSun"/>
                <w:sz w:val="22"/>
                <w:lang w:val="en-US"/>
              </w:rPr>
            </w:pPr>
            <w:r w:rsidRPr="006A31EC">
              <w:rPr>
                <w:rFonts w:eastAsia="SimSun"/>
                <w:sz w:val="22"/>
                <w:lang w:val="en-US"/>
              </w:rPr>
              <w:t>5.1.2.14</w:t>
            </w:r>
          </w:p>
        </w:tc>
        <w:tc>
          <w:tcPr>
            <w:tcW w:w="337" w:type="pct"/>
            <w:shd w:val="clear" w:color="auto" w:fill="auto"/>
            <w:vAlign w:val="center"/>
          </w:tcPr>
          <w:p w14:paraId="470938CE" w14:textId="77777777" w:rsidR="008143D9" w:rsidRPr="006A31EC" w:rsidRDefault="008143D9" w:rsidP="005A428D">
            <w:pPr>
              <w:rPr>
                <w:sz w:val="22"/>
              </w:rPr>
            </w:pPr>
            <w:r w:rsidRPr="006A31EC">
              <w:rPr>
                <w:rFonts w:eastAsia="SimSun"/>
                <w:sz w:val="22"/>
              </w:rPr>
              <w:t xml:space="preserve">      </w:t>
            </w:r>
            <w:r w:rsidRPr="006A31EC">
              <w:rPr>
                <w:rFonts w:eastAsia="SimSun"/>
                <w:sz w:val="22"/>
                <w:lang w:val="en-US"/>
              </w:rPr>
              <w:t>-</w:t>
            </w:r>
          </w:p>
        </w:tc>
        <w:tc>
          <w:tcPr>
            <w:tcW w:w="337" w:type="pct"/>
          </w:tcPr>
          <w:p w14:paraId="47D50134" w14:textId="77777777" w:rsidR="008143D9" w:rsidRPr="006A31EC" w:rsidRDefault="008143D9" w:rsidP="005A428D">
            <w:pPr>
              <w:rPr>
                <w:rFonts w:eastAsia="SimSun"/>
                <w:sz w:val="22"/>
              </w:rPr>
            </w:pPr>
            <w:r w:rsidRPr="006A31EC">
              <w:rPr>
                <w:rFonts w:eastAsia="SimSun"/>
                <w:sz w:val="22"/>
                <w:lang w:val="en-US"/>
              </w:rPr>
              <w:t>5.1.2.2</w:t>
            </w:r>
            <w:r w:rsidRPr="006A31EC">
              <w:rPr>
                <w:rFonts w:eastAsia="SimSun"/>
                <w:sz w:val="22"/>
              </w:rPr>
              <w:t>4</w:t>
            </w:r>
          </w:p>
        </w:tc>
      </w:tr>
      <w:tr w:rsidR="008143D9" w:rsidRPr="006A31EC" w14:paraId="57B45FA3" w14:textId="77777777" w:rsidTr="005A428D">
        <w:trPr>
          <w:cantSplit/>
          <w:trHeight w:val="624"/>
        </w:trPr>
        <w:tc>
          <w:tcPr>
            <w:tcW w:w="293" w:type="pct"/>
            <w:vMerge/>
            <w:shd w:val="clear" w:color="auto" w:fill="D9D9D9"/>
            <w:vAlign w:val="center"/>
          </w:tcPr>
          <w:p w14:paraId="67B66338" w14:textId="77777777" w:rsidR="008143D9" w:rsidRPr="006A31EC" w:rsidRDefault="008143D9" w:rsidP="005A428D">
            <w:pPr>
              <w:rPr>
                <w:rFonts w:eastAsia="SimSun"/>
                <w:sz w:val="22"/>
                <w:lang w:val="en-US"/>
              </w:rPr>
            </w:pPr>
          </w:p>
        </w:tc>
        <w:tc>
          <w:tcPr>
            <w:tcW w:w="284" w:type="pct"/>
            <w:shd w:val="clear" w:color="auto" w:fill="D9D9D9"/>
            <w:vAlign w:val="center"/>
          </w:tcPr>
          <w:p w14:paraId="5B093A0D" w14:textId="77777777" w:rsidR="008143D9" w:rsidRPr="006A31EC" w:rsidRDefault="008143D9" w:rsidP="005A428D">
            <w:pPr>
              <w:rPr>
                <w:rFonts w:eastAsia="SimSun"/>
                <w:sz w:val="22"/>
                <w:lang w:val="en-US"/>
              </w:rPr>
            </w:pPr>
            <w:r w:rsidRPr="006A31EC">
              <w:rPr>
                <w:rFonts w:eastAsia="SimSun"/>
                <w:sz w:val="22"/>
                <w:lang w:val="en-US"/>
              </w:rPr>
              <w:t>Ruxo</w:t>
            </w:r>
          </w:p>
        </w:tc>
        <w:tc>
          <w:tcPr>
            <w:tcW w:w="261" w:type="pct"/>
            <w:shd w:val="clear" w:color="auto" w:fill="D9D9D9"/>
            <w:vAlign w:val="center"/>
          </w:tcPr>
          <w:p w14:paraId="0C04F558" w14:textId="77777777" w:rsidR="008143D9" w:rsidRPr="006A31EC" w:rsidRDefault="008143D9" w:rsidP="005A428D">
            <w:pPr>
              <w:rPr>
                <w:rFonts w:eastAsia="SimSun"/>
                <w:sz w:val="22"/>
                <w:lang w:val="en-US"/>
              </w:rPr>
            </w:pPr>
            <w:r w:rsidRPr="006A31EC">
              <w:rPr>
                <w:rFonts w:eastAsia="SimSun"/>
                <w:sz w:val="22"/>
                <w:lang w:val="en-US"/>
              </w:rPr>
              <w:t>-</w:t>
            </w:r>
          </w:p>
        </w:tc>
        <w:tc>
          <w:tcPr>
            <w:tcW w:w="398" w:type="pct"/>
            <w:shd w:val="clear" w:color="auto" w:fill="D9D9D9"/>
            <w:vAlign w:val="center"/>
          </w:tcPr>
          <w:p w14:paraId="3544E4AC" w14:textId="77777777" w:rsidR="008143D9" w:rsidRPr="006A31EC" w:rsidRDefault="008143D9" w:rsidP="005A428D">
            <w:pPr>
              <w:rPr>
                <w:rFonts w:eastAsia="SimSun"/>
                <w:sz w:val="22"/>
                <w:lang w:val="en-US"/>
              </w:rPr>
            </w:pPr>
            <w:r w:rsidRPr="006A31EC">
              <w:rPr>
                <w:rFonts w:eastAsia="SimSun"/>
                <w:sz w:val="22"/>
                <w:lang w:val="en-US"/>
              </w:rPr>
              <w:t>-</w:t>
            </w:r>
          </w:p>
        </w:tc>
        <w:tc>
          <w:tcPr>
            <w:tcW w:w="337" w:type="pct"/>
            <w:shd w:val="clear" w:color="auto" w:fill="auto"/>
            <w:vAlign w:val="center"/>
          </w:tcPr>
          <w:p w14:paraId="2F055AB3" w14:textId="77777777" w:rsidR="008143D9" w:rsidRPr="006A31EC" w:rsidRDefault="008143D9" w:rsidP="005A428D">
            <w:pPr>
              <w:rPr>
                <w:sz w:val="22"/>
              </w:rPr>
            </w:pPr>
            <w:r w:rsidRPr="006A31EC">
              <w:rPr>
                <w:rFonts w:eastAsia="SimSun"/>
                <w:sz w:val="22"/>
                <w:lang w:val="en-US"/>
              </w:rPr>
              <w:t>-</w:t>
            </w:r>
          </w:p>
        </w:tc>
        <w:tc>
          <w:tcPr>
            <w:tcW w:w="312" w:type="pct"/>
          </w:tcPr>
          <w:p w14:paraId="7B75520D" w14:textId="77777777" w:rsidR="008143D9" w:rsidRPr="006A31EC" w:rsidRDefault="008143D9" w:rsidP="005A428D">
            <w:pPr>
              <w:rPr>
                <w:rFonts w:eastAsia="SimSun"/>
                <w:sz w:val="22"/>
                <w:lang w:val="en-US"/>
              </w:rPr>
            </w:pPr>
          </w:p>
        </w:tc>
        <w:tc>
          <w:tcPr>
            <w:tcW w:w="337" w:type="pct"/>
            <w:shd w:val="clear" w:color="auto" w:fill="auto"/>
            <w:vAlign w:val="center"/>
          </w:tcPr>
          <w:p w14:paraId="5ED9B26F" w14:textId="77777777" w:rsidR="008143D9" w:rsidRPr="006A31EC" w:rsidRDefault="008143D9" w:rsidP="005A428D">
            <w:pPr>
              <w:rPr>
                <w:sz w:val="22"/>
              </w:rPr>
            </w:pPr>
            <w:r w:rsidRPr="006A31EC">
              <w:rPr>
                <w:rFonts w:eastAsia="SimSun"/>
                <w:sz w:val="22"/>
                <w:lang w:val="en-US"/>
              </w:rPr>
              <w:t>-</w:t>
            </w:r>
          </w:p>
        </w:tc>
        <w:tc>
          <w:tcPr>
            <w:tcW w:w="295" w:type="pct"/>
            <w:shd w:val="clear" w:color="auto" w:fill="auto"/>
            <w:vAlign w:val="center"/>
          </w:tcPr>
          <w:p w14:paraId="609F33F3" w14:textId="77777777" w:rsidR="008143D9" w:rsidRPr="006A31EC" w:rsidRDefault="008143D9" w:rsidP="005A428D">
            <w:pPr>
              <w:rPr>
                <w:sz w:val="22"/>
              </w:rPr>
            </w:pPr>
            <w:r w:rsidRPr="006A31EC">
              <w:rPr>
                <w:rFonts w:eastAsia="SimSun"/>
                <w:sz w:val="22"/>
                <w:lang w:val="en-US"/>
              </w:rPr>
              <w:t>-</w:t>
            </w:r>
          </w:p>
        </w:tc>
        <w:tc>
          <w:tcPr>
            <w:tcW w:w="295" w:type="pct"/>
            <w:shd w:val="clear" w:color="auto" w:fill="auto"/>
            <w:vAlign w:val="center"/>
          </w:tcPr>
          <w:p w14:paraId="5698D322" w14:textId="77777777" w:rsidR="008143D9" w:rsidRPr="006A31EC" w:rsidRDefault="008143D9" w:rsidP="005A428D">
            <w:pPr>
              <w:rPr>
                <w:sz w:val="22"/>
              </w:rPr>
            </w:pPr>
            <w:r w:rsidRPr="006A31EC">
              <w:rPr>
                <w:rFonts w:eastAsia="SimSun"/>
                <w:sz w:val="22"/>
                <w:lang w:val="en-US"/>
              </w:rPr>
              <w:t>-</w:t>
            </w:r>
          </w:p>
        </w:tc>
        <w:tc>
          <w:tcPr>
            <w:tcW w:w="337" w:type="pct"/>
            <w:shd w:val="clear" w:color="auto" w:fill="auto"/>
            <w:vAlign w:val="center"/>
          </w:tcPr>
          <w:p w14:paraId="3FE8A1BC" w14:textId="77777777" w:rsidR="008143D9" w:rsidRPr="006A31EC" w:rsidRDefault="008143D9" w:rsidP="005A428D">
            <w:pPr>
              <w:rPr>
                <w:sz w:val="22"/>
              </w:rPr>
            </w:pPr>
            <w:r w:rsidRPr="006A31EC">
              <w:rPr>
                <w:rFonts w:eastAsia="SimSun"/>
                <w:sz w:val="22"/>
                <w:lang w:val="en-US"/>
              </w:rPr>
              <w:t>-</w:t>
            </w:r>
          </w:p>
        </w:tc>
        <w:tc>
          <w:tcPr>
            <w:tcW w:w="337" w:type="pct"/>
            <w:shd w:val="clear" w:color="auto" w:fill="auto"/>
            <w:vAlign w:val="center"/>
          </w:tcPr>
          <w:p w14:paraId="5A916FBA" w14:textId="77777777" w:rsidR="008143D9" w:rsidRPr="006A31EC" w:rsidRDefault="008143D9" w:rsidP="005A428D">
            <w:pPr>
              <w:rPr>
                <w:sz w:val="22"/>
              </w:rPr>
            </w:pPr>
            <w:r w:rsidRPr="006A31EC">
              <w:rPr>
                <w:rFonts w:eastAsia="SimSun"/>
                <w:sz w:val="22"/>
                <w:lang w:val="en-US"/>
              </w:rPr>
              <w:t>-</w:t>
            </w:r>
          </w:p>
        </w:tc>
        <w:tc>
          <w:tcPr>
            <w:tcW w:w="401" w:type="pct"/>
            <w:shd w:val="clear" w:color="auto" w:fill="auto"/>
            <w:vAlign w:val="center"/>
          </w:tcPr>
          <w:p w14:paraId="187828E3" w14:textId="77777777" w:rsidR="008143D9" w:rsidRPr="006A31EC" w:rsidRDefault="008143D9" w:rsidP="005A428D">
            <w:pPr>
              <w:rPr>
                <w:rFonts w:eastAsia="SimSun"/>
                <w:sz w:val="22"/>
              </w:rPr>
            </w:pPr>
          </w:p>
        </w:tc>
        <w:tc>
          <w:tcPr>
            <w:tcW w:w="442" w:type="pct"/>
            <w:shd w:val="clear" w:color="auto" w:fill="auto"/>
            <w:vAlign w:val="center"/>
          </w:tcPr>
          <w:p w14:paraId="54C538AC" w14:textId="77777777" w:rsidR="008143D9" w:rsidRPr="006A31EC" w:rsidRDefault="008143D9" w:rsidP="005A428D">
            <w:pPr>
              <w:rPr>
                <w:rFonts w:eastAsia="SimSun"/>
                <w:sz w:val="22"/>
                <w:lang w:val="en-US"/>
              </w:rPr>
            </w:pPr>
            <w:r w:rsidRPr="006A31EC">
              <w:rPr>
                <w:rFonts w:eastAsia="SimSun"/>
                <w:sz w:val="22"/>
                <w:lang w:val="en-US"/>
              </w:rPr>
              <w:t>5.1.2.12/15</w:t>
            </w:r>
          </w:p>
        </w:tc>
        <w:tc>
          <w:tcPr>
            <w:tcW w:w="337" w:type="pct"/>
            <w:shd w:val="clear" w:color="auto" w:fill="auto"/>
            <w:vAlign w:val="center"/>
          </w:tcPr>
          <w:p w14:paraId="2D1BFEC5" w14:textId="77777777" w:rsidR="008143D9" w:rsidRPr="006A31EC" w:rsidRDefault="008143D9" w:rsidP="005A428D">
            <w:pPr>
              <w:rPr>
                <w:sz w:val="22"/>
              </w:rPr>
            </w:pPr>
            <w:r w:rsidRPr="006A31EC">
              <w:rPr>
                <w:rFonts w:eastAsia="SimSun"/>
                <w:sz w:val="22"/>
                <w:lang w:val="en-US"/>
              </w:rPr>
              <w:t>-</w:t>
            </w:r>
          </w:p>
        </w:tc>
        <w:tc>
          <w:tcPr>
            <w:tcW w:w="337" w:type="pct"/>
          </w:tcPr>
          <w:p w14:paraId="26098EB4" w14:textId="77777777" w:rsidR="008143D9" w:rsidRPr="006A31EC" w:rsidRDefault="008143D9" w:rsidP="005A428D">
            <w:pPr>
              <w:rPr>
                <w:rFonts w:eastAsia="SimSun"/>
                <w:sz w:val="22"/>
                <w:lang w:val="en-US"/>
              </w:rPr>
            </w:pPr>
          </w:p>
        </w:tc>
      </w:tr>
      <w:tr w:rsidR="008143D9" w:rsidRPr="006A31EC" w14:paraId="3FAA0B12" w14:textId="77777777" w:rsidTr="005A428D">
        <w:trPr>
          <w:cantSplit/>
          <w:trHeight w:val="624"/>
        </w:trPr>
        <w:tc>
          <w:tcPr>
            <w:tcW w:w="293" w:type="pct"/>
            <w:shd w:val="clear" w:color="auto" w:fill="D9D9D9"/>
            <w:vAlign w:val="center"/>
          </w:tcPr>
          <w:p w14:paraId="3DC5DEA9" w14:textId="77777777" w:rsidR="008143D9" w:rsidRPr="006A31EC" w:rsidRDefault="008143D9" w:rsidP="005A428D">
            <w:pPr>
              <w:rPr>
                <w:rFonts w:eastAsia="SimSun"/>
                <w:sz w:val="22"/>
                <w:lang w:val="en-US"/>
              </w:rPr>
            </w:pPr>
            <w:r w:rsidRPr="006A31EC">
              <w:rPr>
                <w:rFonts w:eastAsia="SimSun"/>
                <w:sz w:val="22"/>
                <w:lang w:val="en-US"/>
              </w:rPr>
              <w:t>-</w:t>
            </w:r>
          </w:p>
        </w:tc>
        <w:tc>
          <w:tcPr>
            <w:tcW w:w="284" w:type="pct"/>
            <w:shd w:val="clear" w:color="auto" w:fill="D9D9D9"/>
            <w:vAlign w:val="center"/>
          </w:tcPr>
          <w:p w14:paraId="6AFBC931" w14:textId="77777777" w:rsidR="008143D9" w:rsidRPr="006A31EC" w:rsidRDefault="008143D9" w:rsidP="005A428D">
            <w:pPr>
              <w:rPr>
                <w:rFonts w:eastAsia="SimSun"/>
                <w:sz w:val="22"/>
                <w:lang w:val="en-US"/>
              </w:rPr>
            </w:pPr>
            <w:r w:rsidRPr="006A31EC">
              <w:rPr>
                <w:rFonts w:eastAsia="SimSun"/>
                <w:sz w:val="22"/>
                <w:lang w:val="en-US"/>
              </w:rPr>
              <w:t>Tx</w:t>
            </w:r>
          </w:p>
        </w:tc>
        <w:tc>
          <w:tcPr>
            <w:tcW w:w="261" w:type="pct"/>
            <w:shd w:val="clear" w:color="auto" w:fill="D9D9D9"/>
            <w:vAlign w:val="center"/>
          </w:tcPr>
          <w:p w14:paraId="586247CC" w14:textId="77777777" w:rsidR="008143D9" w:rsidRPr="006A31EC" w:rsidRDefault="008143D9" w:rsidP="005A428D">
            <w:pPr>
              <w:rPr>
                <w:rFonts w:eastAsia="SimSun"/>
                <w:sz w:val="22"/>
                <w:lang w:val="en-US"/>
              </w:rPr>
            </w:pPr>
            <w:r w:rsidRPr="006A31EC">
              <w:rPr>
                <w:rFonts w:eastAsia="SimSun"/>
                <w:sz w:val="22"/>
                <w:lang w:val="en-US"/>
              </w:rPr>
              <w:t>-</w:t>
            </w:r>
          </w:p>
        </w:tc>
        <w:tc>
          <w:tcPr>
            <w:tcW w:w="398" w:type="pct"/>
            <w:shd w:val="clear" w:color="auto" w:fill="D9D9D9"/>
            <w:vAlign w:val="center"/>
          </w:tcPr>
          <w:p w14:paraId="4D6945A2" w14:textId="77777777" w:rsidR="008143D9" w:rsidRPr="006A31EC" w:rsidRDefault="008143D9" w:rsidP="005A428D">
            <w:pPr>
              <w:rPr>
                <w:rFonts w:eastAsia="SimSun"/>
                <w:sz w:val="22"/>
                <w:lang w:val="en-US"/>
              </w:rPr>
            </w:pPr>
            <w:r w:rsidRPr="006A31EC">
              <w:rPr>
                <w:rFonts w:eastAsia="SimSun"/>
                <w:sz w:val="22"/>
                <w:lang w:val="en-US"/>
              </w:rPr>
              <w:t>MMF30</w:t>
            </w:r>
          </w:p>
        </w:tc>
        <w:tc>
          <w:tcPr>
            <w:tcW w:w="337" w:type="pct"/>
            <w:shd w:val="clear" w:color="auto" w:fill="auto"/>
            <w:vAlign w:val="center"/>
          </w:tcPr>
          <w:p w14:paraId="5AA1409A" w14:textId="77777777" w:rsidR="008143D9" w:rsidRPr="006A31EC" w:rsidRDefault="008143D9" w:rsidP="005A428D">
            <w:pPr>
              <w:rPr>
                <w:sz w:val="22"/>
              </w:rPr>
            </w:pPr>
            <w:r w:rsidRPr="006A31EC">
              <w:rPr>
                <w:rFonts w:eastAsia="SimSun"/>
                <w:sz w:val="22"/>
                <w:lang w:val="en-US"/>
              </w:rPr>
              <w:t>-</w:t>
            </w:r>
          </w:p>
        </w:tc>
        <w:tc>
          <w:tcPr>
            <w:tcW w:w="312" w:type="pct"/>
          </w:tcPr>
          <w:p w14:paraId="77382B3C" w14:textId="77777777" w:rsidR="008143D9" w:rsidRPr="006A31EC" w:rsidRDefault="008143D9" w:rsidP="005A428D">
            <w:pPr>
              <w:rPr>
                <w:rFonts w:eastAsia="SimSun"/>
                <w:sz w:val="22"/>
                <w:lang w:val="en-US"/>
              </w:rPr>
            </w:pPr>
          </w:p>
        </w:tc>
        <w:tc>
          <w:tcPr>
            <w:tcW w:w="337" w:type="pct"/>
            <w:shd w:val="clear" w:color="auto" w:fill="auto"/>
            <w:vAlign w:val="center"/>
          </w:tcPr>
          <w:p w14:paraId="40DF8E17" w14:textId="77777777" w:rsidR="008143D9" w:rsidRPr="006A31EC" w:rsidRDefault="008143D9" w:rsidP="005A428D">
            <w:pPr>
              <w:rPr>
                <w:sz w:val="22"/>
              </w:rPr>
            </w:pPr>
            <w:r w:rsidRPr="006A31EC">
              <w:rPr>
                <w:rFonts w:eastAsia="SimSun"/>
                <w:sz w:val="22"/>
                <w:lang w:val="en-US"/>
              </w:rPr>
              <w:t>-</w:t>
            </w:r>
          </w:p>
        </w:tc>
        <w:tc>
          <w:tcPr>
            <w:tcW w:w="295" w:type="pct"/>
            <w:shd w:val="clear" w:color="auto" w:fill="auto"/>
            <w:vAlign w:val="center"/>
          </w:tcPr>
          <w:p w14:paraId="5B5AD468" w14:textId="77777777" w:rsidR="008143D9" w:rsidRPr="006A31EC" w:rsidRDefault="008143D9" w:rsidP="005A428D">
            <w:pPr>
              <w:rPr>
                <w:sz w:val="22"/>
              </w:rPr>
            </w:pPr>
            <w:r w:rsidRPr="006A31EC">
              <w:rPr>
                <w:rFonts w:eastAsia="SimSun"/>
                <w:sz w:val="22"/>
                <w:lang w:val="en-US"/>
              </w:rPr>
              <w:t>-</w:t>
            </w:r>
          </w:p>
        </w:tc>
        <w:tc>
          <w:tcPr>
            <w:tcW w:w="295" w:type="pct"/>
            <w:shd w:val="clear" w:color="auto" w:fill="auto"/>
            <w:vAlign w:val="center"/>
          </w:tcPr>
          <w:p w14:paraId="469381A2" w14:textId="77777777" w:rsidR="008143D9" w:rsidRPr="006A31EC" w:rsidRDefault="008143D9" w:rsidP="005A428D">
            <w:pPr>
              <w:rPr>
                <w:sz w:val="22"/>
              </w:rPr>
            </w:pPr>
            <w:r w:rsidRPr="006A31EC">
              <w:rPr>
                <w:rFonts w:eastAsia="SimSun"/>
                <w:sz w:val="22"/>
                <w:lang w:val="en-US"/>
              </w:rPr>
              <w:t>-</w:t>
            </w:r>
          </w:p>
        </w:tc>
        <w:tc>
          <w:tcPr>
            <w:tcW w:w="337" w:type="pct"/>
            <w:shd w:val="clear" w:color="auto" w:fill="auto"/>
            <w:vAlign w:val="center"/>
          </w:tcPr>
          <w:p w14:paraId="23E0F440" w14:textId="77777777" w:rsidR="008143D9" w:rsidRPr="006A31EC" w:rsidRDefault="008143D9" w:rsidP="005A428D">
            <w:pPr>
              <w:rPr>
                <w:sz w:val="22"/>
              </w:rPr>
            </w:pPr>
            <w:r w:rsidRPr="006A31EC">
              <w:rPr>
                <w:rFonts w:eastAsia="SimSun"/>
                <w:sz w:val="22"/>
                <w:lang w:val="en-US"/>
              </w:rPr>
              <w:t>-</w:t>
            </w:r>
          </w:p>
        </w:tc>
        <w:tc>
          <w:tcPr>
            <w:tcW w:w="337" w:type="pct"/>
            <w:shd w:val="clear" w:color="auto" w:fill="auto"/>
            <w:vAlign w:val="center"/>
          </w:tcPr>
          <w:p w14:paraId="08071145" w14:textId="77777777" w:rsidR="008143D9" w:rsidRPr="006A31EC" w:rsidRDefault="008143D9" w:rsidP="005A428D">
            <w:pPr>
              <w:rPr>
                <w:sz w:val="22"/>
              </w:rPr>
            </w:pPr>
            <w:r w:rsidRPr="006A31EC">
              <w:rPr>
                <w:rFonts w:eastAsia="SimSun"/>
                <w:sz w:val="22"/>
                <w:lang w:val="en-US"/>
              </w:rPr>
              <w:t>-</w:t>
            </w:r>
          </w:p>
        </w:tc>
        <w:tc>
          <w:tcPr>
            <w:tcW w:w="401" w:type="pct"/>
            <w:shd w:val="clear" w:color="auto" w:fill="auto"/>
            <w:vAlign w:val="center"/>
          </w:tcPr>
          <w:p w14:paraId="122E4BA0" w14:textId="77777777" w:rsidR="008143D9" w:rsidRPr="006A31EC" w:rsidRDefault="008143D9" w:rsidP="005A428D">
            <w:pPr>
              <w:rPr>
                <w:rFonts w:eastAsia="SimSun"/>
                <w:sz w:val="22"/>
                <w:lang w:val="en-US"/>
              </w:rPr>
            </w:pPr>
            <w:r w:rsidRPr="006A31EC">
              <w:rPr>
                <w:rFonts w:eastAsia="SimSun"/>
                <w:sz w:val="22"/>
                <w:lang w:val="en-US"/>
              </w:rPr>
              <w:t>5.1.2.10</w:t>
            </w:r>
          </w:p>
        </w:tc>
        <w:tc>
          <w:tcPr>
            <w:tcW w:w="442" w:type="pct"/>
            <w:shd w:val="clear" w:color="auto" w:fill="auto"/>
            <w:vAlign w:val="center"/>
          </w:tcPr>
          <w:p w14:paraId="1517FE83" w14:textId="77777777" w:rsidR="008143D9" w:rsidRPr="006A31EC" w:rsidRDefault="008143D9" w:rsidP="005A428D">
            <w:pPr>
              <w:rPr>
                <w:rFonts w:eastAsia="SimSun"/>
                <w:sz w:val="22"/>
                <w:lang w:val="en-US"/>
              </w:rPr>
            </w:pPr>
          </w:p>
        </w:tc>
        <w:tc>
          <w:tcPr>
            <w:tcW w:w="337" w:type="pct"/>
            <w:shd w:val="clear" w:color="auto" w:fill="auto"/>
            <w:vAlign w:val="center"/>
          </w:tcPr>
          <w:p w14:paraId="548BA2B5" w14:textId="77777777" w:rsidR="008143D9" w:rsidRPr="006A31EC" w:rsidRDefault="008143D9" w:rsidP="005A428D">
            <w:pPr>
              <w:rPr>
                <w:sz w:val="22"/>
              </w:rPr>
            </w:pPr>
            <w:r w:rsidRPr="006A31EC">
              <w:rPr>
                <w:rFonts w:eastAsia="SimSun"/>
                <w:sz w:val="22"/>
                <w:lang w:val="en-US"/>
              </w:rPr>
              <w:t>-</w:t>
            </w:r>
          </w:p>
        </w:tc>
        <w:tc>
          <w:tcPr>
            <w:tcW w:w="337" w:type="pct"/>
          </w:tcPr>
          <w:p w14:paraId="0BEDDFA9" w14:textId="77777777" w:rsidR="008143D9" w:rsidRPr="006A31EC" w:rsidRDefault="008143D9" w:rsidP="005A428D">
            <w:pPr>
              <w:rPr>
                <w:rFonts w:eastAsia="SimSun"/>
                <w:sz w:val="22"/>
                <w:lang w:val="en-US"/>
              </w:rPr>
            </w:pPr>
          </w:p>
        </w:tc>
      </w:tr>
    </w:tbl>
    <w:p w14:paraId="79777F9C" w14:textId="77777777" w:rsidR="008143D9" w:rsidRPr="00C07B2E" w:rsidRDefault="008143D9" w:rsidP="008143D9">
      <w:pPr>
        <w:rPr>
          <w:rFonts w:eastAsia="SimSun"/>
        </w:rPr>
        <w:sectPr w:rsidR="008143D9" w:rsidRPr="00C07B2E" w:rsidSect="00980822">
          <w:type w:val="continuous"/>
          <w:pgSz w:w="16839" w:h="11907" w:orient="landscape" w:code="9"/>
          <w:pgMar w:top="1134" w:right="850" w:bottom="1134" w:left="1701" w:header="709" w:footer="567" w:gutter="0"/>
          <w:cols w:space="708"/>
          <w:docGrid w:linePitch="360"/>
        </w:sectPr>
      </w:pPr>
    </w:p>
    <w:p w14:paraId="78678E36" w14:textId="77777777" w:rsidR="008143D9" w:rsidRPr="00C07B2E" w:rsidRDefault="008143D9" w:rsidP="008143D9">
      <w:pPr>
        <w:rPr>
          <w:rFonts w:eastAsia="SimSun"/>
        </w:rPr>
      </w:pPr>
    </w:p>
    <w:p w14:paraId="37C7A847" w14:textId="77777777" w:rsidR="008143D9" w:rsidRPr="00C07B2E" w:rsidRDefault="008143D9" w:rsidP="008143D9">
      <w:pPr>
        <w:rPr>
          <w:rFonts w:eastAsia="SimSun"/>
        </w:rPr>
      </w:pPr>
      <w:bookmarkStart w:id="123" w:name="_Toc44401159"/>
      <w:r w:rsidRPr="00042499">
        <w:rPr>
          <w:rFonts w:eastAsia="SimSun"/>
        </w:rPr>
        <w:t>Таблица</w:t>
      </w:r>
      <w:r w:rsidRPr="00C07B2E">
        <w:rPr>
          <w:rFonts w:eastAsia="SimSun"/>
        </w:rPr>
        <w:t xml:space="preserve"> </w:t>
      </w:r>
      <w:r>
        <w:rPr>
          <w:rFonts w:eastAsia="SimSun"/>
        </w:rPr>
        <w:t>5.</w:t>
      </w:r>
      <w:r w:rsidRPr="00C07B2E">
        <w:rPr>
          <w:rFonts w:eastAsia="SimSun"/>
        </w:rPr>
        <w:t>1.2.1  – Flu150+Bu8+Thio / hATG+CSA+MTX+MMF30</w:t>
      </w:r>
      <w:bookmarkEnd w:id="123"/>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8143D9" w:rsidRPr="00AC3044" w14:paraId="622BE912" w14:textId="77777777" w:rsidTr="005A428D">
        <w:trPr>
          <w:cantSplit/>
          <w:trHeight w:val="20"/>
          <w:tblHeader/>
        </w:trPr>
        <w:tc>
          <w:tcPr>
            <w:tcW w:w="993" w:type="dxa"/>
          </w:tcPr>
          <w:p w14:paraId="018F6C9C" w14:textId="77777777" w:rsidR="008143D9" w:rsidRPr="00470D3D" w:rsidRDefault="008143D9" w:rsidP="005A428D">
            <w:pPr>
              <w:rPr>
                <w:rFonts w:eastAsia="SimSun"/>
              </w:rPr>
            </w:pPr>
          </w:p>
        </w:tc>
        <w:tc>
          <w:tcPr>
            <w:tcW w:w="1843" w:type="dxa"/>
            <w:vAlign w:val="center"/>
          </w:tcPr>
          <w:p w14:paraId="764654B7" w14:textId="77777777" w:rsidR="008143D9" w:rsidRPr="00AC3044" w:rsidRDefault="008143D9" w:rsidP="005A428D">
            <w:pPr>
              <w:rPr>
                <w:rFonts w:eastAsia="SimSun"/>
              </w:rPr>
            </w:pPr>
            <w:r w:rsidRPr="00AC3044">
              <w:rPr>
                <w:rFonts w:eastAsia="SimSun"/>
              </w:rPr>
              <w:t>Препарат</w:t>
            </w:r>
          </w:p>
        </w:tc>
        <w:tc>
          <w:tcPr>
            <w:tcW w:w="1417" w:type="dxa"/>
            <w:vAlign w:val="center"/>
          </w:tcPr>
          <w:p w14:paraId="032CEB98" w14:textId="77777777" w:rsidR="008143D9" w:rsidRPr="00AC3044" w:rsidRDefault="008143D9" w:rsidP="005A428D">
            <w:pPr>
              <w:rPr>
                <w:rFonts w:eastAsia="SimSun"/>
              </w:rPr>
            </w:pPr>
            <w:r w:rsidRPr="00AC3044">
              <w:rPr>
                <w:rFonts w:eastAsia="SimSun"/>
              </w:rPr>
              <w:t>Суточная доза</w:t>
            </w:r>
          </w:p>
        </w:tc>
        <w:tc>
          <w:tcPr>
            <w:tcW w:w="1418" w:type="dxa"/>
            <w:vAlign w:val="center"/>
          </w:tcPr>
          <w:p w14:paraId="6D56CFA7" w14:textId="77777777" w:rsidR="008143D9" w:rsidRPr="00AC3044" w:rsidRDefault="008143D9" w:rsidP="005A428D">
            <w:pPr>
              <w:rPr>
                <w:rFonts w:eastAsia="SimSun"/>
              </w:rPr>
            </w:pPr>
            <w:r w:rsidRPr="00AC3044">
              <w:rPr>
                <w:rFonts w:eastAsia="SimSun"/>
              </w:rPr>
              <w:t>Курсовая доза</w:t>
            </w:r>
          </w:p>
        </w:tc>
        <w:tc>
          <w:tcPr>
            <w:tcW w:w="1701" w:type="dxa"/>
            <w:vAlign w:val="center"/>
          </w:tcPr>
          <w:p w14:paraId="366924AB" w14:textId="77777777" w:rsidR="008143D9" w:rsidRPr="00AC3044" w:rsidRDefault="008143D9" w:rsidP="005A428D">
            <w:pPr>
              <w:rPr>
                <w:rFonts w:eastAsia="SimSun"/>
              </w:rPr>
            </w:pPr>
            <w:r w:rsidRPr="00AC3044">
              <w:rPr>
                <w:rFonts w:eastAsia="SimSun"/>
              </w:rPr>
              <w:t>Дни введения</w:t>
            </w:r>
          </w:p>
        </w:tc>
        <w:tc>
          <w:tcPr>
            <w:tcW w:w="2268" w:type="dxa"/>
            <w:vAlign w:val="center"/>
          </w:tcPr>
          <w:p w14:paraId="7AB08D5C"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66A3EE0F" w14:textId="77777777" w:rsidTr="005A428D">
        <w:trPr>
          <w:cantSplit/>
          <w:trHeight w:val="20"/>
        </w:trPr>
        <w:tc>
          <w:tcPr>
            <w:tcW w:w="993" w:type="dxa"/>
            <w:vMerge w:val="restart"/>
            <w:textDirection w:val="btLr"/>
            <w:vAlign w:val="center"/>
          </w:tcPr>
          <w:p w14:paraId="4999520C" w14:textId="77777777" w:rsidR="008143D9" w:rsidRPr="00AC3044" w:rsidRDefault="008143D9" w:rsidP="005A428D">
            <w:pPr>
              <w:rPr>
                <w:rFonts w:eastAsia="SimSun"/>
              </w:rPr>
            </w:pPr>
            <w:r w:rsidRPr="00AC3044">
              <w:rPr>
                <w:rFonts w:eastAsia="SimSun"/>
              </w:rPr>
              <w:t>Кондиционирование</w:t>
            </w:r>
          </w:p>
        </w:tc>
        <w:tc>
          <w:tcPr>
            <w:tcW w:w="1843" w:type="dxa"/>
            <w:vAlign w:val="center"/>
          </w:tcPr>
          <w:p w14:paraId="19ED6F87" w14:textId="77777777" w:rsidR="008143D9" w:rsidRPr="00AC3044" w:rsidRDefault="008143D9" w:rsidP="005A428D">
            <w:pPr>
              <w:rPr>
                <w:rFonts w:eastAsia="SimSun"/>
              </w:rPr>
            </w:pPr>
            <w:r w:rsidRPr="00AC3044">
              <w:rPr>
                <w:rFonts w:eastAsia="SimSun"/>
              </w:rPr>
              <w:t xml:space="preserve">Флударабин </w:t>
            </w:r>
          </w:p>
        </w:tc>
        <w:tc>
          <w:tcPr>
            <w:tcW w:w="1417" w:type="dxa"/>
            <w:vAlign w:val="center"/>
          </w:tcPr>
          <w:p w14:paraId="44DC475D" w14:textId="77777777" w:rsidR="008143D9" w:rsidRPr="00AC3044" w:rsidRDefault="008143D9" w:rsidP="005A428D">
            <w:pPr>
              <w:rPr>
                <w:rFonts w:eastAsia="SimSun"/>
              </w:rPr>
            </w:pPr>
            <w:r w:rsidRPr="00AC3044">
              <w:rPr>
                <w:rFonts w:eastAsia="SimSun"/>
              </w:rPr>
              <w:t>50 мг/м</w:t>
            </w:r>
            <w:r w:rsidRPr="005659AA">
              <w:rPr>
                <w:rFonts w:eastAsia="SimSun"/>
                <w:vertAlign w:val="superscript"/>
              </w:rPr>
              <w:t>2</w:t>
            </w:r>
          </w:p>
        </w:tc>
        <w:tc>
          <w:tcPr>
            <w:tcW w:w="1418" w:type="dxa"/>
            <w:vAlign w:val="center"/>
          </w:tcPr>
          <w:p w14:paraId="51AA92E6" w14:textId="77777777" w:rsidR="008143D9" w:rsidRPr="00AC3044" w:rsidRDefault="008143D9" w:rsidP="005A428D">
            <w:pPr>
              <w:rPr>
                <w:rFonts w:eastAsia="SimSun"/>
              </w:rPr>
            </w:pPr>
            <w:r w:rsidRPr="00AC3044">
              <w:rPr>
                <w:rFonts w:eastAsia="SimSun"/>
              </w:rPr>
              <w:t>150 мг/м</w:t>
            </w:r>
            <w:r w:rsidRPr="005659AA">
              <w:rPr>
                <w:rFonts w:eastAsia="SimSun"/>
                <w:vertAlign w:val="superscript"/>
              </w:rPr>
              <w:t>2</w:t>
            </w:r>
          </w:p>
        </w:tc>
        <w:tc>
          <w:tcPr>
            <w:tcW w:w="1701" w:type="dxa"/>
            <w:vAlign w:val="center"/>
          </w:tcPr>
          <w:p w14:paraId="17D272C6" w14:textId="77777777" w:rsidR="008143D9" w:rsidRPr="00AC3044" w:rsidRDefault="008143D9" w:rsidP="005A428D">
            <w:pPr>
              <w:rPr>
                <w:rFonts w:eastAsia="SimSun"/>
              </w:rPr>
            </w:pPr>
            <w:r w:rsidRPr="00AC3044">
              <w:rPr>
                <w:rFonts w:eastAsia="SimSun"/>
              </w:rPr>
              <w:t>С –4 по –2 день</w:t>
            </w:r>
          </w:p>
        </w:tc>
        <w:tc>
          <w:tcPr>
            <w:tcW w:w="2268" w:type="dxa"/>
            <w:vAlign w:val="center"/>
          </w:tcPr>
          <w:p w14:paraId="7F89DB03"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5B25E179" w14:textId="77777777" w:rsidTr="005A428D">
        <w:trPr>
          <w:cantSplit/>
          <w:trHeight w:val="731"/>
        </w:trPr>
        <w:tc>
          <w:tcPr>
            <w:tcW w:w="993" w:type="dxa"/>
            <w:vMerge/>
            <w:textDirection w:val="btLr"/>
            <w:vAlign w:val="center"/>
          </w:tcPr>
          <w:p w14:paraId="39F0ABE9" w14:textId="77777777" w:rsidR="008143D9" w:rsidRPr="00AC3044" w:rsidRDefault="008143D9" w:rsidP="005A428D">
            <w:pPr>
              <w:rPr>
                <w:rFonts w:eastAsia="SimSun"/>
              </w:rPr>
            </w:pPr>
          </w:p>
        </w:tc>
        <w:tc>
          <w:tcPr>
            <w:tcW w:w="1843" w:type="dxa"/>
            <w:vAlign w:val="center"/>
          </w:tcPr>
          <w:p w14:paraId="60FFEA27" w14:textId="77777777" w:rsidR="008143D9" w:rsidRPr="00AC3044" w:rsidRDefault="008143D9" w:rsidP="005A428D">
            <w:pPr>
              <w:rPr>
                <w:rFonts w:eastAsia="SimSun"/>
              </w:rPr>
            </w:pPr>
            <w:r w:rsidRPr="00AC3044">
              <w:rPr>
                <w:rFonts w:eastAsia="SimSun"/>
              </w:rPr>
              <w:t>Бусульфан</w:t>
            </w:r>
          </w:p>
        </w:tc>
        <w:tc>
          <w:tcPr>
            <w:tcW w:w="1417" w:type="dxa"/>
            <w:vAlign w:val="center"/>
          </w:tcPr>
          <w:p w14:paraId="54C6B235" w14:textId="77777777" w:rsidR="008143D9" w:rsidRPr="00AC3044" w:rsidRDefault="008143D9" w:rsidP="005A428D">
            <w:pPr>
              <w:rPr>
                <w:rFonts w:eastAsia="SimSun"/>
              </w:rPr>
            </w:pPr>
            <w:r w:rsidRPr="00AC3044">
              <w:rPr>
                <w:rFonts w:eastAsia="SimSun"/>
              </w:rPr>
              <w:t>4 мг/кг</w:t>
            </w:r>
          </w:p>
        </w:tc>
        <w:tc>
          <w:tcPr>
            <w:tcW w:w="1418" w:type="dxa"/>
            <w:vAlign w:val="center"/>
          </w:tcPr>
          <w:p w14:paraId="65AF8580" w14:textId="77777777" w:rsidR="008143D9" w:rsidRPr="00AC3044" w:rsidRDefault="008143D9" w:rsidP="005A428D">
            <w:pPr>
              <w:rPr>
                <w:rFonts w:eastAsia="SimSun"/>
              </w:rPr>
            </w:pPr>
            <w:r w:rsidRPr="00AC3044">
              <w:rPr>
                <w:rFonts w:eastAsia="SimSun"/>
              </w:rPr>
              <w:t>8 мг/кг</w:t>
            </w:r>
          </w:p>
        </w:tc>
        <w:tc>
          <w:tcPr>
            <w:tcW w:w="1701" w:type="dxa"/>
            <w:vAlign w:val="center"/>
          </w:tcPr>
          <w:p w14:paraId="19A16F12" w14:textId="77777777" w:rsidR="008143D9" w:rsidRPr="00AC3044" w:rsidRDefault="008143D9" w:rsidP="005A428D">
            <w:pPr>
              <w:rPr>
                <w:rFonts w:eastAsia="SimSun"/>
              </w:rPr>
            </w:pPr>
            <w:r w:rsidRPr="00AC3044">
              <w:rPr>
                <w:rFonts w:eastAsia="SimSun"/>
              </w:rPr>
              <w:t>–3, –2 дни</w:t>
            </w:r>
          </w:p>
        </w:tc>
        <w:tc>
          <w:tcPr>
            <w:tcW w:w="2268" w:type="dxa"/>
            <w:vAlign w:val="center"/>
          </w:tcPr>
          <w:p w14:paraId="612ECAC5" w14:textId="77777777" w:rsidR="008143D9" w:rsidRPr="00AC3044" w:rsidRDefault="008143D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8143D9" w:rsidRPr="00AC3044" w14:paraId="54F2FDC4" w14:textId="77777777" w:rsidTr="005A428D">
        <w:trPr>
          <w:cantSplit/>
          <w:trHeight w:val="700"/>
        </w:trPr>
        <w:tc>
          <w:tcPr>
            <w:tcW w:w="993" w:type="dxa"/>
            <w:vMerge/>
            <w:textDirection w:val="btLr"/>
            <w:vAlign w:val="center"/>
          </w:tcPr>
          <w:p w14:paraId="5747CD1A" w14:textId="77777777" w:rsidR="008143D9" w:rsidRPr="00AC3044" w:rsidRDefault="008143D9" w:rsidP="005A428D">
            <w:pPr>
              <w:rPr>
                <w:rFonts w:eastAsia="SimSun"/>
              </w:rPr>
            </w:pPr>
          </w:p>
        </w:tc>
        <w:tc>
          <w:tcPr>
            <w:tcW w:w="1843" w:type="dxa"/>
            <w:vAlign w:val="center"/>
          </w:tcPr>
          <w:p w14:paraId="789438BB" w14:textId="77777777" w:rsidR="008143D9" w:rsidRPr="00AC3044" w:rsidRDefault="008143D9" w:rsidP="005A428D">
            <w:pPr>
              <w:rPr>
                <w:rFonts w:eastAsia="SimSun"/>
              </w:rPr>
            </w:pPr>
            <w:r w:rsidRPr="00AC3044">
              <w:rPr>
                <w:rFonts w:eastAsia="SimSun"/>
              </w:rPr>
              <w:t>Тиотепа</w:t>
            </w:r>
          </w:p>
        </w:tc>
        <w:tc>
          <w:tcPr>
            <w:tcW w:w="1417" w:type="dxa"/>
            <w:vAlign w:val="center"/>
          </w:tcPr>
          <w:p w14:paraId="6951596A" w14:textId="77777777" w:rsidR="008143D9" w:rsidRPr="00AC3044" w:rsidRDefault="008143D9" w:rsidP="005A428D">
            <w:pPr>
              <w:rPr>
                <w:rFonts w:eastAsia="SimSun"/>
              </w:rPr>
            </w:pPr>
            <w:r w:rsidRPr="00AC3044">
              <w:rPr>
                <w:rFonts w:eastAsia="SimSun"/>
              </w:rPr>
              <w:t>5 мг/кг</w:t>
            </w:r>
          </w:p>
        </w:tc>
        <w:tc>
          <w:tcPr>
            <w:tcW w:w="1418" w:type="dxa"/>
            <w:vAlign w:val="center"/>
          </w:tcPr>
          <w:p w14:paraId="70E01E88" w14:textId="77777777" w:rsidR="008143D9" w:rsidRPr="00AC3044" w:rsidRDefault="008143D9" w:rsidP="005A428D">
            <w:pPr>
              <w:rPr>
                <w:rFonts w:eastAsia="SimSun"/>
              </w:rPr>
            </w:pPr>
            <w:r w:rsidRPr="00AC3044">
              <w:rPr>
                <w:rFonts w:eastAsia="SimSun"/>
              </w:rPr>
              <w:t>10 мг/кг</w:t>
            </w:r>
          </w:p>
        </w:tc>
        <w:tc>
          <w:tcPr>
            <w:tcW w:w="1701" w:type="dxa"/>
            <w:vAlign w:val="center"/>
          </w:tcPr>
          <w:p w14:paraId="61003E3E" w14:textId="77777777" w:rsidR="008143D9" w:rsidRPr="00AC3044" w:rsidRDefault="008143D9" w:rsidP="005A428D">
            <w:pPr>
              <w:rPr>
                <w:rFonts w:eastAsia="SimSun"/>
              </w:rPr>
            </w:pPr>
            <w:r w:rsidRPr="00AC3044">
              <w:rPr>
                <w:rFonts w:eastAsia="SimSun"/>
              </w:rPr>
              <w:t>-6,-5 дни</w:t>
            </w:r>
          </w:p>
        </w:tc>
        <w:tc>
          <w:tcPr>
            <w:tcW w:w="2268" w:type="dxa"/>
            <w:vAlign w:val="center"/>
          </w:tcPr>
          <w:p w14:paraId="6160ADA8" w14:textId="77777777" w:rsidR="008143D9" w:rsidRPr="00AC3044" w:rsidRDefault="008143D9" w:rsidP="005A428D">
            <w:pPr>
              <w:rPr>
                <w:rFonts w:eastAsia="SimSun"/>
              </w:rPr>
            </w:pPr>
            <w:r w:rsidRPr="00AC3044">
              <w:rPr>
                <w:rFonts w:eastAsia="SimSun"/>
              </w:rPr>
              <w:t>В/в, в течение 2 ч</w:t>
            </w:r>
          </w:p>
        </w:tc>
      </w:tr>
      <w:tr w:rsidR="008143D9" w:rsidRPr="00AC3044" w14:paraId="68E0E004" w14:textId="77777777" w:rsidTr="005A428D">
        <w:trPr>
          <w:cantSplit/>
          <w:trHeight w:val="20"/>
        </w:trPr>
        <w:tc>
          <w:tcPr>
            <w:tcW w:w="993" w:type="dxa"/>
            <w:vMerge w:val="restart"/>
            <w:textDirection w:val="btLr"/>
          </w:tcPr>
          <w:p w14:paraId="08FE2C16" w14:textId="77777777" w:rsidR="008143D9" w:rsidRPr="00AC3044" w:rsidRDefault="008143D9" w:rsidP="005A428D">
            <w:pPr>
              <w:rPr>
                <w:rFonts w:eastAsia="SimSun"/>
              </w:rPr>
            </w:pPr>
            <w:r w:rsidRPr="00AC3044">
              <w:rPr>
                <w:rFonts w:eastAsia="SimSun"/>
              </w:rPr>
              <w:t>Профилактика РТПХ</w:t>
            </w:r>
          </w:p>
        </w:tc>
        <w:tc>
          <w:tcPr>
            <w:tcW w:w="1843" w:type="dxa"/>
            <w:vAlign w:val="center"/>
          </w:tcPr>
          <w:p w14:paraId="19EE0057" w14:textId="77777777" w:rsidR="008143D9" w:rsidRPr="00AC3044" w:rsidRDefault="008143D9" w:rsidP="005A428D">
            <w:pPr>
              <w:rPr>
                <w:rFonts w:eastAsia="SimSun"/>
              </w:rPr>
            </w:pPr>
            <w:r w:rsidRPr="00AC3044">
              <w:rPr>
                <w:rFonts w:eastAsia="SimSun"/>
              </w:rPr>
              <w:t>АТГ (лошадиный)</w:t>
            </w:r>
          </w:p>
        </w:tc>
        <w:tc>
          <w:tcPr>
            <w:tcW w:w="1417" w:type="dxa"/>
            <w:vAlign w:val="center"/>
          </w:tcPr>
          <w:p w14:paraId="5A8FD3DC" w14:textId="77777777" w:rsidR="008143D9" w:rsidRPr="00AC3044" w:rsidRDefault="008143D9" w:rsidP="005A428D">
            <w:pPr>
              <w:rPr>
                <w:rFonts w:eastAsia="SimSun"/>
              </w:rPr>
            </w:pPr>
            <w:r w:rsidRPr="00AC3044">
              <w:rPr>
                <w:rFonts w:eastAsia="SimSun"/>
              </w:rPr>
              <w:t>10-15 мг/кг</w:t>
            </w:r>
          </w:p>
        </w:tc>
        <w:tc>
          <w:tcPr>
            <w:tcW w:w="1418" w:type="dxa"/>
            <w:vAlign w:val="center"/>
          </w:tcPr>
          <w:p w14:paraId="5ABF78FC" w14:textId="77777777" w:rsidR="008143D9" w:rsidRPr="00AC3044" w:rsidRDefault="008143D9" w:rsidP="005A428D">
            <w:pPr>
              <w:rPr>
                <w:rFonts w:eastAsia="SimSun"/>
              </w:rPr>
            </w:pPr>
            <w:r w:rsidRPr="00AC3044">
              <w:rPr>
                <w:rFonts w:eastAsia="SimSun"/>
              </w:rPr>
              <w:t>40-60 мг/кг</w:t>
            </w:r>
          </w:p>
        </w:tc>
        <w:tc>
          <w:tcPr>
            <w:tcW w:w="1701" w:type="dxa"/>
            <w:vAlign w:val="center"/>
          </w:tcPr>
          <w:p w14:paraId="7E91421F" w14:textId="77777777" w:rsidR="008143D9" w:rsidRPr="00AC3044" w:rsidRDefault="008143D9" w:rsidP="005A428D">
            <w:pPr>
              <w:rPr>
                <w:rFonts w:eastAsia="SimSun"/>
              </w:rPr>
            </w:pPr>
            <w:r w:rsidRPr="00AC3044">
              <w:rPr>
                <w:rFonts w:eastAsia="SimSun"/>
              </w:rPr>
              <w:t>С –4 по –1 день</w:t>
            </w:r>
          </w:p>
        </w:tc>
        <w:tc>
          <w:tcPr>
            <w:tcW w:w="2268" w:type="dxa"/>
            <w:vAlign w:val="center"/>
          </w:tcPr>
          <w:p w14:paraId="25A292A7" w14:textId="77777777" w:rsidR="008143D9" w:rsidRPr="00AC3044" w:rsidRDefault="008143D9" w:rsidP="005A428D">
            <w:pPr>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 xml:space="preserve"> «Инфузия АТГ») </w:t>
            </w:r>
          </w:p>
        </w:tc>
      </w:tr>
      <w:tr w:rsidR="008143D9" w:rsidRPr="00AC3044" w14:paraId="632EF6E9" w14:textId="77777777" w:rsidTr="005A428D">
        <w:trPr>
          <w:cantSplit/>
          <w:trHeight w:val="20"/>
        </w:trPr>
        <w:tc>
          <w:tcPr>
            <w:tcW w:w="993" w:type="dxa"/>
            <w:vMerge/>
            <w:textDirection w:val="btLr"/>
          </w:tcPr>
          <w:p w14:paraId="15FEE102" w14:textId="77777777" w:rsidR="008143D9" w:rsidRPr="00AC3044" w:rsidRDefault="008143D9" w:rsidP="005A428D">
            <w:pPr>
              <w:rPr>
                <w:rFonts w:eastAsia="SimSun"/>
              </w:rPr>
            </w:pPr>
          </w:p>
        </w:tc>
        <w:tc>
          <w:tcPr>
            <w:tcW w:w="1843" w:type="dxa"/>
            <w:vAlign w:val="center"/>
          </w:tcPr>
          <w:p w14:paraId="6E0ABE40" w14:textId="77777777" w:rsidR="008143D9" w:rsidRPr="00AC3044" w:rsidRDefault="008143D9" w:rsidP="005A428D">
            <w:pPr>
              <w:rPr>
                <w:rFonts w:eastAsia="SimSun"/>
              </w:rPr>
            </w:pPr>
            <w:r w:rsidRPr="00AC3044">
              <w:rPr>
                <w:rFonts w:eastAsia="SimSun"/>
              </w:rPr>
              <w:t>Циклоспорин</w:t>
            </w:r>
          </w:p>
        </w:tc>
        <w:tc>
          <w:tcPr>
            <w:tcW w:w="1417" w:type="dxa"/>
            <w:vAlign w:val="center"/>
          </w:tcPr>
          <w:p w14:paraId="2D3183C1" w14:textId="77777777" w:rsidR="008143D9" w:rsidRPr="00AC3044" w:rsidRDefault="008143D9" w:rsidP="005A428D">
            <w:pPr>
              <w:rPr>
                <w:rFonts w:eastAsia="SimSun"/>
              </w:rPr>
            </w:pPr>
            <w:r w:rsidRPr="00AC3044">
              <w:rPr>
                <w:rFonts w:eastAsia="SimSun"/>
              </w:rPr>
              <w:t>3 мг/кг</w:t>
            </w:r>
          </w:p>
        </w:tc>
        <w:tc>
          <w:tcPr>
            <w:tcW w:w="1418" w:type="dxa"/>
            <w:vAlign w:val="center"/>
          </w:tcPr>
          <w:p w14:paraId="5F98492B" w14:textId="77777777" w:rsidR="008143D9" w:rsidRPr="00AC3044" w:rsidRDefault="008143D9" w:rsidP="005A428D">
            <w:pPr>
              <w:rPr>
                <w:rFonts w:eastAsia="SimSun"/>
              </w:rPr>
            </w:pPr>
            <w:r w:rsidRPr="00AC3044">
              <w:rPr>
                <w:rFonts w:eastAsia="SimSun"/>
              </w:rPr>
              <w:t>–</w:t>
            </w:r>
          </w:p>
        </w:tc>
        <w:tc>
          <w:tcPr>
            <w:tcW w:w="1701" w:type="dxa"/>
            <w:vAlign w:val="center"/>
          </w:tcPr>
          <w:p w14:paraId="703BF074" w14:textId="77777777" w:rsidR="008143D9" w:rsidRPr="00AC3044" w:rsidRDefault="008143D9" w:rsidP="005A428D">
            <w:pPr>
              <w:rPr>
                <w:rFonts w:eastAsia="SimSun"/>
              </w:rPr>
            </w:pPr>
            <w:r w:rsidRPr="00AC3044">
              <w:rPr>
                <w:rFonts w:eastAsia="SimSun"/>
              </w:rPr>
              <w:t>С –1 дня по +90 день, затем постепенное снижение к +180 дню</w:t>
            </w:r>
          </w:p>
        </w:tc>
        <w:tc>
          <w:tcPr>
            <w:tcW w:w="2268" w:type="dxa"/>
            <w:vAlign w:val="center"/>
          </w:tcPr>
          <w:p w14:paraId="46847951" w14:textId="77777777" w:rsidR="008143D9" w:rsidRPr="00AC3044" w:rsidRDefault="008143D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 xml:space="preserve">х </w:t>
            </w:r>
            <w:r w:rsidRPr="00AC3044">
              <w:rPr>
                <w:rFonts w:eastAsia="SimSun"/>
              </w:rPr>
              <w:t>10</w:t>
            </w:r>
            <w:r w:rsidRPr="000C00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150-350 нг/мл  </w:t>
            </w:r>
          </w:p>
        </w:tc>
      </w:tr>
      <w:tr w:rsidR="008143D9" w:rsidRPr="00AC3044" w14:paraId="2D58EA38" w14:textId="77777777" w:rsidTr="005A428D">
        <w:trPr>
          <w:cantSplit/>
          <w:trHeight w:val="20"/>
        </w:trPr>
        <w:tc>
          <w:tcPr>
            <w:tcW w:w="993" w:type="dxa"/>
            <w:vMerge/>
          </w:tcPr>
          <w:p w14:paraId="1BC3245C" w14:textId="77777777" w:rsidR="008143D9" w:rsidRPr="00AC3044" w:rsidRDefault="008143D9" w:rsidP="005A428D">
            <w:pPr>
              <w:rPr>
                <w:rFonts w:eastAsia="SimSun"/>
              </w:rPr>
            </w:pPr>
          </w:p>
        </w:tc>
        <w:tc>
          <w:tcPr>
            <w:tcW w:w="1843" w:type="dxa"/>
            <w:vMerge w:val="restart"/>
            <w:vAlign w:val="center"/>
          </w:tcPr>
          <w:p w14:paraId="28569D7D" w14:textId="77777777" w:rsidR="008143D9" w:rsidRPr="00AC3044" w:rsidRDefault="008143D9" w:rsidP="005A428D">
            <w:pPr>
              <w:rPr>
                <w:rFonts w:eastAsia="SimSun"/>
              </w:rPr>
            </w:pPr>
            <w:r w:rsidRPr="00AC3044">
              <w:rPr>
                <w:rFonts w:eastAsia="SimSun"/>
              </w:rPr>
              <w:t>Метотрексат</w:t>
            </w:r>
          </w:p>
        </w:tc>
        <w:tc>
          <w:tcPr>
            <w:tcW w:w="1417" w:type="dxa"/>
            <w:vAlign w:val="center"/>
          </w:tcPr>
          <w:p w14:paraId="1DE48381" w14:textId="77777777" w:rsidR="008143D9" w:rsidRPr="00AC3044" w:rsidRDefault="008143D9" w:rsidP="005A428D">
            <w:pPr>
              <w:rPr>
                <w:rFonts w:eastAsia="SimSun"/>
              </w:rPr>
            </w:pPr>
            <w:r w:rsidRPr="00AC3044">
              <w:rPr>
                <w:rFonts w:eastAsia="SimSun"/>
              </w:rPr>
              <w:t>15 мг/м</w:t>
            </w:r>
            <w:r w:rsidRPr="000C005F">
              <w:rPr>
                <w:rFonts w:eastAsia="SimSun"/>
                <w:vertAlign w:val="superscript"/>
              </w:rPr>
              <w:t>2</w:t>
            </w:r>
          </w:p>
        </w:tc>
        <w:tc>
          <w:tcPr>
            <w:tcW w:w="1418" w:type="dxa"/>
            <w:vAlign w:val="center"/>
          </w:tcPr>
          <w:p w14:paraId="62959D17" w14:textId="77777777" w:rsidR="008143D9" w:rsidRPr="00AC3044" w:rsidRDefault="008143D9" w:rsidP="005A428D">
            <w:pPr>
              <w:rPr>
                <w:rFonts w:eastAsia="SimSun"/>
              </w:rPr>
            </w:pPr>
            <w:r w:rsidRPr="00AC3044">
              <w:rPr>
                <w:rFonts w:eastAsia="SimSun"/>
              </w:rPr>
              <w:t>–</w:t>
            </w:r>
          </w:p>
        </w:tc>
        <w:tc>
          <w:tcPr>
            <w:tcW w:w="1701" w:type="dxa"/>
            <w:vAlign w:val="center"/>
          </w:tcPr>
          <w:p w14:paraId="20B86229" w14:textId="77777777" w:rsidR="008143D9" w:rsidRPr="00AC3044" w:rsidRDefault="008143D9" w:rsidP="005A428D">
            <w:pPr>
              <w:rPr>
                <w:rFonts w:eastAsia="SimSun"/>
              </w:rPr>
            </w:pPr>
            <w:r w:rsidRPr="00AC3044">
              <w:rPr>
                <w:rFonts w:eastAsia="SimSun"/>
              </w:rPr>
              <w:t>+1 день</w:t>
            </w:r>
          </w:p>
        </w:tc>
        <w:tc>
          <w:tcPr>
            <w:tcW w:w="2268" w:type="dxa"/>
            <w:vAlign w:val="center"/>
          </w:tcPr>
          <w:p w14:paraId="5C9A7A76" w14:textId="77777777" w:rsidR="008143D9" w:rsidRPr="00AC3044" w:rsidRDefault="008143D9" w:rsidP="005A428D">
            <w:pPr>
              <w:rPr>
                <w:rFonts w:eastAsia="SimSun"/>
              </w:rPr>
            </w:pPr>
            <w:r w:rsidRPr="00AC3044">
              <w:rPr>
                <w:rFonts w:eastAsia="SimSun"/>
              </w:rPr>
              <w:t xml:space="preserve">В/в, в 20 мл физ. р-ра </w:t>
            </w:r>
          </w:p>
        </w:tc>
      </w:tr>
      <w:tr w:rsidR="008143D9" w:rsidRPr="00AC3044" w14:paraId="0A36DC49" w14:textId="77777777" w:rsidTr="005A428D">
        <w:trPr>
          <w:cantSplit/>
          <w:trHeight w:val="464"/>
        </w:trPr>
        <w:tc>
          <w:tcPr>
            <w:tcW w:w="993" w:type="dxa"/>
            <w:vMerge/>
          </w:tcPr>
          <w:p w14:paraId="471E28A8" w14:textId="77777777" w:rsidR="008143D9" w:rsidRPr="00AC3044" w:rsidRDefault="008143D9" w:rsidP="005A428D">
            <w:pPr>
              <w:rPr>
                <w:rFonts w:eastAsia="SimSun"/>
              </w:rPr>
            </w:pPr>
          </w:p>
        </w:tc>
        <w:tc>
          <w:tcPr>
            <w:tcW w:w="1843" w:type="dxa"/>
            <w:vMerge/>
            <w:vAlign w:val="center"/>
          </w:tcPr>
          <w:p w14:paraId="6B0A855A" w14:textId="77777777" w:rsidR="008143D9" w:rsidRPr="00AC3044" w:rsidRDefault="008143D9" w:rsidP="005A428D">
            <w:pPr>
              <w:rPr>
                <w:rFonts w:eastAsia="SimSun"/>
              </w:rPr>
            </w:pPr>
          </w:p>
        </w:tc>
        <w:tc>
          <w:tcPr>
            <w:tcW w:w="1417" w:type="dxa"/>
            <w:vAlign w:val="center"/>
          </w:tcPr>
          <w:p w14:paraId="0DAAC31D" w14:textId="77777777" w:rsidR="008143D9" w:rsidRPr="00AC3044" w:rsidRDefault="008143D9" w:rsidP="005A428D">
            <w:pPr>
              <w:rPr>
                <w:rFonts w:eastAsia="SimSun"/>
              </w:rPr>
            </w:pPr>
            <w:r w:rsidRPr="00AC3044">
              <w:rPr>
                <w:rFonts w:eastAsia="SimSun"/>
              </w:rPr>
              <w:t>10 мг/м</w:t>
            </w:r>
            <w:r w:rsidRPr="000C005F">
              <w:rPr>
                <w:rFonts w:eastAsia="SimSun"/>
                <w:vertAlign w:val="superscript"/>
              </w:rPr>
              <w:t>2</w:t>
            </w:r>
          </w:p>
        </w:tc>
        <w:tc>
          <w:tcPr>
            <w:tcW w:w="1418" w:type="dxa"/>
            <w:vAlign w:val="center"/>
          </w:tcPr>
          <w:p w14:paraId="6B0BD4EC" w14:textId="77777777" w:rsidR="008143D9" w:rsidRPr="00AC3044" w:rsidRDefault="008143D9" w:rsidP="005A428D">
            <w:pPr>
              <w:rPr>
                <w:rFonts w:eastAsia="SimSun"/>
              </w:rPr>
            </w:pPr>
            <w:r w:rsidRPr="00AC3044">
              <w:rPr>
                <w:rFonts w:eastAsia="SimSun"/>
              </w:rPr>
              <w:t>–</w:t>
            </w:r>
          </w:p>
        </w:tc>
        <w:tc>
          <w:tcPr>
            <w:tcW w:w="1701" w:type="dxa"/>
            <w:vAlign w:val="center"/>
          </w:tcPr>
          <w:p w14:paraId="3FF45413" w14:textId="77777777" w:rsidR="008143D9" w:rsidRPr="00AC3044" w:rsidRDefault="008143D9" w:rsidP="005A428D">
            <w:pPr>
              <w:rPr>
                <w:rFonts w:eastAsia="SimSun"/>
              </w:rPr>
            </w:pPr>
            <w:r w:rsidRPr="00AC3044">
              <w:rPr>
                <w:rFonts w:eastAsia="SimSun"/>
              </w:rPr>
              <w:t>+3, +6, +11 день</w:t>
            </w:r>
          </w:p>
        </w:tc>
        <w:tc>
          <w:tcPr>
            <w:tcW w:w="2268" w:type="dxa"/>
            <w:vAlign w:val="center"/>
          </w:tcPr>
          <w:p w14:paraId="1B4A3DF0" w14:textId="77777777" w:rsidR="008143D9" w:rsidRPr="00AC3044" w:rsidRDefault="008143D9" w:rsidP="005A428D">
            <w:pPr>
              <w:rPr>
                <w:rFonts w:eastAsia="SimSun"/>
              </w:rPr>
            </w:pPr>
            <w:r w:rsidRPr="00AC3044">
              <w:rPr>
                <w:rFonts w:eastAsia="SimSun"/>
              </w:rPr>
              <w:t>В/в, в 20 мл физ. р-ра</w:t>
            </w:r>
          </w:p>
        </w:tc>
      </w:tr>
      <w:tr w:rsidR="008143D9" w:rsidRPr="00AC3044" w14:paraId="62CBAE82" w14:textId="77777777" w:rsidTr="005A428D">
        <w:trPr>
          <w:cantSplit/>
          <w:trHeight w:val="464"/>
        </w:trPr>
        <w:tc>
          <w:tcPr>
            <w:tcW w:w="993" w:type="dxa"/>
            <w:vMerge/>
          </w:tcPr>
          <w:p w14:paraId="75AD838E" w14:textId="77777777" w:rsidR="008143D9" w:rsidRPr="00AC3044" w:rsidRDefault="008143D9" w:rsidP="005A428D">
            <w:pPr>
              <w:rPr>
                <w:rFonts w:eastAsia="SimSun"/>
              </w:rPr>
            </w:pPr>
          </w:p>
        </w:tc>
        <w:tc>
          <w:tcPr>
            <w:tcW w:w="1843" w:type="dxa"/>
            <w:vMerge w:val="restart"/>
            <w:vAlign w:val="center"/>
          </w:tcPr>
          <w:p w14:paraId="1C9CD0C7" w14:textId="77777777" w:rsidR="008143D9" w:rsidRPr="00AC3044" w:rsidRDefault="008143D9" w:rsidP="005A428D">
            <w:pPr>
              <w:rPr>
                <w:rFonts w:eastAsia="SimSun"/>
              </w:rPr>
            </w:pPr>
            <w:r w:rsidRPr="00AC3044">
              <w:rPr>
                <w:rFonts w:eastAsia="SimSun"/>
              </w:rPr>
              <w:t>Микофенолата мофетил (только при использовании СКК)</w:t>
            </w:r>
          </w:p>
        </w:tc>
        <w:tc>
          <w:tcPr>
            <w:tcW w:w="1417" w:type="dxa"/>
            <w:vAlign w:val="center"/>
          </w:tcPr>
          <w:p w14:paraId="4702353D" w14:textId="77777777" w:rsidR="008143D9" w:rsidRPr="00AC3044" w:rsidRDefault="008143D9" w:rsidP="005A428D">
            <w:pPr>
              <w:rPr>
                <w:rFonts w:eastAsia="SimSun"/>
              </w:rPr>
            </w:pPr>
            <w:r w:rsidRPr="00AC3044">
              <w:rPr>
                <w:rFonts w:eastAsia="SimSun"/>
              </w:rPr>
              <w:t>2000 мг</w:t>
            </w:r>
          </w:p>
        </w:tc>
        <w:tc>
          <w:tcPr>
            <w:tcW w:w="1418" w:type="dxa"/>
            <w:vAlign w:val="center"/>
          </w:tcPr>
          <w:p w14:paraId="3AC141EC" w14:textId="77777777" w:rsidR="008143D9" w:rsidRPr="00AC3044" w:rsidRDefault="008143D9" w:rsidP="005A428D">
            <w:pPr>
              <w:rPr>
                <w:rFonts w:eastAsia="SimSun"/>
              </w:rPr>
            </w:pPr>
            <w:r w:rsidRPr="00AC3044">
              <w:rPr>
                <w:rFonts w:eastAsia="SimSun"/>
              </w:rPr>
              <w:t>–</w:t>
            </w:r>
          </w:p>
        </w:tc>
        <w:tc>
          <w:tcPr>
            <w:tcW w:w="1701" w:type="dxa"/>
            <w:vAlign w:val="center"/>
          </w:tcPr>
          <w:p w14:paraId="230ACFA1" w14:textId="77777777" w:rsidR="008143D9" w:rsidRPr="00AC3044" w:rsidRDefault="008143D9" w:rsidP="005A428D">
            <w:pPr>
              <w:rPr>
                <w:rFonts w:eastAsia="SimSun"/>
              </w:rPr>
            </w:pPr>
            <w:r w:rsidRPr="00AC3044">
              <w:rPr>
                <w:rFonts w:eastAsia="SimSun"/>
              </w:rPr>
              <w:t>С +1 по +14 день</w:t>
            </w:r>
          </w:p>
        </w:tc>
        <w:tc>
          <w:tcPr>
            <w:tcW w:w="2268" w:type="dxa"/>
            <w:vAlign w:val="center"/>
          </w:tcPr>
          <w:p w14:paraId="70CC259B" w14:textId="77777777" w:rsidR="008143D9" w:rsidRPr="00AC3044" w:rsidRDefault="008143D9" w:rsidP="005A428D">
            <w:pPr>
              <w:rPr>
                <w:rFonts w:eastAsia="SimSun"/>
              </w:rPr>
            </w:pPr>
            <w:r w:rsidRPr="00AC3044">
              <w:rPr>
                <w:rFonts w:eastAsia="SimSun"/>
              </w:rPr>
              <w:t>Внутрь, суммарная суточная доза разделяется на 2- 4 приема (не более 3г/сут).</w:t>
            </w:r>
          </w:p>
        </w:tc>
      </w:tr>
      <w:tr w:rsidR="008143D9" w:rsidRPr="00AC3044" w14:paraId="409A713B" w14:textId="77777777" w:rsidTr="005A428D">
        <w:trPr>
          <w:cantSplit/>
          <w:trHeight w:val="464"/>
        </w:trPr>
        <w:tc>
          <w:tcPr>
            <w:tcW w:w="993" w:type="dxa"/>
            <w:vMerge/>
          </w:tcPr>
          <w:p w14:paraId="3AF28D2A" w14:textId="77777777" w:rsidR="008143D9" w:rsidRPr="00AC3044" w:rsidRDefault="008143D9" w:rsidP="005A428D">
            <w:pPr>
              <w:rPr>
                <w:rFonts w:eastAsia="SimSun"/>
              </w:rPr>
            </w:pPr>
          </w:p>
        </w:tc>
        <w:tc>
          <w:tcPr>
            <w:tcW w:w="1843" w:type="dxa"/>
            <w:vMerge/>
            <w:vAlign w:val="center"/>
          </w:tcPr>
          <w:p w14:paraId="061E593B" w14:textId="77777777" w:rsidR="008143D9" w:rsidRPr="00AC3044" w:rsidRDefault="008143D9" w:rsidP="005A428D">
            <w:pPr>
              <w:rPr>
                <w:rFonts w:eastAsia="SimSun"/>
              </w:rPr>
            </w:pPr>
          </w:p>
        </w:tc>
        <w:tc>
          <w:tcPr>
            <w:tcW w:w="1417" w:type="dxa"/>
            <w:vAlign w:val="center"/>
          </w:tcPr>
          <w:p w14:paraId="5551DF29" w14:textId="77777777" w:rsidR="008143D9" w:rsidRPr="00AC3044" w:rsidRDefault="008143D9" w:rsidP="005A428D">
            <w:pPr>
              <w:rPr>
                <w:rFonts w:eastAsia="SimSun"/>
              </w:rPr>
            </w:pPr>
            <w:r w:rsidRPr="00AC3044">
              <w:rPr>
                <w:rFonts w:eastAsia="SimSun"/>
              </w:rPr>
              <w:t>1000 мг</w:t>
            </w:r>
          </w:p>
        </w:tc>
        <w:tc>
          <w:tcPr>
            <w:tcW w:w="1418" w:type="dxa"/>
            <w:vAlign w:val="center"/>
          </w:tcPr>
          <w:p w14:paraId="40EB009C" w14:textId="77777777" w:rsidR="008143D9" w:rsidRPr="00AC3044" w:rsidRDefault="008143D9" w:rsidP="005A428D">
            <w:pPr>
              <w:rPr>
                <w:rFonts w:eastAsia="SimSun"/>
              </w:rPr>
            </w:pPr>
            <w:r w:rsidRPr="00AC3044">
              <w:rPr>
                <w:rFonts w:eastAsia="SimSun"/>
              </w:rPr>
              <w:t>–</w:t>
            </w:r>
          </w:p>
        </w:tc>
        <w:tc>
          <w:tcPr>
            <w:tcW w:w="1701" w:type="dxa"/>
            <w:vAlign w:val="center"/>
          </w:tcPr>
          <w:p w14:paraId="12833CE9" w14:textId="77777777" w:rsidR="008143D9" w:rsidRPr="00AC3044" w:rsidRDefault="008143D9" w:rsidP="005A428D">
            <w:pPr>
              <w:rPr>
                <w:rFonts w:eastAsia="SimSun"/>
              </w:rPr>
            </w:pPr>
            <w:r w:rsidRPr="00AC3044">
              <w:rPr>
                <w:rFonts w:eastAsia="SimSun"/>
              </w:rPr>
              <w:t>С +15 по +90 день</w:t>
            </w:r>
          </w:p>
        </w:tc>
        <w:tc>
          <w:tcPr>
            <w:tcW w:w="2268" w:type="dxa"/>
            <w:vAlign w:val="center"/>
          </w:tcPr>
          <w:p w14:paraId="4FC4811F" w14:textId="77777777" w:rsidR="008143D9" w:rsidRPr="00AC3044" w:rsidRDefault="008143D9" w:rsidP="005A428D">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г/сут).</w:t>
            </w:r>
          </w:p>
        </w:tc>
      </w:tr>
    </w:tbl>
    <w:p w14:paraId="7FF6BEA5" w14:textId="77777777" w:rsidR="008143D9" w:rsidRDefault="008143D9" w:rsidP="008143D9">
      <w:pPr>
        <w:rPr>
          <w:rFonts w:eastAsia="SimSun"/>
        </w:rPr>
      </w:pPr>
      <w:bookmarkStart w:id="124" w:name="_Toc44401160"/>
    </w:p>
    <w:p w14:paraId="37FCB475" w14:textId="77777777" w:rsidR="008143D9" w:rsidRPr="00C07B2E" w:rsidRDefault="008143D9" w:rsidP="008143D9">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1.2.2  – Flu150+Bu8+Thio / rATG+CSA+MTX+MMF30</w:t>
      </w:r>
      <w:bookmarkEnd w:id="124"/>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8143D9" w:rsidRPr="00AC3044" w14:paraId="3B406A54" w14:textId="77777777" w:rsidTr="005A428D">
        <w:trPr>
          <w:cantSplit/>
          <w:trHeight w:val="20"/>
          <w:tblHeader/>
        </w:trPr>
        <w:tc>
          <w:tcPr>
            <w:tcW w:w="993" w:type="dxa"/>
          </w:tcPr>
          <w:p w14:paraId="74A3B15C" w14:textId="77777777" w:rsidR="008143D9" w:rsidRPr="00470D3D" w:rsidRDefault="008143D9" w:rsidP="005A428D">
            <w:pPr>
              <w:rPr>
                <w:rFonts w:eastAsia="SimSun"/>
              </w:rPr>
            </w:pPr>
          </w:p>
        </w:tc>
        <w:tc>
          <w:tcPr>
            <w:tcW w:w="1843" w:type="dxa"/>
            <w:vAlign w:val="center"/>
          </w:tcPr>
          <w:p w14:paraId="46D813DA" w14:textId="77777777" w:rsidR="008143D9" w:rsidRPr="00AC3044" w:rsidRDefault="008143D9" w:rsidP="005A428D">
            <w:pPr>
              <w:rPr>
                <w:rFonts w:eastAsia="SimSun"/>
              </w:rPr>
            </w:pPr>
            <w:r w:rsidRPr="00AC3044">
              <w:rPr>
                <w:rFonts w:eastAsia="SimSun"/>
              </w:rPr>
              <w:t>Препарат</w:t>
            </w:r>
          </w:p>
        </w:tc>
        <w:tc>
          <w:tcPr>
            <w:tcW w:w="1417" w:type="dxa"/>
            <w:vAlign w:val="center"/>
          </w:tcPr>
          <w:p w14:paraId="6A7E6EBB" w14:textId="77777777" w:rsidR="008143D9" w:rsidRPr="00AC3044" w:rsidRDefault="008143D9" w:rsidP="005A428D">
            <w:pPr>
              <w:rPr>
                <w:rFonts w:eastAsia="SimSun"/>
              </w:rPr>
            </w:pPr>
            <w:r w:rsidRPr="00AC3044">
              <w:rPr>
                <w:rFonts w:eastAsia="SimSun"/>
              </w:rPr>
              <w:t>Суточная доза</w:t>
            </w:r>
          </w:p>
        </w:tc>
        <w:tc>
          <w:tcPr>
            <w:tcW w:w="1418" w:type="dxa"/>
            <w:vAlign w:val="center"/>
          </w:tcPr>
          <w:p w14:paraId="0F6AE24A" w14:textId="77777777" w:rsidR="008143D9" w:rsidRPr="00AC3044" w:rsidRDefault="008143D9" w:rsidP="005A428D">
            <w:pPr>
              <w:rPr>
                <w:rFonts w:eastAsia="SimSun"/>
              </w:rPr>
            </w:pPr>
            <w:r w:rsidRPr="00AC3044">
              <w:rPr>
                <w:rFonts w:eastAsia="SimSun"/>
              </w:rPr>
              <w:t>Курсовая доза</w:t>
            </w:r>
          </w:p>
        </w:tc>
        <w:tc>
          <w:tcPr>
            <w:tcW w:w="1701" w:type="dxa"/>
            <w:vAlign w:val="center"/>
          </w:tcPr>
          <w:p w14:paraId="1277E902" w14:textId="77777777" w:rsidR="008143D9" w:rsidRPr="00AC3044" w:rsidRDefault="008143D9" w:rsidP="005A428D">
            <w:pPr>
              <w:rPr>
                <w:rFonts w:eastAsia="SimSun"/>
              </w:rPr>
            </w:pPr>
            <w:r w:rsidRPr="00AC3044">
              <w:rPr>
                <w:rFonts w:eastAsia="SimSun"/>
              </w:rPr>
              <w:t>Дни введения</w:t>
            </w:r>
          </w:p>
        </w:tc>
        <w:tc>
          <w:tcPr>
            <w:tcW w:w="2268" w:type="dxa"/>
            <w:vAlign w:val="center"/>
          </w:tcPr>
          <w:p w14:paraId="1D32A714"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226EFB26" w14:textId="77777777" w:rsidTr="005A428D">
        <w:trPr>
          <w:cantSplit/>
          <w:trHeight w:val="20"/>
        </w:trPr>
        <w:tc>
          <w:tcPr>
            <w:tcW w:w="993" w:type="dxa"/>
            <w:vMerge w:val="restart"/>
            <w:textDirection w:val="btLr"/>
            <w:vAlign w:val="center"/>
          </w:tcPr>
          <w:p w14:paraId="313BFDF8" w14:textId="77777777" w:rsidR="008143D9" w:rsidRPr="00AC3044" w:rsidRDefault="008143D9" w:rsidP="005A428D">
            <w:pPr>
              <w:rPr>
                <w:rFonts w:eastAsia="SimSun"/>
              </w:rPr>
            </w:pPr>
            <w:r w:rsidRPr="00AC3044">
              <w:rPr>
                <w:rFonts w:eastAsia="SimSun"/>
              </w:rPr>
              <w:t>Кондиционирование</w:t>
            </w:r>
          </w:p>
        </w:tc>
        <w:tc>
          <w:tcPr>
            <w:tcW w:w="1843" w:type="dxa"/>
            <w:vAlign w:val="center"/>
          </w:tcPr>
          <w:p w14:paraId="658AEAAF" w14:textId="77777777" w:rsidR="008143D9" w:rsidRPr="00AC3044" w:rsidRDefault="008143D9" w:rsidP="005A428D">
            <w:pPr>
              <w:rPr>
                <w:rFonts w:eastAsia="SimSun"/>
              </w:rPr>
            </w:pPr>
            <w:r w:rsidRPr="00AC3044">
              <w:rPr>
                <w:rFonts w:eastAsia="SimSun"/>
              </w:rPr>
              <w:t xml:space="preserve">Флударабин </w:t>
            </w:r>
          </w:p>
        </w:tc>
        <w:tc>
          <w:tcPr>
            <w:tcW w:w="1417" w:type="dxa"/>
            <w:vAlign w:val="center"/>
          </w:tcPr>
          <w:p w14:paraId="1D5A2261" w14:textId="77777777" w:rsidR="008143D9" w:rsidRPr="00AC3044" w:rsidRDefault="008143D9" w:rsidP="005A428D">
            <w:pPr>
              <w:rPr>
                <w:rFonts w:eastAsia="SimSun"/>
              </w:rPr>
            </w:pPr>
            <w:r w:rsidRPr="00AC3044">
              <w:rPr>
                <w:rFonts w:eastAsia="SimSun"/>
              </w:rPr>
              <w:t>50 мг/м</w:t>
            </w:r>
            <w:r w:rsidRPr="000C005F">
              <w:rPr>
                <w:rFonts w:eastAsia="SimSun"/>
                <w:vertAlign w:val="superscript"/>
              </w:rPr>
              <w:t>2</w:t>
            </w:r>
          </w:p>
        </w:tc>
        <w:tc>
          <w:tcPr>
            <w:tcW w:w="1418" w:type="dxa"/>
            <w:vAlign w:val="center"/>
          </w:tcPr>
          <w:p w14:paraId="25E59ECF" w14:textId="77777777" w:rsidR="008143D9" w:rsidRPr="00AC3044" w:rsidRDefault="008143D9" w:rsidP="005A428D">
            <w:pPr>
              <w:rPr>
                <w:rFonts w:eastAsia="SimSun"/>
              </w:rPr>
            </w:pPr>
            <w:r w:rsidRPr="00AC3044">
              <w:rPr>
                <w:rFonts w:eastAsia="SimSun"/>
              </w:rPr>
              <w:t>150 мг/м</w:t>
            </w:r>
            <w:r w:rsidRPr="000C005F">
              <w:rPr>
                <w:rFonts w:eastAsia="SimSun"/>
                <w:vertAlign w:val="superscript"/>
              </w:rPr>
              <w:t>2</w:t>
            </w:r>
          </w:p>
        </w:tc>
        <w:tc>
          <w:tcPr>
            <w:tcW w:w="1701" w:type="dxa"/>
            <w:vAlign w:val="center"/>
          </w:tcPr>
          <w:p w14:paraId="750A2E2F" w14:textId="77777777" w:rsidR="008143D9" w:rsidRPr="00AC3044" w:rsidRDefault="008143D9" w:rsidP="005A428D">
            <w:pPr>
              <w:rPr>
                <w:rFonts w:eastAsia="SimSun"/>
              </w:rPr>
            </w:pPr>
            <w:r w:rsidRPr="00AC3044">
              <w:rPr>
                <w:rFonts w:eastAsia="SimSun"/>
              </w:rPr>
              <w:t>С –4 по –2 день</w:t>
            </w:r>
          </w:p>
        </w:tc>
        <w:tc>
          <w:tcPr>
            <w:tcW w:w="2268" w:type="dxa"/>
            <w:vAlign w:val="center"/>
          </w:tcPr>
          <w:p w14:paraId="229AA9C0"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6D1E14C6" w14:textId="77777777" w:rsidTr="005A428D">
        <w:trPr>
          <w:cantSplit/>
          <w:trHeight w:val="687"/>
        </w:trPr>
        <w:tc>
          <w:tcPr>
            <w:tcW w:w="993" w:type="dxa"/>
            <w:vMerge/>
            <w:textDirection w:val="btLr"/>
            <w:vAlign w:val="center"/>
          </w:tcPr>
          <w:p w14:paraId="16A5B6D3" w14:textId="77777777" w:rsidR="008143D9" w:rsidRPr="00AC3044" w:rsidRDefault="008143D9" w:rsidP="005A428D">
            <w:pPr>
              <w:rPr>
                <w:rFonts w:eastAsia="SimSun"/>
              </w:rPr>
            </w:pPr>
          </w:p>
        </w:tc>
        <w:tc>
          <w:tcPr>
            <w:tcW w:w="1843" w:type="dxa"/>
            <w:vAlign w:val="center"/>
          </w:tcPr>
          <w:p w14:paraId="6E638435" w14:textId="77777777" w:rsidR="008143D9" w:rsidRPr="00AC3044" w:rsidRDefault="008143D9" w:rsidP="005A428D">
            <w:pPr>
              <w:rPr>
                <w:rFonts w:eastAsia="SimSun"/>
              </w:rPr>
            </w:pPr>
            <w:r w:rsidRPr="00AC3044">
              <w:rPr>
                <w:rFonts w:eastAsia="SimSun"/>
              </w:rPr>
              <w:t>Бусульфан</w:t>
            </w:r>
          </w:p>
        </w:tc>
        <w:tc>
          <w:tcPr>
            <w:tcW w:w="1417" w:type="dxa"/>
            <w:vAlign w:val="center"/>
          </w:tcPr>
          <w:p w14:paraId="7AD3D0FF" w14:textId="77777777" w:rsidR="008143D9" w:rsidRPr="00AC3044" w:rsidRDefault="008143D9" w:rsidP="005A428D">
            <w:pPr>
              <w:rPr>
                <w:rFonts w:eastAsia="SimSun"/>
              </w:rPr>
            </w:pPr>
            <w:r w:rsidRPr="00AC3044">
              <w:rPr>
                <w:rFonts w:eastAsia="SimSun"/>
              </w:rPr>
              <w:t>4 мг/кг</w:t>
            </w:r>
          </w:p>
        </w:tc>
        <w:tc>
          <w:tcPr>
            <w:tcW w:w="1418" w:type="dxa"/>
            <w:vAlign w:val="center"/>
          </w:tcPr>
          <w:p w14:paraId="2B05CEA2" w14:textId="77777777" w:rsidR="008143D9" w:rsidRPr="00AC3044" w:rsidRDefault="008143D9" w:rsidP="005A428D">
            <w:pPr>
              <w:rPr>
                <w:rFonts w:eastAsia="SimSun"/>
              </w:rPr>
            </w:pPr>
            <w:r w:rsidRPr="00AC3044">
              <w:rPr>
                <w:rFonts w:eastAsia="SimSun"/>
              </w:rPr>
              <w:t>8 мг/кг</w:t>
            </w:r>
          </w:p>
        </w:tc>
        <w:tc>
          <w:tcPr>
            <w:tcW w:w="1701" w:type="dxa"/>
            <w:vAlign w:val="center"/>
          </w:tcPr>
          <w:p w14:paraId="18D4EA68" w14:textId="77777777" w:rsidR="008143D9" w:rsidRPr="00AC3044" w:rsidRDefault="008143D9" w:rsidP="005A428D">
            <w:pPr>
              <w:rPr>
                <w:rFonts w:eastAsia="SimSun"/>
              </w:rPr>
            </w:pPr>
            <w:r w:rsidRPr="00AC3044">
              <w:rPr>
                <w:rFonts w:eastAsia="SimSun"/>
              </w:rPr>
              <w:t>–3, –2 дни</w:t>
            </w:r>
          </w:p>
        </w:tc>
        <w:tc>
          <w:tcPr>
            <w:tcW w:w="2268" w:type="dxa"/>
            <w:vAlign w:val="center"/>
          </w:tcPr>
          <w:p w14:paraId="3B314B2F" w14:textId="77777777" w:rsidR="008143D9" w:rsidRPr="00AC3044" w:rsidRDefault="008143D9" w:rsidP="005A428D">
            <w:pPr>
              <w:rPr>
                <w:rFonts w:eastAsia="SimSun"/>
              </w:rPr>
            </w:pPr>
            <w:r w:rsidRPr="00AC3044">
              <w:rPr>
                <w:rFonts w:eastAsia="SimSun"/>
              </w:rPr>
              <w:t>Внутрь, суммарная суточная доза разделяется на 4 приема</w:t>
            </w:r>
          </w:p>
        </w:tc>
      </w:tr>
      <w:tr w:rsidR="008143D9" w:rsidRPr="00AC3044" w14:paraId="3D692CE5" w14:textId="77777777" w:rsidTr="005A428D">
        <w:trPr>
          <w:cantSplit/>
          <w:trHeight w:val="697"/>
        </w:trPr>
        <w:tc>
          <w:tcPr>
            <w:tcW w:w="993" w:type="dxa"/>
            <w:vMerge/>
            <w:textDirection w:val="btLr"/>
            <w:vAlign w:val="center"/>
          </w:tcPr>
          <w:p w14:paraId="360FF3CE" w14:textId="77777777" w:rsidR="008143D9" w:rsidRPr="00AC3044" w:rsidRDefault="008143D9" w:rsidP="005A428D">
            <w:pPr>
              <w:rPr>
                <w:rFonts w:eastAsia="SimSun"/>
              </w:rPr>
            </w:pPr>
          </w:p>
        </w:tc>
        <w:tc>
          <w:tcPr>
            <w:tcW w:w="1843" w:type="dxa"/>
            <w:vAlign w:val="center"/>
          </w:tcPr>
          <w:p w14:paraId="1D08F3B0" w14:textId="77777777" w:rsidR="008143D9" w:rsidRPr="00AC3044" w:rsidRDefault="008143D9" w:rsidP="005A428D">
            <w:pPr>
              <w:rPr>
                <w:rFonts w:eastAsia="SimSun"/>
              </w:rPr>
            </w:pPr>
            <w:r w:rsidRPr="00AC3044">
              <w:rPr>
                <w:rFonts w:eastAsia="SimSun"/>
              </w:rPr>
              <w:t>Тиотепа</w:t>
            </w:r>
          </w:p>
        </w:tc>
        <w:tc>
          <w:tcPr>
            <w:tcW w:w="1417" w:type="dxa"/>
            <w:vAlign w:val="center"/>
          </w:tcPr>
          <w:p w14:paraId="7B797635" w14:textId="77777777" w:rsidR="008143D9" w:rsidRPr="00AC3044" w:rsidRDefault="008143D9" w:rsidP="005A428D">
            <w:pPr>
              <w:rPr>
                <w:rFonts w:eastAsia="SimSun"/>
              </w:rPr>
            </w:pPr>
            <w:r w:rsidRPr="00AC3044">
              <w:rPr>
                <w:rFonts w:eastAsia="SimSun"/>
              </w:rPr>
              <w:t>5 мг/кг</w:t>
            </w:r>
          </w:p>
        </w:tc>
        <w:tc>
          <w:tcPr>
            <w:tcW w:w="1418" w:type="dxa"/>
            <w:vAlign w:val="center"/>
          </w:tcPr>
          <w:p w14:paraId="7DB8D632" w14:textId="77777777" w:rsidR="008143D9" w:rsidRPr="00AC3044" w:rsidRDefault="008143D9" w:rsidP="005A428D">
            <w:pPr>
              <w:rPr>
                <w:rFonts w:eastAsia="SimSun"/>
              </w:rPr>
            </w:pPr>
            <w:r w:rsidRPr="00AC3044">
              <w:rPr>
                <w:rFonts w:eastAsia="SimSun"/>
              </w:rPr>
              <w:t>10 мг/кг</w:t>
            </w:r>
          </w:p>
        </w:tc>
        <w:tc>
          <w:tcPr>
            <w:tcW w:w="1701" w:type="dxa"/>
            <w:vAlign w:val="center"/>
          </w:tcPr>
          <w:p w14:paraId="36FE419D" w14:textId="77777777" w:rsidR="008143D9" w:rsidRPr="00AC3044" w:rsidRDefault="008143D9" w:rsidP="005A428D">
            <w:pPr>
              <w:rPr>
                <w:rFonts w:eastAsia="SimSun"/>
              </w:rPr>
            </w:pPr>
            <w:r w:rsidRPr="00AC3044">
              <w:rPr>
                <w:rFonts w:eastAsia="SimSun"/>
              </w:rPr>
              <w:t>-6,-5 дни</w:t>
            </w:r>
          </w:p>
        </w:tc>
        <w:tc>
          <w:tcPr>
            <w:tcW w:w="2268" w:type="dxa"/>
            <w:vAlign w:val="center"/>
          </w:tcPr>
          <w:p w14:paraId="5327EAD7" w14:textId="77777777" w:rsidR="008143D9" w:rsidRPr="00AC3044" w:rsidRDefault="008143D9" w:rsidP="005A428D">
            <w:pPr>
              <w:rPr>
                <w:rFonts w:eastAsia="SimSun"/>
              </w:rPr>
            </w:pPr>
            <w:r w:rsidRPr="00AC3044">
              <w:rPr>
                <w:rFonts w:eastAsia="SimSun"/>
              </w:rPr>
              <w:t>В/в, в течение 2 ч</w:t>
            </w:r>
          </w:p>
        </w:tc>
      </w:tr>
      <w:tr w:rsidR="008143D9" w:rsidRPr="00AC3044" w14:paraId="2F1A6DA7" w14:textId="77777777" w:rsidTr="005A428D">
        <w:trPr>
          <w:cantSplit/>
          <w:trHeight w:val="20"/>
        </w:trPr>
        <w:tc>
          <w:tcPr>
            <w:tcW w:w="993" w:type="dxa"/>
            <w:vMerge w:val="restart"/>
            <w:textDirection w:val="btLr"/>
            <w:vAlign w:val="center"/>
          </w:tcPr>
          <w:p w14:paraId="06EC3186" w14:textId="77777777" w:rsidR="008143D9" w:rsidRPr="00AC3044" w:rsidRDefault="008143D9" w:rsidP="005A428D">
            <w:pPr>
              <w:rPr>
                <w:rFonts w:eastAsia="SimSun"/>
              </w:rPr>
            </w:pPr>
            <w:r w:rsidRPr="00AC3044">
              <w:rPr>
                <w:rFonts w:eastAsia="SimSun"/>
              </w:rPr>
              <w:t>Профилактика РТПХ</w:t>
            </w:r>
          </w:p>
        </w:tc>
        <w:tc>
          <w:tcPr>
            <w:tcW w:w="1843" w:type="dxa"/>
            <w:vAlign w:val="center"/>
          </w:tcPr>
          <w:p w14:paraId="2E349D79" w14:textId="77777777" w:rsidR="008143D9" w:rsidRPr="00AC3044" w:rsidRDefault="008143D9" w:rsidP="005A428D">
            <w:pPr>
              <w:rPr>
                <w:rFonts w:eastAsia="SimSun"/>
              </w:rPr>
            </w:pPr>
            <w:r w:rsidRPr="00AC3044">
              <w:rPr>
                <w:rFonts w:eastAsia="SimSun"/>
              </w:rPr>
              <w:t>АТГ (кроличий)</w:t>
            </w:r>
          </w:p>
        </w:tc>
        <w:tc>
          <w:tcPr>
            <w:tcW w:w="1417" w:type="dxa"/>
            <w:vAlign w:val="center"/>
          </w:tcPr>
          <w:p w14:paraId="338A02D9" w14:textId="77777777" w:rsidR="008143D9" w:rsidRPr="00AC3044" w:rsidRDefault="008143D9" w:rsidP="005A428D">
            <w:pPr>
              <w:rPr>
                <w:rFonts w:eastAsia="SimSun"/>
              </w:rPr>
            </w:pPr>
            <w:r w:rsidRPr="00AC3044">
              <w:rPr>
                <w:rFonts w:eastAsia="SimSun"/>
              </w:rPr>
              <w:t>2,5 мг/кг</w:t>
            </w:r>
          </w:p>
        </w:tc>
        <w:tc>
          <w:tcPr>
            <w:tcW w:w="1418" w:type="dxa"/>
            <w:vAlign w:val="center"/>
          </w:tcPr>
          <w:p w14:paraId="509C1B25" w14:textId="77777777" w:rsidR="008143D9" w:rsidRPr="00AC3044" w:rsidRDefault="008143D9" w:rsidP="005A428D">
            <w:pPr>
              <w:rPr>
                <w:rFonts w:eastAsia="SimSun"/>
              </w:rPr>
            </w:pPr>
            <w:r w:rsidRPr="00AC3044">
              <w:rPr>
                <w:rFonts w:eastAsia="SimSun"/>
              </w:rPr>
              <w:t>5- 7,5 мг/кг2</w:t>
            </w:r>
          </w:p>
        </w:tc>
        <w:tc>
          <w:tcPr>
            <w:tcW w:w="1701" w:type="dxa"/>
            <w:vAlign w:val="center"/>
          </w:tcPr>
          <w:p w14:paraId="0FCA2BE4" w14:textId="77777777" w:rsidR="008143D9" w:rsidRPr="00AC3044" w:rsidRDefault="008143D9" w:rsidP="005A428D">
            <w:pPr>
              <w:rPr>
                <w:rFonts w:eastAsia="SimSun"/>
              </w:rPr>
            </w:pPr>
            <w:r w:rsidRPr="00AC3044">
              <w:rPr>
                <w:rFonts w:eastAsia="SimSun"/>
              </w:rPr>
              <w:t>С –3 по – 2 (-1) день</w:t>
            </w:r>
          </w:p>
        </w:tc>
        <w:tc>
          <w:tcPr>
            <w:tcW w:w="2268" w:type="dxa"/>
            <w:vAlign w:val="center"/>
          </w:tcPr>
          <w:p w14:paraId="5A028E50" w14:textId="77777777" w:rsidR="008143D9" w:rsidRPr="00AC3044" w:rsidRDefault="008143D9" w:rsidP="005A428D">
            <w:pPr>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 xml:space="preserve">на 2 введения (см. «Инфузия АТГ») </w:t>
            </w:r>
          </w:p>
        </w:tc>
      </w:tr>
      <w:tr w:rsidR="008143D9" w:rsidRPr="00AC3044" w14:paraId="3FD32696" w14:textId="77777777" w:rsidTr="005A428D">
        <w:trPr>
          <w:cantSplit/>
          <w:trHeight w:val="20"/>
        </w:trPr>
        <w:tc>
          <w:tcPr>
            <w:tcW w:w="993" w:type="dxa"/>
            <w:vMerge/>
            <w:textDirection w:val="btLr"/>
            <w:vAlign w:val="center"/>
          </w:tcPr>
          <w:p w14:paraId="23ED6A4C" w14:textId="77777777" w:rsidR="008143D9" w:rsidRPr="00AC3044" w:rsidRDefault="008143D9" w:rsidP="005A428D">
            <w:pPr>
              <w:rPr>
                <w:rFonts w:eastAsia="SimSun"/>
              </w:rPr>
            </w:pPr>
          </w:p>
        </w:tc>
        <w:tc>
          <w:tcPr>
            <w:tcW w:w="1843" w:type="dxa"/>
            <w:vAlign w:val="center"/>
          </w:tcPr>
          <w:p w14:paraId="6613BC26" w14:textId="77777777" w:rsidR="008143D9" w:rsidRPr="00AC3044" w:rsidRDefault="008143D9" w:rsidP="005A428D">
            <w:pPr>
              <w:rPr>
                <w:rFonts w:eastAsia="SimSun"/>
              </w:rPr>
            </w:pPr>
            <w:r w:rsidRPr="00AC3044">
              <w:rPr>
                <w:rFonts w:eastAsia="SimSun"/>
              </w:rPr>
              <w:t>Циклоспорин</w:t>
            </w:r>
          </w:p>
        </w:tc>
        <w:tc>
          <w:tcPr>
            <w:tcW w:w="1417" w:type="dxa"/>
            <w:vAlign w:val="center"/>
          </w:tcPr>
          <w:p w14:paraId="1E25F624" w14:textId="77777777" w:rsidR="008143D9" w:rsidRPr="00AC3044" w:rsidRDefault="008143D9" w:rsidP="005A428D">
            <w:pPr>
              <w:rPr>
                <w:rFonts w:eastAsia="SimSun"/>
              </w:rPr>
            </w:pPr>
            <w:r w:rsidRPr="00AC3044">
              <w:rPr>
                <w:rFonts w:eastAsia="SimSun"/>
              </w:rPr>
              <w:t>3 мг/кг</w:t>
            </w:r>
          </w:p>
        </w:tc>
        <w:tc>
          <w:tcPr>
            <w:tcW w:w="1418" w:type="dxa"/>
            <w:vAlign w:val="center"/>
          </w:tcPr>
          <w:p w14:paraId="316091FB" w14:textId="77777777" w:rsidR="008143D9" w:rsidRPr="00AC3044" w:rsidRDefault="008143D9" w:rsidP="005A428D">
            <w:pPr>
              <w:rPr>
                <w:rFonts w:eastAsia="SimSun"/>
              </w:rPr>
            </w:pPr>
            <w:r w:rsidRPr="00AC3044">
              <w:rPr>
                <w:rFonts w:eastAsia="SimSun"/>
              </w:rPr>
              <w:t>–</w:t>
            </w:r>
          </w:p>
        </w:tc>
        <w:tc>
          <w:tcPr>
            <w:tcW w:w="1701" w:type="dxa"/>
            <w:vAlign w:val="center"/>
          </w:tcPr>
          <w:p w14:paraId="60CD07EC" w14:textId="77777777" w:rsidR="008143D9" w:rsidRPr="00AC3044" w:rsidRDefault="008143D9" w:rsidP="005A428D">
            <w:pPr>
              <w:rPr>
                <w:rFonts w:eastAsia="SimSun"/>
              </w:rPr>
            </w:pPr>
            <w:r w:rsidRPr="00AC3044">
              <w:rPr>
                <w:rFonts w:eastAsia="SimSun"/>
              </w:rPr>
              <w:t>С –1 дня по +90 день, затем постепенное снижение к +180 дню</w:t>
            </w:r>
          </w:p>
        </w:tc>
        <w:tc>
          <w:tcPr>
            <w:tcW w:w="2268" w:type="dxa"/>
            <w:vAlign w:val="center"/>
          </w:tcPr>
          <w:p w14:paraId="34B5DC5A" w14:textId="77777777" w:rsidR="008143D9" w:rsidRPr="00AC3044" w:rsidRDefault="008143D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150-350 нг/мл  </w:t>
            </w:r>
          </w:p>
        </w:tc>
      </w:tr>
      <w:tr w:rsidR="008143D9" w:rsidRPr="00AC3044" w14:paraId="1F7600D5" w14:textId="77777777" w:rsidTr="005A428D">
        <w:trPr>
          <w:cantSplit/>
          <w:trHeight w:val="20"/>
        </w:trPr>
        <w:tc>
          <w:tcPr>
            <w:tcW w:w="993" w:type="dxa"/>
            <w:vMerge/>
            <w:vAlign w:val="center"/>
          </w:tcPr>
          <w:p w14:paraId="227C23AF" w14:textId="77777777" w:rsidR="008143D9" w:rsidRPr="00AC3044" w:rsidRDefault="008143D9" w:rsidP="005A428D">
            <w:pPr>
              <w:rPr>
                <w:rFonts w:eastAsia="SimSun"/>
              </w:rPr>
            </w:pPr>
          </w:p>
        </w:tc>
        <w:tc>
          <w:tcPr>
            <w:tcW w:w="1843" w:type="dxa"/>
            <w:vMerge w:val="restart"/>
            <w:vAlign w:val="center"/>
          </w:tcPr>
          <w:p w14:paraId="0F71A63A" w14:textId="77777777" w:rsidR="008143D9" w:rsidRPr="00AC3044" w:rsidRDefault="008143D9" w:rsidP="005A428D">
            <w:pPr>
              <w:rPr>
                <w:rFonts w:eastAsia="SimSun"/>
              </w:rPr>
            </w:pPr>
            <w:r w:rsidRPr="00AC3044">
              <w:rPr>
                <w:rFonts w:eastAsia="SimSun"/>
              </w:rPr>
              <w:t>Метотрексат</w:t>
            </w:r>
          </w:p>
        </w:tc>
        <w:tc>
          <w:tcPr>
            <w:tcW w:w="1417" w:type="dxa"/>
            <w:vAlign w:val="center"/>
          </w:tcPr>
          <w:p w14:paraId="1602B4A6" w14:textId="77777777" w:rsidR="008143D9" w:rsidRPr="00AC3044" w:rsidRDefault="008143D9" w:rsidP="005A428D">
            <w:pPr>
              <w:rPr>
                <w:rFonts w:eastAsia="SimSun"/>
              </w:rPr>
            </w:pPr>
            <w:r w:rsidRPr="00AC3044">
              <w:rPr>
                <w:rFonts w:eastAsia="SimSun"/>
              </w:rPr>
              <w:t>15 мг/м</w:t>
            </w:r>
            <w:r w:rsidRPr="000C005F">
              <w:rPr>
                <w:rFonts w:eastAsia="SimSun"/>
                <w:vertAlign w:val="superscript"/>
              </w:rPr>
              <w:t>2</w:t>
            </w:r>
          </w:p>
        </w:tc>
        <w:tc>
          <w:tcPr>
            <w:tcW w:w="1418" w:type="dxa"/>
            <w:vAlign w:val="center"/>
          </w:tcPr>
          <w:p w14:paraId="00D8F2EA" w14:textId="77777777" w:rsidR="008143D9" w:rsidRPr="00AC3044" w:rsidRDefault="008143D9" w:rsidP="005A428D">
            <w:pPr>
              <w:rPr>
                <w:rFonts w:eastAsia="SimSun"/>
              </w:rPr>
            </w:pPr>
            <w:r w:rsidRPr="00AC3044">
              <w:rPr>
                <w:rFonts w:eastAsia="SimSun"/>
              </w:rPr>
              <w:t>–</w:t>
            </w:r>
          </w:p>
        </w:tc>
        <w:tc>
          <w:tcPr>
            <w:tcW w:w="1701" w:type="dxa"/>
            <w:vAlign w:val="center"/>
          </w:tcPr>
          <w:p w14:paraId="1DEBADBD" w14:textId="77777777" w:rsidR="008143D9" w:rsidRPr="00AC3044" w:rsidRDefault="008143D9" w:rsidP="005A428D">
            <w:pPr>
              <w:rPr>
                <w:rFonts w:eastAsia="SimSun"/>
              </w:rPr>
            </w:pPr>
            <w:r w:rsidRPr="00AC3044">
              <w:rPr>
                <w:rFonts w:eastAsia="SimSun"/>
              </w:rPr>
              <w:t>+1 день</w:t>
            </w:r>
          </w:p>
        </w:tc>
        <w:tc>
          <w:tcPr>
            <w:tcW w:w="2268" w:type="dxa"/>
            <w:vAlign w:val="center"/>
          </w:tcPr>
          <w:p w14:paraId="7574DE03" w14:textId="77777777" w:rsidR="008143D9" w:rsidRPr="00AC3044" w:rsidRDefault="008143D9" w:rsidP="005A428D">
            <w:pPr>
              <w:rPr>
                <w:rFonts w:eastAsia="SimSun"/>
              </w:rPr>
            </w:pPr>
            <w:r w:rsidRPr="00AC3044">
              <w:rPr>
                <w:rFonts w:eastAsia="SimSun"/>
              </w:rPr>
              <w:t xml:space="preserve">В/в, в 20 мл физ. р-ра </w:t>
            </w:r>
          </w:p>
        </w:tc>
      </w:tr>
      <w:tr w:rsidR="008143D9" w:rsidRPr="00AC3044" w14:paraId="495BCA99" w14:textId="77777777" w:rsidTr="005A428D">
        <w:trPr>
          <w:cantSplit/>
          <w:trHeight w:val="464"/>
        </w:trPr>
        <w:tc>
          <w:tcPr>
            <w:tcW w:w="993" w:type="dxa"/>
            <w:vMerge/>
            <w:vAlign w:val="center"/>
          </w:tcPr>
          <w:p w14:paraId="0D0A9E42" w14:textId="77777777" w:rsidR="008143D9" w:rsidRPr="00AC3044" w:rsidRDefault="008143D9" w:rsidP="005A428D">
            <w:pPr>
              <w:rPr>
                <w:rFonts w:eastAsia="SimSun"/>
              </w:rPr>
            </w:pPr>
          </w:p>
        </w:tc>
        <w:tc>
          <w:tcPr>
            <w:tcW w:w="1843" w:type="dxa"/>
            <w:vMerge/>
            <w:vAlign w:val="center"/>
          </w:tcPr>
          <w:p w14:paraId="6B660A43" w14:textId="77777777" w:rsidR="008143D9" w:rsidRPr="00AC3044" w:rsidRDefault="008143D9" w:rsidP="005A428D">
            <w:pPr>
              <w:rPr>
                <w:rFonts w:eastAsia="SimSun"/>
              </w:rPr>
            </w:pPr>
          </w:p>
        </w:tc>
        <w:tc>
          <w:tcPr>
            <w:tcW w:w="1417" w:type="dxa"/>
            <w:vAlign w:val="center"/>
          </w:tcPr>
          <w:p w14:paraId="44A4A6B3" w14:textId="77777777" w:rsidR="008143D9" w:rsidRPr="00AC3044" w:rsidRDefault="008143D9" w:rsidP="005A428D">
            <w:pPr>
              <w:rPr>
                <w:rFonts w:eastAsia="SimSun"/>
              </w:rPr>
            </w:pPr>
            <w:r w:rsidRPr="00AC3044">
              <w:rPr>
                <w:rFonts w:eastAsia="SimSun"/>
              </w:rPr>
              <w:t>10 мг/м</w:t>
            </w:r>
            <w:r w:rsidRPr="000C005F">
              <w:rPr>
                <w:rFonts w:eastAsia="SimSun"/>
                <w:vertAlign w:val="superscript"/>
              </w:rPr>
              <w:t>2</w:t>
            </w:r>
          </w:p>
        </w:tc>
        <w:tc>
          <w:tcPr>
            <w:tcW w:w="1418" w:type="dxa"/>
            <w:vAlign w:val="center"/>
          </w:tcPr>
          <w:p w14:paraId="7B9BEC54" w14:textId="77777777" w:rsidR="008143D9" w:rsidRPr="00AC3044" w:rsidRDefault="008143D9" w:rsidP="005A428D">
            <w:pPr>
              <w:rPr>
                <w:rFonts w:eastAsia="SimSun"/>
              </w:rPr>
            </w:pPr>
            <w:r w:rsidRPr="00AC3044">
              <w:rPr>
                <w:rFonts w:eastAsia="SimSun"/>
              </w:rPr>
              <w:t>–</w:t>
            </w:r>
          </w:p>
        </w:tc>
        <w:tc>
          <w:tcPr>
            <w:tcW w:w="1701" w:type="dxa"/>
            <w:vAlign w:val="center"/>
          </w:tcPr>
          <w:p w14:paraId="27C64169" w14:textId="77777777" w:rsidR="008143D9" w:rsidRPr="00AC3044" w:rsidRDefault="008143D9" w:rsidP="005A428D">
            <w:pPr>
              <w:rPr>
                <w:rFonts w:eastAsia="SimSun"/>
              </w:rPr>
            </w:pPr>
            <w:r w:rsidRPr="00AC3044">
              <w:rPr>
                <w:rFonts w:eastAsia="SimSun"/>
              </w:rPr>
              <w:t>+3, +6, +11 день</w:t>
            </w:r>
          </w:p>
        </w:tc>
        <w:tc>
          <w:tcPr>
            <w:tcW w:w="2268" w:type="dxa"/>
            <w:vAlign w:val="center"/>
          </w:tcPr>
          <w:p w14:paraId="7BC82C63" w14:textId="77777777" w:rsidR="008143D9" w:rsidRPr="00AC3044" w:rsidRDefault="008143D9" w:rsidP="005A428D">
            <w:pPr>
              <w:rPr>
                <w:rFonts w:eastAsia="SimSun"/>
              </w:rPr>
            </w:pPr>
            <w:r w:rsidRPr="00AC3044">
              <w:rPr>
                <w:rFonts w:eastAsia="SimSun"/>
              </w:rPr>
              <w:t xml:space="preserve">В/в, в 20 мл физ. р-ра </w:t>
            </w:r>
          </w:p>
        </w:tc>
      </w:tr>
      <w:tr w:rsidR="008143D9" w:rsidRPr="00AC3044" w14:paraId="05CDF72A" w14:textId="77777777" w:rsidTr="005A428D">
        <w:trPr>
          <w:cantSplit/>
          <w:trHeight w:val="464"/>
        </w:trPr>
        <w:tc>
          <w:tcPr>
            <w:tcW w:w="993" w:type="dxa"/>
            <w:vMerge/>
            <w:vAlign w:val="center"/>
          </w:tcPr>
          <w:p w14:paraId="61783A81" w14:textId="77777777" w:rsidR="008143D9" w:rsidRPr="00AC3044" w:rsidRDefault="008143D9" w:rsidP="005A428D">
            <w:pPr>
              <w:rPr>
                <w:rFonts w:eastAsia="SimSun"/>
              </w:rPr>
            </w:pPr>
          </w:p>
        </w:tc>
        <w:tc>
          <w:tcPr>
            <w:tcW w:w="1843" w:type="dxa"/>
            <w:vMerge w:val="restart"/>
            <w:vAlign w:val="center"/>
          </w:tcPr>
          <w:p w14:paraId="5C69486B" w14:textId="77777777" w:rsidR="008143D9" w:rsidRPr="00AC3044" w:rsidRDefault="008143D9" w:rsidP="005A428D">
            <w:pPr>
              <w:rPr>
                <w:rFonts w:eastAsia="SimSun"/>
              </w:rPr>
            </w:pPr>
            <w:r w:rsidRPr="00AC3044">
              <w:rPr>
                <w:rFonts w:eastAsia="SimSun"/>
              </w:rPr>
              <w:t>Микофенолата мофетил (только при использовании СКК)</w:t>
            </w:r>
          </w:p>
        </w:tc>
        <w:tc>
          <w:tcPr>
            <w:tcW w:w="1417" w:type="dxa"/>
            <w:vAlign w:val="center"/>
          </w:tcPr>
          <w:p w14:paraId="4E0C1DBE" w14:textId="77777777" w:rsidR="008143D9" w:rsidRPr="00AC3044" w:rsidRDefault="008143D9" w:rsidP="005A428D">
            <w:pPr>
              <w:rPr>
                <w:rFonts w:eastAsia="SimSun"/>
              </w:rPr>
            </w:pPr>
            <w:r w:rsidRPr="00AC3044">
              <w:rPr>
                <w:rFonts w:eastAsia="SimSun"/>
              </w:rPr>
              <w:t>2000 мг</w:t>
            </w:r>
          </w:p>
        </w:tc>
        <w:tc>
          <w:tcPr>
            <w:tcW w:w="1418" w:type="dxa"/>
            <w:vAlign w:val="center"/>
          </w:tcPr>
          <w:p w14:paraId="41DDD8F1" w14:textId="77777777" w:rsidR="008143D9" w:rsidRPr="00AC3044" w:rsidRDefault="008143D9" w:rsidP="005A428D">
            <w:pPr>
              <w:rPr>
                <w:rFonts w:eastAsia="SimSun"/>
              </w:rPr>
            </w:pPr>
            <w:r w:rsidRPr="00AC3044">
              <w:rPr>
                <w:rFonts w:eastAsia="SimSun"/>
              </w:rPr>
              <w:t>–</w:t>
            </w:r>
          </w:p>
        </w:tc>
        <w:tc>
          <w:tcPr>
            <w:tcW w:w="1701" w:type="dxa"/>
            <w:vAlign w:val="center"/>
          </w:tcPr>
          <w:p w14:paraId="76D863FF" w14:textId="77777777" w:rsidR="008143D9" w:rsidRPr="00AC3044" w:rsidRDefault="008143D9" w:rsidP="005A428D">
            <w:pPr>
              <w:rPr>
                <w:rFonts w:eastAsia="SimSun"/>
              </w:rPr>
            </w:pPr>
            <w:r w:rsidRPr="00AC3044">
              <w:rPr>
                <w:rFonts w:eastAsia="SimSun"/>
              </w:rPr>
              <w:t>С +1 по +14 день</w:t>
            </w:r>
          </w:p>
        </w:tc>
        <w:tc>
          <w:tcPr>
            <w:tcW w:w="2268" w:type="dxa"/>
            <w:vAlign w:val="center"/>
          </w:tcPr>
          <w:p w14:paraId="668134A8" w14:textId="77777777" w:rsidR="008143D9" w:rsidRPr="00AC3044" w:rsidRDefault="008143D9" w:rsidP="005A428D">
            <w:pPr>
              <w:rPr>
                <w:rFonts w:eastAsia="SimSun"/>
              </w:rPr>
            </w:pPr>
            <w:r w:rsidRPr="00AC3044">
              <w:rPr>
                <w:rFonts w:eastAsia="SimSun"/>
              </w:rPr>
              <w:t>Внутрь, суммарная суточная доза разделяется на 2- 4 приема.</w:t>
            </w:r>
          </w:p>
        </w:tc>
      </w:tr>
      <w:tr w:rsidR="008143D9" w:rsidRPr="00AC3044" w14:paraId="0A2073FB" w14:textId="77777777" w:rsidTr="005A428D">
        <w:trPr>
          <w:cantSplit/>
          <w:trHeight w:val="464"/>
        </w:trPr>
        <w:tc>
          <w:tcPr>
            <w:tcW w:w="993" w:type="dxa"/>
            <w:vMerge/>
            <w:vAlign w:val="center"/>
          </w:tcPr>
          <w:p w14:paraId="498FA979" w14:textId="77777777" w:rsidR="008143D9" w:rsidRPr="00AC3044" w:rsidRDefault="008143D9" w:rsidP="005A428D">
            <w:pPr>
              <w:rPr>
                <w:rFonts w:eastAsia="SimSun"/>
              </w:rPr>
            </w:pPr>
          </w:p>
        </w:tc>
        <w:tc>
          <w:tcPr>
            <w:tcW w:w="1843" w:type="dxa"/>
            <w:vMerge/>
            <w:vAlign w:val="center"/>
          </w:tcPr>
          <w:p w14:paraId="27656F09" w14:textId="77777777" w:rsidR="008143D9" w:rsidRPr="00AC3044" w:rsidRDefault="008143D9" w:rsidP="005A428D">
            <w:pPr>
              <w:rPr>
                <w:rFonts w:eastAsia="SimSun"/>
              </w:rPr>
            </w:pPr>
          </w:p>
        </w:tc>
        <w:tc>
          <w:tcPr>
            <w:tcW w:w="1417" w:type="dxa"/>
            <w:vAlign w:val="center"/>
          </w:tcPr>
          <w:p w14:paraId="79616B35" w14:textId="77777777" w:rsidR="008143D9" w:rsidRPr="00AC3044" w:rsidRDefault="008143D9" w:rsidP="005A428D">
            <w:pPr>
              <w:rPr>
                <w:rFonts w:eastAsia="SimSun"/>
              </w:rPr>
            </w:pPr>
            <w:r w:rsidRPr="00AC3044">
              <w:rPr>
                <w:rFonts w:eastAsia="SimSun"/>
              </w:rPr>
              <w:t>1000 мг</w:t>
            </w:r>
          </w:p>
        </w:tc>
        <w:tc>
          <w:tcPr>
            <w:tcW w:w="1418" w:type="dxa"/>
            <w:vAlign w:val="center"/>
          </w:tcPr>
          <w:p w14:paraId="295AC046" w14:textId="77777777" w:rsidR="008143D9" w:rsidRPr="00AC3044" w:rsidRDefault="008143D9" w:rsidP="005A428D">
            <w:pPr>
              <w:rPr>
                <w:rFonts w:eastAsia="SimSun"/>
              </w:rPr>
            </w:pPr>
            <w:r w:rsidRPr="00AC3044">
              <w:rPr>
                <w:rFonts w:eastAsia="SimSun"/>
              </w:rPr>
              <w:t>–</w:t>
            </w:r>
          </w:p>
        </w:tc>
        <w:tc>
          <w:tcPr>
            <w:tcW w:w="1701" w:type="dxa"/>
            <w:vAlign w:val="center"/>
          </w:tcPr>
          <w:p w14:paraId="198F0630" w14:textId="77777777" w:rsidR="008143D9" w:rsidRPr="00AC3044" w:rsidRDefault="008143D9" w:rsidP="005A428D">
            <w:pPr>
              <w:rPr>
                <w:rFonts w:eastAsia="SimSun"/>
              </w:rPr>
            </w:pPr>
            <w:r w:rsidRPr="00AC3044">
              <w:rPr>
                <w:rFonts w:eastAsia="SimSun"/>
              </w:rPr>
              <w:t>С +15 по +90 день</w:t>
            </w:r>
          </w:p>
        </w:tc>
        <w:tc>
          <w:tcPr>
            <w:tcW w:w="2268" w:type="dxa"/>
            <w:vAlign w:val="center"/>
          </w:tcPr>
          <w:p w14:paraId="1EED213A" w14:textId="77777777" w:rsidR="008143D9" w:rsidRPr="00AC3044" w:rsidRDefault="008143D9" w:rsidP="005A428D">
            <w:pPr>
              <w:rPr>
                <w:rFonts w:eastAsia="SimSun"/>
              </w:rPr>
            </w:pPr>
            <w:r w:rsidRPr="00AC3044">
              <w:rPr>
                <w:rFonts w:eastAsia="SimSun"/>
              </w:rPr>
              <w:t>Внутрь, суммарная суточная доза разделяется на 2- 4 приема.</w:t>
            </w:r>
          </w:p>
        </w:tc>
      </w:tr>
    </w:tbl>
    <w:p w14:paraId="1A0E29B8" w14:textId="77777777" w:rsidR="008143D9" w:rsidRDefault="008143D9" w:rsidP="008143D9">
      <w:pPr>
        <w:rPr>
          <w:rFonts w:eastAsia="SimSun"/>
        </w:rPr>
      </w:pPr>
      <w:bookmarkStart w:id="125" w:name="_Toc44401161"/>
    </w:p>
    <w:p w14:paraId="2C6340E6" w14:textId="77777777" w:rsidR="008143D9" w:rsidRPr="00C07B2E" w:rsidRDefault="008143D9" w:rsidP="008143D9">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1.2.3 – Flu150+Bu8 / PT-Cy+CSA+MMF45</w:t>
      </w:r>
      <w:bookmarkEnd w:id="125"/>
    </w:p>
    <w:tbl>
      <w:tblPr>
        <w:tblW w:w="9640" w:type="dxa"/>
        <w:tblInd w:w="-34" w:type="dxa"/>
        <w:tblLayout w:type="fixed"/>
        <w:tblCellMar>
          <w:left w:w="10" w:type="dxa"/>
          <w:right w:w="10" w:type="dxa"/>
        </w:tblCellMar>
        <w:tblLook w:val="0000" w:firstRow="0" w:lastRow="0" w:firstColumn="0" w:lastColumn="0" w:noHBand="0" w:noVBand="0"/>
      </w:tblPr>
      <w:tblGrid>
        <w:gridCol w:w="993"/>
        <w:gridCol w:w="1843"/>
        <w:gridCol w:w="1417"/>
        <w:gridCol w:w="1418"/>
        <w:gridCol w:w="1701"/>
        <w:gridCol w:w="2268"/>
      </w:tblGrid>
      <w:tr w:rsidR="008143D9" w:rsidRPr="00AC3044" w14:paraId="5BB74A4D" w14:textId="77777777" w:rsidTr="005A428D">
        <w:trPr>
          <w:cantSplit/>
          <w:trHeight w:val="20"/>
          <w:tblHeader/>
        </w:trPr>
        <w:tc>
          <w:tcPr>
            <w:tcW w:w="9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BD9536" w14:textId="77777777" w:rsidR="008143D9" w:rsidRPr="00470D3D" w:rsidRDefault="008143D9" w:rsidP="005A428D">
            <w:pPr>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2123AC4" w14:textId="77777777" w:rsidR="008143D9" w:rsidRPr="00AC3044" w:rsidRDefault="008143D9" w:rsidP="005A428D">
            <w:pPr>
              <w:rPr>
                <w:rFonts w:eastAsia="SimSun"/>
              </w:rPr>
            </w:pPr>
            <w:r w:rsidRPr="00AC3044">
              <w:rPr>
                <w:rFonts w:eastAsia="SimSun"/>
              </w:rPr>
              <w:t>Препарат</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0655EAC" w14:textId="77777777" w:rsidR="008143D9" w:rsidRPr="00AC3044" w:rsidRDefault="008143D9" w:rsidP="005A428D">
            <w:pPr>
              <w:rPr>
                <w:rFonts w:eastAsia="SimSun"/>
              </w:rPr>
            </w:pPr>
            <w:r w:rsidRPr="00AC3044">
              <w:rPr>
                <w:rFonts w:eastAsia="SimSun"/>
              </w:rPr>
              <w:t>Суточная доза</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BEDD4C8" w14:textId="77777777" w:rsidR="008143D9" w:rsidRPr="00AC3044" w:rsidRDefault="008143D9" w:rsidP="005A428D">
            <w:pPr>
              <w:rPr>
                <w:rFonts w:eastAsia="SimSun"/>
              </w:rPr>
            </w:pPr>
            <w:r w:rsidRPr="00AC3044">
              <w:rPr>
                <w:rFonts w:eastAsia="SimSun"/>
              </w:rPr>
              <w:t>Курсовая доза</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E08F6DD" w14:textId="77777777" w:rsidR="008143D9" w:rsidRPr="00AC3044" w:rsidRDefault="008143D9" w:rsidP="005A428D">
            <w:pPr>
              <w:rPr>
                <w:rFonts w:eastAsia="SimSun"/>
              </w:rPr>
            </w:pPr>
            <w:r w:rsidRPr="00AC3044">
              <w:rPr>
                <w:rFonts w:eastAsia="SimSun"/>
              </w:rPr>
              <w:t>Дни введения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8F36003"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5A1B82AD" w14:textId="77777777" w:rsidTr="005A428D">
        <w:trPr>
          <w:cantSplit/>
          <w:trHeight w:val="20"/>
        </w:trPr>
        <w:tc>
          <w:tcPr>
            <w:tcW w:w="99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21AA4570" w14:textId="77777777" w:rsidR="008143D9" w:rsidRPr="00AC3044" w:rsidRDefault="008143D9" w:rsidP="005A428D">
            <w:pPr>
              <w:rPr>
                <w:rFonts w:eastAsia="SimSun"/>
              </w:rPr>
            </w:pPr>
            <w:r w:rsidRPr="00AC3044">
              <w:rPr>
                <w:rFonts w:eastAsia="SimSun"/>
              </w:rPr>
              <w:t>Кондиционирование</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C36AEE2" w14:textId="77777777" w:rsidR="008143D9" w:rsidRPr="00AC3044" w:rsidRDefault="008143D9" w:rsidP="005A428D">
            <w:pPr>
              <w:rPr>
                <w:rFonts w:eastAsia="SimSun"/>
              </w:rPr>
            </w:pPr>
            <w:r w:rsidRPr="00AC3044">
              <w:rPr>
                <w:rFonts w:eastAsia="SimSun"/>
              </w:rPr>
              <w:t>Флударабин</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8DFDBBB" w14:textId="77777777" w:rsidR="008143D9" w:rsidRPr="00AC3044" w:rsidRDefault="008143D9" w:rsidP="005A428D">
            <w:pPr>
              <w:rPr>
                <w:rFonts w:eastAsia="SimSun"/>
              </w:rPr>
            </w:pPr>
            <w:r w:rsidRPr="00AC3044">
              <w:rPr>
                <w:rFonts w:eastAsia="SimSun"/>
              </w:rPr>
              <w:t>30 мг/м</w:t>
            </w:r>
            <w:r w:rsidRPr="000C005F">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3EFD87A6" w14:textId="77777777" w:rsidR="008143D9" w:rsidRPr="00AC3044" w:rsidRDefault="008143D9" w:rsidP="005A428D">
            <w:pPr>
              <w:rPr>
                <w:rFonts w:eastAsia="SimSun"/>
              </w:rPr>
            </w:pPr>
            <w:r w:rsidRPr="00AC3044">
              <w:rPr>
                <w:rFonts w:eastAsia="SimSun"/>
              </w:rPr>
              <w:t>150 мг/м</w:t>
            </w:r>
            <w:r w:rsidRPr="000C005F">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F49C8BE" w14:textId="77777777" w:rsidR="008143D9" w:rsidRPr="00AC3044" w:rsidRDefault="008143D9" w:rsidP="005A428D">
            <w:pPr>
              <w:rPr>
                <w:rFonts w:eastAsia="SimSun"/>
              </w:rPr>
            </w:pPr>
            <w:r w:rsidRPr="00AC3044">
              <w:rPr>
                <w:rFonts w:eastAsia="SimSun"/>
              </w:rPr>
              <w:t>С –6 по –2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CA6E7E7"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07D3A6B8" w14:textId="77777777" w:rsidTr="005A428D">
        <w:trPr>
          <w:cantSplit/>
          <w:trHeight w:val="918"/>
        </w:trPr>
        <w:tc>
          <w:tcPr>
            <w:tcW w:w="99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6C710721" w14:textId="77777777" w:rsidR="008143D9" w:rsidRPr="00AC3044" w:rsidRDefault="008143D9" w:rsidP="005A428D">
            <w:pPr>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72B667D" w14:textId="77777777" w:rsidR="008143D9" w:rsidRPr="00AC3044" w:rsidRDefault="008143D9" w:rsidP="005A428D">
            <w:pPr>
              <w:rPr>
                <w:rFonts w:eastAsia="SimSun"/>
              </w:rPr>
            </w:pPr>
            <w:r w:rsidRPr="00AC3044">
              <w:rPr>
                <w:rFonts w:eastAsia="SimSun"/>
              </w:rPr>
              <w:t>Бусульфан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70799A8" w14:textId="77777777" w:rsidR="008143D9" w:rsidRPr="00AC3044" w:rsidRDefault="008143D9" w:rsidP="005A428D">
            <w:pPr>
              <w:rPr>
                <w:rFonts w:eastAsia="SimSun"/>
              </w:rPr>
            </w:pPr>
            <w:r w:rsidRPr="00AC3044">
              <w:rPr>
                <w:rFonts w:eastAsia="SimSun"/>
              </w:rPr>
              <w:t>4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99EB07A" w14:textId="77777777" w:rsidR="008143D9" w:rsidRPr="00AC3044" w:rsidRDefault="008143D9" w:rsidP="005A428D">
            <w:pPr>
              <w:rPr>
                <w:rFonts w:eastAsia="SimSun"/>
              </w:rPr>
            </w:pPr>
            <w:r w:rsidRPr="00AC3044">
              <w:rPr>
                <w:rFonts w:eastAsia="SimSun"/>
              </w:rPr>
              <w:t>8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7E5081E" w14:textId="77777777" w:rsidR="008143D9" w:rsidRPr="00AC3044" w:rsidRDefault="008143D9" w:rsidP="005A428D">
            <w:pPr>
              <w:rPr>
                <w:rFonts w:eastAsia="SimSun"/>
              </w:rPr>
            </w:pPr>
            <w:r w:rsidRPr="00AC3044">
              <w:rPr>
                <w:rFonts w:eastAsia="SimSun"/>
              </w:rPr>
              <w:t xml:space="preserve"> –4, –3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87551E6" w14:textId="77777777" w:rsidR="008143D9" w:rsidRPr="00AC3044" w:rsidRDefault="008143D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8143D9" w:rsidRPr="00AC3044" w14:paraId="0FF12F14" w14:textId="77777777" w:rsidTr="005A428D">
        <w:trPr>
          <w:cantSplit/>
          <w:trHeight w:val="20"/>
        </w:trPr>
        <w:tc>
          <w:tcPr>
            <w:tcW w:w="99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5DAFA33B" w14:textId="77777777" w:rsidR="008143D9" w:rsidRPr="00AC3044" w:rsidRDefault="008143D9" w:rsidP="005A428D">
            <w:pPr>
              <w:rPr>
                <w:rFonts w:eastAsia="SimSun"/>
              </w:rPr>
            </w:pPr>
            <w:r w:rsidRPr="00AC3044">
              <w:rPr>
                <w:rFonts w:eastAsia="SimSun"/>
              </w:rPr>
              <w:t>Профилактика РТПХ</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615E5BA" w14:textId="77777777" w:rsidR="008143D9" w:rsidRPr="00AC3044" w:rsidRDefault="008143D9" w:rsidP="005A428D">
            <w:pPr>
              <w:rPr>
                <w:rFonts w:eastAsia="SimSun"/>
              </w:rPr>
            </w:pPr>
            <w:r w:rsidRPr="00AC3044">
              <w:rPr>
                <w:rFonts w:eastAsia="SimSun"/>
              </w:rPr>
              <w:t>Циклоспорин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11ADB81" w14:textId="77777777" w:rsidR="008143D9" w:rsidRPr="00AC3044" w:rsidRDefault="008143D9" w:rsidP="005A428D">
            <w:pPr>
              <w:rPr>
                <w:rFonts w:eastAsia="SimSun"/>
              </w:rPr>
            </w:pPr>
            <w:r w:rsidRPr="00AC3044">
              <w:rPr>
                <w:rFonts w:eastAsia="SimSun"/>
              </w:rPr>
              <w:t>3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E63898C" w14:textId="77777777" w:rsidR="008143D9" w:rsidRPr="00AC3044" w:rsidRDefault="008143D9" w:rsidP="005A428D">
            <w:pPr>
              <w:rPr>
                <w:rFonts w:eastAsia="SimSun"/>
              </w:rPr>
            </w:pPr>
            <w:r w:rsidRPr="00AC3044">
              <w:rPr>
                <w:rFonts w:eastAsia="SimSun"/>
              </w:rPr>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BA0CE13" w14:textId="77777777" w:rsidR="008143D9" w:rsidRPr="00AC3044" w:rsidRDefault="008143D9" w:rsidP="005A428D">
            <w:pPr>
              <w:rPr>
                <w:rFonts w:eastAsia="SimSun"/>
              </w:rPr>
            </w:pPr>
            <w:r w:rsidRPr="00AC3044">
              <w:rPr>
                <w:rFonts w:eastAsia="SimSun"/>
              </w:rPr>
              <w:t>С +5 по +90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30E8AD6" w14:textId="77777777" w:rsidR="008143D9" w:rsidRPr="00AC3044" w:rsidRDefault="008143D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8143D9" w:rsidRPr="00AC3044" w14:paraId="39EFB691" w14:textId="77777777" w:rsidTr="005A428D">
        <w:trPr>
          <w:cantSplit/>
          <w:trHeight w:val="20"/>
        </w:trPr>
        <w:tc>
          <w:tcPr>
            <w:tcW w:w="99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2A7C525" w14:textId="77777777" w:rsidR="008143D9" w:rsidRPr="00AC3044" w:rsidRDefault="008143D9" w:rsidP="005A428D">
            <w:pPr>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942DCBA" w14:textId="77777777" w:rsidR="008143D9" w:rsidRPr="00AC3044" w:rsidRDefault="008143D9" w:rsidP="005A428D">
            <w:pPr>
              <w:rPr>
                <w:rFonts w:eastAsia="SimSun"/>
              </w:rPr>
            </w:pPr>
            <w:r w:rsidRPr="00AC3044">
              <w:rPr>
                <w:rFonts w:eastAsia="SimSun"/>
              </w:rPr>
              <w:t>Микофенолата мофетил</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51AC5EE" w14:textId="77777777" w:rsidR="008143D9" w:rsidRPr="00AC3044" w:rsidRDefault="008143D9" w:rsidP="005A428D">
            <w:pPr>
              <w:rPr>
                <w:rFonts w:eastAsia="SimSun"/>
              </w:rPr>
            </w:pPr>
            <w:r w:rsidRPr="00AC3044">
              <w:rPr>
                <w:rFonts w:eastAsia="SimSun"/>
              </w:rPr>
              <w:t>45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F2806B1" w14:textId="77777777" w:rsidR="008143D9" w:rsidRPr="00AC3044" w:rsidRDefault="008143D9" w:rsidP="005A428D">
            <w:pPr>
              <w:rPr>
                <w:rFonts w:eastAsia="SimSun"/>
              </w:rPr>
            </w:pPr>
            <w:r w:rsidRPr="00AC3044">
              <w:rPr>
                <w:rFonts w:eastAsia="SimSun"/>
              </w:rPr>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D9575DD" w14:textId="77777777" w:rsidR="008143D9" w:rsidRPr="00AC3044" w:rsidRDefault="008143D9" w:rsidP="005A428D">
            <w:pPr>
              <w:rPr>
                <w:rFonts w:eastAsia="SimSun"/>
              </w:rPr>
            </w:pPr>
            <w:r w:rsidRPr="00AC3044">
              <w:rPr>
                <w:rFonts w:eastAsia="SimSun"/>
              </w:rPr>
              <w:t>С +5 по +30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9D776A6" w14:textId="77777777" w:rsidR="008143D9" w:rsidRPr="00AC3044" w:rsidRDefault="008143D9" w:rsidP="005A428D">
            <w:pPr>
              <w:rPr>
                <w:rFonts w:eastAsia="SimSun"/>
              </w:rPr>
            </w:pPr>
            <w:r w:rsidRPr="00AC3044">
              <w:rPr>
                <w:rFonts w:eastAsia="SimSun"/>
              </w:rPr>
              <w:t>Внутрь, суммарная суточная доза разделяется на 4 приема (не более 3</w:t>
            </w:r>
            <w:r>
              <w:rPr>
                <w:rFonts w:eastAsia="SimSun"/>
              </w:rPr>
              <w:t xml:space="preserve"> </w:t>
            </w:r>
            <w:r w:rsidRPr="00AC3044">
              <w:rPr>
                <w:rFonts w:eastAsia="SimSun"/>
              </w:rPr>
              <w:t>г/сут)</w:t>
            </w:r>
          </w:p>
        </w:tc>
      </w:tr>
      <w:tr w:rsidR="008143D9" w:rsidRPr="00AC3044" w14:paraId="14E75239" w14:textId="77777777" w:rsidTr="005A428D">
        <w:trPr>
          <w:cantSplit/>
          <w:trHeight w:val="464"/>
        </w:trPr>
        <w:tc>
          <w:tcPr>
            <w:tcW w:w="99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C3BA09C" w14:textId="77777777" w:rsidR="008143D9" w:rsidRPr="00AC3044" w:rsidRDefault="008143D9" w:rsidP="005A428D">
            <w:pPr>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68D4288" w14:textId="77777777" w:rsidR="008143D9" w:rsidRPr="00AC3044" w:rsidRDefault="008143D9" w:rsidP="005A428D">
            <w:pPr>
              <w:rPr>
                <w:rFonts w:eastAsia="SimSun"/>
              </w:rPr>
            </w:pPr>
            <w:r w:rsidRPr="00AC3044">
              <w:rPr>
                <w:rFonts w:eastAsia="SimSun"/>
              </w:rPr>
              <w:t>Циклофосфамид</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43E4EA6" w14:textId="77777777" w:rsidR="008143D9" w:rsidRPr="00AC3044" w:rsidRDefault="008143D9" w:rsidP="005A428D">
            <w:pPr>
              <w:rPr>
                <w:rFonts w:eastAsia="SimSun"/>
              </w:rPr>
            </w:pPr>
            <w:r w:rsidRPr="00AC3044">
              <w:rPr>
                <w:rFonts w:eastAsia="SimSun"/>
              </w:rPr>
              <w:t>50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55BF7B7" w14:textId="77777777" w:rsidR="008143D9" w:rsidRPr="00AC3044" w:rsidRDefault="008143D9" w:rsidP="005A428D">
            <w:pPr>
              <w:rPr>
                <w:rFonts w:eastAsia="SimSun"/>
              </w:rPr>
            </w:pPr>
            <w:r w:rsidRPr="00AC3044">
              <w:rPr>
                <w:rFonts w:eastAsia="SimSun"/>
              </w:rPr>
              <w:t>100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43B1747" w14:textId="77777777" w:rsidR="008143D9" w:rsidRPr="00AC3044" w:rsidRDefault="008143D9" w:rsidP="005A428D">
            <w:pPr>
              <w:rPr>
                <w:rFonts w:eastAsia="SimSun"/>
              </w:rPr>
            </w:pPr>
            <w:r w:rsidRPr="00AC3044">
              <w:rPr>
                <w:rFonts w:eastAsia="SimSun"/>
              </w:rPr>
              <w:t>+3, +4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9F8B292" w14:textId="77777777" w:rsidR="008143D9" w:rsidRPr="00AC3044" w:rsidRDefault="008143D9" w:rsidP="005A428D">
            <w:pPr>
              <w:rPr>
                <w:rFonts w:eastAsia="SimSun"/>
              </w:rPr>
            </w:pPr>
            <w:r w:rsidRPr="00AC3044">
              <w:rPr>
                <w:rFonts w:eastAsia="SimSun"/>
              </w:rPr>
              <w:t>В/в, инфузия в течение 2 ч</w:t>
            </w:r>
          </w:p>
        </w:tc>
      </w:tr>
    </w:tbl>
    <w:p w14:paraId="094A1D9E" w14:textId="77777777" w:rsidR="008143D9" w:rsidRDefault="008143D9" w:rsidP="008143D9">
      <w:pPr>
        <w:rPr>
          <w:rFonts w:eastAsia="SimSun"/>
        </w:rPr>
      </w:pPr>
      <w:bookmarkStart w:id="126" w:name="_Toc44401162"/>
    </w:p>
    <w:p w14:paraId="7B5EDFC1" w14:textId="77777777" w:rsidR="008143D9" w:rsidRPr="00C07B2E" w:rsidRDefault="008143D9" w:rsidP="008143D9">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1.2.4  – Flu150+Bu8+Thio / PT-Cy+CSA+ MMF30</w:t>
      </w:r>
      <w:bookmarkEnd w:id="126"/>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8143D9" w:rsidRPr="00AC3044" w14:paraId="2C1E776A" w14:textId="77777777" w:rsidTr="005A428D">
        <w:trPr>
          <w:cantSplit/>
          <w:trHeight w:val="20"/>
          <w:tblHeader/>
        </w:trPr>
        <w:tc>
          <w:tcPr>
            <w:tcW w:w="993" w:type="dxa"/>
          </w:tcPr>
          <w:p w14:paraId="01BAF983" w14:textId="77777777" w:rsidR="008143D9" w:rsidRPr="00470D3D" w:rsidRDefault="008143D9" w:rsidP="005A428D">
            <w:pPr>
              <w:rPr>
                <w:rFonts w:eastAsia="SimSun"/>
              </w:rPr>
            </w:pPr>
          </w:p>
        </w:tc>
        <w:tc>
          <w:tcPr>
            <w:tcW w:w="1843" w:type="dxa"/>
            <w:vAlign w:val="center"/>
          </w:tcPr>
          <w:p w14:paraId="7D02B695" w14:textId="77777777" w:rsidR="008143D9" w:rsidRPr="00AC3044" w:rsidRDefault="008143D9" w:rsidP="005A428D">
            <w:pPr>
              <w:rPr>
                <w:rFonts w:eastAsia="SimSun"/>
              </w:rPr>
            </w:pPr>
            <w:r w:rsidRPr="00AC3044">
              <w:rPr>
                <w:rFonts w:eastAsia="SimSun"/>
              </w:rPr>
              <w:t>Препарат</w:t>
            </w:r>
          </w:p>
        </w:tc>
        <w:tc>
          <w:tcPr>
            <w:tcW w:w="1417" w:type="dxa"/>
            <w:vAlign w:val="center"/>
          </w:tcPr>
          <w:p w14:paraId="6C236179" w14:textId="77777777" w:rsidR="008143D9" w:rsidRPr="00AC3044" w:rsidRDefault="008143D9" w:rsidP="005A428D">
            <w:pPr>
              <w:rPr>
                <w:rFonts w:eastAsia="SimSun"/>
              </w:rPr>
            </w:pPr>
            <w:r w:rsidRPr="00AC3044">
              <w:rPr>
                <w:rFonts w:eastAsia="SimSun"/>
              </w:rPr>
              <w:t>Суточная доза</w:t>
            </w:r>
          </w:p>
        </w:tc>
        <w:tc>
          <w:tcPr>
            <w:tcW w:w="1418" w:type="dxa"/>
            <w:vAlign w:val="center"/>
          </w:tcPr>
          <w:p w14:paraId="245F4CBB" w14:textId="77777777" w:rsidR="008143D9" w:rsidRPr="00AC3044" w:rsidRDefault="008143D9" w:rsidP="005A428D">
            <w:pPr>
              <w:rPr>
                <w:rFonts w:eastAsia="SimSun"/>
              </w:rPr>
            </w:pPr>
            <w:r w:rsidRPr="00AC3044">
              <w:rPr>
                <w:rFonts w:eastAsia="SimSun"/>
              </w:rPr>
              <w:t>Курсовая доза</w:t>
            </w:r>
          </w:p>
        </w:tc>
        <w:tc>
          <w:tcPr>
            <w:tcW w:w="1701" w:type="dxa"/>
            <w:vAlign w:val="center"/>
          </w:tcPr>
          <w:p w14:paraId="770F5974" w14:textId="77777777" w:rsidR="008143D9" w:rsidRPr="00AC3044" w:rsidRDefault="008143D9" w:rsidP="005A428D">
            <w:pPr>
              <w:rPr>
                <w:rFonts w:eastAsia="SimSun"/>
              </w:rPr>
            </w:pPr>
            <w:r w:rsidRPr="00AC3044">
              <w:rPr>
                <w:rFonts w:eastAsia="SimSun"/>
              </w:rPr>
              <w:t>Дни введения</w:t>
            </w:r>
          </w:p>
        </w:tc>
        <w:tc>
          <w:tcPr>
            <w:tcW w:w="2268" w:type="dxa"/>
            <w:vAlign w:val="center"/>
          </w:tcPr>
          <w:p w14:paraId="22E7A7D6"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16F1829F" w14:textId="77777777" w:rsidTr="005A428D">
        <w:trPr>
          <w:cantSplit/>
          <w:trHeight w:val="20"/>
        </w:trPr>
        <w:tc>
          <w:tcPr>
            <w:tcW w:w="993" w:type="dxa"/>
            <w:vMerge w:val="restart"/>
            <w:textDirection w:val="btLr"/>
            <w:vAlign w:val="center"/>
          </w:tcPr>
          <w:p w14:paraId="27D7D99A" w14:textId="77777777" w:rsidR="008143D9" w:rsidRPr="00AC3044" w:rsidRDefault="008143D9" w:rsidP="005A428D">
            <w:pPr>
              <w:rPr>
                <w:rFonts w:eastAsia="SimSun"/>
              </w:rPr>
            </w:pPr>
            <w:r w:rsidRPr="00AC3044">
              <w:rPr>
                <w:rFonts w:eastAsia="SimSun"/>
              </w:rPr>
              <w:t>Кондиционирование</w:t>
            </w:r>
          </w:p>
        </w:tc>
        <w:tc>
          <w:tcPr>
            <w:tcW w:w="1843" w:type="dxa"/>
            <w:vAlign w:val="center"/>
          </w:tcPr>
          <w:p w14:paraId="1EC3B659" w14:textId="77777777" w:rsidR="008143D9" w:rsidRPr="00AC3044" w:rsidRDefault="008143D9" w:rsidP="005A428D">
            <w:pPr>
              <w:rPr>
                <w:rFonts w:eastAsia="SimSun"/>
              </w:rPr>
            </w:pPr>
            <w:r w:rsidRPr="00AC3044">
              <w:rPr>
                <w:rFonts w:eastAsia="SimSun"/>
              </w:rPr>
              <w:t xml:space="preserve">Флударабин </w:t>
            </w:r>
          </w:p>
        </w:tc>
        <w:tc>
          <w:tcPr>
            <w:tcW w:w="1417" w:type="dxa"/>
            <w:vAlign w:val="center"/>
          </w:tcPr>
          <w:p w14:paraId="55374029" w14:textId="77777777" w:rsidR="008143D9" w:rsidRPr="00AC3044" w:rsidRDefault="008143D9" w:rsidP="005A428D">
            <w:pPr>
              <w:rPr>
                <w:rFonts w:eastAsia="SimSun"/>
              </w:rPr>
            </w:pPr>
            <w:r w:rsidRPr="00AC3044">
              <w:rPr>
                <w:rFonts w:eastAsia="SimSun"/>
              </w:rPr>
              <w:t>50 мг/м</w:t>
            </w:r>
            <w:r w:rsidRPr="000C005F">
              <w:rPr>
                <w:rFonts w:eastAsia="SimSun"/>
                <w:vertAlign w:val="superscript"/>
              </w:rPr>
              <w:t>2</w:t>
            </w:r>
          </w:p>
        </w:tc>
        <w:tc>
          <w:tcPr>
            <w:tcW w:w="1418" w:type="dxa"/>
            <w:vAlign w:val="center"/>
          </w:tcPr>
          <w:p w14:paraId="43A537D7" w14:textId="77777777" w:rsidR="008143D9" w:rsidRPr="00AC3044" w:rsidRDefault="008143D9" w:rsidP="005A428D">
            <w:pPr>
              <w:rPr>
                <w:rFonts w:eastAsia="SimSun"/>
              </w:rPr>
            </w:pPr>
            <w:r w:rsidRPr="00AC3044">
              <w:rPr>
                <w:rFonts w:eastAsia="SimSun"/>
              </w:rPr>
              <w:t>150 мг/м</w:t>
            </w:r>
            <w:r w:rsidRPr="000C005F">
              <w:rPr>
                <w:rFonts w:eastAsia="SimSun"/>
                <w:vertAlign w:val="superscript"/>
              </w:rPr>
              <w:t>2</w:t>
            </w:r>
          </w:p>
        </w:tc>
        <w:tc>
          <w:tcPr>
            <w:tcW w:w="1701" w:type="dxa"/>
            <w:vAlign w:val="center"/>
          </w:tcPr>
          <w:p w14:paraId="345C0FDE" w14:textId="77777777" w:rsidR="008143D9" w:rsidRPr="00AC3044" w:rsidRDefault="008143D9" w:rsidP="005A428D">
            <w:pPr>
              <w:rPr>
                <w:rFonts w:eastAsia="SimSun"/>
              </w:rPr>
            </w:pPr>
            <w:r w:rsidRPr="00AC3044">
              <w:rPr>
                <w:rFonts w:eastAsia="SimSun"/>
              </w:rPr>
              <w:t>С –4 по –2 день</w:t>
            </w:r>
          </w:p>
        </w:tc>
        <w:tc>
          <w:tcPr>
            <w:tcW w:w="2268" w:type="dxa"/>
            <w:vAlign w:val="center"/>
          </w:tcPr>
          <w:p w14:paraId="4AD98C8B"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03227D63" w14:textId="77777777" w:rsidTr="005A428D">
        <w:trPr>
          <w:cantSplit/>
          <w:trHeight w:val="703"/>
        </w:trPr>
        <w:tc>
          <w:tcPr>
            <w:tcW w:w="993" w:type="dxa"/>
            <w:vMerge/>
            <w:textDirection w:val="btLr"/>
            <w:vAlign w:val="center"/>
          </w:tcPr>
          <w:p w14:paraId="4A2CC43C" w14:textId="77777777" w:rsidR="008143D9" w:rsidRPr="00AC3044" w:rsidRDefault="008143D9" w:rsidP="005A428D">
            <w:pPr>
              <w:rPr>
                <w:rFonts w:eastAsia="SimSun"/>
              </w:rPr>
            </w:pPr>
          </w:p>
        </w:tc>
        <w:tc>
          <w:tcPr>
            <w:tcW w:w="1843" w:type="dxa"/>
            <w:vAlign w:val="center"/>
          </w:tcPr>
          <w:p w14:paraId="32710DA9" w14:textId="77777777" w:rsidR="008143D9" w:rsidRPr="00AC3044" w:rsidRDefault="008143D9" w:rsidP="005A428D">
            <w:pPr>
              <w:rPr>
                <w:rFonts w:eastAsia="SimSun"/>
              </w:rPr>
            </w:pPr>
            <w:r w:rsidRPr="00AC3044">
              <w:rPr>
                <w:rFonts w:eastAsia="SimSun"/>
              </w:rPr>
              <w:t>Бусульфан</w:t>
            </w:r>
          </w:p>
        </w:tc>
        <w:tc>
          <w:tcPr>
            <w:tcW w:w="1417" w:type="dxa"/>
            <w:vAlign w:val="center"/>
          </w:tcPr>
          <w:p w14:paraId="3625DA65" w14:textId="77777777" w:rsidR="008143D9" w:rsidRPr="00AC3044" w:rsidRDefault="008143D9" w:rsidP="005A428D">
            <w:pPr>
              <w:rPr>
                <w:rFonts w:eastAsia="SimSun"/>
              </w:rPr>
            </w:pPr>
            <w:r w:rsidRPr="00AC3044">
              <w:rPr>
                <w:rFonts w:eastAsia="SimSun"/>
              </w:rPr>
              <w:t>4 мг/кг</w:t>
            </w:r>
          </w:p>
        </w:tc>
        <w:tc>
          <w:tcPr>
            <w:tcW w:w="1418" w:type="dxa"/>
            <w:vAlign w:val="center"/>
          </w:tcPr>
          <w:p w14:paraId="653831E6" w14:textId="77777777" w:rsidR="008143D9" w:rsidRPr="00AC3044" w:rsidRDefault="008143D9" w:rsidP="005A428D">
            <w:pPr>
              <w:rPr>
                <w:rFonts w:eastAsia="SimSun"/>
              </w:rPr>
            </w:pPr>
            <w:r w:rsidRPr="00AC3044">
              <w:rPr>
                <w:rFonts w:eastAsia="SimSun"/>
              </w:rPr>
              <w:t>8 мг/кг</w:t>
            </w:r>
          </w:p>
        </w:tc>
        <w:tc>
          <w:tcPr>
            <w:tcW w:w="1701" w:type="dxa"/>
            <w:vAlign w:val="center"/>
          </w:tcPr>
          <w:p w14:paraId="37DF4342" w14:textId="77777777" w:rsidR="008143D9" w:rsidRPr="00AC3044" w:rsidRDefault="008143D9" w:rsidP="005A428D">
            <w:pPr>
              <w:rPr>
                <w:rFonts w:eastAsia="SimSun"/>
              </w:rPr>
            </w:pPr>
            <w:r w:rsidRPr="00AC3044">
              <w:rPr>
                <w:rFonts w:eastAsia="SimSun"/>
              </w:rPr>
              <w:t>–3, –2 дни</w:t>
            </w:r>
          </w:p>
        </w:tc>
        <w:tc>
          <w:tcPr>
            <w:tcW w:w="2268" w:type="dxa"/>
            <w:vAlign w:val="center"/>
          </w:tcPr>
          <w:p w14:paraId="0B241ABD" w14:textId="77777777" w:rsidR="008143D9" w:rsidRPr="00AC3044" w:rsidRDefault="008143D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8143D9" w:rsidRPr="00AC3044" w14:paraId="6482642D" w14:textId="77777777" w:rsidTr="005A428D">
        <w:trPr>
          <w:cantSplit/>
          <w:trHeight w:val="704"/>
        </w:trPr>
        <w:tc>
          <w:tcPr>
            <w:tcW w:w="993" w:type="dxa"/>
            <w:vMerge/>
            <w:textDirection w:val="btLr"/>
            <w:vAlign w:val="center"/>
          </w:tcPr>
          <w:p w14:paraId="5D30DF55" w14:textId="77777777" w:rsidR="008143D9" w:rsidRPr="00AC3044" w:rsidRDefault="008143D9" w:rsidP="005A428D">
            <w:pPr>
              <w:rPr>
                <w:rFonts w:eastAsia="SimSun"/>
              </w:rPr>
            </w:pPr>
          </w:p>
        </w:tc>
        <w:tc>
          <w:tcPr>
            <w:tcW w:w="1843" w:type="dxa"/>
            <w:vAlign w:val="center"/>
          </w:tcPr>
          <w:p w14:paraId="36F4ABB4" w14:textId="77777777" w:rsidR="008143D9" w:rsidRPr="00AC3044" w:rsidRDefault="008143D9" w:rsidP="005A428D">
            <w:pPr>
              <w:rPr>
                <w:rFonts w:eastAsia="SimSun"/>
              </w:rPr>
            </w:pPr>
            <w:r w:rsidRPr="00AC3044">
              <w:rPr>
                <w:rFonts w:eastAsia="SimSun"/>
              </w:rPr>
              <w:t>Тиотепа</w:t>
            </w:r>
          </w:p>
        </w:tc>
        <w:tc>
          <w:tcPr>
            <w:tcW w:w="1417" w:type="dxa"/>
            <w:vAlign w:val="center"/>
          </w:tcPr>
          <w:p w14:paraId="636BF17B" w14:textId="77777777" w:rsidR="008143D9" w:rsidRPr="00AC3044" w:rsidRDefault="008143D9" w:rsidP="005A428D">
            <w:pPr>
              <w:rPr>
                <w:rFonts w:eastAsia="SimSun"/>
              </w:rPr>
            </w:pPr>
            <w:r w:rsidRPr="00AC3044">
              <w:rPr>
                <w:rFonts w:eastAsia="SimSun"/>
              </w:rPr>
              <w:t>5 мг/кг</w:t>
            </w:r>
          </w:p>
        </w:tc>
        <w:tc>
          <w:tcPr>
            <w:tcW w:w="1418" w:type="dxa"/>
            <w:vAlign w:val="center"/>
          </w:tcPr>
          <w:p w14:paraId="3F1BD466" w14:textId="77777777" w:rsidR="008143D9" w:rsidRPr="00AC3044" w:rsidRDefault="008143D9" w:rsidP="005A428D">
            <w:pPr>
              <w:rPr>
                <w:rFonts w:eastAsia="SimSun"/>
              </w:rPr>
            </w:pPr>
            <w:r w:rsidRPr="00AC3044">
              <w:rPr>
                <w:rFonts w:eastAsia="SimSun"/>
              </w:rPr>
              <w:t>10 мг/кг</w:t>
            </w:r>
          </w:p>
        </w:tc>
        <w:tc>
          <w:tcPr>
            <w:tcW w:w="1701" w:type="dxa"/>
            <w:vAlign w:val="center"/>
          </w:tcPr>
          <w:p w14:paraId="29B0294B" w14:textId="77777777" w:rsidR="008143D9" w:rsidRPr="00AC3044" w:rsidRDefault="008143D9" w:rsidP="005A428D">
            <w:pPr>
              <w:rPr>
                <w:rFonts w:eastAsia="SimSun"/>
              </w:rPr>
            </w:pPr>
            <w:r w:rsidRPr="00AC3044">
              <w:rPr>
                <w:rFonts w:eastAsia="SimSun"/>
              </w:rPr>
              <w:t>-6,-5 дни</w:t>
            </w:r>
          </w:p>
        </w:tc>
        <w:tc>
          <w:tcPr>
            <w:tcW w:w="2268" w:type="dxa"/>
            <w:vAlign w:val="center"/>
          </w:tcPr>
          <w:p w14:paraId="662CECB9" w14:textId="77777777" w:rsidR="008143D9" w:rsidRPr="00AC3044" w:rsidRDefault="008143D9" w:rsidP="005A428D">
            <w:pPr>
              <w:rPr>
                <w:rFonts w:eastAsia="SimSun"/>
              </w:rPr>
            </w:pPr>
            <w:r w:rsidRPr="00AC3044">
              <w:rPr>
                <w:rFonts w:eastAsia="SimSun"/>
              </w:rPr>
              <w:t>В/в, в течение 2 ч.</w:t>
            </w:r>
          </w:p>
        </w:tc>
      </w:tr>
      <w:tr w:rsidR="008143D9" w:rsidRPr="00AC3044" w14:paraId="537A64BA" w14:textId="77777777" w:rsidTr="005A428D">
        <w:trPr>
          <w:cantSplit/>
          <w:trHeight w:val="20"/>
        </w:trPr>
        <w:tc>
          <w:tcPr>
            <w:tcW w:w="993" w:type="dxa"/>
            <w:vMerge w:val="restart"/>
            <w:textDirection w:val="btLr"/>
            <w:vAlign w:val="center"/>
          </w:tcPr>
          <w:p w14:paraId="7949EC8F" w14:textId="77777777" w:rsidR="008143D9" w:rsidRPr="00AC3044" w:rsidRDefault="008143D9" w:rsidP="005A428D">
            <w:pPr>
              <w:rPr>
                <w:rFonts w:eastAsia="SimSun"/>
              </w:rPr>
            </w:pPr>
            <w:r w:rsidRPr="00AC3044">
              <w:rPr>
                <w:rFonts w:eastAsia="SimSun"/>
              </w:rPr>
              <w:t>Профилактика РТПХ</w:t>
            </w:r>
          </w:p>
        </w:tc>
        <w:tc>
          <w:tcPr>
            <w:tcW w:w="1843" w:type="dxa"/>
            <w:vAlign w:val="center"/>
          </w:tcPr>
          <w:p w14:paraId="24051E77" w14:textId="77777777" w:rsidR="008143D9" w:rsidRPr="00AC3044" w:rsidRDefault="008143D9" w:rsidP="005A428D">
            <w:pPr>
              <w:rPr>
                <w:rFonts w:eastAsia="SimSun"/>
              </w:rPr>
            </w:pPr>
            <w:r w:rsidRPr="00AC3044">
              <w:rPr>
                <w:rFonts w:eastAsia="SimSun"/>
              </w:rPr>
              <w:t>Циклофосфамид</w:t>
            </w:r>
          </w:p>
        </w:tc>
        <w:tc>
          <w:tcPr>
            <w:tcW w:w="1417" w:type="dxa"/>
            <w:vAlign w:val="center"/>
          </w:tcPr>
          <w:p w14:paraId="736E8016" w14:textId="77777777" w:rsidR="008143D9" w:rsidRPr="00AC3044" w:rsidRDefault="008143D9" w:rsidP="005A428D">
            <w:pPr>
              <w:rPr>
                <w:rFonts w:eastAsia="SimSun"/>
              </w:rPr>
            </w:pPr>
            <w:r w:rsidRPr="00AC3044">
              <w:rPr>
                <w:rFonts w:eastAsia="SimSun"/>
              </w:rPr>
              <w:t>50 мг/кг</w:t>
            </w:r>
          </w:p>
        </w:tc>
        <w:tc>
          <w:tcPr>
            <w:tcW w:w="1418" w:type="dxa"/>
            <w:vAlign w:val="center"/>
          </w:tcPr>
          <w:p w14:paraId="7134C96B" w14:textId="77777777" w:rsidR="008143D9" w:rsidRPr="00AC3044" w:rsidRDefault="008143D9" w:rsidP="005A428D">
            <w:pPr>
              <w:rPr>
                <w:rFonts w:eastAsia="SimSun"/>
              </w:rPr>
            </w:pPr>
            <w:r w:rsidRPr="00AC3044">
              <w:rPr>
                <w:rFonts w:eastAsia="SimSun"/>
              </w:rPr>
              <w:t>100 мг/кг</w:t>
            </w:r>
          </w:p>
        </w:tc>
        <w:tc>
          <w:tcPr>
            <w:tcW w:w="1701" w:type="dxa"/>
            <w:vAlign w:val="center"/>
          </w:tcPr>
          <w:p w14:paraId="112010C6" w14:textId="77777777" w:rsidR="008143D9" w:rsidRPr="00AC3044" w:rsidRDefault="008143D9" w:rsidP="005A428D">
            <w:pPr>
              <w:rPr>
                <w:rFonts w:eastAsia="SimSun"/>
              </w:rPr>
            </w:pPr>
            <w:r w:rsidRPr="00AC3044">
              <w:rPr>
                <w:rFonts w:eastAsia="SimSun"/>
              </w:rPr>
              <w:t xml:space="preserve">+3,+4 дни </w:t>
            </w:r>
          </w:p>
        </w:tc>
        <w:tc>
          <w:tcPr>
            <w:tcW w:w="2268" w:type="dxa"/>
            <w:vAlign w:val="center"/>
          </w:tcPr>
          <w:p w14:paraId="16303BFF" w14:textId="77777777" w:rsidR="008143D9" w:rsidRPr="00AC3044" w:rsidRDefault="008143D9" w:rsidP="005A428D">
            <w:pPr>
              <w:rPr>
                <w:rFonts w:eastAsia="SimSun"/>
              </w:rPr>
            </w:pPr>
            <w:r w:rsidRPr="00AC3044">
              <w:rPr>
                <w:rFonts w:eastAsia="SimSun"/>
              </w:rPr>
              <w:t xml:space="preserve">В/в, в течение 2 ч </w:t>
            </w:r>
          </w:p>
        </w:tc>
      </w:tr>
      <w:tr w:rsidR="008143D9" w:rsidRPr="00AC3044" w14:paraId="1A7A02BD" w14:textId="77777777" w:rsidTr="005A428D">
        <w:trPr>
          <w:cantSplit/>
          <w:trHeight w:val="20"/>
        </w:trPr>
        <w:tc>
          <w:tcPr>
            <w:tcW w:w="993" w:type="dxa"/>
            <w:vMerge/>
            <w:textDirection w:val="btLr"/>
          </w:tcPr>
          <w:p w14:paraId="19770B2A" w14:textId="77777777" w:rsidR="008143D9" w:rsidRPr="00AC3044" w:rsidRDefault="008143D9" w:rsidP="005A428D">
            <w:pPr>
              <w:rPr>
                <w:rFonts w:eastAsia="SimSun"/>
              </w:rPr>
            </w:pPr>
          </w:p>
        </w:tc>
        <w:tc>
          <w:tcPr>
            <w:tcW w:w="1843" w:type="dxa"/>
            <w:vAlign w:val="center"/>
          </w:tcPr>
          <w:p w14:paraId="06F40AB3" w14:textId="77777777" w:rsidR="008143D9" w:rsidRPr="00AC3044" w:rsidRDefault="008143D9" w:rsidP="005A428D">
            <w:pPr>
              <w:rPr>
                <w:rFonts w:eastAsia="SimSun"/>
              </w:rPr>
            </w:pPr>
            <w:r w:rsidRPr="00AC3044">
              <w:rPr>
                <w:rFonts w:eastAsia="SimSun"/>
              </w:rPr>
              <w:t>Циклоспорин</w:t>
            </w:r>
          </w:p>
        </w:tc>
        <w:tc>
          <w:tcPr>
            <w:tcW w:w="1417" w:type="dxa"/>
            <w:vAlign w:val="center"/>
          </w:tcPr>
          <w:p w14:paraId="5B4B3098" w14:textId="77777777" w:rsidR="008143D9" w:rsidRPr="00AC3044" w:rsidRDefault="008143D9" w:rsidP="005A428D">
            <w:pPr>
              <w:rPr>
                <w:rFonts w:eastAsia="SimSun"/>
              </w:rPr>
            </w:pPr>
            <w:r w:rsidRPr="00AC3044">
              <w:rPr>
                <w:rFonts w:eastAsia="SimSun"/>
              </w:rPr>
              <w:t>3 мг/кг</w:t>
            </w:r>
          </w:p>
        </w:tc>
        <w:tc>
          <w:tcPr>
            <w:tcW w:w="1418" w:type="dxa"/>
            <w:vAlign w:val="center"/>
          </w:tcPr>
          <w:p w14:paraId="6E942091" w14:textId="77777777" w:rsidR="008143D9" w:rsidRPr="00AC3044" w:rsidRDefault="008143D9" w:rsidP="005A428D">
            <w:pPr>
              <w:rPr>
                <w:rFonts w:eastAsia="SimSun"/>
              </w:rPr>
            </w:pPr>
            <w:r w:rsidRPr="00AC3044">
              <w:rPr>
                <w:rFonts w:eastAsia="SimSun"/>
              </w:rPr>
              <w:t>–</w:t>
            </w:r>
          </w:p>
        </w:tc>
        <w:tc>
          <w:tcPr>
            <w:tcW w:w="1701" w:type="dxa"/>
            <w:vAlign w:val="center"/>
          </w:tcPr>
          <w:p w14:paraId="43B2435A" w14:textId="77777777" w:rsidR="008143D9" w:rsidRPr="00AC3044" w:rsidRDefault="008143D9" w:rsidP="005A428D">
            <w:pPr>
              <w:rPr>
                <w:rFonts w:eastAsia="SimSun"/>
              </w:rPr>
            </w:pPr>
            <w:r w:rsidRPr="00AC3044">
              <w:rPr>
                <w:rFonts w:eastAsia="SimSun"/>
              </w:rPr>
              <w:t>С +5 по +60 день, затем постепенное снижение к +100 дню</w:t>
            </w:r>
          </w:p>
        </w:tc>
        <w:tc>
          <w:tcPr>
            <w:tcW w:w="2268" w:type="dxa"/>
            <w:vAlign w:val="center"/>
          </w:tcPr>
          <w:p w14:paraId="28CEA418" w14:textId="77777777" w:rsidR="008143D9" w:rsidRPr="00AC3044" w:rsidRDefault="008143D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150-350 нг/мл  </w:t>
            </w:r>
          </w:p>
        </w:tc>
      </w:tr>
      <w:tr w:rsidR="008143D9" w:rsidRPr="00AC3044" w14:paraId="6BA5B542" w14:textId="77777777" w:rsidTr="005A428D">
        <w:trPr>
          <w:cantSplit/>
          <w:trHeight w:val="464"/>
        </w:trPr>
        <w:tc>
          <w:tcPr>
            <w:tcW w:w="993" w:type="dxa"/>
            <w:vMerge/>
          </w:tcPr>
          <w:p w14:paraId="55C7D437" w14:textId="77777777" w:rsidR="008143D9" w:rsidRPr="00AC3044" w:rsidRDefault="008143D9" w:rsidP="005A428D">
            <w:pPr>
              <w:rPr>
                <w:rFonts w:eastAsia="SimSun"/>
              </w:rPr>
            </w:pPr>
          </w:p>
        </w:tc>
        <w:tc>
          <w:tcPr>
            <w:tcW w:w="1843" w:type="dxa"/>
            <w:vAlign w:val="center"/>
          </w:tcPr>
          <w:p w14:paraId="6E252DBA" w14:textId="77777777" w:rsidR="008143D9" w:rsidRPr="00AC3044" w:rsidRDefault="008143D9" w:rsidP="005A428D">
            <w:pPr>
              <w:rPr>
                <w:rFonts w:eastAsia="SimSun"/>
              </w:rPr>
            </w:pPr>
            <w:r w:rsidRPr="00AC3044">
              <w:rPr>
                <w:rFonts w:eastAsia="SimSun"/>
              </w:rPr>
              <w:t>Микофенолата мофетил</w:t>
            </w:r>
          </w:p>
        </w:tc>
        <w:tc>
          <w:tcPr>
            <w:tcW w:w="1417" w:type="dxa"/>
            <w:vAlign w:val="center"/>
          </w:tcPr>
          <w:p w14:paraId="23581A0E" w14:textId="77777777" w:rsidR="008143D9" w:rsidRPr="00AC3044" w:rsidRDefault="008143D9" w:rsidP="005A428D">
            <w:pPr>
              <w:rPr>
                <w:rFonts w:eastAsia="SimSun"/>
              </w:rPr>
            </w:pPr>
            <w:r w:rsidRPr="00AC3044">
              <w:rPr>
                <w:rFonts w:eastAsia="SimSun"/>
              </w:rPr>
              <w:t>30 мг/кг</w:t>
            </w:r>
          </w:p>
        </w:tc>
        <w:tc>
          <w:tcPr>
            <w:tcW w:w="1418" w:type="dxa"/>
            <w:vAlign w:val="center"/>
          </w:tcPr>
          <w:p w14:paraId="05EC4AB4" w14:textId="77777777" w:rsidR="008143D9" w:rsidRPr="00AC3044" w:rsidRDefault="008143D9" w:rsidP="005A428D">
            <w:pPr>
              <w:rPr>
                <w:rFonts w:eastAsia="SimSun"/>
              </w:rPr>
            </w:pPr>
            <w:r w:rsidRPr="00AC3044">
              <w:rPr>
                <w:rFonts w:eastAsia="SimSun"/>
              </w:rPr>
              <w:t>–</w:t>
            </w:r>
          </w:p>
        </w:tc>
        <w:tc>
          <w:tcPr>
            <w:tcW w:w="1701" w:type="dxa"/>
            <w:vAlign w:val="center"/>
          </w:tcPr>
          <w:p w14:paraId="54FA9708" w14:textId="77777777" w:rsidR="008143D9" w:rsidRPr="00AC3044" w:rsidRDefault="008143D9" w:rsidP="005A428D">
            <w:pPr>
              <w:rPr>
                <w:rFonts w:eastAsia="SimSun"/>
              </w:rPr>
            </w:pPr>
            <w:r w:rsidRPr="00AC3044">
              <w:rPr>
                <w:rFonts w:eastAsia="SimSun"/>
              </w:rPr>
              <w:t>С +5 по +30 день</w:t>
            </w:r>
          </w:p>
        </w:tc>
        <w:tc>
          <w:tcPr>
            <w:tcW w:w="2268" w:type="dxa"/>
            <w:vAlign w:val="center"/>
          </w:tcPr>
          <w:p w14:paraId="2C80FE3A" w14:textId="77777777" w:rsidR="008143D9" w:rsidRPr="00AC3044" w:rsidRDefault="008143D9" w:rsidP="005A428D">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г/сут).</w:t>
            </w:r>
          </w:p>
        </w:tc>
      </w:tr>
    </w:tbl>
    <w:p w14:paraId="4F279C09" w14:textId="77777777" w:rsidR="008143D9" w:rsidRPr="00C07B2E" w:rsidRDefault="008143D9" w:rsidP="008143D9">
      <w:pPr>
        <w:rPr>
          <w:rFonts w:eastAsia="SimSun"/>
        </w:rPr>
      </w:pPr>
    </w:p>
    <w:p w14:paraId="3D99F73C" w14:textId="77777777" w:rsidR="008143D9" w:rsidRPr="00C07B2E" w:rsidRDefault="008143D9" w:rsidP="008143D9">
      <w:pPr>
        <w:rPr>
          <w:rFonts w:eastAsia="SimSun"/>
        </w:rPr>
      </w:pPr>
      <w:bookmarkStart w:id="127" w:name="_Toc44401163"/>
      <w:r w:rsidRPr="00042499">
        <w:rPr>
          <w:rFonts w:eastAsia="SimSun"/>
        </w:rPr>
        <w:t>Таблица</w:t>
      </w:r>
      <w:r w:rsidRPr="00C07B2E">
        <w:rPr>
          <w:rFonts w:eastAsia="SimSun"/>
        </w:rPr>
        <w:t xml:space="preserve"> </w:t>
      </w:r>
      <w:r>
        <w:rPr>
          <w:rFonts w:eastAsia="SimSun"/>
        </w:rPr>
        <w:t>5.</w:t>
      </w:r>
      <w:r w:rsidRPr="00C07B2E">
        <w:rPr>
          <w:rFonts w:eastAsia="SimSun"/>
        </w:rPr>
        <w:t>1.2.5  – Flu180+Bu8 / hATG+CSA+MTX+MMF30</w:t>
      </w:r>
      <w:bookmarkEnd w:id="127"/>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8143D9" w:rsidRPr="00AC3044" w14:paraId="57209FF1" w14:textId="77777777" w:rsidTr="005A428D">
        <w:trPr>
          <w:cantSplit/>
          <w:trHeight w:val="20"/>
          <w:tblHeader/>
        </w:trPr>
        <w:tc>
          <w:tcPr>
            <w:tcW w:w="993" w:type="dxa"/>
          </w:tcPr>
          <w:p w14:paraId="56AE9D33" w14:textId="77777777" w:rsidR="008143D9" w:rsidRPr="00470D3D" w:rsidRDefault="008143D9" w:rsidP="005A428D">
            <w:pPr>
              <w:rPr>
                <w:rFonts w:eastAsia="SimSun"/>
              </w:rPr>
            </w:pPr>
          </w:p>
        </w:tc>
        <w:tc>
          <w:tcPr>
            <w:tcW w:w="1843" w:type="dxa"/>
            <w:vAlign w:val="center"/>
          </w:tcPr>
          <w:p w14:paraId="03D196A8" w14:textId="77777777" w:rsidR="008143D9" w:rsidRPr="00AC3044" w:rsidRDefault="008143D9" w:rsidP="005A428D">
            <w:pPr>
              <w:rPr>
                <w:rFonts w:eastAsia="SimSun"/>
              </w:rPr>
            </w:pPr>
            <w:r w:rsidRPr="00AC3044">
              <w:rPr>
                <w:rFonts w:eastAsia="SimSun"/>
              </w:rPr>
              <w:t>Препарат</w:t>
            </w:r>
          </w:p>
        </w:tc>
        <w:tc>
          <w:tcPr>
            <w:tcW w:w="1417" w:type="dxa"/>
            <w:vAlign w:val="center"/>
          </w:tcPr>
          <w:p w14:paraId="1A8D5871" w14:textId="77777777" w:rsidR="008143D9" w:rsidRPr="00AC3044" w:rsidRDefault="008143D9" w:rsidP="005A428D">
            <w:pPr>
              <w:rPr>
                <w:rFonts w:eastAsia="SimSun"/>
              </w:rPr>
            </w:pPr>
            <w:r w:rsidRPr="00AC3044">
              <w:rPr>
                <w:rFonts w:eastAsia="SimSun"/>
              </w:rPr>
              <w:t>Суточная доза</w:t>
            </w:r>
          </w:p>
        </w:tc>
        <w:tc>
          <w:tcPr>
            <w:tcW w:w="1418" w:type="dxa"/>
            <w:vAlign w:val="center"/>
          </w:tcPr>
          <w:p w14:paraId="3B869D60" w14:textId="77777777" w:rsidR="008143D9" w:rsidRPr="00AC3044" w:rsidRDefault="008143D9" w:rsidP="005A428D">
            <w:pPr>
              <w:rPr>
                <w:rFonts w:eastAsia="SimSun"/>
              </w:rPr>
            </w:pPr>
            <w:r w:rsidRPr="00AC3044">
              <w:rPr>
                <w:rFonts w:eastAsia="SimSun"/>
              </w:rPr>
              <w:t>Курсовая доза</w:t>
            </w:r>
          </w:p>
        </w:tc>
        <w:tc>
          <w:tcPr>
            <w:tcW w:w="1701" w:type="dxa"/>
            <w:vAlign w:val="center"/>
          </w:tcPr>
          <w:p w14:paraId="365039CD" w14:textId="77777777" w:rsidR="008143D9" w:rsidRPr="00AC3044" w:rsidRDefault="008143D9" w:rsidP="005A428D">
            <w:pPr>
              <w:rPr>
                <w:rFonts w:eastAsia="SimSun"/>
              </w:rPr>
            </w:pPr>
            <w:r w:rsidRPr="00AC3044">
              <w:rPr>
                <w:rFonts w:eastAsia="SimSun"/>
              </w:rPr>
              <w:t>Дни введения</w:t>
            </w:r>
          </w:p>
        </w:tc>
        <w:tc>
          <w:tcPr>
            <w:tcW w:w="2268" w:type="dxa"/>
            <w:vAlign w:val="center"/>
          </w:tcPr>
          <w:p w14:paraId="3EC643B7"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7ADADB38" w14:textId="77777777" w:rsidTr="005A428D">
        <w:trPr>
          <w:cantSplit/>
          <w:trHeight w:val="20"/>
        </w:trPr>
        <w:tc>
          <w:tcPr>
            <w:tcW w:w="993" w:type="dxa"/>
            <w:vMerge w:val="restart"/>
            <w:textDirection w:val="btLr"/>
            <w:vAlign w:val="center"/>
          </w:tcPr>
          <w:p w14:paraId="19A4BFF0" w14:textId="77777777" w:rsidR="008143D9" w:rsidRPr="00AC3044" w:rsidRDefault="008143D9" w:rsidP="005A428D">
            <w:pPr>
              <w:rPr>
                <w:rFonts w:eastAsia="SimSun"/>
              </w:rPr>
            </w:pPr>
            <w:r w:rsidRPr="00AC3044">
              <w:rPr>
                <w:rFonts w:eastAsia="SimSun"/>
              </w:rPr>
              <w:t>Кондиционирование</w:t>
            </w:r>
          </w:p>
        </w:tc>
        <w:tc>
          <w:tcPr>
            <w:tcW w:w="1843" w:type="dxa"/>
            <w:vAlign w:val="center"/>
          </w:tcPr>
          <w:p w14:paraId="6064166E" w14:textId="77777777" w:rsidR="008143D9" w:rsidRPr="00AC3044" w:rsidRDefault="008143D9" w:rsidP="005A428D">
            <w:pPr>
              <w:rPr>
                <w:rFonts w:eastAsia="SimSun"/>
              </w:rPr>
            </w:pPr>
            <w:r w:rsidRPr="00AC3044">
              <w:rPr>
                <w:rFonts w:eastAsia="SimSun"/>
              </w:rPr>
              <w:t xml:space="preserve">Флударабин </w:t>
            </w:r>
          </w:p>
        </w:tc>
        <w:tc>
          <w:tcPr>
            <w:tcW w:w="1417" w:type="dxa"/>
            <w:vAlign w:val="center"/>
          </w:tcPr>
          <w:p w14:paraId="7ABD554C" w14:textId="77777777" w:rsidR="008143D9" w:rsidRPr="00AC3044" w:rsidRDefault="008143D9" w:rsidP="005A428D">
            <w:pPr>
              <w:rPr>
                <w:rFonts w:eastAsia="SimSun"/>
              </w:rPr>
            </w:pPr>
            <w:r w:rsidRPr="00AC3044">
              <w:rPr>
                <w:rFonts w:eastAsia="SimSun"/>
              </w:rPr>
              <w:t>30 мг/м</w:t>
            </w:r>
            <w:r w:rsidRPr="000C005F">
              <w:rPr>
                <w:rFonts w:eastAsia="SimSun"/>
                <w:vertAlign w:val="superscript"/>
              </w:rPr>
              <w:t>2</w:t>
            </w:r>
          </w:p>
        </w:tc>
        <w:tc>
          <w:tcPr>
            <w:tcW w:w="1418" w:type="dxa"/>
            <w:vAlign w:val="center"/>
          </w:tcPr>
          <w:p w14:paraId="4C7E2E8F" w14:textId="77777777" w:rsidR="008143D9" w:rsidRPr="00AC3044" w:rsidRDefault="008143D9" w:rsidP="005A428D">
            <w:pPr>
              <w:rPr>
                <w:rFonts w:eastAsia="SimSun"/>
              </w:rPr>
            </w:pPr>
            <w:r w:rsidRPr="00AC3044">
              <w:rPr>
                <w:rFonts w:eastAsia="SimSun"/>
              </w:rPr>
              <w:t>180 мг/м</w:t>
            </w:r>
            <w:r w:rsidRPr="000C005F">
              <w:rPr>
                <w:rFonts w:eastAsia="SimSun"/>
                <w:vertAlign w:val="superscript"/>
              </w:rPr>
              <w:t>2</w:t>
            </w:r>
          </w:p>
        </w:tc>
        <w:tc>
          <w:tcPr>
            <w:tcW w:w="1701" w:type="dxa"/>
            <w:vAlign w:val="center"/>
          </w:tcPr>
          <w:p w14:paraId="1FCCF7CC" w14:textId="77777777" w:rsidR="008143D9" w:rsidRPr="00AC3044" w:rsidRDefault="008143D9" w:rsidP="005A428D">
            <w:pPr>
              <w:rPr>
                <w:rFonts w:eastAsia="SimSun"/>
              </w:rPr>
            </w:pPr>
            <w:r w:rsidRPr="00AC3044">
              <w:rPr>
                <w:rFonts w:eastAsia="SimSun"/>
              </w:rPr>
              <w:t>С –10 по –5 день</w:t>
            </w:r>
          </w:p>
        </w:tc>
        <w:tc>
          <w:tcPr>
            <w:tcW w:w="2268" w:type="dxa"/>
            <w:vAlign w:val="center"/>
          </w:tcPr>
          <w:p w14:paraId="154B0A67"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73D6C292" w14:textId="77777777" w:rsidTr="005A428D">
        <w:trPr>
          <w:cantSplit/>
          <w:trHeight w:val="1043"/>
        </w:trPr>
        <w:tc>
          <w:tcPr>
            <w:tcW w:w="993" w:type="dxa"/>
            <w:vMerge/>
            <w:textDirection w:val="btLr"/>
            <w:vAlign w:val="center"/>
          </w:tcPr>
          <w:p w14:paraId="3918F053" w14:textId="77777777" w:rsidR="008143D9" w:rsidRPr="00AC3044" w:rsidRDefault="008143D9" w:rsidP="005A428D">
            <w:pPr>
              <w:rPr>
                <w:rFonts w:eastAsia="SimSun"/>
              </w:rPr>
            </w:pPr>
          </w:p>
        </w:tc>
        <w:tc>
          <w:tcPr>
            <w:tcW w:w="1843" w:type="dxa"/>
            <w:vAlign w:val="center"/>
          </w:tcPr>
          <w:p w14:paraId="0CC87918" w14:textId="77777777" w:rsidR="008143D9" w:rsidRPr="00AC3044" w:rsidRDefault="008143D9" w:rsidP="005A428D">
            <w:pPr>
              <w:rPr>
                <w:rFonts w:eastAsia="SimSun"/>
              </w:rPr>
            </w:pPr>
            <w:r w:rsidRPr="00AC3044">
              <w:rPr>
                <w:rFonts w:eastAsia="SimSun"/>
              </w:rPr>
              <w:t>Бусульфан</w:t>
            </w:r>
          </w:p>
        </w:tc>
        <w:tc>
          <w:tcPr>
            <w:tcW w:w="1417" w:type="dxa"/>
            <w:vAlign w:val="center"/>
          </w:tcPr>
          <w:p w14:paraId="01DA5880" w14:textId="77777777" w:rsidR="008143D9" w:rsidRPr="00AC3044" w:rsidRDefault="008143D9" w:rsidP="005A428D">
            <w:pPr>
              <w:rPr>
                <w:rFonts w:eastAsia="SimSun"/>
              </w:rPr>
            </w:pPr>
            <w:r w:rsidRPr="00AC3044">
              <w:rPr>
                <w:rFonts w:eastAsia="SimSun"/>
              </w:rPr>
              <w:t>4 мг/кг</w:t>
            </w:r>
          </w:p>
        </w:tc>
        <w:tc>
          <w:tcPr>
            <w:tcW w:w="1418" w:type="dxa"/>
            <w:vAlign w:val="center"/>
          </w:tcPr>
          <w:p w14:paraId="3081E49E" w14:textId="77777777" w:rsidR="008143D9" w:rsidRPr="00AC3044" w:rsidRDefault="008143D9" w:rsidP="005A428D">
            <w:pPr>
              <w:rPr>
                <w:rFonts w:eastAsia="SimSun"/>
              </w:rPr>
            </w:pPr>
            <w:r w:rsidRPr="00AC3044">
              <w:rPr>
                <w:rFonts w:eastAsia="SimSun"/>
              </w:rPr>
              <w:t>8 мг/кг</w:t>
            </w:r>
          </w:p>
        </w:tc>
        <w:tc>
          <w:tcPr>
            <w:tcW w:w="1701" w:type="dxa"/>
            <w:vAlign w:val="center"/>
          </w:tcPr>
          <w:p w14:paraId="022C4B22" w14:textId="77777777" w:rsidR="008143D9" w:rsidRPr="00AC3044" w:rsidRDefault="008143D9" w:rsidP="005A428D">
            <w:pPr>
              <w:rPr>
                <w:rFonts w:eastAsia="SimSun"/>
              </w:rPr>
            </w:pPr>
            <w:r w:rsidRPr="00AC3044">
              <w:rPr>
                <w:rFonts w:eastAsia="SimSun"/>
              </w:rPr>
              <w:t>–6, –5 дни</w:t>
            </w:r>
          </w:p>
        </w:tc>
        <w:tc>
          <w:tcPr>
            <w:tcW w:w="2268" w:type="dxa"/>
            <w:vAlign w:val="center"/>
          </w:tcPr>
          <w:p w14:paraId="784B17A3" w14:textId="77777777" w:rsidR="008143D9" w:rsidRPr="00AC3044" w:rsidRDefault="008143D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8143D9" w:rsidRPr="00AC3044" w14:paraId="7E69A581" w14:textId="77777777" w:rsidTr="005A428D">
        <w:trPr>
          <w:cantSplit/>
          <w:trHeight w:val="20"/>
        </w:trPr>
        <w:tc>
          <w:tcPr>
            <w:tcW w:w="993" w:type="dxa"/>
            <w:vMerge w:val="restart"/>
            <w:textDirection w:val="btLr"/>
          </w:tcPr>
          <w:p w14:paraId="10F363A3" w14:textId="77777777" w:rsidR="008143D9" w:rsidRPr="00AC3044" w:rsidRDefault="008143D9" w:rsidP="005A428D">
            <w:pPr>
              <w:rPr>
                <w:rFonts w:eastAsia="SimSun"/>
              </w:rPr>
            </w:pPr>
            <w:r w:rsidRPr="00AC3044">
              <w:rPr>
                <w:rFonts w:eastAsia="SimSun"/>
              </w:rPr>
              <w:t>Профилактика РТПХ</w:t>
            </w:r>
          </w:p>
        </w:tc>
        <w:tc>
          <w:tcPr>
            <w:tcW w:w="1843" w:type="dxa"/>
            <w:vAlign w:val="center"/>
          </w:tcPr>
          <w:p w14:paraId="64421CC9" w14:textId="77777777" w:rsidR="008143D9" w:rsidRPr="00AC3044" w:rsidRDefault="008143D9" w:rsidP="005A428D">
            <w:pPr>
              <w:rPr>
                <w:rFonts w:eastAsia="SimSun"/>
              </w:rPr>
            </w:pPr>
            <w:r w:rsidRPr="00AC3044">
              <w:rPr>
                <w:rFonts w:eastAsia="SimSun"/>
              </w:rPr>
              <w:t>АТГ (лошадиный)</w:t>
            </w:r>
          </w:p>
        </w:tc>
        <w:tc>
          <w:tcPr>
            <w:tcW w:w="1417" w:type="dxa"/>
            <w:vAlign w:val="center"/>
          </w:tcPr>
          <w:p w14:paraId="57572A2D" w14:textId="77777777" w:rsidR="008143D9" w:rsidRPr="00AC3044" w:rsidRDefault="008143D9" w:rsidP="005A428D">
            <w:pPr>
              <w:rPr>
                <w:rFonts w:eastAsia="SimSun"/>
              </w:rPr>
            </w:pPr>
            <w:r w:rsidRPr="00AC3044">
              <w:rPr>
                <w:rFonts w:eastAsia="SimSun"/>
              </w:rPr>
              <w:t>10 -15 мг/кг</w:t>
            </w:r>
          </w:p>
        </w:tc>
        <w:tc>
          <w:tcPr>
            <w:tcW w:w="1418" w:type="dxa"/>
            <w:vAlign w:val="center"/>
          </w:tcPr>
          <w:p w14:paraId="45F9F469" w14:textId="77777777" w:rsidR="008143D9" w:rsidRPr="00AC3044" w:rsidRDefault="008143D9" w:rsidP="005A428D">
            <w:pPr>
              <w:rPr>
                <w:rFonts w:eastAsia="SimSun"/>
              </w:rPr>
            </w:pPr>
            <w:r w:rsidRPr="00AC3044">
              <w:rPr>
                <w:rFonts w:eastAsia="SimSun"/>
              </w:rPr>
              <w:t>40 -60 мг/кг</w:t>
            </w:r>
          </w:p>
        </w:tc>
        <w:tc>
          <w:tcPr>
            <w:tcW w:w="1701" w:type="dxa"/>
            <w:vAlign w:val="center"/>
          </w:tcPr>
          <w:p w14:paraId="212247D9" w14:textId="77777777" w:rsidR="008143D9" w:rsidRPr="00AC3044" w:rsidRDefault="008143D9" w:rsidP="005A428D">
            <w:pPr>
              <w:rPr>
                <w:rFonts w:eastAsia="SimSun"/>
              </w:rPr>
            </w:pPr>
            <w:r w:rsidRPr="00AC3044">
              <w:rPr>
                <w:rFonts w:eastAsia="SimSun"/>
              </w:rPr>
              <w:t>С –4 по –1 день</w:t>
            </w:r>
          </w:p>
        </w:tc>
        <w:tc>
          <w:tcPr>
            <w:tcW w:w="2268" w:type="dxa"/>
            <w:vAlign w:val="center"/>
          </w:tcPr>
          <w:p w14:paraId="3B2B124B" w14:textId="77777777" w:rsidR="008143D9" w:rsidRPr="00AC3044" w:rsidRDefault="008143D9" w:rsidP="005A428D">
            <w:pPr>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 xml:space="preserve">на 2 введения (см. «Инфузия АТГ») </w:t>
            </w:r>
          </w:p>
        </w:tc>
      </w:tr>
      <w:tr w:rsidR="008143D9" w:rsidRPr="00AC3044" w14:paraId="77534B94" w14:textId="77777777" w:rsidTr="005A428D">
        <w:trPr>
          <w:cantSplit/>
          <w:trHeight w:val="20"/>
        </w:trPr>
        <w:tc>
          <w:tcPr>
            <w:tcW w:w="993" w:type="dxa"/>
            <w:vMerge/>
            <w:textDirection w:val="btLr"/>
          </w:tcPr>
          <w:p w14:paraId="35FF3309" w14:textId="77777777" w:rsidR="008143D9" w:rsidRPr="00AC3044" w:rsidRDefault="008143D9" w:rsidP="005A428D">
            <w:pPr>
              <w:rPr>
                <w:rFonts w:eastAsia="SimSun"/>
              </w:rPr>
            </w:pPr>
          </w:p>
        </w:tc>
        <w:tc>
          <w:tcPr>
            <w:tcW w:w="1843" w:type="dxa"/>
            <w:vAlign w:val="center"/>
          </w:tcPr>
          <w:p w14:paraId="1A55ACC6" w14:textId="77777777" w:rsidR="008143D9" w:rsidRPr="00AC3044" w:rsidRDefault="008143D9" w:rsidP="005A428D">
            <w:pPr>
              <w:rPr>
                <w:rFonts w:eastAsia="SimSun"/>
              </w:rPr>
            </w:pPr>
            <w:r w:rsidRPr="00AC3044">
              <w:rPr>
                <w:rFonts w:eastAsia="SimSun"/>
              </w:rPr>
              <w:t>Циклоспорин</w:t>
            </w:r>
          </w:p>
        </w:tc>
        <w:tc>
          <w:tcPr>
            <w:tcW w:w="1417" w:type="dxa"/>
            <w:vAlign w:val="center"/>
          </w:tcPr>
          <w:p w14:paraId="63D1ECDD" w14:textId="77777777" w:rsidR="008143D9" w:rsidRPr="00AC3044" w:rsidRDefault="008143D9" w:rsidP="005A428D">
            <w:pPr>
              <w:rPr>
                <w:rFonts w:eastAsia="SimSun"/>
              </w:rPr>
            </w:pPr>
            <w:r w:rsidRPr="00AC3044">
              <w:rPr>
                <w:rFonts w:eastAsia="SimSun"/>
              </w:rPr>
              <w:t>3 мг/кг</w:t>
            </w:r>
          </w:p>
        </w:tc>
        <w:tc>
          <w:tcPr>
            <w:tcW w:w="1418" w:type="dxa"/>
            <w:vAlign w:val="center"/>
          </w:tcPr>
          <w:p w14:paraId="0778B853" w14:textId="77777777" w:rsidR="008143D9" w:rsidRPr="00AC3044" w:rsidRDefault="008143D9" w:rsidP="005A428D">
            <w:pPr>
              <w:rPr>
                <w:rFonts w:eastAsia="SimSun"/>
              </w:rPr>
            </w:pPr>
            <w:r w:rsidRPr="00AC3044">
              <w:rPr>
                <w:rFonts w:eastAsia="SimSun"/>
              </w:rPr>
              <w:t>–</w:t>
            </w:r>
          </w:p>
        </w:tc>
        <w:tc>
          <w:tcPr>
            <w:tcW w:w="1701" w:type="dxa"/>
            <w:vAlign w:val="center"/>
          </w:tcPr>
          <w:p w14:paraId="3D43FA0E" w14:textId="77777777" w:rsidR="008143D9" w:rsidRPr="00AC3044" w:rsidRDefault="008143D9" w:rsidP="005A428D">
            <w:pPr>
              <w:rPr>
                <w:rFonts w:eastAsia="SimSun"/>
              </w:rPr>
            </w:pPr>
            <w:r w:rsidRPr="00AC3044">
              <w:rPr>
                <w:rFonts w:eastAsia="SimSun"/>
              </w:rPr>
              <w:t>С –1 дня по +90 день, затем постепенное снижение к +180 дню</w:t>
            </w:r>
          </w:p>
        </w:tc>
        <w:tc>
          <w:tcPr>
            <w:tcW w:w="2268" w:type="dxa"/>
            <w:vAlign w:val="center"/>
          </w:tcPr>
          <w:p w14:paraId="73DCC3E0" w14:textId="77777777" w:rsidR="008143D9" w:rsidRPr="00AC3044" w:rsidRDefault="008143D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8143D9" w:rsidRPr="00AC3044" w14:paraId="1D07B11B" w14:textId="77777777" w:rsidTr="005A428D">
        <w:trPr>
          <w:cantSplit/>
          <w:trHeight w:val="20"/>
        </w:trPr>
        <w:tc>
          <w:tcPr>
            <w:tcW w:w="993" w:type="dxa"/>
            <w:vMerge/>
          </w:tcPr>
          <w:p w14:paraId="5187597C" w14:textId="77777777" w:rsidR="008143D9" w:rsidRPr="00AC3044" w:rsidRDefault="008143D9" w:rsidP="005A428D">
            <w:pPr>
              <w:rPr>
                <w:rFonts w:eastAsia="SimSun"/>
              </w:rPr>
            </w:pPr>
          </w:p>
        </w:tc>
        <w:tc>
          <w:tcPr>
            <w:tcW w:w="1843" w:type="dxa"/>
            <w:vMerge w:val="restart"/>
            <w:vAlign w:val="center"/>
          </w:tcPr>
          <w:p w14:paraId="5080D977" w14:textId="77777777" w:rsidR="008143D9" w:rsidRPr="00AC3044" w:rsidRDefault="008143D9" w:rsidP="005A428D">
            <w:pPr>
              <w:rPr>
                <w:rFonts w:eastAsia="SimSun"/>
              </w:rPr>
            </w:pPr>
            <w:r w:rsidRPr="00AC3044">
              <w:rPr>
                <w:rFonts w:eastAsia="SimSun"/>
              </w:rPr>
              <w:t>Метотрексат</w:t>
            </w:r>
          </w:p>
        </w:tc>
        <w:tc>
          <w:tcPr>
            <w:tcW w:w="1417" w:type="dxa"/>
            <w:vAlign w:val="center"/>
          </w:tcPr>
          <w:p w14:paraId="7A2387E3" w14:textId="77777777" w:rsidR="008143D9" w:rsidRPr="00AC3044" w:rsidRDefault="008143D9" w:rsidP="005A428D">
            <w:pPr>
              <w:rPr>
                <w:rFonts w:eastAsia="SimSun"/>
              </w:rPr>
            </w:pPr>
            <w:r w:rsidRPr="00AC3044">
              <w:rPr>
                <w:rFonts w:eastAsia="SimSun"/>
              </w:rPr>
              <w:t>15 мг/м</w:t>
            </w:r>
            <w:r w:rsidRPr="000C005F">
              <w:rPr>
                <w:rFonts w:eastAsia="SimSun"/>
                <w:vertAlign w:val="superscript"/>
              </w:rPr>
              <w:t>2</w:t>
            </w:r>
          </w:p>
        </w:tc>
        <w:tc>
          <w:tcPr>
            <w:tcW w:w="1418" w:type="dxa"/>
            <w:vAlign w:val="center"/>
          </w:tcPr>
          <w:p w14:paraId="4021119E" w14:textId="77777777" w:rsidR="008143D9" w:rsidRPr="00AC3044" w:rsidRDefault="008143D9" w:rsidP="005A428D">
            <w:pPr>
              <w:rPr>
                <w:rFonts w:eastAsia="SimSun"/>
              </w:rPr>
            </w:pPr>
            <w:r w:rsidRPr="00AC3044">
              <w:rPr>
                <w:rFonts w:eastAsia="SimSun"/>
              </w:rPr>
              <w:t>–</w:t>
            </w:r>
          </w:p>
        </w:tc>
        <w:tc>
          <w:tcPr>
            <w:tcW w:w="1701" w:type="dxa"/>
            <w:vAlign w:val="center"/>
          </w:tcPr>
          <w:p w14:paraId="4FADA181" w14:textId="77777777" w:rsidR="008143D9" w:rsidRPr="00AC3044" w:rsidRDefault="008143D9" w:rsidP="005A428D">
            <w:pPr>
              <w:rPr>
                <w:rFonts w:eastAsia="SimSun"/>
              </w:rPr>
            </w:pPr>
            <w:r w:rsidRPr="00AC3044">
              <w:rPr>
                <w:rFonts w:eastAsia="SimSun"/>
              </w:rPr>
              <w:t>+1 день</w:t>
            </w:r>
          </w:p>
        </w:tc>
        <w:tc>
          <w:tcPr>
            <w:tcW w:w="2268" w:type="dxa"/>
            <w:vAlign w:val="center"/>
          </w:tcPr>
          <w:p w14:paraId="5319BA2A" w14:textId="77777777" w:rsidR="008143D9" w:rsidRPr="00AC3044" w:rsidRDefault="008143D9" w:rsidP="005A428D">
            <w:pPr>
              <w:rPr>
                <w:rFonts w:eastAsia="SimSun"/>
              </w:rPr>
            </w:pPr>
            <w:r w:rsidRPr="00AC3044">
              <w:rPr>
                <w:rFonts w:eastAsia="SimSun"/>
              </w:rPr>
              <w:t xml:space="preserve">В/в, в 20 мл физ. р-ра </w:t>
            </w:r>
          </w:p>
        </w:tc>
      </w:tr>
      <w:tr w:rsidR="008143D9" w:rsidRPr="00AC3044" w14:paraId="23F34980" w14:textId="77777777" w:rsidTr="005A428D">
        <w:trPr>
          <w:cantSplit/>
          <w:trHeight w:val="464"/>
        </w:trPr>
        <w:tc>
          <w:tcPr>
            <w:tcW w:w="993" w:type="dxa"/>
            <w:vMerge/>
          </w:tcPr>
          <w:p w14:paraId="4B221619" w14:textId="77777777" w:rsidR="008143D9" w:rsidRPr="00AC3044" w:rsidRDefault="008143D9" w:rsidP="005A428D">
            <w:pPr>
              <w:rPr>
                <w:rFonts w:eastAsia="SimSun"/>
              </w:rPr>
            </w:pPr>
          </w:p>
        </w:tc>
        <w:tc>
          <w:tcPr>
            <w:tcW w:w="1843" w:type="dxa"/>
            <w:vMerge/>
            <w:vAlign w:val="center"/>
          </w:tcPr>
          <w:p w14:paraId="75B6AD3F" w14:textId="77777777" w:rsidR="008143D9" w:rsidRPr="00AC3044" w:rsidRDefault="008143D9" w:rsidP="005A428D">
            <w:pPr>
              <w:rPr>
                <w:rFonts w:eastAsia="SimSun"/>
              </w:rPr>
            </w:pPr>
          </w:p>
        </w:tc>
        <w:tc>
          <w:tcPr>
            <w:tcW w:w="1417" w:type="dxa"/>
            <w:vAlign w:val="center"/>
          </w:tcPr>
          <w:p w14:paraId="7C2146DD" w14:textId="77777777" w:rsidR="008143D9" w:rsidRPr="00AC3044" w:rsidRDefault="008143D9" w:rsidP="005A428D">
            <w:pPr>
              <w:rPr>
                <w:rFonts w:eastAsia="SimSun"/>
              </w:rPr>
            </w:pPr>
            <w:r w:rsidRPr="00AC3044">
              <w:rPr>
                <w:rFonts w:eastAsia="SimSun"/>
              </w:rPr>
              <w:t>10 мг/м</w:t>
            </w:r>
            <w:r w:rsidRPr="000C005F">
              <w:rPr>
                <w:rFonts w:eastAsia="SimSun"/>
                <w:vertAlign w:val="superscript"/>
              </w:rPr>
              <w:t>2</w:t>
            </w:r>
          </w:p>
        </w:tc>
        <w:tc>
          <w:tcPr>
            <w:tcW w:w="1418" w:type="dxa"/>
            <w:vAlign w:val="center"/>
          </w:tcPr>
          <w:p w14:paraId="23A88B97" w14:textId="77777777" w:rsidR="008143D9" w:rsidRPr="00AC3044" w:rsidRDefault="008143D9" w:rsidP="005A428D">
            <w:pPr>
              <w:rPr>
                <w:rFonts w:eastAsia="SimSun"/>
              </w:rPr>
            </w:pPr>
            <w:r w:rsidRPr="00AC3044">
              <w:rPr>
                <w:rFonts w:eastAsia="SimSun"/>
              </w:rPr>
              <w:t>–</w:t>
            </w:r>
          </w:p>
        </w:tc>
        <w:tc>
          <w:tcPr>
            <w:tcW w:w="1701" w:type="dxa"/>
            <w:vAlign w:val="center"/>
          </w:tcPr>
          <w:p w14:paraId="13FFEAB6" w14:textId="77777777" w:rsidR="008143D9" w:rsidRPr="00AC3044" w:rsidRDefault="008143D9" w:rsidP="005A428D">
            <w:pPr>
              <w:rPr>
                <w:rFonts w:eastAsia="SimSun"/>
              </w:rPr>
            </w:pPr>
            <w:r w:rsidRPr="00AC3044">
              <w:rPr>
                <w:rFonts w:eastAsia="SimSun"/>
              </w:rPr>
              <w:t>+3, +6, +11 день</w:t>
            </w:r>
          </w:p>
        </w:tc>
        <w:tc>
          <w:tcPr>
            <w:tcW w:w="2268" w:type="dxa"/>
            <w:vAlign w:val="center"/>
          </w:tcPr>
          <w:p w14:paraId="5BDC0D33" w14:textId="77777777" w:rsidR="008143D9" w:rsidRPr="00AC3044" w:rsidRDefault="008143D9" w:rsidP="005A428D">
            <w:pPr>
              <w:rPr>
                <w:rFonts w:eastAsia="SimSun"/>
              </w:rPr>
            </w:pPr>
            <w:r w:rsidRPr="00AC3044">
              <w:rPr>
                <w:rFonts w:eastAsia="SimSun"/>
              </w:rPr>
              <w:t xml:space="preserve">В/в, в 20 мл физ. р-ра </w:t>
            </w:r>
          </w:p>
        </w:tc>
      </w:tr>
      <w:tr w:rsidR="008143D9" w:rsidRPr="00AC3044" w14:paraId="0CCB3183" w14:textId="77777777" w:rsidTr="005A428D">
        <w:trPr>
          <w:cantSplit/>
          <w:trHeight w:val="464"/>
        </w:trPr>
        <w:tc>
          <w:tcPr>
            <w:tcW w:w="993" w:type="dxa"/>
            <w:vMerge/>
          </w:tcPr>
          <w:p w14:paraId="47578386" w14:textId="77777777" w:rsidR="008143D9" w:rsidRPr="00AC3044" w:rsidRDefault="008143D9" w:rsidP="005A428D">
            <w:pPr>
              <w:rPr>
                <w:rFonts w:eastAsia="SimSun"/>
              </w:rPr>
            </w:pPr>
          </w:p>
        </w:tc>
        <w:tc>
          <w:tcPr>
            <w:tcW w:w="1843" w:type="dxa"/>
            <w:vMerge w:val="restart"/>
            <w:vAlign w:val="center"/>
          </w:tcPr>
          <w:p w14:paraId="035D8539" w14:textId="77777777" w:rsidR="008143D9" w:rsidRPr="00AC3044" w:rsidRDefault="008143D9" w:rsidP="005A428D">
            <w:pPr>
              <w:rPr>
                <w:rFonts w:eastAsia="SimSun"/>
              </w:rPr>
            </w:pPr>
            <w:r w:rsidRPr="00AC3044">
              <w:rPr>
                <w:rFonts w:eastAsia="SimSun"/>
              </w:rPr>
              <w:t>Микофенолата мофетил (только при использовании СКК)</w:t>
            </w:r>
          </w:p>
        </w:tc>
        <w:tc>
          <w:tcPr>
            <w:tcW w:w="1417" w:type="dxa"/>
            <w:vAlign w:val="center"/>
          </w:tcPr>
          <w:p w14:paraId="35CC9182" w14:textId="77777777" w:rsidR="008143D9" w:rsidRPr="00AC3044" w:rsidRDefault="008143D9" w:rsidP="005A428D">
            <w:pPr>
              <w:rPr>
                <w:rFonts w:eastAsia="SimSun"/>
              </w:rPr>
            </w:pPr>
            <w:r w:rsidRPr="00AC3044">
              <w:rPr>
                <w:rFonts w:eastAsia="SimSun"/>
              </w:rPr>
              <w:t>2000 мг</w:t>
            </w:r>
          </w:p>
        </w:tc>
        <w:tc>
          <w:tcPr>
            <w:tcW w:w="1418" w:type="dxa"/>
            <w:vAlign w:val="center"/>
          </w:tcPr>
          <w:p w14:paraId="03F6EBBE" w14:textId="77777777" w:rsidR="008143D9" w:rsidRPr="00AC3044" w:rsidRDefault="008143D9" w:rsidP="005A428D">
            <w:pPr>
              <w:rPr>
                <w:rFonts w:eastAsia="SimSun"/>
              </w:rPr>
            </w:pPr>
            <w:r w:rsidRPr="00AC3044">
              <w:rPr>
                <w:rFonts w:eastAsia="SimSun"/>
              </w:rPr>
              <w:t>–</w:t>
            </w:r>
          </w:p>
        </w:tc>
        <w:tc>
          <w:tcPr>
            <w:tcW w:w="1701" w:type="dxa"/>
            <w:vAlign w:val="center"/>
          </w:tcPr>
          <w:p w14:paraId="32BE7E63" w14:textId="77777777" w:rsidR="008143D9" w:rsidRPr="00AC3044" w:rsidRDefault="008143D9" w:rsidP="005A428D">
            <w:pPr>
              <w:rPr>
                <w:rFonts w:eastAsia="SimSun"/>
              </w:rPr>
            </w:pPr>
            <w:r w:rsidRPr="00AC3044">
              <w:rPr>
                <w:rFonts w:eastAsia="SimSun"/>
              </w:rPr>
              <w:t>С +1 по +14 день</w:t>
            </w:r>
          </w:p>
        </w:tc>
        <w:tc>
          <w:tcPr>
            <w:tcW w:w="2268" w:type="dxa"/>
            <w:vAlign w:val="center"/>
          </w:tcPr>
          <w:p w14:paraId="510375CE" w14:textId="77777777" w:rsidR="008143D9" w:rsidRPr="00AC3044" w:rsidRDefault="008143D9" w:rsidP="005A428D">
            <w:pPr>
              <w:rPr>
                <w:rFonts w:eastAsia="SimSun"/>
              </w:rPr>
            </w:pPr>
            <w:r w:rsidRPr="00AC3044">
              <w:rPr>
                <w:rFonts w:eastAsia="SimSun"/>
              </w:rPr>
              <w:t>Внутрь, суммарная суточная доза разделяется на 2-4 приема.</w:t>
            </w:r>
          </w:p>
        </w:tc>
      </w:tr>
      <w:tr w:rsidR="008143D9" w:rsidRPr="00AC3044" w14:paraId="333BAAFB" w14:textId="77777777" w:rsidTr="005A428D">
        <w:trPr>
          <w:cantSplit/>
          <w:trHeight w:val="464"/>
        </w:trPr>
        <w:tc>
          <w:tcPr>
            <w:tcW w:w="993" w:type="dxa"/>
            <w:vMerge/>
          </w:tcPr>
          <w:p w14:paraId="6A37219D" w14:textId="77777777" w:rsidR="008143D9" w:rsidRPr="00AC3044" w:rsidRDefault="008143D9" w:rsidP="005A428D">
            <w:pPr>
              <w:rPr>
                <w:rFonts w:eastAsia="SimSun"/>
              </w:rPr>
            </w:pPr>
          </w:p>
        </w:tc>
        <w:tc>
          <w:tcPr>
            <w:tcW w:w="1843" w:type="dxa"/>
            <w:vMerge/>
            <w:vAlign w:val="center"/>
          </w:tcPr>
          <w:p w14:paraId="6011789F" w14:textId="77777777" w:rsidR="008143D9" w:rsidRPr="00AC3044" w:rsidRDefault="008143D9" w:rsidP="005A428D">
            <w:pPr>
              <w:rPr>
                <w:rFonts w:eastAsia="SimSun"/>
              </w:rPr>
            </w:pPr>
          </w:p>
        </w:tc>
        <w:tc>
          <w:tcPr>
            <w:tcW w:w="1417" w:type="dxa"/>
            <w:vAlign w:val="center"/>
          </w:tcPr>
          <w:p w14:paraId="194D5DE1" w14:textId="77777777" w:rsidR="008143D9" w:rsidRPr="00AC3044" w:rsidRDefault="008143D9" w:rsidP="005A428D">
            <w:pPr>
              <w:rPr>
                <w:rFonts w:eastAsia="SimSun"/>
              </w:rPr>
            </w:pPr>
            <w:r w:rsidRPr="00AC3044">
              <w:rPr>
                <w:rFonts w:eastAsia="SimSun"/>
              </w:rPr>
              <w:t>1000 мг</w:t>
            </w:r>
          </w:p>
        </w:tc>
        <w:tc>
          <w:tcPr>
            <w:tcW w:w="1418" w:type="dxa"/>
            <w:vAlign w:val="center"/>
          </w:tcPr>
          <w:p w14:paraId="48174CB7" w14:textId="77777777" w:rsidR="008143D9" w:rsidRPr="00AC3044" w:rsidRDefault="008143D9" w:rsidP="005A428D">
            <w:pPr>
              <w:rPr>
                <w:rFonts w:eastAsia="SimSun"/>
              </w:rPr>
            </w:pPr>
            <w:r w:rsidRPr="00AC3044">
              <w:rPr>
                <w:rFonts w:eastAsia="SimSun"/>
              </w:rPr>
              <w:t>–</w:t>
            </w:r>
          </w:p>
        </w:tc>
        <w:tc>
          <w:tcPr>
            <w:tcW w:w="1701" w:type="dxa"/>
            <w:vAlign w:val="center"/>
          </w:tcPr>
          <w:p w14:paraId="40E6E95D" w14:textId="77777777" w:rsidR="008143D9" w:rsidRPr="00AC3044" w:rsidRDefault="008143D9" w:rsidP="005A428D">
            <w:pPr>
              <w:rPr>
                <w:rFonts w:eastAsia="SimSun"/>
              </w:rPr>
            </w:pPr>
            <w:r w:rsidRPr="00AC3044">
              <w:rPr>
                <w:rFonts w:eastAsia="SimSun"/>
              </w:rPr>
              <w:t>С +15 по +90 день</w:t>
            </w:r>
          </w:p>
        </w:tc>
        <w:tc>
          <w:tcPr>
            <w:tcW w:w="2268" w:type="dxa"/>
            <w:vAlign w:val="center"/>
          </w:tcPr>
          <w:p w14:paraId="7593694D" w14:textId="77777777" w:rsidR="008143D9" w:rsidRPr="00AC3044" w:rsidRDefault="008143D9" w:rsidP="005A428D">
            <w:pPr>
              <w:rPr>
                <w:rFonts w:eastAsia="SimSun"/>
              </w:rPr>
            </w:pPr>
            <w:r w:rsidRPr="00AC3044">
              <w:rPr>
                <w:rFonts w:eastAsia="SimSun"/>
              </w:rPr>
              <w:t>Внутрь, суммарная суточная доза разделяется на 2-4 приема.</w:t>
            </w:r>
          </w:p>
        </w:tc>
      </w:tr>
    </w:tbl>
    <w:p w14:paraId="131B2A57" w14:textId="77777777" w:rsidR="008143D9" w:rsidRDefault="008143D9" w:rsidP="008143D9">
      <w:pPr>
        <w:rPr>
          <w:rFonts w:eastAsia="SimSun"/>
        </w:rPr>
      </w:pPr>
      <w:bookmarkStart w:id="128" w:name="_Toc44401164"/>
    </w:p>
    <w:p w14:paraId="14340634" w14:textId="77777777" w:rsidR="008143D9" w:rsidRPr="00C07B2E" w:rsidRDefault="008143D9" w:rsidP="008143D9">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1.2.6  – Flu180+Bu8 / rATG+CSA+MTX+MMF30</w:t>
      </w:r>
      <w:bookmarkEnd w:id="128"/>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8143D9" w:rsidRPr="00AC3044" w14:paraId="503CC0D3" w14:textId="77777777" w:rsidTr="005A428D">
        <w:trPr>
          <w:cantSplit/>
          <w:trHeight w:val="20"/>
          <w:tblHeader/>
        </w:trPr>
        <w:tc>
          <w:tcPr>
            <w:tcW w:w="993" w:type="dxa"/>
          </w:tcPr>
          <w:p w14:paraId="2ADEAE04" w14:textId="77777777" w:rsidR="008143D9" w:rsidRPr="00470D3D" w:rsidRDefault="008143D9" w:rsidP="005A428D">
            <w:pPr>
              <w:rPr>
                <w:rFonts w:eastAsia="SimSun"/>
              </w:rPr>
            </w:pPr>
          </w:p>
        </w:tc>
        <w:tc>
          <w:tcPr>
            <w:tcW w:w="1843" w:type="dxa"/>
            <w:vAlign w:val="center"/>
          </w:tcPr>
          <w:p w14:paraId="3BC6A0FA" w14:textId="77777777" w:rsidR="008143D9" w:rsidRPr="00AC3044" w:rsidRDefault="008143D9" w:rsidP="005A428D">
            <w:pPr>
              <w:rPr>
                <w:rFonts w:eastAsia="SimSun"/>
              </w:rPr>
            </w:pPr>
            <w:r w:rsidRPr="00AC3044">
              <w:rPr>
                <w:rFonts w:eastAsia="SimSun"/>
              </w:rPr>
              <w:t>Препарат</w:t>
            </w:r>
          </w:p>
        </w:tc>
        <w:tc>
          <w:tcPr>
            <w:tcW w:w="1417" w:type="dxa"/>
            <w:vAlign w:val="center"/>
          </w:tcPr>
          <w:p w14:paraId="4E1A6246" w14:textId="77777777" w:rsidR="008143D9" w:rsidRPr="00AC3044" w:rsidRDefault="008143D9" w:rsidP="005A428D">
            <w:pPr>
              <w:rPr>
                <w:rFonts w:eastAsia="SimSun"/>
              </w:rPr>
            </w:pPr>
            <w:r w:rsidRPr="00AC3044">
              <w:rPr>
                <w:rFonts w:eastAsia="SimSun"/>
              </w:rPr>
              <w:t>Суточная доза</w:t>
            </w:r>
          </w:p>
        </w:tc>
        <w:tc>
          <w:tcPr>
            <w:tcW w:w="1559" w:type="dxa"/>
            <w:vAlign w:val="center"/>
          </w:tcPr>
          <w:p w14:paraId="6538EDE5" w14:textId="77777777" w:rsidR="008143D9" w:rsidRPr="00AC3044" w:rsidRDefault="008143D9" w:rsidP="005A428D">
            <w:pPr>
              <w:rPr>
                <w:rFonts w:eastAsia="SimSun"/>
              </w:rPr>
            </w:pPr>
            <w:r w:rsidRPr="00AC3044">
              <w:rPr>
                <w:rFonts w:eastAsia="SimSun"/>
              </w:rPr>
              <w:t>Курсовая доза</w:t>
            </w:r>
          </w:p>
        </w:tc>
        <w:tc>
          <w:tcPr>
            <w:tcW w:w="1560" w:type="dxa"/>
            <w:vAlign w:val="center"/>
          </w:tcPr>
          <w:p w14:paraId="540B5B8F" w14:textId="77777777" w:rsidR="008143D9" w:rsidRPr="00AC3044" w:rsidRDefault="008143D9" w:rsidP="005A428D">
            <w:pPr>
              <w:rPr>
                <w:rFonts w:eastAsia="SimSun"/>
              </w:rPr>
            </w:pPr>
            <w:r w:rsidRPr="00AC3044">
              <w:rPr>
                <w:rFonts w:eastAsia="SimSun"/>
              </w:rPr>
              <w:t>Дни введения</w:t>
            </w:r>
          </w:p>
        </w:tc>
        <w:tc>
          <w:tcPr>
            <w:tcW w:w="2268" w:type="dxa"/>
            <w:vAlign w:val="center"/>
          </w:tcPr>
          <w:p w14:paraId="52C44FF8"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1DF419DD" w14:textId="77777777" w:rsidTr="005A428D">
        <w:trPr>
          <w:cantSplit/>
          <w:trHeight w:val="20"/>
        </w:trPr>
        <w:tc>
          <w:tcPr>
            <w:tcW w:w="993" w:type="dxa"/>
            <w:vMerge w:val="restart"/>
            <w:textDirection w:val="btLr"/>
            <w:vAlign w:val="center"/>
          </w:tcPr>
          <w:p w14:paraId="45BE2F6D" w14:textId="77777777" w:rsidR="008143D9" w:rsidRPr="00AC3044" w:rsidRDefault="008143D9" w:rsidP="005A428D">
            <w:pPr>
              <w:rPr>
                <w:rFonts w:eastAsia="SimSun"/>
              </w:rPr>
            </w:pPr>
            <w:r w:rsidRPr="00AC3044">
              <w:rPr>
                <w:rFonts w:eastAsia="SimSun"/>
              </w:rPr>
              <w:t>Кондиционирование</w:t>
            </w:r>
          </w:p>
        </w:tc>
        <w:tc>
          <w:tcPr>
            <w:tcW w:w="1843" w:type="dxa"/>
            <w:vAlign w:val="center"/>
          </w:tcPr>
          <w:p w14:paraId="2C2E3B18" w14:textId="77777777" w:rsidR="008143D9" w:rsidRPr="00AC3044" w:rsidRDefault="008143D9" w:rsidP="005A428D">
            <w:pPr>
              <w:rPr>
                <w:rFonts w:eastAsia="SimSun"/>
              </w:rPr>
            </w:pPr>
            <w:r w:rsidRPr="00AC3044">
              <w:rPr>
                <w:rFonts w:eastAsia="SimSun"/>
              </w:rPr>
              <w:t xml:space="preserve">Флударабин </w:t>
            </w:r>
          </w:p>
        </w:tc>
        <w:tc>
          <w:tcPr>
            <w:tcW w:w="1417" w:type="dxa"/>
            <w:vAlign w:val="center"/>
          </w:tcPr>
          <w:p w14:paraId="049DE10A" w14:textId="77777777" w:rsidR="008143D9" w:rsidRPr="00AC3044" w:rsidRDefault="008143D9" w:rsidP="005A428D">
            <w:pPr>
              <w:rPr>
                <w:rFonts w:eastAsia="SimSun"/>
              </w:rPr>
            </w:pPr>
            <w:r w:rsidRPr="00AC3044">
              <w:rPr>
                <w:rFonts w:eastAsia="SimSun"/>
              </w:rPr>
              <w:t>30 мг/м</w:t>
            </w:r>
            <w:r w:rsidRPr="001E6DBE">
              <w:rPr>
                <w:rFonts w:eastAsia="SimSun"/>
                <w:vertAlign w:val="superscript"/>
              </w:rPr>
              <w:t>2</w:t>
            </w:r>
          </w:p>
        </w:tc>
        <w:tc>
          <w:tcPr>
            <w:tcW w:w="1559" w:type="dxa"/>
            <w:vAlign w:val="center"/>
          </w:tcPr>
          <w:p w14:paraId="37CEDD87" w14:textId="77777777" w:rsidR="008143D9" w:rsidRPr="00AC3044" w:rsidRDefault="008143D9" w:rsidP="005A428D">
            <w:pPr>
              <w:rPr>
                <w:rFonts w:eastAsia="SimSun"/>
              </w:rPr>
            </w:pPr>
            <w:r w:rsidRPr="00AC3044">
              <w:rPr>
                <w:rFonts w:eastAsia="SimSun"/>
              </w:rPr>
              <w:t>180 мг/м</w:t>
            </w:r>
            <w:r w:rsidRPr="001E6DBE">
              <w:rPr>
                <w:rFonts w:eastAsia="SimSun"/>
                <w:vertAlign w:val="superscript"/>
              </w:rPr>
              <w:t>2</w:t>
            </w:r>
          </w:p>
        </w:tc>
        <w:tc>
          <w:tcPr>
            <w:tcW w:w="1560" w:type="dxa"/>
            <w:vAlign w:val="center"/>
          </w:tcPr>
          <w:p w14:paraId="161553EB" w14:textId="77777777" w:rsidR="008143D9" w:rsidRPr="00AC3044" w:rsidRDefault="008143D9" w:rsidP="005A428D">
            <w:pPr>
              <w:rPr>
                <w:rFonts w:eastAsia="SimSun"/>
              </w:rPr>
            </w:pPr>
            <w:r w:rsidRPr="00AC3044">
              <w:rPr>
                <w:rFonts w:eastAsia="SimSun"/>
              </w:rPr>
              <w:t>С –9 по –4 день</w:t>
            </w:r>
          </w:p>
        </w:tc>
        <w:tc>
          <w:tcPr>
            <w:tcW w:w="2268" w:type="dxa"/>
            <w:vAlign w:val="center"/>
          </w:tcPr>
          <w:p w14:paraId="4B4129F9"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495020CC" w14:textId="77777777" w:rsidTr="005A428D">
        <w:trPr>
          <w:cantSplit/>
          <w:trHeight w:val="1472"/>
        </w:trPr>
        <w:tc>
          <w:tcPr>
            <w:tcW w:w="993" w:type="dxa"/>
            <w:vMerge/>
            <w:textDirection w:val="btLr"/>
            <w:vAlign w:val="center"/>
          </w:tcPr>
          <w:p w14:paraId="3890F60C" w14:textId="77777777" w:rsidR="008143D9" w:rsidRPr="00AC3044" w:rsidRDefault="008143D9" w:rsidP="005A428D">
            <w:pPr>
              <w:rPr>
                <w:rFonts w:eastAsia="SimSun"/>
              </w:rPr>
            </w:pPr>
          </w:p>
        </w:tc>
        <w:tc>
          <w:tcPr>
            <w:tcW w:w="1843" w:type="dxa"/>
            <w:vAlign w:val="center"/>
          </w:tcPr>
          <w:p w14:paraId="2C3BFE21" w14:textId="77777777" w:rsidR="008143D9" w:rsidRPr="00AC3044" w:rsidRDefault="008143D9" w:rsidP="005A428D">
            <w:pPr>
              <w:rPr>
                <w:rFonts w:eastAsia="SimSun"/>
              </w:rPr>
            </w:pPr>
            <w:r w:rsidRPr="00AC3044">
              <w:rPr>
                <w:rFonts w:eastAsia="SimSun"/>
              </w:rPr>
              <w:t>Бусульфан</w:t>
            </w:r>
          </w:p>
        </w:tc>
        <w:tc>
          <w:tcPr>
            <w:tcW w:w="1417" w:type="dxa"/>
            <w:vAlign w:val="center"/>
          </w:tcPr>
          <w:p w14:paraId="149114AD" w14:textId="77777777" w:rsidR="008143D9" w:rsidRPr="00AC3044" w:rsidRDefault="008143D9" w:rsidP="005A428D">
            <w:pPr>
              <w:rPr>
                <w:rFonts w:eastAsia="SimSun"/>
              </w:rPr>
            </w:pPr>
            <w:r w:rsidRPr="00AC3044">
              <w:rPr>
                <w:rFonts w:eastAsia="SimSun"/>
              </w:rPr>
              <w:t>4 мг/кг</w:t>
            </w:r>
          </w:p>
        </w:tc>
        <w:tc>
          <w:tcPr>
            <w:tcW w:w="1559" w:type="dxa"/>
            <w:vAlign w:val="center"/>
          </w:tcPr>
          <w:p w14:paraId="1CD2FEC7" w14:textId="77777777" w:rsidR="008143D9" w:rsidRPr="00AC3044" w:rsidRDefault="008143D9" w:rsidP="005A428D">
            <w:pPr>
              <w:rPr>
                <w:rFonts w:eastAsia="SimSun"/>
              </w:rPr>
            </w:pPr>
            <w:r w:rsidRPr="00AC3044">
              <w:rPr>
                <w:rFonts w:eastAsia="SimSun"/>
              </w:rPr>
              <w:t>8 мг/кг</w:t>
            </w:r>
          </w:p>
        </w:tc>
        <w:tc>
          <w:tcPr>
            <w:tcW w:w="1560" w:type="dxa"/>
            <w:vAlign w:val="center"/>
          </w:tcPr>
          <w:p w14:paraId="6584C82C" w14:textId="77777777" w:rsidR="008143D9" w:rsidRPr="00AC3044" w:rsidRDefault="008143D9" w:rsidP="005A428D">
            <w:pPr>
              <w:rPr>
                <w:rFonts w:eastAsia="SimSun"/>
              </w:rPr>
            </w:pPr>
            <w:r w:rsidRPr="00AC3044">
              <w:rPr>
                <w:rFonts w:eastAsia="SimSun"/>
              </w:rPr>
              <w:t>–5, –4 дни</w:t>
            </w:r>
          </w:p>
        </w:tc>
        <w:tc>
          <w:tcPr>
            <w:tcW w:w="2268" w:type="dxa"/>
            <w:vAlign w:val="center"/>
          </w:tcPr>
          <w:p w14:paraId="32001C72" w14:textId="77777777" w:rsidR="008143D9" w:rsidRPr="00AC3044" w:rsidRDefault="008143D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8143D9" w:rsidRPr="00AC3044" w14:paraId="51F3750C" w14:textId="77777777" w:rsidTr="005A428D">
        <w:trPr>
          <w:cantSplit/>
          <w:trHeight w:val="20"/>
        </w:trPr>
        <w:tc>
          <w:tcPr>
            <w:tcW w:w="993" w:type="dxa"/>
            <w:vMerge w:val="restart"/>
            <w:textDirection w:val="btLr"/>
            <w:vAlign w:val="center"/>
          </w:tcPr>
          <w:p w14:paraId="220714B8" w14:textId="77777777" w:rsidR="008143D9" w:rsidRPr="00AC3044" w:rsidRDefault="008143D9" w:rsidP="005A428D">
            <w:pPr>
              <w:rPr>
                <w:rFonts w:eastAsia="SimSun"/>
              </w:rPr>
            </w:pPr>
            <w:r w:rsidRPr="00AC3044">
              <w:rPr>
                <w:rFonts w:eastAsia="SimSun"/>
              </w:rPr>
              <w:t>Профилактика РТПХ</w:t>
            </w:r>
          </w:p>
        </w:tc>
        <w:tc>
          <w:tcPr>
            <w:tcW w:w="1843" w:type="dxa"/>
            <w:vAlign w:val="center"/>
          </w:tcPr>
          <w:p w14:paraId="04B28BD2" w14:textId="77777777" w:rsidR="008143D9" w:rsidRPr="00AC3044" w:rsidRDefault="008143D9" w:rsidP="005A428D">
            <w:pPr>
              <w:rPr>
                <w:rFonts w:eastAsia="SimSun"/>
              </w:rPr>
            </w:pPr>
            <w:r w:rsidRPr="00AC3044">
              <w:rPr>
                <w:rFonts w:eastAsia="SimSun"/>
              </w:rPr>
              <w:t>АТГ (кроличий)</w:t>
            </w:r>
          </w:p>
        </w:tc>
        <w:tc>
          <w:tcPr>
            <w:tcW w:w="1417" w:type="dxa"/>
            <w:vAlign w:val="center"/>
          </w:tcPr>
          <w:p w14:paraId="50AABAE0" w14:textId="77777777" w:rsidR="008143D9" w:rsidRPr="00AC3044" w:rsidRDefault="008143D9" w:rsidP="005A428D">
            <w:pPr>
              <w:rPr>
                <w:rFonts w:eastAsia="SimSun"/>
              </w:rPr>
            </w:pPr>
            <w:r w:rsidRPr="00AC3044">
              <w:rPr>
                <w:rFonts w:eastAsia="SimSun"/>
              </w:rPr>
              <w:t>2,5 мг/кг</w:t>
            </w:r>
          </w:p>
        </w:tc>
        <w:tc>
          <w:tcPr>
            <w:tcW w:w="1559" w:type="dxa"/>
            <w:vAlign w:val="center"/>
          </w:tcPr>
          <w:p w14:paraId="40CFF712" w14:textId="77777777" w:rsidR="008143D9" w:rsidRPr="00AC3044" w:rsidRDefault="008143D9" w:rsidP="005A428D">
            <w:pPr>
              <w:rPr>
                <w:rFonts w:eastAsia="SimSun"/>
              </w:rPr>
            </w:pPr>
            <w:r w:rsidRPr="00AC3044">
              <w:rPr>
                <w:rFonts w:eastAsia="SimSun"/>
              </w:rPr>
              <w:t>5 - 7,5 мг/кг</w:t>
            </w:r>
            <w:r w:rsidRPr="001E6DBE">
              <w:rPr>
                <w:rFonts w:eastAsia="SimSun"/>
                <w:vertAlign w:val="superscript"/>
              </w:rPr>
              <w:t>2</w:t>
            </w:r>
          </w:p>
        </w:tc>
        <w:tc>
          <w:tcPr>
            <w:tcW w:w="1560" w:type="dxa"/>
            <w:vAlign w:val="center"/>
          </w:tcPr>
          <w:p w14:paraId="05464343" w14:textId="77777777" w:rsidR="008143D9" w:rsidRPr="00AC3044" w:rsidRDefault="008143D9" w:rsidP="005A428D">
            <w:pPr>
              <w:rPr>
                <w:rFonts w:eastAsia="SimSun"/>
              </w:rPr>
            </w:pPr>
            <w:r w:rsidRPr="00AC3044">
              <w:rPr>
                <w:rFonts w:eastAsia="SimSun"/>
              </w:rPr>
              <w:t>С –3 по –2 (-1) день</w:t>
            </w:r>
          </w:p>
        </w:tc>
        <w:tc>
          <w:tcPr>
            <w:tcW w:w="2268" w:type="dxa"/>
            <w:vAlign w:val="center"/>
          </w:tcPr>
          <w:p w14:paraId="738F0D05" w14:textId="77777777" w:rsidR="008143D9" w:rsidRPr="00AC3044" w:rsidRDefault="008143D9" w:rsidP="005A428D">
            <w:pPr>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 xml:space="preserve">на 2 введения (см. «Инфузия АТГ») </w:t>
            </w:r>
          </w:p>
        </w:tc>
      </w:tr>
      <w:tr w:rsidR="008143D9" w:rsidRPr="00AC3044" w14:paraId="73F8A966" w14:textId="77777777" w:rsidTr="005A428D">
        <w:trPr>
          <w:cantSplit/>
          <w:trHeight w:val="20"/>
        </w:trPr>
        <w:tc>
          <w:tcPr>
            <w:tcW w:w="993" w:type="dxa"/>
            <w:vMerge/>
            <w:textDirection w:val="btLr"/>
            <w:vAlign w:val="center"/>
          </w:tcPr>
          <w:p w14:paraId="03DE2D7F" w14:textId="77777777" w:rsidR="008143D9" w:rsidRPr="00AC3044" w:rsidRDefault="008143D9" w:rsidP="005A428D">
            <w:pPr>
              <w:rPr>
                <w:rFonts w:eastAsia="SimSun"/>
              </w:rPr>
            </w:pPr>
          </w:p>
        </w:tc>
        <w:tc>
          <w:tcPr>
            <w:tcW w:w="1843" w:type="dxa"/>
            <w:vAlign w:val="center"/>
          </w:tcPr>
          <w:p w14:paraId="7D841655" w14:textId="77777777" w:rsidR="008143D9" w:rsidRPr="00AC3044" w:rsidRDefault="008143D9" w:rsidP="005A428D">
            <w:pPr>
              <w:rPr>
                <w:rFonts w:eastAsia="SimSun"/>
              </w:rPr>
            </w:pPr>
            <w:r w:rsidRPr="00AC3044">
              <w:rPr>
                <w:rFonts w:eastAsia="SimSun"/>
              </w:rPr>
              <w:t>Циклоспорин</w:t>
            </w:r>
          </w:p>
        </w:tc>
        <w:tc>
          <w:tcPr>
            <w:tcW w:w="1417" w:type="dxa"/>
            <w:vAlign w:val="center"/>
          </w:tcPr>
          <w:p w14:paraId="4F59B9BB" w14:textId="77777777" w:rsidR="008143D9" w:rsidRPr="00AC3044" w:rsidRDefault="008143D9" w:rsidP="005A428D">
            <w:pPr>
              <w:rPr>
                <w:rFonts w:eastAsia="SimSun"/>
              </w:rPr>
            </w:pPr>
            <w:r w:rsidRPr="00AC3044">
              <w:rPr>
                <w:rFonts w:eastAsia="SimSun"/>
              </w:rPr>
              <w:t>3 мг/кг</w:t>
            </w:r>
          </w:p>
        </w:tc>
        <w:tc>
          <w:tcPr>
            <w:tcW w:w="1559" w:type="dxa"/>
            <w:vAlign w:val="center"/>
          </w:tcPr>
          <w:p w14:paraId="403728B4" w14:textId="77777777" w:rsidR="008143D9" w:rsidRPr="00AC3044" w:rsidRDefault="008143D9" w:rsidP="005A428D">
            <w:pPr>
              <w:rPr>
                <w:rFonts w:eastAsia="SimSun"/>
              </w:rPr>
            </w:pPr>
            <w:r w:rsidRPr="00AC3044">
              <w:rPr>
                <w:rFonts w:eastAsia="SimSun"/>
              </w:rPr>
              <w:t>–</w:t>
            </w:r>
          </w:p>
        </w:tc>
        <w:tc>
          <w:tcPr>
            <w:tcW w:w="1560" w:type="dxa"/>
            <w:vAlign w:val="center"/>
          </w:tcPr>
          <w:p w14:paraId="1F215F34" w14:textId="77777777" w:rsidR="008143D9" w:rsidRPr="00AC3044" w:rsidRDefault="008143D9" w:rsidP="005A428D">
            <w:pPr>
              <w:rPr>
                <w:rFonts w:eastAsia="SimSun"/>
              </w:rPr>
            </w:pPr>
            <w:r w:rsidRPr="00AC3044">
              <w:rPr>
                <w:rFonts w:eastAsia="SimSun"/>
              </w:rPr>
              <w:t>С –1 дня по +90 день, затем постепенное снижение к +180 дню</w:t>
            </w:r>
          </w:p>
        </w:tc>
        <w:tc>
          <w:tcPr>
            <w:tcW w:w="2268" w:type="dxa"/>
            <w:vAlign w:val="center"/>
          </w:tcPr>
          <w:p w14:paraId="5E4E1140" w14:textId="77777777" w:rsidR="008143D9" w:rsidRPr="00AC3044" w:rsidRDefault="008143D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8143D9" w:rsidRPr="00AC3044" w14:paraId="5F438096" w14:textId="77777777" w:rsidTr="005A428D">
        <w:trPr>
          <w:cantSplit/>
          <w:trHeight w:val="20"/>
        </w:trPr>
        <w:tc>
          <w:tcPr>
            <w:tcW w:w="993" w:type="dxa"/>
            <w:vMerge/>
            <w:vAlign w:val="center"/>
          </w:tcPr>
          <w:p w14:paraId="2587B680" w14:textId="77777777" w:rsidR="008143D9" w:rsidRPr="00AC3044" w:rsidRDefault="008143D9" w:rsidP="005A428D">
            <w:pPr>
              <w:rPr>
                <w:rFonts w:eastAsia="SimSun"/>
              </w:rPr>
            </w:pPr>
          </w:p>
        </w:tc>
        <w:tc>
          <w:tcPr>
            <w:tcW w:w="1843" w:type="dxa"/>
            <w:vMerge w:val="restart"/>
            <w:vAlign w:val="center"/>
          </w:tcPr>
          <w:p w14:paraId="62711D7F" w14:textId="77777777" w:rsidR="008143D9" w:rsidRPr="00AC3044" w:rsidRDefault="008143D9" w:rsidP="005A428D">
            <w:pPr>
              <w:rPr>
                <w:rFonts w:eastAsia="SimSun"/>
              </w:rPr>
            </w:pPr>
            <w:r w:rsidRPr="00AC3044">
              <w:rPr>
                <w:rFonts w:eastAsia="SimSun"/>
              </w:rPr>
              <w:t>Метотрексат</w:t>
            </w:r>
          </w:p>
        </w:tc>
        <w:tc>
          <w:tcPr>
            <w:tcW w:w="1417" w:type="dxa"/>
            <w:vAlign w:val="center"/>
          </w:tcPr>
          <w:p w14:paraId="2885788A" w14:textId="77777777" w:rsidR="008143D9" w:rsidRPr="00AC3044" w:rsidRDefault="008143D9" w:rsidP="005A428D">
            <w:pPr>
              <w:rPr>
                <w:rFonts w:eastAsia="SimSun"/>
              </w:rPr>
            </w:pPr>
            <w:r w:rsidRPr="00AC3044">
              <w:rPr>
                <w:rFonts w:eastAsia="SimSun"/>
              </w:rPr>
              <w:t>15 мг/м</w:t>
            </w:r>
            <w:r w:rsidRPr="001E6DBE">
              <w:rPr>
                <w:rFonts w:eastAsia="SimSun"/>
                <w:vertAlign w:val="superscript"/>
              </w:rPr>
              <w:t>2</w:t>
            </w:r>
          </w:p>
        </w:tc>
        <w:tc>
          <w:tcPr>
            <w:tcW w:w="1559" w:type="dxa"/>
            <w:vAlign w:val="center"/>
          </w:tcPr>
          <w:p w14:paraId="236E1316" w14:textId="77777777" w:rsidR="008143D9" w:rsidRPr="00AC3044" w:rsidRDefault="008143D9" w:rsidP="005A428D">
            <w:pPr>
              <w:rPr>
                <w:rFonts w:eastAsia="SimSun"/>
              </w:rPr>
            </w:pPr>
            <w:r w:rsidRPr="00AC3044">
              <w:rPr>
                <w:rFonts w:eastAsia="SimSun"/>
              </w:rPr>
              <w:t>–</w:t>
            </w:r>
          </w:p>
        </w:tc>
        <w:tc>
          <w:tcPr>
            <w:tcW w:w="1560" w:type="dxa"/>
            <w:vAlign w:val="center"/>
          </w:tcPr>
          <w:p w14:paraId="50DEFB5F" w14:textId="77777777" w:rsidR="008143D9" w:rsidRPr="00AC3044" w:rsidRDefault="008143D9" w:rsidP="005A428D">
            <w:pPr>
              <w:rPr>
                <w:rFonts w:eastAsia="SimSun"/>
              </w:rPr>
            </w:pPr>
            <w:r w:rsidRPr="00AC3044">
              <w:rPr>
                <w:rFonts w:eastAsia="SimSun"/>
              </w:rPr>
              <w:t>+1 день</w:t>
            </w:r>
          </w:p>
        </w:tc>
        <w:tc>
          <w:tcPr>
            <w:tcW w:w="2268" w:type="dxa"/>
            <w:vAlign w:val="center"/>
          </w:tcPr>
          <w:p w14:paraId="155E5730" w14:textId="77777777" w:rsidR="008143D9" w:rsidRPr="00AC3044" w:rsidRDefault="008143D9" w:rsidP="005A428D">
            <w:pPr>
              <w:rPr>
                <w:rFonts w:eastAsia="SimSun"/>
              </w:rPr>
            </w:pPr>
            <w:r w:rsidRPr="00AC3044">
              <w:rPr>
                <w:rFonts w:eastAsia="SimSun"/>
              </w:rPr>
              <w:t>В/в, в 20 мл физ. р-ра</w:t>
            </w:r>
          </w:p>
        </w:tc>
      </w:tr>
      <w:tr w:rsidR="008143D9" w:rsidRPr="00AC3044" w14:paraId="117FF5EA" w14:textId="77777777" w:rsidTr="005A428D">
        <w:trPr>
          <w:cantSplit/>
          <w:trHeight w:val="464"/>
        </w:trPr>
        <w:tc>
          <w:tcPr>
            <w:tcW w:w="993" w:type="dxa"/>
            <w:vMerge/>
            <w:vAlign w:val="center"/>
          </w:tcPr>
          <w:p w14:paraId="3BA8E484" w14:textId="77777777" w:rsidR="008143D9" w:rsidRPr="00AC3044" w:rsidRDefault="008143D9" w:rsidP="005A428D">
            <w:pPr>
              <w:rPr>
                <w:rFonts w:eastAsia="SimSun"/>
              </w:rPr>
            </w:pPr>
          </w:p>
        </w:tc>
        <w:tc>
          <w:tcPr>
            <w:tcW w:w="1843" w:type="dxa"/>
            <w:vMerge/>
            <w:vAlign w:val="center"/>
          </w:tcPr>
          <w:p w14:paraId="5953769D" w14:textId="77777777" w:rsidR="008143D9" w:rsidRPr="00AC3044" w:rsidRDefault="008143D9" w:rsidP="005A428D">
            <w:pPr>
              <w:rPr>
                <w:rFonts w:eastAsia="SimSun"/>
              </w:rPr>
            </w:pPr>
          </w:p>
        </w:tc>
        <w:tc>
          <w:tcPr>
            <w:tcW w:w="1417" w:type="dxa"/>
            <w:vAlign w:val="center"/>
          </w:tcPr>
          <w:p w14:paraId="71FA5CFE" w14:textId="77777777" w:rsidR="008143D9" w:rsidRPr="00AC3044" w:rsidRDefault="008143D9" w:rsidP="005A428D">
            <w:pPr>
              <w:rPr>
                <w:rFonts w:eastAsia="SimSun"/>
              </w:rPr>
            </w:pPr>
            <w:r w:rsidRPr="00AC3044">
              <w:rPr>
                <w:rFonts w:eastAsia="SimSun"/>
              </w:rPr>
              <w:t>10 мг/м</w:t>
            </w:r>
            <w:r w:rsidRPr="001E6DBE">
              <w:rPr>
                <w:rFonts w:eastAsia="SimSun"/>
                <w:vertAlign w:val="superscript"/>
              </w:rPr>
              <w:t>2</w:t>
            </w:r>
          </w:p>
        </w:tc>
        <w:tc>
          <w:tcPr>
            <w:tcW w:w="1559" w:type="dxa"/>
            <w:vAlign w:val="center"/>
          </w:tcPr>
          <w:p w14:paraId="2CCE750F" w14:textId="77777777" w:rsidR="008143D9" w:rsidRPr="00AC3044" w:rsidRDefault="008143D9" w:rsidP="005A428D">
            <w:pPr>
              <w:rPr>
                <w:rFonts w:eastAsia="SimSun"/>
              </w:rPr>
            </w:pPr>
            <w:r w:rsidRPr="00AC3044">
              <w:rPr>
                <w:rFonts w:eastAsia="SimSun"/>
              </w:rPr>
              <w:t>–</w:t>
            </w:r>
          </w:p>
        </w:tc>
        <w:tc>
          <w:tcPr>
            <w:tcW w:w="1560" w:type="dxa"/>
            <w:vAlign w:val="center"/>
          </w:tcPr>
          <w:p w14:paraId="076D92CD" w14:textId="77777777" w:rsidR="008143D9" w:rsidRPr="00AC3044" w:rsidRDefault="008143D9" w:rsidP="005A428D">
            <w:pPr>
              <w:rPr>
                <w:rFonts w:eastAsia="SimSun"/>
              </w:rPr>
            </w:pPr>
            <w:r w:rsidRPr="00AC3044">
              <w:rPr>
                <w:rFonts w:eastAsia="SimSun"/>
              </w:rPr>
              <w:t>+3, +6, +11 день</w:t>
            </w:r>
          </w:p>
        </w:tc>
        <w:tc>
          <w:tcPr>
            <w:tcW w:w="2268" w:type="dxa"/>
            <w:vAlign w:val="center"/>
          </w:tcPr>
          <w:p w14:paraId="11A5677E" w14:textId="77777777" w:rsidR="008143D9" w:rsidRPr="00AC3044" w:rsidRDefault="008143D9" w:rsidP="005A428D">
            <w:pPr>
              <w:rPr>
                <w:rFonts w:eastAsia="SimSun"/>
              </w:rPr>
            </w:pPr>
            <w:r w:rsidRPr="00AC3044">
              <w:rPr>
                <w:rFonts w:eastAsia="SimSun"/>
              </w:rPr>
              <w:t xml:space="preserve">В/в, в 20 мл физ. р-ра </w:t>
            </w:r>
          </w:p>
        </w:tc>
      </w:tr>
      <w:tr w:rsidR="008143D9" w:rsidRPr="00AC3044" w14:paraId="39B47282" w14:textId="77777777" w:rsidTr="005A428D">
        <w:trPr>
          <w:cantSplit/>
          <w:trHeight w:val="464"/>
        </w:trPr>
        <w:tc>
          <w:tcPr>
            <w:tcW w:w="993" w:type="dxa"/>
            <w:vMerge/>
            <w:vAlign w:val="center"/>
          </w:tcPr>
          <w:p w14:paraId="7509BAC4" w14:textId="77777777" w:rsidR="008143D9" w:rsidRPr="00AC3044" w:rsidRDefault="008143D9" w:rsidP="005A428D">
            <w:pPr>
              <w:rPr>
                <w:rFonts w:eastAsia="SimSun"/>
              </w:rPr>
            </w:pPr>
          </w:p>
        </w:tc>
        <w:tc>
          <w:tcPr>
            <w:tcW w:w="1843" w:type="dxa"/>
            <w:vMerge w:val="restart"/>
            <w:vAlign w:val="center"/>
          </w:tcPr>
          <w:p w14:paraId="114EEA37" w14:textId="77777777" w:rsidR="008143D9" w:rsidRPr="00AC3044" w:rsidRDefault="008143D9" w:rsidP="005A428D">
            <w:pPr>
              <w:rPr>
                <w:rFonts w:eastAsia="SimSun"/>
              </w:rPr>
            </w:pPr>
            <w:r w:rsidRPr="00AC3044">
              <w:rPr>
                <w:rFonts w:eastAsia="SimSun"/>
              </w:rPr>
              <w:t>Микофенолата мофетил (только при использовании СКК)</w:t>
            </w:r>
          </w:p>
        </w:tc>
        <w:tc>
          <w:tcPr>
            <w:tcW w:w="1417" w:type="dxa"/>
            <w:vAlign w:val="center"/>
          </w:tcPr>
          <w:p w14:paraId="1B7C00F2" w14:textId="77777777" w:rsidR="008143D9" w:rsidRPr="00AC3044" w:rsidRDefault="008143D9" w:rsidP="005A428D">
            <w:pPr>
              <w:rPr>
                <w:rFonts w:eastAsia="SimSun"/>
              </w:rPr>
            </w:pPr>
            <w:r w:rsidRPr="00AC3044">
              <w:rPr>
                <w:rFonts w:eastAsia="SimSun"/>
              </w:rPr>
              <w:t>2000 мг</w:t>
            </w:r>
          </w:p>
        </w:tc>
        <w:tc>
          <w:tcPr>
            <w:tcW w:w="1559" w:type="dxa"/>
            <w:vAlign w:val="center"/>
          </w:tcPr>
          <w:p w14:paraId="7F3D09E5" w14:textId="77777777" w:rsidR="008143D9" w:rsidRPr="00AC3044" w:rsidRDefault="008143D9" w:rsidP="005A428D">
            <w:pPr>
              <w:rPr>
                <w:rFonts w:eastAsia="SimSun"/>
              </w:rPr>
            </w:pPr>
            <w:r w:rsidRPr="00AC3044">
              <w:rPr>
                <w:rFonts w:eastAsia="SimSun"/>
              </w:rPr>
              <w:t>–</w:t>
            </w:r>
          </w:p>
        </w:tc>
        <w:tc>
          <w:tcPr>
            <w:tcW w:w="1560" w:type="dxa"/>
            <w:vAlign w:val="center"/>
          </w:tcPr>
          <w:p w14:paraId="63B1890E" w14:textId="77777777" w:rsidR="008143D9" w:rsidRPr="00AC3044" w:rsidRDefault="008143D9" w:rsidP="005A428D">
            <w:pPr>
              <w:rPr>
                <w:rFonts w:eastAsia="SimSun"/>
              </w:rPr>
            </w:pPr>
            <w:r w:rsidRPr="00AC3044">
              <w:rPr>
                <w:rFonts w:eastAsia="SimSun"/>
              </w:rPr>
              <w:t>С +1 по +14 день</w:t>
            </w:r>
          </w:p>
        </w:tc>
        <w:tc>
          <w:tcPr>
            <w:tcW w:w="2268" w:type="dxa"/>
            <w:vAlign w:val="center"/>
          </w:tcPr>
          <w:p w14:paraId="2CE3C976" w14:textId="77777777" w:rsidR="008143D9" w:rsidRPr="00AC3044" w:rsidRDefault="008143D9" w:rsidP="005A428D">
            <w:pPr>
              <w:rPr>
                <w:rFonts w:eastAsia="SimSun"/>
              </w:rPr>
            </w:pPr>
            <w:r w:rsidRPr="00AC3044">
              <w:rPr>
                <w:rFonts w:eastAsia="SimSun"/>
              </w:rPr>
              <w:t>Внутрь, суммарная суточная доза разделяется на 2-4 приема.</w:t>
            </w:r>
          </w:p>
        </w:tc>
      </w:tr>
      <w:tr w:rsidR="008143D9" w:rsidRPr="00AC3044" w14:paraId="35C07551" w14:textId="77777777" w:rsidTr="005A428D">
        <w:trPr>
          <w:cantSplit/>
          <w:trHeight w:val="464"/>
        </w:trPr>
        <w:tc>
          <w:tcPr>
            <w:tcW w:w="993" w:type="dxa"/>
            <w:vMerge/>
            <w:vAlign w:val="center"/>
          </w:tcPr>
          <w:p w14:paraId="5A99B95F" w14:textId="77777777" w:rsidR="008143D9" w:rsidRPr="00AC3044" w:rsidRDefault="008143D9" w:rsidP="005A428D">
            <w:pPr>
              <w:rPr>
                <w:rFonts w:eastAsia="SimSun"/>
              </w:rPr>
            </w:pPr>
          </w:p>
        </w:tc>
        <w:tc>
          <w:tcPr>
            <w:tcW w:w="1843" w:type="dxa"/>
            <w:vMerge/>
            <w:vAlign w:val="center"/>
          </w:tcPr>
          <w:p w14:paraId="56694AAD" w14:textId="77777777" w:rsidR="008143D9" w:rsidRPr="00AC3044" w:rsidRDefault="008143D9" w:rsidP="005A428D">
            <w:pPr>
              <w:rPr>
                <w:rFonts w:eastAsia="SimSun"/>
              </w:rPr>
            </w:pPr>
          </w:p>
        </w:tc>
        <w:tc>
          <w:tcPr>
            <w:tcW w:w="1417" w:type="dxa"/>
            <w:vAlign w:val="center"/>
          </w:tcPr>
          <w:p w14:paraId="2062AE89" w14:textId="77777777" w:rsidR="008143D9" w:rsidRPr="00AC3044" w:rsidRDefault="008143D9" w:rsidP="005A428D">
            <w:pPr>
              <w:rPr>
                <w:rFonts w:eastAsia="SimSun"/>
              </w:rPr>
            </w:pPr>
            <w:r w:rsidRPr="00AC3044">
              <w:rPr>
                <w:rFonts w:eastAsia="SimSun"/>
              </w:rPr>
              <w:t>1000 мг</w:t>
            </w:r>
          </w:p>
        </w:tc>
        <w:tc>
          <w:tcPr>
            <w:tcW w:w="1559" w:type="dxa"/>
            <w:vAlign w:val="center"/>
          </w:tcPr>
          <w:p w14:paraId="04CE6F87" w14:textId="77777777" w:rsidR="008143D9" w:rsidRPr="00AC3044" w:rsidRDefault="008143D9" w:rsidP="005A428D">
            <w:pPr>
              <w:rPr>
                <w:rFonts w:eastAsia="SimSun"/>
              </w:rPr>
            </w:pPr>
            <w:r w:rsidRPr="00AC3044">
              <w:rPr>
                <w:rFonts w:eastAsia="SimSun"/>
              </w:rPr>
              <w:t>–</w:t>
            </w:r>
          </w:p>
        </w:tc>
        <w:tc>
          <w:tcPr>
            <w:tcW w:w="1560" w:type="dxa"/>
            <w:vAlign w:val="center"/>
          </w:tcPr>
          <w:p w14:paraId="7E993288" w14:textId="77777777" w:rsidR="008143D9" w:rsidRPr="00AC3044" w:rsidRDefault="008143D9" w:rsidP="005A428D">
            <w:pPr>
              <w:rPr>
                <w:rFonts w:eastAsia="SimSun"/>
              </w:rPr>
            </w:pPr>
            <w:r w:rsidRPr="00AC3044">
              <w:rPr>
                <w:rFonts w:eastAsia="SimSun"/>
              </w:rPr>
              <w:t>С +15 по +90 день</w:t>
            </w:r>
          </w:p>
        </w:tc>
        <w:tc>
          <w:tcPr>
            <w:tcW w:w="2268" w:type="dxa"/>
            <w:vAlign w:val="center"/>
          </w:tcPr>
          <w:p w14:paraId="563476DA" w14:textId="77777777" w:rsidR="008143D9" w:rsidRPr="00AC3044" w:rsidRDefault="008143D9" w:rsidP="005A428D">
            <w:pPr>
              <w:rPr>
                <w:rFonts w:eastAsia="SimSun"/>
              </w:rPr>
            </w:pPr>
            <w:r w:rsidRPr="00AC3044">
              <w:rPr>
                <w:rFonts w:eastAsia="SimSun"/>
              </w:rPr>
              <w:t>Внутрь, суммарная суточная доза разделяется на 2-4 приема.</w:t>
            </w:r>
          </w:p>
        </w:tc>
      </w:tr>
    </w:tbl>
    <w:p w14:paraId="33618263" w14:textId="77777777" w:rsidR="008143D9" w:rsidRDefault="008143D9" w:rsidP="008143D9">
      <w:pPr>
        <w:rPr>
          <w:rFonts w:eastAsia="SimSun"/>
        </w:rPr>
      </w:pPr>
      <w:bookmarkStart w:id="129" w:name="_Toc44401165"/>
    </w:p>
    <w:p w14:paraId="3ED3E143" w14:textId="77777777" w:rsidR="008143D9" w:rsidRPr="00C07B2E" w:rsidRDefault="008143D9" w:rsidP="008143D9">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1.2.7  – Flu180+Bu8 / PT-Cy+CSA+MMF30</w:t>
      </w:r>
      <w:bookmarkEnd w:id="129"/>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8143D9" w:rsidRPr="00AC3044" w14:paraId="2D17F8C4" w14:textId="77777777" w:rsidTr="005A428D">
        <w:trPr>
          <w:cantSplit/>
          <w:trHeight w:val="20"/>
          <w:tblHeader/>
        </w:trPr>
        <w:tc>
          <w:tcPr>
            <w:tcW w:w="993" w:type="dxa"/>
          </w:tcPr>
          <w:p w14:paraId="6175A440" w14:textId="77777777" w:rsidR="008143D9" w:rsidRPr="00470D3D" w:rsidRDefault="008143D9" w:rsidP="005A428D">
            <w:pPr>
              <w:rPr>
                <w:rFonts w:eastAsia="SimSun"/>
              </w:rPr>
            </w:pPr>
          </w:p>
          <w:p w14:paraId="792B0E14" w14:textId="77777777" w:rsidR="008143D9" w:rsidRPr="00470D3D" w:rsidRDefault="008143D9" w:rsidP="005A428D">
            <w:pPr>
              <w:rPr>
                <w:rFonts w:eastAsia="SimSun"/>
              </w:rPr>
            </w:pPr>
          </w:p>
        </w:tc>
        <w:tc>
          <w:tcPr>
            <w:tcW w:w="1843" w:type="dxa"/>
            <w:vAlign w:val="center"/>
          </w:tcPr>
          <w:p w14:paraId="03C80583" w14:textId="77777777" w:rsidR="008143D9" w:rsidRPr="00AC3044" w:rsidRDefault="008143D9" w:rsidP="005A428D">
            <w:pPr>
              <w:rPr>
                <w:rFonts w:eastAsia="SimSun"/>
              </w:rPr>
            </w:pPr>
            <w:r w:rsidRPr="00AC3044">
              <w:rPr>
                <w:rFonts w:eastAsia="SimSun"/>
              </w:rPr>
              <w:t>Препарат</w:t>
            </w:r>
          </w:p>
        </w:tc>
        <w:tc>
          <w:tcPr>
            <w:tcW w:w="1417" w:type="dxa"/>
            <w:vAlign w:val="center"/>
          </w:tcPr>
          <w:p w14:paraId="2B8829F7" w14:textId="77777777" w:rsidR="008143D9" w:rsidRPr="00AC3044" w:rsidRDefault="008143D9" w:rsidP="005A428D">
            <w:pPr>
              <w:rPr>
                <w:rFonts w:eastAsia="SimSun"/>
              </w:rPr>
            </w:pPr>
            <w:r w:rsidRPr="00AC3044">
              <w:rPr>
                <w:rFonts w:eastAsia="SimSun"/>
              </w:rPr>
              <w:t>Суточная доза</w:t>
            </w:r>
          </w:p>
        </w:tc>
        <w:tc>
          <w:tcPr>
            <w:tcW w:w="1559" w:type="dxa"/>
            <w:vAlign w:val="center"/>
          </w:tcPr>
          <w:p w14:paraId="21BEA520" w14:textId="77777777" w:rsidR="008143D9" w:rsidRPr="00AC3044" w:rsidRDefault="008143D9" w:rsidP="005A428D">
            <w:pPr>
              <w:rPr>
                <w:rFonts w:eastAsia="SimSun"/>
              </w:rPr>
            </w:pPr>
            <w:r w:rsidRPr="00AC3044">
              <w:rPr>
                <w:rFonts w:eastAsia="SimSun"/>
              </w:rPr>
              <w:t>Курсовая доза</w:t>
            </w:r>
          </w:p>
        </w:tc>
        <w:tc>
          <w:tcPr>
            <w:tcW w:w="1560" w:type="dxa"/>
            <w:vAlign w:val="center"/>
          </w:tcPr>
          <w:p w14:paraId="29D17F8A" w14:textId="77777777" w:rsidR="008143D9" w:rsidRPr="00AC3044" w:rsidRDefault="008143D9" w:rsidP="005A428D">
            <w:pPr>
              <w:rPr>
                <w:rFonts w:eastAsia="SimSun"/>
              </w:rPr>
            </w:pPr>
            <w:r w:rsidRPr="00AC3044">
              <w:rPr>
                <w:rFonts w:eastAsia="SimSun"/>
              </w:rPr>
              <w:t>Дни введения</w:t>
            </w:r>
          </w:p>
        </w:tc>
        <w:tc>
          <w:tcPr>
            <w:tcW w:w="2268" w:type="dxa"/>
            <w:vAlign w:val="center"/>
          </w:tcPr>
          <w:p w14:paraId="65168C79"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6BB75511" w14:textId="77777777" w:rsidTr="005A428D">
        <w:trPr>
          <w:cantSplit/>
          <w:trHeight w:val="20"/>
        </w:trPr>
        <w:tc>
          <w:tcPr>
            <w:tcW w:w="993" w:type="dxa"/>
            <w:vMerge w:val="restart"/>
            <w:textDirection w:val="btLr"/>
            <w:vAlign w:val="center"/>
          </w:tcPr>
          <w:p w14:paraId="0BAF45E2" w14:textId="77777777" w:rsidR="008143D9" w:rsidRPr="00AC3044" w:rsidRDefault="008143D9" w:rsidP="005A428D">
            <w:pPr>
              <w:rPr>
                <w:rFonts w:eastAsia="SimSun"/>
              </w:rPr>
            </w:pPr>
            <w:r w:rsidRPr="00AC3044">
              <w:rPr>
                <w:rFonts w:eastAsia="SimSun"/>
              </w:rPr>
              <w:t>Кондиционирование</w:t>
            </w:r>
          </w:p>
        </w:tc>
        <w:tc>
          <w:tcPr>
            <w:tcW w:w="1843" w:type="dxa"/>
            <w:vAlign w:val="center"/>
          </w:tcPr>
          <w:p w14:paraId="5E1897F0" w14:textId="77777777" w:rsidR="008143D9" w:rsidRPr="00AC3044" w:rsidRDefault="008143D9" w:rsidP="005A428D">
            <w:pPr>
              <w:rPr>
                <w:rFonts w:eastAsia="SimSun"/>
              </w:rPr>
            </w:pPr>
            <w:r w:rsidRPr="00AC3044">
              <w:rPr>
                <w:rFonts w:eastAsia="SimSun"/>
              </w:rPr>
              <w:t xml:space="preserve">Флударабин </w:t>
            </w:r>
          </w:p>
        </w:tc>
        <w:tc>
          <w:tcPr>
            <w:tcW w:w="1417" w:type="dxa"/>
            <w:vAlign w:val="center"/>
          </w:tcPr>
          <w:p w14:paraId="7089ABCD" w14:textId="77777777" w:rsidR="008143D9" w:rsidRPr="00AC3044" w:rsidRDefault="008143D9" w:rsidP="005A428D">
            <w:pPr>
              <w:rPr>
                <w:rFonts w:eastAsia="SimSun"/>
              </w:rPr>
            </w:pPr>
            <w:r w:rsidRPr="00AC3044">
              <w:rPr>
                <w:rFonts w:eastAsia="SimSun"/>
              </w:rPr>
              <w:t>30 мг/м</w:t>
            </w:r>
            <w:r w:rsidRPr="001E6DBE">
              <w:rPr>
                <w:rFonts w:eastAsia="SimSun"/>
                <w:vertAlign w:val="superscript"/>
              </w:rPr>
              <w:t>2</w:t>
            </w:r>
          </w:p>
        </w:tc>
        <w:tc>
          <w:tcPr>
            <w:tcW w:w="1559" w:type="dxa"/>
            <w:vAlign w:val="center"/>
          </w:tcPr>
          <w:p w14:paraId="6C90BA9A" w14:textId="77777777" w:rsidR="008143D9" w:rsidRPr="00AC3044" w:rsidRDefault="008143D9" w:rsidP="005A428D">
            <w:pPr>
              <w:rPr>
                <w:rFonts w:eastAsia="SimSun"/>
              </w:rPr>
            </w:pPr>
            <w:r w:rsidRPr="00AC3044">
              <w:rPr>
                <w:rFonts w:eastAsia="SimSun"/>
              </w:rPr>
              <w:t>150 мг/м</w:t>
            </w:r>
            <w:r w:rsidRPr="001E6DBE">
              <w:rPr>
                <w:rFonts w:eastAsia="SimSun"/>
                <w:vertAlign w:val="superscript"/>
              </w:rPr>
              <w:t>2</w:t>
            </w:r>
          </w:p>
        </w:tc>
        <w:tc>
          <w:tcPr>
            <w:tcW w:w="1560" w:type="dxa"/>
            <w:vAlign w:val="center"/>
          </w:tcPr>
          <w:p w14:paraId="07538BC7" w14:textId="77777777" w:rsidR="008143D9" w:rsidRPr="00AC3044" w:rsidRDefault="008143D9" w:rsidP="005A428D">
            <w:pPr>
              <w:rPr>
                <w:rFonts w:eastAsia="SimSun"/>
              </w:rPr>
            </w:pPr>
            <w:r w:rsidRPr="00AC3044">
              <w:rPr>
                <w:rFonts w:eastAsia="SimSun"/>
              </w:rPr>
              <w:t>С –6 по –2 день</w:t>
            </w:r>
          </w:p>
        </w:tc>
        <w:tc>
          <w:tcPr>
            <w:tcW w:w="2268" w:type="dxa"/>
            <w:vAlign w:val="center"/>
          </w:tcPr>
          <w:p w14:paraId="2B25FF13"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3BECBDD5" w14:textId="77777777" w:rsidTr="005A428D">
        <w:trPr>
          <w:cantSplit/>
          <w:trHeight w:val="1337"/>
        </w:trPr>
        <w:tc>
          <w:tcPr>
            <w:tcW w:w="993" w:type="dxa"/>
            <w:vMerge/>
            <w:textDirection w:val="btLr"/>
            <w:vAlign w:val="center"/>
          </w:tcPr>
          <w:p w14:paraId="73474CDB" w14:textId="77777777" w:rsidR="008143D9" w:rsidRPr="00AC3044" w:rsidRDefault="008143D9" w:rsidP="005A428D">
            <w:pPr>
              <w:rPr>
                <w:rFonts w:eastAsia="SimSun"/>
              </w:rPr>
            </w:pPr>
          </w:p>
        </w:tc>
        <w:tc>
          <w:tcPr>
            <w:tcW w:w="1843" w:type="dxa"/>
            <w:vAlign w:val="center"/>
          </w:tcPr>
          <w:p w14:paraId="115C6C1E" w14:textId="77777777" w:rsidR="008143D9" w:rsidRPr="00AC3044" w:rsidRDefault="008143D9" w:rsidP="005A428D">
            <w:pPr>
              <w:rPr>
                <w:rFonts w:eastAsia="SimSun"/>
              </w:rPr>
            </w:pPr>
            <w:r w:rsidRPr="00AC3044">
              <w:rPr>
                <w:rFonts w:eastAsia="SimSun"/>
              </w:rPr>
              <w:t>Бусульфан</w:t>
            </w:r>
          </w:p>
        </w:tc>
        <w:tc>
          <w:tcPr>
            <w:tcW w:w="1417" w:type="dxa"/>
            <w:vAlign w:val="center"/>
          </w:tcPr>
          <w:p w14:paraId="21AC666F" w14:textId="77777777" w:rsidR="008143D9" w:rsidRPr="00AC3044" w:rsidRDefault="008143D9" w:rsidP="005A428D">
            <w:pPr>
              <w:rPr>
                <w:rFonts w:eastAsia="SimSun"/>
              </w:rPr>
            </w:pPr>
            <w:r w:rsidRPr="00AC3044">
              <w:rPr>
                <w:rFonts w:eastAsia="SimSun"/>
              </w:rPr>
              <w:t>4 мг/кг</w:t>
            </w:r>
          </w:p>
        </w:tc>
        <w:tc>
          <w:tcPr>
            <w:tcW w:w="1559" w:type="dxa"/>
            <w:vAlign w:val="center"/>
          </w:tcPr>
          <w:p w14:paraId="6DE27841" w14:textId="77777777" w:rsidR="008143D9" w:rsidRPr="00AC3044" w:rsidRDefault="008143D9" w:rsidP="005A428D">
            <w:pPr>
              <w:rPr>
                <w:rFonts w:eastAsia="SimSun"/>
              </w:rPr>
            </w:pPr>
            <w:r w:rsidRPr="00AC3044">
              <w:rPr>
                <w:rFonts w:eastAsia="SimSun"/>
              </w:rPr>
              <w:t>8 мг/кг</w:t>
            </w:r>
          </w:p>
        </w:tc>
        <w:tc>
          <w:tcPr>
            <w:tcW w:w="1560" w:type="dxa"/>
            <w:vAlign w:val="center"/>
          </w:tcPr>
          <w:p w14:paraId="242C3DD7" w14:textId="77777777" w:rsidR="008143D9" w:rsidRPr="00AC3044" w:rsidRDefault="008143D9" w:rsidP="005A428D">
            <w:pPr>
              <w:rPr>
                <w:rFonts w:eastAsia="SimSun"/>
              </w:rPr>
            </w:pPr>
            <w:r w:rsidRPr="00AC3044">
              <w:rPr>
                <w:rFonts w:eastAsia="SimSun"/>
              </w:rPr>
              <w:t>–5, –4 дни</w:t>
            </w:r>
          </w:p>
        </w:tc>
        <w:tc>
          <w:tcPr>
            <w:tcW w:w="2268" w:type="dxa"/>
            <w:vAlign w:val="center"/>
          </w:tcPr>
          <w:p w14:paraId="504D2E0E" w14:textId="77777777" w:rsidR="008143D9" w:rsidRPr="00AC3044" w:rsidRDefault="008143D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8143D9" w:rsidRPr="00AC3044" w14:paraId="095CF199" w14:textId="77777777" w:rsidTr="005A428D">
        <w:trPr>
          <w:cantSplit/>
          <w:trHeight w:val="20"/>
        </w:trPr>
        <w:tc>
          <w:tcPr>
            <w:tcW w:w="993" w:type="dxa"/>
            <w:vMerge w:val="restart"/>
            <w:textDirection w:val="btLr"/>
            <w:vAlign w:val="center"/>
          </w:tcPr>
          <w:p w14:paraId="043B59B1" w14:textId="77777777" w:rsidR="008143D9" w:rsidRPr="00AC3044" w:rsidRDefault="008143D9" w:rsidP="005A428D">
            <w:pPr>
              <w:rPr>
                <w:rFonts w:eastAsia="SimSun"/>
              </w:rPr>
            </w:pPr>
            <w:r w:rsidRPr="00AC3044">
              <w:rPr>
                <w:rFonts w:eastAsia="SimSun"/>
              </w:rPr>
              <w:t>Профилактика РТПХ</w:t>
            </w:r>
          </w:p>
        </w:tc>
        <w:tc>
          <w:tcPr>
            <w:tcW w:w="1843" w:type="dxa"/>
            <w:vAlign w:val="center"/>
          </w:tcPr>
          <w:p w14:paraId="73EC8F73" w14:textId="77777777" w:rsidR="008143D9" w:rsidRPr="00AC3044" w:rsidRDefault="008143D9" w:rsidP="005A428D">
            <w:pPr>
              <w:rPr>
                <w:rFonts w:eastAsia="SimSun"/>
              </w:rPr>
            </w:pPr>
            <w:r w:rsidRPr="00AC3044">
              <w:rPr>
                <w:rFonts w:eastAsia="SimSun"/>
              </w:rPr>
              <w:t>Циклофосфамид</w:t>
            </w:r>
          </w:p>
        </w:tc>
        <w:tc>
          <w:tcPr>
            <w:tcW w:w="1417" w:type="dxa"/>
            <w:vAlign w:val="center"/>
          </w:tcPr>
          <w:p w14:paraId="554818CD" w14:textId="77777777" w:rsidR="008143D9" w:rsidRPr="00AC3044" w:rsidRDefault="008143D9" w:rsidP="005A428D">
            <w:pPr>
              <w:rPr>
                <w:rFonts w:eastAsia="SimSun"/>
              </w:rPr>
            </w:pPr>
            <w:r w:rsidRPr="00AC3044">
              <w:rPr>
                <w:rFonts w:eastAsia="SimSun"/>
              </w:rPr>
              <w:t>50 мг/кг</w:t>
            </w:r>
          </w:p>
        </w:tc>
        <w:tc>
          <w:tcPr>
            <w:tcW w:w="1559" w:type="dxa"/>
            <w:vAlign w:val="center"/>
          </w:tcPr>
          <w:p w14:paraId="49EC4B36" w14:textId="77777777" w:rsidR="008143D9" w:rsidRPr="00AC3044" w:rsidRDefault="008143D9" w:rsidP="005A428D">
            <w:pPr>
              <w:rPr>
                <w:rFonts w:eastAsia="SimSun"/>
              </w:rPr>
            </w:pPr>
            <w:r w:rsidRPr="00AC3044">
              <w:rPr>
                <w:rFonts w:eastAsia="SimSun"/>
              </w:rPr>
              <w:t>100 мг/кг</w:t>
            </w:r>
          </w:p>
        </w:tc>
        <w:tc>
          <w:tcPr>
            <w:tcW w:w="1560" w:type="dxa"/>
            <w:vAlign w:val="center"/>
          </w:tcPr>
          <w:p w14:paraId="090E2F30" w14:textId="77777777" w:rsidR="008143D9" w:rsidRPr="00AC3044" w:rsidRDefault="008143D9" w:rsidP="005A428D">
            <w:pPr>
              <w:rPr>
                <w:rFonts w:eastAsia="SimSun"/>
              </w:rPr>
            </w:pPr>
            <w:r w:rsidRPr="00AC3044">
              <w:rPr>
                <w:rFonts w:eastAsia="SimSun"/>
              </w:rPr>
              <w:t xml:space="preserve">+3,+4 дни </w:t>
            </w:r>
          </w:p>
        </w:tc>
        <w:tc>
          <w:tcPr>
            <w:tcW w:w="2268" w:type="dxa"/>
            <w:vAlign w:val="center"/>
          </w:tcPr>
          <w:p w14:paraId="0034EC61" w14:textId="77777777" w:rsidR="008143D9" w:rsidRPr="00AC3044" w:rsidRDefault="008143D9" w:rsidP="005A428D">
            <w:pPr>
              <w:rPr>
                <w:rFonts w:eastAsia="SimSun"/>
              </w:rPr>
            </w:pPr>
            <w:r w:rsidRPr="00AC3044">
              <w:rPr>
                <w:rFonts w:eastAsia="SimSun"/>
              </w:rPr>
              <w:t xml:space="preserve">В/в, в течение 2 ч  </w:t>
            </w:r>
          </w:p>
        </w:tc>
      </w:tr>
      <w:tr w:rsidR="008143D9" w:rsidRPr="00AC3044" w14:paraId="239B6F02" w14:textId="77777777" w:rsidTr="005A428D">
        <w:trPr>
          <w:cantSplit/>
          <w:trHeight w:val="20"/>
        </w:trPr>
        <w:tc>
          <w:tcPr>
            <w:tcW w:w="993" w:type="dxa"/>
            <w:vMerge/>
            <w:textDirection w:val="btLr"/>
          </w:tcPr>
          <w:p w14:paraId="4DAD4270" w14:textId="77777777" w:rsidR="008143D9" w:rsidRPr="00AC3044" w:rsidRDefault="008143D9" w:rsidP="005A428D">
            <w:pPr>
              <w:rPr>
                <w:rFonts w:eastAsia="SimSun"/>
              </w:rPr>
            </w:pPr>
          </w:p>
        </w:tc>
        <w:tc>
          <w:tcPr>
            <w:tcW w:w="1843" w:type="dxa"/>
            <w:vAlign w:val="center"/>
          </w:tcPr>
          <w:p w14:paraId="0ADAB253" w14:textId="77777777" w:rsidR="008143D9" w:rsidRPr="00AC3044" w:rsidRDefault="008143D9" w:rsidP="005A428D">
            <w:pPr>
              <w:rPr>
                <w:rFonts w:eastAsia="SimSun"/>
              </w:rPr>
            </w:pPr>
            <w:r w:rsidRPr="00AC3044">
              <w:rPr>
                <w:rFonts w:eastAsia="SimSun"/>
              </w:rPr>
              <w:t>Циклоспорин</w:t>
            </w:r>
          </w:p>
        </w:tc>
        <w:tc>
          <w:tcPr>
            <w:tcW w:w="1417" w:type="dxa"/>
            <w:vAlign w:val="center"/>
          </w:tcPr>
          <w:p w14:paraId="02F7D713" w14:textId="77777777" w:rsidR="008143D9" w:rsidRPr="00AC3044" w:rsidRDefault="008143D9" w:rsidP="005A428D">
            <w:pPr>
              <w:rPr>
                <w:rFonts w:eastAsia="SimSun"/>
              </w:rPr>
            </w:pPr>
            <w:r w:rsidRPr="00AC3044">
              <w:rPr>
                <w:rFonts w:eastAsia="SimSun"/>
              </w:rPr>
              <w:t>3 мг/кг</w:t>
            </w:r>
          </w:p>
        </w:tc>
        <w:tc>
          <w:tcPr>
            <w:tcW w:w="1559" w:type="dxa"/>
            <w:vAlign w:val="center"/>
          </w:tcPr>
          <w:p w14:paraId="79029ADD" w14:textId="77777777" w:rsidR="008143D9" w:rsidRPr="00AC3044" w:rsidRDefault="008143D9" w:rsidP="005A428D">
            <w:pPr>
              <w:rPr>
                <w:rFonts w:eastAsia="SimSun"/>
              </w:rPr>
            </w:pPr>
            <w:r w:rsidRPr="00AC3044">
              <w:rPr>
                <w:rFonts w:eastAsia="SimSun"/>
              </w:rPr>
              <w:t>–</w:t>
            </w:r>
          </w:p>
        </w:tc>
        <w:tc>
          <w:tcPr>
            <w:tcW w:w="1560" w:type="dxa"/>
            <w:vAlign w:val="center"/>
          </w:tcPr>
          <w:p w14:paraId="73FBFB82" w14:textId="77777777" w:rsidR="008143D9" w:rsidRPr="00AC3044" w:rsidRDefault="008143D9" w:rsidP="005A428D">
            <w:pPr>
              <w:rPr>
                <w:rFonts w:eastAsia="SimSun"/>
              </w:rPr>
            </w:pPr>
            <w:r w:rsidRPr="00AC3044">
              <w:rPr>
                <w:rFonts w:eastAsia="SimSun"/>
              </w:rPr>
              <w:t>С +5 по +60 день, затем постепенное снижение к +100 дню</w:t>
            </w:r>
          </w:p>
        </w:tc>
        <w:tc>
          <w:tcPr>
            <w:tcW w:w="2268" w:type="dxa"/>
            <w:vAlign w:val="center"/>
          </w:tcPr>
          <w:p w14:paraId="24EC984C" w14:textId="77777777" w:rsidR="008143D9" w:rsidRPr="00AC3044" w:rsidRDefault="008143D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8143D9" w:rsidRPr="00AC3044" w14:paraId="2C2B3574" w14:textId="77777777" w:rsidTr="005A428D">
        <w:trPr>
          <w:cantSplit/>
          <w:trHeight w:val="464"/>
        </w:trPr>
        <w:tc>
          <w:tcPr>
            <w:tcW w:w="993" w:type="dxa"/>
            <w:vMerge/>
          </w:tcPr>
          <w:p w14:paraId="1CFE5993" w14:textId="77777777" w:rsidR="008143D9" w:rsidRPr="00AC3044" w:rsidRDefault="008143D9" w:rsidP="005A428D">
            <w:pPr>
              <w:rPr>
                <w:rFonts w:eastAsia="SimSun"/>
              </w:rPr>
            </w:pPr>
          </w:p>
        </w:tc>
        <w:tc>
          <w:tcPr>
            <w:tcW w:w="1843" w:type="dxa"/>
            <w:vAlign w:val="center"/>
          </w:tcPr>
          <w:p w14:paraId="64BF1891" w14:textId="77777777" w:rsidR="008143D9" w:rsidRPr="00AC3044" w:rsidRDefault="008143D9" w:rsidP="005A428D">
            <w:pPr>
              <w:rPr>
                <w:rFonts w:eastAsia="SimSun"/>
              </w:rPr>
            </w:pPr>
            <w:r w:rsidRPr="00AC3044">
              <w:rPr>
                <w:rFonts w:eastAsia="SimSun"/>
              </w:rPr>
              <w:t>Микофенолата мофетил</w:t>
            </w:r>
          </w:p>
        </w:tc>
        <w:tc>
          <w:tcPr>
            <w:tcW w:w="1417" w:type="dxa"/>
            <w:vAlign w:val="center"/>
          </w:tcPr>
          <w:p w14:paraId="121E6D69" w14:textId="77777777" w:rsidR="008143D9" w:rsidRPr="00AC3044" w:rsidRDefault="008143D9" w:rsidP="005A428D">
            <w:pPr>
              <w:rPr>
                <w:rFonts w:eastAsia="SimSun"/>
              </w:rPr>
            </w:pPr>
            <w:r w:rsidRPr="00AC3044">
              <w:rPr>
                <w:rFonts w:eastAsia="SimSun"/>
              </w:rPr>
              <w:t>30 мг/кг</w:t>
            </w:r>
          </w:p>
        </w:tc>
        <w:tc>
          <w:tcPr>
            <w:tcW w:w="1559" w:type="dxa"/>
            <w:vAlign w:val="center"/>
          </w:tcPr>
          <w:p w14:paraId="34581CDA" w14:textId="77777777" w:rsidR="008143D9" w:rsidRPr="00AC3044" w:rsidRDefault="008143D9" w:rsidP="005A428D">
            <w:pPr>
              <w:rPr>
                <w:rFonts w:eastAsia="SimSun"/>
              </w:rPr>
            </w:pPr>
            <w:r w:rsidRPr="00AC3044">
              <w:rPr>
                <w:rFonts w:eastAsia="SimSun"/>
              </w:rPr>
              <w:t>–</w:t>
            </w:r>
          </w:p>
        </w:tc>
        <w:tc>
          <w:tcPr>
            <w:tcW w:w="1560" w:type="dxa"/>
            <w:vAlign w:val="center"/>
          </w:tcPr>
          <w:p w14:paraId="3357AA84" w14:textId="77777777" w:rsidR="008143D9" w:rsidRPr="00AC3044" w:rsidRDefault="008143D9" w:rsidP="005A428D">
            <w:pPr>
              <w:rPr>
                <w:rFonts w:eastAsia="SimSun"/>
              </w:rPr>
            </w:pPr>
            <w:r w:rsidRPr="00AC3044">
              <w:rPr>
                <w:rFonts w:eastAsia="SimSun"/>
              </w:rPr>
              <w:t>С +5 по +30 день</w:t>
            </w:r>
          </w:p>
        </w:tc>
        <w:tc>
          <w:tcPr>
            <w:tcW w:w="2268" w:type="dxa"/>
            <w:vAlign w:val="center"/>
          </w:tcPr>
          <w:p w14:paraId="45356331" w14:textId="77777777" w:rsidR="008143D9" w:rsidRPr="00AC3044" w:rsidRDefault="008143D9" w:rsidP="005A428D">
            <w:pPr>
              <w:rPr>
                <w:rFonts w:eastAsia="SimSun"/>
              </w:rPr>
            </w:pPr>
            <w:r w:rsidRPr="00AC3044">
              <w:rPr>
                <w:rFonts w:eastAsia="SimSun"/>
              </w:rPr>
              <w:t>Внутрь, суммарная суточная доза разделяется на 2- 4 приема.</w:t>
            </w:r>
          </w:p>
        </w:tc>
      </w:tr>
    </w:tbl>
    <w:p w14:paraId="10AE7723" w14:textId="77777777" w:rsidR="008143D9" w:rsidRDefault="008143D9" w:rsidP="008143D9">
      <w:pPr>
        <w:rPr>
          <w:rFonts w:eastAsia="SimSun"/>
        </w:rPr>
      </w:pPr>
      <w:bookmarkStart w:id="130" w:name="_Toc44401166"/>
    </w:p>
    <w:p w14:paraId="101D44F2" w14:textId="77777777" w:rsidR="008143D9" w:rsidRPr="00C07B2E" w:rsidRDefault="008143D9" w:rsidP="008143D9">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1.2.8  – Flu180+Bu8 / PT-Cy</w:t>
      </w:r>
      <w:bookmarkEnd w:id="130"/>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59"/>
        <w:gridCol w:w="2269"/>
      </w:tblGrid>
      <w:tr w:rsidR="008143D9" w:rsidRPr="00AC3044" w14:paraId="1130220D" w14:textId="77777777" w:rsidTr="005A428D">
        <w:trPr>
          <w:cantSplit/>
          <w:trHeight w:val="20"/>
          <w:tblHeader/>
        </w:trPr>
        <w:tc>
          <w:tcPr>
            <w:tcW w:w="993" w:type="dxa"/>
            <w:vAlign w:val="center"/>
          </w:tcPr>
          <w:p w14:paraId="4DEAB97A" w14:textId="77777777" w:rsidR="008143D9" w:rsidRPr="00AC3044" w:rsidRDefault="008143D9" w:rsidP="005A428D">
            <w:pPr>
              <w:rPr>
                <w:rFonts w:eastAsia="SimSun"/>
              </w:rPr>
            </w:pPr>
          </w:p>
        </w:tc>
        <w:tc>
          <w:tcPr>
            <w:tcW w:w="1843" w:type="dxa"/>
            <w:vAlign w:val="center"/>
          </w:tcPr>
          <w:p w14:paraId="40DA54B0" w14:textId="77777777" w:rsidR="008143D9" w:rsidRPr="00AC3044" w:rsidRDefault="008143D9" w:rsidP="005A428D">
            <w:pPr>
              <w:rPr>
                <w:rFonts w:eastAsia="SimSun"/>
              </w:rPr>
            </w:pPr>
            <w:r w:rsidRPr="00AC3044">
              <w:rPr>
                <w:rFonts w:eastAsia="SimSun"/>
              </w:rPr>
              <w:t>Препарат</w:t>
            </w:r>
          </w:p>
        </w:tc>
        <w:tc>
          <w:tcPr>
            <w:tcW w:w="1417" w:type="dxa"/>
            <w:vAlign w:val="center"/>
          </w:tcPr>
          <w:p w14:paraId="12EFB5D6" w14:textId="77777777" w:rsidR="008143D9" w:rsidRPr="00AC3044" w:rsidRDefault="008143D9" w:rsidP="005A428D">
            <w:pPr>
              <w:rPr>
                <w:rFonts w:eastAsia="SimSun"/>
              </w:rPr>
            </w:pPr>
            <w:r w:rsidRPr="00AC3044">
              <w:rPr>
                <w:rFonts w:eastAsia="SimSun"/>
              </w:rPr>
              <w:t>Суточная доза</w:t>
            </w:r>
          </w:p>
        </w:tc>
        <w:tc>
          <w:tcPr>
            <w:tcW w:w="1559" w:type="dxa"/>
            <w:vAlign w:val="center"/>
          </w:tcPr>
          <w:p w14:paraId="111F9AAD" w14:textId="77777777" w:rsidR="008143D9" w:rsidRPr="00AC3044" w:rsidRDefault="008143D9" w:rsidP="005A428D">
            <w:pPr>
              <w:rPr>
                <w:rFonts w:eastAsia="SimSun"/>
              </w:rPr>
            </w:pPr>
            <w:r w:rsidRPr="00AC3044">
              <w:rPr>
                <w:rFonts w:eastAsia="SimSun"/>
              </w:rPr>
              <w:t>Курсовая доза</w:t>
            </w:r>
          </w:p>
        </w:tc>
        <w:tc>
          <w:tcPr>
            <w:tcW w:w="1559" w:type="dxa"/>
            <w:vAlign w:val="center"/>
          </w:tcPr>
          <w:p w14:paraId="047DA0B7" w14:textId="77777777" w:rsidR="008143D9" w:rsidRPr="00AC3044" w:rsidRDefault="008143D9" w:rsidP="005A428D">
            <w:pPr>
              <w:rPr>
                <w:rFonts w:eastAsia="SimSun"/>
              </w:rPr>
            </w:pPr>
            <w:r w:rsidRPr="00AC3044">
              <w:rPr>
                <w:rFonts w:eastAsia="SimSun"/>
              </w:rPr>
              <w:t>Дни введения</w:t>
            </w:r>
          </w:p>
        </w:tc>
        <w:tc>
          <w:tcPr>
            <w:tcW w:w="2269" w:type="dxa"/>
            <w:vAlign w:val="center"/>
          </w:tcPr>
          <w:p w14:paraId="628B32FE"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5C9B41D9" w14:textId="77777777" w:rsidTr="005A428D">
        <w:trPr>
          <w:cantSplit/>
          <w:trHeight w:val="20"/>
        </w:trPr>
        <w:tc>
          <w:tcPr>
            <w:tcW w:w="993" w:type="dxa"/>
            <w:vMerge w:val="restart"/>
            <w:textDirection w:val="btLr"/>
            <w:vAlign w:val="center"/>
          </w:tcPr>
          <w:p w14:paraId="7E971626" w14:textId="77777777" w:rsidR="008143D9" w:rsidRPr="00AC3044" w:rsidRDefault="008143D9" w:rsidP="005A428D">
            <w:pPr>
              <w:rPr>
                <w:rFonts w:eastAsia="SimSun"/>
              </w:rPr>
            </w:pPr>
            <w:r w:rsidRPr="00AC3044">
              <w:rPr>
                <w:rFonts w:eastAsia="SimSun"/>
              </w:rPr>
              <w:t>Кондиционирование</w:t>
            </w:r>
          </w:p>
        </w:tc>
        <w:tc>
          <w:tcPr>
            <w:tcW w:w="1843" w:type="dxa"/>
            <w:vAlign w:val="center"/>
          </w:tcPr>
          <w:p w14:paraId="0539B050" w14:textId="77777777" w:rsidR="008143D9" w:rsidRPr="00AC3044" w:rsidRDefault="008143D9" w:rsidP="005A428D">
            <w:pPr>
              <w:rPr>
                <w:rFonts w:eastAsia="SimSun"/>
              </w:rPr>
            </w:pPr>
            <w:r w:rsidRPr="00AC3044">
              <w:rPr>
                <w:rFonts w:eastAsia="SimSun"/>
              </w:rPr>
              <w:t xml:space="preserve">Флударабин </w:t>
            </w:r>
          </w:p>
        </w:tc>
        <w:tc>
          <w:tcPr>
            <w:tcW w:w="1417" w:type="dxa"/>
            <w:vAlign w:val="center"/>
          </w:tcPr>
          <w:p w14:paraId="112D8DF6" w14:textId="77777777" w:rsidR="008143D9" w:rsidRPr="00AC3044" w:rsidRDefault="008143D9" w:rsidP="005A428D">
            <w:pPr>
              <w:rPr>
                <w:rFonts w:eastAsia="SimSun"/>
              </w:rPr>
            </w:pPr>
            <w:r w:rsidRPr="00AC3044">
              <w:rPr>
                <w:rFonts w:eastAsia="SimSun"/>
              </w:rPr>
              <w:t>30 мг/м</w:t>
            </w:r>
            <w:r w:rsidRPr="001E6DBE">
              <w:rPr>
                <w:rFonts w:eastAsia="SimSun"/>
                <w:vertAlign w:val="superscript"/>
              </w:rPr>
              <w:t>2</w:t>
            </w:r>
          </w:p>
        </w:tc>
        <w:tc>
          <w:tcPr>
            <w:tcW w:w="1559" w:type="dxa"/>
            <w:vAlign w:val="center"/>
          </w:tcPr>
          <w:p w14:paraId="1BABBFE1" w14:textId="77777777" w:rsidR="008143D9" w:rsidRPr="00AC3044" w:rsidRDefault="008143D9" w:rsidP="005A428D">
            <w:pPr>
              <w:rPr>
                <w:rFonts w:eastAsia="SimSun"/>
              </w:rPr>
            </w:pPr>
            <w:r w:rsidRPr="00AC3044">
              <w:rPr>
                <w:rFonts w:eastAsia="SimSun"/>
              </w:rPr>
              <w:t>180 мг/м</w:t>
            </w:r>
            <w:r w:rsidRPr="001E6DBE">
              <w:rPr>
                <w:rFonts w:eastAsia="SimSun"/>
                <w:vertAlign w:val="superscript"/>
              </w:rPr>
              <w:t>2</w:t>
            </w:r>
          </w:p>
        </w:tc>
        <w:tc>
          <w:tcPr>
            <w:tcW w:w="1559" w:type="dxa"/>
            <w:vAlign w:val="center"/>
          </w:tcPr>
          <w:p w14:paraId="26ECE658" w14:textId="77777777" w:rsidR="008143D9" w:rsidRPr="00AC3044" w:rsidRDefault="008143D9" w:rsidP="005A428D">
            <w:pPr>
              <w:rPr>
                <w:rFonts w:eastAsia="SimSun"/>
              </w:rPr>
            </w:pPr>
            <w:r w:rsidRPr="00AC3044">
              <w:rPr>
                <w:rFonts w:eastAsia="SimSun"/>
              </w:rPr>
              <w:t>С -7 дня по -2 день</w:t>
            </w:r>
          </w:p>
        </w:tc>
        <w:tc>
          <w:tcPr>
            <w:tcW w:w="2269" w:type="dxa"/>
            <w:vAlign w:val="center"/>
          </w:tcPr>
          <w:p w14:paraId="694D7C02"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178A48A8" w14:textId="77777777" w:rsidTr="005A428D">
        <w:trPr>
          <w:cantSplit/>
          <w:trHeight w:val="294"/>
        </w:trPr>
        <w:tc>
          <w:tcPr>
            <w:tcW w:w="993" w:type="dxa"/>
            <w:vMerge/>
            <w:vAlign w:val="center"/>
          </w:tcPr>
          <w:p w14:paraId="4B3A1BF7" w14:textId="77777777" w:rsidR="008143D9" w:rsidRPr="00AC3044" w:rsidRDefault="008143D9" w:rsidP="005A428D">
            <w:pPr>
              <w:rPr>
                <w:rFonts w:eastAsia="SimSun"/>
              </w:rPr>
            </w:pPr>
          </w:p>
        </w:tc>
        <w:tc>
          <w:tcPr>
            <w:tcW w:w="1843" w:type="dxa"/>
            <w:vAlign w:val="center"/>
          </w:tcPr>
          <w:p w14:paraId="0F4FAF6C" w14:textId="77777777" w:rsidR="008143D9" w:rsidRPr="00AC3044" w:rsidRDefault="008143D9" w:rsidP="005A428D">
            <w:pPr>
              <w:rPr>
                <w:rFonts w:eastAsia="SimSun"/>
              </w:rPr>
            </w:pPr>
            <w:r w:rsidRPr="00AC3044">
              <w:rPr>
                <w:rFonts w:eastAsia="SimSun"/>
              </w:rPr>
              <w:t>Бусульфан</w:t>
            </w:r>
          </w:p>
        </w:tc>
        <w:tc>
          <w:tcPr>
            <w:tcW w:w="1417" w:type="dxa"/>
            <w:vAlign w:val="center"/>
          </w:tcPr>
          <w:p w14:paraId="7F0969CB" w14:textId="77777777" w:rsidR="008143D9" w:rsidRPr="00AC3044" w:rsidRDefault="008143D9" w:rsidP="005A428D">
            <w:pPr>
              <w:rPr>
                <w:rFonts w:eastAsia="SimSun"/>
              </w:rPr>
            </w:pPr>
            <w:r w:rsidRPr="00AC3044">
              <w:rPr>
                <w:rFonts w:eastAsia="SimSun"/>
              </w:rPr>
              <w:t xml:space="preserve">4 мг/кг </w:t>
            </w:r>
          </w:p>
        </w:tc>
        <w:tc>
          <w:tcPr>
            <w:tcW w:w="1559" w:type="dxa"/>
            <w:vAlign w:val="center"/>
          </w:tcPr>
          <w:p w14:paraId="272C8D5B" w14:textId="77777777" w:rsidR="008143D9" w:rsidRPr="00AC3044" w:rsidRDefault="008143D9" w:rsidP="005A428D">
            <w:pPr>
              <w:rPr>
                <w:rFonts w:eastAsia="SimSun"/>
              </w:rPr>
            </w:pPr>
            <w:r w:rsidRPr="00AC3044">
              <w:rPr>
                <w:rFonts w:eastAsia="SimSun"/>
              </w:rPr>
              <w:t xml:space="preserve">8 мг/кг </w:t>
            </w:r>
          </w:p>
        </w:tc>
        <w:tc>
          <w:tcPr>
            <w:tcW w:w="1559" w:type="dxa"/>
            <w:vAlign w:val="center"/>
          </w:tcPr>
          <w:p w14:paraId="7337923B" w14:textId="77777777" w:rsidR="008143D9" w:rsidRPr="00AC3044" w:rsidRDefault="008143D9" w:rsidP="005A428D">
            <w:pPr>
              <w:rPr>
                <w:rFonts w:eastAsia="SimSun"/>
              </w:rPr>
            </w:pPr>
            <w:r w:rsidRPr="00AC3044">
              <w:rPr>
                <w:rFonts w:eastAsia="SimSun"/>
              </w:rPr>
              <w:t>С -4 дня по -3 день</w:t>
            </w:r>
          </w:p>
        </w:tc>
        <w:tc>
          <w:tcPr>
            <w:tcW w:w="2269" w:type="dxa"/>
            <w:vAlign w:val="center"/>
          </w:tcPr>
          <w:p w14:paraId="35F1C7C9" w14:textId="77777777" w:rsidR="008143D9" w:rsidRPr="00AC3044" w:rsidRDefault="008143D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8143D9" w:rsidRPr="00AC3044" w14:paraId="6123DD88" w14:textId="77777777" w:rsidTr="005A428D">
        <w:trPr>
          <w:cantSplit/>
          <w:trHeight w:val="1054"/>
        </w:trPr>
        <w:tc>
          <w:tcPr>
            <w:tcW w:w="993" w:type="dxa"/>
            <w:textDirection w:val="btLr"/>
            <w:vAlign w:val="center"/>
          </w:tcPr>
          <w:p w14:paraId="2F121851" w14:textId="77777777" w:rsidR="008143D9" w:rsidRPr="00AC3044" w:rsidRDefault="008143D9" w:rsidP="005A428D">
            <w:pPr>
              <w:rPr>
                <w:rFonts w:eastAsia="SimSun"/>
              </w:rPr>
            </w:pPr>
            <w:r w:rsidRPr="00AC3044">
              <w:rPr>
                <w:rFonts w:eastAsia="SimSun"/>
              </w:rPr>
              <w:t>Профилактика РТПХ</w:t>
            </w:r>
          </w:p>
        </w:tc>
        <w:tc>
          <w:tcPr>
            <w:tcW w:w="1843" w:type="dxa"/>
            <w:vAlign w:val="center"/>
          </w:tcPr>
          <w:p w14:paraId="643BB99C" w14:textId="77777777" w:rsidR="008143D9" w:rsidRPr="00AC3044" w:rsidRDefault="008143D9" w:rsidP="005A428D">
            <w:pPr>
              <w:rPr>
                <w:rFonts w:eastAsia="SimSun"/>
              </w:rPr>
            </w:pPr>
            <w:r w:rsidRPr="00AC3044">
              <w:rPr>
                <w:rFonts w:eastAsia="SimSun"/>
              </w:rPr>
              <w:t>Циклофосфамид</w:t>
            </w:r>
          </w:p>
        </w:tc>
        <w:tc>
          <w:tcPr>
            <w:tcW w:w="1417" w:type="dxa"/>
            <w:vAlign w:val="center"/>
          </w:tcPr>
          <w:p w14:paraId="624C7BDF" w14:textId="77777777" w:rsidR="008143D9" w:rsidRPr="00AC3044" w:rsidRDefault="008143D9" w:rsidP="005A428D">
            <w:pPr>
              <w:rPr>
                <w:rFonts w:eastAsia="SimSun"/>
              </w:rPr>
            </w:pPr>
            <w:r w:rsidRPr="00AC3044">
              <w:rPr>
                <w:rFonts w:eastAsia="SimSun"/>
              </w:rPr>
              <w:t>50 мг/кг</w:t>
            </w:r>
          </w:p>
        </w:tc>
        <w:tc>
          <w:tcPr>
            <w:tcW w:w="1559" w:type="dxa"/>
            <w:vAlign w:val="center"/>
          </w:tcPr>
          <w:p w14:paraId="2B3910ED" w14:textId="77777777" w:rsidR="008143D9" w:rsidRPr="00AC3044" w:rsidRDefault="008143D9" w:rsidP="005A428D">
            <w:pPr>
              <w:rPr>
                <w:rFonts w:eastAsia="SimSun"/>
              </w:rPr>
            </w:pPr>
            <w:r w:rsidRPr="00AC3044">
              <w:rPr>
                <w:rFonts w:eastAsia="SimSun"/>
              </w:rPr>
              <w:t>100 мг/кг</w:t>
            </w:r>
          </w:p>
        </w:tc>
        <w:tc>
          <w:tcPr>
            <w:tcW w:w="1559" w:type="dxa"/>
            <w:vAlign w:val="center"/>
          </w:tcPr>
          <w:p w14:paraId="474B11B0" w14:textId="77777777" w:rsidR="008143D9" w:rsidRPr="00AC3044" w:rsidRDefault="008143D9" w:rsidP="005A428D">
            <w:pPr>
              <w:rPr>
                <w:rFonts w:eastAsia="SimSun"/>
              </w:rPr>
            </w:pPr>
            <w:r w:rsidRPr="00AC3044">
              <w:rPr>
                <w:rFonts w:eastAsia="SimSun"/>
              </w:rPr>
              <w:t>С +3 дня по +4 день</w:t>
            </w:r>
          </w:p>
        </w:tc>
        <w:tc>
          <w:tcPr>
            <w:tcW w:w="2269" w:type="dxa"/>
            <w:vAlign w:val="center"/>
          </w:tcPr>
          <w:p w14:paraId="25F2729E" w14:textId="77777777" w:rsidR="008143D9" w:rsidRPr="00AC3044" w:rsidRDefault="008143D9" w:rsidP="005A428D">
            <w:pPr>
              <w:rPr>
                <w:rFonts w:eastAsia="SimSun"/>
              </w:rPr>
            </w:pPr>
            <w:r w:rsidRPr="00AC3044">
              <w:rPr>
                <w:rFonts w:eastAsia="SimSun"/>
              </w:rPr>
              <w:t xml:space="preserve">В/в, в течение 2 ч  </w:t>
            </w:r>
          </w:p>
        </w:tc>
      </w:tr>
    </w:tbl>
    <w:p w14:paraId="37F684D8" w14:textId="77777777" w:rsidR="008143D9" w:rsidRDefault="008143D9" w:rsidP="008143D9">
      <w:pPr>
        <w:rPr>
          <w:rFonts w:eastAsia="SimSun"/>
        </w:rPr>
      </w:pPr>
      <w:bookmarkStart w:id="131" w:name="_Toc44401167"/>
    </w:p>
    <w:p w14:paraId="07533587" w14:textId="77777777" w:rsidR="008143D9" w:rsidRPr="00C07B2E" w:rsidRDefault="008143D9" w:rsidP="008143D9">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1.2.9  – Flu180+Bu8 / PT-Cy+Tx+MMF30</w:t>
      </w:r>
      <w:bookmarkEnd w:id="131"/>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8143D9" w:rsidRPr="00AC3044" w14:paraId="7D77466D" w14:textId="77777777" w:rsidTr="005A428D">
        <w:trPr>
          <w:cantSplit/>
          <w:trHeight w:val="20"/>
          <w:tblHeader/>
        </w:trPr>
        <w:tc>
          <w:tcPr>
            <w:tcW w:w="993" w:type="dxa"/>
            <w:vAlign w:val="center"/>
          </w:tcPr>
          <w:p w14:paraId="1E393477" w14:textId="77777777" w:rsidR="008143D9" w:rsidRPr="00470D3D" w:rsidRDefault="008143D9" w:rsidP="005A428D">
            <w:pPr>
              <w:rPr>
                <w:rFonts w:eastAsia="SimSun"/>
              </w:rPr>
            </w:pPr>
          </w:p>
        </w:tc>
        <w:tc>
          <w:tcPr>
            <w:tcW w:w="1843" w:type="dxa"/>
            <w:vAlign w:val="center"/>
          </w:tcPr>
          <w:p w14:paraId="139E8A75" w14:textId="77777777" w:rsidR="008143D9" w:rsidRPr="00AC3044" w:rsidRDefault="008143D9" w:rsidP="005A428D">
            <w:pPr>
              <w:rPr>
                <w:rFonts w:eastAsia="SimSun"/>
              </w:rPr>
            </w:pPr>
            <w:r w:rsidRPr="00AC3044">
              <w:rPr>
                <w:rFonts w:eastAsia="SimSun"/>
              </w:rPr>
              <w:t>Препарат</w:t>
            </w:r>
          </w:p>
        </w:tc>
        <w:tc>
          <w:tcPr>
            <w:tcW w:w="1417" w:type="dxa"/>
            <w:vAlign w:val="center"/>
          </w:tcPr>
          <w:p w14:paraId="44325A15" w14:textId="77777777" w:rsidR="008143D9" w:rsidRPr="00AC3044" w:rsidRDefault="008143D9" w:rsidP="005A428D">
            <w:pPr>
              <w:rPr>
                <w:rFonts w:eastAsia="SimSun"/>
              </w:rPr>
            </w:pPr>
            <w:r w:rsidRPr="00AC3044">
              <w:rPr>
                <w:rFonts w:eastAsia="SimSun"/>
              </w:rPr>
              <w:t>Суточная доза</w:t>
            </w:r>
          </w:p>
        </w:tc>
        <w:tc>
          <w:tcPr>
            <w:tcW w:w="1559" w:type="dxa"/>
            <w:vAlign w:val="center"/>
          </w:tcPr>
          <w:p w14:paraId="5AB6BE94" w14:textId="77777777" w:rsidR="008143D9" w:rsidRPr="00AC3044" w:rsidRDefault="008143D9" w:rsidP="005A428D">
            <w:pPr>
              <w:rPr>
                <w:rFonts w:eastAsia="SimSun"/>
              </w:rPr>
            </w:pPr>
            <w:r w:rsidRPr="00AC3044">
              <w:rPr>
                <w:rFonts w:eastAsia="SimSun"/>
              </w:rPr>
              <w:t>Курсовая доза</w:t>
            </w:r>
          </w:p>
        </w:tc>
        <w:tc>
          <w:tcPr>
            <w:tcW w:w="1560" w:type="dxa"/>
            <w:vAlign w:val="center"/>
          </w:tcPr>
          <w:p w14:paraId="2FBA23A3" w14:textId="77777777" w:rsidR="008143D9" w:rsidRPr="00AC3044" w:rsidRDefault="008143D9" w:rsidP="005A428D">
            <w:pPr>
              <w:rPr>
                <w:rFonts w:eastAsia="SimSun"/>
              </w:rPr>
            </w:pPr>
            <w:r w:rsidRPr="00AC3044">
              <w:rPr>
                <w:rFonts w:eastAsia="SimSun"/>
              </w:rPr>
              <w:t>Дни введения</w:t>
            </w:r>
          </w:p>
        </w:tc>
        <w:tc>
          <w:tcPr>
            <w:tcW w:w="2268" w:type="dxa"/>
            <w:vAlign w:val="center"/>
          </w:tcPr>
          <w:p w14:paraId="12F5DEF6"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6E73C4D5" w14:textId="77777777" w:rsidTr="005A428D">
        <w:trPr>
          <w:cantSplit/>
          <w:trHeight w:val="20"/>
        </w:trPr>
        <w:tc>
          <w:tcPr>
            <w:tcW w:w="993" w:type="dxa"/>
            <w:vMerge w:val="restart"/>
            <w:textDirection w:val="btLr"/>
            <w:vAlign w:val="center"/>
          </w:tcPr>
          <w:p w14:paraId="63D5B33D" w14:textId="77777777" w:rsidR="008143D9" w:rsidRPr="00AC3044" w:rsidRDefault="008143D9" w:rsidP="005A428D">
            <w:pPr>
              <w:rPr>
                <w:rFonts w:eastAsia="SimSun"/>
              </w:rPr>
            </w:pPr>
            <w:r w:rsidRPr="00AC3044">
              <w:rPr>
                <w:rFonts w:eastAsia="SimSun"/>
              </w:rPr>
              <w:t>Кондиционирование</w:t>
            </w:r>
          </w:p>
        </w:tc>
        <w:tc>
          <w:tcPr>
            <w:tcW w:w="1843" w:type="dxa"/>
            <w:vAlign w:val="center"/>
          </w:tcPr>
          <w:p w14:paraId="184A1DE1" w14:textId="77777777" w:rsidR="008143D9" w:rsidRPr="00AC3044" w:rsidRDefault="008143D9" w:rsidP="005A428D">
            <w:pPr>
              <w:rPr>
                <w:rFonts w:eastAsia="SimSun"/>
              </w:rPr>
            </w:pPr>
            <w:r w:rsidRPr="00AC3044">
              <w:rPr>
                <w:rFonts w:eastAsia="SimSun"/>
              </w:rPr>
              <w:t xml:space="preserve">Флударабин </w:t>
            </w:r>
          </w:p>
        </w:tc>
        <w:tc>
          <w:tcPr>
            <w:tcW w:w="1417" w:type="dxa"/>
            <w:vAlign w:val="center"/>
          </w:tcPr>
          <w:p w14:paraId="6E68F7BC" w14:textId="77777777" w:rsidR="008143D9" w:rsidRPr="00AC3044" w:rsidRDefault="008143D9" w:rsidP="005A428D">
            <w:pPr>
              <w:rPr>
                <w:rFonts w:eastAsia="SimSun"/>
              </w:rPr>
            </w:pPr>
            <w:r w:rsidRPr="00AC3044">
              <w:rPr>
                <w:rFonts w:eastAsia="SimSun"/>
              </w:rPr>
              <w:t>30 мг/м</w:t>
            </w:r>
            <w:r w:rsidRPr="001E6DBE">
              <w:rPr>
                <w:rFonts w:eastAsia="SimSun"/>
                <w:vertAlign w:val="superscript"/>
              </w:rPr>
              <w:t>2</w:t>
            </w:r>
          </w:p>
        </w:tc>
        <w:tc>
          <w:tcPr>
            <w:tcW w:w="1559" w:type="dxa"/>
            <w:vAlign w:val="center"/>
          </w:tcPr>
          <w:p w14:paraId="4BF4CD93" w14:textId="77777777" w:rsidR="008143D9" w:rsidRPr="00AC3044" w:rsidRDefault="008143D9" w:rsidP="005A428D">
            <w:pPr>
              <w:rPr>
                <w:rFonts w:eastAsia="SimSun"/>
              </w:rPr>
            </w:pPr>
            <w:r w:rsidRPr="00AC3044">
              <w:rPr>
                <w:rFonts w:eastAsia="SimSun"/>
              </w:rPr>
              <w:t>180 мг/м</w:t>
            </w:r>
            <w:r w:rsidRPr="001E6DBE">
              <w:rPr>
                <w:rFonts w:eastAsia="SimSun"/>
                <w:vertAlign w:val="superscript"/>
              </w:rPr>
              <w:t>2</w:t>
            </w:r>
          </w:p>
        </w:tc>
        <w:tc>
          <w:tcPr>
            <w:tcW w:w="1560" w:type="dxa"/>
            <w:vAlign w:val="center"/>
          </w:tcPr>
          <w:p w14:paraId="097F57FF" w14:textId="77777777" w:rsidR="008143D9" w:rsidRPr="00AC3044" w:rsidRDefault="008143D9" w:rsidP="005A428D">
            <w:pPr>
              <w:rPr>
                <w:rFonts w:eastAsia="SimSun"/>
              </w:rPr>
            </w:pPr>
            <w:r w:rsidRPr="00AC3044">
              <w:rPr>
                <w:rFonts w:eastAsia="SimSun"/>
              </w:rPr>
              <w:t>С -7 дня по -2 день</w:t>
            </w:r>
          </w:p>
        </w:tc>
        <w:tc>
          <w:tcPr>
            <w:tcW w:w="2268" w:type="dxa"/>
            <w:vAlign w:val="center"/>
          </w:tcPr>
          <w:p w14:paraId="755F9212"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5BC541BF" w14:textId="77777777" w:rsidTr="005A428D">
        <w:trPr>
          <w:cantSplit/>
          <w:trHeight w:val="961"/>
        </w:trPr>
        <w:tc>
          <w:tcPr>
            <w:tcW w:w="993" w:type="dxa"/>
            <w:vMerge/>
            <w:vAlign w:val="center"/>
          </w:tcPr>
          <w:p w14:paraId="6A5308CD" w14:textId="77777777" w:rsidR="008143D9" w:rsidRPr="00AC3044" w:rsidRDefault="008143D9" w:rsidP="005A428D">
            <w:pPr>
              <w:rPr>
                <w:rFonts w:eastAsia="SimSun"/>
              </w:rPr>
            </w:pPr>
          </w:p>
        </w:tc>
        <w:tc>
          <w:tcPr>
            <w:tcW w:w="1843" w:type="dxa"/>
            <w:vAlign w:val="center"/>
          </w:tcPr>
          <w:p w14:paraId="0E859032" w14:textId="77777777" w:rsidR="008143D9" w:rsidRPr="00AC3044" w:rsidRDefault="008143D9" w:rsidP="005A428D">
            <w:pPr>
              <w:rPr>
                <w:rFonts w:eastAsia="SimSun"/>
              </w:rPr>
            </w:pPr>
            <w:r w:rsidRPr="00AC3044">
              <w:rPr>
                <w:rFonts w:eastAsia="SimSun"/>
              </w:rPr>
              <w:t>Бусульфан</w:t>
            </w:r>
          </w:p>
        </w:tc>
        <w:tc>
          <w:tcPr>
            <w:tcW w:w="1417" w:type="dxa"/>
            <w:vAlign w:val="center"/>
          </w:tcPr>
          <w:p w14:paraId="34F97AF9" w14:textId="77777777" w:rsidR="008143D9" w:rsidRPr="00AC3044" w:rsidRDefault="008143D9" w:rsidP="005A428D">
            <w:pPr>
              <w:rPr>
                <w:rFonts w:eastAsia="SimSun"/>
              </w:rPr>
            </w:pPr>
            <w:r w:rsidRPr="00AC3044">
              <w:rPr>
                <w:rFonts w:eastAsia="SimSun"/>
              </w:rPr>
              <w:t xml:space="preserve">4 мг/кг </w:t>
            </w:r>
          </w:p>
        </w:tc>
        <w:tc>
          <w:tcPr>
            <w:tcW w:w="1559" w:type="dxa"/>
            <w:vAlign w:val="center"/>
          </w:tcPr>
          <w:p w14:paraId="61EF6DC2" w14:textId="77777777" w:rsidR="008143D9" w:rsidRPr="00AC3044" w:rsidRDefault="008143D9" w:rsidP="005A428D">
            <w:pPr>
              <w:rPr>
                <w:rFonts w:eastAsia="SimSun"/>
              </w:rPr>
            </w:pPr>
            <w:r w:rsidRPr="00AC3044">
              <w:rPr>
                <w:rFonts w:eastAsia="SimSun"/>
              </w:rPr>
              <w:t xml:space="preserve">8 мг/кг </w:t>
            </w:r>
          </w:p>
        </w:tc>
        <w:tc>
          <w:tcPr>
            <w:tcW w:w="1560" w:type="dxa"/>
            <w:vAlign w:val="center"/>
          </w:tcPr>
          <w:p w14:paraId="39529A5F" w14:textId="77777777" w:rsidR="008143D9" w:rsidRPr="00AC3044" w:rsidRDefault="008143D9" w:rsidP="005A428D">
            <w:pPr>
              <w:rPr>
                <w:rFonts w:eastAsia="SimSun"/>
              </w:rPr>
            </w:pPr>
            <w:r w:rsidRPr="00AC3044">
              <w:rPr>
                <w:rFonts w:eastAsia="SimSun"/>
              </w:rPr>
              <w:t>С -4 дня по -3 день</w:t>
            </w:r>
          </w:p>
        </w:tc>
        <w:tc>
          <w:tcPr>
            <w:tcW w:w="2268" w:type="dxa"/>
            <w:vAlign w:val="center"/>
          </w:tcPr>
          <w:p w14:paraId="30F901C2" w14:textId="77777777" w:rsidR="008143D9" w:rsidRPr="00AC3044" w:rsidRDefault="008143D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8143D9" w:rsidRPr="00AC3044" w14:paraId="470FF6D1" w14:textId="77777777" w:rsidTr="005A428D">
        <w:trPr>
          <w:cantSplit/>
          <w:trHeight w:val="1498"/>
        </w:trPr>
        <w:tc>
          <w:tcPr>
            <w:tcW w:w="993" w:type="dxa"/>
            <w:vMerge w:val="restart"/>
            <w:textDirection w:val="btLr"/>
            <w:vAlign w:val="center"/>
          </w:tcPr>
          <w:p w14:paraId="39782729" w14:textId="77777777" w:rsidR="008143D9" w:rsidRPr="00AC3044" w:rsidRDefault="008143D9" w:rsidP="005A428D">
            <w:pPr>
              <w:rPr>
                <w:rFonts w:eastAsia="SimSun"/>
              </w:rPr>
            </w:pPr>
            <w:r w:rsidRPr="00AC3044">
              <w:rPr>
                <w:rFonts w:eastAsia="SimSun"/>
              </w:rPr>
              <w:t>Профилактика РТПХ</w:t>
            </w:r>
          </w:p>
        </w:tc>
        <w:tc>
          <w:tcPr>
            <w:tcW w:w="1843" w:type="dxa"/>
            <w:vAlign w:val="center"/>
          </w:tcPr>
          <w:p w14:paraId="51832384" w14:textId="77777777" w:rsidR="008143D9" w:rsidRPr="00AC3044" w:rsidRDefault="008143D9" w:rsidP="005A428D">
            <w:pPr>
              <w:rPr>
                <w:rFonts w:eastAsia="SimSun"/>
              </w:rPr>
            </w:pPr>
            <w:r w:rsidRPr="00AC3044">
              <w:rPr>
                <w:rFonts w:eastAsia="SimSun"/>
              </w:rPr>
              <w:t>Циклофосфамид</w:t>
            </w:r>
          </w:p>
        </w:tc>
        <w:tc>
          <w:tcPr>
            <w:tcW w:w="1417" w:type="dxa"/>
            <w:vAlign w:val="center"/>
          </w:tcPr>
          <w:p w14:paraId="2EF64DB4" w14:textId="77777777" w:rsidR="008143D9" w:rsidRPr="00AC3044" w:rsidRDefault="008143D9" w:rsidP="005A428D">
            <w:pPr>
              <w:rPr>
                <w:rFonts w:eastAsia="SimSun"/>
              </w:rPr>
            </w:pPr>
            <w:r w:rsidRPr="00AC3044">
              <w:rPr>
                <w:rFonts w:eastAsia="SimSun"/>
              </w:rPr>
              <w:t>50 мг/кг</w:t>
            </w:r>
          </w:p>
        </w:tc>
        <w:tc>
          <w:tcPr>
            <w:tcW w:w="1559" w:type="dxa"/>
            <w:vAlign w:val="center"/>
          </w:tcPr>
          <w:p w14:paraId="3A0FC88F" w14:textId="77777777" w:rsidR="008143D9" w:rsidRPr="00AC3044" w:rsidRDefault="008143D9" w:rsidP="005A428D">
            <w:pPr>
              <w:rPr>
                <w:rFonts w:eastAsia="SimSun"/>
              </w:rPr>
            </w:pPr>
            <w:r w:rsidRPr="00AC3044">
              <w:rPr>
                <w:rFonts w:eastAsia="SimSun"/>
              </w:rPr>
              <w:t>100 мг/кг</w:t>
            </w:r>
          </w:p>
        </w:tc>
        <w:tc>
          <w:tcPr>
            <w:tcW w:w="1560" w:type="dxa"/>
            <w:vAlign w:val="center"/>
          </w:tcPr>
          <w:p w14:paraId="0A8DEB72" w14:textId="77777777" w:rsidR="008143D9" w:rsidRPr="00AC3044" w:rsidRDefault="008143D9" w:rsidP="005A428D">
            <w:pPr>
              <w:rPr>
                <w:rFonts w:eastAsia="SimSun"/>
              </w:rPr>
            </w:pPr>
            <w:r w:rsidRPr="00AC3044">
              <w:rPr>
                <w:rFonts w:eastAsia="SimSun"/>
              </w:rPr>
              <w:t>С +3 дня по +4 день</w:t>
            </w:r>
          </w:p>
        </w:tc>
        <w:tc>
          <w:tcPr>
            <w:tcW w:w="2268" w:type="dxa"/>
            <w:vAlign w:val="center"/>
          </w:tcPr>
          <w:p w14:paraId="018E318F" w14:textId="77777777" w:rsidR="008143D9" w:rsidRPr="00AC3044" w:rsidRDefault="008143D9" w:rsidP="005A428D">
            <w:pPr>
              <w:rPr>
                <w:rFonts w:eastAsia="SimSun"/>
              </w:rPr>
            </w:pPr>
            <w:r w:rsidRPr="00AC3044">
              <w:rPr>
                <w:rFonts w:eastAsia="SimSun"/>
              </w:rPr>
              <w:t xml:space="preserve">В/в, в течение 2 ч  </w:t>
            </w:r>
          </w:p>
        </w:tc>
      </w:tr>
      <w:tr w:rsidR="008143D9" w:rsidRPr="00AC3044" w14:paraId="604C036B" w14:textId="77777777" w:rsidTr="005A428D">
        <w:trPr>
          <w:cantSplit/>
          <w:trHeight w:val="958"/>
        </w:trPr>
        <w:tc>
          <w:tcPr>
            <w:tcW w:w="993" w:type="dxa"/>
            <w:vMerge/>
            <w:textDirection w:val="btLr"/>
            <w:vAlign w:val="center"/>
          </w:tcPr>
          <w:p w14:paraId="4A7C8EC9" w14:textId="77777777" w:rsidR="008143D9" w:rsidRPr="00AC3044" w:rsidRDefault="008143D9" w:rsidP="005A428D">
            <w:pPr>
              <w:rPr>
                <w:rFonts w:eastAsia="SimSun"/>
              </w:rPr>
            </w:pPr>
          </w:p>
        </w:tc>
        <w:tc>
          <w:tcPr>
            <w:tcW w:w="1843" w:type="dxa"/>
            <w:vAlign w:val="center"/>
          </w:tcPr>
          <w:p w14:paraId="277E98AD" w14:textId="77777777" w:rsidR="008143D9" w:rsidRPr="00AC3044" w:rsidRDefault="008143D9" w:rsidP="005A428D">
            <w:pPr>
              <w:rPr>
                <w:rFonts w:eastAsia="SimSun"/>
              </w:rPr>
            </w:pPr>
            <w:r w:rsidRPr="00AC3044">
              <w:rPr>
                <w:rFonts w:eastAsia="SimSun"/>
              </w:rPr>
              <w:t xml:space="preserve">Такролимус </w:t>
            </w:r>
          </w:p>
        </w:tc>
        <w:tc>
          <w:tcPr>
            <w:tcW w:w="1417" w:type="dxa"/>
            <w:vAlign w:val="center"/>
          </w:tcPr>
          <w:p w14:paraId="3EB3EEA7" w14:textId="77777777" w:rsidR="008143D9" w:rsidRPr="00AC3044" w:rsidRDefault="008143D9" w:rsidP="005A428D">
            <w:pPr>
              <w:rPr>
                <w:rFonts w:eastAsia="SimSun"/>
              </w:rPr>
            </w:pPr>
            <w:r w:rsidRPr="00AC3044">
              <w:rPr>
                <w:rFonts w:eastAsia="SimSun"/>
              </w:rPr>
              <w:t>0,03 мг/кг</w:t>
            </w:r>
          </w:p>
        </w:tc>
        <w:tc>
          <w:tcPr>
            <w:tcW w:w="1559" w:type="dxa"/>
            <w:vAlign w:val="center"/>
          </w:tcPr>
          <w:p w14:paraId="17D7534A" w14:textId="77777777" w:rsidR="008143D9" w:rsidRPr="00AC3044" w:rsidRDefault="008143D9" w:rsidP="005A428D">
            <w:pPr>
              <w:rPr>
                <w:rFonts w:eastAsia="SimSun"/>
              </w:rPr>
            </w:pPr>
            <w:r w:rsidRPr="00AC3044">
              <w:rPr>
                <w:rFonts w:eastAsia="SimSun"/>
              </w:rPr>
              <w:t>–</w:t>
            </w:r>
          </w:p>
        </w:tc>
        <w:tc>
          <w:tcPr>
            <w:tcW w:w="1560" w:type="dxa"/>
            <w:vAlign w:val="center"/>
          </w:tcPr>
          <w:p w14:paraId="3AA2F076" w14:textId="77777777" w:rsidR="008143D9" w:rsidRPr="00AC3044" w:rsidRDefault="008143D9" w:rsidP="005A428D">
            <w:pPr>
              <w:rPr>
                <w:rFonts w:eastAsia="SimSun"/>
              </w:rPr>
            </w:pPr>
            <w:r w:rsidRPr="00AC3044">
              <w:rPr>
                <w:rFonts w:eastAsia="SimSun"/>
              </w:rPr>
              <w:t xml:space="preserve">С +5 дня длительно </w:t>
            </w:r>
          </w:p>
        </w:tc>
        <w:tc>
          <w:tcPr>
            <w:tcW w:w="2268" w:type="dxa"/>
            <w:vAlign w:val="center"/>
          </w:tcPr>
          <w:p w14:paraId="17EFA9A6" w14:textId="77777777" w:rsidR="008143D9" w:rsidRPr="00AC3044" w:rsidRDefault="008143D9" w:rsidP="005A428D">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8143D9" w:rsidRPr="00AC3044" w14:paraId="40A338E5" w14:textId="77777777" w:rsidTr="005A428D">
        <w:trPr>
          <w:cantSplit/>
          <w:trHeight w:val="544"/>
        </w:trPr>
        <w:tc>
          <w:tcPr>
            <w:tcW w:w="993" w:type="dxa"/>
            <w:vMerge/>
            <w:textDirection w:val="btLr"/>
            <w:vAlign w:val="center"/>
          </w:tcPr>
          <w:p w14:paraId="5F2C0FF6" w14:textId="77777777" w:rsidR="008143D9" w:rsidRPr="00AC3044" w:rsidRDefault="008143D9" w:rsidP="005A428D">
            <w:pPr>
              <w:rPr>
                <w:rFonts w:eastAsia="SimSun"/>
              </w:rPr>
            </w:pPr>
          </w:p>
        </w:tc>
        <w:tc>
          <w:tcPr>
            <w:tcW w:w="1843" w:type="dxa"/>
            <w:vAlign w:val="center"/>
          </w:tcPr>
          <w:p w14:paraId="386D4661" w14:textId="77777777" w:rsidR="008143D9" w:rsidRPr="00AC3044" w:rsidRDefault="008143D9" w:rsidP="005A428D">
            <w:pPr>
              <w:rPr>
                <w:rFonts w:eastAsia="SimSun"/>
              </w:rPr>
            </w:pPr>
            <w:r w:rsidRPr="00AC3044">
              <w:rPr>
                <w:rFonts w:eastAsia="SimSun"/>
              </w:rPr>
              <w:t>Микофенолата мофетил</w:t>
            </w:r>
          </w:p>
        </w:tc>
        <w:tc>
          <w:tcPr>
            <w:tcW w:w="1417" w:type="dxa"/>
            <w:vAlign w:val="center"/>
          </w:tcPr>
          <w:p w14:paraId="5331D44C" w14:textId="77777777" w:rsidR="008143D9" w:rsidRPr="00AC3044" w:rsidRDefault="008143D9" w:rsidP="005A428D">
            <w:pPr>
              <w:rPr>
                <w:rFonts w:eastAsia="SimSun"/>
              </w:rPr>
            </w:pPr>
            <w:r w:rsidRPr="00AC3044">
              <w:rPr>
                <w:rFonts w:eastAsia="SimSun"/>
              </w:rPr>
              <w:t xml:space="preserve">30 мг/кг </w:t>
            </w:r>
          </w:p>
        </w:tc>
        <w:tc>
          <w:tcPr>
            <w:tcW w:w="1559" w:type="dxa"/>
            <w:vAlign w:val="center"/>
          </w:tcPr>
          <w:p w14:paraId="39AA5861" w14:textId="77777777" w:rsidR="008143D9" w:rsidRPr="00AC3044" w:rsidRDefault="008143D9" w:rsidP="005A428D">
            <w:pPr>
              <w:rPr>
                <w:rFonts w:eastAsia="SimSun"/>
              </w:rPr>
            </w:pPr>
            <w:r w:rsidRPr="00AC3044">
              <w:rPr>
                <w:rFonts w:eastAsia="SimSun"/>
              </w:rPr>
              <w:t>–</w:t>
            </w:r>
          </w:p>
        </w:tc>
        <w:tc>
          <w:tcPr>
            <w:tcW w:w="1560" w:type="dxa"/>
            <w:vAlign w:val="center"/>
          </w:tcPr>
          <w:p w14:paraId="570D42E0" w14:textId="77777777" w:rsidR="008143D9" w:rsidRPr="00AC3044" w:rsidRDefault="008143D9" w:rsidP="005A428D">
            <w:pPr>
              <w:rPr>
                <w:rFonts w:eastAsia="SimSun"/>
              </w:rPr>
            </w:pPr>
            <w:r w:rsidRPr="00AC3044">
              <w:rPr>
                <w:rFonts w:eastAsia="SimSun"/>
              </w:rPr>
              <w:t xml:space="preserve">С +5 дня по +35 день </w:t>
            </w:r>
          </w:p>
        </w:tc>
        <w:tc>
          <w:tcPr>
            <w:tcW w:w="2268" w:type="dxa"/>
            <w:vAlign w:val="center"/>
          </w:tcPr>
          <w:p w14:paraId="32CB69B6" w14:textId="77777777" w:rsidR="008143D9" w:rsidRPr="00AC3044" w:rsidRDefault="008143D9" w:rsidP="005A428D">
            <w:pPr>
              <w:rPr>
                <w:rFonts w:eastAsia="SimSun"/>
              </w:rPr>
            </w:pPr>
            <w:r w:rsidRPr="00AC3044">
              <w:rPr>
                <w:rFonts w:eastAsia="SimSun"/>
              </w:rPr>
              <w:t>Внутрь, суммарная суточная доза разделяется на 2- 4 приема.</w:t>
            </w:r>
          </w:p>
        </w:tc>
      </w:tr>
    </w:tbl>
    <w:p w14:paraId="50CA717F" w14:textId="77777777" w:rsidR="008143D9" w:rsidRPr="00C07B2E" w:rsidRDefault="008143D9" w:rsidP="008143D9">
      <w:pPr>
        <w:rPr>
          <w:rFonts w:eastAsia="SimSun"/>
        </w:rPr>
      </w:pPr>
    </w:p>
    <w:p w14:paraId="0170F9D8" w14:textId="77777777" w:rsidR="008143D9" w:rsidRPr="00C07B2E" w:rsidRDefault="008143D9" w:rsidP="008143D9">
      <w:pPr>
        <w:rPr>
          <w:rFonts w:eastAsia="SimSun"/>
        </w:rPr>
      </w:pPr>
      <w:bookmarkStart w:id="132" w:name="_Toc44401168"/>
      <w:r w:rsidRPr="00042499">
        <w:rPr>
          <w:rFonts w:eastAsia="SimSun"/>
        </w:rPr>
        <w:t>Таблица</w:t>
      </w:r>
      <w:r w:rsidRPr="00C07B2E">
        <w:rPr>
          <w:rFonts w:eastAsia="SimSun"/>
        </w:rPr>
        <w:t xml:space="preserve"> </w:t>
      </w:r>
      <w:r>
        <w:rPr>
          <w:rFonts w:eastAsia="SimSun"/>
        </w:rPr>
        <w:t>5.</w:t>
      </w:r>
      <w:r w:rsidRPr="00C07B2E">
        <w:rPr>
          <w:rFonts w:eastAsia="SimSun"/>
        </w:rPr>
        <w:t>1.2.10  – Flu180+Bu8 / Tx+MMF30</w:t>
      </w:r>
      <w:bookmarkEnd w:id="132"/>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8143D9" w:rsidRPr="00AC3044" w14:paraId="598D37B3" w14:textId="77777777" w:rsidTr="005A428D">
        <w:trPr>
          <w:cantSplit/>
          <w:trHeight w:val="20"/>
          <w:tblHeader/>
        </w:trPr>
        <w:tc>
          <w:tcPr>
            <w:tcW w:w="993" w:type="dxa"/>
            <w:vAlign w:val="center"/>
          </w:tcPr>
          <w:p w14:paraId="662D8BBD" w14:textId="77777777" w:rsidR="008143D9" w:rsidRPr="00AC3044" w:rsidRDefault="008143D9" w:rsidP="005A428D">
            <w:pPr>
              <w:rPr>
                <w:rFonts w:eastAsia="SimSun"/>
              </w:rPr>
            </w:pPr>
          </w:p>
        </w:tc>
        <w:tc>
          <w:tcPr>
            <w:tcW w:w="1843" w:type="dxa"/>
            <w:vAlign w:val="center"/>
          </w:tcPr>
          <w:p w14:paraId="7C56BB4F" w14:textId="77777777" w:rsidR="008143D9" w:rsidRPr="00AC3044" w:rsidRDefault="008143D9" w:rsidP="005A428D">
            <w:pPr>
              <w:rPr>
                <w:rFonts w:eastAsia="SimSun"/>
              </w:rPr>
            </w:pPr>
            <w:r w:rsidRPr="00AC3044">
              <w:rPr>
                <w:rFonts w:eastAsia="SimSun"/>
              </w:rPr>
              <w:t>Препарат</w:t>
            </w:r>
          </w:p>
        </w:tc>
        <w:tc>
          <w:tcPr>
            <w:tcW w:w="1417" w:type="dxa"/>
            <w:vAlign w:val="center"/>
          </w:tcPr>
          <w:p w14:paraId="265CAF5A" w14:textId="77777777" w:rsidR="008143D9" w:rsidRPr="00AC3044" w:rsidRDefault="008143D9" w:rsidP="005A428D">
            <w:pPr>
              <w:rPr>
                <w:rFonts w:eastAsia="SimSun"/>
              </w:rPr>
            </w:pPr>
            <w:r w:rsidRPr="00AC3044">
              <w:rPr>
                <w:rFonts w:eastAsia="SimSun"/>
              </w:rPr>
              <w:t>Суточная доза</w:t>
            </w:r>
          </w:p>
        </w:tc>
        <w:tc>
          <w:tcPr>
            <w:tcW w:w="1559" w:type="dxa"/>
            <w:vAlign w:val="center"/>
          </w:tcPr>
          <w:p w14:paraId="4CBFC7AB" w14:textId="77777777" w:rsidR="008143D9" w:rsidRPr="00AC3044" w:rsidRDefault="008143D9" w:rsidP="005A428D">
            <w:pPr>
              <w:rPr>
                <w:rFonts w:eastAsia="SimSun"/>
              </w:rPr>
            </w:pPr>
            <w:r w:rsidRPr="00AC3044">
              <w:rPr>
                <w:rFonts w:eastAsia="SimSun"/>
              </w:rPr>
              <w:t>Курсовая доза</w:t>
            </w:r>
          </w:p>
        </w:tc>
        <w:tc>
          <w:tcPr>
            <w:tcW w:w="1560" w:type="dxa"/>
            <w:vAlign w:val="center"/>
          </w:tcPr>
          <w:p w14:paraId="745BB8E5" w14:textId="77777777" w:rsidR="008143D9" w:rsidRPr="00AC3044" w:rsidRDefault="008143D9" w:rsidP="005A428D">
            <w:pPr>
              <w:rPr>
                <w:rFonts w:eastAsia="SimSun"/>
              </w:rPr>
            </w:pPr>
            <w:r w:rsidRPr="00AC3044">
              <w:rPr>
                <w:rFonts w:eastAsia="SimSun"/>
              </w:rPr>
              <w:t>Дни введения</w:t>
            </w:r>
          </w:p>
        </w:tc>
        <w:tc>
          <w:tcPr>
            <w:tcW w:w="2268" w:type="dxa"/>
            <w:vAlign w:val="center"/>
          </w:tcPr>
          <w:p w14:paraId="7DD117DB"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2D26B589" w14:textId="77777777" w:rsidTr="005A428D">
        <w:trPr>
          <w:cantSplit/>
          <w:trHeight w:val="20"/>
        </w:trPr>
        <w:tc>
          <w:tcPr>
            <w:tcW w:w="993" w:type="dxa"/>
            <w:vMerge w:val="restart"/>
            <w:textDirection w:val="btLr"/>
            <w:vAlign w:val="center"/>
          </w:tcPr>
          <w:p w14:paraId="199EB3B5" w14:textId="77777777" w:rsidR="008143D9" w:rsidRPr="00AC3044" w:rsidRDefault="008143D9" w:rsidP="005A428D">
            <w:pPr>
              <w:rPr>
                <w:rFonts w:eastAsia="SimSun"/>
              </w:rPr>
            </w:pPr>
            <w:r w:rsidRPr="00AC3044">
              <w:rPr>
                <w:rFonts w:eastAsia="SimSun"/>
              </w:rPr>
              <w:t>Кондиционирование</w:t>
            </w:r>
          </w:p>
        </w:tc>
        <w:tc>
          <w:tcPr>
            <w:tcW w:w="1843" w:type="dxa"/>
            <w:vAlign w:val="center"/>
          </w:tcPr>
          <w:p w14:paraId="7860ECE2" w14:textId="77777777" w:rsidR="008143D9" w:rsidRPr="00AC3044" w:rsidRDefault="008143D9" w:rsidP="005A428D">
            <w:pPr>
              <w:rPr>
                <w:rFonts w:eastAsia="SimSun"/>
              </w:rPr>
            </w:pPr>
            <w:r w:rsidRPr="00AC3044">
              <w:rPr>
                <w:rFonts w:eastAsia="SimSun"/>
              </w:rPr>
              <w:t xml:space="preserve">Флударабин </w:t>
            </w:r>
          </w:p>
        </w:tc>
        <w:tc>
          <w:tcPr>
            <w:tcW w:w="1417" w:type="dxa"/>
            <w:vAlign w:val="center"/>
          </w:tcPr>
          <w:p w14:paraId="396C9AE7" w14:textId="77777777" w:rsidR="008143D9" w:rsidRPr="00AC3044" w:rsidRDefault="008143D9" w:rsidP="005A428D">
            <w:pPr>
              <w:rPr>
                <w:rFonts w:eastAsia="SimSun"/>
              </w:rPr>
            </w:pPr>
            <w:r w:rsidRPr="00AC3044">
              <w:rPr>
                <w:rFonts w:eastAsia="SimSun"/>
              </w:rPr>
              <w:t>30 мг/м</w:t>
            </w:r>
            <w:r w:rsidRPr="001E6DBE">
              <w:rPr>
                <w:rFonts w:eastAsia="SimSun"/>
                <w:vertAlign w:val="superscript"/>
              </w:rPr>
              <w:t>2</w:t>
            </w:r>
          </w:p>
        </w:tc>
        <w:tc>
          <w:tcPr>
            <w:tcW w:w="1559" w:type="dxa"/>
            <w:vAlign w:val="center"/>
          </w:tcPr>
          <w:p w14:paraId="167F730D" w14:textId="77777777" w:rsidR="008143D9" w:rsidRPr="00AC3044" w:rsidRDefault="008143D9" w:rsidP="005A428D">
            <w:pPr>
              <w:rPr>
                <w:rFonts w:eastAsia="SimSun"/>
              </w:rPr>
            </w:pPr>
            <w:r w:rsidRPr="00AC3044">
              <w:rPr>
                <w:rFonts w:eastAsia="SimSun"/>
              </w:rPr>
              <w:t>180 мг/м</w:t>
            </w:r>
            <w:r w:rsidRPr="001E6DBE">
              <w:rPr>
                <w:rFonts w:eastAsia="SimSun"/>
                <w:vertAlign w:val="superscript"/>
              </w:rPr>
              <w:t>2</w:t>
            </w:r>
          </w:p>
        </w:tc>
        <w:tc>
          <w:tcPr>
            <w:tcW w:w="1560" w:type="dxa"/>
            <w:vAlign w:val="center"/>
          </w:tcPr>
          <w:p w14:paraId="326D791D" w14:textId="77777777" w:rsidR="008143D9" w:rsidRPr="00AC3044" w:rsidRDefault="008143D9" w:rsidP="005A428D">
            <w:pPr>
              <w:rPr>
                <w:rFonts w:eastAsia="SimSun"/>
              </w:rPr>
            </w:pPr>
            <w:r w:rsidRPr="00AC3044">
              <w:rPr>
                <w:rFonts w:eastAsia="SimSun"/>
              </w:rPr>
              <w:t>С -7 дня по -2 день</w:t>
            </w:r>
          </w:p>
        </w:tc>
        <w:tc>
          <w:tcPr>
            <w:tcW w:w="2268" w:type="dxa"/>
            <w:vAlign w:val="center"/>
          </w:tcPr>
          <w:p w14:paraId="2CCC1AA3"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01A43E60" w14:textId="77777777" w:rsidTr="005A428D">
        <w:trPr>
          <w:cantSplit/>
          <w:trHeight w:val="784"/>
        </w:trPr>
        <w:tc>
          <w:tcPr>
            <w:tcW w:w="993" w:type="dxa"/>
            <w:vMerge/>
            <w:vAlign w:val="center"/>
          </w:tcPr>
          <w:p w14:paraId="410F05D6" w14:textId="77777777" w:rsidR="008143D9" w:rsidRPr="00AC3044" w:rsidRDefault="008143D9" w:rsidP="005A428D">
            <w:pPr>
              <w:rPr>
                <w:rFonts w:eastAsia="SimSun"/>
              </w:rPr>
            </w:pPr>
          </w:p>
        </w:tc>
        <w:tc>
          <w:tcPr>
            <w:tcW w:w="1843" w:type="dxa"/>
            <w:vAlign w:val="center"/>
          </w:tcPr>
          <w:p w14:paraId="785FBE00" w14:textId="77777777" w:rsidR="008143D9" w:rsidRPr="00AC3044" w:rsidRDefault="008143D9" w:rsidP="005A428D">
            <w:pPr>
              <w:rPr>
                <w:rFonts w:eastAsia="SimSun"/>
              </w:rPr>
            </w:pPr>
            <w:r w:rsidRPr="00AC3044">
              <w:rPr>
                <w:rFonts w:eastAsia="SimSun"/>
              </w:rPr>
              <w:t>Бусульфан</w:t>
            </w:r>
          </w:p>
        </w:tc>
        <w:tc>
          <w:tcPr>
            <w:tcW w:w="1417" w:type="dxa"/>
            <w:vAlign w:val="center"/>
          </w:tcPr>
          <w:p w14:paraId="0C090F59" w14:textId="77777777" w:rsidR="008143D9" w:rsidRPr="00AC3044" w:rsidRDefault="008143D9" w:rsidP="005A428D">
            <w:pPr>
              <w:rPr>
                <w:rFonts w:eastAsia="SimSun"/>
              </w:rPr>
            </w:pPr>
            <w:r w:rsidRPr="00AC3044">
              <w:rPr>
                <w:rFonts w:eastAsia="SimSun"/>
              </w:rPr>
              <w:t xml:space="preserve">4 мг/кг </w:t>
            </w:r>
          </w:p>
        </w:tc>
        <w:tc>
          <w:tcPr>
            <w:tcW w:w="1559" w:type="dxa"/>
            <w:vAlign w:val="center"/>
          </w:tcPr>
          <w:p w14:paraId="529E7ADC" w14:textId="77777777" w:rsidR="008143D9" w:rsidRPr="00AC3044" w:rsidRDefault="008143D9" w:rsidP="005A428D">
            <w:pPr>
              <w:rPr>
                <w:rFonts w:eastAsia="SimSun"/>
              </w:rPr>
            </w:pPr>
            <w:r w:rsidRPr="00AC3044">
              <w:rPr>
                <w:rFonts w:eastAsia="SimSun"/>
              </w:rPr>
              <w:t xml:space="preserve">8 мг/кг </w:t>
            </w:r>
          </w:p>
        </w:tc>
        <w:tc>
          <w:tcPr>
            <w:tcW w:w="1560" w:type="dxa"/>
            <w:vAlign w:val="center"/>
          </w:tcPr>
          <w:p w14:paraId="24DC263C" w14:textId="77777777" w:rsidR="008143D9" w:rsidRPr="00AC3044" w:rsidRDefault="008143D9" w:rsidP="005A428D">
            <w:pPr>
              <w:rPr>
                <w:rFonts w:eastAsia="SimSun"/>
              </w:rPr>
            </w:pPr>
            <w:r w:rsidRPr="00AC3044">
              <w:rPr>
                <w:rFonts w:eastAsia="SimSun"/>
              </w:rPr>
              <w:t>С -4 дня по -3 день</w:t>
            </w:r>
          </w:p>
        </w:tc>
        <w:tc>
          <w:tcPr>
            <w:tcW w:w="2268" w:type="dxa"/>
            <w:vAlign w:val="center"/>
          </w:tcPr>
          <w:p w14:paraId="2CB39D3F" w14:textId="77777777" w:rsidR="008143D9" w:rsidRPr="00AC3044" w:rsidRDefault="008143D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8143D9" w:rsidRPr="00AC3044" w14:paraId="03E819B2" w14:textId="77777777" w:rsidTr="005A428D">
        <w:trPr>
          <w:cantSplit/>
          <w:trHeight w:val="1498"/>
        </w:trPr>
        <w:tc>
          <w:tcPr>
            <w:tcW w:w="993" w:type="dxa"/>
            <w:vMerge w:val="restart"/>
            <w:textDirection w:val="btLr"/>
            <w:vAlign w:val="center"/>
          </w:tcPr>
          <w:p w14:paraId="14F99D1A" w14:textId="77777777" w:rsidR="008143D9" w:rsidRPr="00AC3044" w:rsidRDefault="008143D9" w:rsidP="005A428D">
            <w:pPr>
              <w:rPr>
                <w:rFonts w:eastAsia="SimSun"/>
              </w:rPr>
            </w:pPr>
            <w:r w:rsidRPr="00AC3044">
              <w:rPr>
                <w:rFonts w:eastAsia="SimSun"/>
              </w:rPr>
              <w:t>Профилактика РТПХ</w:t>
            </w:r>
          </w:p>
        </w:tc>
        <w:tc>
          <w:tcPr>
            <w:tcW w:w="1843" w:type="dxa"/>
            <w:vAlign w:val="center"/>
          </w:tcPr>
          <w:p w14:paraId="470CB913" w14:textId="77777777" w:rsidR="008143D9" w:rsidRPr="00AC3044" w:rsidRDefault="008143D9" w:rsidP="005A428D">
            <w:pPr>
              <w:rPr>
                <w:rFonts w:eastAsia="SimSun"/>
              </w:rPr>
            </w:pPr>
            <w:r w:rsidRPr="00AC3044">
              <w:rPr>
                <w:rFonts w:eastAsia="SimSun"/>
              </w:rPr>
              <w:t xml:space="preserve">Такролимус </w:t>
            </w:r>
          </w:p>
        </w:tc>
        <w:tc>
          <w:tcPr>
            <w:tcW w:w="1417" w:type="dxa"/>
            <w:vAlign w:val="center"/>
          </w:tcPr>
          <w:p w14:paraId="4E24EFF2" w14:textId="77777777" w:rsidR="008143D9" w:rsidRPr="00AC3044" w:rsidRDefault="008143D9" w:rsidP="005A428D">
            <w:pPr>
              <w:rPr>
                <w:rFonts w:eastAsia="SimSun"/>
              </w:rPr>
            </w:pPr>
            <w:r w:rsidRPr="00AC3044">
              <w:rPr>
                <w:rFonts w:eastAsia="SimSun"/>
              </w:rPr>
              <w:t>0,03 мг/кг</w:t>
            </w:r>
          </w:p>
        </w:tc>
        <w:tc>
          <w:tcPr>
            <w:tcW w:w="1559" w:type="dxa"/>
            <w:vAlign w:val="center"/>
          </w:tcPr>
          <w:p w14:paraId="7A15F791" w14:textId="77777777" w:rsidR="008143D9" w:rsidRPr="00AC3044" w:rsidRDefault="008143D9" w:rsidP="005A428D">
            <w:pPr>
              <w:rPr>
                <w:rFonts w:eastAsia="SimSun"/>
              </w:rPr>
            </w:pPr>
            <w:r w:rsidRPr="00AC3044">
              <w:rPr>
                <w:rFonts w:eastAsia="SimSun"/>
              </w:rPr>
              <w:t>–</w:t>
            </w:r>
          </w:p>
        </w:tc>
        <w:tc>
          <w:tcPr>
            <w:tcW w:w="1560" w:type="dxa"/>
            <w:vAlign w:val="center"/>
          </w:tcPr>
          <w:p w14:paraId="37C78204" w14:textId="77777777" w:rsidR="008143D9" w:rsidRPr="00AC3044" w:rsidRDefault="008143D9" w:rsidP="005A428D">
            <w:pPr>
              <w:rPr>
                <w:rFonts w:eastAsia="SimSun"/>
              </w:rPr>
            </w:pPr>
            <w:r w:rsidRPr="00AC3044">
              <w:rPr>
                <w:rFonts w:eastAsia="SimSun"/>
              </w:rPr>
              <w:t xml:space="preserve">С -1 дня длительно </w:t>
            </w:r>
          </w:p>
        </w:tc>
        <w:tc>
          <w:tcPr>
            <w:tcW w:w="2268" w:type="dxa"/>
            <w:vAlign w:val="center"/>
          </w:tcPr>
          <w:p w14:paraId="7BD3B588" w14:textId="77777777" w:rsidR="008143D9" w:rsidRPr="00AC3044" w:rsidRDefault="008143D9" w:rsidP="005A428D">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8143D9" w:rsidRPr="00AC3044" w14:paraId="41A17517" w14:textId="77777777" w:rsidTr="005A428D">
        <w:trPr>
          <w:cantSplit/>
          <w:trHeight w:val="538"/>
        </w:trPr>
        <w:tc>
          <w:tcPr>
            <w:tcW w:w="993" w:type="dxa"/>
            <w:vMerge/>
            <w:textDirection w:val="btLr"/>
            <w:vAlign w:val="center"/>
          </w:tcPr>
          <w:p w14:paraId="7A2E7BBB" w14:textId="77777777" w:rsidR="008143D9" w:rsidRPr="00AC3044" w:rsidRDefault="008143D9" w:rsidP="005A428D">
            <w:pPr>
              <w:rPr>
                <w:rFonts w:eastAsia="SimSun"/>
              </w:rPr>
            </w:pPr>
          </w:p>
        </w:tc>
        <w:tc>
          <w:tcPr>
            <w:tcW w:w="1843" w:type="dxa"/>
            <w:vAlign w:val="center"/>
          </w:tcPr>
          <w:p w14:paraId="644DAC5E" w14:textId="77777777" w:rsidR="008143D9" w:rsidRPr="00AC3044" w:rsidRDefault="008143D9" w:rsidP="005A428D">
            <w:pPr>
              <w:rPr>
                <w:rFonts w:eastAsia="SimSun"/>
              </w:rPr>
            </w:pPr>
            <w:r w:rsidRPr="00AC3044">
              <w:rPr>
                <w:rFonts w:eastAsia="SimSun"/>
              </w:rPr>
              <w:t>Микофенолата мофетил</w:t>
            </w:r>
          </w:p>
        </w:tc>
        <w:tc>
          <w:tcPr>
            <w:tcW w:w="1417" w:type="dxa"/>
            <w:vAlign w:val="center"/>
          </w:tcPr>
          <w:p w14:paraId="12DA80AC" w14:textId="77777777" w:rsidR="008143D9" w:rsidRPr="00AC3044" w:rsidRDefault="008143D9" w:rsidP="005A428D">
            <w:pPr>
              <w:rPr>
                <w:rFonts w:eastAsia="SimSun"/>
              </w:rPr>
            </w:pPr>
            <w:r w:rsidRPr="00AC3044">
              <w:rPr>
                <w:rFonts w:eastAsia="SimSun"/>
              </w:rPr>
              <w:t xml:space="preserve">30 мг/кг </w:t>
            </w:r>
          </w:p>
        </w:tc>
        <w:tc>
          <w:tcPr>
            <w:tcW w:w="1559" w:type="dxa"/>
            <w:vAlign w:val="center"/>
          </w:tcPr>
          <w:p w14:paraId="6386F6E3" w14:textId="77777777" w:rsidR="008143D9" w:rsidRPr="00AC3044" w:rsidRDefault="008143D9" w:rsidP="005A428D">
            <w:pPr>
              <w:rPr>
                <w:rFonts w:eastAsia="SimSun"/>
              </w:rPr>
            </w:pPr>
            <w:r w:rsidRPr="00AC3044">
              <w:rPr>
                <w:rFonts w:eastAsia="SimSun"/>
              </w:rPr>
              <w:t>–</w:t>
            </w:r>
          </w:p>
        </w:tc>
        <w:tc>
          <w:tcPr>
            <w:tcW w:w="1560" w:type="dxa"/>
            <w:vAlign w:val="center"/>
          </w:tcPr>
          <w:p w14:paraId="4BBA4957" w14:textId="77777777" w:rsidR="008143D9" w:rsidRPr="00AC3044" w:rsidRDefault="008143D9" w:rsidP="005A428D">
            <w:pPr>
              <w:rPr>
                <w:rFonts w:eastAsia="SimSun"/>
              </w:rPr>
            </w:pPr>
            <w:r w:rsidRPr="00AC3044">
              <w:rPr>
                <w:rFonts w:eastAsia="SimSun"/>
              </w:rPr>
              <w:t xml:space="preserve">С -1 дня по +30 день </w:t>
            </w:r>
          </w:p>
        </w:tc>
        <w:tc>
          <w:tcPr>
            <w:tcW w:w="2268" w:type="dxa"/>
            <w:vAlign w:val="center"/>
          </w:tcPr>
          <w:p w14:paraId="449C7781" w14:textId="77777777" w:rsidR="008143D9" w:rsidRPr="00AC3044" w:rsidRDefault="008143D9" w:rsidP="005A428D">
            <w:pPr>
              <w:rPr>
                <w:rFonts w:eastAsia="SimSun"/>
              </w:rPr>
            </w:pPr>
            <w:r w:rsidRPr="00AC3044">
              <w:rPr>
                <w:rFonts w:eastAsia="SimSun"/>
              </w:rPr>
              <w:t>Внутрь, суммарная суточная доза разделяется на 2- 4 приема.</w:t>
            </w:r>
          </w:p>
        </w:tc>
      </w:tr>
    </w:tbl>
    <w:p w14:paraId="6A15DC67" w14:textId="77777777" w:rsidR="008143D9" w:rsidRDefault="008143D9" w:rsidP="008143D9">
      <w:pPr>
        <w:rPr>
          <w:rFonts w:eastAsia="SimSun"/>
        </w:rPr>
      </w:pPr>
      <w:bookmarkStart w:id="133" w:name="_Toc44401169"/>
    </w:p>
    <w:p w14:paraId="63B54E95" w14:textId="77777777" w:rsidR="008143D9" w:rsidRDefault="008143D9" w:rsidP="008143D9">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1.2.11  – Flu180+Bu8/ PT-Cy+CSA+MMF30</w:t>
      </w:r>
      <w:bookmarkEnd w:id="133"/>
    </w:p>
    <w:tbl>
      <w:tblPr>
        <w:tblW w:w="9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843"/>
        <w:gridCol w:w="1417"/>
        <w:gridCol w:w="1701"/>
        <w:gridCol w:w="1418"/>
        <w:gridCol w:w="2246"/>
      </w:tblGrid>
      <w:tr w:rsidR="008143D9" w:rsidRPr="00AC3044" w14:paraId="40EF39D4" w14:textId="77777777" w:rsidTr="005A428D">
        <w:trPr>
          <w:cantSplit/>
          <w:trHeight w:val="20"/>
          <w:tblHeader/>
        </w:trPr>
        <w:tc>
          <w:tcPr>
            <w:tcW w:w="959" w:type="dxa"/>
            <w:vAlign w:val="center"/>
          </w:tcPr>
          <w:p w14:paraId="3D948AF0" w14:textId="77777777" w:rsidR="008143D9" w:rsidRPr="00470D3D" w:rsidRDefault="008143D9" w:rsidP="005A428D">
            <w:pPr>
              <w:rPr>
                <w:rFonts w:eastAsia="SimSun"/>
              </w:rPr>
            </w:pPr>
          </w:p>
        </w:tc>
        <w:tc>
          <w:tcPr>
            <w:tcW w:w="1843" w:type="dxa"/>
            <w:vAlign w:val="center"/>
          </w:tcPr>
          <w:p w14:paraId="06A2E6BE" w14:textId="77777777" w:rsidR="008143D9" w:rsidRPr="00AC3044" w:rsidRDefault="008143D9" w:rsidP="005A428D">
            <w:pPr>
              <w:rPr>
                <w:rFonts w:eastAsia="SimSun"/>
              </w:rPr>
            </w:pPr>
            <w:r w:rsidRPr="00AC3044">
              <w:rPr>
                <w:rFonts w:eastAsia="SimSun"/>
              </w:rPr>
              <w:t>Препарат</w:t>
            </w:r>
          </w:p>
        </w:tc>
        <w:tc>
          <w:tcPr>
            <w:tcW w:w="1417" w:type="dxa"/>
            <w:vAlign w:val="center"/>
          </w:tcPr>
          <w:p w14:paraId="327ABA6D" w14:textId="77777777" w:rsidR="008143D9" w:rsidRPr="00AC3044" w:rsidRDefault="008143D9" w:rsidP="005A428D">
            <w:pPr>
              <w:rPr>
                <w:rFonts w:eastAsia="SimSun"/>
              </w:rPr>
            </w:pPr>
            <w:r w:rsidRPr="00AC3044">
              <w:rPr>
                <w:rFonts w:eastAsia="SimSun"/>
              </w:rPr>
              <w:t>Суточная доза</w:t>
            </w:r>
          </w:p>
        </w:tc>
        <w:tc>
          <w:tcPr>
            <w:tcW w:w="1701" w:type="dxa"/>
            <w:vAlign w:val="center"/>
          </w:tcPr>
          <w:p w14:paraId="294EB24E" w14:textId="77777777" w:rsidR="008143D9" w:rsidRPr="00AC3044" w:rsidRDefault="008143D9" w:rsidP="005A428D">
            <w:pPr>
              <w:rPr>
                <w:rFonts w:eastAsia="SimSun"/>
              </w:rPr>
            </w:pPr>
            <w:r w:rsidRPr="00AC3044">
              <w:rPr>
                <w:rFonts w:eastAsia="SimSun"/>
              </w:rPr>
              <w:t>Курсовая доза</w:t>
            </w:r>
          </w:p>
        </w:tc>
        <w:tc>
          <w:tcPr>
            <w:tcW w:w="1418" w:type="dxa"/>
            <w:vAlign w:val="center"/>
          </w:tcPr>
          <w:p w14:paraId="4B1B117C" w14:textId="77777777" w:rsidR="008143D9" w:rsidRPr="00AC3044" w:rsidRDefault="008143D9" w:rsidP="005A428D">
            <w:pPr>
              <w:rPr>
                <w:rFonts w:eastAsia="SimSun"/>
              </w:rPr>
            </w:pPr>
            <w:r w:rsidRPr="00AC3044">
              <w:rPr>
                <w:rFonts w:eastAsia="SimSun"/>
              </w:rPr>
              <w:t>Дни введения</w:t>
            </w:r>
          </w:p>
        </w:tc>
        <w:tc>
          <w:tcPr>
            <w:tcW w:w="2246" w:type="dxa"/>
            <w:vAlign w:val="center"/>
          </w:tcPr>
          <w:p w14:paraId="687A8FE5"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0B8C967C" w14:textId="77777777" w:rsidTr="005A428D">
        <w:trPr>
          <w:cantSplit/>
          <w:trHeight w:val="20"/>
        </w:trPr>
        <w:tc>
          <w:tcPr>
            <w:tcW w:w="959" w:type="dxa"/>
            <w:vMerge w:val="restart"/>
            <w:textDirection w:val="btLr"/>
            <w:vAlign w:val="center"/>
          </w:tcPr>
          <w:p w14:paraId="348A5A99" w14:textId="77777777" w:rsidR="008143D9" w:rsidRPr="00AC3044" w:rsidRDefault="008143D9" w:rsidP="005A428D">
            <w:pPr>
              <w:rPr>
                <w:rFonts w:eastAsia="SimSun"/>
              </w:rPr>
            </w:pPr>
            <w:r w:rsidRPr="00AC3044">
              <w:rPr>
                <w:rFonts w:eastAsia="SimSun"/>
              </w:rPr>
              <w:t>Кондиционирование</w:t>
            </w:r>
          </w:p>
        </w:tc>
        <w:tc>
          <w:tcPr>
            <w:tcW w:w="1843" w:type="dxa"/>
            <w:vAlign w:val="center"/>
          </w:tcPr>
          <w:p w14:paraId="3AC27E97" w14:textId="77777777" w:rsidR="008143D9" w:rsidRPr="00AC3044" w:rsidRDefault="008143D9" w:rsidP="005A428D">
            <w:pPr>
              <w:rPr>
                <w:rFonts w:eastAsia="SimSun"/>
              </w:rPr>
            </w:pPr>
            <w:r w:rsidRPr="00AC3044">
              <w:rPr>
                <w:rFonts w:eastAsia="SimSun"/>
              </w:rPr>
              <w:t xml:space="preserve">Флударабин </w:t>
            </w:r>
          </w:p>
        </w:tc>
        <w:tc>
          <w:tcPr>
            <w:tcW w:w="1417" w:type="dxa"/>
            <w:vAlign w:val="center"/>
          </w:tcPr>
          <w:p w14:paraId="527F4CFB" w14:textId="77777777" w:rsidR="008143D9" w:rsidRPr="00AC3044" w:rsidRDefault="008143D9" w:rsidP="005A428D">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78B92920" w14:textId="77777777" w:rsidR="008143D9" w:rsidRPr="00AC3044" w:rsidRDefault="008143D9" w:rsidP="005A428D">
            <w:pPr>
              <w:rPr>
                <w:rFonts w:eastAsia="SimSun"/>
              </w:rPr>
            </w:pPr>
            <w:r w:rsidRPr="00AC3044">
              <w:rPr>
                <w:rFonts w:eastAsia="SimSun"/>
              </w:rPr>
              <w:t>180 мг/м</w:t>
            </w:r>
            <w:r w:rsidRPr="001E6DBE">
              <w:rPr>
                <w:rFonts w:eastAsia="SimSun"/>
                <w:vertAlign w:val="superscript"/>
              </w:rPr>
              <w:t>2</w:t>
            </w:r>
          </w:p>
        </w:tc>
        <w:tc>
          <w:tcPr>
            <w:tcW w:w="1418" w:type="dxa"/>
            <w:vAlign w:val="center"/>
          </w:tcPr>
          <w:p w14:paraId="726B98B3" w14:textId="77777777" w:rsidR="008143D9" w:rsidRPr="00AC3044" w:rsidRDefault="008143D9" w:rsidP="005A428D">
            <w:pPr>
              <w:rPr>
                <w:rFonts w:eastAsia="SimSun"/>
              </w:rPr>
            </w:pPr>
            <w:r w:rsidRPr="00AC3044">
              <w:rPr>
                <w:rFonts w:eastAsia="SimSun"/>
              </w:rPr>
              <w:t>С -7 дня по -2 день</w:t>
            </w:r>
          </w:p>
        </w:tc>
        <w:tc>
          <w:tcPr>
            <w:tcW w:w="2246" w:type="dxa"/>
            <w:vAlign w:val="center"/>
          </w:tcPr>
          <w:p w14:paraId="24CDF068"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32C2EDD5" w14:textId="77777777" w:rsidTr="005A428D">
        <w:trPr>
          <w:cantSplit/>
          <w:trHeight w:val="550"/>
        </w:trPr>
        <w:tc>
          <w:tcPr>
            <w:tcW w:w="959" w:type="dxa"/>
            <w:vMerge/>
            <w:vAlign w:val="center"/>
          </w:tcPr>
          <w:p w14:paraId="2B75B837" w14:textId="77777777" w:rsidR="008143D9" w:rsidRPr="00AC3044" w:rsidRDefault="008143D9" w:rsidP="005A428D">
            <w:pPr>
              <w:rPr>
                <w:rFonts w:eastAsia="SimSun"/>
              </w:rPr>
            </w:pPr>
          </w:p>
        </w:tc>
        <w:tc>
          <w:tcPr>
            <w:tcW w:w="1843" w:type="dxa"/>
            <w:vAlign w:val="center"/>
          </w:tcPr>
          <w:p w14:paraId="5E28CD0D" w14:textId="77777777" w:rsidR="008143D9" w:rsidRPr="00AC3044" w:rsidRDefault="008143D9" w:rsidP="005A428D">
            <w:pPr>
              <w:rPr>
                <w:rFonts w:eastAsia="SimSun"/>
              </w:rPr>
            </w:pPr>
            <w:r w:rsidRPr="00AC3044">
              <w:rPr>
                <w:rFonts w:eastAsia="SimSun"/>
              </w:rPr>
              <w:t>Бусульфан</w:t>
            </w:r>
          </w:p>
        </w:tc>
        <w:tc>
          <w:tcPr>
            <w:tcW w:w="1417" w:type="dxa"/>
            <w:vAlign w:val="center"/>
          </w:tcPr>
          <w:p w14:paraId="5E4F58F7" w14:textId="77777777" w:rsidR="008143D9" w:rsidRPr="00AC3044" w:rsidRDefault="008143D9" w:rsidP="005A428D">
            <w:pPr>
              <w:rPr>
                <w:rFonts w:eastAsia="SimSun"/>
              </w:rPr>
            </w:pPr>
            <w:r w:rsidRPr="00AC3044">
              <w:rPr>
                <w:rFonts w:eastAsia="SimSun"/>
              </w:rPr>
              <w:t xml:space="preserve">4 мг/кг </w:t>
            </w:r>
          </w:p>
        </w:tc>
        <w:tc>
          <w:tcPr>
            <w:tcW w:w="1701" w:type="dxa"/>
            <w:vAlign w:val="center"/>
          </w:tcPr>
          <w:p w14:paraId="2514F57E" w14:textId="77777777" w:rsidR="008143D9" w:rsidRPr="00AC3044" w:rsidRDefault="008143D9" w:rsidP="005A428D">
            <w:pPr>
              <w:rPr>
                <w:rFonts w:eastAsia="SimSun"/>
              </w:rPr>
            </w:pPr>
            <w:r w:rsidRPr="00AC3044">
              <w:rPr>
                <w:rFonts w:eastAsia="SimSun"/>
              </w:rPr>
              <w:t xml:space="preserve">8 мг/кг </w:t>
            </w:r>
          </w:p>
        </w:tc>
        <w:tc>
          <w:tcPr>
            <w:tcW w:w="1418" w:type="dxa"/>
            <w:vAlign w:val="center"/>
          </w:tcPr>
          <w:p w14:paraId="301A9C9F" w14:textId="77777777" w:rsidR="008143D9" w:rsidRPr="00AC3044" w:rsidRDefault="008143D9" w:rsidP="005A428D">
            <w:pPr>
              <w:rPr>
                <w:rFonts w:eastAsia="SimSun"/>
              </w:rPr>
            </w:pPr>
            <w:r w:rsidRPr="00AC3044">
              <w:rPr>
                <w:rFonts w:eastAsia="SimSun"/>
              </w:rPr>
              <w:t>С -4 дня по -3 день</w:t>
            </w:r>
          </w:p>
        </w:tc>
        <w:tc>
          <w:tcPr>
            <w:tcW w:w="2246" w:type="dxa"/>
            <w:vAlign w:val="center"/>
          </w:tcPr>
          <w:p w14:paraId="07F73BEF" w14:textId="77777777" w:rsidR="008143D9" w:rsidRPr="00AC3044" w:rsidRDefault="008143D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8143D9" w:rsidRPr="00AC3044" w14:paraId="410A9656" w14:textId="77777777" w:rsidTr="005A428D">
        <w:trPr>
          <w:cantSplit/>
          <w:trHeight w:val="1498"/>
        </w:trPr>
        <w:tc>
          <w:tcPr>
            <w:tcW w:w="959" w:type="dxa"/>
            <w:vMerge w:val="restart"/>
            <w:textDirection w:val="btLr"/>
            <w:vAlign w:val="center"/>
          </w:tcPr>
          <w:p w14:paraId="7B2ACC15" w14:textId="77777777" w:rsidR="008143D9" w:rsidRPr="00AC3044" w:rsidRDefault="008143D9" w:rsidP="005A428D">
            <w:pPr>
              <w:rPr>
                <w:rFonts w:eastAsia="SimSun"/>
              </w:rPr>
            </w:pPr>
            <w:r w:rsidRPr="00AC3044">
              <w:rPr>
                <w:rFonts w:eastAsia="SimSun"/>
              </w:rPr>
              <w:t>Профилактика РТПХ</w:t>
            </w:r>
          </w:p>
        </w:tc>
        <w:tc>
          <w:tcPr>
            <w:tcW w:w="1843" w:type="dxa"/>
            <w:vAlign w:val="center"/>
          </w:tcPr>
          <w:p w14:paraId="33E43B50" w14:textId="77777777" w:rsidR="008143D9" w:rsidRPr="00AC3044" w:rsidRDefault="008143D9" w:rsidP="005A428D">
            <w:pPr>
              <w:rPr>
                <w:rFonts w:eastAsia="SimSun"/>
              </w:rPr>
            </w:pPr>
            <w:r w:rsidRPr="00AC3044">
              <w:rPr>
                <w:rFonts w:eastAsia="SimSun"/>
              </w:rPr>
              <w:t>Циклофосфамид</w:t>
            </w:r>
          </w:p>
        </w:tc>
        <w:tc>
          <w:tcPr>
            <w:tcW w:w="1417" w:type="dxa"/>
            <w:vAlign w:val="center"/>
          </w:tcPr>
          <w:p w14:paraId="55C4454D" w14:textId="77777777" w:rsidR="008143D9" w:rsidRPr="00AC3044" w:rsidRDefault="008143D9" w:rsidP="005A428D">
            <w:pPr>
              <w:rPr>
                <w:rFonts w:eastAsia="SimSun"/>
              </w:rPr>
            </w:pPr>
            <w:r w:rsidRPr="00AC3044">
              <w:rPr>
                <w:rFonts w:eastAsia="SimSun"/>
              </w:rPr>
              <w:t>50 мг/кг</w:t>
            </w:r>
          </w:p>
        </w:tc>
        <w:tc>
          <w:tcPr>
            <w:tcW w:w="1701" w:type="dxa"/>
            <w:vAlign w:val="center"/>
          </w:tcPr>
          <w:p w14:paraId="65A3819F" w14:textId="77777777" w:rsidR="008143D9" w:rsidRPr="00AC3044" w:rsidRDefault="008143D9" w:rsidP="005A428D">
            <w:pPr>
              <w:rPr>
                <w:rFonts w:eastAsia="SimSun"/>
              </w:rPr>
            </w:pPr>
            <w:r w:rsidRPr="00AC3044">
              <w:rPr>
                <w:rFonts w:eastAsia="SimSun"/>
              </w:rPr>
              <w:t>100 мг/кг</w:t>
            </w:r>
          </w:p>
        </w:tc>
        <w:tc>
          <w:tcPr>
            <w:tcW w:w="1418" w:type="dxa"/>
            <w:vAlign w:val="center"/>
          </w:tcPr>
          <w:p w14:paraId="4CB0AB1F" w14:textId="77777777" w:rsidR="008143D9" w:rsidRPr="00AC3044" w:rsidRDefault="008143D9" w:rsidP="005A428D">
            <w:pPr>
              <w:rPr>
                <w:rFonts w:eastAsia="SimSun"/>
              </w:rPr>
            </w:pPr>
            <w:r w:rsidRPr="00AC3044">
              <w:rPr>
                <w:rFonts w:eastAsia="SimSun"/>
              </w:rPr>
              <w:t>В +3 день  и +5 день</w:t>
            </w:r>
          </w:p>
        </w:tc>
        <w:tc>
          <w:tcPr>
            <w:tcW w:w="2246" w:type="dxa"/>
            <w:vAlign w:val="center"/>
          </w:tcPr>
          <w:p w14:paraId="30A18F7E" w14:textId="77777777" w:rsidR="008143D9" w:rsidRPr="00AC3044" w:rsidRDefault="008143D9" w:rsidP="005A428D">
            <w:pPr>
              <w:rPr>
                <w:rFonts w:eastAsia="SimSun"/>
              </w:rPr>
            </w:pPr>
            <w:r w:rsidRPr="00AC3044">
              <w:rPr>
                <w:rFonts w:eastAsia="SimSun"/>
              </w:rPr>
              <w:t>В/в, в течение 2 часов</w:t>
            </w:r>
          </w:p>
        </w:tc>
      </w:tr>
      <w:tr w:rsidR="008143D9" w:rsidRPr="00AC3044" w14:paraId="6F61D7F0" w14:textId="77777777" w:rsidTr="005A428D">
        <w:trPr>
          <w:cantSplit/>
          <w:trHeight w:val="958"/>
        </w:trPr>
        <w:tc>
          <w:tcPr>
            <w:tcW w:w="959" w:type="dxa"/>
            <w:vMerge/>
            <w:textDirection w:val="btLr"/>
            <w:vAlign w:val="center"/>
          </w:tcPr>
          <w:p w14:paraId="4E36389C" w14:textId="77777777" w:rsidR="008143D9" w:rsidRPr="00AC3044" w:rsidRDefault="008143D9" w:rsidP="005A428D">
            <w:pPr>
              <w:rPr>
                <w:rFonts w:eastAsia="SimSun"/>
              </w:rPr>
            </w:pPr>
          </w:p>
        </w:tc>
        <w:tc>
          <w:tcPr>
            <w:tcW w:w="1843" w:type="dxa"/>
            <w:vAlign w:val="center"/>
          </w:tcPr>
          <w:p w14:paraId="11268A92" w14:textId="77777777" w:rsidR="008143D9" w:rsidRPr="00AC3044" w:rsidRDefault="008143D9" w:rsidP="005A428D">
            <w:pPr>
              <w:rPr>
                <w:rFonts w:eastAsia="SimSun"/>
              </w:rPr>
            </w:pPr>
            <w:r w:rsidRPr="00AC3044">
              <w:rPr>
                <w:rFonts w:eastAsia="SimSun"/>
              </w:rPr>
              <w:t>Микофенолата мофетил</w:t>
            </w:r>
          </w:p>
        </w:tc>
        <w:tc>
          <w:tcPr>
            <w:tcW w:w="1417" w:type="dxa"/>
            <w:vAlign w:val="center"/>
          </w:tcPr>
          <w:p w14:paraId="0E9ECAF9" w14:textId="77777777" w:rsidR="008143D9" w:rsidRPr="00AC3044" w:rsidRDefault="008143D9" w:rsidP="005A428D">
            <w:pPr>
              <w:rPr>
                <w:rFonts w:eastAsia="SimSun"/>
              </w:rPr>
            </w:pPr>
            <w:r w:rsidRPr="00AC3044">
              <w:rPr>
                <w:rFonts w:eastAsia="SimSun"/>
              </w:rPr>
              <w:t xml:space="preserve">30 мг/кг </w:t>
            </w:r>
          </w:p>
        </w:tc>
        <w:tc>
          <w:tcPr>
            <w:tcW w:w="1701" w:type="dxa"/>
            <w:vAlign w:val="center"/>
          </w:tcPr>
          <w:p w14:paraId="7CDD7451" w14:textId="77777777" w:rsidR="008143D9" w:rsidRPr="00AC3044" w:rsidRDefault="008143D9" w:rsidP="005A428D">
            <w:pPr>
              <w:rPr>
                <w:rFonts w:eastAsia="SimSun"/>
              </w:rPr>
            </w:pPr>
            <w:r w:rsidRPr="00AC3044">
              <w:rPr>
                <w:rFonts w:eastAsia="SimSun"/>
              </w:rPr>
              <w:t>–</w:t>
            </w:r>
          </w:p>
        </w:tc>
        <w:tc>
          <w:tcPr>
            <w:tcW w:w="1418" w:type="dxa"/>
            <w:vAlign w:val="center"/>
          </w:tcPr>
          <w:p w14:paraId="56C43AAA" w14:textId="77777777" w:rsidR="008143D9" w:rsidRPr="00AC3044" w:rsidRDefault="008143D9" w:rsidP="005A428D">
            <w:pPr>
              <w:rPr>
                <w:rFonts w:eastAsia="SimSun"/>
              </w:rPr>
            </w:pPr>
            <w:r w:rsidRPr="00AC3044">
              <w:rPr>
                <w:rFonts w:eastAsia="SimSun"/>
              </w:rPr>
              <w:t xml:space="preserve">С +1 дня по +28 день </w:t>
            </w:r>
          </w:p>
        </w:tc>
        <w:tc>
          <w:tcPr>
            <w:tcW w:w="2246" w:type="dxa"/>
            <w:vAlign w:val="center"/>
          </w:tcPr>
          <w:p w14:paraId="410B73AF" w14:textId="77777777" w:rsidR="008143D9" w:rsidRPr="00AC3044" w:rsidRDefault="008143D9" w:rsidP="005A428D">
            <w:pPr>
              <w:rPr>
                <w:rFonts w:eastAsia="SimSun"/>
              </w:rPr>
            </w:pPr>
            <w:r w:rsidRPr="00AC3044">
              <w:rPr>
                <w:rFonts w:eastAsia="SimSun"/>
              </w:rPr>
              <w:t>Внутрь, суммарная суточная доза разделяется на 2- 4 приема.</w:t>
            </w:r>
          </w:p>
        </w:tc>
      </w:tr>
      <w:tr w:rsidR="008143D9" w:rsidRPr="00AC3044" w14:paraId="79C48649" w14:textId="77777777" w:rsidTr="005A428D">
        <w:trPr>
          <w:cantSplit/>
          <w:trHeight w:val="958"/>
        </w:trPr>
        <w:tc>
          <w:tcPr>
            <w:tcW w:w="959" w:type="dxa"/>
            <w:vMerge/>
            <w:textDirection w:val="btLr"/>
            <w:vAlign w:val="center"/>
          </w:tcPr>
          <w:p w14:paraId="17A60A73" w14:textId="77777777" w:rsidR="008143D9" w:rsidRPr="00AC3044" w:rsidRDefault="008143D9" w:rsidP="005A428D">
            <w:pPr>
              <w:rPr>
                <w:rFonts w:eastAsia="SimSun"/>
              </w:rPr>
            </w:pPr>
          </w:p>
        </w:tc>
        <w:tc>
          <w:tcPr>
            <w:tcW w:w="1843" w:type="dxa"/>
            <w:vAlign w:val="center"/>
          </w:tcPr>
          <w:p w14:paraId="57EBA5C8" w14:textId="77777777" w:rsidR="008143D9" w:rsidRPr="00AC3044" w:rsidRDefault="008143D9" w:rsidP="005A428D">
            <w:pPr>
              <w:rPr>
                <w:rFonts w:eastAsia="SimSun"/>
              </w:rPr>
            </w:pPr>
            <w:r w:rsidRPr="00AC3044">
              <w:rPr>
                <w:rFonts w:eastAsia="SimSun"/>
              </w:rPr>
              <w:t>Циклоспорин А</w:t>
            </w:r>
          </w:p>
        </w:tc>
        <w:tc>
          <w:tcPr>
            <w:tcW w:w="1417" w:type="dxa"/>
            <w:vAlign w:val="center"/>
          </w:tcPr>
          <w:p w14:paraId="0643D8DB" w14:textId="77777777" w:rsidR="008143D9" w:rsidRPr="00AC3044" w:rsidRDefault="008143D9" w:rsidP="005A428D">
            <w:pPr>
              <w:rPr>
                <w:rFonts w:eastAsia="SimSun"/>
              </w:rPr>
            </w:pPr>
            <w:r w:rsidRPr="00AC3044">
              <w:rPr>
                <w:rFonts w:eastAsia="SimSun"/>
              </w:rPr>
              <w:t>3  мг/кг</w:t>
            </w:r>
          </w:p>
        </w:tc>
        <w:tc>
          <w:tcPr>
            <w:tcW w:w="1701" w:type="dxa"/>
            <w:vAlign w:val="center"/>
          </w:tcPr>
          <w:p w14:paraId="73E2EBF3" w14:textId="77777777" w:rsidR="008143D9" w:rsidRPr="00AC3044" w:rsidRDefault="008143D9" w:rsidP="005A428D">
            <w:pPr>
              <w:rPr>
                <w:rFonts w:eastAsia="SimSun"/>
              </w:rPr>
            </w:pPr>
            <w:r w:rsidRPr="00AC3044">
              <w:rPr>
                <w:rFonts w:eastAsia="SimSun"/>
              </w:rPr>
              <w:t>-</w:t>
            </w:r>
          </w:p>
        </w:tc>
        <w:tc>
          <w:tcPr>
            <w:tcW w:w="1418" w:type="dxa"/>
            <w:vAlign w:val="center"/>
          </w:tcPr>
          <w:p w14:paraId="6382B16D" w14:textId="77777777" w:rsidR="008143D9" w:rsidRPr="00AC3044" w:rsidRDefault="008143D9" w:rsidP="005A428D">
            <w:pPr>
              <w:rPr>
                <w:rFonts w:eastAsia="SimSun"/>
              </w:rPr>
            </w:pPr>
            <w:r w:rsidRPr="00AC3044">
              <w:rPr>
                <w:rFonts w:eastAsia="SimSun"/>
              </w:rPr>
              <w:t xml:space="preserve">С -1 дня по +100 день </w:t>
            </w:r>
          </w:p>
        </w:tc>
        <w:tc>
          <w:tcPr>
            <w:tcW w:w="2246" w:type="dxa"/>
            <w:vAlign w:val="center"/>
          </w:tcPr>
          <w:p w14:paraId="27DD8F05" w14:textId="77777777" w:rsidR="008143D9" w:rsidRPr="00AC3044" w:rsidRDefault="008143D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14:paraId="036085B3" w14:textId="77777777" w:rsidR="008143D9" w:rsidRDefault="008143D9" w:rsidP="008143D9">
      <w:pPr>
        <w:rPr>
          <w:rFonts w:eastAsia="SimSun"/>
        </w:rPr>
      </w:pPr>
    </w:p>
    <w:p w14:paraId="28F5DC26" w14:textId="77777777" w:rsidR="008143D9" w:rsidRPr="00C07B2E" w:rsidRDefault="008143D9" w:rsidP="008143D9">
      <w:pPr>
        <w:rPr>
          <w:rFonts w:eastAsia="SimSun"/>
        </w:rPr>
      </w:pPr>
      <w:bookmarkStart w:id="134" w:name="_Toc44401170"/>
      <w:r w:rsidRPr="00042499">
        <w:rPr>
          <w:rFonts w:eastAsia="SimSun"/>
        </w:rPr>
        <w:t>Таблица</w:t>
      </w:r>
      <w:r w:rsidRPr="00C07B2E">
        <w:rPr>
          <w:rFonts w:eastAsia="SimSun"/>
        </w:rPr>
        <w:t xml:space="preserve"> </w:t>
      </w:r>
      <w:r>
        <w:rPr>
          <w:rFonts w:eastAsia="SimSun"/>
        </w:rPr>
        <w:t>5.</w:t>
      </w:r>
      <w:r w:rsidRPr="00C07B2E">
        <w:rPr>
          <w:rFonts w:eastAsia="SimSun"/>
        </w:rPr>
        <w:t>1.2.12  – Flu180+Bu10 / PT-Cy+Ruxo</w:t>
      </w:r>
      <w:bookmarkEnd w:id="134"/>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843"/>
        <w:gridCol w:w="1417"/>
        <w:gridCol w:w="1701"/>
        <w:gridCol w:w="1418"/>
        <w:gridCol w:w="2268"/>
      </w:tblGrid>
      <w:tr w:rsidR="008143D9" w:rsidRPr="00AC3044" w14:paraId="6FF95F05" w14:textId="77777777" w:rsidTr="005A428D">
        <w:trPr>
          <w:cantSplit/>
          <w:trHeight w:val="20"/>
          <w:tblHeader/>
        </w:trPr>
        <w:tc>
          <w:tcPr>
            <w:tcW w:w="959" w:type="dxa"/>
            <w:vAlign w:val="center"/>
          </w:tcPr>
          <w:p w14:paraId="7B0B7983" w14:textId="77777777" w:rsidR="008143D9" w:rsidRPr="00470D3D" w:rsidRDefault="008143D9" w:rsidP="005A428D">
            <w:pPr>
              <w:rPr>
                <w:rFonts w:eastAsia="SimSun"/>
              </w:rPr>
            </w:pPr>
          </w:p>
        </w:tc>
        <w:tc>
          <w:tcPr>
            <w:tcW w:w="1843" w:type="dxa"/>
            <w:vAlign w:val="center"/>
          </w:tcPr>
          <w:p w14:paraId="0241A362" w14:textId="77777777" w:rsidR="008143D9" w:rsidRPr="00AC3044" w:rsidRDefault="008143D9" w:rsidP="005A428D">
            <w:pPr>
              <w:rPr>
                <w:rFonts w:eastAsia="SimSun"/>
              </w:rPr>
            </w:pPr>
            <w:r w:rsidRPr="00AC3044">
              <w:rPr>
                <w:rFonts w:eastAsia="SimSun"/>
              </w:rPr>
              <w:t>Препарат</w:t>
            </w:r>
          </w:p>
        </w:tc>
        <w:tc>
          <w:tcPr>
            <w:tcW w:w="1417" w:type="dxa"/>
            <w:vAlign w:val="center"/>
          </w:tcPr>
          <w:p w14:paraId="2B25A5C5" w14:textId="77777777" w:rsidR="008143D9" w:rsidRPr="00AC3044" w:rsidRDefault="008143D9" w:rsidP="005A428D">
            <w:pPr>
              <w:rPr>
                <w:rFonts w:eastAsia="SimSun"/>
              </w:rPr>
            </w:pPr>
            <w:r w:rsidRPr="00AC3044">
              <w:rPr>
                <w:rFonts w:eastAsia="SimSun"/>
              </w:rPr>
              <w:t>Суточная доза</w:t>
            </w:r>
          </w:p>
        </w:tc>
        <w:tc>
          <w:tcPr>
            <w:tcW w:w="1701" w:type="dxa"/>
            <w:vAlign w:val="center"/>
          </w:tcPr>
          <w:p w14:paraId="5E552EC3" w14:textId="77777777" w:rsidR="008143D9" w:rsidRPr="00AC3044" w:rsidRDefault="008143D9" w:rsidP="005A428D">
            <w:pPr>
              <w:rPr>
                <w:rFonts w:eastAsia="SimSun"/>
              </w:rPr>
            </w:pPr>
            <w:r w:rsidRPr="00AC3044">
              <w:rPr>
                <w:rFonts w:eastAsia="SimSun"/>
              </w:rPr>
              <w:t>Курсовая доза</w:t>
            </w:r>
          </w:p>
        </w:tc>
        <w:tc>
          <w:tcPr>
            <w:tcW w:w="1418" w:type="dxa"/>
            <w:vAlign w:val="center"/>
          </w:tcPr>
          <w:p w14:paraId="04EFE887" w14:textId="77777777" w:rsidR="008143D9" w:rsidRPr="00AC3044" w:rsidRDefault="008143D9" w:rsidP="005A428D">
            <w:pPr>
              <w:rPr>
                <w:rFonts w:eastAsia="SimSun"/>
              </w:rPr>
            </w:pPr>
            <w:r w:rsidRPr="00AC3044">
              <w:rPr>
                <w:rFonts w:eastAsia="SimSun"/>
              </w:rPr>
              <w:t>Дни введения</w:t>
            </w:r>
          </w:p>
        </w:tc>
        <w:tc>
          <w:tcPr>
            <w:tcW w:w="2268" w:type="dxa"/>
            <w:vAlign w:val="center"/>
          </w:tcPr>
          <w:p w14:paraId="02B835EC"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30DD53F7" w14:textId="77777777" w:rsidTr="005A428D">
        <w:trPr>
          <w:cantSplit/>
          <w:trHeight w:val="20"/>
        </w:trPr>
        <w:tc>
          <w:tcPr>
            <w:tcW w:w="959" w:type="dxa"/>
            <w:vMerge w:val="restart"/>
            <w:textDirection w:val="btLr"/>
            <w:vAlign w:val="center"/>
          </w:tcPr>
          <w:p w14:paraId="4CBF3D2D" w14:textId="77777777" w:rsidR="008143D9" w:rsidRPr="00AC3044" w:rsidRDefault="008143D9" w:rsidP="005A428D">
            <w:pPr>
              <w:rPr>
                <w:rFonts w:eastAsia="SimSun"/>
              </w:rPr>
            </w:pPr>
            <w:r w:rsidRPr="00AC3044">
              <w:rPr>
                <w:rFonts w:eastAsia="SimSun"/>
              </w:rPr>
              <w:t>Кондиционирование</w:t>
            </w:r>
          </w:p>
        </w:tc>
        <w:tc>
          <w:tcPr>
            <w:tcW w:w="1843" w:type="dxa"/>
            <w:vAlign w:val="center"/>
          </w:tcPr>
          <w:p w14:paraId="5F9AC994" w14:textId="77777777" w:rsidR="008143D9" w:rsidRPr="00AC3044" w:rsidRDefault="008143D9" w:rsidP="005A428D">
            <w:pPr>
              <w:rPr>
                <w:rFonts w:eastAsia="SimSun"/>
              </w:rPr>
            </w:pPr>
            <w:r w:rsidRPr="00AC3044">
              <w:rPr>
                <w:rFonts w:eastAsia="SimSun"/>
              </w:rPr>
              <w:t xml:space="preserve">Флударабин </w:t>
            </w:r>
          </w:p>
        </w:tc>
        <w:tc>
          <w:tcPr>
            <w:tcW w:w="1417" w:type="dxa"/>
            <w:vAlign w:val="center"/>
          </w:tcPr>
          <w:p w14:paraId="503411A0" w14:textId="77777777" w:rsidR="008143D9" w:rsidRPr="00AC3044" w:rsidRDefault="008143D9" w:rsidP="005A428D">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7894FF50" w14:textId="77777777" w:rsidR="008143D9" w:rsidRPr="00AC3044" w:rsidRDefault="008143D9" w:rsidP="005A428D">
            <w:pPr>
              <w:rPr>
                <w:rFonts w:eastAsia="SimSun"/>
              </w:rPr>
            </w:pPr>
            <w:r w:rsidRPr="00AC3044">
              <w:rPr>
                <w:rFonts w:eastAsia="SimSun"/>
              </w:rPr>
              <w:t>180 мг/м</w:t>
            </w:r>
            <w:r w:rsidRPr="001E6DBE">
              <w:rPr>
                <w:rFonts w:eastAsia="SimSun"/>
                <w:vertAlign w:val="superscript"/>
              </w:rPr>
              <w:t>2</w:t>
            </w:r>
          </w:p>
        </w:tc>
        <w:tc>
          <w:tcPr>
            <w:tcW w:w="1418" w:type="dxa"/>
            <w:vAlign w:val="center"/>
          </w:tcPr>
          <w:p w14:paraId="07139840" w14:textId="77777777" w:rsidR="008143D9" w:rsidRPr="00AC3044" w:rsidRDefault="008143D9" w:rsidP="005A428D">
            <w:pPr>
              <w:rPr>
                <w:rFonts w:eastAsia="SimSun"/>
              </w:rPr>
            </w:pPr>
            <w:r w:rsidRPr="00AC3044">
              <w:rPr>
                <w:rFonts w:eastAsia="SimSun"/>
              </w:rPr>
              <w:t>С -7 дня по -2 день</w:t>
            </w:r>
          </w:p>
        </w:tc>
        <w:tc>
          <w:tcPr>
            <w:tcW w:w="2268" w:type="dxa"/>
            <w:vAlign w:val="center"/>
          </w:tcPr>
          <w:p w14:paraId="15C49037"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06E97F04" w14:textId="77777777" w:rsidTr="005A428D">
        <w:trPr>
          <w:cantSplit/>
          <w:trHeight w:val="998"/>
        </w:trPr>
        <w:tc>
          <w:tcPr>
            <w:tcW w:w="959" w:type="dxa"/>
            <w:vMerge/>
            <w:vAlign w:val="center"/>
          </w:tcPr>
          <w:p w14:paraId="35EAF73C" w14:textId="77777777" w:rsidR="008143D9" w:rsidRPr="00AC3044" w:rsidRDefault="008143D9" w:rsidP="005A428D">
            <w:pPr>
              <w:rPr>
                <w:rFonts w:eastAsia="SimSun"/>
              </w:rPr>
            </w:pPr>
          </w:p>
        </w:tc>
        <w:tc>
          <w:tcPr>
            <w:tcW w:w="1843" w:type="dxa"/>
            <w:vAlign w:val="center"/>
          </w:tcPr>
          <w:p w14:paraId="121B7DBC" w14:textId="77777777" w:rsidR="008143D9" w:rsidRPr="00AC3044" w:rsidRDefault="008143D9" w:rsidP="005A428D">
            <w:pPr>
              <w:rPr>
                <w:rFonts w:eastAsia="SimSun"/>
              </w:rPr>
            </w:pPr>
            <w:r w:rsidRPr="00AC3044">
              <w:rPr>
                <w:rFonts w:eastAsia="SimSun"/>
              </w:rPr>
              <w:t>Бусульфан</w:t>
            </w:r>
          </w:p>
        </w:tc>
        <w:tc>
          <w:tcPr>
            <w:tcW w:w="1417" w:type="dxa"/>
            <w:vAlign w:val="center"/>
          </w:tcPr>
          <w:p w14:paraId="43B34CF8" w14:textId="77777777" w:rsidR="008143D9" w:rsidRPr="00AC3044" w:rsidRDefault="008143D9" w:rsidP="005A428D">
            <w:pPr>
              <w:rPr>
                <w:rFonts w:eastAsia="SimSun"/>
              </w:rPr>
            </w:pPr>
            <w:r w:rsidRPr="00AC3044">
              <w:rPr>
                <w:rFonts w:eastAsia="SimSun"/>
              </w:rPr>
              <w:t xml:space="preserve">4 мг/кг </w:t>
            </w:r>
          </w:p>
        </w:tc>
        <w:tc>
          <w:tcPr>
            <w:tcW w:w="1701" w:type="dxa"/>
            <w:vAlign w:val="center"/>
          </w:tcPr>
          <w:p w14:paraId="509C9E5C" w14:textId="77777777" w:rsidR="008143D9" w:rsidRPr="00AC3044" w:rsidRDefault="008143D9" w:rsidP="005A428D">
            <w:pPr>
              <w:rPr>
                <w:rFonts w:eastAsia="SimSun"/>
              </w:rPr>
            </w:pPr>
            <w:r w:rsidRPr="00AC3044">
              <w:rPr>
                <w:rFonts w:eastAsia="SimSun"/>
              </w:rPr>
              <w:t xml:space="preserve">10 мг/кг </w:t>
            </w:r>
          </w:p>
        </w:tc>
        <w:tc>
          <w:tcPr>
            <w:tcW w:w="1418" w:type="dxa"/>
            <w:vAlign w:val="center"/>
          </w:tcPr>
          <w:p w14:paraId="23740837" w14:textId="77777777" w:rsidR="008143D9" w:rsidRPr="00AC3044" w:rsidRDefault="008143D9" w:rsidP="005A428D">
            <w:pPr>
              <w:rPr>
                <w:rFonts w:eastAsia="SimSun"/>
              </w:rPr>
            </w:pPr>
            <w:r w:rsidRPr="00AC3044">
              <w:rPr>
                <w:rFonts w:eastAsia="SimSun"/>
              </w:rPr>
              <w:t>С -5 дня по -3 день</w:t>
            </w:r>
          </w:p>
        </w:tc>
        <w:tc>
          <w:tcPr>
            <w:tcW w:w="2268" w:type="dxa"/>
            <w:vAlign w:val="center"/>
          </w:tcPr>
          <w:p w14:paraId="356BE2D3" w14:textId="77777777" w:rsidR="008143D9" w:rsidRPr="00470D3D" w:rsidRDefault="008143D9" w:rsidP="005A428D">
            <w:pPr>
              <w:rPr>
                <w:rFonts w:eastAsia="SimSun"/>
              </w:rPr>
            </w:pPr>
            <w:r w:rsidRPr="00AC3044">
              <w:rPr>
                <w:rFonts w:eastAsia="SimSun"/>
              </w:rPr>
              <w:t xml:space="preserve">Внутрь, суммарная суточная доза разделяется на 4 приема с интервалом 6 часов. </w:t>
            </w:r>
            <w:r w:rsidRPr="00470D3D">
              <w:rPr>
                <w:rFonts w:eastAsia="SimSun"/>
              </w:rPr>
              <w:t>День -6: бусульфан разделяется на 2 приема с интервалом 6 часов, в вечернее время (18.00, 24.00)</w:t>
            </w:r>
          </w:p>
        </w:tc>
      </w:tr>
      <w:tr w:rsidR="008143D9" w:rsidRPr="00AC3044" w14:paraId="306273BC" w14:textId="77777777" w:rsidTr="005A428D">
        <w:trPr>
          <w:cantSplit/>
          <w:trHeight w:val="636"/>
        </w:trPr>
        <w:tc>
          <w:tcPr>
            <w:tcW w:w="959" w:type="dxa"/>
            <w:vMerge w:val="restart"/>
            <w:textDirection w:val="btLr"/>
            <w:vAlign w:val="center"/>
          </w:tcPr>
          <w:p w14:paraId="46BA5F12" w14:textId="77777777" w:rsidR="008143D9" w:rsidRPr="00AC3044" w:rsidRDefault="008143D9" w:rsidP="005A428D">
            <w:pPr>
              <w:rPr>
                <w:rFonts w:eastAsia="SimSun"/>
              </w:rPr>
            </w:pPr>
            <w:r w:rsidRPr="00AC3044">
              <w:rPr>
                <w:rFonts w:eastAsia="SimSun"/>
              </w:rPr>
              <w:t>Профилактика РТПХ</w:t>
            </w:r>
          </w:p>
        </w:tc>
        <w:tc>
          <w:tcPr>
            <w:tcW w:w="1843" w:type="dxa"/>
            <w:vAlign w:val="center"/>
          </w:tcPr>
          <w:p w14:paraId="76DE0C3A" w14:textId="77777777" w:rsidR="008143D9" w:rsidRPr="00AC3044" w:rsidRDefault="008143D9" w:rsidP="005A428D">
            <w:pPr>
              <w:rPr>
                <w:rFonts w:eastAsia="SimSun"/>
              </w:rPr>
            </w:pPr>
            <w:r w:rsidRPr="00AC3044">
              <w:rPr>
                <w:rFonts w:eastAsia="SimSun"/>
              </w:rPr>
              <w:t>Циклофосфамид</w:t>
            </w:r>
          </w:p>
        </w:tc>
        <w:tc>
          <w:tcPr>
            <w:tcW w:w="1417" w:type="dxa"/>
            <w:vAlign w:val="center"/>
          </w:tcPr>
          <w:p w14:paraId="3F881358" w14:textId="77777777" w:rsidR="008143D9" w:rsidRPr="00AC3044" w:rsidRDefault="008143D9" w:rsidP="005A428D">
            <w:pPr>
              <w:rPr>
                <w:rFonts w:eastAsia="SimSun"/>
              </w:rPr>
            </w:pPr>
            <w:r w:rsidRPr="00AC3044">
              <w:rPr>
                <w:rFonts w:eastAsia="SimSun"/>
              </w:rPr>
              <w:t>50 мг/кг</w:t>
            </w:r>
          </w:p>
        </w:tc>
        <w:tc>
          <w:tcPr>
            <w:tcW w:w="1701" w:type="dxa"/>
            <w:vAlign w:val="center"/>
          </w:tcPr>
          <w:p w14:paraId="625ADDA0" w14:textId="77777777" w:rsidR="008143D9" w:rsidRPr="00AC3044" w:rsidRDefault="008143D9" w:rsidP="005A428D">
            <w:pPr>
              <w:rPr>
                <w:rFonts w:eastAsia="SimSun"/>
              </w:rPr>
            </w:pPr>
            <w:r w:rsidRPr="00AC3044">
              <w:rPr>
                <w:rFonts w:eastAsia="SimSun"/>
              </w:rPr>
              <w:t>100 мг/кг</w:t>
            </w:r>
          </w:p>
        </w:tc>
        <w:tc>
          <w:tcPr>
            <w:tcW w:w="1418" w:type="dxa"/>
            <w:vAlign w:val="center"/>
          </w:tcPr>
          <w:p w14:paraId="52F527FA" w14:textId="77777777" w:rsidR="008143D9" w:rsidRPr="00AC3044" w:rsidRDefault="008143D9" w:rsidP="005A428D">
            <w:pPr>
              <w:rPr>
                <w:rFonts w:eastAsia="SimSun"/>
              </w:rPr>
            </w:pPr>
            <w:r w:rsidRPr="00AC3044">
              <w:rPr>
                <w:rFonts w:eastAsia="SimSun"/>
              </w:rPr>
              <w:t>С +3 дня по +4 день</w:t>
            </w:r>
          </w:p>
        </w:tc>
        <w:tc>
          <w:tcPr>
            <w:tcW w:w="2268" w:type="dxa"/>
            <w:vAlign w:val="center"/>
          </w:tcPr>
          <w:p w14:paraId="220B8E65" w14:textId="77777777" w:rsidR="008143D9" w:rsidRPr="00AC3044" w:rsidRDefault="008143D9" w:rsidP="005A428D">
            <w:pPr>
              <w:rPr>
                <w:rFonts w:eastAsia="SimSun"/>
              </w:rPr>
            </w:pPr>
            <w:r w:rsidRPr="00AC3044">
              <w:rPr>
                <w:rFonts w:eastAsia="SimSun"/>
              </w:rPr>
              <w:t>В/в, в течение 2 часов</w:t>
            </w:r>
          </w:p>
        </w:tc>
      </w:tr>
      <w:tr w:rsidR="008143D9" w:rsidRPr="00AC3044" w14:paraId="421806CF" w14:textId="77777777" w:rsidTr="005A428D">
        <w:trPr>
          <w:cantSplit/>
          <w:trHeight w:val="688"/>
        </w:trPr>
        <w:tc>
          <w:tcPr>
            <w:tcW w:w="959" w:type="dxa"/>
            <w:vMerge/>
            <w:textDirection w:val="btLr"/>
            <w:vAlign w:val="center"/>
          </w:tcPr>
          <w:p w14:paraId="4BFED23B" w14:textId="77777777" w:rsidR="008143D9" w:rsidRPr="00AC3044" w:rsidRDefault="008143D9" w:rsidP="005A428D">
            <w:pPr>
              <w:rPr>
                <w:rFonts w:eastAsia="SimSun"/>
              </w:rPr>
            </w:pPr>
          </w:p>
        </w:tc>
        <w:tc>
          <w:tcPr>
            <w:tcW w:w="1843" w:type="dxa"/>
            <w:vAlign w:val="center"/>
          </w:tcPr>
          <w:p w14:paraId="09D40099" w14:textId="77777777" w:rsidR="008143D9" w:rsidRPr="00AC3044" w:rsidRDefault="008143D9" w:rsidP="005A428D">
            <w:pPr>
              <w:rPr>
                <w:rFonts w:eastAsia="SimSun"/>
              </w:rPr>
            </w:pPr>
            <w:r w:rsidRPr="00AC3044">
              <w:rPr>
                <w:rFonts w:eastAsia="SimSun"/>
              </w:rPr>
              <w:t>Руксолитиниб</w:t>
            </w:r>
          </w:p>
        </w:tc>
        <w:tc>
          <w:tcPr>
            <w:tcW w:w="1417" w:type="dxa"/>
            <w:vAlign w:val="center"/>
          </w:tcPr>
          <w:p w14:paraId="252794EC" w14:textId="77777777" w:rsidR="008143D9" w:rsidRPr="00AC3044" w:rsidRDefault="008143D9" w:rsidP="005A428D">
            <w:pPr>
              <w:rPr>
                <w:rFonts w:eastAsia="SimSun"/>
              </w:rPr>
            </w:pPr>
            <w:r w:rsidRPr="00AC3044">
              <w:rPr>
                <w:rFonts w:eastAsia="SimSun"/>
              </w:rPr>
              <w:t>45 мг</w:t>
            </w:r>
          </w:p>
        </w:tc>
        <w:tc>
          <w:tcPr>
            <w:tcW w:w="1701" w:type="dxa"/>
            <w:vAlign w:val="center"/>
          </w:tcPr>
          <w:p w14:paraId="7A88E312" w14:textId="77777777" w:rsidR="008143D9" w:rsidRPr="00AC3044" w:rsidRDefault="008143D9" w:rsidP="005A428D">
            <w:pPr>
              <w:rPr>
                <w:rFonts w:eastAsia="SimSun"/>
              </w:rPr>
            </w:pPr>
            <w:r w:rsidRPr="00AC3044">
              <w:rPr>
                <w:rFonts w:eastAsia="SimSun"/>
              </w:rPr>
              <w:t>270 мг</w:t>
            </w:r>
          </w:p>
        </w:tc>
        <w:tc>
          <w:tcPr>
            <w:tcW w:w="1418" w:type="dxa"/>
            <w:vAlign w:val="center"/>
          </w:tcPr>
          <w:p w14:paraId="707C125C" w14:textId="77777777" w:rsidR="008143D9" w:rsidRPr="00AC3044" w:rsidRDefault="008143D9" w:rsidP="005A428D">
            <w:pPr>
              <w:rPr>
                <w:rFonts w:eastAsia="SimSun"/>
              </w:rPr>
            </w:pPr>
            <w:r w:rsidRPr="00AC3044">
              <w:rPr>
                <w:rFonts w:eastAsia="SimSun"/>
              </w:rPr>
              <w:t xml:space="preserve">С -7 дня по -2 день </w:t>
            </w:r>
          </w:p>
        </w:tc>
        <w:tc>
          <w:tcPr>
            <w:tcW w:w="2268" w:type="dxa"/>
            <w:vAlign w:val="center"/>
          </w:tcPr>
          <w:p w14:paraId="62D9581E" w14:textId="77777777" w:rsidR="008143D9" w:rsidRPr="00AC3044" w:rsidRDefault="008143D9" w:rsidP="005A428D">
            <w:pPr>
              <w:rPr>
                <w:rFonts w:eastAsia="SimSun"/>
              </w:rPr>
            </w:pPr>
            <w:r w:rsidRPr="00AC3044">
              <w:rPr>
                <w:rFonts w:eastAsia="SimSun"/>
              </w:rPr>
              <w:t xml:space="preserve">Внутрь суточную дозу </w:t>
            </w:r>
          </w:p>
          <w:p w14:paraId="47166B1D" w14:textId="77777777" w:rsidR="008143D9" w:rsidRPr="00AC3044" w:rsidRDefault="008143D9" w:rsidP="005A428D">
            <w:pPr>
              <w:rPr>
                <w:rFonts w:eastAsia="SimSun"/>
              </w:rPr>
            </w:pPr>
            <w:r w:rsidRPr="00AC3044">
              <w:rPr>
                <w:rFonts w:eastAsia="SimSun"/>
              </w:rPr>
              <w:t>за 3 приема</w:t>
            </w:r>
          </w:p>
        </w:tc>
      </w:tr>
      <w:tr w:rsidR="008143D9" w:rsidRPr="00AC3044" w14:paraId="01EB2A9B" w14:textId="77777777" w:rsidTr="005A428D">
        <w:trPr>
          <w:cantSplit/>
          <w:trHeight w:val="839"/>
        </w:trPr>
        <w:tc>
          <w:tcPr>
            <w:tcW w:w="959" w:type="dxa"/>
            <w:vMerge/>
            <w:textDirection w:val="btLr"/>
            <w:vAlign w:val="center"/>
          </w:tcPr>
          <w:p w14:paraId="2ECA13C8" w14:textId="77777777" w:rsidR="008143D9" w:rsidRPr="00AC3044" w:rsidRDefault="008143D9" w:rsidP="005A428D">
            <w:pPr>
              <w:rPr>
                <w:rFonts w:eastAsia="SimSun"/>
              </w:rPr>
            </w:pPr>
          </w:p>
        </w:tc>
        <w:tc>
          <w:tcPr>
            <w:tcW w:w="1843" w:type="dxa"/>
            <w:vAlign w:val="center"/>
          </w:tcPr>
          <w:p w14:paraId="1965BEAB" w14:textId="77777777" w:rsidR="008143D9" w:rsidRPr="00AC3044" w:rsidRDefault="008143D9" w:rsidP="005A428D">
            <w:pPr>
              <w:rPr>
                <w:rFonts w:eastAsia="SimSun"/>
              </w:rPr>
            </w:pPr>
            <w:r w:rsidRPr="00AC3044">
              <w:rPr>
                <w:rFonts w:eastAsia="SimSun"/>
              </w:rPr>
              <w:t xml:space="preserve">Руксолитиниб </w:t>
            </w:r>
          </w:p>
        </w:tc>
        <w:tc>
          <w:tcPr>
            <w:tcW w:w="1417" w:type="dxa"/>
            <w:vAlign w:val="center"/>
          </w:tcPr>
          <w:p w14:paraId="6F5065E2" w14:textId="77777777" w:rsidR="008143D9" w:rsidRPr="00AC3044" w:rsidRDefault="008143D9" w:rsidP="005A428D">
            <w:pPr>
              <w:rPr>
                <w:rFonts w:eastAsia="SimSun"/>
              </w:rPr>
            </w:pPr>
            <w:r w:rsidRPr="00AC3044">
              <w:rPr>
                <w:rFonts w:eastAsia="SimSun"/>
              </w:rPr>
              <w:t>15 мг</w:t>
            </w:r>
          </w:p>
        </w:tc>
        <w:tc>
          <w:tcPr>
            <w:tcW w:w="1701" w:type="dxa"/>
            <w:vAlign w:val="center"/>
          </w:tcPr>
          <w:p w14:paraId="7A617F0B" w14:textId="77777777" w:rsidR="008143D9" w:rsidRPr="00AC3044" w:rsidRDefault="008143D9" w:rsidP="005A428D">
            <w:pPr>
              <w:rPr>
                <w:rFonts w:eastAsia="SimSun"/>
              </w:rPr>
            </w:pPr>
            <w:r w:rsidRPr="00AC3044">
              <w:rPr>
                <w:rFonts w:eastAsia="SimSun"/>
              </w:rPr>
              <w:t>-</w:t>
            </w:r>
          </w:p>
        </w:tc>
        <w:tc>
          <w:tcPr>
            <w:tcW w:w="1418" w:type="dxa"/>
            <w:vAlign w:val="center"/>
          </w:tcPr>
          <w:p w14:paraId="0953B13A" w14:textId="77777777" w:rsidR="008143D9" w:rsidRPr="00AC3044" w:rsidRDefault="008143D9" w:rsidP="005A428D">
            <w:pPr>
              <w:rPr>
                <w:rFonts w:eastAsia="SimSun"/>
              </w:rPr>
            </w:pPr>
            <w:r w:rsidRPr="00AC3044">
              <w:rPr>
                <w:rFonts w:eastAsia="SimSun"/>
              </w:rPr>
              <w:t>С +5 дня по +100 день</w:t>
            </w:r>
          </w:p>
        </w:tc>
        <w:tc>
          <w:tcPr>
            <w:tcW w:w="2268" w:type="dxa"/>
            <w:vAlign w:val="center"/>
          </w:tcPr>
          <w:p w14:paraId="6AC2A4A8" w14:textId="77777777" w:rsidR="008143D9" w:rsidRPr="00AC3044" w:rsidRDefault="008143D9" w:rsidP="005A428D">
            <w:pPr>
              <w:rPr>
                <w:rFonts w:eastAsia="SimSun"/>
              </w:rPr>
            </w:pPr>
            <w:r w:rsidRPr="00AC3044">
              <w:rPr>
                <w:rFonts w:eastAsia="SimSun"/>
              </w:rPr>
              <w:t xml:space="preserve">Внутрь суточную дозу </w:t>
            </w:r>
          </w:p>
          <w:p w14:paraId="4833AFC6" w14:textId="77777777" w:rsidR="008143D9" w:rsidRPr="00AC3044" w:rsidRDefault="008143D9" w:rsidP="005A428D">
            <w:pPr>
              <w:rPr>
                <w:rFonts w:eastAsia="SimSun"/>
              </w:rPr>
            </w:pPr>
            <w:r w:rsidRPr="00AC3044">
              <w:rPr>
                <w:rFonts w:eastAsia="SimSun"/>
              </w:rPr>
              <w:t>за 2 приема</w:t>
            </w:r>
          </w:p>
        </w:tc>
      </w:tr>
    </w:tbl>
    <w:p w14:paraId="35CE3076" w14:textId="77777777" w:rsidR="008143D9" w:rsidRDefault="008143D9" w:rsidP="008143D9">
      <w:pPr>
        <w:rPr>
          <w:rFonts w:eastAsia="SimSun"/>
        </w:rPr>
      </w:pPr>
      <w:bookmarkStart w:id="135" w:name="_Toc44401171"/>
    </w:p>
    <w:p w14:paraId="4225E288" w14:textId="77777777" w:rsidR="008143D9" w:rsidRPr="00C07B2E" w:rsidRDefault="008143D9" w:rsidP="008143D9">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1.2.13  – Flu180+Bu10 / PT-Cy</w:t>
      </w:r>
      <w:bookmarkEnd w:id="135"/>
    </w:p>
    <w:tbl>
      <w:tblPr>
        <w:tblW w:w="9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66"/>
        <w:gridCol w:w="1802"/>
        <w:gridCol w:w="1495"/>
        <w:gridCol w:w="1695"/>
        <w:gridCol w:w="1408"/>
        <w:gridCol w:w="2278"/>
      </w:tblGrid>
      <w:tr w:rsidR="008143D9" w:rsidRPr="00AC3044" w14:paraId="260FED6F" w14:textId="77777777" w:rsidTr="005A428D">
        <w:trPr>
          <w:cantSplit/>
          <w:trHeight w:val="20"/>
          <w:tblHeader/>
        </w:trPr>
        <w:tc>
          <w:tcPr>
            <w:tcW w:w="866" w:type="dxa"/>
            <w:vAlign w:val="center"/>
          </w:tcPr>
          <w:p w14:paraId="427046B6" w14:textId="77777777" w:rsidR="008143D9" w:rsidRPr="00470D3D" w:rsidRDefault="008143D9" w:rsidP="005A428D">
            <w:pPr>
              <w:rPr>
                <w:rFonts w:eastAsia="SimSun"/>
              </w:rPr>
            </w:pPr>
          </w:p>
        </w:tc>
        <w:tc>
          <w:tcPr>
            <w:tcW w:w="1802" w:type="dxa"/>
            <w:vAlign w:val="center"/>
          </w:tcPr>
          <w:p w14:paraId="68557CA5" w14:textId="77777777" w:rsidR="008143D9" w:rsidRPr="00AC3044" w:rsidRDefault="008143D9" w:rsidP="005A428D">
            <w:pPr>
              <w:rPr>
                <w:rFonts w:eastAsia="SimSun"/>
              </w:rPr>
            </w:pPr>
            <w:r w:rsidRPr="00AC3044">
              <w:rPr>
                <w:rFonts w:eastAsia="SimSun"/>
              </w:rPr>
              <w:t>Препарат</w:t>
            </w:r>
          </w:p>
        </w:tc>
        <w:tc>
          <w:tcPr>
            <w:tcW w:w="1495" w:type="dxa"/>
            <w:vAlign w:val="center"/>
          </w:tcPr>
          <w:p w14:paraId="329BBF8D" w14:textId="77777777" w:rsidR="008143D9" w:rsidRPr="00AC3044" w:rsidRDefault="008143D9" w:rsidP="005A428D">
            <w:pPr>
              <w:rPr>
                <w:rFonts w:eastAsia="SimSun"/>
              </w:rPr>
            </w:pPr>
            <w:r w:rsidRPr="00AC3044">
              <w:rPr>
                <w:rFonts w:eastAsia="SimSun"/>
              </w:rPr>
              <w:t>Суточная доза</w:t>
            </w:r>
          </w:p>
        </w:tc>
        <w:tc>
          <w:tcPr>
            <w:tcW w:w="1695" w:type="dxa"/>
            <w:vAlign w:val="center"/>
          </w:tcPr>
          <w:p w14:paraId="1C10567F" w14:textId="77777777" w:rsidR="008143D9" w:rsidRPr="00AC3044" w:rsidRDefault="008143D9" w:rsidP="005A428D">
            <w:pPr>
              <w:rPr>
                <w:rFonts w:eastAsia="SimSun"/>
              </w:rPr>
            </w:pPr>
            <w:r w:rsidRPr="00AC3044">
              <w:rPr>
                <w:rFonts w:eastAsia="SimSun"/>
              </w:rPr>
              <w:t>Курсовая доза</w:t>
            </w:r>
          </w:p>
        </w:tc>
        <w:tc>
          <w:tcPr>
            <w:tcW w:w="1408" w:type="dxa"/>
            <w:vAlign w:val="center"/>
          </w:tcPr>
          <w:p w14:paraId="39D30A8C" w14:textId="77777777" w:rsidR="008143D9" w:rsidRPr="00AC3044" w:rsidRDefault="008143D9" w:rsidP="005A428D">
            <w:pPr>
              <w:rPr>
                <w:rFonts w:eastAsia="SimSun"/>
              </w:rPr>
            </w:pPr>
            <w:r w:rsidRPr="00AC3044">
              <w:rPr>
                <w:rFonts w:eastAsia="SimSun"/>
              </w:rPr>
              <w:t>Дни введения</w:t>
            </w:r>
          </w:p>
        </w:tc>
        <w:tc>
          <w:tcPr>
            <w:tcW w:w="2278" w:type="dxa"/>
            <w:vAlign w:val="center"/>
          </w:tcPr>
          <w:p w14:paraId="7048707A"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35F5B215" w14:textId="77777777" w:rsidTr="005A428D">
        <w:trPr>
          <w:cantSplit/>
          <w:trHeight w:val="20"/>
        </w:trPr>
        <w:tc>
          <w:tcPr>
            <w:tcW w:w="866" w:type="dxa"/>
            <w:vMerge w:val="restart"/>
            <w:textDirection w:val="btLr"/>
            <w:vAlign w:val="center"/>
          </w:tcPr>
          <w:p w14:paraId="4C149191" w14:textId="77777777" w:rsidR="008143D9" w:rsidRPr="00AC3044" w:rsidRDefault="008143D9" w:rsidP="005A428D">
            <w:pPr>
              <w:rPr>
                <w:rFonts w:eastAsia="SimSun"/>
              </w:rPr>
            </w:pPr>
            <w:r w:rsidRPr="00AC3044">
              <w:rPr>
                <w:rFonts w:eastAsia="SimSun"/>
              </w:rPr>
              <w:t>Кондиционирование</w:t>
            </w:r>
          </w:p>
        </w:tc>
        <w:tc>
          <w:tcPr>
            <w:tcW w:w="1802" w:type="dxa"/>
            <w:vAlign w:val="center"/>
          </w:tcPr>
          <w:p w14:paraId="4C214423" w14:textId="77777777" w:rsidR="008143D9" w:rsidRPr="00AC3044" w:rsidRDefault="008143D9" w:rsidP="005A428D">
            <w:pPr>
              <w:rPr>
                <w:rFonts w:eastAsia="SimSun"/>
              </w:rPr>
            </w:pPr>
            <w:r w:rsidRPr="00AC3044">
              <w:rPr>
                <w:rFonts w:eastAsia="SimSun"/>
              </w:rPr>
              <w:t xml:space="preserve">Флударабин </w:t>
            </w:r>
          </w:p>
        </w:tc>
        <w:tc>
          <w:tcPr>
            <w:tcW w:w="1495" w:type="dxa"/>
            <w:vAlign w:val="center"/>
          </w:tcPr>
          <w:p w14:paraId="333FD21A" w14:textId="77777777" w:rsidR="008143D9" w:rsidRPr="00AC3044" w:rsidRDefault="008143D9" w:rsidP="005A428D">
            <w:pPr>
              <w:rPr>
                <w:rFonts w:eastAsia="SimSun"/>
              </w:rPr>
            </w:pPr>
            <w:r w:rsidRPr="00AC3044">
              <w:rPr>
                <w:rFonts w:eastAsia="SimSun"/>
              </w:rPr>
              <w:t>30 мг/м</w:t>
            </w:r>
            <w:r w:rsidRPr="001E6DBE">
              <w:rPr>
                <w:rFonts w:eastAsia="SimSun"/>
                <w:vertAlign w:val="superscript"/>
              </w:rPr>
              <w:t>2</w:t>
            </w:r>
          </w:p>
        </w:tc>
        <w:tc>
          <w:tcPr>
            <w:tcW w:w="1695" w:type="dxa"/>
            <w:vAlign w:val="center"/>
          </w:tcPr>
          <w:p w14:paraId="326BEBB0" w14:textId="77777777" w:rsidR="008143D9" w:rsidRPr="00AC3044" w:rsidRDefault="008143D9" w:rsidP="005A428D">
            <w:pPr>
              <w:rPr>
                <w:rFonts w:eastAsia="SimSun"/>
              </w:rPr>
            </w:pPr>
            <w:r w:rsidRPr="00AC3044">
              <w:rPr>
                <w:rFonts w:eastAsia="SimSun"/>
              </w:rPr>
              <w:t>180 мг/м</w:t>
            </w:r>
            <w:r w:rsidRPr="001E6DBE">
              <w:rPr>
                <w:rFonts w:eastAsia="SimSun"/>
                <w:vertAlign w:val="superscript"/>
              </w:rPr>
              <w:t>2</w:t>
            </w:r>
          </w:p>
        </w:tc>
        <w:tc>
          <w:tcPr>
            <w:tcW w:w="1408" w:type="dxa"/>
            <w:vAlign w:val="center"/>
          </w:tcPr>
          <w:p w14:paraId="713D9A46" w14:textId="77777777" w:rsidR="008143D9" w:rsidRPr="00AC3044" w:rsidRDefault="008143D9" w:rsidP="005A428D">
            <w:pPr>
              <w:rPr>
                <w:rFonts w:eastAsia="SimSun"/>
              </w:rPr>
            </w:pPr>
            <w:r w:rsidRPr="00AC3044">
              <w:rPr>
                <w:rFonts w:eastAsia="SimSun"/>
              </w:rPr>
              <w:t>С -7 дня по -2 день</w:t>
            </w:r>
          </w:p>
        </w:tc>
        <w:tc>
          <w:tcPr>
            <w:tcW w:w="2278" w:type="dxa"/>
            <w:vAlign w:val="center"/>
          </w:tcPr>
          <w:p w14:paraId="63545960"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5246D317" w14:textId="77777777" w:rsidTr="005A428D">
        <w:trPr>
          <w:cantSplit/>
          <w:trHeight w:val="1114"/>
        </w:trPr>
        <w:tc>
          <w:tcPr>
            <w:tcW w:w="866" w:type="dxa"/>
            <w:vMerge/>
            <w:vAlign w:val="center"/>
          </w:tcPr>
          <w:p w14:paraId="2DBDB349" w14:textId="77777777" w:rsidR="008143D9" w:rsidRPr="00AC3044" w:rsidRDefault="008143D9" w:rsidP="005A428D">
            <w:pPr>
              <w:rPr>
                <w:rFonts w:eastAsia="SimSun"/>
              </w:rPr>
            </w:pPr>
          </w:p>
        </w:tc>
        <w:tc>
          <w:tcPr>
            <w:tcW w:w="1802" w:type="dxa"/>
            <w:vAlign w:val="center"/>
          </w:tcPr>
          <w:p w14:paraId="6193C152" w14:textId="77777777" w:rsidR="008143D9" w:rsidRPr="00AC3044" w:rsidRDefault="008143D9" w:rsidP="005A428D">
            <w:pPr>
              <w:rPr>
                <w:rFonts w:eastAsia="SimSun"/>
              </w:rPr>
            </w:pPr>
            <w:r w:rsidRPr="00AC3044">
              <w:rPr>
                <w:rFonts w:eastAsia="SimSun"/>
              </w:rPr>
              <w:t>Бусульфан</w:t>
            </w:r>
          </w:p>
        </w:tc>
        <w:tc>
          <w:tcPr>
            <w:tcW w:w="1495" w:type="dxa"/>
            <w:vAlign w:val="center"/>
          </w:tcPr>
          <w:p w14:paraId="7C6C63C4" w14:textId="77777777" w:rsidR="008143D9" w:rsidRPr="00AC3044" w:rsidRDefault="008143D9" w:rsidP="005A428D">
            <w:pPr>
              <w:rPr>
                <w:rFonts w:eastAsia="SimSun"/>
              </w:rPr>
            </w:pPr>
            <w:r w:rsidRPr="00AC3044">
              <w:rPr>
                <w:rFonts w:eastAsia="SimSun"/>
              </w:rPr>
              <w:t xml:space="preserve">4 мг/кг </w:t>
            </w:r>
          </w:p>
        </w:tc>
        <w:tc>
          <w:tcPr>
            <w:tcW w:w="1695" w:type="dxa"/>
            <w:vAlign w:val="center"/>
          </w:tcPr>
          <w:p w14:paraId="653C5581" w14:textId="77777777" w:rsidR="008143D9" w:rsidRPr="00AC3044" w:rsidRDefault="008143D9" w:rsidP="005A428D">
            <w:pPr>
              <w:rPr>
                <w:rFonts w:eastAsia="SimSun"/>
              </w:rPr>
            </w:pPr>
            <w:r w:rsidRPr="00AC3044">
              <w:rPr>
                <w:rFonts w:eastAsia="SimSun"/>
              </w:rPr>
              <w:t xml:space="preserve">10 мг/кг </w:t>
            </w:r>
          </w:p>
        </w:tc>
        <w:tc>
          <w:tcPr>
            <w:tcW w:w="1408" w:type="dxa"/>
            <w:vAlign w:val="center"/>
          </w:tcPr>
          <w:p w14:paraId="56A92714" w14:textId="77777777" w:rsidR="008143D9" w:rsidRPr="00AC3044" w:rsidRDefault="008143D9" w:rsidP="005A428D">
            <w:pPr>
              <w:rPr>
                <w:rFonts w:eastAsia="SimSun"/>
              </w:rPr>
            </w:pPr>
            <w:r w:rsidRPr="00AC3044">
              <w:rPr>
                <w:rFonts w:eastAsia="SimSun"/>
              </w:rPr>
              <w:t>С -5 дня по -3 день</w:t>
            </w:r>
          </w:p>
        </w:tc>
        <w:tc>
          <w:tcPr>
            <w:tcW w:w="2278" w:type="dxa"/>
            <w:vAlign w:val="center"/>
          </w:tcPr>
          <w:p w14:paraId="324D15B7" w14:textId="77777777" w:rsidR="008143D9" w:rsidRPr="00AC3044" w:rsidRDefault="008143D9" w:rsidP="005A428D">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8143D9" w:rsidRPr="00AC3044" w14:paraId="101F4226" w14:textId="77777777" w:rsidTr="005A428D">
        <w:trPr>
          <w:cantSplit/>
          <w:trHeight w:val="1176"/>
        </w:trPr>
        <w:tc>
          <w:tcPr>
            <w:tcW w:w="866" w:type="dxa"/>
            <w:textDirection w:val="btLr"/>
            <w:vAlign w:val="center"/>
          </w:tcPr>
          <w:p w14:paraId="021CE962" w14:textId="77777777" w:rsidR="008143D9" w:rsidRPr="00AC3044" w:rsidRDefault="008143D9" w:rsidP="005A428D">
            <w:pPr>
              <w:rPr>
                <w:rFonts w:eastAsia="SimSun"/>
              </w:rPr>
            </w:pPr>
            <w:r w:rsidRPr="00AC3044">
              <w:rPr>
                <w:rFonts w:eastAsia="SimSun"/>
              </w:rPr>
              <w:t>Профилактика РТПХ</w:t>
            </w:r>
          </w:p>
        </w:tc>
        <w:tc>
          <w:tcPr>
            <w:tcW w:w="1802" w:type="dxa"/>
            <w:vAlign w:val="center"/>
          </w:tcPr>
          <w:p w14:paraId="2A3207C7" w14:textId="77777777" w:rsidR="008143D9" w:rsidRPr="00AC3044" w:rsidRDefault="008143D9" w:rsidP="005A428D">
            <w:pPr>
              <w:rPr>
                <w:rFonts w:eastAsia="SimSun"/>
              </w:rPr>
            </w:pPr>
            <w:r w:rsidRPr="00AC3044">
              <w:rPr>
                <w:rFonts w:eastAsia="SimSun"/>
              </w:rPr>
              <w:t>Циклофосфамид</w:t>
            </w:r>
          </w:p>
        </w:tc>
        <w:tc>
          <w:tcPr>
            <w:tcW w:w="1495" w:type="dxa"/>
            <w:vAlign w:val="center"/>
          </w:tcPr>
          <w:p w14:paraId="5C613975" w14:textId="77777777" w:rsidR="008143D9" w:rsidRPr="00AC3044" w:rsidRDefault="008143D9" w:rsidP="005A428D">
            <w:pPr>
              <w:rPr>
                <w:rFonts w:eastAsia="SimSun"/>
              </w:rPr>
            </w:pPr>
            <w:r w:rsidRPr="00AC3044">
              <w:rPr>
                <w:rFonts w:eastAsia="SimSun"/>
              </w:rPr>
              <w:t>50 мг/кг</w:t>
            </w:r>
          </w:p>
        </w:tc>
        <w:tc>
          <w:tcPr>
            <w:tcW w:w="1695" w:type="dxa"/>
            <w:vAlign w:val="center"/>
          </w:tcPr>
          <w:p w14:paraId="18E61805" w14:textId="77777777" w:rsidR="008143D9" w:rsidRPr="00AC3044" w:rsidRDefault="008143D9" w:rsidP="005A428D">
            <w:pPr>
              <w:rPr>
                <w:rFonts w:eastAsia="SimSun"/>
              </w:rPr>
            </w:pPr>
            <w:r w:rsidRPr="00AC3044">
              <w:rPr>
                <w:rFonts w:eastAsia="SimSun"/>
              </w:rPr>
              <w:t>100 мг/кг</w:t>
            </w:r>
          </w:p>
        </w:tc>
        <w:tc>
          <w:tcPr>
            <w:tcW w:w="1408" w:type="dxa"/>
            <w:vAlign w:val="center"/>
          </w:tcPr>
          <w:p w14:paraId="4E343B7A" w14:textId="77777777" w:rsidR="008143D9" w:rsidRPr="00AC3044" w:rsidRDefault="008143D9" w:rsidP="005A428D">
            <w:pPr>
              <w:rPr>
                <w:rFonts w:eastAsia="SimSun"/>
              </w:rPr>
            </w:pPr>
            <w:r w:rsidRPr="00AC3044">
              <w:rPr>
                <w:rFonts w:eastAsia="SimSun"/>
              </w:rPr>
              <w:t>С +3 дня по +4 день</w:t>
            </w:r>
          </w:p>
        </w:tc>
        <w:tc>
          <w:tcPr>
            <w:tcW w:w="2278" w:type="dxa"/>
            <w:vAlign w:val="center"/>
          </w:tcPr>
          <w:p w14:paraId="44DA91FC" w14:textId="77777777" w:rsidR="008143D9" w:rsidRPr="00AC3044" w:rsidRDefault="008143D9" w:rsidP="005A428D">
            <w:pPr>
              <w:rPr>
                <w:rFonts w:eastAsia="SimSun"/>
              </w:rPr>
            </w:pPr>
            <w:r w:rsidRPr="00AC3044">
              <w:rPr>
                <w:rFonts w:eastAsia="SimSun"/>
              </w:rPr>
              <w:t>В/в, в течение 2 часов</w:t>
            </w:r>
          </w:p>
        </w:tc>
      </w:tr>
    </w:tbl>
    <w:p w14:paraId="1A3957DD" w14:textId="77777777" w:rsidR="008143D9" w:rsidRPr="00C07B2E" w:rsidRDefault="008143D9" w:rsidP="008143D9">
      <w:pPr>
        <w:rPr>
          <w:rFonts w:eastAsia="SimSun"/>
        </w:rPr>
      </w:pPr>
    </w:p>
    <w:p w14:paraId="24EC8BA2" w14:textId="77777777" w:rsidR="008143D9" w:rsidRPr="00C07B2E" w:rsidRDefault="008143D9" w:rsidP="008143D9">
      <w:pPr>
        <w:rPr>
          <w:rFonts w:eastAsia="SimSun"/>
        </w:rPr>
      </w:pPr>
      <w:bookmarkStart w:id="136" w:name="_Toc44401172"/>
      <w:r w:rsidRPr="00042499">
        <w:rPr>
          <w:rFonts w:eastAsia="SimSun"/>
        </w:rPr>
        <w:t>Таблица</w:t>
      </w:r>
      <w:r w:rsidRPr="00C07B2E">
        <w:rPr>
          <w:rFonts w:eastAsia="SimSun"/>
        </w:rPr>
        <w:t xml:space="preserve"> </w:t>
      </w:r>
      <w:r>
        <w:rPr>
          <w:rFonts w:eastAsia="SimSun"/>
        </w:rPr>
        <w:t>5.</w:t>
      </w:r>
      <w:r w:rsidRPr="00C07B2E">
        <w:rPr>
          <w:rFonts w:eastAsia="SimSun"/>
        </w:rPr>
        <w:t>1.2.14  – Flu180+Bu10 / PT-Cy+Tx+MMF30</w:t>
      </w:r>
      <w:bookmarkEnd w:id="136"/>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8143D9" w:rsidRPr="00AC3044" w14:paraId="409F92B9" w14:textId="77777777" w:rsidTr="005A428D">
        <w:trPr>
          <w:cantSplit/>
          <w:trHeight w:val="20"/>
          <w:tblHeader/>
        </w:trPr>
        <w:tc>
          <w:tcPr>
            <w:tcW w:w="959" w:type="dxa"/>
            <w:vAlign w:val="center"/>
          </w:tcPr>
          <w:p w14:paraId="21B5913B" w14:textId="77777777" w:rsidR="008143D9" w:rsidRPr="00470D3D" w:rsidRDefault="008143D9" w:rsidP="005A428D">
            <w:pPr>
              <w:rPr>
                <w:rFonts w:eastAsia="SimSun"/>
              </w:rPr>
            </w:pPr>
          </w:p>
        </w:tc>
        <w:tc>
          <w:tcPr>
            <w:tcW w:w="1701" w:type="dxa"/>
            <w:vAlign w:val="center"/>
          </w:tcPr>
          <w:p w14:paraId="4D9153EF" w14:textId="77777777" w:rsidR="008143D9" w:rsidRPr="00AC3044" w:rsidRDefault="008143D9" w:rsidP="005A428D">
            <w:pPr>
              <w:rPr>
                <w:rFonts w:eastAsia="SimSun"/>
              </w:rPr>
            </w:pPr>
            <w:r w:rsidRPr="00AC3044">
              <w:rPr>
                <w:rFonts w:eastAsia="SimSun"/>
              </w:rPr>
              <w:t>Препарат</w:t>
            </w:r>
          </w:p>
        </w:tc>
        <w:tc>
          <w:tcPr>
            <w:tcW w:w="1559" w:type="dxa"/>
            <w:vAlign w:val="center"/>
          </w:tcPr>
          <w:p w14:paraId="5B4DC6F2" w14:textId="77777777" w:rsidR="008143D9" w:rsidRPr="00AC3044" w:rsidRDefault="008143D9" w:rsidP="005A428D">
            <w:pPr>
              <w:rPr>
                <w:rFonts w:eastAsia="SimSun"/>
              </w:rPr>
            </w:pPr>
            <w:r w:rsidRPr="00AC3044">
              <w:rPr>
                <w:rFonts w:eastAsia="SimSun"/>
              </w:rPr>
              <w:t>Суточная доза</w:t>
            </w:r>
          </w:p>
        </w:tc>
        <w:tc>
          <w:tcPr>
            <w:tcW w:w="1701" w:type="dxa"/>
            <w:vAlign w:val="center"/>
          </w:tcPr>
          <w:p w14:paraId="51D62AEC" w14:textId="77777777" w:rsidR="008143D9" w:rsidRPr="00AC3044" w:rsidRDefault="008143D9" w:rsidP="005A428D">
            <w:pPr>
              <w:rPr>
                <w:rFonts w:eastAsia="SimSun"/>
              </w:rPr>
            </w:pPr>
            <w:r w:rsidRPr="00AC3044">
              <w:rPr>
                <w:rFonts w:eastAsia="SimSun"/>
              </w:rPr>
              <w:t>Курсовая доза</w:t>
            </w:r>
          </w:p>
        </w:tc>
        <w:tc>
          <w:tcPr>
            <w:tcW w:w="1418" w:type="dxa"/>
            <w:vAlign w:val="center"/>
          </w:tcPr>
          <w:p w14:paraId="203986FD" w14:textId="77777777" w:rsidR="008143D9" w:rsidRPr="00AC3044" w:rsidRDefault="008143D9" w:rsidP="005A428D">
            <w:pPr>
              <w:rPr>
                <w:rFonts w:eastAsia="SimSun"/>
              </w:rPr>
            </w:pPr>
            <w:r w:rsidRPr="00AC3044">
              <w:rPr>
                <w:rFonts w:eastAsia="SimSun"/>
              </w:rPr>
              <w:t>Дни введения</w:t>
            </w:r>
          </w:p>
        </w:tc>
        <w:tc>
          <w:tcPr>
            <w:tcW w:w="2268" w:type="dxa"/>
            <w:vAlign w:val="center"/>
          </w:tcPr>
          <w:p w14:paraId="59FC56EC"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3131ACA5" w14:textId="77777777" w:rsidTr="005A428D">
        <w:trPr>
          <w:cantSplit/>
          <w:trHeight w:val="20"/>
        </w:trPr>
        <w:tc>
          <w:tcPr>
            <w:tcW w:w="959" w:type="dxa"/>
            <w:vMerge w:val="restart"/>
            <w:textDirection w:val="btLr"/>
            <w:vAlign w:val="center"/>
          </w:tcPr>
          <w:p w14:paraId="44CC87C4" w14:textId="77777777" w:rsidR="008143D9" w:rsidRPr="00AC3044" w:rsidRDefault="008143D9" w:rsidP="005A428D">
            <w:pPr>
              <w:rPr>
                <w:rFonts w:eastAsia="SimSun"/>
              </w:rPr>
            </w:pPr>
            <w:r w:rsidRPr="00AC3044">
              <w:rPr>
                <w:rFonts w:eastAsia="SimSun"/>
              </w:rPr>
              <w:t>Кондиционирование</w:t>
            </w:r>
          </w:p>
        </w:tc>
        <w:tc>
          <w:tcPr>
            <w:tcW w:w="1701" w:type="dxa"/>
            <w:vAlign w:val="center"/>
          </w:tcPr>
          <w:p w14:paraId="75814BC2" w14:textId="77777777" w:rsidR="008143D9" w:rsidRPr="00AC3044" w:rsidRDefault="008143D9" w:rsidP="005A428D">
            <w:pPr>
              <w:rPr>
                <w:rFonts w:eastAsia="SimSun"/>
              </w:rPr>
            </w:pPr>
            <w:r w:rsidRPr="00AC3044">
              <w:rPr>
                <w:rFonts w:eastAsia="SimSun"/>
              </w:rPr>
              <w:t xml:space="preserve">Флударабин </w:t>
            </w:r>
          </w:p>
        </w:tc>
        <w:tc>
          <w:tcPr>
            <w:tcW w:w="1559" w:type="dxa"/>
            <w:vAlign w:val="center"/>
          </w:tcPr>
          <w:p w14:paraId="7C443E58" w14:textId="77777777" w:rsidR="008143D9" w:rsidRPr="00AC3044" w:rsidRDefault="008143D9" w:rsidP="005A428D">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6118B352" w14:textId="77777777" w:rsidR="008143D9" w:rsidRPr="00AC3044" w:rsidRDefault="008143D9" w:rsidP="005A428D">
            <w:pPr>
              <w:rPr>
                <w:rFonts w:eastAsia="SimSun"/>
              </w:rPr>
            </w:pPr>
            <w:r w:rsidRPr="00AC3044">
              <w:rPr>
                <w:rFonts w:eastAsia="SimSun"/>
              </w:rPr>
              <w:t>180 мг/м</w:t>
            </w:r>
            <w:r w:rsidRPr="001E6DBE">
              <w:rPr>
                <w:rFonts w:eastAsia="SimSun"/>
                <w:vertAlign w:val="superscript"/>
              </w:rPr>
              <w:t>2</w:t>
            </w:r>
          </w:p>
        </w:tc>
        <w:tc>
          <w:tcPr>
            <w:tcW w:w="1418" w:type="dxa"/>
            <w:vAlign w:val="center"/>
          </w:tcPr>
          <w:p w14:paraId="0BA44CA6" w14:textId="77777777" w:rsidR="008143D9" w:rsidRPr="00AC3044" w:rsidRDefault="008143D9" w:rsidP="005A428D">
            <w:pPr>
              <w:rPr>
                <w:rFonts w:eastAsia="SimSun"/>
              </w:rPr>
            </w:pPr>
            <w:r w:rsidRPr="00AC3044">
              <w:rPr>
                <w:rFonts w:eastAsia="SimSun"/>
              </w:rPr>
              <w:t>С -7 дня по -2 день</w:t>
            </w:r>
          </w:p>
        </w:tc>
        <w:tc>
          <w:tcPr>
            <w:tcW w:w="2268" w:type="dxa"/>
            <w:vAlign w:val="center"/>
          </w:tcPr>
          <w:p w14:paraId="391D3972"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0354C705" w14:textId="77777777" w:rsidTr="005A428D">
        <w:trPr>
          <w:cantSplit/>
          <w:trHeight w:val="1207"/>
        </w:trPr>
        <w:tc>
          <w:tcPr>
            <w:tcW w:w="959" w:type="dxa"/>
            <w:vMerge/>
            <w:vAlign w:val="center"/>
          </w:tcPr>
          <w:p w14:paraId="59B914CD" w14:textId="77777777" w:rsidR="008143D9" w:rsidRPr="00AC3044" w:rsidRDefault="008143D9" w:rsidP="005A428D">
            <w:pPr>
              <w:rPr>
                <w:rFonts w:eastAsia="SimSun"/>
              </w:rPr>
            </w:pPr>
          </w:p>
        </w:tc>
        <w:tc>
          <w:tcPr>
            <w:tcW w:w="1701" w:type="dxa"/>
            <w:vAlign w:val="center"/>
          </w:tcPr>
          <w:p w14:paraId="2C5FD4AA" w14:textId="77777777" w:rsidR="008143D9" w:rsidRPr="00AC3044" w:rsidRDefault="008143D9" w:rsidP="005A428D">
            <w:pPr>
              <w:rPr>
                <w:rFonts w:eastAsia="SimSun"/>
              </w:rPr>
            </w:pPr>
            <w:r w:rsidRPr="00AC3044">
              <w:rPr>
                <w:rFonts w:eastAsia="SimSun"/>
              </w:rPr>
              <w:t>Бусульфан</w:t>
            </w:r>
          </w:p>
        </w:tc>
        <w:tc>
          <w:tcPr>
            <w:tcW w:w="1559" w:type="dxa"/>
            <w:vAlign w:val="center"/>
          </w:tcPr>
          <w:p w14:paraId="736E4F94" w14:textId="77777777" w:rsidR="008143D9" w:rsidRPr="00AC3044" w:rsidRDefault="008143D9" w:rsidP="005A428D">
            <w:pPr>
              <w:rPr>
                <w:rFonts w:eastAsia="SimSun"/>
              </w:rPr>
            </w:pPr>
            <w:r w:rsidRPr="00AC3044">
              <w:rPr>
                <w:rFonts w:eastAsia="SimSun"/>
              </w:rPr>
              <w:t xml:space="preserve">4 мг/кг </w:t>
            </w:r>
          </w:p>
        </w:tc>
        <w:tc>
          <w:tcPr>
            <w:tcW w:w="1701" w:type="dxa"/>
            <w:vAlign w:val="center"/>
          </w:tcPr>
          <w:p w14:paraId="69EFC817" w14:textId="77777777" w:rsidR="008143D9" w:rsidRPr="00AC3044" w:rsidRDefault="008143D9" w:rsidP="005A428D">
            <w:pPr>
              <w:rPr>
                <w:rFonts w:eastAsia="SimSun"/>
              </w:rPr>
            </w:pPr>
            <w:r w:rsidRPr="00AC3044">
              <w:rPr>
                <w:rFonts w:eastAsia="SimSun"/>
              </w:rPr>
              <w:t xml:space="preserve">10 мг/кг </w:t>
            </w:r>
          </w:p>
        </w:tc>
        <w:tc>
          <w:tcPr>
            <w:tcW w:w="1418" w:type="dxa"/>
            <w:vAlign w:val="center"/>
          </w:tcPr>
          <w:p w14:paraId="2EDC06C7" w14:textId="77777777" w:rsidR="008143D9" w:rsidRPr="00AC3044" w:rsidRDefault="008143D9" w:rsidP="005A428D">
            <w:pPr>
              <w:rPr>
                <w:rFonts w:eastAsia="SimSun"/>
              </w:rPr>
            </w:pPr>
            <w:r w:rsidRPr="00AC3044">
              <w:rPr>
                <w:rFonts w:eastAsia="SimSun"/>
              </w:rPr>
              <w:t>С -5 дня по -3 день</w:t>
            </w:r>
          </w:p>
        </w:tc>
        <w:tc>
          <w:tcPr>
            <w:tcW w:w="2268" w:type="dxa"/>
            <w:vAlign w:val="center"/>
          </w:tcPr>
          <w:p w14:paraId="49FCD3C3" w14:textId="77777777" w:rsidR="008143D9" w:rsidRPr="00AC3044" w:rsidRDefault="008143D9" w:rsidP="005A428D">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8143D9" w:rsidRPr="00AC3044" w14:paraId="1DFB7D25" w14:textId="77777777" w:rsidTr="005A428D">
        <w:trPr>
          <w:cantSplit/>
          <w:trHeight w:val="1498"/>
        </w:trPr>
        <w:tc>
          <w:tcPr>
            <w:tcW w:w="959" w:type="dxa"/>
            <w:vMerge w:val="restart"/>
            <w:textDirection w:val="btLr"/>
            <w:vAlign w:val="center"/>
          </w:tcPr>
          <w:p w14:paraId="6663C2DC" w14:textId="77777777" w:rsidR="008143D9" w:rsidRPr="00AC3044" w:rsidRDefault="008143D9" w:rsidP="005A428D">
            <w:pPr>
              <w:rPr>
                <w:rFonts w:eastAsia="SimSun"/>
              </w:rPr>
            </w:pPr>
            <w:r w:rsidRPr="00AC3044">
              <w:rPr>
                <w:rFonts w:eastAsia="SimSun"/>
              </w:rPr>
              <w:t>Профилактика РТПХ</w:t>
            </w:r>
          </w:p>
        </w:tc>
        <w:tc>
          <w:tcPr>
            <w:tcW w:w="1701" w:type="dxa"/>
            <w:vAlign w:val="center"/>
          </w:tcPr>
          <w:p w14:paraId="1C376D09" w14:textId="77777777" w:rsidR="008143D9" w:rsidRPr="00AC3044" w:rsidRDefault="008143D9" w:rsidP="005A428D">
            <w:pPr>
              <w:rPr>
                <w:rFonts w:eastAsia="SimSun"/>
              </w:rPr>
            </w:pPr>
            <w:r w:rsidRPr="00AC3044">
              <w:rPr>
                <w:rFonts w:eastAsia="SimSun"/>
              </w:rPr>
              <w:t>Циклофосфамид</w:t>
            </w:r>
          </w:p>
        </w:tc>
        <w:tc>
          <w:tcPr>
            <w:tcW w:w="1559" w:type="dxa"/>
            <w:vAlign w:val="center"/>
          </w:tcPr>
          <w:p w14:paraId="155EA719" w14:textId="77777777" w:rsidR="008143D9" w:rsidRPr="00AC3044" w:rsidRDefault="008143D9" w:rsidP="005A428D">
            <w:pPr>
              <w:rPr>
                <w:rFonts w:eastAsia="SimSun"/>
              </w:rPr>
            </w:pPr>
            <w:r w:rsidRPr="00AC3044">
              <w:rPr>
                <w:rFonts w:eastAsia="SimSun"/>
              </w:rPr>
              <w:t>50 мг/кг</w:t>
            </w:r>
          </w:p>
        </w:tc>
        <w:tc>
          <w:tcPr>
            <w:tcW w:w="1701" w:type="dxa"/>
            <w:vAlign w:val="center"/>
          </w:tcPr>
          <w:p w14:paraId="6B3D1FBA" w14:textId="77777777" w:rsidR="008143D9" w:rsidRPr="00AC3044" w:rsidRDefault="008143D9" w:rsidP="005A428D">
            <w:pPr>
              <w:rPr>
                <w:rFonts w:eastAsia="SimSun"/>
              </w:rPr>
            </w:pPr>
            <w:r w:rsidRPr="00AC3044">
              <w:rPr>
                <w:rFonts w:eastAsia="SimSun"/>
              </w:rPr>
              <w:t>100 мг/кг</w:t>
            </w:r>
          </w:p>
        </w:tc>
        <w:tc>
          <w:tcPr>
            <w:tcW w:w="1418" w:type="dxa"/>
            <w:vAlign w:val="center"/>
          </w:tcPr>
          <w:p w14:paraId="22F724DF" w14:textId="77777777" w:rsidR="008143D9" w:rsidRPr="00AC3044" w:rsidRDefault="008143D9" w:rsidP="005A428D">
            <w:pPr>
              <w:rPr>
                <w:rFonts w:eastAsia="SimSun"/>
              </w:rPr>
            </w:pPr>
            <w:r w:rsidRPr="00AC3044">
              <w:rPr>
                <w:rFonts w:eastAsia="SimSun"/>
              </w:rPr>
              <w:t>С +3 дня по +4 день</w:t>
            </w:r>
          </w:p>
        </w:tc>
        <w:tc>
          <w:tcPr>
            <w:tcW w:w="2268" w:type="dxa"/>
            <w:vAlign w:val="center"/>
          </w:tcPr>
          <w:p w14:paraId="7E4E540D" w14:textId="77777777" w:rsidR="008143D9" w:rsidRPr="00AC3044" w:rsidRDefault="008143D9" w:rsidP="005A428D">
            <w:pPr>
              <w:rPr>
                <w:rFonts w:eastAsia="SimSun"/>
              </w:rPr>
            </w:pPr>
            <w:r w:rsidRPr="00AC3044">
              <w:rPr>
                <w:rFonts w:eastAsia="SimSun"/>
              </w:rPr>
              <w:t>В/в, в течение 2 часов</w:t>
            </w:r>
          </w:p>
        </w:tc>
      </w:tr>
      <w:tr w:rsidR="008143D9" w:rsidRPr="00AC3044" w14:paraId="2102B12A" w14:textId="77777777" w:rsidTr="005A428D">
        <w:trPr>
          <w:cantSplit/>
          <w:trHeight w:val="958"/>
        </w:trPr>
        <w:tc>
          <w:tcPr>
            <w:tcW w:w="959" w:type="dxa"/>
            <w:vMerge/>
            <w:textDirection w:val="btLr"/>
            <w:vAlign w:val="center"/>
          </w:tcPr>
          <w:p w14:paraId="53FCC92F" w14:textId="77777777" w:rsidR="008143D9" w:rsidRPr="00AC3044" w:rsidRDefault="008143D9" w:rsidP="005A428D">
            <w:pPr>
              <w:rPr>
                <w:rFonts w:eastAsia="SimSun"/>
              </w:rPr>
            </w:pPr>
          </w:p>
        </w:tc>
        <w:tc>
          <w:tcPr>
            <w:tcW w:w="1701" w:type="dxa"/>
            <w:vAlign w:val="center"/>
          </w:tcPr>
          <w:p w14:paraId="23BEFAA0" w14:textId="77777777" w:rsidR="008143D9" w:rsidRPr="00AC3044" w:rsidRDefault="008143D9" w:rsidP="005A428D">
            <w:pPr>
              <w:rPr>
                <w:rFonts w:eastAsia="SimSun"/>
              </w:rPr>
            </w:pPr>
            <w:r w:rsidRPr="00AC3044">
              <w:rPr>
                <w:rFonts w:eastAsia="SimSun"/>
              </w:rPr>
              <w:t xml:space="preserve">Такролимус </w:t>
            </w:r>
          </w:p>
        </w:tc>
        <w:tc>
          <w:tcPr>
            <w:tcW w:w="1559" w:type="dxa"/>
            <w:vAlign w:val="center"/>
          </w:tcPr>
          <w:p w14:paraId="70A18AD6" w14:textId="77777777" w:rsidR="008143D9" w:rsidRPr="00AC3044" w:rsidRDefault="008143D9" w:rsidP="005A428D">
            <w:pPr>
              <w:rPr>
                <w:rFonts w:eastAsia="SimSun"/>
              </w:rPr>
            </w:pPr>
            <w:r w:rsidRPr="00AC3044">
              <w:rPr>
                <w:rFonts w:eastAsia="SimSun"/>
              </w:rPr>
              <w:t>0,03 мг/кг</w:t>
            </w:r>
          </w:p>
        </w:tc>
        <w:tc>
          <w:tcPr>
            <w:tcW w:w="1701" w:type="dxa"/>
            <w:vAlign w:val="center"/>
          </w:tcPr>
          <w:p w14:paraId="00583539" w14:textId="77777777" w:rsidR="008143D9" w:rsidRPr="00AC3044" w:rsidRDefault="008143D9" w:rsidP="005A428D">
            <w:pPr>
              <w:rPr>
                <w:rFonts w:eastAsia="SimSun"/>
              </w:rPr>
            </w:pPr>
            <w:r w:rsidRPr="00AC3044">
              <w:rPr>
                <w:rFonts w:eastAsia="SimSun"/>
              </w:rPr>
              <w:t>–</w:t>
            </w:r>
          </w:p>
        </w:tc>
        <w:tc>
          <w:tcPr>
            <w:tcW w:w="1418" w:type="dxa"/>
            <w:vAlign w:val="center"/>
          </w:tcPr>
          <w:p w14:paraId="52FE7A63" w14:textId="77777777" w:rsidR="008143D9" w:rsidRPr="00AC3044" w:rsidRDefault="008143D9" w:rsidP="005A428D">
            <w:pPr>
              <w:rPr>
                <w:rFonts w:eastAsia="SimSun"/>
              </w:rPr>
            </w:pPr>
            <w:r w:rsidRPr="00AC3044">
              <w:rPr>
                <w:rFonts w:eastAsia="SimSun"/>
              </w:rPr>
              <w:t xml:space="preserve">С +5 дня длительно </w:t>
            </w:r>
          </w:p>
        </w:tc>
        <w:tc>
          <w:tcPr>
            <w:tcW w:w="2268" w:type="dxa"/>
            <w:vAlign w:val="center"/>
          </w:tcPr>
          <w:p w14:paraId="07AA0807" w14:textId="77777777" w:rsidR="008143D9" w:rsidRPr="00AC3044" w:rsidRDefault="008143D9" w:rsidP="005A428D">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8143D9" w:rsidRPr="00AC3044" w14:paraId="7C9AC0CD" w14:textId="77777777" w:rsidTr="005A428D">
        <w:trPr>
          <w:cantSplit/>
          <w:trHeight w:val="986"/>
        </w:trPr>
        <w:tc>
          <w:tcPr>
            <w:tcW w:w="959" w:type="dxa"/>
            <w:vMerge/>
            <w:textDirection w:val="btLr"/>
            <w:vAlign w:val="center"/>
          </w:tcPr>
          <w:p w14:paraId="7F5349B5" w14:textId="77777777" w:rsidR="008143D9" w:rsidRPr="00AC3044" w:rsidRDefault="008143D9" w:rsidP="005A428D">
            <w:pPr>
              <w:rPr>
                <w:rFonts w:eastAsia="SimSun"/>
              </w:rPr>
            </w:pPr>
          </w:p>
        </w:tc>
        <w:tc>
          <w:tcPr>
            <w:tcW w:w="1701" w:type="dxa"/>
            <w:vAlign w:val="center"/>
          </w:tcPr>
          <w:p w14:paraId="393FA076" w14:textId="77777777" w:rsidR="008143D9" w:rsidRPr="00AC3044" w:rsidRDefault="008143D9" w:rsidP="005A428D">
            <w:pPr>
              <w:rPr>
                <w:rFonts w:eastAsia="SimSun"/>
              </w:rPr>
            </w:pPr>
            <w:r w:rsidRPr="00AC3044">
              <w:rPr>
                <w:rFonts w:eastAsia="SimSun"/>
              </w:rPr>
              <w:t>Микофенолата мофетил</w:t>
            </w:r>
          </w:p>
        </w:tc>
        <w:tc>
          <w:tcPr>
            <w:tcW w:w="1559" w:type="dxa"/>
            <w:vAlign w:val="center"/>
          </w:tcPr>
          <w:p w14:paraId="58FBA482" w14:textId="77777777" w:rsidR="008143D9" w:rsidRPr="00AC3044" w:rsidRDefault="008143D9" w:rsidP="005A428D">
            <w:pPr>
              <w:rPr>
                <w:rFonts w:eastAsia="SimSun"/>
              </w:rPr>
            </w:pPr>
            <w:r w:rsidRPr="00AC3044">
              <w:rPr>
                <w:rFonts w:eastAsia="SimSun"/>
              </w:rPr>
              <w:t xml:space="preserve">30 мг/кг </w:t>
            </w:r>
          </w:p>
        </w:tc>
        <w:tc>
          <w:tcPr>
            <w:tcW w:w="1701" w:type="dxa"/>
            <w:vAlign w:val="center"/>
          </w:tcPr>
          <w:p w14:paraId="48E300AB" w14:textId="77777777" w:rsidR="008143D9" w:rsidRPr="00AC3044" w:rsidRDefault="008143D9" w:rsidP="005A428D">
            <w:pPr>
              <w:rPr>
                <w:rFonts w:eastAsia="SimSun"/>
              </w:rPr>
            </w:pPr>
            <w:r w:rsidRPr="00AC3044">
              <w:rPr>
                <w:rFonts w:eastAsia="SimSun"/>
              </w:rPr>
              <w:t>–</w:t>
            </w:r>
          </w:p>
        </w:tc>
        <w:tc>
          <w:tcPr>
            <w:tcW w:w="1418" w:type="dxa"/>
            <w:vAlign w:val="center"/>
          </w:tcPr>
          <w:p w14:paraId="479D7A1C" w14:textId="77777777" w:rsidR="008143D9" w:rsidRPr="00AC3044" w:rsidRDefault="008143D9" w:rsidP="005A428D">
            <w:pPr>
              <w:rPr>
                <w:rFonts w:eastAsia="SimSun"/>
              </w:rPr>
            </w:pPr>
            <w:r w:rsidRPr="00AC3044">
              <w:rPr>
                <w:rFonts w:eastAsia="SimSun"/>
              </w:rPr>
              <w:t xml:space="preserve">С +5 дня по +35 день </w:t>
            </w:r>
          </w:p>
        </w:tc>
        <w:tc>
          <w:tcPr>
            <w:tcW w:w="2268" w:type="dxa"/>
            <w:vAlign w:val="center"/>
          </w:tcPr>
          <w:p w14:paraId="7F6263C7" w14:textId="77777777" w:rsidR="008143D9" w:rsidRPr="00AC3044" w:rsidRDefault="008143D9" w:rsidP="005A428D">
            <w:pPr>
              <w:rPr>
                <w:rFonts w:eastAsia="SimSun"/>
              </w:rPr>
            </w:pPr>
            <w:r w:rsidRPr="00AC3044">
              <w:rPr>
                <w:rFonts w:eastAsia="SimSun"/>
              </w:rPr>
              <w:t>Внутрь, суммарная суточная доза разделяется на 2- 4 приема.</w:t>
            </w:r>
          </w:p>
        </w:tc>
      </w:tr>
    </w:tbl>
    <w:p w14:paraId="57E36DE2" w14:textId="77777777" w:rsidR="008143D9" w:rsidRPr="00C07B2E" w:rsidRDefault="008143D9" w:rsidP="008143D9">
      <w:pPr>
        <w:rPr>
          <w:rFonts w:eastAsia="SimSun"/>
        </w:rPr>
      </w:pPr>
    </w:p>
    <w:p w14:paraId="4AFB6938" w14:textId="77777777" w:rsidR="008143D9" w:rsidRPr="00C07B2E" w:rsidRDefault="008143D9" w:rsidP="008143D9">
      <w:pPr>
        <w:rPr>
          <w:rFonts w:eastAsia="SimSun"/>
        </w:rPr>
      </w:pPr>
      <w:bookmarkStart w:id="137" w:name="_Toc44401173"/>
      <w:r w:rsidRPr="00042499">
        <w:rPr>
          <w:rFonts w:eastAsia="SimSun"/>
        </w:rPr>
        <w:t>Таблица</w:t>
      </w:r>
      <w:r w:rsidRPr="00C07B2E">
        <w:rPr>
          <w:rFonts w:eastAsia="SimSun"/>
        </w:rPr>
        <w:t xml:space="preserve"> </w:t>
      </w:r>
      <w:r>
        <w:rPr>
          <w:rFonts w:eastAsia="SimSun"/>
        </w:rPr>
        <w:t>5.</w:t>
      </w:r>
      <w:r w:rsidRPr="00C07B2E">
        <w:rPr>
          <w:rFonts w:eastAsia="SimSun"/>
        </w:rPr>
        <w:t>1.2.15  – Flu180+Bu10 / PT-Cy+Ruxo</w:t>
      </w:r>
      <w:bookmarkEnd w:id="137"/>
      <w:r w:rsidRPr="00C07B2E">
        <w:rPr>
          <w:rFonts w:eastAsia="SimSun"/>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667"/>
        <w:gridCol w:w="1559"/>
        <w:gridCol w:w="1701"/>
        <w:gridCol w:w="1418"/>
        <w:gridCol w:w="2268"/>
      </w:tblGrid>
      <w:tr w:rsidR="008143D9" w:rsidRPr="00AC3044" w14:paraId="1FDF0B43" w14:textId="77777777" w:rsidTr="005A428D">
        <w:trPr>
          <w:cantSplit/>
          <w:trHeight w:val="20"/>
          <w:tblHeader/>
        </w:trPr>
        <w:tc>
          <w:tcPr>
            <w:tcW w:w="993" w:type="dxa"/>
            <w:vAlign w:val="center"/>
          </w:tcPr>
          <w:p w14:paraId="2A005553" w14:textId="77777777" w:rsidR="008143D9" w:rsidRPr="00470D3D" w:rsidRDefault="008143D9" w:rsidP="005A428D">
            <w:pPr>
              <w:rPr>
                <w:rFonts w:eastAsia="SimSun"/>
              </w:rPr>
            </w:pPr>
          </w:p>
        </w:tc>
        <w:tc>
          <w:tcPr>
            <w:tcW w:w="1667" w:type="dxa"/>
            <w:vAlign w:val="center"/>
          </w:tcPr>
          <w:p w14:paraId="69D60BAB" w14:textId="77777777" w:rsidR="008143D9" w:rsidRPr="00AC3044" w:rsidRDefault="008143D9" w:rsidP="005A428D">
            <w:pPr>
              <w:rPr>
                <w:rFonts w:eastAsia="SimSun"/>
              </w:rPr>
            </w:pPr>
            <w:r w:rsidRPr="00AC3044">
              <w:rPr>
                <w:rFonts w:eastAsia="SimSun"/>
              </w:rPr>
              <w:t>Препарат</w:t>
            </w:r>
          </w:p>
        </w:tc>
        <w:tc>
          <w:tcPr>
            <w:tcW w:w="1559" w:type="dxa"/>
            <w:vAlign w:val="center"/>
          </w:tcPr>
          <w:p w14:paraId="538A9A01" w14:textId="77777777" w:rsidR="008143D9" w:rsidRPr="00AC3044" w:rsidRDefault="008143D9" w:rsidP="005A428D">
            <w:pPr>
              <w:rPr>
                <w:rFonts w:eastAsia="SimSun"/>
              </w:rPr>
            </w:pPr>
            <w:r w:rsidRPr="00AC3044">
              <w:rPr>
                <w:rFonts w:eastAsia="SimSun"/>
              </w:rPr>
              <w:t>Суточная доза</w:t>
            </w:r>
          </w:p>
        </w:tc>
        <w:tc>
          <w:tcPr>
            <w:tcW w:w="1701" w:type="dxa"/>
            <w:vAlign w:val="center"/>
          </w:tcPr>
          <w:p w14:paraId="0742EE03" w14:textId="77777777" w:rsidR="008143D9" w:rsidRPr="00AC3044" w:rsidRDefault="008143D9" w:rsidP="005A428D">
            <w:pPr>
              <w:rPr>
                <w:rFonts w:eastAsia="SimSun"/>
              </w:rPr>
            </w:pPr>
            <w:r w:rsidRPr="00AC3044">
              <w:rPr>
                <w:rFonts w:eastAsia="SimSun"/>
              </w:rPr>
              <w:t>Курсовая доза</w:t>
            </w:r>
          </w:p>
        </w:tc>
        <w:tc>
          <w:tcPr>
            <w:tcW w:w="1418" w:type="dxa"/>
            <w:vAlign w:val="center"/>
          </w:tcPr>
          <w:p w14:paraId="2DB18DCE" w14:textId="77777777" w:rsidR="008143D9" w:rsidRPr="00AC3044" w:rsidRDefault="008143D9" w:rsidP="005A428D">
            <w:pPr>
              <w:rPr>
                <w:rFonts w:eastAsia="SimSun"/>
              </w:rPr>
            </w:pPr>
            <w:r w:rsidRPr="00AC3044">
              <w:rPr>
                <w:rFonts w:eastAsia="SimSun"/>
              </w:rPr>
              <w:t>Дни введения</w:t>
            </w:r>
          </w:p>
        </w:tc>
        <w:tc>
          <w:tcPr>
            <w:tcW w:w="2268" w:type="dxa"/>
            <w:vAlign w:val="center"/>
          </w:tcPr>
          <w:p w14:paraId="0F99F1D4"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4AA485D2" w14:textId="77777777" w:rsidTr="005A428D">
        <w:trPr>
          <w:cantSplit/>
          <w:trHeight w:val="20"/>
        </w:trPr>
        <w:tc>
          <w:tcPr>
            <w:tcW w:w="993" w:type="dxa"/>
            <w:vMerge w:val="restart"/>
            <w:textDirection w:val="btLr"/>
            <w:vAlign w:val="center"/>
          </w:tcPr>
          <w:p w14:paraId="4ABFDA7D" w14:textId="77777777" w:rsidR="008143D9" w:rsidRPr="00AC3044" w:rsidRDefault="008143D9" w:rsidP="005A428D">
            <w:pPr>
              <w:rPr>
                <w:rFonts w:eastAsia="SimSun"/>
              </w:rPr>
            </w:pPr>
            <w:r w:rsidRPr="00AC3044">
              <w:rPr>
                <w:rFonts w:eastAsia="SimSun"/>
              </w:rPr>
              <w:t>Кондиционирование</w:t>
            </w:r>
          </w:p>
        </w:tc>
        <w:tc>
          <w:tcPr>
            <w:tcW w:w="1667" w:type="dxa"/>
            <w:vAlign w:val="center"/>
          </w:tcPr>
          <w:p w14:paraId="3D2DBC63" w14:textId="77777777" w:rsidR="008143D9" w:rsidRPr="00AC3044" w:rsidRDefault="008143D9" w:rsidP="005A428D">
            <w:pPr>
              <w:rPr>
                <w:rFonts w:eastAsia="SimSun"/>
              </w:rPr>
            </w:pPr>
            <w:r w:rsidRPr="00AC3044">
              <w:rPr>
                <w:rFonts w:eastAsia="SimSun"/>
              </w:rPr>
              <w:t xml:space="preserve">Флударабин </w:t>
            </w:r>
          </w:p>
        </w:tc>
        <w:tc>
          <w:tcPr>
            <w:tcW w:w="1559" w:type="dxa"/>
            <w:vAlign w:val="center"/>
          </w:tcPr>
          <w:p w14:paraId="1EA0E6AD" w14:textId="77777777" w:rsidR="008143D9" w:rsidRPr="00AC3044" w:rsidRDefault="008143D9" w:rsidP="005A428D">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1DBE43FB" w14:textId="77777777" w:rsidR="008143D9" w:rsidRPr="00AC3044" w:rsidRDefault="008143D9" w:rsidP="005A428D">
            <w:pPr>
              <w:rPr>
                <w:rFonts w:eastAsia="SimSun"/>
              </w:rPr>
            </w:pPr>
            <w:r w:rsidRPr="00AC3044">
              <w:rPr>
                <w:rFonts w:eastAsia="SimSun"/>
              </w:rPr>
              <w:t>180 мг/м</w:t>
            </w:r>
            <w:r w:rsidRPr="001E6DBE">
              <w:rPr>
                <w:rFonts w:eastAsia="SimSun"/>
                <w:vertAlign w:val="superscript"/>
              </w:rPr>
              <w:t>2</w:t>
            </w:r>
          </w:p>
        </w:tc>
        <w:tc>
          <w:tcPr>
            <w:tcW w:w="1418" w:type="dxa"/>
            <w:vAlign w:val="center"/>
          </w:tcPr>
          <w:p w14:paraId="2742B273" w14:textId="77777777" w:rsidR="008143D9" w:rsidRPr="00AC3044" w:rsidRDefault="008143D9" w:rsidP="005A428D">
            <w:pPr>
              <w:rPr>
                <w:rFonts w:eastAsia="SimSun"/>
              </w:rPr>
            </w:pPr>
            <w:r w:rsidRPr="00AC3044">
              <w:rPr>
                <w:rFonts w:eastAsia="SimSun"/>
              </w:rPr>
              <w:t>С -7 дня по -2 день</w:t>
            </w:r>
          </w:p>
        </w:tc>
        <w:tc>
          <w:tcPr>
            <w:tcW w:w="2268" w:type="dxa"/>
            <w:vAlign w:val="center"/>
          </w:tcPr>
          <w:p w14:paraId="44C4BD72"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2CDC8EA8" w14:textId="77777777" w:rsidTr="005A428D">
        <w:trPr>
          <w:cantSplit/>
          <w:trHeight w:val="1207"/>
        </w:trPr>
        <w:tc>
          <w:tcPr>
            <w:tcW w:w="993" w:type="dxa"/>
            <w:vMerge/>
            <w:vAlign w:val="center"/>
          </w:tcPr>
          <w:p w14:paraId="24AEA71A" w14:textId="77777777" w:rsidR="008143D9" w:rsidRPr="00AC3044" w:rsidRDefault="008143D9" w:rsidP="005A428D">
            <w:pPr>
              <w:rPr>
                <w:rFonts w:eastAsia="SimSun"/>
              </w:rPr>
            </w:pPr>
          </w:p>
        </w:tc>
        <w:tc>
          <w:tcPr>
            <w:tcW w:w="1667" w:type="dxa"/>
            <w:vAlign w:val="center"/>
          </w:tcPr>
          <w:p w14:paraId="5B4D53CE" w14:textId="77777777" w:rsidR="008143D9" w:rsidRPr="00AC3044" w:rsidRDefault="008143D9" w:rsidP="005A428D">
            <w:pPr>
              <w:rPr>
                <w:rFonts w:eastAsia="SimSun"/>
              </w:rPr>
            </w:pPr>
            <w:r w:rsidRPr="00AC3044">
              <w:rPr>
                <w:rFonts w:eastAsia="SimSun"/>
              </w:rPr>
              <w:t>Бусульфан</w:t>
            </w:r>
          </w:p>
        </w:tc>
        <w:tc>
          <w:tcPr>
            <w:tcW w:w="1559" w:type="dxa"/>
            <w:vAlign w:val="center"/>
          </w:tcPr>
          <w:p w14:paraId="4094EAFD" w14:textId="77777777" w:rsidR="008143D9" w:rsidRPr="00AC3044" w:rsidRDefault="008143D9" w:rsidP="005A428D">
            <w:pPr>
              <w:rPr>
                <w:rFonts w:eastAsia="SimSun"/>
              </w:rPr>
            </w:pPr>
            <w:r w:rsidRPr="00AC3044">
              <w:rPr>
                <w:rFonts w:eastAsia="SimSun"/>
              </w:rPr>
              <w:t xml:space="preserve">4 мг/кг </w:t>
            </w:r>
          </w:p>
        </w:tc>
        <w:tc>
          <w:tcPr>
            <w:tcW w:w="1701" w:type="dxa"/>
            <w:vAlign w:val="center"/>
          </w:tcPr>
          <w:p w14:paraId="2C07CDFE" w14:textId="77777777" w:rsidR="008143D9" w:rsidRPr="00AC3044" w:rsidRDefault="008143D9" w:rsidP="005A428D">
            <w:pPr>
              <w:rPr>
                <w:rFonts w:eastAsia="SimSun"/>
              </w:rPr>
            </w:pPr>
            <w:r w:rsidRPr="00AC3044">
              <w:rPr>
                <w:rFonts w:eastAsia="SimSun"/>
              </w:rPr>
              <w:t xml:space="preserve">10 мг/кг </w:t>
            </w:r>
          </w:p>
        </w:tc>
        <w:tc>
          <w:tcPr>
            <w:tcW w:w="1418" w:type="dxa"/>
            <w:vAlign w:val="center"/>
          </w:tcPr>
          <w:p w14:paraId="42765A32" w14:textId="77777777" w:rsidR="008143D9" w:rsidRPr="00AC3044" w:rsidRDefault="008143D9" w:rsidP="005A428D">
            <w:pPr>
              <w:rPr>
                <w:rFonts w:eastAsia="SimSun"/>
              </w:rPr>
            </w:pPr>
            <w:r w:rsidRPr="00AC3044">
              <w:rPr>
                <w:rFonts w:eastAsia="SimSun"/>
              </w:rPr>
              <w:t>С -5 дня по -3 день</w:t>
            </w:r>
          </w:p>
        </w:tc>
        <w:tc>
          <w:tcPr>
            <w:tcW w:w="2268" w:type="dxa"/>
            <w:vAlign w:val="center"/>
          </w:tcPr>
          <w:p w14:paraId="516F1099" w14:textId="77777777" w:rsidR="008143D9" w:rsidRPr="00AC3044" w:rsidRDefault="008143D9" w:rsidP="005A428D">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8143D9" w:rsidRPr="00AC3044" w14:paraId="4E98E543" w14:textId="77777777" w:rsidTr="005A428D">
        <w:trPr>
          <w:cantSplit/>
          <w:trHeight w:val="582"/>
        </w:trPr>
        <w:tc>
          <w:tcPr>
            <w:tcW w:w="993" w:type="dxa"/>
            <w:vMerge w:val="restart"/>
            <w:textDirection w:val="btLr"/>
            <w:vAlign w:val="center"/>
          </w:tcPr>
          <w:p w14:paraId="24598B0A" w14:textId="77777777" w:rsidR="008143D9" w:rsidRPr="00AC3044" w:rsidRDefault="008143D9" w:rsidP="005A428D">
            <w:pPr>
              <w:rPr>
                <w:rFonts w:eastAsia="SimSun"/>
              </w:rPr>
            </w:pPr>
            <w:r w:rsidRPr="00AC3044">
              <w:rPr>
                <w:rFonts w:eastAsia="SimSun"/>
              </w:rPr>
              <w:t>Профилактика РТПХ</w:t>
            </w:r>
          </w:p>
        </w:tc>
        <w:tc>
          <w:tcPr>
            <w:tcW w:w="1667" w:type="dxa"/>
            <w:vAlign w:val="center"/>
          </w:tcPr>
          <w:p w14:paraId="1A37C777" w14:textId="77777777" w:rsidR="008143D9" w:rsidRPr="00AC3044" w:rsidRDefault="008143D9" w:rsidP="005A428D">
            <w:pPr>
              <w:rPr>
                <w:rFonts w:eastAsia="SimSun"/>
              </w:rPr>
            </w:pPr>
            <w:r w:rsidRPr="00AC3044">
              <w:rPr>
                <w:rFonts w:eastAsia="SimSun"/>
              </w:rPr>
              <w:t>Циклофосфамид</w:t>
            </w:r>
          </w:p>
        </w:tc>
        <w:tc>
          <w:tcPr>
            <w:tcW w:w="1559" w:type="dxa"/>
            <w:vAlign w:val="center"/>
          </w:tcPr>
          <w:p w14:paraId="68EBE8FC" w14:textId="77777777" w:rsidR="008143D9" w:rsidRPr="00AC3044" w:rsidRDefault="008143D9" w:rsidP="005A428D">
            <w:pPr>
              <w:rPr>
                <w:rFonts w:eastAsia="SimSun"/>
              </w:rPr>
            </w:pPr>
            <w:r w:rsidRPr="00AC3044">
              <w:rPr>
                <w:rFonts w:eastAsia="SimSun"/>
              </w:rPr>
              <w:t>50 мг/кг</w:t>
            </w:r>
          </w:p>
        </w:tc>
        <w:tc>
          <w:tcPr>
            <w:tcW w:w="1701" w:type="dxa"/>
            <w:vAlign w:val="center"/>
          </w:tcPr>
          <w:p w14:paraId="3D55F3B3" w14:textId="77777777" w:rsidR="008143D9" w:rsidRPr="00AC3044" w:rsidRDefault="008143D9" w:rsidP="005A428D">
            <w:pPr>
              <w:rPr>
                <w:rFonts w:eastAsia="SimSun"/>
              </w:rPr>
            </w:pPr>
            <w:r w:rsidRPr="00AC3044">
              <w:rPr>
                <w:rFonts w:eastAsia="SimSun"/>
              </w:rPr>
              <w:t>100 мг/кг</w:t>
            </w:r>
          </w:p>
        </w:tc>
        <w:tc>
          <w:tcPr>
            <w:tcW w:w="1418" w:type="dxa"/>
            <w:vAlign w:val="center"/>
          </w:tcPr>
          <w:p w14:paraId="2572DFF0" w14:textId="77777777" w:rsidR="008143D9" w:rsidRPr="00AC3044" w:rsidRDefault="008143D9" w:rsidP="005A428D">
            <w:pPr>
              <w:rPr>
                <w:rFonts w:eastAsia="SimSun"/>
              </w:rPr>
            </w:pPr>
            <w:r w:rsidRPr="00AC3044">
              <w:rPr>
                <w:rFonts w:eastAsia="SimSun"/>
              </w:rPr>
              <w:t>С +3 дня по +4 день</w:t>
            </w:r>
          </w:p>
        </w:tc>
        <w:tc>
          <w:tcPr>
            <w:tcW w:w="2268" w:type="dxa"/>
            <w:vAlign w:val="center"/>
          </w:tcPr>
          <w:p w14:paraId="4305BFB9" w14:textId="77777777" w:rsidR="008143D9" w:rsidRPr="00AC3044" w:rsidRDefault="008143D9" w:rsidP="005A428D">
            <w:pPr>
              <w:rPr>
                <w:rFonts w:eastAsia="SimSun"/>
              </w:rPr>
            </w:pPr>
            <w:r w:rsidRPr="00AC3044">
              <w:rPr>
                <w:rFonts w:eastAsia="SimSun"/>
              </w:rPr>
              <w:t>В/в, в течение 2 часов</w:t>
            </w:r>
          </w:p>
        </w:tc>
      </w:tr>
      <w:tr w:rsidR="008143D9" w:rsidRPr="00AC3044" w14:paraId="75476309" w14:textId="77777777" w:rsidTr="005A428D">
        <w:trPr>
          <w:cantSplit/>
          <w:trHeight w:val="562"/>
        </w:trPr>
        <w:tc>
          <w:tcPr>
            <w:tcW w:w="993" w:type="dxa"/>
            <w:vMerge/>
            <w:textDirection w:val="btLr"/>
            <w:vAlign w:val="center"/>
          </w:tcPr>
          <w:p w14:paraId="5AA01900" w14:textId="77777777" w:rsidR="008143D9" w:rsidRPr="00AC3044" w:rsidRDefault="008143D9" w:rsidP="005A428D">
            <w:pPr>
              <w:rPr>
                <w:rFonts w:eastAsia="SimSun"/>
              </w:rPr>
            </w:pPr>
          </w:p>
        </w:tc>
        <w:tc>
          <w:tcPr>
            <w:tcW w:w="1667" w:type="dxa"/>
            <w:vAlign w:val="center"/>
          </w:tcPr>
          <w:p w14:paraId="4AEBF0C9" w14:textId="77777777" w:rsidR="008143D9" w:rsidRPr="00AC3044" w:rsidRDefault="008143D9" w:rsidP="005A428D">
            <w:pPr>
              <w:rPr>
                <w:rFonts w:eastAsia="SimSun"/>
              </w:rPr>
            </w:pPr>
            <w:r w:rsidRPr="00AC3044">
              <w:rPr>
                <w:rFonts w:eastAsia="SimSun"/>
              </w:rPr>
              <w:t>Руксолитиниб</w:t>
            </w:r>
          </w:p>
        </w:tc>
        <w:tc>
          <w:tcPr>
            <w:tcW w:w="1559" w:type="dxa"/>
            <w:vAlign w:val="center"/>
          </w:tcPr>
          <w:p w14:paraId="58813C6A" w14:textId="77777777" w:rsidR="008143D9" w:rsidRPr="00AC3044" w:rsidRDefault="008143D9" w:rsidP="005A428D">
            <w:pPr>
              <w:rPr>
                <w:rFonts w:eastAsia="SimSun"/>
              </w:rPr>
            </w:pPr>
            <w:r w:rsidRPr="00AC3044">
              <w:rPr>
                <w:rFonts w:eastAsia="SimSun"/>
              </w:rPr>
              <w:t>45 мг</w:t>
            </w:r>
          </w:p>
        </w:tc>
        <w:tc>
          <w:tcPr>
            <w:tcW w:w="1701" w:type="dxa"/>
            <w:vAlign w:val="center"/>
          </w:tcPr>
          <w:p w14:paraId="70F78FD6" w14:textId="77777777" w:rsidR="008143D9" w:rsidRPr="00AC3044" w:rsidRDefault="008143D9" w:rsidP="005A428D">
            <w:pPr>
              <w:rPr>
                <w:rFonts w:eastAsia="SimSun"/>
              </w:rPr>
            </w:pPr>
            <w:r w:rsidRPr="00AC3044">
              <w:rPr>
                <w:rFonts w:eastAsia="SimSun"/>
              </w:rPr>
              <w:t>270 мг</w:t>
            </w:r>
          </w:p>
        </w:tc>
        <w:tc>
          <w:tcPr>
            <w:tcW w:w="1418" w:type="dxa"/>
            <w:vAlign w:val="center"/>
          </w:tcPr>
          <w:p w14:paraId="64560312" w14:textId="77777777" w:rsidR="008143D9" w:rsidRPr="00AC3044" w:rsidRDefault="008143D9" w:rsidP="005A428D">
            <w:pPr>
              <w:rPr>
                <w:rFonts w:eastAsia="SimSun"/>
              </w:rPr>
            </w:pPr>
            <w:r w:rsidRPr="00AC3044">
              <w:rPr>
                <w:rFonts w:eastAsia="SimSun"/>
              </w:rPr>
              <w:t xml:space="preserve">С -7 дня по -2 день </w:t>
            </w:r>
          </w:p>
        </w:tc>
        <w:tc>
          <w:tcPr>
            <w:tcW w:w="2268" w:type="dxa"/>
            <w:vAlign w:val="center"/>
          </w:tcPr>
          <w:p w14:paraId="52C0ACF8" w14:textId="77777777" w:rsidR="008143D9" w:rsidRPr="00AC3044" w:rsidRDefault="008143D9" w:rsidP="005A428D">
            <w:pPr>
              <w:rPr>
                <w:rFonts w:eastAsia="SimSun"/>
              </w:rPr>
            </w:pPr>
            <w:r w:rsidRPr="00AC3044">
              <w:rPr>
                <w:rFonts w:eastAsia="SimSun"/>
              </w:rPr>
              <w:t xml:space="preserve">Внутрь суточную дозу </w:t>
            </w:r>
          </w:p>
          <w:p w14:paraId="44B8815B" w14:textId="77777777" w:rsidR="008143D9" w:rsidRPr="00AC3044" w:rsidRDefault="008143D9" w:rsidP="005A428D">
            <w:pPr>
              <w:rPr>
                <w:rFonts w:eastAsia="SimSun"/>
              </w:rPr>
            </w:pPr>
            <w:r w:rsidRPr="00AC3044">
              <w:rPr>
                <w:rFonts w:eastAsia="SimSun"/>
              </w:rPr>
              <w:t>за 3 приема</w:t>
            </w:r>
          </w:p>
        </w:tc>
      </w:tr>
      <w:tr w:rsidR="008143D9" w:rsidRPr="00AC3044" w14:paraId="1AFFE169" w14:textId="77777777" w:rsidTr="005A428D">
        <w:trPr>
          <w:cantSplit/>
          <w:trHeight w:val="769"/>
        </w:trPr>
        <w:tc>
          <w:tcPr>
            <w:tcW w:w="993" w:type="dxa"/>
            <w:vMerge/>
            <w:textDirection w:val="btLr"/>
            <w:vAlign w:val="center"/>
          </w:tcPr>
          <w:p w14:paraId="4EAF4E73" w14:textId="77777777" w:rsidR="008143D9" w:rsidRPr="00AC3044" w:rsidRDefault="008143D9" w:rsidP="005A428D">
            <w:pPr>
              <w:rPr>
                <w:rFonts w:eastAsia="SimSun"/>
              </w:rPr>
            </w:pPr>
          </w:p>
        </w:tc>
        <w:tc>
          <w:tcPr>
            <w:tcW w:w="1667" w:type="dxa"/>
            <w:vAlign w:val="center"/>
          </w:tcPr>
          <w:p w14:paraId="3661671F" w14:textId="77777777" w:rsidR="008143D9" w:rsidRPr="00AC3044" w:rsidRDefault="008143D9" w:rsidP="005A428D">
            <w:pPr>
              <w:rPr>
                <w:rFonts w:eastAsia="SimSun"/>
              </w:rPr>
            </w:pPr>
            <w:r w:rsidRPr="00AC3044">
              <w:rPr>
                <w:rFonts w:eastAsia="SimSun"/>
              </w:rPr>
              <w:t xml:space="preserve">Руксолитиниб </w:t>
            </w:r>
          </w:p>
        </w:tc>
        <w:tc>
          <w:tcPr>
            <w:tcW w:w="1559" w:type="dxa"/>
            <w:vAlign w:val="center"/>
          </w:tcPr>
          <w:p w14:paraId="51BDE5D4" w14:textId="77777777" w:rsidR="008143D9" w:rsidRPr="00AC3044" w:rsidRDefault="008143D9" w:rsidP="005A428D">
            <w:pPr>
              <w:rPr>
                <w:rFonts w:eastAsia="SimSun"/>
              </w:rPr>
            </w:pPr>
            <w:r w:rsidRPr="00AC3044">
              <w:rPr>
                <w:rFonts w:eastAsia="SimSun"/>
              </w:rPr>
              <w:t>15 мг</w:t>
            </w:r>
          </w:p>
        </w:tc>
        <w:tc>
          <w:tcPr>
            <w:tcW w:w="1701" w:type="dxa"/>
            <w:vAlign w:val="center"/>
          </w:tcPr>
          <w:p w14:paraId="7D26E07C" w14:textId="77777777" w:rsidR="008143D9" w:rsidRPr="00AC3044" w:rsidRDefault="008143D9" w:rsidP="005A428D">
            <w:pPr>
              <w:rPr>
                <w:rFonts w:eastAsia="SimSun"/>
              </w:rPr>
            </w:pPr>
            <w:r w:rsidRPr="00AC3044">
              <w:rPr>
                <w:rFonts w:eastAsia="SimSun"/>
              </w:rPr>
              <w:t>-</w:t>
            </w:r>
          </w:p>
        </w:tc>
        <w:tc>
          <w:tcPr>
            <w:tcW w:w="1418" w:type="dxa"/>
            <w:vAlign w:val="center"/>
          </w:tcPr>
          <w:p w14:paraId="577EF985" w14:textId="77777777" w:rsidR="008143D9" w:rsidRPr="00AC3044" w:rsidRDefault="008143D9" w:rsidP="005A428D">
            <w:pPr>
              <w:rPr>
                <w:rFonts w:eastAsia="SimSun"/>
              </w:rPr>
            </w:pPr>
            <w:r w:rsidRPr="00AC3044">
              <w:rPr>
                <w:rFonts w:eastAsia="SimSun"/>
              </w:rPr>
              <w:t>С +5 дня по +100 день</w:t>
            </w:r>
          </w:p>
        </w:tc>
        <w:tc>
          <w:tcPr>
            <w:tcW w:w="2268" w:type="dxa"/>
            <w:vAlign w:val="center"/>
          </w:tcPr>
          <w:p w14:paraId="3D37428D" w14:textId="77777777" w:rsidR="008143D9" w:rsidRPr="00AC3044" w:rsidRDefault="008143D9" w:rsidP="005A428D">
            <w:pPr>
              <w:rPr>
                <w:rFonts w:eastAsia="SimSun"/>
              </w:rPr>
            </w:pPr>
            <w:r w:rsidRPr="00AC3044">
              <w:rPr>
                <w:rFonts w:eastAsia="SimSun"/>
              </w:rPr>
              <w:t xml:space="preserve">Внутрь суточную дозу </w:t>
            </w:r>
          </w:p>
          <w:p w14:paraId="0C00EFE5" w14:textId="77777777" w:rsidR="008143D9" w:rsidRPr="00AC3044" w:rsidRDefault="008143D9" w:rsidP="005A428D">
            <w:pPr>
              <w:rPr>
                <w:rFonts w:eastAsia="SimSun"/>
              </w:rPr>
            </w:pPr>
            <w:r w:rsidRPr="00AC3044">
              <w:rPr>
                <w:rFonts w:eastAsia="SimSun"/>
              </w:rPr>
              <w:t>за 2 приема</w:t>
            </w:r>
          </w:p>
        </w:tc>
      </w:tr>
    </w:tbl>
    <w:p w14:paraId="65773BFB" w14:textId="77777777" w:rsidR="008143D9" w:rsidRDefault="008143D9" w:rsidP="008143D9">
      <w:pPr>
        <w:rPr>
          <w:rFonts w:eastAsia="SimSun"/>
        </w:rPr>
      </w:pPr>
      <w:bookmarkStart w:id="138" w:name="_Toc44401174"/>
    </w:p>
    <w:p w14:paraId="2A44E6EC" w14:textId="77777777" w:rsidR="008143D9" w:rsidRPr="00C07B2E" w:rsidRDefault="008143D9" w:rsidP="008143D9">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1.2.16  – Flu90+Benda /PT-Cy+Tx+MMF30</w:t>
      </w:r>
      <w:bookmarkEnd w:id="138"/>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8143D9" w:rsidRPr="00AC3044" w14:paraId="1254C0B8" w14:textId="77777777" w:rsidTr="005A428D">
        <w:trPr>
          <w:cantSplit/>
          <w:trHeight w:val="20"/>
          <w:tblHeader/>
        </w:trPr>
        <w:tc>
          <w:tcPr>
            <w:tcW w:w="959" w:type="dxa"/>
            <w:vAlign w:val="center"/>
          </w:tcPr>
          <w:p w14:paraId="305BC44D" w14:textId="77777777" w:rsidR="008143D9" w:rsidRPr="00AC3044" w:rsidRDefault="008143D9" w:rsidP="005A428D">
            <w:pPr>
              <w:rPr>
                <w:rFonts w:eastAsia="SimSun"/>
              </w:rPr>
            </w:pPr>
          </w:p>
        </w:tc>
        <w:tc>
          <w:tcPr>
            <w:tcW w:w="1701" w:type="dxa"/>
            <w:vAlign w:val="center"/>
          </w:tcPr>
          <w:p w14:paraId="4B868C46" w14:textId="77777777" w:rsidR="008143D9" w:rsidRPr="00AC3044" w:rsidRDefault="008143D9" w:rsidP="005A428D">
            <w:pPr>
              <w:rPr>
                <w:rFonts w:eastAsia="SimSun"/>
              </w:rPr>
            </w:pPr>
            <w:r w:rsidRPr="00AC3044">
              <w:rPr>
                <w:rFonts w:eastAsia="SimSun"/>
              </w:rPr>
              <w:t>Препарат</w:t>
            </w:r>
          </w:p>
        </w:tc>
        <w:tc>
          <w:tcPr>
            <w:tcW w:w="1559" w:type="dxa"/>
            <w:vAlign w:val="center"/>
          </w:tcPr>
          <w:p w14:paraId="03C02C28" w14:textId="77777777" w:rsidR="008143D9" w:rsidRPr="00AC3044" w:rsidRDefault="008143D9" w:rsidP="005A428D">
            <w:pPr>
              <w:rPr>
                <w:rFonts w:eastAsia="SimSun"/>
              </w:rPr>
            </w:pPr>
            <w:r w:rsidRPr="00AC3044">
              <w:rPr>
                <w:rFonts w:eastAsia="SimSun"/>
              </w:rPr>
              <w:t>Суточная доза</w:t>
            </w:r>
          </w:p>
        </w:tc>
        <w:tc>
          <w:tcPr>
            <w:tcW w:w="1701" w:type="dxa"/>
            <w:vAlign w:val="center"/>
          </w:tcPr>
          <w:p w14:paraId="7E6A9C05" w14:textId="77777777" w:rsidR="008143D9" w:rsidRPr="00AC3044" w:rsidRDefault="008143D9" w:rsidP="005A428D">
            <w:pPr>
              <w:rPr>
                <w:rFonts w:eastAsia="SimSun"/>
              </w:rPr>
            </w:pPr>
            <w:r w:rsidRPr="00AC3044">
              <w:rPr>
                <w:rFonts w:eastAsia="SimSun"/>
              </w:rPr>
              <w:t>Курсовая доза</w:t>
            </w:r>
          </w:p>
        </w:tc>
        <w:tc>
          <w:tcPr>
            <w:tcW w:w="1418" w:type="dxa"/>
            <w:vAlign w:val="center"/>
          </w:tcPr>
          <w:p w14:paraId="5AF0736F" w14:textId="77777777" w:rsidR="008143D9" w:rsidRPr="00AC3044" w:rsidRDefault="008143D9" w:rsidP="005A428D">
            <w:pPr>
              <w:rPr>
                <w:rFonts w:eastAsia="SimSun"/>
              </w:rPr>
            </w:pPr>
            <w:r w:rsidRPr="00AC3044">
              <w:rPr>
                <w:rFonts w:eastAsia="SimSun"/>
              </w:rPr>
              <w:t>Дни введения</w:t>
            </w:r>
          </w:p>
        </w:tc>
        <w:tc>
          <w:tcPr>
            <w:tcW w:w="2268" w:type="dxa"/>
            <w:vAlign w:val="center"/>
          </w:tcPr>
          <w:p w14:paraId="558960D5"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2956E9C8" w14:textId="77777777" w:rsidTr="005A428D">
        <w:trPr>
          <w:cantSplit/>
          <w:trHeight w:val="20"/>
        </w:trPr>
        <w:tc>
          <w:tcPr>
            <w:tcW w:w="959" w:type="dxa"/>
            <w:vMerge w:val="restart"/>
            <w:textDirection w:val="btLr"/>
            <w:vAlign w:val="center"/>
          </w:tcPr>
          <w:p w14:paraId="5872178D" w14:textId="77777777" w:rsidR="008143D9" w:rsidRPr="00AC3044" w:rsidRDefault="008143D9" w:rsidP="005A428D">
            <w:pPr>
              <w:rPr>
                <w:rFonts w:eastAsia="SimSun"/>
              </w:rPr>
            </w:pPr>
            <w:r w:rsidRPr="00AC3044">
              <w:rPr>
                <w:rFonts w:eastAsia="SimSun"/>
              </w:rPr>
              <w:t>Кондиционирование</w:t>
            </w:r>
          </w:p>
        </w:tc>
        <w:tc>
          <w:tcPr>
            <w:tcW w:w="1701" w:type="dxa"/>
            <w:vAlign w:val="center"/>
          </w:tcPr>
          <w:p w14:paraId="2BFE6BB8" w14:textId="77777777" w:rsidR="008143D9" w:rsidRPr="00AC3044" w:rsidRDefault="008143D9" w:rsidP="005A428D">
            <w:pPr>
              <w:rPr>
                <w:rFonts w:eastAsia="SimSun"/>
              </w:rPr>
            </w:pPr>
            <w:r w:rsidRPr="00AC3044">
              <w:rPr>
                <w:rFonts w:eastAsia="SimSun"/>
              </w:rPr>
              <w:t xml:space="preserve">Флударабин </w:t>
            </w:r>
          </w:p>
        </w:tc>
        <w:tc>
          <w:tcPr>
            <w:tcW w:w="1559" w:type="dxa"/>
            <w:vAlign w:val="center"/>
          </w:tcPr>
          <w:p w14:paraId="5A77301C" w14:textId="77777777" w:rsidR="008143D9" w:rsidRPr="00AC3044" w:rsidRDefault="008143D9" w:rsidP="005A428D">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297D79D7" w14:textId="77777777" w:rsidR="008143D9" w:rsidRPr="00AC3044" w:rsidRDefault="008143D9" w:rsidP="005A428D">
            <w:pPr>
              <w:rPr>
                <w:rFonts w:eastAsia="SimSun"/>
              </w:rPr>
            </w:pPr>
            <w:r w:rsidRPr="00AC3044">
              <w:rPr>
                <w:rFonts w:eastAsia="SimSun"/>
              </w:rPr>
              <w:t>90 мг/м</w:t>
            </w:r>
            <w:r w:rsidRPr="001E6DBE">
              <w:rPr>
                <w:rFonts w:eastAsia="SimSun"/>
                <w:vertAlign w:val="superscript"/>
              </w:rPr>
              <w:t>2</w:t>
            </w:r>
          </w:p>
        </w:tc>
        <w:tc>
          <w:tcPr>
            <w:tcW w:w="1418" w:type="dxa"/>
            <w:vAlign w:val="center"/>
          </w:tcPr>
          <w:p w14:paraId="4DB7F483" w14:textId="77777777" w:rsidR="008143D9" w:rsidRPr="00AC3044" w:rsidRDefault="008143D9" w:rsidP="005A428D">
            <w:pPr>
              <w:rPr>
                <w:rFonts w:eastAsia="SimSun"/>
              </w:rPr>
            </w:pPr>
            <w:r w:rsidRPr="00AC3044">
              <w:rPr>
                <w:rFonts w:eastAsia="SimSun"/>
              </w:rPr>
              <w:t>С -4 дня по -2 день</w:t>
            </w:r>
          </w:p>
        </w:tc>
        <w:tc>
          <w:tcPr>
            <w:tcW w:w="2268" w:type="dxa"/>
            <w:vAlign w:val="center"/>
          </w:tcPr>
          <w:p w14:paraId="252C2367"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53CEABA1" w14:textId="77777777" w:rsidTr="005A428D">
        <w:trPr>
          <w:cantSplit/>
          <w:trHeight w:val="678"/>
        </w:trPr>
        <w:tc>
          <w:tcPr>
            <w:tcW w:w="959" w:type="dxa"/>
            <w:vMerge/>
            <w:vAlign w:val="center"/>
          </w:tcPr>
          <w:p w14:paraId="06535C73" w14:textId="77777777" w:rsidR="008143D9" w:rsidRPr="00AC3044" w:rsidRDefault="008143D9" w:rsidP="005A428D">
            <w:pPr>
              <w:rPr>
                <w:rFonts w:eastAsia="SimSun"/>
              </w:rPr>
            </w:pPr>
          </w:p>
        </w:tc>
        <w:tc>
          <w:tcPr>
            <w:tcW w:w="1701" w:type="dxa"/>
            <w:vAlign w:val="center"/>
          </w:tcPr>
          <w:p w14:paraId="470E637F" w14:textId="77777777" w:rsidR="008143D9" w:rsidRPr="00AC3044" w:rsidRDefault="008143D9" w:rsidP="005A428D">
            <w:pPr>
              <w:rPr>
                <w:rFonts w:eastAsia="SimSun"/>
              </w:rPr>
            </w:pPr>
            <w:r w:rsidRPr="00AC3044">
              <w:rPr>
                <w:rFonts w:eastAsia="SimSun"/>
              </w:rPr>
              <w:t>Бендамустин</w:t>
            </w:r>
          </w:p>
        </w:tc>
        <w:tc>
          <w:tcPr>
            <w:tcW w:w="1559" w:type="dxa"/>
            <w:vAlign w:val="center"/>
          </w:tcPr>
          <w:p w14:paraId="0E0BD010" w14:textId="77777777" w:rsidR="008143D9" w:rsidRPr="00AC3044" w:rsidRDefault="008143D9" w:rsidP="005A428D">
            <w:pPr>
              <w:rPr>
                <w:rFonts w:eastAsia="SimSun"/>
              </w:rPr>
            </w:pPr>
            <w:r w:rsidRPr="00AC3044">
              <w:rPr>
                <w:rFonts w:eastAsia="SimSun"/>
              </w:rPr>
              <w:t>130 мг/м</w:t>
            </w:r>
            <w:r w:rsidRPr="001E6DBE">
              <w:rPr>
                <w:rFonts w:eastAsia="SimSun"/>
                <w:vertAlign w:val="superscript"/>
              </w:rPr>
              <w:t>2</w:t>
            </w:r>
            <w:r w:rsidRPr="00AC3044">
              <w:rPr>
                <w:rFonts w:eastAsia="SimSun"/>
              </w:rPr>
              <w:t xml:space="preserve"> </w:t>
            </w:r>
          </w:p>
        </w:tc>
        <w:tc>
          <w:tcPr>
            <w:tcW w:w="1701" w:type="dxa"/>
            <w:vAlign w:val="center"/>
          </w:tcPr>
          <w:p w14:paraId="7639AFE1" w14:textId="77777777" w:rsidR="008143D9" w:rsidRPr="00AC3044" w:rsidRDefault="008143D9" w:rsidP="005A428D">
            <w:pPr>
              <w:rPr>
                <w:rFonts w:eastAsia="SimSun"/>
              </w:rPr>
            </w:pPr>
            <w:r w:rsidRPr="00AC3044">
              <w:rPr>
                <w:rFonts w:eastAsia="SimSun"/>
              </w:rPr>
              <w:t>390 мг/м</w:t>
            </w:r>
            <w:r w:rsidRPr="001E6DBE">
              <w:rPr>
                <w:rFonts w:eastAsia="SimSun"/>
                <w:vertAlign w:val="superscript"/>
              </w:rPr>
              <w:t>2</w:t>
            </w:r>
          </w:p>
        </w:tc>
        <w:tc>
          <w:tcPr>
            <w:tcW w:w="1418" w:type="dxa"/>
            <w:vAlign w:val="center"/>
          </w:tcPr>
          <w:p w14:paraId="1E1D422D" w14:textId="77777777" w:rsidR="008143D9" w:rsidRPr="00AC3044" w:rsidRDefault="008143D9" w:rsidP="005A428D">
            <w:pPr>
              <w:rPr>
                <w:rFonts w:eastAsia="SimSun"/>
              </w:rPr>
            </w:pPr>
            <w:r w:rsidRPr="00AC3044">
              <w:rPr>
                <w:rFonts w:eastAsia="SimSun"/>
              </w:rPr>
              <w:t xml:space="preserve">  С -4 дня по -2 день</w:t>
            </w:r>
          </w:p>
        </w:tc>
        <w:tc>
          <w:tcPr>
            <w:tcW w:w="2268" w:type="dxa"/>
            <w:vAlign w:val="center"/>
          </w:tcPr>
          <w:p w14:paraId="63808080" w14:textId="77777777" w:rsidR="008143D9" w:rsidRPr="00AC3044" w:rsidRDefault="008143D9" w:rsidP="005A428D">
            <w:pPr>
              <w:rPr>
                <w:rFonts w:eastAsia="SimSun"/>
              </w:rPr>
            </w:pPr>
            <w:r w:rsidRPr="00AC3044">
              <w:rPr>
                <w:rFonts w:eastAsia="SimSun"/>
              </w:rPr>
              <w:t>В/в, в течение 1 часа</w:t>
            </w:r>
          </w:p>
        </w:tc>
      </w:tr>
      <w:tr w:rsidR="008143D9" w:rsidRPr="00AC3044" w14:paraId="2D97AC87" w14:textId="77777777" w:rsidTr="005A428D">
        <w:trPr>
          <w:cantSplit/>
          <w:trHeight w:val="958"/>
        </w:trPr>
        <w:tc>
          <w:tcPr>
            <w:tcW w:w="959" w:type="dxa"/>
            <w:vMerge w:val="restart"/>
            <w:textDirection w:val="btLr"/>
            <w:vAlign w:val="center"/>
          </w:tcPr>
          <w:p w14:paraId="3A9B265E" w14:textId="77777777" w:rsidR="008143D9" w:rsidRPr="00AC3044" w:rsidRDefault="008143D9" w:rsidP="005A428D">
            <w:pPr>
              <w:rPr>
                <w:rFonts w:eastAsia="SimSun"/>
              </w:rPr>
            </w:pPr>
            <w:r w:rsidRPr="00AC3044">
              <w:rPr>
                <w:rFonts w:eastAsia="SimSun"/>
              </w:rPr>
              <w:t>Профилактика РТПХ</w:t>
            </w:r>
          </w:p>
        </w:tc>
        <w:tc>
          <w:tcPr>
            <w:tcW w:w="1701" w:type="dxa"/>
            <w:vAlign w:val="center"/>
          </w:tcPr>
          <w:p w14:paraId="6D1BA6AF" w14:textId="77777777" w:rsidR="008143D9" w:rsidRPr="00AC3044" w:rsidRDefault="008143D9" w:rsidP="005A428D">
            <w:pPr>
              <w:rPr>
                <w:rFonts w:eastAsia="SimSun"/>
              </w:rPr>
            </w:pPr>
            <w:r w:rsidRPr="00AC3044">
              <w:rPr>
                <w:rFonts w:eastAsia="SimSun"/>
              </w:rPr>
              <w:t xml:space="preserve">Такролимус </w:t>
            </w:r>
          </w:p>
        </w:tc>
        <w:tc>
          <w:tcPr>
            <w:tcW w:w="1559" w:type="dxa"/>
            <w:vAlign w:val="center"/>
          </w:tcPr>
          <w:p w14:paraId="58D66CCD" w14:textId="77777777" w:rsidR="008143D9" w:rsidRPr="00AC3044" w:rsidRDefault="008143D9" w:rsidP="005A428D">
            <w:pPr>
              <w:rPr>
                <w:rFonts w:eastAsia="SimSun"/>
              </w:rPr>
            </w:pPr>
            <w:r w:rsidRPr="00AC3044">
              <w:rPr>
                <w:rFonts w:eastAsia="SimSun"/>
              </w:rPr>
              <w:t>0,03 мг/кг</w:t>
            </w:r>
          </w:p>
        </w:tc>
        <w:tc>
          <w:tcPr>
            <w:tcW w:w="1701" w:type="dxa"/>
            <w:vAlign w:val="center"/>
          </w:tcPr>
          <w:p w14:paraId="3518DD99" w14:textId="77777777" w:rsidR="008143D9" w:rsidRPr="00AC3044" w:rsidRDefault="008143D9" w:rsidP="005A428D">
            <w:pPr>
              <w:rPr>
                <w:rFonts w:eastAsia="SimSun"/>
              </w:rPr>
            </w:pPr>
            <w:r w:rsidRPr="00AC3044">
              <w:rPr>
                <w:rFonts w:eastAsia="SimSun"/>
              </w:rPr>
              <w:t>–</w:t>
            </w:r>
          </w:p>
        </w:tc>
        <w:tc>
          <w:tcPr>
            <w:tcW w:w="1418" w:type="dxa"/>
            <w:vAlign w:val="center"/>
          </w:tcPr>
          <w:p w14:paraId="15FA0A5B" w14:textId="77777777" w:rsidR="008143D9" w:rsidRPr="00AC3044" w:rsidRDefault="008143D9" w:rsidP="005A428D">
            <w:pPr>
              <w:rPr>
                <w:rFonts w:eastAsia="SimSun"/>
              </w:rPr>
            </w:pPr>
            <w:r w:rsidRPr="00AC3044">
              <w:rPr>
                <w:rFonts w:eastAsia="SimSun"/>
              </w:rPr>
              <w:t xml:space="preserve">С +5 дня длительно </w:t>
            </w:r>
          </w:p>
        </w:tc>
        <w:tc>
          <w:tcPr>
            <w:tcW w:w="2268" w:type="dxa"/>
            <w:vAlign w:val="center"/>
          </w:tcPr>
          <w:p w14:paraId="346BFB62" w14:textId="77777777" w:rsidR="008143D9" w:rsidRPr="00AC3044" w:rsidRDefault="008143D9" w:rsidP="005A428D">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8143D9" w:rsidRPr="00AC3044" w14:paraId="1F5D171B" w14:textId="77777777" w:rsidTr="005A428D">
        <w:trPr>
          <w:cantSplit/>
          <w:trHeight w:val="579"/>
        </w:trPr>
        <w:tc>
          <w:tcPr>
            <w:tcW w:w="959" w:type="dxa"/>
            <w:vMerge/>
            <w:textDirection w:val="btLr"/>
            <w:vAlign w:val="center"/>
          </w:tcPr>
          <w:p w14:paraId="2EC28D49" w14:textId="77777777" w:rsidR="008143D9" w:rsidRPr="00AC3044" w:rsidRDefault="008143D9" w:rsidP="005A428D">
            <w:pPr>
              <w:rPr>
                <w:rFonts w:eastAsia="SimSun"/>
              </w:rPr>
            </w:pPr>
          </w:p>
        </w:tc>
        <w:tc>
          <w:tcPr>
            <w:tcW w:w="1701" w:type="dxa"/>
            <w:vAlign w:val="center"/>
          </w:tcPr>
          <w:p w14:paraId="78B305FA" w14:textId="77777777" w:rsidR="008143D9" w:rsidRPr="00AC3044" w:rsidRDefault="008143D9" w:rsidP="005A428D">
            <w:pPr>
              <w:rPr>
                <w:rFonts w:eastAsia="SimSun"/>
              </w:rPr>
            </w:pPr>
            <w:r w:rsidRPr="00AC3044">
              <w:rPr>
                <w:rFonts w:eastAsia="SimSun"/>
              </w:rPr>
              <w:t>Циклофосфамид</w:t>
            </w:r>
          </w:p>
        </w:tc>
        <w:tc>
          <w:tcPr>
            <w:tcW w:w="1559" w:type="dxa"/>
            <w:vAlign w:val="center"/>
          </w:tcPr>
          <w:p w14:paraId="06F94D92" w14:textId="77777777" w:rsidR="008143D9" w:rsidRPr="00AC3044" w:rsidRDefault="008143D9" w:rsidP="005A428D">
            <w:pPr>
              <w:rPr>
                <w:rFonts w:eastAsia="SimSun"/>
              </w:rPr>
            </w:pPr>
            <w:r w:rsidRPr="00AC3044">
              <w:rPr>
                <w:rFonts w:eastAsia="SimSun"/>
              </w:rPr>
              <w:t>50 мг/кг</w:t>
            </w:r>
          </w:p>
        </w:tc>
        <w:tc>
          <w:tcPr>
            <w:tcW w:w="1701" w:type="dxa"/>
            <w:vAlign w:val="center"/>
          </w:tcPr>
          <w:p w14:paraId="2521965C" w14:textId="77777777" w:rsidR="008143D9" w:rsidRPr="00AC3044" w:rsidRDefault="008143D9" w:rsidP="005A428D">
            <w:pPr>
              <w:rPr>
                <w:rFonts w:eastAsia="SimSun"/>
              </w:rPr>
            </w:pPr>
            <w:r w:rsidRPr="00AC3044">
              <w:rPr>
                <w:rFonts w:eastAsia="SimSun"/>
              </w:rPr>
              <w:t>100 мг/кг</w:t>
            </w:r>
          </w:p>
        </w:tc>
        <w:tc>
          <w:tcPr>
            <w:tcW w:w="1418" w:type="dxa"/>
            <w:vAlign w:val="center"/>
          </w:tcPr>
          <w:p w14:paraId="1492035E" w14:textId="77777777" w:rsidR="008143D9" w:rsidRPr="00AC3044" w:rsidRDefault="008143D9" w:rsidP="005A428D">
            <w:pPr>
              <w:rPr>
                <w:rFonts w:eastAsia="SimSun"/>
              </w:rPr>
            </w:pPr>
            <w:r w:rsidRPr="00AC3044">
              <w:rPr>
                <w:rFonts w:eastAsia="SimSun"/>
              </w:rPr>
              <w:t xml:space="preserve">В дни +3, +4 </w:t>
            </w:r>
          </w:p>
        </w:tc>
        <w:tc>
          <w:tcPr>
            <w:tcW w:w="2268" w:type="dxa"/>
            <w:vAlign w:val="center"/>
          </w:tcPr>
          <w:p w14:paraId="4097EC9D" w14:textId="77777777" w:rsidR="008143D9" w:rsidRPr="00AC3044" w:rsidRDefault="008143D9" w:rsidP="005A428D">
            <w:pPr>
              <w:rPr>
                <w:rFonts w:eastAsia="SimSun"/>
              </w:rPr>
            </w:pPr>
            <w:r w:rsidRPr="00AC3044">
              <w:rPr>
                <w:rFonts w:eastAsia="SimSun"/>
              </w:rPr>
              <w:t>В/в, в течение 2 часов</w:t>
            </w:r>
          </w:p>
        </w:tc>
      </w:tr>
      <w:tr w:rsidR="008143D9" w:rsidRPr="00AC3044" w14:paraId="6A39E013" w14:textId="77777777" w:rsidTr="005A428D">
        <w:trPr>
          <w:cantSplit/>
          <w:trHeight w:val="418"/>
        </w:trPr>
        <w:tc>
          <w:tcPr>
            <w:tcW w:w="959" w:type="dxa"/>
            <w:vMerge/>
            <w:textDirection w:val="btLr"/>
            <w:vAlign w:val="center"/>
          </w:tcPr>
          <w:p w14:paraId="514C3901" w14:textId="77777777" w:rsidR="008143D9" w:rsidRPr="00AC3044" w:rsidRDefault="008143D9" w:rsidP="005A428D">
            <w:pPr>
              <w:rPr>
                <w:rFonts w:eastAsia="SimSun"/>
              </w:rPr>
            </w:pPr>
          </w:p>
        </w:tc>
        <w:tc>
          <w:tcPr>
            <w:tcW w:w="1701" w:type="dxa"/>
            <w:vAlign w:val="center"/>
          </w:tcPr>
          <w:p w14:paraId="7433BF2A" w14:textId="77777777" w:rsidR="008143D9" w:rsidRPr="00AC3044" w:rsidRDefault="008143D9" w:rsidP="005A428D">
            <w:pPr>
              <w:rPr>
                <w:rFonts w:eastAsia="SimSun"/>
              </w:rPr>
            </w:pPr>
            <w:r w:rsidRPr="00AC3044">
              <w:rPr>
                <w:rFonts w:eastAsia="SimSun"/>
              </w:rPr>
              <w:t>Микофенолата мофетил</w:t>
            </w:r>
          </w:p>
        </w:tc>
        <w:tc>
          <w:tcPr>
            <w:tcW w:w="1559" w:type="dxa"/>
            <w:vAlign w:val="center"/>
          </w:tcPr>
          <w:p w14:paraId="0039AC5E" w14:textId="77777777" w:rsidR="008143D9" w:rsidRPr="00AC3044" w:rsidRDefault="008143D9" w:rsidP="005A428D">
            <w:pPr>
              <w:rPr>
                <w:rFonts w:eastAsia="SimSun"/>
              </w:rPr>
            </w:pPr>
            <w:r w:rsidRPr="00AC3044">
              <w:rPr>
                <w:rFonts w:eastAsia="SimSun"/>
              </w:rPr>
              <w:t xml:space="preserve">30 мг/кг </w:t>
            </w:r>
          </w:p>
        </w:tc>
        <w:tc>
          <w:tcPr>
            <w:tcW w:w="1701" w:type="dxa"/>
            <w:vAlign w:val="center"/>
          </w:tcPr>
          <w:p w14:paraId="3F963A3C" w14:textId="77777777" w:rsidR="008143D9" w:rsidRPr="00AC3044" w:rsidRDefault="008143D9" w:rsidP="005A428D">
            <w:pPr>
              <w:rPr>
                <w:rFonts w:eastAsia="SimSun"/>
              </w:rPr>
            </w:pPr>
            <w:r w:rsidRPr="00AC3044">
              <w:rPr>
                <w:rFonts w:eastAsia="SimSun"/>
              </w:rPr>
              <w:t>–</w:t>
            </w:r>
          </w:p>
        </w:tc>
        <w:tc>
          <w:tcPr>
            <w:tcW w:w="1418" w:type="dxa"/>
            <w:vAlign w:val="center"/>
          </w:tcPr>
          <w:p w14:paraId="0144F076" w14:textId="77777777" w:rsidR="008143D9" w:rsidRPr="00AC3044" w:rsidRDefault="008143D9" w:rsidP="005A428D">
            <w:pPr>
              <w:rPr>
                <w:rFonts w:eastAsia="SimSun"/>
              </w:rPr>
            </w:pPr>
            <w:r w:rsidRPr="00AC3044">
              <w:rPr>
                <w:rFonts w:eastAsia="SimSun"/>
              </w:rPr>
              <w:t xml:space="preserve">С +5 дня по +35 день </w:t>
            </w:r>
          </w:p>
        </w:tc>
        <w:tc>
          <w:tcPr>
            <w:tcW w:w="2268" w:type="dxa"/>
            <w:vAlign w:val="center"/>
          </w:tcPr>
          <w:p w14:paraId="4CC98681" w14:textId="77777777" w:rsidR="008143D9" w:rsidRPr="00AC3044" w:rsidRDefault="008143D9" w:rsidP="005A428D">
            <w:pPr>
              <w:rPr>
                <w:rFonts w:eastAsia="SimSun"/>
              </w:rPr>
            </w:pPr>
            <w:r w:rsidRPr="00AC3044">
              <w:rPr>
                <w:rFonts w:eastAsia="SimSun"/>
              </w:rPr>
              <w:t>Внутрь, суммарная суточная доза разделяется на 2- 4 приема.</w:t>
            </w:r>
          </w:p>
        </w:tc>
      </w:tr>
    </w:tbl>
    <w:p w14:paraId="49561CB5" w14:textId="77777777" w:rsidR="008143D9" w:rsidRDefault="008143D9" w:rsidP="008143D9">
      <w:pPr>
        <w:rPr>
          <w:rFonts w:eastAsia="SimSun"/>
        </w:rPr>
      </w:pPr>
      <w:bookmarkStart w:id="139" w:name="_Toc44401175"/>
    </w:p>
    <w:p w14:paraId="07982380" w14:textId="77777777" w:rsidR="008143D9" w:rsidRPr="00042499" w:rsidRDefault="008143D9" w:rsidP="008143D9">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1.2.17  – </w:t>
      </w:r>
      <w:r w:rsidRPr="00C07B2E">
        <w:rPr>
          <w:rFonts w:eastAsia="SimSun"/>
        </w:rPr>
        <w:t>Flu</w:t>
      </w:r>
      <w:r w:rsidRPr="00042499">
        <w:rPr>
          <w:rFonts w:eastAsia="SimSun"/>
          <w:lang w:val="en-US"/>
        </w:rPr>
        <w:t>90+</w:t>
      </w:r>
      <w:r w:rsidRPr="00C07B2E">
        <w:rPr>
          <w:rFonts w:eastAsia="SimSun"/>
        </w:rPr>
        <w:t>Benda</w:t>
      </w:r>
      <w:r w:rsidRPr="00042499">
        <w:rPr>
          <w:rFonts w:eastAsia="SimSun"/>
          <w:lang w:val="en-US"/>
        </w:rPr>
        <w:t xml:space="preserve"> /</w:t>
      </w:r>
      <w:r w:rsidRPr="00C07B2E">
        <w:rPr>
          <w:rFonts w:eastAsia="SimSun"/>
        </w:rPr>
        <w:t>PT</w:t>
      </w:r>
      <w:r w:rsidRPr="00042499">
        <w:rPr>
          <w:rFonts w:eastAsia="SimSun"/>
          <w:lang w:val="en-US"/>
        </w:rPr>
        <w:t>-</w:t>
      </w:r>
      <w:r w:rsidRPr="00C07B2E">
        <w:rPr>
          <w:rFonts w:eastAsia="SimSun"/>
        </w:rPr>
        <w:t>Cy</w:t>
      </w:r>
      <w:bookmarkEnd w:id="139"/>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8143D9" w:rsidRPr="00AC3044" w14:paraId="61EF1865" w14:textId="77777777" w:rsidTr="005A428D">
        <w:trPr>
          <w:cantSplit/>
          <w:trHeight w:val="20"/>
          <w:tblHeader/>
        </w:trPr>
        <w:tc>
          <w:tcPr>
            <w:tcW w:w="959" w:type="dxa"/>
            <w:vAlign w:val="center"/>
          </w:tcPr>
          <w:p w14:paraId="72968D82" w14:textId="77777777" w:rsidR="008143D9" w:rsidRPr="009B5A5D" w:rsidRDefault="008143D9" w:rsidP="005A428D">
            <w:pPr>
              <w:rPr>
                <w:rFonts w:eastAsia="SimSun"/>
                <w:lang w:val="en-US"/>
              </w:rPr>
            </w:pPr>
          </w:p>
        </w:tc>
        <w:tc>
          <w:tcPr>
            <w:tcW w:w="1701" w:type="dxa"/>
            <w:vAlign w:val="center"/>
          </w:tcPr>
          <w:p w14:paraId="14BFB448" w14:textId="77777777" w:rsidR="008143D9" w:rsidRPr="00AC3044" w:rsidRDefault="008143D9" w:rsidP="005A428D">
            <w:pPr>
              <w:rPr>
                <w:rFonts w:eastAsia="SimSun"/>
              </w:rPr>
            </w:pPr>
            <w:r w:rsidRPr="00AC3044">
              <w:rPr>
                <w:rFonts w:eastAsia="SimSun"/>
              </w:rPr>
              <w:t>Препарат</w:t>
            </w:r>
          </w:p>
        </w:tc>
        <w:tc>
          <w:tcPr>
            <w:tcW w:w="1559" w:type="dxa"/>
            <w:vAlign w:val="center"/>
          </w:tcPr>
          <w:p w14:paraId="1973F1F8" w14:textId="77777777" w:rsidR="008143D9" w:rsidRPr="00AC3044" w:rsidRDefault="008143D9" w:rsidP="005A428D">
            <w:pPr>
              <w:rPr>
                <w:rFonts w:eastAsia="SimSun"/>
              </w:rPr>
            </w:pPr>
            <w:r w:rsidRPr="00AC3044">
              <w:rPr>
                <w:rFonts w:eastAsia="SimSun"/>
              </w:rPr>
              <w:t>Суточная доза</w:t>
            </w:r>
          </w:p>
        </w:tc>
        <w:tc>
          <w:tcPr>
            <w:tcW w:w="1701" w:type="dxa"/>
            <w:vAlign w:val="center"/>
          </w:tcPr>
          <w:p w14:paraId="10167955" w14:textId="77777777" w:rsidR="008143D9" w:rsidRPr="00AC3044" w:rsidRDefault="008143D9" w:rsidP="005A428D">
            <w:pPr>
              <w:rPr>
                <w:rFonts w:eastAsia="SimSun"/>
              </w:rPr>
            </w:pPr>
            <w:r w:rsidRPr="00AC3044">
              <w:rPr>
                <w:rFonts w:eastAsia="SimSun"/>
              </w:rPr>
              <w:t>Курсовая доза</w:t>
            </w:r>
          </w:p>
        </w:tc>
        <w:tc>
          <w:tcPr>
            <w:tcW w:w="1418" w:type="dxa"/>
            <w:vAlign w:val="center"/>
          </w:tcPr>
          <w:p w14:paraId="49397B3C" w14:textId="77777777" w:rsidR="008143D9" w:rsidRPr="00AC3044" w:rsidRDefault="008143D9" w:rsidP="005A428D">
            <w:pPr>
              <w:rPr>
                <w:rFonts w:eastAsia="SimSun"/>
              </w:rPr>
            </w:pPr>
            <w:r w:rsidRPr="00AC3044">
              <w:rPr>
                <w:rFonts w:eastAsia="SimSun"/>
              </w:rPr>
              <w:t>Дни введения</w:t>
            </w:r>
          </w:p>
        </w:tc>
        <w:tc>
          <w:tcPr>
            <w:tcW w:w="2268" w:type="dxa"/>
            <w:vAlign w:val="center"/>
          </w:tcPr>
          <w:p w14:paraId="3D397FF8"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12C9B56A" w14:textId="77777777" w:rsidTr="005A428D">
        <w:trPr>
          <w:cantSplit/>
          <w:trHeight w:val="20"/>
        </w:trPr>
        <w:tc>
          <w:tcPr>
            <w:tcW w:w="959" w:type="dxa"/>
            <w:vMerge w:val="restart"/>
            <w:textDirection w:val="btLr"/>
            <w:vAlign w:val="center"/>
          </w:tcPr>
          <w:p w14:paraId="2C87C996" w14:textId="77777777" w:rsidR="008143D9" w:rsidRPr="00AC3044" w:rsidRDefault="008143D9" w:rsidP="005A428D">
            <w:pPr>
              <w:rPr>
                <w:rFonts w:eastAsia="SimSun"/>
              </w:rPr>
            </w:pPr>
            <w:r w:rsidRPr="00AC3044">
              <w:rPr>
                <w:rFonts w:eastAsia="SimSun"/>
              </w:rPr>
              <w:t>Кондиционирование</w:t>
            </w:r>
          </w:p>
        </w:tc>
        <w:tc>
          <w:tcPr>
            <w:tcW w:w="1701" w:type="dxa"/>
            <w:vAlign w:val="center"/>
          </w:tcPr>
          <w:p w14:paraId="704D52BC" w14:textId="77777777" w:rsidR="008143D9" w:rsidRPr="00AC3044" w:rsidRDefault="008143D9" w:rsidP="005A428D">
            <w:pPr>
              <w:rPr>
                <w:rFonts w:eastAsia="SimSun"/>
              </w:rPr>
            </w:pPr>
            <w:r w:rsidRPr="00AC3044">
              <w:rPr>
                <w:rFonts w:eastAsia="SimSun"/>
              </w:rPr>
              <w:t xml:space="preserve">Флударабин </w:t>
            </w:r>
          </w:p>
        </w:tc>
        <w:tc>
          <w:tcPr>
            <w:tcW w:w="1559" w:type="dxa"/>
            <w:vAlign w:val="center"/>
          </w:tcPr>
          <w:p w14:paraId="616BEEEE" w14:textId="77777777" w:rsidR="008143D9" w:rsidRPr="00AC3044" w:rsidRDefault="008143D9" w:rsidP="005A428D">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04BA0B63" w14:textId="77777777" w:rsidR="008143D9" w:rsidRPr="00AC3044" w:rsidRDefault="008143D9" w:rsidP="005A428D">
            <w:pPr>
              <w:rPr>
                <w:rFonts w:eastAsia="SimSun"/>
              </w:rPr>
            </w:pPr>
            <w:r w:rsidRPr="00AC3044">
              <w:rPr>
                <w:rFonts w:eastAsia="SimSun"/>
              </w:rPr>
              <w:t>90 мг/м</w:t>
            </w:r>
            <w:r w:rsidRPr="001E6DBE">
              <w:rPr>
                <w:rFonts w:eastAsia="SimSun"/>
                <w:vertAlign w:val="superscript"/>
              </w:rPr>
              <w:t>2</w:t>
            </w:r>
          </w:p>
        </w:tc>
        <w:tc>
          <w:tcPr>
            <w:tcW w:w="1418" w:type="dxa"/>
            <w:vAlign w:val="center"/>
          </w:tcPr>
          <w:p w14:paraId="70539028" w14:textId="77777777" w:rsidR="008143D9" w:rsidRPr="00AC3044" w:rsidRDefault="008143D9" w:rsidP="005A428D">
            <w:pPr>
              <w:rPr>
                <w:rFonts w:eastAsia="SimSun"/>
              </w:rPr>
            </w:pPr>
            <w:r w:rsidRPr="00AC3044">
              <w:rPr>
                <w:rFonts w:eastAsia="SimSun"/>
              </w:rPr>
              <w:t>С -4 дня по -2 день</w:t>
            </w:r>
          </w:p>
        </w:tc>
        <w:tc>
          <w:tcPr>
            <w:tcW w:w="2268" w:type="dxa"/>
            <w:vAlign w:val="center"/>
          </w:tcPr>
          <w:p w14:paraId="50CE3B67"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3304FDBE" w14:textId="77777777" w:rsidTr="005A428D">
        <w:trPr>
          <w:cantSplit/>
          <w:trHeight w:val="394"/>
        </w:trPr>
        <w:tc>
          <w:tcPr>
            <w:tcW w:w="959" w:type="dxa"/>
            <w:vMerge/>
            <w:vAlign w:val="center"/>
          </w:tcPr>
          <w:p w14:paraId="5F415290" w14:textId="77777777" w:rsidR="008143D9" w:rsidRPr="00AC3044" w:rsidRDefault="008143D9" w:rsidP="005A428D">
            <w:pPr>
              <w:rPr>
                <w:rFonts w:eastAsia="SimSun"/>
              </w:rPr>
            </w:pPr>
          </w:p>
        </w:tc>
        <w:tc>
          <w:tcPr>
            <w:tcW w:w="1701" w:type="dxa"/>
            <w:vAlign w:val="center"/>
          </w:tcPr>
          <w:p w14:paraId="68093AD9" w14:textId="77777777" w:rsidR="008143D9" w:rsidRPr="00AC3044" w:rsidRDefault="008143D9" w:rsidP="005A428D">
            <w:pPr>
              <w:rPr>
                <w:rFonts w:eastAsia="SimSun"/>
              </w:rPr>
            </w:pPr>
            <w:r w:rsidRPr="00AC3044">
              <w:rPr>
                <w:rFonts w:eastAsia="SimSun"/>
              </w:rPr>
              <w:t>Бендамустин</w:t>
            </w:r>
          </w:p>
        </w:tc>
        <w:tc>
          <w:tcPr>
            <w:tcW w:w="1559" w:type="dxa"/>
            <w:vAlign w:val="center"/>
          </w:tcPr>
          <w:p w14:paraId="45237D2F" w14:textId="77777777" w:rsidR="008143D9" w:rsidRPr="00AC3044" w:rsidRDefault="008143D9" w:rsidP="005A428D">
            <w:pPr>
              <w:rPr>
                <w:rFonts w:eastAsia="SimSun"/>
              </w:rPr>
            </w:pPr>
            <w:r w:rsidRPr="00AC3044">
              <w:rPr>
                <w:rFonts w:eastAsia="SimSun"/>
              </w:rPr>
              <w:t>130 мг/м</w:t>
            </w:r>
            <w:r w:rsidRPr="001E6DBE">
              <w:rPr>
                <w:rFonts w:eastAsia="SimSun"/>
                <w:vertAlign w:val="superscript"/>
              </w:rPr>
              <w:t>2</w:t>
            </w:r>
            <w:r w:rsidRPr="00AC3044">
              <w:rPr>
                <w:rFonts w:eastAsia="SimSun"/>
              </w:rPr>
              <w:t xml:space="preserve"> </w:t>
            </w:r>
          </w:p>
        </w:tc>
        <w:tc>
          <w:tcPr>
            <w:tcW w:w="1701" w:type="dxa"/>
            <w:vAlign w:val="center"/>
          </w:tcPr>
          <w:p w14:paraId="7D86528E" w14:textId="77777777" w:rsidR="008143D9" w:rsidRPr="00AC3044" w:rsidRDefault="008143D9" w:rsidP="005A428D">
            <w:pPr>
              <w:rPr>
                <w:rFonts w:eastAsia="SimSun"/>
              </w:rPr>
            </w:pPr>
            <w:r w:rsidRPr="00AC3044">
              <w:rPr>
                <w:rFonts w:eastAsia="SimSun"/>
              </w:rPr>
              <w:t>390 мг/м</w:t>
            </w:r>
            <w:r w:rsidRPr="001E6DBE">
              <w:rPr>
                <w:rFonts w:eastAsia="SimSun"/>
                <w:vertAlign w:val="superscript"/>
              </w:rPr>
              <w:t>2</w:t>
            </w:r>
          </w:p>
        </w:tc>
        <w:tc>
          <w:tcPr>
            <w:tcW w:w="1418" w:type="dxa"/>
            <w:vAlign w:val="center"/>
          </w:tcPr>
          <w:p w14:paraId="251A13AA" w14:textId="77777777" w:rsidR="008143D9" w:rsidRPr="00AC3044" w:rsidRDefault="008143D9" w:rsidP="005A428D">
            <w:pPr>
              <w:rPr>
                <w:rFonts w:eastAsia="SimSun"/>
              </w:rPr>
            </w:pPr>
            <w:r w:rsidRPr="00AC3044">
              <w:rPr>
                <w:rFonts w:eastAsia="SimSun"/>
              </w:rPr>
              <w:t xml:space="preserve">  С -4 дня по -2 день</w:t>
            </w:r>
          </w:p>
        </w:tc>
        <w:tc>
          <w:tcPr>
            <w:tcW w:w="2268" w:type="dxa"/>
            <w:vAlign w:val="center"/>
          </w:tcPr>
          <w:p w14:paraId="747120D2" w14:textId="77777777" w:rsidR="008143D9" w:rsidRPr="00AC3044" w:rsidRDefault="008143D9" w:rsidP="005A428D">
            <w:pPr>
              <w:rPr>
                <w:rFonts w:eastAsia="SimSun"/>
              </w:rPr>
            </w:pPr>
            <w:r w:rsidRPr="00AC3044">
              <w:rPr>
                <w:rFonts w:eastAsia="SimSun"/>
              </w:rPr>
              <w:t>В/в, в течение 1 часа</w:t>
            </w:r>
          </w:p>
        </w:tc>
      </w:tr>
      <w:tr w:rsidR="008143D9" w:rsidRPr="00AC3044" w14:paraId="52376C81" w14:textId="77777777" w:rsidTr="005A428D">
        <w:trPr>
          <w:cantSplit/>
          <w:trHeight w:val="958"/>
        </w:trPr>
        <w:tc>
          <w:tcPr>
            <w:tcW w:w="959" w:type="dxa"/>
            <w:textDirection w:val="btLr"/>
            <w:vAlign w:val="center"/>
          </w:tcPr>
          <w:p w14:paraId="618739C3" w14:textId="77777777" w:rsidR="008143D9" w:rsidRPr="00AC3044" w:rsidRDefault="008143D9" w:rsidP="005A428D">
            <w:pPr>
              <w:rPr>
                <w:rFonts w:eastAsia="SimSun"/>
              </w:rPr>
            </w:pPr>
            <w:r w:rsidRPr="00AC3044">
              <w:rPr>
                <w:rFonts w:eastAsia="SimSun"/>
              </w:rPr>
              <w:t>Профилактика РТПХ</w:t>
            </w:r>
          </w:p>
        </w:tc>
        <w:tc>
          <w:tcPr>
            <w:tcW w:w="1701" w:type="dxa"/>
            <w:vAlign w:val="center"/>
          </w:tcPr>
          <w:p w14:paraId="1BBFE295" w14:textId="77777777" w:rsidR="008143D9" w:rsidRPr="00AC3044" w:rsidRDefault="008143D9" w:rsidP="005A428D">
            <w:pPr>
              <w:rPr>
                <w:rFonts w:eastAsia="SimSun"/>
              </w:rPr>
            </w:pPr>
            <w:r w:rsidRPr="00AC3044">
              <w:rPr>
                <w:rFonts w:eastAsia="SimSun"/>
              </w:rPr>
              <w:t>Циклофосфамид</w:t>
            </w:r>
          </w:p>
        </w:tc>
        <w:tc>
          <w:tcPr>
            <w:tcW w:w="1559" w:type="dxa"/>
            <w:vAlign w:val="center"/>
          </w:tcPr>
          <w:p w14:paraId="2B642175" w14:textId="77777777" w:rsidR="008143D9" w:rsidRPr="00AC3044" w:rsidRDefault="008143D9" w:rsidP="005A428D">
            <w:pPr>
              <w:rPr>
                <w:rFonts w:eastAsia="SimSun"/>
              </w:rPr>
            </w:pPr>
            <w:r w:rsidRPr="00AC3044">
              <w:rPr>
                <w:rFonts w:eastAsia="SimSun"/>
              </w:rPr>
              <w:t>50 мг/кг</w:t>
            </w:r>
          </w:p>
        </w:tc>
        <w:tc>
          <w:tcPr>
            <w:tcW w:w="1701" w:type="dxa"/>
            <w:vAlign w:val="center"/>
          </w:tcPr>
          <w:p w14:paraId="3B64493D" w14:textId="77777777" w:rsidR="008143D9" w:rsidRPr="00AC3044" w:rsidRDefault="008143D9" w:rsidP="005A428D">
            <w:pPr>
              <w:rPr>
                <w:rFonts w:eastAsia="SimSun"/>
              </w:rPr>
            </w:pPr>
            <w:r w:rsidRPr="00AC3044">
              <w:rPr>
                <w:rFonts w:eastAsia="SimSun"/>
              </w:rPr>
              <w:t>100 мг/кг</w:t>
            </w:r>
          </w:p>
        </w:tc>
        <w:tc>
          <w:tcPr>
            <w:tcW w:w="1418" w:type="dxa"/>
            <w:vAlign w:val="center"/>
          </w:tcPr>
          <w:p w14:paraId="115A8ACB" w14:textId="77777777" w:rsidR="008143D9" w:rsidRPr="00AC3044" w:rsidRDefault="008143D9" w:rsidP="005A428D">
            <w:pPr>
              <w:rPr>
                <w:rFonts w:eastAsia="SimSun"/>
              </w:rPr>
            </w:pPr>
            <w:r w:rsidRPr="00AC3044">
              <w:rPr>
                <w:rFonts w:eastAsia="SimSun"/>
              </w:rPr>
              <w:t xml:space="preserve">В дни +3, +4 </w:t>
            </w:r>
          </w:p>
        </w:tc>
        <w:tc>
          <w:tcPr>
            <w:tcW w:w="2268" w:type="dxa"/>
            <w:vAlign w:val="center"/>
          </w:tcPr>
          <w:p w14:paraId="598B5B39" w14:textId="77777777" w:rsidR="008143D9" w:rsidRPr="00AC3044" w:rsidRDefault="008143D9" w:rsidP="005A428D">
            <w:pPr>
              <w:rPr>
                <w:rFonts w:eastAsia="SimSun"/>
              </w:rPr>
            </w:pPr>
            <w:r w:rsidRPr="00AC3044">
              <w:rPr>
                <w:rFonts w:eastAsia="SimSun"/>
              </w:rPr>
              <w:t>В/в, в течение 2 часов</w:t>
            </w:r>
          </w:p>
        </w:tc>
      </w:tr>
    </w:tbl>
    <w:p w14:paraId="334A5FB0" w14:textId="77777777" w:rsidR="008143D9" w:rsidRDefault="008143D9" w:rsidP="008143D9">
      <w:pPr>
        <w:rPr>
          <w:rFonts w:eastAsia="SimSun"/>
        </w:rPr>
      </w:pPr>
      <w:bookmarkStart w:id="140" w:name="_Toc44401176"/>
    </w:p>
    <w:p w14:paraId="4745C013" w14:textId="77777777" w:rsidR="008143D9" w:rsidRPr="00C07B2E" w:rsidRDefault="008143D9" w:rsidP="008143D9">
      <w:pPr>
        <w:rPr>
          <w:rFonts w:eastAsia="SimSun"/>
        </w:rPr>
      </w:pPr>
      <w:r>
        <w:rPr>
          <w:rFonts w:eastAsia="SimSun"/>
        </w:rPr>
        <w:t>Таблица</w:t>
      </w:r>
      <w:r w:rsidRPr="00C07B2E">
        <w:rPr>
          <w:rFonts w:eastAsia="SimSun"/>
        </w:rPr>
        <w:t xml:space="preserve"> </w:t>
      </w:r>
      <w:r>
        <w:rPr>
          <w:rFonts w:eastAsia="SimSun"/>
        </w:rPr>
        <w:t>5.</w:t>
      </w:r>
      <w:r w:rsidRPr="00C07B2E">
        <w:rPr>
          <w:rFonts w:eastAsia="SimSun"/>
        </w:rPr>
        <w:t>2.2.18 – Flu100+Cy100 / hATG+CSA+MTX</w:t>
      </w:r>
      <w:bookmarkEnd w:id="140"/>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701"/>
        <w:gridCol w:w="1418"/>
        <w:gridCol w:w="2268"/>
      </w:tblGrid>
      <w:tr w:rsidR="008143D9" w:rsidRPr="00AC3044" w14:paraId="611BCB58" w14:textId="77777777" w:rsidTr="005A428D">
        <w:trPr>
          <w:cantSplit/>
          <w:trHeight w:val="20"/>
          <w:tblHeader/>
        </w:trPr>
        <w:tc>
          <w:tcPr>
            <w:tcW w:w="993" w:type="dxa"/>
          </w:tcPr>
          <w:p w14:paraId="59E66A46" w14:textId="77777777" w:rsidR="008143D9" w:rsidRPr="00470D3D" w:rsidRDefault="008143D9" w:rsidP="005A428D">
            <w:pPr>
              <w:rPr>
                <w:rFonts w:eastAsia="SimSun"/>
              </w:rPr>
            </w:pPr>
          </w:p>
        </w:tc>
        <w:tc>
          <w:tcPr>
            <w:tcW w:w="1701" w:type="dxa"/>
            <w:vAlign w:val="center"/>
          </w:tcPr>
          <w:p w14:paraId="7787E34E" w14:textId="77777777" w:rsidR="008143D9" w:rsidRPr="00AC3044" w:rsidRDefault="008143D9" w:rsidP="005A428D">
            <w:pPr>
              <w:rPr>
                <w:rFonts w:eastAsia="SimSun"/>
              </w:rPr>
            </w:pPr>
            <w:r w:rsidRPr="00AC3044">
              <w:rPr>
                <w:rFonts w:eastAsia="SimSun"/>
              </w:rPr>
              <w:t>Препарат</w:t>
            </w:r>
          </w:p>
        </w:tc>
        <w:tc>
          <w:tcPr>
            <w:tcW w:w="1559" w:type="dxa"/>
            <w:vAlign w:val="center"/>
          </w:tcPr>
          <w:p w14:paraId="33282C69" w14:textId="77777777" w:rsidR="008143D9" w:rsidRPr="00AC3044" w:rsidRDefault="008143D9" w:rsidP="005A428D">
            <w:pPr>
              <w:rPr>
                <w:rFonts w:eastAsia="SimSun"/>
              </w:rPr>
            </w:pPr>
            <w:r w:rsidRPr="00AC3044">
              <w:rPr>
                <w:rFonts w:eastAsia="SimSun"/>
              </w:rPr>
              <w:t>Суточная доза</w:t>
            </w:r>
          </w:p>
        </w:tc>
        <w:tc>
          <w:tcPr>
            <w:tcW w:w="1701" w:type="dxa"/>
            <w:vAlign w:val="center"/>
          </w:tcPr>
          <w:p w14:paraId="273C8266" w14:textId="77777777" w:rsidR="008143D9" w:rsidRPr="00AC3044" w:rsidRDefault="008143D9" w:rsidP="005A428D">
            <w:pPr>
              <w:rPr>
                <w:rFonts w:eastAsia="SimSun"/>
              </w:rPr>
            </w:pPr>
            <w:r w:rsidRPr="00AC3044">
              <w:rPr>
                <w:rFonts w:eastAsia="SimSun"/>
              </w:rPr>
              <w:t>Курсовая доза</w:t>
            </w:r>
          </w:p>
        </w:tc>
        <w:tc>
          <w:tcPr>
            <w:tcW w:w="1418" w:type="dxa"/>
            <w:vAlign w:val="center"/>
          </w:tcPr>
          <w:p w14:paraId="57635D1E" w14:textId="77777777" w:rsidR="008143D9" w:rsidRPr="00AC3044" w:rsidRDefault="008143D9" w:rsidP="005A428D">
            <w:pPr>
              <w:rPr>
                <w:rFonts w:eastAsia="SimSun"/>
              </w:rPr>
            </w:pPr>
            <w:r w:rsidRPr="00AC3044">
              <w:rPr>
                <w:rFonts w:eastAsia="SimSun"/>
              </w:rPr>
              <w:t>Дни введения</w:t>
            </w:r>
          </w:p>
        </w:tc>
        <w:tc>
          <w:tcPr>
            <w:tcW w:w="2268" w:type="dxa"/>
            <w:vAlign w:val="center"/>
          </w:tcPr>
          <w:p w14:paraId="19F82E7A" w14:textId="77777777" w:rsidR="008143D9" w:rsidRPr="00AC3044" w:rsidRDefault="008143D9" w:rsidP="005A428D">
            <w:pPr>
              <w:rPr>
                <w:rFonts w:eastAsia="SimSun"/>
              </w:rPr>
            </w:pPr>
            <w:r w:rsidRPr="00AC3044">
              <w:rPr>
                <w:rFonts w:eastAsia="SimSun"/>
              </w:rPr>
              <w:t>Порядок введения</w:t>
            </w:r>
          </w:p>
        </w:tc>
      </w:tr>
      <w:tr w:rsidR="008143D9" w:rsidRPr="00C07B2E" w14:paraId="5F793C2B" w14:textId="77777777" w:rsidTr="005A428D">
        <w:trPr>
          <w:cantSplit/>
          <w:trHeight w:val="20"/>
        </w:trPr>
        <w:tc>
          <w:tcPr>
            <w:tcW w:w="993" w:type="dxa"/>
            <w:vMerge w:val="restart"/>
            <w:textDirection w:val="btLr"/>
            <w:vAlign w:val="center"/>
          </w:tcPr>
          <w:p w14:paraId="0254E4AF" w14:textId="77777777" w:rsidR="008143D9" w:rsidRPr="00AC3044" w:rsidRDefault="008143D9" w:rsidP="005A428D">
            <w:pPr>
              <w:rPr>
                <w:rFonts w:eastAsia="SimSun"/>
              </w:rPr>
            </w:pPr>
            <w:r w:rsidRPr="00AC3044">
              <w:rPr>
                <w:rFonts w:eastAsia="SimSun"/>
              </w:rPr>
              <w:t>Кондиционирование</w:t>
            </w:r>
          </w:p>
        </w:tc>
        <w:tc>
          <w:tcPr>
            <w:tcW w:w="1701" w:type="dxa"/>
            <w:vAlign w:val="center"/>
          </w:tcPr>
          <w:p w14:paraId="0DD5CEC4" w14:textId="77777777" w:rsidR="008143D9" w:rsidRPr="00AC3044" w:rsidRDefault="008143D9" w:rsidP="005A428D">
            <w:pPr>
              <w:rPr>
                <w:rFonts w:eastAsia="SimSun"/>
              </w:rPr>
            </w:pPr>
            <w:r w:rsidRPr="00AC3044">
              <w:rPr>
                <w:rFonts w:eastAsia="SimSun"/>
              </w:rPr>
              <w:t xml:space="preserve">Флударабин </w:t>
            </w:r>
          </w:p>
        </w:tc>
        <w:tc>
          <w:tcPr>
            <w:tcW w:w="1559" w:type="dxa"/>
            <w:vAlign w:val="center"/>
          </w:tcPr>
          <w:p w14:paraId="5E69E9BB" w14:textId="77777777" w:rsidR="008143D9" w:rsidRPr="00AC3044" w:rsidRDefault="008143D9" w:rsidP="005A428D">
            <w:pPr>
              <w:rPr>
                <w:rFonts w:eastAsia="SimSun"/>
              </w:rPr>
            </w:pPr>
            <w:r w:rsidRPr="00AC3044">
              <w:rPr>
                <w:rFonts w:eastAsia="SimSun"/>
              </w:rPr>
              <w:t>25 мг/м</w:t>
            </w:r>
            <w:r w:rsidRPr="001E6DBE">
              <w:rPr>
                <w:rFonts w:eastAsia="SimSun"/>
                <w:vertAlign w:val="superscript"/>
              </w:rPr>
              <w:t>2</w:t>
            </w:r>
          </w:p>
        </w:tc>
        <w:tc>
          <w:tcPr>
            <w:tcW w:w="1701" w:type="dxa"/>
            <w:vAlign w:val="center"/>
          </w:tcPr>
          <w:p w14:paraId="20388214" w14:textId="77777777" w:rsidR="008143D9" w:rsidRPr="00AC3044" w:rsidRDefault="008143D9" w:rsidP="005A428D">
            <w:pPr>
              <w:rPr>
                <w:rFonts w:eastAsia="SimSun"/>
              </w:rPr>
            </w:pPr>
            <w:r w:rsidRPr="00AC3044">
              <w:rPr>
                <w:rFonts w:eastAsia="SimSun"/>
              </w:rPr>
              <w:t>100 мг/м</w:t>
            </w:r>
            <w:r w:rsidRPr="001E6DBE">
              <w:rPr>
                <w:rFonts w:eastAsia="SimSun"/>
                <w:vertAlign w:val="superscript"/>
              </w:rPr>
              <w:t>2</w:t>
            </w:r>
          </w:p>
        </w:tc>
        <w:tc>
          <w:tcPr>
            <w:tcW w:w="1418" w:type="dxa"/>
            <w:vAlign w:val="center"/>
          </w:tcPr>
          <w:p w14:paraId="32E2F642" w14:textId="77777777" w:rsidR="008143D9" w:rsidRPr="00AC3044" w:rsidRDefault="008143D9" w:rsidP="005A428D">
            <w:pPr>
              <w:rPr>
                <w:rFonts w:eastAsia="SimSun"/>
              </w:rPr>
            </w:pPr>
            <w:r w:rsidRPr="00AC3044">
              <w:rPr>
                <w:rFonts w:eastAsia="SimSun"/>
              </w:rPr>
              <w:t xml:space="preserve">С –5 по –2 день </w:t>
            </w:r>
          </w:p>
        </w:tc>
        <w:tc>
          <w:tcPr>
            <w:tcW w:w="2268" w:type="dxa"/>
            <w:vAlign w:val="center"/>
          </w:tcPr>
          <w:p w14:paraId="480E1645" w14:textId="77777777" w:rsidR="008143D9" w:rsidRPr="00AC3044" w:rsidRDefault="008143D9" w:rsidP="005A428D">
            <w:pPr>
              <w:rPr>
                <w:rFonts w:eastAsia="SimSun"/>
              </w:rPr>
            </w:pPr>
            <w:r w:rsidRPr="00AC3044">
              <w:rPr>
                <w:rFonts w:eastAsia="SimSun"/>
              </w:rPr>
              <w:t>В/в, в течение 30 -60 мин</w:t>
            </w:r>
          </w:p>
        </w:tc>
      </w:tr>
      <w:tr w:rsidR="008143D9" w:rsidRPr="00C07B2E" w14:paraId="16340DB3" w14:textId="77777777" w:rsidTr="005A428D">
        <w:trPr>
          <w:cantSplit/>
          <w:trHeight w:val="704"/>
        </w:trPr>
        <w:tc>
          <w:tcPr>
            <w:tcW w:w="993" w:type="dxa"/>
            <w:vMerge/>
            <w:textDirection w:val="btLr"/>
            <w:vAlign w:val="center"/>
          </w:tcPr>
          <w:p w14:paraId="49061510" w14:textId="77777777" w:rsidR="008143D9" w:rsidRPr="00AC3044" w:rsidRDefault="008143D9" w:rsidP="005A428D">
            <w:pPr>
              <w:rPr>
                <w:rFonts w:eastAsia="SimSun"/>
              </w:rPr>
            </w:pPr>
          </w:p>
        </w:tc>
        <w:tc>
          <w:tcPr>
            <w:tcW w:w="1701" w:type="dxa"/>
            <w:vAlign w:val="center"/>
          </w:tcPr>
          <w:p w14:paraId="0962DFAE" w14:textId="77777777" w:rsidR="008143D9" w:rsidRPr="00AC3044" w:rsidRDefault="008143D9" w:rsidP="005A428D">
            <w:pPr>
              <w:rPr>
                <w:rFonts w:eastAsia="SimSun"/>
              </w:rPr>
            </w:pPr>
            <w:r w:rsidRPr="00AC3044">
              <w:rPr>
                <w:rFonts w:eastAsia="SimSun"/>
              </w:rPr>
              <w:t>Циклофосфамид</w:t>
            </w:r>
          </w:p>
        </w:tc>
        <w:tc>
          <w:tcPr>
            <w:tcW w:w="1559" w:type="dxa"/>
            <w:vAlign w:val="center"/>
          </w:tcPr>
          <w:p w14:paraId="312BDA06" w14:textId="77777777" w:rsidR="008143D9" w:rsidRPr="00AC3044" w:rsidRDefault="008143D9" w:rsidP="005A428D">
            <w:pPr>
              <w:rPr>
                <w:rFonts w:eastAsia="SimSun"/>
              </w:rPr>
            </w:pPr>
            <w:r w:rsidRPr="00AC3044">
              <w:rPr>
                <w:rFonts w:eastAsia="SimSun"/>
              </w:rPr>
              <w:t>25 мг/кг</w:t>
            </w:r>
          </w:p>
        </w:tc>
        <w:tc>
          <w:tcPr>
            <w:tcW w:w="1701" w:type="dxa"/>
            <w:vAlign w:val="center"/>
          </w:tcPr>
          <w:p w14:paraId="7A57DA6A" w14:textId="77777777" w:rsidR="008143D9" w:rsidRPr="00AC3044" w:rsidRDefault="008143D9" w:rsidP="005A428D">
            <w:pPr>
              <w:rPr>
                <w:rFonts w:eastAsia="SimSun"/>
              </w:rPr>
            </w:pPr>
            <w:r w:rsidRPr="00AC3044">
              <w:rPr>
                <w:rFonts w:eastAsia="SimSun"/>
              </w:rPr>
              <w:t>100 мг/кг</w:t>
            </w:r>
          </w:p>
        </w:tc>
        <w:tc>
          <w:tcPr>
            <w:tcW w:w="1418" w:type="dxa"/>
            <w:vAlign w:val="center"/>
          </w:tcPr>
          <w:p w14:paraId="1763043B" w14:textId="77777777" w:rsidR="008143D9" w:rsidRPr="00AC3044" w:rsidRDefault="008143D9" w:rsidP="005A428D">
            <w:pPr>
              <w:rPr>
                <w:rFonts w:eastAsia="SimSun"/>
              </w:rPr>
            </w:pPr>
            <w:r w:rsidRPr="00AC3044">
              <w:rPr>
                <w:rFonts w:eastAsia="SimSun"/>
              </w:rPr>
              <w:t>С –5 по –2 день</w:t>
            </w:r>
          </w:p>
        </w:tc>
        <w:tc>
          <w:tcPr>
            <w:tcW w:w="2268" w:type="dxa"/>
            <w:vAlign w:val="center"/>
          </w:tcPr>
          <w:p w14:paraId="4CA5F851" w14:textId="77777777" w:rsidR="008143D9" w:rsidRPr="00AC3044" w:rsidRDefault="008143D9" w:rsidP="005A428D">
            <w:pPr>
              <w:rPr>
                <w:rFonts w:eastAsia="SimSun"/>
              </w:rPr>
            </w:pPr>
            <w:r w:rsidRPr="00AC3044">
              <w:rPr>
                <w:rFonts w:eastAsia="SimSun"/>
              </w:rPr>
              <w:t>В/в, в течение 2 часов</w:t>
            </w:r>
          </w:p>
        </w:tc>
      </w:tr>
      <w:tr w:rsidR="008143D9" w:rsidRPr="00C07B2E" w14:paraId="2796AEC1" w14:textId="77777777" w:rsidTr="005A428D">
        <w:trPr>
          <w:cantSplit/>
          <w:trHeight w:val="20"/>
        </w:trPr>
        <w:tc>
          <w:tcPr>
            <w:tcW w:w="993" w:type="dxa"/>
            <w:vMerge w:val="restart"/>
            <w:textDirection w:val="btLr"/>
            <w:vAlign w:val="center"/>
          </w:tcPr>
          <w:p w14:paraId="65FE506F" w14:textId="77777777" w:rsidR="008143D9" w:rsidRPr="00AC3044" w:rsidRDefault="008143D9" w:rsidP="005A428D">
            <w:pPr>
              <w:rPr>
                <w:rFonts w:eastAsia="SimSun"/>
              </w:rPr>
            </w:pPr>
            <w:r w:rsidRPr="00AC3044">
              <w:rPr>
                <w:rFonts w:eastAsia="SimSun"/>
              </w:rPr>
              <w:t>Профилактика РТПХ</w:t>
            </w:r>
          </w:p>
        </w:tc>
        <w:tc>
          <w:tcPr>
            <w:tcW w:w="1701" w:type="dxa"/>
            <w:vAlign w:val="center"/>
          </w:tcPr>
          <w:p w14:paraId="6860AC4E" w14:textId="77777777" w:rsidR="008143D9" w:rsidRPr="00AC3044" w:rsidRDefault="008143D9" w:rsidP="005A428D">
            <w:pPr>
              <w:rPr>
                <w:rFonts w:eastAsia="SimSun"/>
              </w:rPr>
            </w:pPr>
            <w:r w:rsidRPr="00AC3044">
              <w:rPr>
                <w:rFonts w:eastAsia="SimSun"/>
              </w:rPr>
              <w:t>АТГ (лошадиный)</w:t>
            </w:r>
          </w:p>
        </w:tc>
        <w:tc>
          <w:tcPr>
            <w:tcW w:w="1559" w:type="dxa"/>
            <w:vAlign w:val="center"/>
          </w:tcPr>
          <w:p w14:paraId="5FBF2172" w14:textId="77777777" w:rsidR="008143D9" w:rsidRPr="00AC3044" w:rsidRDefault="008143D9" w:rsidP="005A428D">
            <w:pPr>
              <w:rPr>
                <w:rFonts w:eastAsia="SimSun"/>
              </w:rPr>
            </w:pPr>
            <w:r w:rsidRPr="00AC3044">
              <w:rPr>
                <w:rFonts w:eastAsia="SimSun"/>
              </w:rPr>
              <w:t>25 мг/кг</w:t>
            </w:r>
          </w:p>
        </w:tc>
        <w:tc>
          <w:tcPr>
            <w:tcW w:w="1701" w:type="dxa"/>
            <w:vAlign w:val="center"/>
          </w:tcPr>
          <w:p w14:paraId="42730EF2" w14:textId="77777777" w:rsidR="008143D9" w:rsidRPr="00AC3044" w:rsidRDefault="008143D9" w:rsidP="005A428D">
            <w:pPr>
              <w:rPr>
                <w:rFonts w:eastAsia="SimSun"/>
              </w:rPr>
            </w:pPr>
            <w:r w:rsidRPr="00AC3044">
              <w:rPr>
                <w:rFonts w:eastAsia="SimSun"/>
              </w:rPr>
              <w:t>100 мг/кг</w:t>
            </w:r>
          </w:p>
        </w:tc>
        <w:tc>
          <w:tcPr>
            <w:tcW w:w="1418" w:type="dxa"/>
            <w:vAlign w:val="center"/>
          </w:tcPr>
          <w:p w14:paraId="53112F68" w14:textId="77777777" w:rsidR="008143D9" w:rsidRPr="00AC3044" w:rsidRDefault="008143D9" w:rsidP="005A428D">
            <w:pPr>
              <w:rPr>
                <w:rFonts w:eastAsia="SimSun"/>
              </w:rPr>
            </w:pPr>
            <w:r w:rsidRPr="00AC3044">
              <w:rPr>
                <w:rFonts w:eastAsia="SimSun"/>
              </w:rPr>
              <w:t>С –4 по –1 день</w:t>
            </w:r>
          </w:p>
        </w:tc>
        <w:tc>
          <w:tcPr>
            <w:tcW w:w="2268" w:type="dxa"/>
            <w:vAlign w:val="center"/>
          </w:tcPr>
          <w:p w14:paraId="55548C49" w14:textId="77777777" w:rsidR="008143D9" w:rsidRPr="00AC3044" w:rsidRDefault="008143D9" w:rsidP="005A428D">
            <w:pPr>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на 2 введения (см. гл. 3, «Инфузия АТГ»)</w:t>
            </w:r>
          </w:p>
        </w:tc>
      </w:tr>
      <w:tr w:rsidR="008143D9" w:rsidRPr="00C07B2E" w14:paraId="577DDE57" w14:textId="77777777" w:rsidTr="005A428D">
        <w:trPr>
          <w:cantSplit/>
          <w:trHeight w:val="1141"/>
        </w:trPr>
        <w:tc>
          <w:tcPr>
            <w:tcW w:w="993" w:type="dxa"/>
            <w:vMerge/>
            <w:textDirection w:val="btLr"/>
          </w:tcPr>
          <w:p w14:paraId="5ABADA9C" w14:textId="77777777" w:rsidR="008143D9" w:rsidRPr="00AC3044" w:rsidRDefault="008143D9" w:rsidP="005A428D">
            <w:pPr>
              <w:rPr>
                <w:rFonts w:eastAsia="SimSun"/>
              </w:rPr>
            </w:pPr>
          </w:p>
        </w:tc>
        <w:tc>
          <w:tcPr>
            <w:tcW w:w="1701" w:type="dxa"/>
            <w:vAlign w:val="center"/>
          </w:tcPr>
          <w:p w14:paraId="4D616ADD" w14:textId="77777777" w:rsidR="008143D9" w:rsidRPr="00AC3044" w:rsidRDefault="008143D9" w:rsidP="005A428D">
            <w:pPr>
              <w:rPr>
                <w:rFonts w:eastAsia="SimSun"/>
              </w:rPr>
            </w:pPr>
            <w:r w:rsidRPr="00AC3044">
              <w:rPr>
                <w:rFonts w:eastAsia="SimSun"/>
              </w:rPr>
              <w:t>Циклоспорин</w:t>
            </w:r>
          </w:p>
        </w:tc>
        <w:tc>
          <w:tcPr>
            <w:tcW w:w="1559" w:type="dxa"/>
            <w:vAlign w:val="center"/>
          </w:tcPr>
          <w:p w14:paraId="2D4D721C" w14:textId="77777777" w:rsidR="008143D9" w:rsidRPr="00AC3044" w:rsidRDefault="008143D9" w:rsidP="005A428D">
            <w:pPr>
              <w:rPr>
                <w:rFonts w:eastAsia="SimSun"/>
              </w:rPr>
            </w:pPr>
            <w:r w:rsidRPr="00AC3044">
              <w:rPr>
                <w:rFonts w:eastAsia="SimSun"/>
              </w:rPr>
              <w:t>3 мг/кг</w:t>
            </w:r>
          </w:p>
        </w:tc>
        <w:tc>
          <w:tcPr>
            <w:tcW w:w="1701" w:type="dxa"/>
            <w:vAlign w:val="center"/>
          </w:tcPr>
          <w:p w14:paraId="0F1F5D23" w14:textId="77777777" w:rsidR="008143D9" w:rsidRPr="00AC3044" w:rsidRDefault="008143D9" w:rsidP="005A428D">
            <w:pPr>
              <w:rPr>
                <w:rFonts w:eastAsia="SimSun"/>
              </w:rPr>
            </w:pPr>
            <w:r w:rsidRPr="00AC3044">
              <w:rPr>
                <w:rFonts w:eastAsia="SimSun"/>
              </w:rPr>
              <w:t>–</w:t>
            </w:r>
          </w:p>
        </w:tc>
        <w:tc>
          <w:tcPr>
            <w:tcW w:w="1418" w:type="dxa"/>
            <w:vAlign w:val="center"/>
          </w:tcPr>
          <w:p w14:paraId="4144CDB3" w14:textId="77777777" w:rsidR="008143D9" w:rsidRPr="00AC3044" w:rsidRDefault="008143D9" w:rsidP="005A428D">
            <w:pPr>
              <w:rPr>
                <w:rFonts w:eastAsia="SimSun"/>
              </w:rPr>
            </w:pPr>
            <w:r w:rsidRPr="00AC3044">
              <w:rPr>
                <w:rFonts w:eastAsia="SimSun"/>
              </w:rPr>
              <w:t>С –1 дня по +230 день затем постепенное снижение к +270 дню</w:t>
            </w:r>
          </w:p>
        </w:tc>
        <w:tc>
          <w:tcPr>
            <w:tcW w:w="2268" w:type="dxa"/>
            <w:vAlign w:val="center"/>
          </w:tcPr>
          <w:p w14:paraId="07941888" w14:textId="77777777" w:rsidR="008143D9" w:rsidRPr="00AC3044" w:rsidRDefault="008143D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8143D9" w:rsidRPr="00C07B2E" w14:paraId="4DC2FCE6" w14:textId="77777777" w:rsidTr="005A428D">
        <w:trPr>
          <w:cantSplit/>
          <w:trHeight w:val="20"/>
        </w:trPr>
        <w:tc>
          <w:tcPr>
            <w:tcW w:w="993" w:type="dxa"/>
            <w:vMerge/>
          </w:tcPr>
          <w:p w14:paraId="12C78DA5" w14:textId="77777777" w:rsidR="008143D9" w:rsidRPr="00AC3044" w:rsidRDefault="008143D9" w:rsidP="005A428D">
            <w:pPr>
              <w:rPr>
                <w:rFonts w:eastAsia="SimSun"/>
              </w:rPr>
            </w:pPr>
          </w:p>
        </w:tc>
        <w:tc>
          <w:tcPr>
            <w:tcW w:w="1701" w:type="dxa"/>
            <w:vAlign w:val="center"/>
          </w:tcPr>
          <w:p w14:paraId="0C91A4D9" w14:textId="77777777" w:rsidR="008143D9" w:rsidRPr="00AC3044" w:rsidRDefault="008143D9" w:rsidP="005A428D">
            <w:pPr>
              <w:rPr>
                <w:rFonts w:eastAsia="SimSun"/>
              </w:rPr>
            </w:pPr>
            <w:r w:rsidRPr="00AC3044">
              <w:rPr>
                <w:rFonts w:eastAsia="SimSun"/>
              </w:rPr>
              <w:t>Метотрексат</w:t>
            </w:r>
          </w:p>
        </w:tc>
        <w:tc>
          <w:tcPr>
            <w:tcW w:w="1559" w:type="dxa"/>
            <w:vAlign w:val="center"/>
          </w:tcPr>
          <w:p w14:paraId="4A6DCB42" w14:textId="77777777" w:rsidR="008143D9" w:rsidRPr="00AC3044" w:rsidRDefault="008143D9" w:rsidP="005A428D">
            <w:pPr>
              <w:rPr>
                <w:rFonts w:eastAsia="SimSun"/>
              </w:rPr>
            </w:pPr>
            <w:r w:rsidRPr="00AC3044">
              <w:rPr>
                <w:rFonts w:eastAsia="SimSun"/>
              </w:rPr>
              <w:t>15 мг/м</w:t>
            </w:r>
            <w:r w:rsidRPr="001E6DBE">
              <w:rPr>
                <w:rFonts w:eastAsia="SimSun"/>
                <w:vertAlign w:val="superscript"/>
              </w:rPr>
              <w:t>2</w:t>
            </w:r>
          </w:p>
        </w:tc>
        <w:tc>
          <w:tcPr>
            <w:tcW w:w="1701" w:type="dxa"/>
            <w:vAlign w:val="center"/>
          </w:tcPr>
          <w:p w14:paraId="711B862E" w14:textId="77777777" w:rsidR="008143D9" w:rsidRPr="00AC3044" w:rsidRDefault="008143D9" w:rsidP="005A428D">
            <w:pPr>
              <w:rPr>
                <w:rFonts w:eastAsia="SimSun"/>
              </w:rPr>
            </w:pPr>
            <w:r w:rsidRPr="00AC3044">
              <w:rPr>
                <w:rFonts w:eastAsia="SimSun"/>
              </w:rPr>
              <w:t>–</w:t>
            </w:r>
          </w:p>
        </w:tc>
        <w:tc>
          <w:tcPr>
            <w:tcW w:w="1418" w:type="dxa"/>
            <w:vAlign w:val="center"/>
          </w:tcPr>
          <w:p w14:paraId="47F77F6F" w14:textId="77777777" w:rsidR="008143D9" w:rsidRPr="00AC3044" w:rsidRDefault="008143D9" w:rsidP="005A428D">
            <w:pPr>
              <w:rPr>
                <w:rFonts w:eastAsia="SimSun"/>
              </w:rPr>
            </w:pPr>
            <w:r w:rsidRPr="00AC3044">
              <w:rPr>
                <w:rFonts w:eastAsia="SimSun"/>
              </w:rPr>
              <w:t>+1 день</w:t>
            </w:r>
          </w:p>
        </w:tc>
        <w:tc>
          <w:tcPr>
            <w:tcW w:w="2268" w:type="dxa"/>
            <w:vAlign w:val="center"/>
          </w:tcPr>
          <w:p w14:paraId="7CE08E60" w14:textId="77777777" w:rsidR="008143D9" w:rsidRPr="00AC3044" w:rsidRDefault="008143D9" w:rsidP="005A428D">
            <w:pPr>
              <w:rPr>
                <w:rFonts w:eastAsia="SimSun"/>
              </w:rPr>
            </w:pPr>
            <w:r w:rsidRPr="00AC3044">
              <w:rPr>
                <w:rFonts w:eastAsia="SimSun"/>
              </w:rPr>
              <w:t xml:space="preserve">В/в, в 20 мл физ. р-ра </w:t>
            </w:r>
          </w:p>
        </w:tc>
      </w:tr>
      <w:tr w:rsidR="008143D9" w:rsidRPr="00C07B2E" w14:paraId="0E179B4F" w14:textId="77777777" w:rsidTr="005A428D">
        <w:trPr>
          <w:cantSplit/>
          <w:trHeight w:val="464"/>
        </w:trPr>
        <w:tc>
          <w:tcPr>
            <w:tcW w:w="993" w:type="dxa"/>
            <w:vMerge/>
          </w:tcPr>
          <w:p w14:paraId="4C6CDF7E" w14:textId="77777777" w:rsidR="008143D9" w:rsidRPr="00AC3044" w:rsidRDefault="008143D9" w:rsidP="005A428D">
            <w:pPr>
              <w:rPr>
                <w:rFonts w:eastAsia="SimSun"/>
              </w:rPr>
            </w:pPr>
          </w:p>
        </w:tc>
        <w:tc>
          <w:tcPr>
            <w:tcW w:w="1701" w:type="dxa"/>
            <w:vAlign w:val="center"/>
          </w:tcPr>
          <w:p w14:paraId="07C6B9BF" w14:textId="77777777" w:rsidR="008143D9" w:rsidRPr="00AC3044" w:rsidRDefault="008143D9" w:rsidP="005A428D">
            <w:pPr>
              <w:rPr>
                <w:rFonts w:eastAsia="SimSun"/>
              </w:rPr>
            </w:pPr>
            <w:r w:rsidRPr="00AC3044">
              <w:rPr>
                <w:rFonts w:eastAsia="SimSun"/>
              </w:rPr>
              <w:t>Метотрексат</w:t>
            </w:r>
          </w:p>
        </w:tc>
        <w:tc>
          <w:tcPr>
            <w:tcW w:w="1559" w:type="dxa"/>
            <w:vAlign w:val="center"/>
          </w:tcPr>
          <w:p w14:paraId="6DD0871C" w14:textId="77777777" w:rsidR="008143D9" w:rsidRPr="00AC3044" w:rsidRDefault="008143D9" w:rsidP="005A428D">
            <w:pPr>
              <w:rPr>
                <w:rFonts w:eastAsia="SimSun"/>
              </w:rPr>
            </w:pPr>
            <w:r w:rsidRPr="00AC3044">
              <w:rPr>
                <w:rFonts w:eastAsia="SimSun"/>
              </w:rPr>
              <w:t>10 мг/м</w:t>
            </w:r>
            <w:r w:rsidRPr="001E6DBE">
              <w:rPr>
                <w:rFonts w:eastAsia="SimSun"/>
                <w:vertAlign w:val="superscript"/>
              </w:rPr>
              <w:t>2</w:t>
            </w:r>
          </w:p>
        </w:tc>
        <w:tc>
          <w:tcPr>
            <w:tcW w:w="1701" w:type="dxa"/>
            <w:vAlign w:val="center"/>
          </w:tcPr>
          <w:p w14:paraId="73DC3C3F" w14:textId="77777777" w:rsidR="008143D9" w:rsidRPr="00AC3044" w:rsidRDefault="008143D9" w:rsidP="005A428D">
            <w:pPr>
              <w:rPr>
                <w:rFonts w:eastAsia="SimSun"/>
              </w:rPr>
            </w:pPr>
            <w:r w:rsidRPr="00AC3044">
              <w:rPr>
                <w:rFonts w:eastAsia="SimSun"/>
              </w:rPr>
              <w:t>–</w:t>
            </w:r>
          </w:p>
        </w:tc>
        <w:tc>
          <w:tcPr>
            <w:tcW w:w="1418" w:type="dxa"/>
            <w:vAlign w:val="center"/>
          </w:tcPr>
          <w:p w14:paraId="63003F7C" w14:textId="77777777" w:rsidR="008143D9" w:rsidRPr="00AC3044" w:rsidRDefault="008143D9" w:rsidP="005A428D">
            <w:pPr>
              <w:rPr>
                <w:rFonts w:eastAsia="SimSun"/>
              </w:rPr>
            </w:pPr>
            <w:r w:rsidRPr="00AC3044">
              <w:rPr>
                <w:rFonts w:eastAsia="SimSun"/>
              </w:rPr>
              <w:t>+3, +6, +11 дни</w:t>
            </w:r>
          </w:p>
        </w:tc>
        <w:tc>
          <w:tcPr>
            <w:tcW w:w="2268" w:type="dxa"/>
            <w:vAlign w:val="center"/>
          </w:tcPr>
          <w:p w14:paraId="1B9068F7" w14:textId="77777777" w:rsidR="008143D9" w:rsidRPr="00AC3044" w:rsidRDefault="008143D9" w:rsidP="005A428D">
            <w:pPr>
              <w:rPr>
                <w:rFonts w:eastAsia="SimSun"/>
              </w:rPr>
            </w:pPr>
            <w:r w:rsidRPr="00AC3044">
              <w:rPr>
                <w:rFonts w:eastAsia="SimSun"/>
              </w:rPr>
              <w:t xml:space="preserve">В/в, в 20 мл физ. р-ра </w:t>
            </w:r>
          </w:p>
        </w:tc>
      </w:tr>
    </w:tbl>
    <w:p w14:paraId="3AADD56E" w14:textId="77777777" w:rsidR="008143D9" w:rsidRDefault="008143D9" w:rsidP="008143D9">
      <w:pPr>
        <w:rPr>
          <w:rFonts w:eastAsia="SimSun"/>
        </w:rPr>
      </w:pPr>
      <w:bookmarkStart w:id="141" w:name="_Toc44401177"/>
    </w:p>
    <w:p w14:paraId="39E1AB7D" w14:textId="77777777" w:rsidR="008143D9" w:rsidRPr="00042499" w:rsidRDefault="008143D9" w:rsidP="008143D9">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1.2.19  – </w:t>
      </w:r>
      <w:r w:rsidRPr="00C07B2E">
        <w:rPr>
          <w:rFonts w:eastAsia="SimSun"/>
        </w:rPr>
        <w:t>Flu</w:t>
      </w:r>
      <w:r w:rsidRPr="00042499">
        <w:rPr>
          <w:rFonts w:eastAsia="SimSun"/>
          <w:lang w:val="en-US"/>
        </w:rPr>
        <w:t>120+</w:t>
      </w:r>
      <w:r w:rsidRPr="00C07B2E">
        <w:rPr>
          <w:rFonts w:eastAsia="SimSun"/>
        </w:rPr>
        <w:t>Cy</w:t>
      </w:r>
      <w:r w:rsidRPr="00042499">
        <w:rPr>
          <w:rFonts w:eastAsia="SimSun"/>
          <w:lang w:val="en-US"/>
        </w:rPr>
        <w:t>2000+</w:t>
      </w:r>
      <w:r w:rsidRPr="00C07B2E">
        <w:rPr>
          <w:rFonts w:eastAsia="SimSun"/>
        </w:rPr>
        <w:t>Mel</w:t>
      </w:r>
      <w:r w:rsidRPr="00042499">
        <w:rPr>
          <w:rFonts w:eastAsia="SimSun"/>
          <w:lang w:val="en-US"/>
        </w:rPr>
        <w:t xml:space="preserve">140 / </w:t>
      </w:r>
      <w:r w:rsidRPr="00C07B2E">
        <w:rPr>
          <w:rFonts w:eastAsia="SimSun"/>
        </w:rPr>
        <w:t>PT</w:t>
      </w:r>
      <w:r w:rsidRPr="00042499">
        <w:rPr>
          <w:rFonts w:eastAsia="SimSun"/>
          <w:lang w:val="en-US"/>
        </w:rPr>
        <w:t>-</w:t>
      </w:r>
      <w:r w:rsidRPr="00C07B2E">
        <w:rPr>
          <w:rFonts w:eastAsia="SimSun"/>
        </w:rPr>
        <w:t>Cy</w:t>
      </w:r>
      <w:r w:rsidRPr="00042499">
        <w:rPr>
          <w:rFonts w:eastAsia="SimSun"/>
          <w:lang w:val="en-US"/>
        </w:rPr>
        <w:t>+</w:t>
      </w:r>
      <w:r w:rsidRPr="00C07B2E">
        <w:rPr>
          <w:rFonts w:eastAsia="SimSun"/>
        </w:rPr>
        <w:t>CSA</w:t>
      </w:r>
      <w:r w:rsidRPr="00042499">
        <w:rPr>
          <w:rFonts w:eastAsia="SimSun"/>
          <w:lang w:val="en-US"/>
        </w:rPr>
        <w:t>+</w:t>
      </w:r>
      <w:r w:rsidRPr="00C07B2E">
        <w:rPr>
          <w:rFonts w:eastAsia="SimSun"/>
        </w:rPr>
        <w:t>MMF</w:t>
      </w:r>
      <w:r w:rsidRPr="00042499">
        <w:rPr>
          <w:rFonts w:eastAsia="SimSun"/>
          <w:lang w:val="en-US"/>
        </w:rPr>
        <w:t>45</w:t>
      </w:r>
      <w:bookmarkEnd w:id="141"/>
    </w:p>
    <w:tbl>
      <w:tblPr>
        <w:tblW w:w="9605" w:type="dxa"/>
        <w:tblInd w:w="1" w:type="dxa"/>
        <w:tblLayout w:type="fixed"/>
        <w:tblCellMar>
          <w:left w:w="10" w:type="dxa"/>
          <w:right w:w="10" w:type="dxa"/>
        </w:tblCellMar>
        <w:tblLook w:val="0000" w:firstRow="0" w:lastRow="0" w:firstColumn="0" w:lastColumn="0" w:noHBand="0" w:noVBand="0"/>
      </w:tblPr>
      <w:tblGrid>
        <w:gridCol w:w="958"/>
        <w:gridCol w:w="1701"/>
        <w:gridCol w:w="1559"/>
        <w:gridCol w:w="1701"/>
        <w:gridCol w:w="1418"/>
        <w:gridCol w:w="2268"/>
      </w:tblGrid>
      <w:tr w:rsidR="008143D9" w:rsidRPr="00AC3044" w14:paraId="361E6FD6" w14:textId="77777777" w:rsidTr="005A428D">
        <w:trPr>
          <w:trHeight w:val="20"/>
          <w:tblHeader/>
        </w:trPr>
        <w:tc>
          <w:tcPr>
            <w:tcW w:w="9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7C9BAD" w14:textId="77777777" w:rsidR="008143D9" w:rsidRPr="009B5A5D" w:rsidRDefault="008143D9" w:rsidP="005A428D">
            <w:pPr>
              <w:rPr>
                <w:rFonts w:eastAsia="SimSun"/>
                <w:lang w:val="en-US"/>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46CF757" w14:textId="77777777" w:rsidR="008143D9" w:rsidRPr="00AC3044" w:rsidRDefault="008143D9" w:rsidP="005A428D">
            <w:pPr>
              <w:rPr>
                <w:rFonts w:eastAsia="SimSun"/>
              </w:rPr>
            </w:pPr>
            <w:r w:rsidRPr="00AC3044">
              <w:rPr>
                <w:rFonts w:eastAsia="SimSun"/>
              </w:rPr>
              <w:t>Препарат</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359A6FD" w14:textId="77777777" w:rsidR="008143D9" w:rsidRPr="00AC3044" w:rsidRDefault="008143D9" w:rsidP="005A428D">
            <w:pPr>
              <w:rPr>
                <w:rFonts w:eastAsia="SimSun"/>
              </w:rPr>
            </w:pPr>
            <w:r w:rsidRPr="00AC3044">
              <w:rPr>
                <w:rFonts w:eastAsia="SimSun"/>
              </w:rPr>
              <w:t>Суточная доза</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167FE58" w14:textId="77777777" w:rsidR="008143D9" w:rsidRPr="00AC3044" w:rsidRDefault="008143D9" w:rsidP="005A428D">
            <w:pPr>
              <w:rPr>
                <w:rFonts w:eastAsia="SimSun"/>
              </w:rPr>
            </w:pPr>
            <w:r w:rsidRPr="00AC3044">
              <w:rPr>
                <w:rFonts w:eastAsia="SimSun"/>
              </w:rPr>
              <w:t>Курсовая доза</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D9545EB" w14:textId="77777777" w:rsidR="008143D9" w:rsidRPr="00AC3044" w:rsidRDefault="008143D9" w:rsidP="005A428D">
            <w:pPr>
              <w:rPr>
                <w:rFonts w:eastAsia="SimSun"/>
              </w:rPr>
            </w:pPr>
            <w:r w:rsidRPr="00AC3044">
              <w:rPr>
                <w:rFonts w:eastAsia="SimSun"/>
              </w:rPr>
              <w:t>Дни введения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2A81AF0"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154D8627" w14:textId="77777777" w:rsidTr="005A428D">
        <w:trPr>
          <w:trHeight w:val="20"/>
        </w:trPr>
        <w:tc>
          <w:tcPr>
            <w:tcW w:w="958" w:type="dxa"/>
            <w:vMerge w:val="restart"/>
            <w:tcBorders>
              <w:top w:val="single" w:sz="4" w:space="0" w:color="00000A"/>
              <w:left w:val="single" w:sz="4" w:space="0" w:color="00000A"/>
              <w:right w:val="single" w:sz="4" w:space="0" w:color="00000A"/>
            </w:tcBorders>
            <w:tcMar>
              <w:top w:w="0" w:type="dxa"/>
              <w:left w:w="108" w:type="dxa"/>
              <w:bottom w:w="0" w:type="dxa"/>
              <w:right w:w="108" w:type="dxa"/>
            </w:tcMar>
            <w:textDirection w:val="btLr"/>
            <w:vAlign w:val="center"/>
          </w:tcPr>
          <w:p w14:paraId="48B527F4" w14:textId="77777777" w:rsidR="008143D9" w:rsidRPr="00AC3044" w:rsidRDefault="008143D9" w:rsidP="005A428D">
            <w:pPr>
              <w:rPr>
                <w:rFonts w:eastAsia="SimSun"/>
              </w:rPr>
            </w:pPr>
            <w:r w:rsidRPr="00AC3044">
              <w:rPr>
                <w:rFonts w:eastAsia="SimSun"/>
              </w:rPr>
              <w:t>Кондиционирование</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8CA92DB" w14:textId="77777777" w:rsidR="008143D9" w:rsidRPr="00AC3044" w:rsidRDefault="008143D9" w:rsidP="005A428D">
            <w:pPr>
              <w:rPr>
                <w:rFonts w:eastAsia="SimSun"/>
              </w:rPr>
            </w:pPr>
            <w:r w:rsidRPr="00AC3044">
              <w:rPr>
                <w:rFonts w:eastAsia="SimSun"/>
              </w:rPr>
              <w:t>Флударабин</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3E70C5E2" w14:textId="77777777" w:rsidR="008143D9" w:rsidRPr="00AC3044" w:rsidRDefault="008143D9" w:rsidP="005A428D">
            <w:pPr>
              <w:rPr>
                <w:rFonts w:eastAsia="SimSun"/>
              </w:rPr>
            </w:pPr>
            <w:r w:rsidRPr="00AC3044">
              <w:rPr>
                <w:rFonts w:eastAsia="SimSun"/>
              </w:rPr>
              <w:t>40 мг/м</w:t>
            </w:r>
            <w:r w:rsidRPr="001E6DBE">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07643F47" w14:textId="77777777" w:rsidR="008143D9" w:rsidRPr="00AC3044" w:rsidRDefault="008143D9" w:rsidP="005A428D">
            <w:pPr>
              <w:rPr>
                <w:rFonts w:eastAsia="SimSun"/>
              </w:rPr>
            </w:pPr>
            <w:r w:rsidRPr="00AC3044">
              <w:rPr>
                <w:rFonts w:eastAsia="SimSun"/>
              </w:rPr>
              <w:t>120 мг/м</w:t>
            </w:r>
            <w:r w:rsidRPr="001E6DBE">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2BDC47E8" w14:textId="77777777" w:rsidR="008143D9" w:rsidRPr="00AC3044" w:rsidRDefault="008143D9" w:rsidP="005A428D">
            <w:pPr>
              <w:rPr>
                <w:rFonts w:eastAsia="SimSun"/>
              </w:rPr>
            </w:pPr>
            <w:r w:rsidRPr="00AC3044">
              <w:rPr>
                <w:rFonts w:eastAsia="SimSun"/>
              </w:rPr>
              <w:t>С –5 по –3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CBF6334"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6B3A1EF7" w14:textId="77777777" w:rsidTr="005A428D">
        <w:trPr>
          <w:trHeight w:val="1011"/>
        </w:trPr>
        <w:tc>
          <w:tcPr>
            <w:tcW w:w="958" w:type="dxa"/>
            <w:vMerge/>
            <w:tcBorders>
              <w:left w:val="single" w:sz="4" w:space="0" w:color="00000A"/>
              <w:right w:val="single" w:sz="4" w:space="0" w:color="00000A"/>
            </w:tcBorders>
            <w:tcMar>
              <w:top w:w="0" w:type="dxa"/>
              <w:left w:w="108" w:type="dxa"/>
              <w:bottom w:w="0" w:type="dxa"/>
              <w:right w:w="108" w:type="dxa"/>
            </w:tcMar>
            <w:textDirection w:val="btLr"/>
            <w:vAlign w:val="center"/>
          </w:tcPr>
          <w:p w14:paraId="5A204BDA" w14:textId="77777777" w:rsidR="008143D9" w:rsidRPr="00AC3044" w:rsidRDefault="008143D9" w:rsidP="005A428D">
            <w:pPr>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40AC130" w14:textId="77777777" w:rsidR="008143D9" w:rsidRPr="00AC3044" w:rsidRDefault="008143D9" w:rsidP="005A428D">
            <w:pPr>
              <w:rPr>
                <w:rFonts w:eastAsia="SimSun"/>
              </w:rPr>
            </w:pPr>
            <w:r w:rsidRPr="00AC3044">
              <w:rPr>
                <w:rFonts w:eastAsia="SimSun"/>
              </w:rPr>
              <w:t>Циклофосфамид</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BA223DB" w14:textId="77777777" w:rsidR="008143D9" w:rsidRPr="00AC3044" w:rsidRDefault="008143D9" w:rsidP="005A428D">
            <w:pPr>
              <w:rPr>
                <w:rFonts w:eastAsia="SimSun"/>
              </w:rPr>
            </w:pPr>
            <w:r w:rsidRPr="00AC3044">
              <w:rPr>
                <w:rFonts w:eastAsia="SimSun"/>
              </w:rPr>
              <w:t>1000 мг/м</w:t>
            </w:r>
            <w:r w:rsidRPr="001E6DBE">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6466519" w14:textId="77777777" w:rsidR="008143D9" w:rsidRPr="00AC3044" w:rsidRDefault="008143D9" w:rsidP="005A428D">
            <w:pPr>
              <w:rPr>
                <w:rFonts w:eastAsia="SimSun"/>
              </w:rPr>
            </w:pPr>
            <w:r w:rsidRPr="00AC3044">
              <w:rPr>
                <w:rFonts w:eastAsia="SimSun"/>
              </w:rPr>
              <w:t>2000 мг/м</w:t>
            </w:r>
            <w:r w:rsidRPr="001E6DBE">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5A13011" w14:textId="77777777" w:rsidR="008143D9" w:rsidRPr="00AC3044" w:rsidRDefault="008143D9" w:rsidP="005A428D">
            <w:pPr>
              <w:rPr>
                <w:rFonts w:eastAsia="SimSun"/>
              </w:rPr>
            </w:pPr>
            <w:r w:rsidRPr="00AC3044">
              <w:rPr>
                <w:rFonts w:eastAsia="SimSun"/>
              </w:rPr>
              <w:t>-7, -6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3BE0106" w14:textId="77777777" w:rsidR="008143D9" w:rsidRPr="00AC3044" w:rsidRDefault="008143D9" w:rsidP="005A428D">
            <w:pPr>
              <w:rPr>
                <w:rFonts w:eastAsia="SimSun"/>
              </w:rPr>
            </w:pPr>
            <w:r w:rsidRPr="00AC3044">
              <w:rPr>
                <w:rFonts w:eastAsia="SimSun"/>
              </w:rPr>
              <w:t>В/в, в течение 2 часов</w:t>
            </w:r>
          </w:p>
        </w:tc>
      </w:tr>
      <w:tr w:rsidR="008143D9" w:rsidRPr="00AC3044" w14:paraId="03C0A9D2" w14:textId="77777777" w:rsidTr="005A428D">
        <w:trPr>
          <w:trHeight w:val="402"/>
        </w:trPr>
        <w:tc>
          <w:tcPr>
            <w:tcW w:w="958" w:type="dxa"/>
            <w:vMerge/>
            <w:tcBorders>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2FC2D721" w14:textId="77777777" w:rsidR="008143D9" w:rsidRPr="00AC3044" w:rsidRDefault="008143D9" w:rsidP="005A428D">
            <w:pPr>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0C3C7F5" w14:textId="77777777" w:rsidR="008143D9" w:rsidRPr="00AC3044" w:rsidRDefault="008143D9" w:rsidP="005A428D">
            <w:pPr>
              <w:rPr>
                <w:rFonts w:eastAsia="SimSun"/>
              </w:rPr>
            </w:pPr>
            <w:r w:rsidRPr="00AC3044">
              <w:rPr>
                <w:rFonts w:eastAsia="SimSun"/>
              </w:rPr>
              <w:t>Мелфалан</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1DAD9F8" w14:textId="77777777" w:rsidR="008143D9" w:rsidRPr="00AC3044" w:rsidRDefault="008143D9" w:rsidP="005A428D">
            <w:pPr>
              <w:rPr>
                <w:rFonts w:eastAsia="SimSun"/>
              </w:rPr>
            </w:pPr>
            <w:r w:rsidRPr="00AC3044">
              <w:rPr>
                <w:rFonts w:eastAsia="SimSun"/>
              </w:rPr>
              <w:t>140 мг/м</w:t>
            </w:r>
            <w:r w:rsidRPr="001E6DBE">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3E8E25F" w14:textId="77777777" w:rsidR="008143D9" w:rsidRPr="00AC3044" w:rsidRDefault="008143D9" w:rsidP="005A428D">
            <w:pPr>
              <w:rPr>
                <w:rFonts w:eastAsia="SimSun"/>
              </w:rPr>
            </w:pPr>
            <w:r w:rsidRPr="00AC3044">
              <w:rPr>
                <w:rFonts w:eastAsia="SimSun"/>
              </w:rPr>
              <w:t>140 мг/м</w:t>
            </w:r>
            <w:r w:rsidRPr="001E6DBE">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8414A34" w14:textId="77777777" w:rsidR="008143D9" w:rsidRPr="00AC3044" w:rsidRDefault="008143D9" w:rsidP="005A428D">
            <w:pPr>
              <w:rPr>
                <w:rFonts w:eastAsia="SimSun"/>
              </w:rPr>
            </w:pPr>
            <w:r w:rsidRPr="00AC3044">
              <w:rPr>
                <w:rFonts w:eastAsia="SimSun"/>
              </w:rPr>
              <w:t>-2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BC871BF" w14:textId="77777777" w:rsidR="008143D9" w:rsidRPr="00AC3044" w:rsidRDefault="008143D9" w:rsidP="005A428D">
            <w:pPr>
              <w:rPr>
                <w:rFonts w:eastAsia="SimSun"/>
              </w:rPr>
            </w:pPr>
            <w:r w:rsidRPr="00AC3044">
              <w:rPr>
                <w:rFonts w:eastAsia="SimSun"/>
              </w:rPr>
              <w:t>В/в, в течение 1 часа</w:t>
            </w:r>
          </w:p>
        </w:tc>
      </w:tr>
      <w:tr w:rsidR="008143D9" w:rsidRPr="00AC3044" w14:paraId="356670F3" w14:textId="77777777" w:rsidTr="005A428D">
        <w:trPr>
          <w:trHeight w:val="20"/>
        </w:trPr>
        <w:tc>
          <w:tcPr>
            <w:tcW w:w="95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113F9377" w14:textId="77777777" w:rsidR="008143D9" w:rsidRPr="00AC3044" w:rsidRDefault="008143D9" w:rsidP="005A428D">
            <w:pPr>
              <w:rPr>
                <w:rFonts w:eastAsia="SimSun"/>
              </w:rPr>
            </w:pPr>
            <w:r w:rsidRPr="00AC3044">
              <w:rPr>
                <w:rFonts w:eastAsia="SimSun"/>
              </w:rPr>
              <w:t>Профилактика РТПХ</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F08FC38" w14:textId="77777777" w:rsidR="008143D9" w:rsidRPr="00AC3044" w:rsidRDefault="008143D9" w:rsidP="005A428D">
            <w:pPr>
              <w:rPr>
                <w:rFonts w:eastAsia="SimSun"/>
              </w:rPr>
            </w:pPr>
            <w:r w:rsidRPr="00AC3044">
              <w:rPr>
                <w:rFonts w:eastAsia="SimSun"/>
              </w:rPr>
              <w:t>Циклоспорин</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6C0CED5" w14:textId="77777777" w:rsidR="008143D9" w:rsidRPr="00AC3044" w:rsidRDefault="008143D9" w:rsidP="005A428D">
            <w:pPr>
              <w:rPr>
                <w:rFonts w:eastAsia="SimSun"/>
              </w:rPr>
            </w:pPr>
            <w:r w:rsidRPr="00AC3044">
              <w:rPr>
                <w:rFonts w:eastAsia="SimSun"/>
              </w:rPr>
              <w:t>3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DCB76BA" w14:textId="77777777" w:rsidR="008143D9" w:rsidRPr="00AC3044" w:rsidRDefault="008143D9" w:rsidP="005A428D">
            <w:pPr>
              <w:rPr>
                <w:rFonts w:eastAsia="SimSun"/>
              </w:rPr>
            </w:pPr>
            <w:r w:rsidRPr="00AC3044">
              <w:rPr>
                <w:rFonts w:eastAsia="SimSun"/>
              </w:rPr>
              <w:t>–</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196A400" w14:textId="77777777" w:rsidR="008143D9" w:rsidRPr="00AC3044" w:rsidRDefault="008143D9" w:rsidP="005A428D">
            <w:pPr>
              <w:rPr>
                <w:rFonts w:eastAsia="SimSun"/>
              </w:rPr>
            </w:pPr>
            <w:r w:rsidRPr="00AC3044">
              <w:rPr>
                <w:rFonts w:eastAsia="SimSun"/>
              </w:rPr>
              <w:t>С +5 по +90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B1E5317" w14:textId="77777777" w:rsidR="008143D9" w:rsidRPr="00AC3044" w:rsidRDefault="008143D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w:t>
            </w:r>
            <w:r>
              <w:rPr>
                <w:rFonts w:eastAsia="SimSun"/>
              </w:rPr>
              <w:t xml:space="preserve"> </w:t>
            </w:r>
            <w:r w:rsidRPr="00AC3044">
              <w:rPr>
                <w:rFonts w:eastAsia="SimSun"/>
              </w:rPr>
              <w:t>пг/мл</w:t>
            </w:r>
          </w:p>
        </w:tc>
      </w:tr>
      <w:tr w:rsidR="008143D9" w:rsidRPr="00AC3044" w14:paraId="280DCAD1" w14:textId="77777777" w:rsidTr="005A428D">
        <w:trPr>
          <w:trHeight w:val="20"/>
        </w:trPr>
        <w:tc>
          <w:tcPr>
            <w:tcW w:w="958"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607DAB7" w14:textId="77777777" w:rsidR="008143D9" w:rsidRPr="00AC3044" w:rsidRDefault="008143D9" w:rsidP="005A428D">
            <w:pPr>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65E8069" w14:textId="77777777" w:rsidR="008143D9" w:rsidRPr="00AC3044" w:rsidRDefault="008143D9" w:rsidP="005A428D">
            <w:pPr>
              <w:rPr>
                <w:rFonts w:eastAsia="SimSun"/>
              </w:rPr>
            </w:pPr>
            <w:r w:rsidRPr="00AC3044">
              <w:rPr>
                <w:rFonts w:eastAsia="SimSun"/>
              </w:rPr>
              <w:t>Микофенолата мофетил</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271257E" w14:textId="77777777" w:rsidR="008143D9" w:rsidRPr="00AC3044" w:rsidRDefault="008143D9" w:rsidP="005A428D">
            <w:pPr>
              <w:rPr>
                <w:rFonts w:eastAsia="SimSun"/>
              </w:rPr>
            </w:pPr>
            <w:r w:rsidRPr="00AC3044">
              <w:rPr>
                <w:rFonts w:eastAsia="SimSun"/>
              </w:rPr>
              <w:t>45 мг/кг</w:t>
            </w:r>
            <w:r w:rsidRPr="00AC3044">
              <w:rPr>
                <w:rFonts w:eastAsia="SimSun"/>
              </w:rPr>
              <w:tab/>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9B83B72" w14:textId="77777777" w:rsidR="008143D9" w:rsidRPr="00AC3044" w:rsidRDefault="008143D9" w:rsidP="005A428D">
            <w:pPr>
              <w:rPr>
                <w:rFonts w:eastAsia="SimSun"/>
              </w:rPr>
            </w:pPr>
            <w:r w:rsidRPr="00AC3044">
              <w:rPr>
                <w:rFonts w:eastAsia="SimSun"/>
              </w:rPr>
              <w:t>–</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BCD7B1B" w14:textId="77777777" w:rsidR="008143D9" w:rsidRPr="00AC3044" w:rsidRDefault="008143D9" w:rsidP="005A428D">
            <w:pPr>
              <w:rPr>
                <w:rFonts w:eastAsia="SimSun"/>
              </w:rPr>
            </w:pPr>
            <w:r w:rsidRPr="00AC3044">
              <w:rPr>
                <w:rFonts w:eastAsia="SimSun"/>
              </w:rPr>
              <w:t>С +5 по +30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4F8637E" w14:textId="77777777" w:rsidR="008143D9" w:rsidRPr="00AC3044" w:rsidRDefault="008143D9" w:rsidP="005A428D">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г/сут).</w:t>
            </w:r>
          </w:p>
        </w:tc>
      </w:tr>
      <w:tr w:rsidR="008143D9" w:rsidRPr="00AC3044" w14:paraId="05757573" w14:textId="77777777" w:rsidTr="005A428D">
        <w:trPr>
          <w:trHeight w:val="464"/>
        </w:trPr>
        <w:tc>
          <w:tcPr>
            <w:tcW w:w="958"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42A78F0" w14:textId="77777777" w:rsidR="008143D9" w:rsidRPr="00AC3044" w:rsidRDefault="008143D9" w:rsidP="005A428D">
            <w:pPr>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C6E4DD3" w14:textId="77777777" w:rsidR="008143D9" w:rsidRPr="00AC3044" w:rsidRDefault="008143D9" w:rsidP="005A428D">
            <w:pPr>
              <w:rPr>
                <w:rFonts w:eastAsia="SimSun"/>
              </w:rPr>
            </w:pPr>
            <w:r w:rsidRPr="00AC3044">
              <w:rPr>
                <w:rFonts w:eastAsia="SimSun"/>
              </w:rPr>
              <w:t>Циклофосфамид</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EAC922A" w14:textId="77777777" w:rsidR="008143D9" w:rsidRPr="00AC3044" w:rsidRDefault="008143D9" w:rsidP="005A428D">
            <w:pPr>
              <w:rPr>
                <w:rFonts w:eastAsia="SimSun"/>
              </w:rPr>
            </w:pPr>
            <w:r w:rsidRPr="00AC3044">
              <w:rPr>
                <w:rFonts w:eastAsia="SimSun"/>
              </w:rPr>
              <w:t>50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D700810" w14:textId="77777777" w:rsidR="008143D9" w:rsidRPr="00AC3044" w:rsidRDefault="008143D9" w:rsidP="005A428D">
            <w:pPr>
              <w:rPr>
                <w:rFonts w:eastAsia="SimSun"/>
              </w:rPr>
            </w:pPr>
            <w:r w:rsidRPr="00AC3044">
              <w:rPr>
                <w:rFonts w:eastAsia="SimSun"/>
              </w:rPr>
              <w:t>100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DF20723" w14:textId="77777777" w:rsidR="008143D9" w:rsidRPr="00AC3044" w:rsidRDefault="008143D9" w:rsidP="005A428D">
            <w:pPr>
              <w:rPr>
                <w:rFonts w:eastAsia="SimSun"/>
              </w:rPr>
            </w:pPr>
            <w:r w:rsidRPr="00AC3044">
              <w:rPr>
                <w:rFonts w:eastAsia="SimSun"/>
              </w:rPr>
              <w:t>+3, +4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9087B77" w14:textId="77777777" w:rsidR="008143D9" w:rsidRPr="00AC3044" w:rsidRDefault="008143D9" w:rsidP="005A428D">
            <w:pPr>
              <w:rPr>
                <w:rFonts w:eastAsia="SimSun"/>
              </w:rPr>
            </w:pPr>
            <w:r w:rsidRPr="00AC3044">
              <w:rPr>
                <w:rFonts w:eastAsia="SimSun"/>
              </w:rPr>
              <w:t>В/в, в течение 2 часов</w:t>
            </w:r>
          </w:p>
        </w:tc>
      </w:tr>
    </w:tbl>
    <w:p w14:paraId="062781DD" w14:textId="77777777" w:rsidR="008143D9" w:rsidRDefault="008143D9" w:rsidP="008143D9">
      <w:pPr>
        <w:rPr>
          <w:rFonts w:eastAsia="SimSun"/>
        </w:rPr>
      </w:pPr>
      <w:bookmarkStart w:id="142" w:name="_Toc44401178"/>
    </w:p>
    <w:p w14:paraId="34ADC0E5" w14:textId="77777777" w:rsidR="008143D9" w:rsidRPr="00C07B2E" w:rsidRDefault="008143D9" w:rsidP="008143D9">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1.2.20  – Flu150+Treo36 / PT-Cy+CSA+MMF30</w:t>
      </w:r>
      <w:bookmarkEnd w:id="142"/>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701"/>
        <w:gridCol w:w="1418"/>
        <w:gridCol w:w="2268"/>
      </w:tblGrid>
      <w:tr w:rsidR="008143D9" w:rsidRPr="00AC3044" w14:paraId="0156704A" w14:textId="77777777" w:rsidTr="005A428D">
        <w:trPr>
          <w:cantSplit/>
          <w:trHeight w:val="20"/>
          <w:tblHeader/>
        </w:trPr>
        <w:tc>
          <w:tcPr>
            <w:tcW w:w="993" w:type="dxa"/>
          </w:tcPr>
          <w:p w14:paraId="08CDE138" w14:textId="77777777" w:rsidR="008143D9" w:rsidRPr="00470D3D" w:rsidRDefault="008143D9" w:rsidP="005A428D">
            <w:pPr>
              <w:rPr>
                <w:rFonts w:eastAsia="SimSun"/>
              </w:rPr>
            </w:pPr>
          </w:p>
          <w:p w14:paraId="5D45D485" w14:textId="77777777" w:rsidR="008143D9" w:rsidRPr="00470D3D" w:rsidRDefault="008143D9" w:rsidP="005A428D">
            <w:pPr>
              <w:rPr>
                <w:rFonts w:eastAsia="SimSun"/>
              </w:rPr>
            </w:pPr>
          </w:p>
        </w:tc>
        <w:tc>
          <w:tcPr>
            <w:tcW w:w="1701" w:type="dxa"/>
            <w:vAlign w:val="center"/>
          </w:tcPr>
          <w:p w14:paraId="5AF6CE7A" w14:textId="77777777" w:rsidR="008143D9" w:rsidRPr="00AC3044" w:rsidRDefault="008143D9" w:rsidP="005A428D">
            <w:pPr>
              <w:rPr>
                <w:rFonts w:eastAsia="SimSun"/>
              </w:rPr>
            </w:pPr>
            <w:r w:rsidRPr="00AC3044">
              <w:rPr>
                <w:rFonts w:eastAsia="SimSun"/>
              </w:rPr>
              <w:t>Препарат</w:t>
            </w:r>
          </w:p>
        </w:tc>
        <w:tc>
          <w:tcPr>
            <w:tcW w:w="1559" w:type="dxa"/>
            <w:vAlign w:val="center"/>
          </w:tcPr>
          <w:p w14:paraId="495C0832" w14:textId="77777777" w:rsidR="008143D9" w:rsidRPr="00AC3044" w:rsidRDefault="008143D9" w:rsidP="005A428D">
            <w:pPr>
              <w:rPr>
                <w:rFonts w:eastAsia="SimSun"/>
              </w:rPr>
            </w:pPr>
            <w:r w:rsidRPr="00AC3044">
              <w:rPr>
                <w:rFonts w:eastAsia="SimSun"/>
              </w:rPr>
              <w:t>Суточная доза</w:t>
            </w:r>
          </w:p>
        </w:tc>
        <w:tc>
          <w:tcPr>
            <w:tcW w:w="1701" w:type="dxa"/>
            <w:vAlign w:val="center"/>
          </w:tcPr>
          <w:p w14:paraId="6AB332E3" w14:textId="77777777" w:rsidR="008143D9" w:rsidRPr="00AC3044" w:rsidRDefault="008143D9" w:rsidP="005A428D">
            <w:pPr>
              <w:rPr>
                <w:rFonts w:eastAsia="SimSun"/>
              </w:rPr>
            </w:pPr>
            <w:r w:rsidRPr="00AC3044">
              <w:rPr>
                <w:rFonts w:eastAsia="SimSun"/>
              </w:rPr>
              <w:t>Курсовая доза</w:t>
            </w:r>
          </w:p>
        </w:tc>
        <w:tc>
          <w:tcPr>
            <w:tcW w:w="1418" w:type="dxa"/>
            <w:vAlign w:val="center"/>
          </w:tcPr>
          <w:p w14:paraId="77B42EAA" w14:textId="77777777" w:rsidR="008143D9" w:rsidRPr="00AC3044" w:rsidRDefault="008143D9" w:rsidP="005A428D">
            <w:pPr>
              <w:rPr>
                <w:rFonts w:eastAsia="SimSun"/>
              </w:rPr>
            </w:pPr>
            <w:r w:rsidRPr="00AC3044">
              <w:rPr>
                <w:rFonts w:eastAsia="SimSun"/>
              </w:rPr>
              <w:t>Дни введения</w:t>
            </w:r>
          </w:p>
        </w:tc>
        <w:tc>
          <w:tcPr>
            <w:tcW w:w="2268" w:type="dxa"/>
            <w:vAlign w:val="center"/>
          </w:tcPr>
          <w:p w14:paraId="566F27CB"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4AE96636" w14:textId="77777777" w:rsidTr="005A428D">
        <w:trPr>
          <w:cantSplit/>
          <w:trHeight w:val="20"/>
        </w:trPr>
        <w:tc>
          <w:tcPr>
            <w:tcW w:w="993" w:type="dxa"/>
            <w:vMerge w:val="restart"/>
            <w:textDirection w:val="btLr"/>
            <w:vAlign w:val="center"/>
          </w:tcPr>
          <w:p w14:paraId="6C1E7CAE" w14:textId="77777777" w:rsidR="008143D9" w:rsidRPr="00AC3044" w:rsidRDefault="008143D9" w:rsidP="005A428D">
            <w:pPr>
              <w:rPr>
                <w:rFonts w:eastAsia="SimSun"/>
              </w:rPr>
            </w:pPr>
            <w:r w:rsidRPr="00AC3044">
              <w:rPr>
                <w:rFonts w:eastAsia="SimSun"/>
              </w:rPr>
              <w:t>Кондиционирование</w:t>
            </w:r>
          </w:p>
        </w:tc>
        <w:tc>
          <w:tcPr>
            <w:tcW w:w="1701" w:type="dxa"/>
            <w:vAlign w:val="center"/>
          </w:tcPr>
          <w:p w14:paraId="68A20915" w14:textId="77777777" w:rsidR="008143D9" w:rsidRPr="00AC3044" w:rsidRDefault="008143D9" w:rsidP="005A428D">
            <w:pPr>
              <w:rPr>
                <w:rFonts w:eastAsia="SimSun"/>
              </w:rPr>
            </w:pPr>
            <w:r w:rsidRPr="00AC3044">
              <w:rPr>
                <w:rFonts w:eastAsia="SimSun"/>
              </w:rPr>
              <w:t xml:space="preserve">Флударабин </w:t>
            </w:r>
          </w:p>
        </w:tc>
        <w:tc>
          <w:tcPr>
            <w:tcW w:w="1559" w:type="dxa"/>
            <w:vAlign w:val="center"/>
          </w:tcPr>
          <w:p w14:paraId="2B436956" w14:textId="77777777" w:rsidR="008143D9" w:rsidRPr="00AC3044" w:rsidRDefault="008143D9" w:rsidP="005A428D">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542CC1A3" w14:textId="77777777" w:rsidR="008143D9" w:rsidRPr="00AC3044" w:rsidRDefault="008143D9" w:rsidP="005A428D">
            <w:pPr>
              <w:rPr>
                <w:rFonts w:eastAsia="SimSun"/>
              </w:rPr>
            </w:pPr>
            <w:r w:rsidRPr="00AC3044">
              <w:rPr>
                <w:rFonts w:eastAsia="SimSun"/>
              </w:rPr>
              <w:t>150 мг/м</w:t>
            </w:r>
            <w:r w:rsidRPr="001E6DBE">
              <w:rPr>
                <w:rFonts w:eastAsia="SimSun"/>
                <w:vertAlign w:val="superscript"/>
              </w:rPr>
              <w:t>2</w:t>
            </w:r>
          </w:p>
        </w:tc>
        <w:tc>
          <w:tcPr>
            <w:tcW w:w="1418" w:type="dxa"/>
            <w:vAlign w:val="center"/>
          </w:tcPr>
          <w:p w14:paraId="540D694C" w14:textId="77777777" w:rsidR="008143D9" w:rsidRPr="00AC3044" w:rsidRDefault="008143D9" w:rsidP="005A428D">
            <w:pPr>
              <w:rPr>
                <w:rFonts w:eastAsia="SimSun"/>
              </w:rPr>
            </w:pPr>
            <w:r w:rsidRPr="00AC3044">
              <w:rPr>
                <w:rFonts w:eastAsia="SimSun"/>
              </w:rPr>
              <w:t>С –6 по –2 день</w:t>
            </w:r>
          </w:p>
        </w:tc>
        <w:tc>
          <w:tcPr>
            <w:tcW w:w="2268" w:type="dxa"/>
            <w:vAlign w:val="center"/>
          </w:tcPr>
          <w:p w14:paraId="218D75B5"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75E54028" w14:textId="77777777" w:rsidTr="005A428D">
        <w:trPr>
          <w:cantSplit/>
          <w:trHeight w:val="801"/>
        </w:trPr>
        <w:tc>
          <w:tcPr>
            <w:tcW w:w="993" w:type="dxa"/>
            <w:vMerge/>
            <w:textDirection w:val="btLr"/>
            <w:vAlign w:val="center"/>
          </w:tcPr>
          <w:p w14:paraId="77030E10" w14:textId="77777777" w:rsidR="008143D9" w:rsidRPr="00AC3044" w:rsidRDefault="008143D9" w:rsidP="005A428D">
            <w:pPr>
              <w:rPr>
                <w:rFonts w:eastAsia="SimSun"/>
              </w:rPr>
            </w:pPr>
          </w:p>
        </w:tc>
        <w:tc>
          <w:tcPr>
            <w:tcW w:w="1701" w:type="dxa"/>
            <w:vAlign w:val="center"/>
          </w:tcPr>
          <w:p w14:paraId="4B3F83F5" w14:textId="77777777" w:rsidR="008143D9" w:rsidRPr="00AC3044" w:rsidRDefault="008143D9" w:rsidP="005A428D">
            <w:pPr>
              <w:rPr>
                <w:rFonts w:eastAsia="SimSun"/>
              </w:rPr>
            </w:pPr>
            <w:r w:rsidRPr="00AC3044">
              <w:rPr>
                <w:rFonts w:eastAsia="SimSun"/>
              </w:rPr>
              <w:t>Треосульфан</w:t>
            </w:r>
          </w:p>
        </w:tc>
        <w:tc>
          <w:tcPr>
            <w:tcW w:w="1559" w:type="dxa"/>
            <w:vAlign w:val="center"/>
          </w:tcPr>
          <w:p w14:paraId="5EB6297D" w14:textId="77777777" w:rsidR="008143D9" w:rsidRPr="00AC3044" w:rsidRDefault="008143D9" w:rsidP="005A428D">
            <w:pPr>
              <w:rPr>
                <w:rFonts w:eastAsia="SimSun"/>
              </w:rPr>
            </w:pPr>
            <w:r w:rsidRPr="00AC3044">
              <w:rPr>
                <w:rFonts w:eastAsia="SimSun"/>
              </w:rPr>
              <w:t>12 г/м</w:t>
            </w:r>
            <w:r w:rsidRPr="001E6DBE">
              <w:rPr>
                <w:rFonts w:eastAsia="SimSun"/>
                <w:vertAlign w:val="superscript"/>
              </w:rPr>
              <w:t>2</w:t>
            </w:r>
          </w:p>
        </w:tc>
        <w:tc>
          <w:tcPr>
            <w:tcW w:w="1701" w:type="dxa"/>
            <w:vAlign w:val="center"/>
          </w:tcPr>
          <w:p w14:paraId="0D62984D" w14:textId="77777777" w:rsidR="008143D9" w:rsidRPr="00AC3044" w:rsidRDefault="008143D9" w:rsidP="005A428D">
            <w:pPr>
              <w:rPr>
                <w:rFonts w:eastAsia="SimSun"/>
              </w:rPr>
            </w:pPr>
            <w:r w:rsidRPr="00AC3044">
              <w:rPr>
                <w:rFonts w:eastAsia="SimSun"/>
              </w:rPr>
              <w:t>36 г/м</w:t>
            </w:r>
            <w:r w:rsidRPr="001E6DBE">
              <w:rPr>
                <w:rFonts w:eastAsia="SimSun"/>
                <w:vertAlign w:val="superscript"/>
              </w:rPr>
              <w:t>2</w:t>
            </w:r>
          </w:p>
        </w:tc>
        <w:tc>
          <w:tcPr>
            <w:tcW w:w="1418" w:type="dxa"/>
            <w:vAlign w:val="center"/>
          </w:tcPr>
          <w:p w14:paraId="1A796711" w14:textId="77777777" w:rsidR="008143D9" w:rsidRPr="00AC3044" w:rsidRDefault="008143D9" w:rsidP="005A428D">
            <w:pPr>
              <w:rPr>
                <w:rFonts w:eastAsia="SimSun"/>
              </w:rPr>
            </w:pPr>
            <w:r w:rsidRPr="00AC3044">
              <w:rPr>
                <w:rFonts w:eastAsia="SimSun"/>
              </w:rPr>
              <w:t>С –6 по –4 день</w:t>
            </w:r>
          </w:p>
        </w:tc>
        <w:tc>
          <w:tcPr>
            <w:tcW w:w="2268" w:type="dxa"/>
            <w:vAlign w:val="center"/>
          </w:tcPr>
          <w:p w14:paraId="3E73A748" w14:textId="77777777" w:rsidR="008143D9" w:rsidRPr="00AC3044" w:rsidRDefault="008143D9" w:rsidP="005A428D">
            <w:pPr>
              <w:rPr>
                <w:rFonts w:eastAsia="SimSun"/>
              </w:rPr>
            </w:pPr>
            <w:r w:rsidRPr="00AC3044">
              <w:rPr>
                <w:rFonts w:eastAsia="SimSun"/>
              </w:rPr>
              <w:t>В/в, в течение 2 ч</w:t>
            </w:r>
          </w:p>
        </w:tc>
      </w:tr>
      <w:tr w:rsidR="008143D9" w:rsidRPr="00AC3044" w14:paraId="182171EC" w14:textId="77777777" w:rsidTr="005A428D">
        <w:trPr>
          <w:cantSplit/>
          <w:trHeight w:val="20"/>
        </w:trPr>
        <w:tc>
          <w:tcPr>
            <w:tcW w:w="993" w:type="dxa"/>
            <w:vMerge w:val="restart"/>
            <w:textDirection w:val="btLr"/>
            <w:vAlign w:val="center"/>
          </w:tcPr>
          <w:p w14:paraId="76DB37E9" w14:textId="77777777" w:rsidR="008143D9" w:rsidRPr="00AC3044" w:rsidRDefault="008143D9" w:rsidP="005A428D">
            <w:pPr>
              <w:rPr>
                <w:rFonts w:eastAsia="SimSun"/>
              </w:rPr>
            </w:pPr>
            <w:r w:rsidRPr="00AC3044">
              <w:rPr>
                <w:rFonts w:eastAsia="SimSun"/>
              </w:rPr>
              <w:t>Профилактика РТПХ</w:t>
            </w:r>
          </w:p>
        </w:tc>
        <w:tc>
          <w:tcPr>
            <w:tcW w:w="1701" w:type="dxa"/>
            <w:vAlign w:val="center"/>
          </w:tcPr>
          <w:p w14:paraId="52FCEFBD" w14:textId="77777777" w:rsidR="008143D9" w:rsidRPr="00AC3044" w:rsidRDefault="008143D9" w:rsidP="005A428D">
            <w:pPr>
              <w:rPr>
                <w:rFonts w:eastAsia="SimSun"/>
              </w:rPr>
            </w:pPr>
            <w:r w:rsidRPr="00AC3044">
              <w:rPr>
                <w:rFonts w:eastAsia="SimSun"/>
              </w:rPr>
              <w:t>Циклофосфамид</w:t>
            </w:r>
          </w:p>
        </w:tc>
        <w:tc>
          <w:tcPr>
            <w:tcW w:w="1559" w:type="dxa"/>
            <w:vAlign w:val="center"/>
          </w:tcPr>
          <w:p w14:paraId="4C85F682" w14:textId="77777777" w:rsidR="008143D9" w:rsidRPr="00AC3044" w:rsidRDefault="008143D9" w:rsidP="005A428D">
            <w:pPr>
              <w:rPr>
                <w:rFonts w:eastAsia="SimSun"/>
              </w:rPr>
            </w:pPr>
            <w:r w:rsidRPr="00AC3044">
              <w:rPr>
                <w:rFonts w:eastAsia="SimSun"/>
              </w:rPr>
              <w:t>50 мг/кг</w:t>
            </w:r>
          </w:p>
        </w:tc>
        <w:tc>
          <w:tcPr>
            <w:tcW w:w="1701" w:type="dxa"/>
            <w:vAlign w:val="center"/>
          </w:tcPr>
          <w:p w14:paraId="4A4EB2B1" w14:textId="77777777" w:rsidR="008143D9" w:rsidRPr="00AC3044" w:rsidRDefault="008143D9" w:rsidP="005A428D">
            <w:pPr>
              <w:rPr>
                <w:rFonts w:eastAsia="SimSun"/>
              </w:rPr>
            </w:pPr>
            <w:r w:rsidRPr="00AC3044">
              <w:rPr>
                <w:rFonts w:eastAsia="SimSun"/>
              </w:rPr>
              <w:t>100 мг/кг</w:t>
            </w:r>
          </w:p>
        </w:tc>
        <w:tc>
          <w:tcPr>
            <w:tcW w:w="1418" w:type="dxa"/>
            <w:vAlign w:val="center"/>
          </w:tcPr>
          <w:p w14:paraId="482A057E" w14:textId="77777777" w:rsidR="008143D9" w:rsidRPr="00AC3044" w:rsidRDefault="008143D9" w:rsidP="005A428D">
            <w:pPr>
              <w:rPr>
                <w:rFonts w:eastAsia="SimSun"/>
              </w:rPr>
            </w:pPr>
            <w:r w:rsidRPr="00AC3044">
              <w:rPr>
                <w:rFonts w:eastAsia="SimSun"/>
              </w:rPr>
              <w:t xml:space="preserve">+3,+4 дни </w:t>
            </w:r>
          </w:p>
        </w:tc>
        <w:tc>
          <w:tcPr>
            <w:tcW w:w="2268" w:type="dxa"/>
            <w:vAlign w:val="center"/>
          </w:tcPr>
          <w:p w14:paraId="0F21A0C5" w14:textId="77777777" w:rsidR="008143D9" w:rsidRPr="00AC3044" w:rsidRDefault="008143D9" w:rsidP="005A428D">
            <w:pPr>
              <w:rPr>
                <w:rFonts w:eastAsia="SimSun"/>
              </w:rPr>
            </w:pPr>
            <w:r w:rsidRPr="00AC3044">
              <w:rPr>
                <w:rFonts w:eastAsia="SimSun"/>
              </w:rPr>
              <w:t>В/в, в течение 2 часов</w:t>
            </w:r>
          </w:p>
        </w:tc>
      </w:tr>
      <w:tr w:rsidR="008143D9" w:rsidRPr="00AC3044" w14:paraId="3FFB22C7" w14:textId="77777777" w:rsidTr="005A428D">
        <w:trPr>
          <w:cantSplit/>
          <w:trHeight w:val="20"/>
        </w:trPr>
        <w:tc>
          <w:tcPr>
            <w:tcW w:w="993" w:type="dxa"/>
            <w:vMerge/>
            <w:textDirection w:val="btLr"/>
          </w:tcPr>
          <w:p w14:paraId="561C21BB" w14:textId="77777777" w:rsidR="008143D9" w:rsidRPr="00AC3044" w:rsidRDefault="008143D9" w:rsidP="005A428D">
            <w:pPr>
              <w:rPr>
                <w:rFonts w:eastAsia="SimSun"/>
              </w:rPr>
            </w:pPr>
          </w:p>
        </w:tc>
        <w:tc>
          <w:tcPr>
            <w:tcW w:w="1701" w:type="dxa"/>
            <w:vAlign w:val="center"/>
          </w:tcPr>
          <w:p w14:paraId="1046E937" w14:textId="77777777" w:rsidR="008143D9" w:rsidRPr="00AC3044" w:rsidRDefault="008143D9" w:rsidP="005A428D">
            <w:pPr>
              <w:rPr>
                <w:rFonts w:eastAsia="SimSun"/>
              </w:rPr>
            </w:pPr>
            <w:r w:rsidRPr="00AC3044">
              <w:rPr>
                <w:rFonts w:eastAsia="SimSun"/>
              </w:rPr>
              <w:t>Циклоспорин</w:t>
            </w:r>
          </w:p>
        </w:tc>
        <w:tc>
          <w:tcPr>
            <w:tcW w:w="1559" w:type="dxa"/>
            <w:vAlign w:val="center"/>
          </w:tcPr>
          <w:p w14:paraId="0B6D9423" w14:textId="77777777" w:rsidR="008143D9" w:rsidRPr="00AC3044" w:rsidRDefault="008143D9" w:rsidP="005A428D">
            <w:pPr>
              <w:rPr>
                <w:rFonts w:eastAsia="SimSun"/>
              </w:rPr>
            </w:pPr>
            <w:r w:rsidRPr="00AC3044">
              <w:rPr>
                <w:rFonts w:eastAsia="SimSun"/>
              </w:rPr>
              <w:t>3 мг/кг</w:t>
            </w:r>
          </w:p>
        </w:tc>
        <w:tc>
          <w:tcPr>
            <w:tcW w:w="1701" w:type="dxa"/>
            <w:vAlign w:val="center"/>
          </w:tcPr>
          <w:p w14:paraId="05D8BC30" w14:textId="77777777" w:rsidR="008143D9" w:rsidRPr="00AC3044" w:rsidRDefault="008143D9" w:rsidP="005A428D">
            <w:pPr>
              <w:rPr>
                <w:rFonts w:eastAsia="SimSun"/>
              </w:rPr>
            </w:pPr>
            <w:r w:rsidRPr="00AC3044">
              <w:rPr>
                <w:rFonts w:eastAsia="SimSun"/>
              </w:rPr>
              <w:t>–</w:t>
            </w:r>
          </w:p>
        </w:tc>
        <w:tc>
          <w:tcPr>
            <w:tcW w:w="1418" w:type="dxa"/>
            <w:vAlign w:val="center"/>
          </w:tcPr>
          <w:p w14:paraId="66B83D20" w14:textId="77777777" w:rsidR="008143D9" w:rsidRPr="00AC3044" w:rsidRDefault="008143D9" w:rsidP="005A428D">
            <w:pPr>
              <w:rPr>
                <w:rFonts w:eastAsia="SimSun"/>
              </w:rPr>
            </w:pPr>
            <w:r w:rsidRPr="00AC3044">
              <w:rPr>
                <w:rFonts w:eastAsia="SimSun"/>
              </w:rPr>
              <w:t>С +5 по +60 день, затем постепенное снижение к +100 дню</w:t>
            </w:r>
          </w:p>
        </w:tc>
        <w:tc>
          <w:tcPr>
            <w:tcW w:w="2268" w:type="dxa"/>
            <w:vAlign w:val="center"/>
          </w:tcPr>
          <w:p w14:paraId="450DDD99" w14:textId="77777777" w:rsidR="008143D9" w:rsidRPr="00AC3044" w:rsidRDefault="008143D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8143D9" w:rsidRPr="00AC3044" w14:paraId="6B9A586C" w14:textId="77777777" w:rsidTr="005A428D">
        <w:trPr>
          <w:cantSplit/>
          <w:trHeight w:val="464"/>
        </w:trPr>
        <w:tc>
          <w:tcPr>
            <w:tcW w:w="993" w:type="dxa"/>
            <w:vMerge/>
          </w:tcPr>
          <w:p w14:paraId="20721139" w14:textId="77777777" w:rsidR="008143D9" w:rsidRPr="00AC3044" w:rsidRDefault="008143D9" w:rsidP="005A428D">
            <w:pPr>
              <w:rPr>
                <w:rFonts w:eastAsia="SimSun"/>
              </w:rPr>
            </w:pPr>
          </w:p>
        </w:tc>
        <w:tc>
          <w:tcPr>
            <w:tcW w:w="1701" w:type="dxa"/>
            <w:vAlign w:val="center"/>
          </w:tcPr>
          <w:p w14:paraId="530B84E2" w14:textId="77777777" w:rsidR="008143D9" w:rsidRPr="00AC3044" w:rsidRDefault="008143D9" w:rsidP="005A428D">
            <w:pPr>
              <w:rPr>
                <w:rFonts w:eastAsia="SimSun"/>
              </w:rPr>
            </w:pPr>
            <w:r w:rsidRPr="00AC3044">
              <w:rPr>
                <w:rFonts w:eastAsia="SimSun"/>
              </w:rPr>
              <w:t>Микофенолата мофетил</w:t>
            </w:r>
          </w:p>
        </w:tc>
        <w:tc>
          <w:tcPr>
            <w:tcW w:w="1559" w:type="dxa"/>
            <w:vAlign w:val="center"/>
          </w:tcPr>
          <w:p w14:paraId="7BF5AF62" w14:textId="77777777" w:rsidR="008143D9" w:rsidRPr="00AC3044" w:rsidRDefault="008143D9" w:rsidP="005A428D">
            <w:pPr>
              <w:rPr>
                <w:rFonts w:eastAsia="SimSun"/>
              </w:rPr>
            </w:pPr>
            <w:r w:rsidRPr="00AC3044">
              <w:rPr>
                <w:rFonts w:eastAsia="SimSun"/>
              </w:rPr>
              <w:t>30 мг/кг</w:t>
            </w:r>
          </w:p>
        </w:tc>
        <w:tc>
          <w:tcPr>
            <w:tcW w:w="1701" w:type="dxa"/>
            <w:vAlign w:val="center"/>
          </w:tcPr>
          <w:p w14:paraId="1B564847" w14:textId="77777777" w:rsidR="008143D9" w:rsidRPr="00AC3044" w:rsidRDefault="008143D9" w:rsidP="005A428D">
            <w:pPr>
              <w:rPr>
                <w:rFonts w:eastAsia="SimSun"/>
              </w:rPr>
            </w:pPr>
            <w:r w:rsidRPr="00AC3044">
              <w:rPr>
                <w:rFonts w:eastAsia="SimSun"/>
              </w:rPr>
              <w:t>–</w:t>
            </w:r>
          </w:p>
        </w:tc>
        <w:tc>
          <w:tcPr>
            <w:tcW w:w="1418" w:type="dxa"/>
            <w:vAlign w:val="center"/>
          </w:tcPr>
          <w:p w14:paraId="581F8111" w14:textId="77777777" w:rsidR="008143D9" w:rsidRPr="00AC3044" w:rsidRDefault="008143D9" w:rsidP="005A428D">
            <w:pPr>
              <w:rPr>
                <w:rFonts w:eastAsia="SimSun"/>
              </w:rPr>
            </w:pPr>
            <w:r w:rsidRPr="00AC3044">
              <w:rPr>
                <w:rFonts w:eastAsia="SimSun"/>
              </w:rPr>
              <w:t>С +5 по +30 день</w:t>
            </w:r>
          </w:p>
        </w:tc>
        <w:tc>
          <w:tcPr>
            <w:tcW w:w="2268" w:type="dxa"/>
            <w:vAlign w:val="center"/>
          </w:tcPr>
          <w:p w14:paraId="4BA748A2" w14:textId="77777777" w:rsidR="008143D9" w:rsidRPr="00AC3044" w:rsidRDefault="008143D9" w:rsidP="005A428D">
            <w:pPr>
              <w:rPr>
                <w:rFonts w:eastAsia="SimSun"/>
              </w:rPr>
            </w:pPr>
            <w:r w:rsidRPr="00AC3044">
              <w:rPr>
                <w:rFonts w:eastAsia="SimSun"/>
              </w:rPr>
              <w:t>Внутрь, суммарная суточная доза разделяется на 2- 4 приема (не более 3г/сут).</w:t>
            </w:r>
          </w:p>
        </w:tc>
      </w:tr>
    </w:tbl>
    <w:p w14:paraId="1B3F24D1" w14:textId="77777777" w:rsidR="008143D9" w:rsidRPr="00C07B2E" w:rsidRDefault="008143D9" w:rsidP="008143D9">
      <w:pPr>
        <w:rPr>
          <w:rFonts w:eastAsia="SimSun"/>
        </w:rPr>
      </w:pPr>
    </w:p>
    <w:p w14:paraId="607429E2" w14:textId="77777777" w:rsidR="008143D9" w:rsidRPr="00042499" w:rsidRDefault="008143D9" w:rsidP="008143D9">
      <w:pPr>
        <w:rPr>
          <w:rFonts w:eastAsia="SimSun"/>
          <w:lang w:val="en-US"/>
        </w:rPr>
      </w:pPr>
      <w:bookmarkStart w:id="143" w:name="_Toc44401179"/>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1.2.21  – </w:t>
      </w:r>
      <w:r w:rsidRPr="00C07B2E">
        <w:rPr>
          <w:rFonts w:eastAsia="SimSun"/>
        </w:rPr>
        <w:t>Flu</w:t>
      </w:r>
      <w:r w:rsidRPr="00042499">
        <w:rPr>
          <w:rFonts w:eastAsia="SimSun"/>
          <w:lang w:val="en-US"/>
        </w:rPr>
        <w:t>150+</w:t>
      </w:r>
      <w:r w:rsidRPr="00C07B2E">
        <w:rPr>
          <w:rFonts w:eastAsia="SimSun"/>
        </w:rPr>
        <w:t>Thio</w:t>
      </w:r>
      <w:r w:rsidRPr="00042499">
        <w:rPr>
          <w:rFonts w:eastAsia="SimSun"/>
          <w:lang w:val="en-US"/>
        </w:rPr>
        <w:t xml:space="preserve"> / </w:t>
      </w:r>
      <w:r w:rsidRPr="00C07B2E">
        <w:rPr>
          <w:rFonts w:eastAsia="SimSun"/>
        </w:rPr>
        <w:t>hATG</w:t>
      </w:r>
      <w:r w:rsidRPr="00042499">
        <w:rPr>
          <w:rFonts w:eastAsia="SimSun"/>
          <w:lang w:val="en-US"/>
        </w:rPr>
        <w:t>+</w:t>
      </w:r>
      <w:r w:rsidRPr="00C07B2E">
        <w:rPr>
          <w:rFonts w:eastAsia="SimSun"/>
        </w:rPr>
        <w:t>Tx</w:t>
      </w:r>
      <w:r w:rsidRPr="00042499">
        <w:rPr>
          <w:rFonts w:eastAsia="SimSun"/>
          <w:lang w:val="en-US"/>
        </w:rPr>
        <w:t>+</w:t>
      </w:r>
      <w:r w:rsidRPr="00C07B2E">
        <w:rPr>
          <w:rFonts w:eastAsia="SimSun"/>
        </w:rPr>
        <w:t>MMF</w:t>
      </w:r>
      <w:r w:rsidRPr="00042499">
        <w:rPr>
          <w:rFonts w:eastAsia="SimSun"/>
          <w:lang w:val="en-US"/>
        </w:rPr>
        <w:t>30</w:t>
      </w:r>
      <w:bookmarkEnd w:id="143"/>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8143D9" w:rsidRPr="00AC3044" w14:paraId="7BECC22E" w14:textId="77777777" w:rsidTr="005A428D">
        <w:trPr>
          <w:cantSplit/>
          <w:trHeight w:val="20"/>
          <w:tblHeader/>
        </w:trPr>
        <w:tc>
          <w:tcPr>
            <w:tcW w:w="959" w:type="dxa"/>
            <w:vAlign w:val="center"/>
          </w:tcPr>
          <w:p w14:paraId="6377B9A3" w14:textId="77777777" w:rsidR="008143D9" w:rsidRPr="00AC3044" w:rsidRDefault="008143D9" w:rsidP="005A428D">
            <w:pPr>
              <w:rPr>
                <w:rFonts w:eastAsia="SimSun"/>
              </w:rPr>
            </w:pPr>
          </w:p>
        </w:tc>
        <w:tc>
          <w:tcPr>
            <w:tcW w:w="1701" w:type="dxa"/>
            <w:vAlign w:val="center"/>
          </w:tcPr>
          <w:p w14:paraId="031989B2" w14:textId="77777777" w:rsidR="008143D9" w:rsidRPr="00AC3044" w:rsidRDefault="008143D9" w:rsidP="005A428D">
            <w:pPr>
              <w:rPr>
                <w:rFonts w:eastAsia="SimSun"/>
              </w:rPr>
            </w:pPr>
            <w:r w:rsidRPr="00AC3044">
              <w:rPr>
                <w:rFonts w:eastAsia="SimSun"/>
              </w:rPr>
              <w:t>Препарат</w:t>
            </w:r>
          </w:p>
        </w:tc>
        <w:tc>
          <w:tcPr>
            <w:tcW w:w="1559" w:type="dxa"/>
            <w:vAlign w:val="center"/>
          </w:tcPr>
          <w:p w14:paraId="05C41F39" w14:textId="77777777" w:rsidR="008143D9" w:rsidRPr="00AC3044" w:rsidRDefault="008143D9" w:rsidP="005A428D">
            <w:pPr>
              <w:rPr>
                <w:rFonts w:eastAsia="SimSun"/>
              </w:rPr>
            </w:pPr>
            <w:r w:rsidRPr="00AC3044">
              <w:rPr>
                <w:rFonts w:eastAsia="SimSun"/>
              </w:rPr>
              <w:t>Суточная доза</w:t>
            </w:r>
          </w:p>
        </w:tc>
        <w:tc>
          <w:tcPr>
            <w:tcW w:w="1701" w:type="dxa"/>
            <w:vAlign w:val="center"/>
          </w:tcPr>
          <w:p w14:paraId="4FEE91F8" w14:textId="77777777" w:rsidR="008143D9" w:rsidRPr="00AC3044" w:rsidRDefault="008143D9" w:rsidP="005A428D">
            <w:pPr>
              <w:rPr>
                <w:rFonts w:eastAsia="SimSun"/>
              </w:rPr>
            </w:pPr>
            <w:r w:rsidRPr="00AC3044">
              <w:rPr>
                <w:rFonts w:eastAsia="SimSun"/>
              </w:rPr>
              <w:t>Курсовая доза</w:t>
            </w:r>
          </w:p>
        </w:tc>
        <w:tc>
          <w:tcPr>
            <w:tcW w:w="1418" w:type="dxa"/>
            <w:vAlign w:val="center"/>
          </w:tcPr>
          <w:p w14:paraId="0E62B3C6" w14:textId="77777777" w:rsidR="008143D9" w:rsidRPr="00AC3044" w:rsidRDefault="008143D9" w:rsidP="005A428D">
            <w:pPr>
              <w:rPr>
                <w:rFonts w:eastAsia="SimSun"/>
              </w:rPr>
            </w:pPr>
            <w:r w:rsidRPr="00AC3044">
              <w:rPr>
                <w:rFonts w:eastAsia="SimSun"/>
              </w:rPr>
              <w:t>Дни введения</w:t>
            </w:r>
          </w:p>
        </w:tc>
        <w:tc>
          <w:tcPr>
            <w:tcW w:w="2268" w:type="dxa"/>
            <w:vAlign w:val="center"/>
          </w:tcPr>
          <w:p w14:paraId="7B977191"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78A518A8" w14:textId="77777777" w:rsidTr="005A428D">
        <w:trPr>
          <w:cantSplit/>
          <w:trHeight w:val="20"/>
        </w:trPr>
        <w:tc>
          <w:tcPr>
            <w:tcW w:w="959" w:type="dxa"/>
            <w:vMerge w:val="restart"/>
            <w:textDirection w:val="btLr"/>
            <w:vAlign w:val="center"/>
          </w:tcPr>
          <w:p w14:paraId="44E25E50" w14:textId="77777777" w:rsidR="008143D9" w:rsidRPr="00AC3044" w:rsidRDefault="008143D9" w:rsidP="005A428D">
            <w:pPr>
              <w:rPr>
                <w:rFonts w:eastAsia="SimSun"/>
              </w:rPr>
            </w:pPr>
            <w:r w:rsidRPr="00AC3044">
              <w:rPr>
                <w:rFonts w:eastAsia="SimSun"/>
              </w:rPr>
              <w:t>Кондиционирование</w:t>
            </w:r>
          </w:p>
        </w:tc>
        <w:tc>
          <w:tcPr>
            <w:tcW w:w="1701" w:type="dxa"/>
            <w:vAlign w:val="center"/>
          </w:tcPr>
          <w:p w14:paraId="3B4909CA" w14:textId="77777777" w:rsidR="008143D9" w:rsidRPr="00AC3044" w:rsidRDefault="008143D9" w:rsidP="005A428D">
            <w:pPr>
              <w:rPr>
                <w:rFonts w:eastAsia="SimSun"/>
              </w:rPr>
            </w:pPr>
            <w:r w:rsidRPr="00AC3044">
              <w:rPr>
                <w:rFonts w:eastAsia="SimSun"/>
              </w:rPr>
              <w:t xml:space="preserve">Флударабин </w:t>
            </w:r>
          </w:p>
        </w:tc>
        <w:tc>
          <w:tcPr>
            <w:tcW w:w="1559" w:type="dxa"/>
            <w:vAlign w:val="center"/>
          </w:tcPr>
          <w:p w14:paraId="7C096558" w14:textId="77777777" w:rsidR="008143D9" w:rsidRPr="00AC3044" w:rsidRDefault="008143D9" w:rsidP="005A428D">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0F81CE71" w14:textId="77777777" w:rsidR="008143D9" w:rsidRPr="00AC3044" w:rsidRDefault="008143D9" w:rsidP="005A428D">
            <w:pPr>
              <w:rPr>
                <w:rFonts w:eastAsia="SimSun"/>
              </w:rPr>
            </w:pPr>
            <w:r w:rsidRPr="00AC3044">
              <w:rPr>
                <w:rFonts w:eastAsia="SimSun"/>
              </w:rPr>
              <w:t>150 мг/м</w:t>
            </w:r>
            <w:r w:rsidRPr="001E6DBE">
              <w:rPr>
                <w:rFonts w:eastAsia="SimSun"/>
                <w:vertAlign w:val="superscript"/>
              </w:rPr>
              <w:t>2</w:t>
            </w:r>
          </w:p>
        </w:tc>
        <w:tc>
          <w:tcPr>
            <w:tcW w:w="1418" w:type="dxa"/>
            <w:vAlign w:val="center"/>
          </w:tcPr>
          <w:p w14:paraId="01D98711" w14:textId="77777777" w:rsidR="008143D9" w:rsidRPr="00AC3044" w:rsidRDefault="008143D9" w:rsidP="005A428D">
            <w:pPr>
              <w:rPr>
                <w:rFonts w:eastAsia="SimSun"/>
              </w:rPr>
            </w:pPr>
            <w:r w:rsidRPr="00AC3044">
              <w:rPr>
                <w:rFonts w:eastAsia="SimSun"/>
              </w:rPr>
              <w:t>С -6 дня по -2 день</w:t>
            </w:r>
          </w:p>
        </w:tc>
        <w:tc>
          <w:tcPr>
            <w:tcW w:w="2268" w:type="dxa"/>
            <w:vAlign w:val="center"/>
          </w:tcPr>
          <w:p w14:paraId="111F4BA1"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6C65D484" w14:textId="77777777" w:rsidTr="005A428D">
        <w:trPr>
          <w:cantSplit/>
          <w:trHeight w:val="574"/>
        </w:trPr>
        <w:tc>
          <w:tcPr>
            <w:tcW w:w="959" w:type="dxa"/>
            <w:vMerge/>
            <w:vAlign w:val="center"/>
          </w:tcPr>
          <w:p w14:paraId="70AFEC93" w14:textId="77777777" w:rsidR="008143D9" w:rsidRPr="00AC3044" w:rsidRDefault="008143D9" w:rsidP="005A428D">
            <w:pPr>
              <w:rPr>
                <w:rFonts w:eastAsia="SimSun"/>
              </w:rPr>
            </w:pPr>
          </w:p>
        </w:tc>
        <w:tc>
          <w:tcPr>
            <w:tcW w:w="1701" w:type="dxa"/>
            <w:vAlign w:val="center"/>
          </w:tcPr>
          <w:p w14:paraId="2813B3DF" w14:textId="77777777" w:rsidR="008143D9" w:rsidRPr="00AC3044" w:rsidRDefault="008143D9" w:rsidP="005A428D">
            <w:pPr>
              <w:rPr>
                <w:rFonts w:eastAsia="SimSun"/>
              </w:rPr>
            </w:pPr>
            <w:r w:rsidRPr="00AC3044">
              <w:rPr>
                <w:rFonts w:eastAsia="SimSun"/>
              </w:rPr>
              <w:t>Тиотепа</w:t>
            </w:r>
          </w:p>
        </w:tc>
        <w:tc>
          <w:tcPr>
            <w:tcW w:w="1559" w:type="dxa"/>
            <w:vAlign w:val="center"/>
          </w:tcPr>
          <w:p w14:paraId="16E83E37" w14:textId="77777777" w:rsidR="008143D9" w:rsidRPr="00AC3044" w:rsidRDefault="008143D9" w:rsidP="005A428D">
            <w:pPr>
              <w:rPr>
                <w:rFonts w:eastAsia="SimSun"/>
              </w:rPr>
            </w:pPr>
            <w:r w:rsidRPr="00AC3044">
              <w:rPr>
                <w:rFonts w:eastAsia="SimSun"/>
              </w:rPr>
              <w:t>5 мг/м</w:t>
            </w:r>
            <w:r w:rsidRPr="001E6DBE">
              <w:rPr>
                <w:rFonts w:eastAsia="SimSun"/>
                <w:vertAlign w:val="superscript"/>
              </w:rPr>
              <w:t>2</w:t>
            </w:r>
            <w:r w:rsidRPr="00AC3044">
              <w:rPr>
                <w:rFonts w:eastAsia="SimSun"/>
              </w:rPr>
              <w:t xml:space="preserve"> </w:t>
            </w:r>
          </w:p>
        </w:tc>
        <w:tc>
          <w:tcPr>
            <w:tcW w:w="1701" w:type="dxa"/>
            <w:vAlign w:val="center"/>
          </w:tcPr>
          <w:p w14:paraId="66A79367" w14:textId="77777777" w:rsidR="008143D9" w:rsidRPr="00AC3044" w:rsidRDefault="008143D9" w:rsidP="005A428D">
            <w:pPr>
              <w:rPr>
                <w:rFonts w:eastAsia="SimSun"/>
              </w:rPr>
            </w:pPr>
            <w:r w:rsidRPr="00AC3044">
              <w:rPr>
                <w:rFonts w:eastAsia="SimSun"/>
              </w:rPr>
              <w:t>10 мг/м</w:t>
            </w:r>
            <w:r w:rsidRPr="001E6DBE">
              <w:rPr>
                <w:rFonts w:eastAsia="SimSun"/>
                <w:vertAlign w:val="superscript"/>
              </w:rPr>
              <w:t>2</w:t>
            </w:r>
          </w:p>
        </w:tc>
        <w:tc>
          <w:tcPr>
            <w:tcW w:w="1418" w:type="dxa"/>
            <w:vAlign w:val="center"/>
          </w:tcPr>
          <w:p w14:paraId="45CEC4F0" w14:textId="77777777" w:rsidR="008143D9" w:rsidRPr="00AC3044" w:rsidRDefault="008143D9" w:rsidP="005A428D">
            <w:pPr>
              <w:rPr>
                <w:rFonts w:eastAsia="SimSun"/>
              </w:rPr>
            </w:pPr>
            <w:r w:rsidRPr="00AC3044">
              <w:rPr>
                <w:rFonts w:eastAsia="SimSun"/>
              </w:rPr>
              <w:t xml:space="preserve"> Дни -5; -4  </w:t>
            </w:r>
          </w:p>
        </w:tc>
        <w:tc>
          <w:tcPr>
            <w:tcW w:w="2268" w:type="dxa"/>
            <w:vAlign w:val="center"/>
          </w:tcPr>
          <w:p w14:paraId="286601F5" w14:textId="77777777" w:rsidR="008143D9" w:rsidRPr="00AC3044" w:rsidRDefault="008143D9" w:rsidP="005A428D">
            <w:pPr>
              <w:rPr>
                <w:rFonts w:eastAsia="SimSun"/>
              </w:rPr>
            </w:pPr>
            <w:r w:rsidRPr="00AC3044">
              <w:rPr>
                <w:rFonts w:eastAsia="SimSun"/>
              </w:rPr>
              <w:t>В/в, в течение 2 ч</w:t>
            </w:r>
          </w:p>
        </w:tc>
      </w:tr>
      <w:tr w:rsidR="008143D9" w:rsidRPr="00AC3044" w14:paraId="1C000831" w14:textId="77777777" w:rsidTr="005A428D">
        <w:trPr>
          <w:cantSplit/>
          <w:trHeight w:val="695"/>
        </w:trPr>
        <w:tc>
          <w:tcPr>
            <w:tcW w:w="959" w:type="dxa"/>
            <w:vMerge w:val="restart"/>
            <w:textDirection w:val="btLr"/>
            <w:vAlign w:val="center"/>
          </w:tcPr>
          <w:p w14:paraId="1996B4DB" w14:textId="77777777" w:rsidR="008143D9" w:rsidRPr="00AC3044" w:rsidRDefault="008143D9" w:rsidP="005A428D">
            <w:pPr>
              <w:rPr>
                <w:rFonts w:eastAsia="SimSun"/>
              </w:rPr>
            </w:pPr>
            <w:r w:rsidRPr="00AC3044">
              <w:rPr>
                <w:rFonts w:eastAsia="SimSun"/>
              </w:rPr>
              <w:t>Профилактика РТПХ</w:t>
            </w:r>
          </w:p>
        </w:tc>
        <w:tc>
          <w:tcPr>
            <w:tcW w:w="1701" w:type="dxa"/>
            <w:vAlign w:val="center"/>
          </w:tcPr>
          <w:p w14:paraId="45A4F46C" w14:textId="77777777" w:rsidR="008143D9" w:rsidRPr="00AC3044" w:rsidRDefault="008143D9" w:rsidP="005A428D">
            <w:pPr>
              <w:rPr>
                <w:rFonts w:eastAsia="SimSun"/>
              </w:rPr>
            </w:pPr>
            <w:r w:rsidRPr="00AC3044">
              <w:rPr>
                <w:rFonts w:eastAsia="SimSun"/>
              </w:rPr>
              <w:t>АТГ (лошадиный)</w:t>
            </w:r>
          </w:p>
        </w:tc>
        <w:tc>
          <w:tcPr>
            <w:tcW w:w="1559" w:type="dxa"/>
            <w:vAlign w:val="center"/>
          </w:tcPr>
          <w:p w14:paraId="6441BC48" w14:textId="77777777" w:rsidR="008143D9" w:rsidRPr="00AC3044" w:rsidRDefault="008143D9" w:rsidP="005A428D">
            <w:pPr>
              <w:rPr>
                <w:rFonts w:eastAsia="SimSun"/>
              </w:rPr>
            </w:pPr>
            <w:r w:rsidRPr="00AC3044">
              <w:rPr>
                <w:rFonts w:eastAsia="SimSun"/>
              </w:rPr>
              <w:t>20 мг/кг</w:t>
            </w:r>
          </w:p>
        </w:tc>
        <w:tc>
          <w:tcPr>
            <w:tcW w:w="1701" w:type="dxa"/>
            <w:vAlign w:val="center"/>
          </w:tcPr>
          <w:p w14:paraId="48E10952" w14:textId="77777777" w:rsidR="008143D9" w:rsidRPr="00AC3044" w:rsidRDefault="008143D9" w:rsidP="005A428D">
            <w:pPr>
              <w:rPr>
                <w:rFonts w:eastAsia="SimSun"/>
              </w:rPr>
            </w:pPr>
            <w:r w:rsidRPr="00AC3044">
              <w:rPr>
                <w:rFonts w:eastAsia="SimSun"/>
              </w:rPr>
              <w:t>60 мг/кг</w:t>
            </w:r>
          </w:p>
        </w:tc>
        <w:tc>
          <w:tcPr>
            <w:tcW w:w="1418" w:type="dxa"/>
            <w:vAlign w:val="center"/>
          </w:tcPr>
          <w:p w14:paraId="7C2F6F98" w14:textId="77777777" w:rsidR="008143D9" w:rsidRPr="00AC3044" w:rsidRDefault="008143D9" w:rsidP="005A428D">
            <w:pPr>
              <w:rPr>
                <w:rFonts w:eastAsia="SimSun"/>
              </w:rPr>
            </w:pPr>
            <w:r w:rsidRPr="00AC3044">
              <w:rPr>
                <w:rFonts w:eastAsia="SimSun"/>
              </w:rPr>
              <w:t>В дни -3, -2, -1</w:t>
            </w:r>
          </w:p>
        </w:tc>
        <w:tc>
          <w:tcPr>
            <w:tcW w:w="2268" w:type="dxa"/>
            <w:vAlign w:val="center"/>
          </w:tcPr>
          <w:p w14:paraId="42D90E22" w14:textId="77777777" w:rsidR="008143D9" w:rsidRPr="00AC3044" w:rsidRDefault="008143D9" w:rsidP="005A428D">
            <w:pPr>
              <w:rPr>
                <w:rFonts w:eastAsia="SimSun"/>
              </w:rPr>
            </w:pPr>
            <w:r w:rsidRPr="00AC3044">
              <w:rPr>
                <w:rFonts w:eastAsia="SimSun"/>
              </w:rPr>
              <w:t>В/в. Суточная доза разделяется на 2 введения (см.</w:t>
            </w:r>
            <w:r>
              <w:rPr>
                <w:rFonts w:eastAsia="SimSun"/>
              </w:rPr>
              <w:t xml:space="preserve"> </w:t>
            </w:r>
            <w:r w:rsidRPr="00AC3044">
              <w:rPr>
                <w:rFonts w:eastAsia="SimSun"/>
              </w:rPr>
              <w:t>«Инфузия АТГ»)</w:t>
            </w:r>
          </w:p>
        </w:tc>
      </w:tr>
      <w:tr w:rsidR="008143D9" w:rsidRPr="00AC3044" w14:paraId="083E6252" w14:textId="77777777" w:rsidTr="005A428D">
        <w:trPr>
          <w:cantSplit/>
          <w:trHeight w:val="958"/>
        </w:trPr>
        <w:tc>
          <w:tcPr>
            <w:tcW w:w="959" w:type="dxa"/>
            <w:vMerge/>
            <w:textDirection w:val="btLr"/>
            <w:vAlign w:val="center"/>
          </w:tcPr>
          <w:p w14:paraId="48471179" w14:textId="77777777" w:rsidR="008143D9" w:rsidRPr="00AC3044" w:rsidRDefault="008143D9" w:rsidP="005A428D">
            <w:pPr>
              <w:rPr>
                <w:rFonts w:eastAsia="SimSun"/>
              </w:rPr>
            </w:pPr>
          </w:p>
        </w:tc>
        <w:tc>
          <w:tcPr>
            <w:tcW w:w="1701" w:type="dxa"/>
            <w:vAlign w:val="center"/>
          </w:tcPr>
          <w:p w14:paraId="69762858" w14:textId="77777777" w:rsidR="008143D9" w:rsidRPr="00AC3044" w:rsidRDefault="008143D9" w:rsidP="005A428D">
            <w:pPr>
              <w:rPr>
                <w:rFonts w:eastAsia="SimSun"/>
              </w:rPr>
            </w:pPr>
            <w:r w:rsidRPr="00AC3044">
              <w:rPr>
                <w:rFonts w:eastAsia="SimSun"/>
              </w:rPr>
              <w:t xml:space="preserve">Такролимус </w:t>
            </w:r>
          </w:p>
        </w:tc>
        <w:tc>
          <w:tcPr>
            <w:tcW w:w="1559" w:type="dxa"/>
            <w:vAlign w:val="center"/>
          </w:tcPr>
          <w:p w14:paraId="74F6AC8E" w14:textId="77777777" w:rsidR="008143D9" w:rsidRPr="00AC3044" w:rsidRDefault="008143D9" w:rsidP="005A428D">
            <w:pPr>
              <w:rPr>
                <w:rFonts w:eastAsia="SimSun"/>
              </w:rPr>
            </w:pPr>
            <w:r w:rsidRPr="00AC3044">
              <w:rPr>
                <w:rFonts w:eastAsia="SimSun"/>
              </w:rPr>
              <w:t>0,03 мг/кг</w:t>
            </w:r>
          </w:p>
        </w:tc>
        <w:tc>
          <w:tcPr>
            <w:tcW w:w="1701" w:type="dxa"/>
            <w:vAlign w:val="center"/>
          </w:tcPr>
          <w:p w14:paraId="3646B5B4" w14:textId="77777777" w:rsidR="008143D9" w:rsidRPr="00AC3044" w:rsidRDefault="008143D9" w:rsidP="005A428D">
            <w:pPr>
              <w:rPr>
                <w:rFonts w:eastAsia="SimSun"/>
              </w:rPr>
            </w:pPr>
            <w:r w:rsidRPr="00AC3044">
              <w:rPr>
                <w:rFonts w:eastAsia="SimSun"/>
              </w:rPr>
              <w:t>–</w:t>
            </w:r>
          </w:p>
        </w:tc>
        <w:tc>
          <w:tcPr>
            <w:tcW w:w="1418" w:type="dxa"/>
            <w:vAlign w:val="center"/>
          </w:tcPr>
          <w:p w14:paraId="51B58671" w14:textId="77777777" w:rsidR="008143D9" w:rsidRPr="00AC3044" w:rsidRDefault="008143D9" w:rsidP="005A428D">
            <w:pPr>
              <w:rPr>
                <w:rFonts w:eastAsia="SimSun"/>
              </w:rPr>
            </w:pPr>
            <w:r w:rsidRPr="00AC3044">
              <w:rPr>
                <w:rFonts w:eastAsia="SimSun"/>
              </w:rPr>
              <w:t xml:space="preserve">С -1 дня длительно </w:t>
            </w:r>
          </w:p>
        </w:tc>
        <w:tc>
          <w:tcPr>
            <w:tcW w:w="2268" w:type="dxa"/>
            <w:vAlign w:val="center"/>
          </w:tcPr>
          <w:p w14:paraId="3BF384E7" w14:textId="77777777" w:rsidR="008143D9" w:rsidRPr="00AC3044" w:rsidRDefault="008143D9" w:rsidP="005A428D">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8143D9" w:rsidRPr="00AC3044" w14:paraId="4B98C602" w14:textId="77777777" w:rsidTr="005A428D">
        <w:trPr>
          <w:cantSplit/>
          <w:trHeight w:val="986"/>
        </w:trPr>
        <w:tc>
          <w:tcPr>
            <w:tcW w:w="959" w:type="dxa"/>
            <w:vMerge/>
            <w:textDirection w:val="btLr"/>
            <w:vAlign w:val="center"/>
          </w:tcPr>
          <w:p w14:paraId="5C4E9371" w14:textId="77777777" w:rsidR="008143D9" w:rsidRPr="00AC3044" w:rsidRDefault="008143D9" w:rsidP="005A428D">
            <w:pPr>
              <w:rPr>
                <w:rFonts w:eastAsia="SimSun"/>
              </w:rPr>
            </w:pPr>
          </w:p>
        </w:tc>
        <w:tc>
          <w:tcPr>
            <w:tcW w:w="1701" w:type="dxa"/>
            <w:vAlign w:val="center"/>
          </w:tcPr>
          <w:p w14:paraId="4D7B43F8" w14:textId="77777777" w:rsidR="008143D9" w:rsidRPr="00AC3044" w:rsidRDefault="008143D9" w:rsidP="005A428D">
            <w:pPr>
              <w:rPr>
                <w:rFonts w:eastAsia="SimSun"/>
              </w:rPr>
            </w:pPr>
            <w:r w:rsidRPr="00AC3044">
              <w:rPr>
                <w:rFonts w:eastAsia="SimSun"/>
              </w:rPr>
              <w:t>Микофенолата мофетил</w:t>
            </w:r>
          </w:p>
        </w:tc>
        <w:tc>
          <w:tcPr>
            <w:tcW w:w="1559" w:type="dxa"/>
            <w:vAlign w:val="center"/>
          </w:tcPr>
          <w:p w14:paraId="0CEB6CD8" w14:textId="77777777" w:rsidR="008143D9" w:rsidRPr="00AC3044" w:rsidRDefault="008143D9" w:rsidP="005A428D">
            <w:pPr>
              <w:rPr>
                <w:rFonts w:eastAsia="SimSun"/>
              </w:rPr>
            </w:pPr>
            <w:r w:rsidRPr="00AC3044">
              <w:rPr>
                <w:rFonts w:eastAsia="SimSun"/>
              </w:rPr>
              <w:t xml:space="preserve">30 мг/кг </w:t>
            </w:r>
          </w:p>
        </w:tc>
        <w:tc>
          <w:tcPr>
            <w:tcW w:w="1701" w:type="dxa"/>
            <w:vAlign w:val="center"/>
          </w:tcPr>
          <w:p w14:paraId="3EBB5596" w14:textId="77777777" w:rsidR="008143D9" w:rsidRPr="00AC3044" w:rsidRDefault="008143D9" w:rsidP="005A428D">
            <w:pPr>
              <w:rPr>
                <w:rFonts w:eastAsia="SimSun"/>
              </w:rPr>
            </w:pPr>
            <w:r w:rsidRPr="00AC3044">
              <w:rPr>
                <w:rFonts w:eastAsia="SimSun"/>
              </w:rPr>
              <w:t>–</w:t>
            </w:r>
          </w:p>
        </w:tc>
        <w:tc>
          <w:tcPr>
            <w:tcW w:w="1418" w:type="dxa"/>
            <w:vAlign w:val="center"/>
          </w:tcPr>
          <w:p w14:paraId="33CF4165" w14:textId="77777777" w:rsidR="008143D9" w:rsidRPr="00AC3044" w:rsidRDefault="008143D9" w:rsidP="005A428D">
            <w:pPr>
              <w:rPr>
                <w:rFonts w:eastAsia="SimSun"/>
              </w:rPr>
            </w:pPr>
            <w:r w:rsidRPr="00AC3044">
              <w:rPr>
                <w:rFonts w:eastAsia="SimSun"/>
              </w:rPr>
              <w:t xml:space="preserve">С -1 дня по +30 день </w:t>
            </w:r>
          </w:p>
        </w:tc>
        <w:tc>
          <w:tcPr>
            <w:tcW w:w="2268" w:type="dxa"/>
            <w:vAlign w:val="center"/>
          </w:tcPr>
          <w:p w14:paraId="310C9ABB" w14:textId="77777777" w:rsidR="008143D9" w:rsidRPr="00AC3044" w:rsidRDefault="008143D9" w:rsidP="005A428D">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3EF11EE8" w14:textId="77777777" w:rsidR="008143D9" w:rsidRDefault="008143D9" w:rsidP="008143D9">
      <w:pPr>
        <w:rPr>
          <w:rFonts w:eastAsia="SimSun"/>
        </w:rPr>
      </w:pPr>
      <w:bookmarkStart w:id="144" w:name="_Toc44401180"/>
    </w:p>
    <w:p w14:paraId="433B7E80" w14:textId="77777777" w:rsidR="008143D9" w:rsidRPr="00C07B2E" w:rsidRDefault="008143D9" w:rsidP="008143D9">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1.2.22  – Flu180+Cy1200/ hATG+Tx+MMF30</w:t>
      </w:r>
      <w:bookmarkEnd w:id="144"/>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8143D9" w:rsidRPr="00AC3044" w14:paraId="47CC4A4E" w14:textId="77777777" w:rsidTr="005A428D">
        <w:trPr>
          <w:cantSplit/>
          <w:trHeight w:val="20"/>
          <w:tblHeader/>
        </w:trPr>
        <w:tc>
          <w:tcPr>
            <w:tcW w:w="959" w:type="dxa"/>
            <w:vAlign w:val="center"/>
          </w:tcPr>
          <w:p w14:paraId="5C70D4A2" w14:textId="77777777" w:rsidR="008143D9" w:rsidRPr="00AC3044" w:rsidRDefault="008143D9" w:rsidP="005A428D">
            <w:pPr>
              <w:rPr>
                <w:rFonts w:eastAsia="SimSun"/>
              </w:rPr>
            </w:pPr>
          </w:p>
        </w:tc>
        <w:tc>
          <w:tcPr>
            <w:tcW w:w="1701" w:type="dxa"/>
            <w:vAlign w:val="center"/>
          </w:tcPr>
          <w:p w14:paraId="6F9A2669" w14:textId="77777777" w:rsidR="008143D9" w:rsidRPr="00AC3044" w:rsidRDefault="008143D9" w:rsidP="005A428D">
            <w:pPr>
              <w:rPr>
                <w:rFonts w:eastAsia="SimSun"/>
              </w:rPr>
            </w:pPr>
            <w:r w:rsidRPr="00AC3044">
              <w:rPr>
                <w:rFonts w:eastAsia="SimSun"/>
              </w:rPr>
              <w:t>Препарат</w:t>
            </w:r>
          </w:p>
        </w:tc>
        <w:tc>
          <w:tcPr>
            <w:tcW w:w="1559" w:type="dxa"/>
            <w:vAlign w:val="center"/>
          </w:tcPr>
          <w:p w14:paraId="07C08900" w14:textId="77777777" w:rsidR="008143D9" w:rsidRPr="00AC3044" w:rsidRDefault="008143D9" w:rsidP="005A428D">
            <w:pPr>
              <w:rPr>
                <w:rFonts w:eastAsia="SimSun"/>
              </w:rPr>
            </w:pPr>
            <w:r w:rsidRPr="00AC3044">
              <w:rPr>
                <w:rFonts w:eastAsia="SimSun"/>
              </w:rPr>
              <w:t>Суточная доза</w:t>
            </w:r>
          </w:p>
        </w:tc>
        <w:tc>
          <w:tcPr>
            <w:tcW w:w="1701" w:type="dxa"/>
            <w:vAlign w:val="center"/>
          </w:tcPr>
          <w:p w14:paraId="00548C69" w14:textId="77777777" w:rsidR="008143D9" w:rsidRPr="00AC3044" w:rsidRDefault="008143D9" w:rsidP="005A428D">
            <w:pPr>
              <w:rPr>
                <w:rFonts w:eastAsia="SimSun"/>
              </w:rPr>
            </w:pPr>
            <w:r w:rsidRPr="00AC3044">
              <w:rPr>
                <w:rFonts w:eastAsia="SimSun"/>
              </w:rPr>
              <w:t>Курсовая доза</w:t>
            </w:r>
          </w:p>
        </w:tc>
        <w:tc>
          <w:tcPr>
            <w:tcW w:w="1418" w:type="dxa"/>
            <w:vAlign w:val="center"/>
          </w:tcPr>
          <w:p w14:paraId="469B4F97" w14:textId="77777777" w:rsidR="008143D9" w:rsidRPr="00AC3044" w:rsidRDefault="008143D9" w:rsidP="005A428D">
            <w:pPr>
              <w:rPr>
                <w:rFonts w:eastAsia="SimSun"/>
              </w:rPr>
            </w:pPr>
            <w:r w:rsidRPr="00AC3044">
              <w:rPr>
                <w:rFonts w:eastAsia="SimSun"/>
              </w:rPr>
              <w:t>Дни введения</w:t>
            </w:r>
          </w:p>
        </w:tc>
        <w:tc>
          <w:tcPr>
            <w:tcW w:w="2268" w:type="dxa"/>
            <w:vAlign w:val="center"/>
          </w:tcPr>
          <w:p w14:paraId="4F493D95"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4D06DE09" w14:textId="77777777" w:rsidTr="005A428D">
        <w:trPr>
          <w:cantSplit/>
          <w:trHeight w:val="20"/>
        </w:trPr>
        <w:tc>
          <w:tcPr>
            <w:tcW w:w="959" w:type="dxa"/>
            <w:vMerge w:val="restart"/>
            <w:textDirection w:val="btLr"/>
            <w:vAlign w:val="center"/>
          </w:tcPr>
          <w:p w14:paraId="034B6FA0" w14:textId="77777777" w:rsidR="008143D9" w:rsidRPr="00AC3044" w:rsidRDefault="008143D9" w:rsidP="005A428D">
            <w:pPr>
              <w:rPr>
                <w:rFonts w:eastAsia="SimSun"/>
              </w:rPr>
            </w:pPr>
            <w:r w:rsidRPr="00AC3044">
              <w:rPr>
                <w:rFonts w:eastAsia="SimSun"/>
              </w:rPr>
              <w:t>Кондиционирование</w:t>
            </w:r>
          </w:p>
        </w:tc>
        <w:tc>
          <w:tcPr>
            <w:tcW w:w="1701" w:type="dxa"/>
            <w:vAlign w:val="center"/>
          </w:tcPr>
          <w:p w14:paraId="00060613" w14:textId="77777777" w:rsidR="008143D9" w:rsidRPr="00AC3044" w:rsidRDefault="008143D9" w:rsidP="005A428D">
            <w:pPr>
              <w:rPr>
                <w:rFonts w:eastAsia="SimSun"/>
              </w:rPr>
            </w:pPr>
            <w:r w:rsidRPr="00AC3044">
              <w:rPr>
                <w:rFonts w:eastAsia="SimSun"/>
              </w:rPr>
              <w:t xml:space="preserve">Флударабин </w:t>
            </w:r>
          </w:p>
        </w:tc>
        <w:tc>
          <w:tcPr>
            <w:tcW w:w="1559" w:type="dxa"/>
            <w:vAlign w:val="center"/>
          </w:tcPr>
          <w:p w14:paraId="0223BC2F" w14:textId="77777777" w:rsidR="008143D9" w:rsidRPr="00AC3044" w:rsidRDefault="008143D9" w:rsidP="005A428D">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2FF700CE" w14:textId="77777777" w:rsidR="008143D9" w:rsidRPr="00AC3044" w:rsidRDefault="008143D9" w:rsidP="005A428D">
            <w:pPr>
              <w:rPr>
                <w:rFonts w:eastAsia="SimSun"/>
              </w:rPr>
            </w:pPr>
            <w:r w:rsidRPr="00AC3044">
              <w:rPr>
                <w:rFonts w:eastAsia="SimSun"/>
              </w:rPr>
              <w:t>180 мг/м</w:t>
            </w:r>
            <w:r w:rsidRPr="001E6DBE">
              <w:rPr>
                <w:rFonts w:eastAsia="SimSun"/>
                <w:vertAlign w:val="superscript"/>
              </w:rPr>
              <w:t>2</w:t>
            </w:r>
          </w:p>
        </w:tc>
        <w:tc>
          <w:tcPr>
            <w:tcW w:w="1418" w:type="dxa"/>
            <w:vAlign w:val="center"/>
          </w:tcPr>
          <w:p w14:paraId="31E6AE60" w14:textId="77777777" w:rsidR="008143D9" w:rsidRPr="00AC3044" w:rsidRDefault="008143D9" w:rsidP="005A428D">
            <w:pPr>
              <w:rPr>
                <w:rFonts w:eastAsia="SimSun"/>
              </w:rPr>
            </w:pPr>
            <w:r w:rsidRPr="00AC3044">
              <w:rPr>
                <w:rFonts w:eastAsia="SimSun"/>
              </w:rPr>
              <w:t>С -7 дня по -2 день</w:t>
            </w:r>
          </w:p>
        </w:tc>
        <w:tc>
          <w:tcPr>
            <w:tcW w:w="2268" w:type="dxa"/>
            <w:vAlign w:val="center"/>
          </w:tcPr>
          <w:p w14:paraId="79BC6F4D"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6D1499F1" w14:textId="77777777" w:rsidTr="005A428D">
        <w:trPr>
          <w:cantSplit/>
          <w:trHeight w:val="864"/>
        </w:trPr>
        <w:tc>
          <w:tcPr>
            <w:tcW w:w="959" w:type="dxa"/>
            <w:vMerge/>
            <w:vAlign w:val="center"/>
          </w:tcPr>
          <w:p w14:paraId="1B80E7A6" w14:textId="77777777" w:rsidR="008143D9" w:rsidRPr="00AC3044" w:rsidRDefault="008143D9" w:rsidP="005A428D">
            <w:pPr>
              <w:rPr>
                <w:rFonts w:eastAsia="SimSun"/>
              </w:rPr>
            </w:pPr>
          </w:p>
        </w:tc>
        <w:tc>
          <w:tcPr>
            <w:tcW w:w="1701" w:type="dxa"/>
            <w:vAlign w:val="center"/>
          </w:tcPr>
          <w:p w14:paraId="3B437FC1" w14:textId="77777777" w:rsidR="008143D9" w:rsidRPr="00AC3044" w:rsidRDefault="008143D9" w:rsidP="005A428D">
            <w:pPr>
              <w:rPr>
                <w:rFonts w:eastAsia="SimSun"/>
              </w:rPr>
            </w:pPr>
            <w:r w:rsidRPr="00AC3044">
              <w:rPr>
                <w:rFonts w:eastAsia="SimSun"/>
              </w:rPr>
              <w:t>Циклофосфамид</w:t>
            </w:r>
          </w:p>
        </w:tc>
        <w:tc>
          <w:tcPr>
            <w:tcW w:w="1559" w:type="dxa"/>
            <w:vAlign w:val="center"/>
          </w:tcPr>
          <w:p w14:paraId="2788EEA6" w14:textId="77777777" w:rsidR="008143D9" w:rsidRPr="00AC3044" w:rsidRDefault="008143D9" w:rsidP="005A428D">
            <w:pPr>
              <w:rPr>
                <w:rFonts w:eastAsia="SimSun"/>
              </w:rPr>
            </w:pPr>
            <w:r w:rsidRPr="00AC3044">
              <w:rPr>
                <w:rFonts w:eastAsia="SimSun"/>
              </w:rPr>
              <w:t>300 мг/м</w:t>
            </w:r>
            <w:r w:rsidRPr="001E6DBE">
              <w:rPr>
                <w:rFonts w:eastAsia="SimSun"/>
                <w:vertAlign w:val="superscript"/>
              </w:rPr>
              <w:t>2</w:t>
            </w:r>
            <w:r w:rsidRPr="00AC3044">
              <w:rPr>
                <w:rFonts w:eastAsia="SimSun"/>
              </w:rPr>
              <w:t xml:space="preserve"> </w:t>
            </w:r>
          </w:p>
        </w:tc>
        <w:tc>
          <w:tcPr>
            <w:tcW w:w="1701" w:type="dxa"/>
            <w:vAlign w:val="center"/>
          </w:tcPr>
          <w:p w14:paraId="4B38207C" w14:textId="77777777" w:rsidR="008143D9" w:rsidRPr="00AC3044" w:rsidRDefault="008143D9" w:rsidP="005A428D">
            <w:pPr>
              <w:rPr>
                <w:rFonts w:eastAsia="SimSun"/>
              </w:rPr>
            </w:pPr>
            <w:r w:rsidRPr="00AC3044">
              <w:rPr>
                <w:rFonts w:eastAsia="SimSun"/>
              </w:rPr>
              <w:t>1200 мг/м</w:t>
            </w:r>
            <w:r w:rsidRPr="001E6DBE">
              <w:rPr>
                <w:rFonts w:eastAsia="SimSun"/>
                <w:vertAlign w:val="superscript"/>
              </w:rPr>
              <w:t>2</w:t>
            </w:r>
          </w:p>
        </w:tc>
        <w:tc>
          <w:tcPr>
            <w:tcW w:w="1418" w:type="dxa"/>
            <w:vAlign w:val="center"/>
          </w:tcPr>
          <w:p w14:paraId="43430824" w14:textId="77777777" w:rsidR="008143D9" w:rsidRPr="00AC3044" w:rsidRDefault="008143D9" w:rsidP="005A428D">
            <w:pPr>
              <w:rPr>
                <w:rFonts w:eastAsia="SimSun"/>
              </w:rPr>
            </w:pPr>
            <w:r w:rsidRPr="00AC3044">
              <w:rPr>
                <w:rFonts w:eastAsia="SimSun"/>
              </w:rPr>
              <w:t xml:space="preserve"> С -5 дня по -2 день </w:t>
            </w:r>
          </w:p>
        </w:tc>
        <w:tc>
          <w:tcPr>
            <w:tcW w:w="2268" w:type="dxa"/>
            <w:vAlign w:val="center"/>
          </w:tcPr>
          <w:p w14:paraId="7D9C37C6" w14:textId="77777777" w:rsidR="008143D9" w:rsidRPr="00AC3044" w:rsidRDefault="008143D9" w:rsidP="005A428D">
            <w:pPr>
              <w:rPr>
                <w:rFonts w:eastAsia="SimSun"/>
              </w:rPr>
            </w:pPr>
            <w:r w:rsidRPr="00AC3044">
              <w:rPr>
                <w:rFonts w:eastAsia="SimSun"/>
              </w:rPr>
              <w:t>В/в, в течение 2 ч</w:t>
            </w:r>
          </w:p>
        </w:tc>
      </w:tr>
      <w:tr w:rsidR="008143D9" w:rsidRPr="00AC3044" w14:paraId="57E981CA" w14:textId="77777777" w:rsidTr="005A428D">
        <w:trPr>
          <w:cantSplit/>
          <w:trHeight w:val="640"/>
        </w:trPr>
        <w:tc>
          <w:tcPr>
            <w:tcW w:w="959" w:type="dxa"/>
            <w:vMerge w:val="restart"/>
            <w:textDirection w:val="btLr"/>
            <w:vAlign w:val="center"/>
          </w:tcPr>
          <w:p w14:paraId="4A62ABDC" w14:textId="77777777" w:rsidR="008143D9" w:rsidRPr="00AC3044" w:rsidRDefault="008143D9" w:rsidP="005A428D">
            <w:pPr>
              <w:rPr>
                <w:rFonts w:eastAsia="SimSun"/>
              </w:rPr>
            </w:pPr>
            <w:r w:rsidRPr="00AC3044">
              <w:rPr>
                <w:rFonts w:eastAsia="SimSun"/>
              </w:rPr>
              <w:t>Профилактика РТПХ</w:t>
            </w:r>
          </w:p>
        </w:tc>
        <w:tc>
          <w:tcPr>
            <w:tcW w:w="1701" w:type="dxa"/>
            <w:vAlign w:val="center"/>
          </w:tcPr>
          <w:p w14:paraId="4667F3C2" w14:textId="77777777" w:rsidR="008143D9" w:rsidRPr="00AC3044" w:rsidRDefault="008143D9" w:rsidP="005A428D">
            <w:pPr>
              <w:rPr>
                <w:rFonts w:eastAsia="SimSun"/>
              </w:rPr>
            </w:pPr>
            <w:r w:rsidRPr="00AC3044">
              <w:rPr>
                <w:rFonts w:eastAsia="SimSun"/>
              </w:rPr>
              <w:t xml:space="preserve"> АТГ (лошадиный)</w:t>
            </w:r>
          </w:p>
        </w:tc>
        <w:tc>
          <w:tcPr>
            <w:tcW w:w="1559" w:type="dxa"/>
            <w:vAlign w:val="center"/>
          </w:tcPr>
          <w:p w14:paraId="1CFF3557" w14:textId="77777777" w:rsidR="008143D9" w:rsidRPr="00AC3044" w:rsidRDefault="008143D9" w:rsidP="005A428D">
            <w:pPr>
              <w:rPr>
                <w:rFonts w:eastAsia="SimSun"/>
              </w:rPr>
            </w:pPr>
            <w:r w:rsidRPr="00AC3044">
              <w:rPr>
                <w:rFonts w:eastAsia="SimSun"/>
              </w:rPr>
              <w:t>20 мг/кг</w:t>
            </w:r>
          </w:p>
        </w:tc>
        <w:tc>
          <w:tcPr>
            <w:tcW w:w="1701" w:type="dxa"/>
            <w:vAlign w:val="center"/>
          </w:tcPr>
          <w:p w14:paraId="05AE189C" w14:textId="77777777" w:rsidR="008143D9" w:rsidRPr="00AC3044" w:rsidRDefault="008143D9" w:rsidP="005A428D">
            <w:pPr>
              <w:rPr>
                <w:rFonts w:eastAsia="SimSun"/>
              </w:rPr>
            </w:pPr>
            <w:r w:rsidRPr="00AC3044">
              <w:rPr>
                <w:rFonts w:eastAsia="SimSun"/>
              </w:rPr>
              <w:t>60 мг/кг</w:t>
            </w:r>
          </w:p>
        </w:tc>
        <w:tc>
          <w:tcPr>
            <w:tcW w:w="1418" w:type="dxa"/>
            <w:vAlign w:val="center"/>
          </w:tcPr>
          <w:p w14:paraId="02F2CF86" w14:textId="77777777" w:rsidR="008143D9" w:rsidRPr="00AC3044" w:rsidRDefault="008143D9" w:rsidP="005A428D">
            <w:pPr>
              <w:rPr>
                <w:rFonts w:eastAsia="SimSun"/>
              </w:rPr>
            </w:pPr>
            <w:r w:rsidRPr="00AC3044">
              <w:rPr>
                <w:rFonts w:eastAsia="SimSun"/>
              </w:rPr>
              <w:t>В дни -3, -2, -1</w:t>
            </w:r>
          </w:p>
        </w:tc>
        <w:tc>
          <w:tcPr>
            <w:tcW w:w="2268" w:type="dxa"/>
            <w:vAlign w:val="center"/>
          </w:tcPr>
          <w:p w14:paraId="380FF9A8" w14:textId="77777777" w:rsidR="008143D9" w:rsidRPr="00AC3044" w:rsidRDefault="008143D9" w:rsidP="005A428D">
            <w:pPr>
              <w:rPr>
                <w:rFonts w:eastAsia="SimSun"/>
              </w:rPr>
            </w:pPr>
            <w:r w:rsidRPr="00AC3044">
              <w:rPr>
                <w:rFonts w:eastAsia="SimSun"/>
              </w:rPr>
              <w:t>В/в. Суточная доза разделяется на 2 введения (см.</w:t>
            </w:r>
            <w:r>
              <w:rPr>
                <w:rFonts w:eastAsia="SimSun"/>
              </w:rPr>
              <w:t xml:space="preserve"> </w:t>
            </w:r>
            <w:r w:rsidRPr="00AC3044">
              <w:rPr>
                <w:rFonts w:eastAsia="SimSun"/>
              </w:rPr>
              <w:t>«Инфузия АТГ»)</w:t>
            </w:r>
          </w:p>
        </w:tc>
      </w:tr>
      <w:tr w:rsidR="008143D9" w:rsidRPr="00AC3044" w14:paraId="0789F40C" w14:textId="77777777" w:rsidTr="005A428D">
        <w:trPr>
          <w:cantSplit/>
          <w:trHeight w:val="958"/>
        </w:trPr>
        <w:tc>
          <w:tcPr>
            <w:tcW w:w="959" w:type="dxa"/>
            <w:vMerge/>
            <w:textDirection w:val="btLr"/>
            <w:vAlign w:val="center"/>
          </w:tcPr>
          <w:p w14:paraId="34251879" w14:textId="77777777" w:rsidR="008143D9" w:rsidRPr="00AC3044" w:rsidRDefault="008143D9" w:rsidP="005A428D">
            <w:pPr>
              <w:rPr>
                <w:rFonts w:eastAsia="SimSun"/>
              </w:rPr>
            </w:pPr>
          </w:p>
        </w:tc>
        <w:tc>
          <w:tcPr>
            <w:tcW w:w="1701" w:type="dxa"/>
            <w:vAlign w:val="center"/>
          </w:tcPr>
          <w:p w14:paraId="0E2897A0" w14:textId="77777777" w:rsidR="008143D9" w:rsidRPr="00AC3044" w:rsidRDefault="008143D9" w:rsidP="005A428D">
            <w:pPr>
              <w:rPr>
                <w:rFonts w:eastAsia="SimSun"/>
              </w:rPr>
            </w:pPr>
            <w:r w:rsidRPr="00AC3044">
              <w:rPr>
                <w:rFonts w:eastAsia="SimSun"/>
              </w:rPr>
              <w:t xml:space="preserve">Такролимус </w:t>
            </w:r>
          </w:p>
        </w:tc>
        <w:tc>
          <w:tcPr>
            <w:tcW w:w="1559" w:type="dxa"/>
            <w:vAlign w:val="center"/>
          </w:tcPr>
          <w:p w14:paraId="464D9B68" w14:textId="77777777" w:rsidR="008143D9" w:rsidRPr="00AC3044" w:rsidRDefault="008143D9" w:rsidP="005A428D">
            <w:pPr>
              <w:rPr>
                <w:rFonts w:eastAsia="SimSun"/>
              </w:rPr>
            </w:pPr>
            <w:r w:rsidRPr="00AC3044">
              <w:rPr>
                <w:rFonts w:eastAsia="SimSun"/>
              </w:rPr>
              <w:t>0,03 мг/кг</w:t>
            </w:r>
          </w:p>
        </w:tc>
        <w:tc>
          <w:tcPr>
            <w:tcW w:w="1701" w:type="dxa"/>
            <w:vAlign w:val="center"/>
          </w:tcPr>
          <w:p w14:paraId="2A4FCD28" w14:textId="77777777" w:rsidR="008143D9" w:rsidRPr="00AC3044" w:rsidRDefault="008143D9" w:rsidP="005A428D">
            <w:pPr>
              <w:rPr>
                <w:rFonts w:eastAsia="SimSun"/>
              </w:rPr>
            </w:pPr>
            <w:r w:rsidRPr="00AC3044">
              <w:rPr>
                <w:rFonts w:eastAsia="SimSun"/>
              </w:rPr>
              <w:t>–</w:t>
            </w:r>
          </w:p>
        </w:tc>
        <w:tc>
          <w:tcPr>
            <w:tcW w:w="1418" w:type="dxa"/>
            <w:vAlign w:val="center"/>
          </w:tcPr>
          <w:p w14:paraId="527E5258" w14:textId="77777777" w:rsidR="008143D9" w:rsidRPr="00AC3044" w:rsidRDefault="008143D9" w:rsidP="005A428D">
            <w:pPr>
              <w:rPr>
                <w:rFonts w:eastAsia="SimSun"/>
              </w:rPr>
            </w:pPr>
            <w:r w:rsidRPr="00AC3044">
              <w:rPr>
                <w:rFonts w:eastAsia="SimSun"/>
              </w:rPr>
              <w:t xml:space="preserve">С -1 дня длительно </w:t>
            </w:r>
          </w:p>
        </w:tc>
        <w:tc>
          <w:tcPr>
            <w:tcW w:w="2268" w:type="dxa"/>
            <w:vAlign w:val="center"/>
          </w:tcPr>
          <w:p w14:paraId="5329D980" w14:textId="77777777" w:rsidR="008143D9" w:rsidRPr="00AC3044" w:rsidRDefault="008143D9" w:rsidP="005A428D">
            <w:pPr>
              <w:rPr>
                <w:rFonts w:eastAsia="SimSun"/>
              </w:rPr>
            </w:pPr>
            <w:r w:rsidRPr="00AC3044">
              <w:rPr>
                <w:rFonts w:eastAsia="SimSun"/>
              </w:rPr>
              <w:t xml:space="preserve">В/в инфузия в течение 24 ч с последующей коррекцией суточной дозы по концентрации. Перевод на прием внутрь при условии восстановления лейкоцитов &gt; 1* 109/л, при отсутствии тошноты, рвоты, диареи и возможности приема внутрь. Концентрация Tx 5-15 нг/мл.    </w:t>
            </w:r>
          </w:p>
        </w:tc>
      </w:tr>
      <w:tr w:rsidR="008143D9" w:rsidRPr="00AC3044" w14:paraId="759ADA3D" w14:textId="77777777" w:rsidTr="005A428D">
        <w:trPr>
          <w:cantSplit/>
          <w:trHeight w:val="709"/>
        </w:trPr>
        <w:tc>
          <w:tcPr>
            <w:tcW w:w="959" w:type="dxa"/>
            <w:vMerge/>
            <w:textDirection w:val="btLr"/>
            <w:vAlign w:val="center"/>
          </w:tcPr>
          <w:p w14:paraId="52641D17" w14:textId="77777777" w:rsidR="008143D9" w:rsidRPr="00AC3044" w:rsidRDefault="008143D9" w:rsidP="005A428D">
            <w:pPr>
              <w:rPr>
                <w:rFonts w:eastAsia="SimSun"/>
              </w:rPr>
            </w:pPr>
          </w:p>
        </w:tc>
        <w:tc>
          <w:tcPr>
            <w:tcW w:w="1701" w:type="dxa"/>
            <w:vAlign w:val="center"/>
          </w:tcPr>
          <w:p w14:paraId="65BCE60D" w14:textId="77777777" w:rsidR="008143D9" w:rsidRPr="00AC3044" w:rsidRDefault="008143D9" w:rsidP="005A428D">
            <w:pPr>
              <w:rPr>
                <w:rFonts w:eastAsia="SimSun"/>
              </w:rPr>
            </w:pPr>
            <w:r w:rsidRPr="00AC3044">
              <w:rPr>
                <w:rFonts w:eastAsia="SimSun"/>
              </w:rPr>
              <w:t>Микофенолата мофетил</w:t>
            </w:r>
          </w:p>
        </w:tc>
        <w:tc>
          <w:tcPr>
            <w:tcW w:w="1559" w:type="dxa"/>
            <w:vAlign w:val="center"/>
          </w:tcPr>
          <w:p w14:paraId="1AD273BD" w14:textId="77777777" w:rsidR="008143D9" w:rsidRPr="00AC3044" w:rsidRDefault="008143D9" w:rsidP="005A428D">
            <w:pPr>
              <w:rPr>
                <w:rFonts w:eastAsia="SimSun"/>
              </w:rPr>
            </w:pPr>
            <w:r w:rsidRPr="00AC3044">
              <w:rPr>
                <w:rFonts w:eastAsia="SimSun"/>
              </w:rPr>
              <w:t xml:space="preserve">30 мг/кг </w:t>
            </w:r>
          </w:p>
        </w:tc>
        <w:tc>
          <w:tcPr>
            <w:tcW w:w="1701" w:type="dxa"/>
            <w:vAlign w:val="center"/>
          </w:tcPr>
          <w:p w14:paraId="16AEEC89" w14:textId="77777777" w:rsidR="008143D9" w:rsidRPr="00AC3044" w:rsidRDefault="008143D9" w:rsidP="005A428D">
            <w:pPr>
              <w:rPr>
                <w:rFonts w:eastAsia="SimSun"/>
              </w:rPr>
            </w:pPr>
            <w:r w:rsidRPr="00AC3044">
              <w:rPr>
                <w:rFonts w:eastAsia="SimSun"/>
              </w:rPr>
              <w:t>–</w:t>
            </w:r>
          </w:p>
        </w:tc>
        <w:tc>
          <w:tcPr>
            <w:tcW w:w="1418" w:type="dxa"/>
            <w:vAlign w:val="center"/>
          </w:tcPr>
          <w:p w14:paraId="4FB4F333" w14:textId="77777777" w:rsidR="008143D9" w:rsidRPr="00AC3044" w:rsidRDefault="008143D9" w:rsidP="005A428D">
            <w:pPr>
              <w:rPr>
                <w:rFonts w:eastAsia="SimSun"/>
              </w:rPr>
            </w:pPr>
            <w:r w:rsidRPr="00AC3044">
              <w:rPr>
                <w:rFonts w:eastAsia="SimSun"/>
              </w:rPr>
              <w:t xml:space="preserve">С -1 дня по +30 день </w:t>
            </w:r>
          </w:p>
        </w:tc>
        <w:tc>
          <w:tcPr>
            <w:tcW w:w="2268" w:type="dxa"/>
            <w:vAlign w:val="center"/>
          </w:tcPr>
          <w:p w14:paraId="6BE2C48A" w14:textId="77777777" w:rsidR="008143D9" w:rsidRPr="00AC3044" w:rsidRDefault="008143D9" w:rsidP="005A428D">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50B35CF5" w14:textId="77777777" w:rsidR="008143D9" w:rsidRPr="00C07B2E" w:rsidRDefault="008143D9" w:rsidP="008143D9">
      <w:pPr>
        <w:rPr>
          <w:rFonts w:eastAsia="SimSun"/>
        </w:rPr>
      </w:pPr>
    </w:p>
    <w:p w14:paraId="0C01F428" w14:textId="77777777" w:rsidR="008143D9" w:rsidRPr="00042499" w:rsidRDefault="008143D9" w:rsidP="008143D9">
      <w:pPr>
        <w:rPr>
          <w:rFonts w:eastAsia="SimSun"/>
          <w:lang w:val="en-US"/>
        </w:rPr>
      </w:pPr>
      <w:bookmarkStart w:id="145" w:name="_Toc44401181"/>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1.2.23  – </w:t>
      </w:r>
      <w:r w:rsidRPr="00C07B2E">
        <w:rPr>
          <w:rFonts w:eastAsia="SimSun"/>
        </w:rPr>
        <w:t>Flu</w:t>
      </w:r>
      <w:r w:rsidRPr="00042499">
        <w:rPr>
          <w:rFonts w:eastAsia="SimSun"/>
          <w:lang w:val="en-US"/>
        </w:rPr>
        <w:t>180+</w:t>
      </w:r>
      <w:r w:rsidRPr="00C07B2E">
        <w:rPr>
          <w:rFonts w:eastAsia="SimSun"/>
        </w:rPr>
        <w:t>Cy</w:t>
      </w:r>
      <w:r w:rsidRPr="00042499">
        <w:rPr>
          <w:rFonts w:eastAsia="SimSun"/>
          <w:lang w:val="en-US"/>
        </w:rPr>
        <w:t xml:space="preserve">1200 / </w:t>
      </w:r>
      <w:r w:rsidRPr="00C07B2E">
        <w:rPr>
          <w:rFonts w:eastAsia="SimSun"/>
        </w:rPr>
        <w:t>rATG</w:t>
      </w:r>
      <w:r w:rsidRPr="00042499">
        <w:rPr>
          <w:rFonts w:eastAsia="SimSun"/>
          <w:lang w:val="en-US"/>
        </w:rPr>
        <w:t>+</w:t>
      </w:r>
      <w:r w:rsidRPr="00C07B2E">
        <w:rPr>
          <w:rFonts w:eastAsia="SimSun"/>
        </w:rPr>
        <w:t>Tx</w:t>
      </w:r>
      <w:r w:rsidRPr="00042499">
        <w:rPr>
          <w:rFonts w:eastAsia="SimSun"/>
          <w:lang w:val="en-US"/>
        </w:rPr>
        <w:t>+</w:t>
      </w:r>
      <w:r w:rsidRPr="00C07B2E">
        <w:rPr>
          <w:rFonts w:eastAsia="SimSun"/>
        </w:rPr>
        <w:t>MMF</w:t>
      </w:r>
      <w:r w:rsidRPr="00042499">
        <w:rPr>
          <w:rFonts w:eastAsia="SimSun"/>
          <w:lang w:val="en-US"/>
        </w:rPr>
        <w:t>30</w:t>
      </w:r>
      <w:bookmarkEnd w:id="145"/>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8143D9" w:rsidRPr="00AC3044" w14:paraId="74064381" w14:textId="77777777" w:rsidTr="005A428D">
        <w:trPr>
          <w:cantSplit/>
          <w:trHeight w:val="20"/>
          <w:tblHeader/>
        </w:trPr>
        <w:tc>
          <w:tcPr>
            <w:tcW w:w="959" w:type="dxa"/>
            <w:vAlign w:val="center"/>
          </w:tcPr>
          <w:p w14:paraId="42004B25" w14:textId="77777777" w:rsidR="008143D9" w:rsidRPr="00AC3044" w:rsidRDefault="008143D9" w:rsidP="005A428D">
            <w:pPr>
              <w:rPr>
                <w:rFonts w:eastAsia="SimSun"/>
              </w:rPr>
            </w:pPr>
          </w:p>
        </w:tc>
        <w:tc>
          <w:tcPr>
            <w:tcW w:w="1701" w:type="dxa"/>
            <w:vAlign w:val="center"/>
          </w:tcPr>
          <w:p w14:paraId="204F8F27" w14:textId="77777777" w:rsidR="008143D9" w:rsidRPr="00AC3044" w:rsidRDefault="008143D9" w:rsidP="005A428D">
            <w:pPr>
              <w:rPr>
                <w:rFonts w:eastAsia="SimSun"/>
              </w:rPr>
            </w:pPr>
            <w:r w:rsidRPr="00AC3044">
              <w:rPr>
                <w:rFonts w:eastAsia="SimSun"/>
              </w:rPr>
              <w:t>Препарат</w:t>
            </w:r>
          </w:p>
        </w:tc>
        <w:tc>
          <w:tcPr>
            <w:tcW w:w="1559" w:type="dxa"/>
            <w:vAlign w:val="center"/>
          </w:tcPr>
          <w:p w14:paraId="2733944D" w14:textId="77777777" w:rsidR="008143D9" w:rsidRPr="00AC3044" w:rsidRDefault="008143D9" w:rsidP="005A428D">
            <w:pPr>
              <w:rPr>
                <w:rFonts w:eastAsia="SimSun"/>
              </w:rPr>
            </w:pPr>
            <w:r w:rsidRPr="00AC3044">
              <w:rPr>
                <w:rFonts w:eastAsia="SimSun"/>
              </w:rPr>
              <w:t>Суточная доза</w:t>
            </w:r>
          </w:p>
        </w:tc>
        <w:tc>
          <w:tcPr>
            <w:tcW w:w="1701" w:type="dxa"/>
            <w:vAlign w:val="center"/>
          </w:tcPr>
          <w:p w14:paraId="00CD0C3E" w14:textId="77777777" w:rsidR="008143D9" w:rsidRPr="00AC3044" w:rsidRDefault="008143D9" w:rsidP="005A428D">
            <w:pPr>
              <w:rPr>
                <w:rFonts w:eastAsia="SimSun"/>
              </w:rPr>
            </w:pPr>
            <w:r w:rsidRPr="00AC3044">
              <w:rPr>
                <w:rFonts w:eastAsia="SimSun"/>
              </w:rPr>
              <w:t>Курсовая доза</w:t>
            </w:r>
          </w:p>
        </w:tc>
        <w:tc>
          <w:tcPr>
            <w:tcW w:w="1418" w:type="dxa"/>
            <w:vAlign w:val="center"/>
          </w:tcPr>
          <w:p w14:paraId="555B57D3" w14:textId="77777777" w:rsidR="008143D9" w:rsidRPr="00AC3044" w:rsidRDefault="008143D9" w:rsidP="005A428D">
            <w:pPr>
              <w:rPr>
                <w:rFonts w:eastAsia="SimSun"/>
              </w:rPr>
            </w:pPr>
            <w:r w:rsidRPr="00AC3044">
              <w:rPr>
                <w:rFonts w:eastAsia="SimSun"/>
              </w:rPr>
              <w:t>Дни введения</w:t>
            </w:r>
          </w:p>
        </w:tc>
        <w:tc>
          <w:tcPr>
            <w:tcW w:w="2268" w:type="dxa"/>
            <w:vAlign w:val="center"/>
          </w:tcPr>
          <w:p w14:paraId="2C45276D"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4A3A21FE" w14:textId="77777777" w:rsidTr="005A428D">
        <w:trPr>
          <w:cantSplit/>
          <w:trHeight w:val="20"/>
        </w:trPr>
        <w:tc>
          <w:tcPr>
            <w:tcW w:w="959" w:type="dxa"/>
            <w:vMerge w:val="restart"/>
            <w:textDirection w:val="btLr"/>
            <w:vAlign w:val="center"/>
          </w:tcPr>
          <w:p w14:paraId="2F58B3EF" w14:textId="77777777" w:rsidR="008143D9" w:rsidRPr="00AC3044" w:rsidRDefault="008143D9" w:rsidP="005A428D">
            <w:pPr>
              <w:rPr>
                <w:rFonts w:eastAsia="SimSun"/>
              </w:rPr>
            </w:pPr>
            <w:r w:rsidRPr="00AC3044">
              <w:rPr>
                <w:rFonts w:eastAsia="SimSun"/>
              </w:rPr>
              <w:t>Кондиционирование</w:t>
            </w:r>
          </w:p>
        </w:tc>
        <w:tc>
          <w:tcPr>
            <w:tcW w:w="1701" w:type="dxa"/>
            <w:vAlign w:val="center"/>
          </w:tcPr>
          <w:p w14:paraId="78FBAC44" w14:textId="77777777" w:rsidR="008143D9" w:rsidRPr="00AC3044" w:rsidRDefault="008143D9" w:rsidP="005A428D">
            <w:pPr>
              <w:rPr>
                <w:rFonts w:eastAsia="SimSun"/>
              </w:rPr>
            </w:pPr>
            <w:r w:rsidRPr="00AC3044">
              <w:rPr>
                <w:rFonts w:eastAsia="SimSun"/>
              </w:rPr>
              <w:t xml:space="preserve">Флударабин </w:t>
            </w:r>
          </w:p>
        </w:tc>
        <w:tc>
          <w:tcPr>
            <w:tcW w:w="1559" w:type="dxa"/>
            <w:vAlign w:val="center"/>
          </w:tcPr>
          <w:p w14:paraId="6A0CA1BD" w14:textId="77777777" w:rsidR="008143D9" w:rsidRPr="00AC3044" w:rsidRDefault="008143D9" w:rsidP="005A428D">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01A5C560" w14:textId="77777777" w:rsidR="008143D9" w:rsidRPr="00AC3044" w:rsidRDefault="008143D9" w:rsidP="005A428D">
            <w:pPr>
              <w:rPr>
                <w:rFonts w:eastAsia="SimSun"/>
              </w:rPr>
            </w:pPr>
            <w:r w:rsidRPr="00AC3044">
              <w:rPr>
                <w:rFonts w:eastAsia="SimSun"/>
              </w:rPr>
              <w:t>180 мг/м</w:t>
            </w:r>
            <w:r w:rsidRPr="001E6DBE">
              <w:rPr>
                <w:rFonts w:eastAsia="SimSun"/>
                <w:vertAlign w:val="superscript"/>
              </w:rPr>
              <w:t>2</w:t>
            </w:r>
          </w:p>
        </w:tc>
        <w:tc>
          <w:tcPr>
            <w:tcW w:w="1418" w:type="dxa"/>
            <w:vAlign w:val="center"/>
          </w:tcPr>
          <w:p w14:paraId="4F91B510" w14:textId="77777777" w:rsidR="008143D9" w:rsidRPr="00AC3044" w:rsidRDefault="008143D9" w:rsidP="005A428D">
            <w:pPr>
              <w:rPr>
                <w:rFonts w:eastAsia="SimSun"/>
              </w:rPr>
            </w:pPr>
            <w:r w:rsidRPr="00AC3044">
              <w:rPr>
                <w:rFonts w:eastAsia="SimSun"/>
              </w:rPr>
              <w:t>С -7 дня по -2 день</w:t>
            </w:r>
          </w:p>
        </w:tc>
        <w:tc>
          <w:tcPr>
            <w:tcW w:w="2268" w:type="dxa"/>
            <w:vAlign w:val="center"/>
          </w:tcPr>
          <w:p w14:paraId="23DC01B4"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4075FFDB" w14:textId="77777777" w:rsidTr="005A428D">
        <w:trPr>
          <w:cantSplit/>
          <w:trHeight w:val="1207"/>
        </w:trPr>
        <w:tc>
          <w:tcPr>
            <w:tcW w:w="959" w:type="dxa"/>
            <w:vMerge/>
            <w:vAlign w:val="center"/>
          </w:tcPr>
          <w:p w14:paraId="3336F1AE" w14:textId="77777777" w:rsidR="008143D9" w:rsidRPr="00AC3044" w:rsidRDefault="008143D9" w:rsidP="005A428D">
            <w:pPr>
              <w:rPr>
                <w:rFonts w:eastAsia="SimSun"/>
              </w:rPr>
            </w:pPr>
          </w:p>
        </w:tc>
        <w:tc>
          <w:tcPr>
            <w:tcW w:w="1701" w:type="dxa"/>
            <w:vAlign w:val="center"/>
          </w:tcPr>
          <w:p w14:paraId="5DE262F8" w14:textId="77777777" w:rsidR="008143D9" w:rsidRPr="00AC3044" w:rsidRDefault="008143D9" w:rsidP="005A428D">
            <w:pPr>
              <w:rPr>
                <w:rFonts w:eastAsia="SimSun"/>
              </w:rPr>
            </w:pPr>
            <w:r w:rsidRPr="00AC3044">
              <w:rPr>
                <w:rFonts w:eastAsia="SimSun"/>
              </w:rPr>
              <w:t>Циклофосфамид</w:t>
            </w:r>
          </w:p>
        </w:tc>
        <w:tc>
          <w:tcPr>
            <w:tcW w:w="1559" w:type="dxa"/>
            <w:vAlign w:val="center"/>
          </w:tcPr>
          <w:p w14:paraId="50FBBE3A" w14:textId="77777777" w:rsidR="008143D9" w:rsidRPr="00AC3044" w:rsidRDefault="008143D9" w:rsidP="005A428D">
            <w:pPr>
              <w:rPr>
                <w:rFonts w:eastAsia="SimSun"/>
              </w:rPr>
            </w:pPr>
            <w:r w:rsidRPr="00AC3044">
              <w:rPr>
                <w:rFonts w:eastAsia="SimSun"/>
              </w:rPr>
              <w:t>300 мг/м</w:t>
            </w:r>
            <w:r w:rsidRPr="001E6DBE">
              <w:rPr>
                <w:rFonts w:eastAsia="SimSun"/>
                <w:vertAlign w:val="superscript"/>
              </w:rPr>
              <w:t>2</w:t>
            </w:r>
            <w:r w:rsidRPr="00AC3044">
              <w:rPr>
                <w:rFonts w:eastAsia="SimSun"/>
              </w:rPr>
              <w:t xml:space="preserve"> </w:t>
            </w:r>
          </w:p>
        </w:tc>
        <w:tc>
          <w:tcPr>
            <w:tcW w:w="1701" w:type="dxa"/>
            <w:vAlign w:val="center"/>
          </w:tcPr>
          <w:p w14:paraId="64BD93C1" w14:textId="77777777" w:rsidR="008143D9" w:rsidRPr="00AC3044" w:rsidRDefault="008143D9" w:rsidP="005A428D">
            <w:pPr>
              <w:rPr>
                <w:rFonts w:eastAsia="SimSun"/>
              </w:rPr>
            </w:pPr>
            <w:r w:rsidRPr="00AC3044">
              <w:rPr>
                <w:rFonts w:eastAsia="SimSun"/>
              </w:rPr>
              <w:t>1200 мг/м</w:t>
            </w:r>
            <w:r w:rsidRPr="001E6DBE">
              <w:rPr>
                <w:rFonts w:eastAsia="SimSun"/>
                <w:vertAlign w:val="superscript"/>
              </w:rPr>
              <w:t>2</w:t>
            </w:r>
          </w:p>
        </w:tc>
        <w:tc>
          <w:tcPr>
            <w:tcW w:w="1418" w:type="dxa"/>
            <w:vAlign w:val="center"/>
          </w:tcPr>
          <w:p w14:paraId="57DA4767" w14:textId="77777777" w:rsidR="008143D9" w:rsidRPr="00AC3044" w:rsidRDefault="008143D9" w:rsidP="005A428D">
            <w:pPr>
              <w:rPr>
                <w:rFonts w:eastAsia="SimSun"/>
              </w:rPr>
            </w:pPr>
            <w:r w:rsidRPr="00AC3044">
              <w:rPr>
                <w:rFonts w:eastAsia="SimSun"/>
              </w:rPr>
              <w:t xml:space="preserve"> С -5 дня по -2 день </w:t>
            </w:r>
          </w:p>
        </w:tc>
        <w:tc>
          <w:tcPr>
            <w:tcW w:w="2268" w:type="dxa"/>
            <w:vAlign w:val="center"/>
          </w:tcPr>
          <w:p w14:paraId="6BF210A8" w14:textId="77777777" w:rsidR="008143D9" w:rsidRPr="00AC3044" w:rsidRDefault="008143D9" w:rsidP="005A428D">
            <w:pPr>
              <w:rPr>
                <w:rFonts w:eastAsia="SimSun"/>
              </w:rPr>
            </w:pPr>
            <w:r w:rsidRPr="00AC3044">
              <w:rPr>
                <w:rFonts w:eastAsia="SimSun"/>
              </w:rPr>
              <w:t>В/в, в течение 2 ч</w:t>
            </w:r>
          </w:p>
        </w:tc>
      </w:tr>
      <w:tr w:rsidR="008143D9" w:rsidRPr="00AC3044" w14:paraId="00119C19" w14:textId="77777777" w:rsidTr="005A428D">
        <w:trPr>
          <w:cantSplit/>
          <w:trHeight w:val="858"/>
        </w:trPr>
        <w:tc>
          <w:tcPr>
            <w:tcW w:w="959" w:type="dxa"/>
            <w:vMerge w:val="restart"/>
            <w:textDirection w:val="btLr"/>
            <w:vAlign w:val="center"/>
          </w:tcPr>
          <w:p w14:paraId="09E55419" w14:textId="77777777" w:rsidR="008143D9" w:rsidRPr="00AC3044" w:rsidRDefault="008143D9" w:rsidP="005A428D">
            <w:pPr>
              <w:rPr>
                <w:rFonts w:eastAsia="SimSun"/>
              </w:rPr>
            </w:pPr>
            <w:r w:rsidRPr="00AC3044">
              <w:rPr>
                <w:rFonts w:eastAsia="SimSun"/>
              </w:rPr>
              <w:t>Профилактика РТПХ</w:t>
            </w:r>
          </w:p>
        </w:tc>
        <w:tc>
          <w:tcPr>
            <w:tcW w:w="1701" w:type="dxa"/>
            <w:vAlign w:val="center"/>
          </w:tcPr>
          <w:p w14:paraId="3DD7E6E6" w14:textId="77777777" w:rsidR="008143D9" w:rsidRPr="00AC3044" w:rsidRDefault="008143D9" w:rsidP="005A428D">
            <w:pPr>
              <w:rPr>
                <w:rFonts w:eastAsia="SimSun"/>
              </w:rPr>
            </w:pPr>
            <w:r w:rsidRPr="00AC3044">
              <w:rPr>
                <w:rFonts w:eastAsia="SimSun"/>
              </w:rPr>
              <w:t>АТГ (кроличий)</w:t>
            </w:r>
          </w:p>
        </w:tc>
        <w:tc>
          <w:tcPr>
            <w:tcW w:w="1559" w:type="dxa"/>
            <w:vAlign w:val="center"/>
          </w:tcPr>
          <w:p w14:paraId="1EC1D8A7" w14:textId="77777777" w:rsidR="008143D9" w:rsidRPr="00AC3044" w:rsidRDefault="008143D9" w:rsidP="005A428D">
            <w:pPr>
              <w:rPr>
                <w:rFonts w:eastAsia="SimSun"/>
              </w:rPr>
            </w:pPr>
            <w:r w:rsidRPr="00AC3044">
              <w:rPr>
                <w:rFonts w:eastAsia="SimSun"/>
              </w:rPr>
              <w:t>5 мг/кг</w:t>
            </w:r>
          </w:p>
        </w:tc>
        <w:tc>
          <w:tcPr>
            <w:tcW w:w="1701" w:type="dxa"/>
            <w:vAlign w:val="center"/>
          </w:tcPr>
          <w:p w14:paraId="0DA14302" w14:textId="77777777" w:rsidR="008143D9" w:rsidRPr="00AC3044" w:rsidRDefault="008143D9" w:rsidP="005A428D">
            <w:pPr>
              <w:rPr>
                <w:rFonts w:eastAsia="SimSun"/>
              </w:rPr>
            </w:pPr>
            <w:r w:rsidRPr="00AC3044">
              <w:rPr>
                <w:rFonts w:eastAsia="SimSun"/>
              </w:rPr>
              <w:t>10 мг/кг</w:t>
            </w:r>
          </w:p>
        </w:tc>
        <w:tc>
          <w:tcPr>
            <w:tcW w:w="1418" w:type="dxa"/>
            <w:vAlign w:val="center"/>
          </w:tcPr>
          <w:p w14:paraId="7E944A03" w14:textId="77777777" w:rsidR="008143D9" w:rsidRPr="00AC3044" w:rsidRDefault="008143D9" w:rsidP="005A428D">
            <w:pPr>
              <w:rPr>
                <w:rFonts w:eastAsia="SimSun"/>
              </w:rPr>
            </w:pPr>
            <w:r w:rsidRPr="00AC3044">
              <w:rPr>
                <w:rFonts w:eastAsia="SimSun"/>
              </w:rPr>
              <w:t>В дни -2, -1</w:t>
            </w:r>
          </w:p>
        </w:tc>
        <w:tc>
          <w:tcPr>
            <w:tcW w:w="2268" w:type="dxa"/>
            <w:vAlign w:val="center"/>
          </w:tcPr>
          <w:p w14:paraId="19E84E54" w14:textId="77777777" w:rsidR="008143D9" w:rsidRPr="00AC3044" w:rsidRDefault="008143D9" w:rsidP="005A428D">
            <w:pPr>
              <w:rPr>
                <w:rFonts w:eastAsia="SimSun"/>
              </w:rPr>
            </w:pPr>
            <w:r w:rsidRPr="00AC3044">
              <w:rPr>
                <w:rFonts w:eastAsia="SimSun"/>
              </w:rPr>
              <w:t>В/в. Суточная доза разделяется на 2 введения (см. гл.</w:t>
            </w:r>
            <w:r>
              <w:rPr>
                <w:rFonts w:eastAsia="SimSun"/>
              </w:rPr>
              <w:t xml:space="preserve"> </w:t>
            </w:r>
            <w:r w:rsidRPr="00AC3044">
              <w:rPr>
                <w:rFonts w:eastAsia="SimSun"/>
              </w:rPr>
              <w:t>«Инфузия АТГ»)</w:t>
            </w:r>
          </w:p>
        </w:tc>
      </w:tr>
      <w:tr w:rsidR="008143D9" w:rsidRPr="00AC3044" w14:paraId="6FEBAC65" w14:textId="77777777" w:rsidTr="005A428D">
        <w:trPr>
          <w:cantSplit/>
          <w:trHeight w:val="958"/>
        </w:trPr>
        <w:tc>
          <w:tcPr>
            <w:tcW w:w="959" w:type="dxa"/>
            <w:vMerge/>
            <w:textDirection w:val="btLr"/>
            <w:vAlign w:val="center"/>
          </w:tcPr>
          <w:p w14:paraId="3E9E2BAC" w14:textId="77777777" w:rsidR="008143D9" w:rsidRPr="00AC3044" w:rsidRDefault="008143D9" w:rsidP="005A428D">
            <w:pPr>
              <w:rPr>
                <w:rFonts w:eastAsia="SimSun"/>
              </w:rPr>
            </w:pPr>
          </w:p>
        </w:tc>
        <w:tc>
          <w:tcPr>
            <w:tcW w:w="1701" w:type="dxa"/>
            <w:vAlign w:val="center"/>
          </w:tcPr>
          <w:p w14:paraId="54FE2EFD" w14:textId="77777777" w:rsidR="008143D9" w:rsidRPr="00AC3044" w:rsidRDefault="008143D9" w:rsidP="005A428D">
            <w:pPr>
              <w:rPr>
                <w:rFonts w:eastAsia="SimSun"/>
              </w:rPr>
            </w:pPr>
            <w:r w:rsidRPr="00AC3044">
              <w:rPr>
                <w:rFonts w:eastAsia="SimSun"/>
              </w:rPr>
              <w:t xml:space="preserve">Такролимус </w:t>
            </w:r>
          </w:p>
        </w:tc>
        <w:tc>
          <w:tcPr>
            <w:tcW w:w="1559" w:type="dxa"/>
            <w:vAlign w:val="center"/>
          </w:tcPr>
          <w:p w14:paraId="365D8EA8" w14:textId="77777777" w:rsidR="008143D9" w:rsidRPr="00AC3044" w:rsidRDefault="008143D9" w:rsidP="005A428D">
            <w:pPr>
              <w:rPr>
                <w:rFonts w:eastAsia="SimSun"/>
              </w:rPr>
            </w:pPr>
            <w:r w:rsidRPr="00AC3044">
              <w:rPr>
                <w:rFonts w:eastAsia="SimSun"/>
              </w:rPr>
              <w:t>0,03 мг/кг</w:t>
            </w:r>
          </w:p>
        </w:tc>
        <w:tc>
          <w:tcPr>
            <w:tcW w:w="1701" w:type="dxa"/>
            <w:vAlign w:val="center"/>
          </w:tcPr>
          <w:p w14:paraId="3E368857" w14:textId="77777777" w:rsidR="008143D9" w:rsidRPr="00AC3044" w:rsidRDefault="008143D9" w:rsidP="005A428D">
            <w:pPr>
              <w:rPr>
                <w:rFonts w:eastAsia="SimSun"/>
              </w:rPr>
            </w:pPr>
            <w:r w:rsidRPr="00AC3044">
              <w:rPr>
                <w:rFonts w:eastAsia="SimSun"/>
              </w:rPr>
              <w:t>–</w:t>
            </w:r>
          </w:p>
        </w:tc>
        <w:tc>
          <w:tcPr>
            <w:tcW w:w="1418" w:type="dxa"/>
            <w:vAlign w:val="center"/>
          </w:tcPr>
          <w:p w14:paraId="4D194C1E" w14:textId="77777777" w:rsidR="008143D9" w:rsidRPr="00AC3044" w:rsidRDefault="008143D9" w:rsidP="005A428D">
            <w:pPr>
              <w:rPr>
                <w:rFonts w:eastAsia="SimSun"/>
              </w:rPr>
            </w:pPr>
            <w:r w:rsidRPr="00AC3044">
              <w:rPr>
                <w:rFonts w:eastAsia="SimSun"/>
              </w:rPr>
              <w:t xml:space="preserve">С -1 дня длительно </w:t>
            </w:r>
          </w:p>
        </w:tc>
        <w:tc>
          <w:tcPr>
            <w:tcW w:w="2268" w:type="dxa"/>
            <w:vAlign w:val="center"/>
          </w:tcPr>
          <w:p w14:paraId="5E8A04EC" w14:textId="77777777" w:rsidR="008143D9" w:rsidRPr="00AC3044" w:rsidRDefault="008143D9" w:rsidP="005A428D">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8143D9" w:rsidRPr="00AC3044" w14:paraId="18CA4E87" w14:textId="77777777" w:rsidTr="005A428D">
        <w:trPr>
          <w:cantSplit/>
          <w:trHeight w:val="370"/>
        </w:trPr>
        <w:tc>
          <w:tcPr>
            <w:tcW w:w="959" w:type="dxa"/>
            <w:vMerge/>
            <w:textDirection w:val="btLr"/>
            <w:vAlign w:val="center"/>
          </w:tcPr>
          <w:p w14:paraId="3F4196A7" w14:textId="77777777" w:rsidR="008143D9" w:rsidRPr="00AC3044" w:rsidRDefault="008143D9" w:rsidP="005A428D">
            <w:pPr>
              <w:rPr>
                <w:rFonts w:eastAsia="SimSun"/>
              </w:rPr>
            </w:pPr>
          </w:p>
        </w:tc>
        <w:tc>
          <w:tcPr>
            <w:tcW w:w="1701" w:type="dxa"/>
            <w:vAlign w:val="center"/>
          </w:tcPr>
          <w:p w14:paraId="523D572A" w14:textId="77777777" w:rsidR="008143D9" w:rsidRPr="00AC3044" w:rsidRDefault="008143D9" w:rsidP="005A428D">
            <w:pPr>
              <w:rPr>
                <w:rFonts w:eastAsia="SimSun"/>
              </w:rPr>
            </w:pPr>
            <w:r w:rsidRPr="00AC3044">
              <w:rPr>
                <w:rFonts w:eastAsia="SimSun"/>
              </w:rPr>
              <w:t>Микофенолата мофетил</w:t>
            </w:r>
          </w:p>
        </w:tc>
        <w:tc>
          <w:tcPr>
            <w:tcW w:w="1559" w:type="dxa"/>
            <w:vAlign w:val="center"/>
          </w:tcPr>
          <w:p w14:paraId="1645BF93" w14:textId="77777777" w:rsidR="008143D9" w:rsidRPr="00AC3044" w:rsidRDefault="008143D9" w:rsidP="005A428D">
            <w:pPr>
              <w:rPr>
                <w:rFonts w:eastAsia="SimSun"/>
              </w:rPr>
            </w:pPr>
            <w:r w:rsidRPr="00AC3044">
              <w:rPr>
                <w:rFonts w:eastAsia="SimSun"/>
              </w:rPr>
              <w:t xml:space="preserve">30 мг/кг </w:t>
            </w:r>
          </w:p>
        </w:tc>
        <w:tc>
          <w:tcPr>
            <w:tcW w:w="1701" w:type="dxa"/>
            <w:vAlign w:val="center"/>
          </w:tcPr>
          <w:p w14:paraId="0CD331AA" w14:textId="77777777" w:rsidR="008143D9" w:rsidRPr="00AC3044" w:rsidRDefault="008143D9" w:rsidP="005A428D">
            <w:pPr>
              <w:rPr>
                <w:rFonts w:eastAsia="SimSun"/>
              </w:rPr>
            </w:pPr>
            <w:r w:rsidRPr="00AC3044">
              <w:rPr>
                <w:rFonts w:eastAsia="SimSun"/>
              </w:rPr>
              <w:t>–</w:t>
            </w:r>
          </w:p>
        </w:tc>
        <w:tc>
          <w:tcPr>
            <w:tcW w:w="1418" w:type="dxa"/>
            <w:vAlign w:val="center"/>
          </w:tcPr>
          <w:p w14:paraId="1D24F045" w14:textId="77777777" w:rsidR="008143D9" w:rsidRPr="00AC3044" w:rsidRDefault="008143D9" w:rsidP="005A428D">
            <w:pPr>
              <w:rPr>
                <w:rFonts w:eastAsia="SimSun"/>
              </w:rPr>
            </w:pPr>
            <w:r w:rsidRPr="00AC3044">
              <w:rPr>
                <w:rFonts w:eastAsia="SimSun"/>
              </w:rPr>
              <w:t xml:space="preserve">С -1 дня по +30 день </w:t>
            </w:r>
          </w:p>
        </w:tc>
        <w:tc>
          <w:tcPr>
            <w:tcW w:w="2268" w:type="dxa"/>
            <w:vAlign w:val="center"/>
          </w:tcPr>
          <w:p w14:paraId="2D2252AC" w14:textId="77777777" w:rsidR="008143D9" w:rsidRPr="00AC3044" w:rsidRDefault="008143D9" w:rsidP="005A428D">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243353CE" w14:textId="77777777" w:rsidR="008143D9" w:rsidRDefault="008143D9" w:rsidP="008143D9">
      <w:pPr>
        <w:rPr>
          <w:rFonts w:eastAsia="SimSun"/>
        </w:rPr>
      </w:pPr>
      <w:bookmarkStart w:id="146" w:name="_Toc44401182"/>
    </w:p>
    <w:p w14:paraId="6022D99B" w14:textId="77777777" w:rsidR="008143D9" w:rsidRPr="00C07B2E" w:rsidRDefault="008143D9" w:rsidP="008143D9">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2.2.24 – Flu180+Mel100/ PT-Cy+Tx+MMF30</w:t>
      </w:r>
      <w:bookmarkEnd w:id="146"/>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8143D9" w:rsidRPr="00AC3044" w14:paraId="4EA98307" w14:textId="77777777" w:rsidTr="005A428D">
        <w:trPr>
          <w:cantSplit/>
          <w:trHeight w:val="20"/>
          <w:tblHeader/>
        </w:trPr>
        <w:tc>
          <w:tcPr>
            <w:tcW w:w="959" w:type="dxa"/>
            <w:vAlign w:val="center"/>
          </w:tcPr>
          <w:p w14:paraId="3402EBFF" w14:textId="77777777" w:rsidR="008143D9" w:rsidRPr="00AC3044" w:rsidRDefault="008143D9" w:rsidP="005A428D">
            <w:pPr>
              <w:rPr>
                <w:rFonts w:eastAsia="SimSun"/>
              </w:rPr>
            </w:pPr>
          </w:p>
        </w:tc>
        <w:tc>
          <w:tcPr>
            <w:tcW w:w="1701" w:type="dxa"/>
            <w:vAlign w:val="center"/>
          </w:tcPr>
          <w:p w14:paraId="6F24638F" w14:textId="77777777" w:rsidR="008143D9" w:rsidRPr="00AC3044" w:rsidRDefault="008143D9" w:rsidP="005A428D">
            <w:pPr>
              <w:rPr>
                <w:rFonts w:eastAsia="SimSun"/>
              </w:rPr>
            </w:pPr>
            <w:r w:rsidRPr="00AC3044">
              <w:rPr>
                <w:rFonts w:eastAsia="SimSun"/>
              </w:rPr>
              <w:t>Препарат</w:t>
            </w:r>
          </w:p>
        </w:tc>
        <w:tc>
          <w:tcPr>
            <w:tcW w:w="1559" w:type="dxa"/>
            <w:vAlign w:val="center"/>
          </w:tcPr>
          <w:p w14:paraId="620C618E" w14:textId="77777777" w:rsidR="008143D9" w:rsidRPr="00AC3044" w:rsidRDefault="008143D9" w:rsidP="005A428D">
            <w:pPr>
              <w:rPr>
                <w:rFonts w:eastAsia="SimSun"/>
              </w:rPr>
            </w:pPr>
            <w:r w:rsidRPr="00AC3044">
              <w:rPr>
                <w:rFonts w:eastAsia="SimSun"/>
              </w:rPr>
              <w:t>Суточная доза</w:t>
            </w:r>
          </w:p>
        </w:tc>
        <w:tc>
          <w:tcPr>
            <w:tcW w:w="1701" w:type="dxa"/>
            <w:vAlign w:val="center"/>
          </w:tcPr>
          <w:p w14:paraId="10076120" w14:textId="77777777" w:rsidR="008143D9" w:rsidRPr="00AC3044" w:rsidRDefault="008143D9" w:rsidP="005A428D">
            <w:pPr>
              <w:rPr>
                <w:rFonts w:eastAsia="SimSun"/>
              </w:rPr>
            </w:pPr>
            <w:r w:rsidRPr="00AC3044">
              <w:rPr>
                <w:rFonts w:eastAsia="SimSun"/>
              </w:rPr>
              <w:t>Курсовая доза</w:t>
            </w:r>
          </w:p>
        </w:tc>
        <w:tc>
          <w:tcPr>
            <w:tcW w:w="1418" w:type="dxa"/>
            <w:vAlign w:val="center"/>
          </w:tcPr>
          <w:p w14:paraId="0625C89E" w14:textId="77777777" w:rsidR="008143D9" w:rsidRPr="00AC3044" w:rsidRDefault="008143D9" w:rsidP="005A428D">
            <w:pPr>
              <w:rPr>
                <w:rFonts w:eastAsia="SimSun"/>
              </w:rPr>
            </w:pPr>
            <w:r w:rsidRPr="00AC3044">
              <w:rPr>
                <w:rFonts w:eastAsia="SimSun"/>
              </w:rPr>
              <w:t>Дни введения</w:t>
            </w:r>
          </w:p>
        </w:tc>
        <w:tc>
          <w:tcPr>
            <w:tcW w:w="2268" w:type="dxa"/>
            <w:vAlign w:val="center"/>
          </w:tcPr>
          <w:p w14:paraId="728E0D84"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6D3B00C3" w14:textId="77777777" w:rsidTr="005A428D">
        <w:trPr>
          <w:cantSplit/>
          <w:trHeight w:val="20"/>
        </w:trPr>
        <w:tc>
          <w:tcPr>
            <w:tcW w:w="959" w:type="dxa"/>
            <w:vMerge w:val="restart"/>
            <w:textDirection w:val="btLr"/>
            <w:vAlign w:val="center"/>
          </w:tcPr>
          <w:p w14:paraId="581489F8" w14:textId="77777777" w:rsidR="008143D9" w:rsidRPr="00AC3044" w:rsidRDefault="008143D9" w:rsidP="005A428D">
            <w:pPr>
              <w:rPr>
                <w:rFonts w:eastAsia="SimSun"/>
              </w:rPr>
            </w:pPr>
            <w:r w:rsidRPr="00AC3044">
              <w:rPr>
                <w:rFonts w:eastAsia="SimSun"/>
              </w:rPr>
              <w:t>Кондиционирование</w:t>
            </w:r>
          </w:p>
        </w:tc>
        <w:tc>
          <w:tcPr>
            <w:tcW w:w="1701" w:type="dxa"/>
            <w:vAlign w:val="center"/>
          </w:tcPr>
          <w:p w14:paraId="26FDD48C" w14:textId="77777777" w:rsidR="008143D9" w:rsidRPr="00AC3044" w:rsidRDefault="008143D9" w:rsidP="005A428D">
            <w:pPr>
              <w:rPr>
                <w:rFonts w:eastAsia="SimSun"/>
              </w:rPr>
            </w:pPr>
            <w:r w:rsidRPr="00AC3044">
              <w:rPr>
                <w:rFonts w:eastAsia="SimSun"/>
              </w:rPr>
              <w:t xml:space="preserve">Флударабин </w:t>
            </w:r>
          </w:p>
        </w:tc>
        <w:tc>
          <w:tcPr>
            <w:tcW w:w="1559" w:type="dxa"/>
            <w:vAlign w:val="center"/>
          </w:tcPr>
          <w:p w14:paraId="72CFD673" w14:textId="77777777" w:rsidR="008143D9" w:rsidRPr="00AC3044" w:rsidRDefault="008143D9" w:rsidP="005A428D">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2A62E095" w14:textId="77777777" w:rsidR="008143D9" w:rsidRPr="00AC3044" w:rsidRDefault="008143D9" w:rsidP="005A428D">
            <w:pPr>
              <w:rPr>
                <w:rFonts w:eastAsia="SimSun"/>
              </w:rPr>
            </w:pPr>
            <w:r w:rsidRPr="00AC3044">
              <w:rPr>
                <w:rFonts w:eastAsia="SimSun"/>
              </w:rPr>
              <w:t>180 мг/м</w:t>
            </w:r>
            <w:r w:rsidRPr="001E6DBE">
              <w:rPr>
                <w:rFonts w:eastAsia="SimSun"/>
                <w:vertAlign w:val="superscript"/>
              </w:rPr>
              <w:t>2</w:t>
            </w:r>
          </w:p>
        </w:tc>
        <w:tc>
          <w:tcPr>
            <w:tcW w:w="1418" w:type="dxa"/>
            <w:vAlign w:val="center"/>
          </w:tcPr>
          <w:p w14:paraId="2E4E6FB3" w14:textId="77777777" w:rsidR="008143D9" w:rsidRPr="00AC3044" w:rsidRDefault="008143D9" w:rsidP="005A428D">
            <w:pPr>
              <w:rPr>
                <w:rFonts w:eastAsia="SimSun"/>
              </w:rPr>
            </w:pPr>
            <w:r w:rsidRPr="00AC3044">
              <w:rPr>
                <w:rFonts w:eastAsia="SimSun"/>
              </w:rPr>
              <w:t>С -7 дня по -2 день</w:t>
            </w:r>
          </w:p>
        </w:tc>
        <w:tc>
          <w:tcPr>
            <w:tcW w:w="2268" w:type="dxa"/>
            <w:vAlign w:val="center"/>
          </w:tcPr>
          <w:p w14:paraId="121FE904"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238E36B5" w14:textId="77777777" w:rsidTr="005A428D">
        <w:trPr>
          <w:cantSplit/>
          <w:trHeight w:val="440"/>
        </w:trPr>
        <w:tc>
          <w:tcPr>
            <w:tcW w:w="959" w:type="dxa"/>
            <w:vMerge/>
            <w:vAlign w:val="center"/>
          </w:tcPr>
          <w:p w14:paraId="0B992F88" w14:textId="77777777" w:rsidR="008143D9" w:rsidRPr="00AC3044" w:rsidRDefault="008143D9" w:rsidP="005A428D">
            <w:pPr>
              <w:rPr>
                <w:rFonts w:eastAsia="SimSun"/>
              </w:rPr>
            </w:pPr>
          </w:p>
        </w:tc>
        <w:tc>
          <w:tcPr>
            <w:tcW w:w="1701" w:type="dxa"/>
            <w:vAlign w:val="center"/>
          </w:tcPr>
          <w:p w14:paraId="0EC11D18" w14:textId="77777777" w:rsidR="008143D9" w:rsidRPr="00AC3044" w:rsidRDefault="008143D9" w:rsidP="005A428D">
            <w:pPr>
              <w:rPr>
                <w:rFonts w:eastAsia="SimSun"/>
              </w:rPr>
            </w:pPr>
            <w:r w:rsidRPr="00AC3044">
              <w:rPr>
                <w:rFonts w:eastAsia="SimSun"/>
              </w:rPr>
              <w:t>Мелфалан</w:t>
            </w:r>
          </w:p>
        </w:tc>
        <w:tc>
          <w:tcPr>
            <w:tcW w:w="1559" w:type="dxa"/>
            <w:vAlign w:val="center"/>
          </w:tcPr>
          <w:p w14:paraId="2185ED66" w14:textId="77777777" w:rsidR="008143D9" w:rsidRPr="00AC3044" w:rsidRDefault="008143D9" w:rsidP="005A428D">
            <w:pPr>
              <w:rPr>
                <w:rFonts w:eastAsia="SimSun"/>
              </w:rPr>
            </w:pPr>
            <w:r w:rsidRPr="00AC3044">
              <w:rPr>
                <w:rFonts w:eastAsia="SimSun"/>
              </w:rPr>
              <w:t>100 мг/м</w:t>
            </w:r>
            <w:r w:rsidRPr="001E6DBE">
              <w:rPr>
                <w:rFonts w:eastAsia="SimSun"/>
                <w:vertAlign w:val="superscript"/>
              </w:rPr>
              <w:t>2</w:t>
            </w:r>
            <w:r w:rsidRPr="00AC3044">
              <w:rPr>
                <w:rFonts w:eastAsia="SimSun"/>
              </w:rPr>
              <w:t xml:space="preserve"> </w:t>
            </w:r>
          </w:p>
        </w:tc>
        <w:tc>
          <w:tcPr>
            <w:tcW w:w="1701" w:type="dxa"/>
            <w:vAlign w:val="center"/>
          </w:tcPr>
          <w:p w14:paraId="29F12711" w14:textId="77777777" w:rsidR="008143D9" w:rsidRPr="00AC3044" w:rsidRDefault="008143D9" w:rsidP="005A428D">
            <w:pPr>
              <w:rPr>
                <w:rFonts w:eastAsia="SimSun"/>
              </w:rPr>
            </w:pPr>
            <w:r w:rsidRPr="00AC3044">
              <w:rPr>
                <w:rFonts w:eastAsia="SimSun"/>
              </w:rPr>
              <w:t>100 мг/м</w:t>
            </w:r>
            <w:r w:rsidRPr="001E6DBE">
              <w:rPr>
                <w:rFonts w:eastAsia="SimSun"/>
                <w:vertAlign w:val="superscript"/>
              </w:rPr>
              <w:t>2</w:t>
            </w:r>
          </w:p>
        </w:tc>
        <w:tc>
          <w:tcPr>
            <w:tcW w:w="1418" w:type="dxa"/>
            <w:vAlign w:val="center"/>
          </w:tcPr>
          <w:p w14:paraId="237475D1" w14:textId="77777777" w:rsidR="008143D9" w:rsidRPr="00AC3044" w:rsidRDefault="008143D9" w:rsidP="005A428D">
            <w:pPr>
              <w:rPr>
                <w:rFonts w:eastAsia="SimSun"/>
              </w:rPr>
            </w:pPr>
            <w:r w:rsidRPr="00AC3044">
              <w:rPr>
                <w:rFonts w:eastAsia="SimSun"/>
              </w:rPr>
              <w:t xml:space="preserve">В -2 день </w:t>
            </w:r>
          </w:p>
        </w:tc>
        <w:tc>
          <w:tcPr>
            <w:tcW w:w="2268" w:type="dxa"/>
            <w:vAlign w:val="center"/>
          </w:tcPr>
          <w:p w14:paraId="45D8A712" w14:textId="77777777" w:rsidR="008143D9" w:rsidRPr="00AC3044" w:rsidRDefault="008143D9" w:rsidP="005A428D">
            <w:pPr>
              <w:rPr>
                <w:rFonts w:eastAsia="SimSun"/>
              </w:rPr>
            </w:pPr>
            <w:r w:rsidRPr="00AC3044">
              <w:rPr>
                <w:rFonts w:eastAsia="SimSun"/>
              </w:rPr>
              <w:t>В/в, в течение 1 часа</w:t>
            </w:r>
          </w:p>
        </w:tc>
      </w:tr>
      <w:tr w:rsidR="008143D9" w:rsidRPr="00AC3044" w14:paraId="3DA4930E" w14:textId="77777777" w:rsidTr="005A428D">
        <w:trPr>
          <w:cantSplit/>
          <w:trHeight w:val="516"/>
        </w:trPr>
        <w:tc>
          <w:tcPr>
            <w:tcW w:w="959" w:type="dxa"/>
            <w:vMerge w:val="restart"/>
            <w:textDirection w:val="btLr"/>
            <w:vAlign w:val="center"/>
          </w:tcPr>
          <w:p w14:paraId="21D57714" w14:textId="77777777" w:rsidR="008143D9" w:rsidRPr="00AC3044" w:rsidRDefault="008143D9" w:rsidP="005A428D">
            <w:pPr>
              <w:rPr>
                <w:rFonts w:eastAsia="SimSun"/>
              </w:rPr>
            </w:pPr>
            <w:r w:rsidRPr="00AC3044">
              <w:rPr>
                <w:rFonts w:eastAsia="SimSun"/>
              </w:rPr>
              <w:t>Профилактика РТПХ</w:t>
            </w:r>
          </w:p>
        </w:tc>
        <w:tc>
          <w:tcPr>
            <w:tcW w:w="1701" w:type="dxa"/>
            <w:vAlign w:val="center"/>
          </w:tcPr>
          <w:p w14:paraId="1545EC05" w14:textId="77777777" w:rsidR="008143D9" w:rsidRPr="00AC3044" w:rsidRDefault="008143D9" w:rsidP="005A428D">
            <w:pPr>
              <w:rPr>
                <w:rFonts w:eastAsia="SimSun"/>
              </w:rPr>
            </w:pPr>
            <w:r w:rsidRPr="00AC3044">
              <w:rPr>
                <w:rFonts w:eastAsia="SimSun"/>
              </w:rPr>
              <w:t>Циклофосфамид</w:t>
            </w:r>
          </w:p>
        </w:tc>
        <w:tc>
          <w:tcPr>
            <w:tcW w:w="1559" w:type="dxa"/>
            <w:vAlign w:val="center"/>
          </w:tcPr>
          <w:p w14:paraId="367C46AC" w14:textId="77777777" w:rsidR="008143D9" w:rsidRPr="00AC3044" w:rsidRDefault="008143D9" w:rsidP="005A428D">
            <w:pPr>
              <w:rPr>
                <w:rFonts w:eastAsia="SimSun"/>
              </w:rPr>
            </w:pPr>
            <w:r w:rsidRPr="00AC3044">
              <w:rPr>
                <w:rFonts w:eastAsia="SimSun"/>
              </w:rPr>
              <w:t>50 мг/кг</w:t>
            </w:r>
          </w:p>
        </w:tc>
        <w:tc>
          <w:tcPr>
            <w:tcW w:w="1701" w:type="dxa"/>
            <w:vAlign w:val="center"/>
          </w:tcPr>
          <w:p w14:paraId="58AFF991" w14:textId="77777777" w:rsidR="008143D9" w:rsidRPr="00AC3044" w:rsidRDefault="008143D9" w:rsidP="005A428D">
            <w:pPr>
              <w:rPr>
                <w:rFonts w:eastAsia="SimSun"/>
              </w:rPr>
            </w:pPr>
            <w:r w:rsidRPr="00AC3044">
              <w:rPr>
                <w:rFonts w:eastAsia="SimSun"/>
              </w:rPr>
              <w:t>100 мг/кг</w:t>
            </w:r>
          </w:p>
        </w:tc>
        <w:tc>
          <w:tcPr>
            <w:tcW w:w="1418" w:type="dxa"/>
            <w:vAlign w:val="center"/>
          </w:tcPr>
          <w:p w14:paraId="72061BA5" w14:textId="77777777" w:rsidR="008143D9" w:rsidRPr="00AC3044" w:rsidRDefault="008143D9" w:rsidP="005A428D">
            <w:pPr>
              <w:rPr>
                <w:rFonts w:eastAsia="SimSun"/>
              </w:rPr>
            </w:pPr>
            <w:r w:rsidRPr="00AC3044">
              <w:rPr>
                <w:rFonts w:eastAsia="SimSun"/>
              </w:rPr>
              <w:t xml:space="preserve">+3,+4 дни </w:t>
            </w:r>
          </w:p>
        </w:tc>
        <w:tc>
          <w:tcPr>
            <w:tcW w:w="2268" w:type="dxa"/>
            <w:vAlign w:val="center"/>
          </w:tcPr>
          <w:p w14:paraId="6F5F7F53" w14:textId="77777777" w:rsidR="008143D9" w:rsidRPr="00AC3044" w:rsidRDefault="008143D9" w:rsidP="005A428D">
            <w:pPr>
              <w:rPr>
                <w:rFonts w:eastAsia="SimSun"/>
              </w:rPr>
            </w:pPr>
            <w:r w:rsidRPr="00AC3044">
              <w:rPr>
                <w:rFonts w:eastAsia="SimSun"/>
              </w:rPr>
              <w:t xml:space="preserve">В/в, в течение 2 ч </w:t>
            </w:r>
          </w:p>
        </w:tc>
      </w:tr>
      <w:tr w:rsidR="008143D9" w:rsidRPr="00AC3044" w14:paraId="4E811412" w14:textId="77777777" w:rsidTr="005A428D">
        <w:trPr>
          <w:cantSplit/>
          <w:trHeight w:val="958"/>
        </w:trPr>
        <w:tc>
          <w:tcPr>
            <w:tcW w:w="959" w:type="dxa"/>
            <w:vMerge/>
            <w:textDirection w:val="btLr"/>
            <w:vAlign w:val="center"/>
          </w:tcPr>
          <w:p w14:paraId="6DAA5C52" w14:textId="77777777" w:rsidR="008143D9" w:rsidRPr="00AC3044" w:rsidRDefault="008143D9" w:rsidP="005A428D">
            <w:pPr>
              <w:rPr>
                <w:rFonts w:eastAsia="SimSun"/>
              </w:rPr>
            </w:pPr>
          </w:p>
        </w:tc>
        <w:tc>
          <w:tcPr>
            <w:tcW w:w="1701" w:type="dxa"/>
            <w:vAlign w:val="center"/>
          </w:tcPr>
          <w:p w14:paraId="3BA4A6A2" w14:textId="77777777" w:rsidR="008143D9" w:rsidRPr="00AC3044" w:rsidRDefault="008143D9" w:rsidP="005A428D">
            <w:pPr>
              <w:rPr>
                <w:rFonts w:eastAsia="SimSun"/>
              </w:rPr>
            </w:pPr>
            <w:r w:rsidRPr="00AC3044">
              <w:rPr>
                <w:rFonts w:eastAsia="SimSun"/>
              </w:rPr>
              <w:t xml:space="preserve">Такролимус </w:t>
            </w:r>
          </w:p>
        </w:tc>
        <w:tc>
          <w:tcPr>
            <w:tcW w:w="1559" w:type="dxa"/>
            <w:vAlign w:val="center"/>
          </w:tcPr>
          <w:p w14:paraId="36995D9C" w14:textId="77777777" w:rsidR="008143D9" w:rsidRPr="00AC3044" w:rsidRDefault="008143D9" w:rsidP="005A428D">
            <w:pPr>
              <w:rPr>
                <w:rFonts w:eastAsia="SimSun"/>
              </w:rPr>
            </w:pPr>
            <w:r w:rsidRPr="00AC3044">
              <w:rPr>
                <w:rFonts w:eastAsia="SimSun"/>
              </w:rPr>
              <w:t>0,03 мг/кг</w:t>
            </w:r>
          </w:p>
        </w:tc>
        <w:tc>
          <w:tcPr>
            <w:tcW w:w="1701" w:type="dxa"/>
            <w:vAlign w:val="center"/>
          </w:tcPr>
          <w:p w14:paraId="34A8EB76" w14:textId="77777777" w:rsidR="008143D9" w:rsidRPr="00AC3044" w:rsidRDefault="008143D9" w:rsidP="005A428D">
            <w:pPr>
              <w:rPr>
                <w:rFonts w:eastAsia="SimSun"/>
              </w:rPr>
            </w:pPr>
            <w:r w:rsidRPr="00AC3044">
              <w:rPr>
                <w:rFonts w:eastAsia="SimSun"/>
              </w:rPr>
              <w:t>–</w:t>
            </w:r>
          </w:p>
        </w:tc>
        <w:tc>
          <w:tcPr>
            <w:tcW w:w="1418" w:type="dxa"/>
            <w:vAlign w:val="center"/>
          </w:tcPr>
          <w:p w14:paraId="4F5DD3C6" w14:textId="77777777" w:rsidR="008143D9" w:rsidRPr="00AC3044" w:rsidRDefault="008143D9" w:rsidP="005A428D">
            <w:pPr>
              <w:rPr>
                <w:rFonts w:eastAsia="SimSun"/>
              </w:rPr>
            </w:pPr>
            <w:r w:rsidRPr="00AC3044">
              <w:rPr>
                <w:rFonts w:eastAsia="SimSun"/>
              </w:rPr>
              <w:t xml:space="preserve">С -1 дня длительно </w:t>
            </w:r>
          </w:p>
        </w:tc>
        <w:tc>
          <w:tcPr>
            <w:tcW w:w="2268" w:type="dxa"/>
            <w:vAlign w:val="center"/>
          </w:tcPr>
          <w:p w14:paraId="5D923ED3" w14:textId="77777777" w:rsidR="008143D9" w:rsidRPr="00AC3044" w:rsidRDefault="008143D9" w:rsidP="005A428D">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8143D9" w:rsidRPr="00AC3044" w14:paraId="77B63955" w14:textId="77777777" w:rsidTr="005A428D">
        <w:trPr>
          <w:cantSplit/>
          <w:trHeight w:val="986"/>
        </w:trPr>
        <w:tc>
          <w:tcPr>
            <w:tcW w:w="959" w:type="dxa"/>
            <w:vMerge/>
            <w:textDirection w:val="btLr"/>
            <w:vAlign w:val="center"/>
          </w:tcPr>
          <w:p w14:paraId="48EBD433" w14:textId="77777777" w:rsidR="008143D9" w:rsidRPr="00AC3044" w:rsidRDefault="008143D9" w:rsidP="005A428D">
            <w:pPr>
              <w:rPr>
                <w:rFonts w:eastAsia="SimSun"/>
              </w:rPr>
            </w:pPr>
          </w:p>
        </w:tc>
        <w:tc>
          <w:tcPr>
            <w:tcW w:w="1701" w:type="dxa"/>
            <w:vAlign w:val="center"/>
          </w:tcPr>
          <w:p w14:paraId="1A388451" w14:textId="77777777" w:rsidR="008143D9" w:rsidRPr="00AC3044" w:rsidRDefault="008143D9" w:rsidP="005A428D">
            <w:pPr>
              <w:rPr>
                <w:rFonts w:eastAsia="SimSun"/>
              </w:rPr>
            </w:pPr>
            <w:r w:rsidRPr="00AC3044">
              <w:rPr>
                <w:rFonts w:eastAsia="SimSun"/>
              </w:rPr>
              <w:t>Микофенолата мофетил</w:t>
            </w:r>
          </w:p>
        </w:tc>
        <w:tc>
          <w:tcPr>
            <w:tcW w:w="1559" w:type="dxa"/>
            <w:vAlign w:val="center"/>
          </w:tcPr>
          <w:p w14:paraId="0538DE76" w14:textId="77777777" w:rsidR="008143D9" w:rsidRPr="00AC3044" w:rsidRDefault="008143D9" w:rsidP="005A428D">
            <w:pPr>
              <w:rPr>
                <w:rFonts w:eastAsia="SimSun"/>
              </w:rPr>
            </w:pPr>
            <w:r w:rsidRPr="00AC3044">
              <w:rPr>
                <w:rFonts w:eastAsia="SimSun"/>
              </w:rPr>
              <w:t xml:space="preserve">30 мг/кг </w:t>
            </w:r>
          </w:p>
        </w:tc>
        <w:tc>
          <w:tcPr>
            <w:tcW w:w="1701" w:type="dxa"/>
            <w:vAlign w:val="center"/>
          </w:tcPr>
          <w:p w14:paraId="71BB0FD5" w14:textId="77777777" w:rsidR="008143D9" w:rsidRPr="00AC3044" w:rsidRDefault="008143D9" w:rsidP="005A428D">
            <w:pPr>
              <w:rPr>
                <w:rFonts w:eastAsia="SimSun"/>
              </w:rPr>
            </w:pPr>
            <w:r w:rsidRPr="00AC3044">
              <w:rPr>
                <w:rFonts w:eastAsia="SimSun"/>
              </w:rPr>
              <w:t>–</w:t>
            </w:r>
          </w:p>
        </w:tc>
        <w:tc>
          <w:tcPr>
            <w:tcW w:w="1418" w:type="dxa"/>
            <w:vAlign w:val="center"/>
          </w:tcPr>
          <w:p w14:paraId="305B5CB6" w14:textId="77777777" w:rsidR="008143D9" w:rsidRPr="00AC3044" w:rsidRDefault="008143D9" w:rsidP="005A428D">
            <w:pPr>
              <w:rPr>
                <w:rFonts w:eastAsia="SimSun"/>
              </w:rPr>
            </w:pPr>
            <w:r w:rsidRPr="00AC3044">
              <w:rPr>
                <w:rFonts w:eastAsia="SimSun"/>
              </w:rPr>
              <w:t xml:space="preserve">С -1 дня по +30 день </w:t>
            </w:r>
          </w:p>
        </w:tc>
        <w:tc>
          <w:tcPr>
            <w:tcW w:w="2268" w:type="dxa"/>
            <w:vAlign w:val="center"/>
          </w:tcPr>
          <w:p w14:paraId="3C006F2F" w14:textId="77777777" w:rsidR="008143D9" w:rsidRPr="00AC3044" w:rsidRDefault="008143D9" w:rsidP="005A428D">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24C27B39" w14:textId="77777777" w:rsidR="008143D9" w:rsidRPr="00C07B2E" w:rsidRDefault="008143D9" w:rsidP="008143D9">
      <w:pPr>
        <w:rPr>
          <w:rFonts w:eastAsia="SimSun"/>
        </w:rPr>
        <w:sectPr w:rsidR="008143D9" w:rsidRPr="00C07B2E" w:rsidSect="00980822">
          <w:footerReference w:type="default" r:id="rId13"/>
          <w:type w:val="continuous"/>
          <w:pgSz w:w="11907" w:h="16839" w:code="9"/>
          <w:pgMar w:top="1134" w:right="850" w:bottom="1134" w:left="1701" w:header="709" w:footer="567" w:gutter="0"/>
          <w:cols w:space="708"/>
          <w:docGrid w:linePitch="360"/>
        </w:sectPr>
      </w:pPr>
    </w:p>
    <w:p w14:paraId="53FE1199" w14:textId="77777777" w:rsidR="008143D9" w:rsidRDefault="008143D9" w:rsidP="008143D9">
      <w:pPr>
        <w:rPr>
          <w:rFonts w:eastAsia="SimSun"/>
        </w:rPr>
      </w:pPr>
      <w:bookmarkStart w:id="147" w:name="_Toc44401183"/>
    </w:p>
    <w:p w14:paraId="54F5F6E5" w14:textId="77777777" w:rsidR="008143D9" w:rsidRPr="00470E23" w:rsidRDefault="008143D9" w:rsidP="008143D9">
      <w:pPr>
        <w:rPr>
          <w:rFonts w:eastAsia="SimSun"/>
          <w:i/>
          <w:u w:val="single"/>
        </w:rPr>
      </w:pPr>
      <w:r w:rsidRPr="00470E23">
        <w:rPr>
          <w:rFonts w:eastAsia="SimSun"/>
          <w:i/>
          <w:u w:val="single"/>
        </w:rPr>
        <w:t>2. Неродственный HLA-идентичный донор</w:t>
      </w:r>
      <w:bookmarkEnd w:id="147"/>
      <w:r w:rsidRPr="00470E23">
        <w:rPr>
          <w:rFonts w:eastAsia="SimSun"/>
          <w:i/>
          <w:u w:val="single"/>
        </w:rPr>
        <w:t xml:space="preserve"> </w:t>
      </w:r>
    </w:p>
    <w:p w14:paraId="7B0D80A3" w14:textId="77777777" w:rsidR="008143D9" w:rsidRDefault="008143D9" w:rsidP="008143D9">
      <w:pPr>
        <w:rPr>
          <w:rFonts w:eastAsia="SimSun"/>
        </w:rPr>
      </w:pPr>
      <w:bookmarkStart w:id="148" w:name="_Toc44401184"/>
    </w:p>
    <w:bookmarkEnd w:id="148"/>
    <w:p w14:paraId="500CD810" w14:textId="77777777" w:rsidR="008143D9" w:rsidRPr="00C07B2E" w:rsidRDefault="008143D9" w:rsidP="008143D9">
      <w:pPr>
        <w:rPr>
          <w:rFonts w:eastAsia="SimSun"/>
        </w:rPr>
      </w:pPr>
      <w:r w:rsidRPr="00C07B2E">
        <w:rPr>
          <w:rFonts w:eastAsia="SimSun"/>
        </w:rPr>
        <w:t xml:space="preserve">Схемы и режимы применения препаратов для </w:t>
      </w:r>
      <w:r w:rsidRPr="00470E23">
        <w:rPr>
          <w:rFonts w:eastAsia="SimSun"/>
          <w:b/>
          <w:u w:val="single"/>
        </w:rPr>
        <w:t>кондиционирования в миелоаблативном режиме</w:t>
      </w:r>
      <w:r w:rsidRPr="00C07B2E">
        <w:rPr>
          <w:rFonts w:eastAsia="SimSun"/>
        </w:rPr>
        <w:t xml:space="preserve"> и профилактики РТПХ указаны в Таблице </w:t>
      </w:r>
      <w:r>
        <w:rPr>
          <w:rFonts w:eastAsia="SimSun"/>
        </w:rPr>
        <w:t>5.</w:t>
      </w:r>
      <w:r w:rsidRPr="00C07B2E">
        <w:rPr>
          <w:rFonts w:eastAsia="SimSun"/>
        </w:rPr>
        <w:t>2.1</w:t>
      </w:r>
    </w:p>
    <w:p w14:paraId="17C9B88E" w14:textId="77777777" w:rsidR="008143D9" w:rsidRPr="00C07B2E" w:rsidRDefault="008143D9" w:rsidP="008143D9">
      <w:pPr>
        <w:rPr>
          <w:rFonts w:eastAsia="SimSun"/>
        </w:rPr>
        <w:sectPr w:rsidR="008143D9" w:rsidRPr="00C07B2E" w:rsidSect="00980822">
          <w:headerReference w:type="even" r:id="rId14"/>
          <w:type w:val="continuous"/>
          <w:pgSz w:w="11907" w:h="16839" w:code="9"/>
          <w:pgMar w:top="1134" w:right="850" w:bottom="1134" w:left="1701" w:header="709" w:footer="567" w:gutter="0"/>
          <w:cols w:space="708"/>
          <w:docGrid w:linePitch="360"/>
        </w:sectPr>
      </w:pPr>
    </w:p>
    <w:p w14:paraId="30B9D1CA" w14:textId="77777777" w:rsidR="008143D9" w:rsidRPr="00C07B2E" w:rsidRDefault="008143D9" w:rsidP="008143D9">
      <w:pPr>
        <w:rPr>
          <w:rFonts w:eastAsia="SimSun"/>
        </w:rPr>
      </w:pPr>
      <w:r w:rsidRPr="00C07B2E">
        <w:rPr>
          <w:rFonts w:eastAsia="SimSun"/>
        </w:rPr>
        <w:t xml:space="preserve">Таблица </w:t>
      </w:r>
      <w:r>
        <w:rPr>
          <w:rFonts w:eastAsia="SimSun"/>
        </w:rPr>
        <w:t>5.</w:t>
      </w:r>
      <w:r w:rsidRPr="00C07B2E">
        <w:rPr>
          <w:rFonts w:eastAsia="SimSun"/>
        </w:rPr>
        <w:t xml:space="preserve">2.1 Схемы и режимы применения препаратов для кондиционирования и профилактики РТПХ со ссылками на </w:t>
      </w:r>
      <w:r>
        <w:rPr>
          <w:rFonts w:eastAsia="SimSun"/>
        </w:rPr>
        <w:t>таблицы с описанием</w:t>
      </w:r>
    </w:p>
    <w:p w14:paraId="63B200AE" w14:textId="77777777" w:rsidR="008143D9" w:rsidRPr="00C07B2E" w:rsidRDefault="008143D9" w:rsidP="008143D9">
      <w:pPr>
        <w:rPr>
          <w:rFonts w:eastAsia="SimSun"/>
        </w:rPr>
      </w:pPr>
    </w:p>
    <w:tbl>
      <w:tblPr>
        <w:tblW w:w="49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9"/>
        <w:gridCol w:w="1346"/>
        <w:gridCol w:w="1450"/>
        <w:gridCol w:w="2017"/>
        <w:gridCol w:w="2116"/>
        <w:gridCol w:w="1913"/>
        <w:gridCol w:w="2113"/>
        <w:gridCol w:w="1603"/>
      </w:tblGrid>
      <w:tr w:rsidR="008143D9" w:rsidRPr="00470E23" w14:paraId="2546C17D" w14:textId="77777777" w:rsidTr="005A428D">
        <w:trPr>
          <w:cantSplit/>
          <w:trHeight w:val="640"/>
        </w:trPr>
        <w:tc>
          <w:tcPr>
            <w:tcW w:w="2255" w:type="pct"/>
            <w:gridSpan w:val="4"/>
            <w:vMerge w:val="restart"/>
            <w:shd w:val="clear" w:color="auto" w:fill="auto"/>
            <w:vAlign w:val="center"/>
          </w:tcPr>
          <w:p w14:paraId="3ED10C4C" w14:textId="77777777" w:rsidR="008143D9" w:rsidRPr="00470E23" w:rsidRDefault="008143D9" w:rsidP="005A428D">
            <w:pPr>
              <w:rPr>
                <w:rFonts w:eastAsia="SimSun"/>
              </w:rPr>
            </w:pPr>
            <w:r w:rsidRPr="00470E23">
              <w:rPr>
                <w:rFonts w:eastAsia="SimSun"/>
              </w:rPr>
              <w:t>Профилактика РТПХ</w:t>
            </w:r>
          </w:p>
        </w:tc>
        <w:tc>
          <w:tcPr>
            <w:tcW w:w="2745" w:type="pct"/>
            <w:gridSpan w:val="4"/>
            <w:tcBorders>
              <w:left w:val="single" w:sz="4" w:space="0" w:color="00000A"/>
              <w:right w:val="single" w:sz="4" w:space="0" w:color="00000A"/>
            </w:tcBorders>
            <w:shd w:val="clear" w:color="auto" w:fill="auto"/>
          </w:tcPr>
          <w:p w14:paraId="74D18776" w14:textId="77777777" w:rsidR="008143D9" w:rsidRPr="00470E23" w:rsidRDefault="008143D9" w:rsidP="005A428D">
            <w:pPr>
              <w:rPr>
                <w:rFonts w:eastAsia="SimSun"/>
              </w:rPr>
            </w:pPr>
            <w:r w:rsidRPr="00470E23">
              <w:rPr>
                <w:rFonts w:eastAsia="SimSun"/>
              </w:rPr>
              <w:t>Режим кондиционирования</w:t>
            </w:r>
          </w:p>
        </w:tc>
      </w:tr>
      <w:tr w:rsidR="008143D9" w:rsidRPr="00470E23" w14:paraId="15FB5F55" w14:textId="77777777" w:rsidTr="005A428D">
        <w:trPr>
          <w:cantSplit/>
          <w:trHeight w:val="549"/>
        </w:trPr>
        <w:tc>
          <w:tcPr>
            <w:tcW w:w="2255" w:type="pct"/>
            <w:gridSpan w:val="4"/>
            <w:vMerge/>
            <w:shd w:val="clear" w:color="auto" w:fill="auto"/>
            <w:vAlign w:val="center"/>
          </w:tcPr>
          <w:p w14:paraId="2679A98F" w14:textId="77777777" w:rsidR="008143D9" w:rsidRPr="00470E23" w:rsidRDefault="008143D9" w:rsidP="005A428D">
            <w:pPr>
              <w:rPr>
                <w:rFonts w:eastAsia="SimSun"/>
              </w:rPr>
            </w:pPr>
          </w:p>
        </w:tc>
        <w:tc>
          <w:tcPr>
            <w:tcW w:w="750" w:type="pct"/>
            <w:shd w:val="clear" w:color="auto" w:fill="D9D9D9"/>
            <w:vAlign w:val="center"/>
          </w:tcPr>
          <w:p w14:paraId="246AA1ED" w14:textId="77777777" w:rsidR="008143D9" w:rsidRPr="00470E23" w:rsidRDefault="008143D9" w:rsidP="005A428D">
            <w:pPr>
              <w:rPr>
                <w:rFonts w:eastAsia="SimSun"/>
              </w:rPr>
            </w:pPr>
            <w:r w:rsidRPr="00470E23">
              <w:rPr>
                <w:rFonts w:eastAsia="SimSun"/>
              </w:rPr>
              <w:t>Cy120</w:t>
            </w:r>
          </w:p>
        </w:tc>
        <w:tc>
          <w:tcPr>
            <w:tcW w:w="1995" w:type="pct"/>
            <w:gridSpan w:val="3"/>
            <w:shd w:val="clear" w:color="auto" w:fill="D9D9D9"/>
            <w:vAlign w:val="center"/>
          </w:tcPr>
          <w:p w14:paraId="29D2C5CF" w14:textId="77777777" w:rsidR="008143D9" w:rsidRPr="00470E23" w:rsidRDefault="008143D9" w:rsidP="005A428D">
            <w:pPr>
              <w:rPr>
                <w:rFonts w:eastAsia="SimSun"/>
              </w:rPr>
            </w:pPr>
            <w:r w:rsidRPr="00470E23">
              <w:rPr>
                <w:rFonts w:eastAsia="SimSun"/>
              </w:rPr>
              <w:t>Flu180</w:t>
            </w:r>
          </w:p>
        </w:tc>
      </w:tr>
      <w:tr w:rsidR="008143D9" w:rsidRPr="00470E23" w14:paraId="00CE20AC" w14:textId="77777777" w:rsidTr="005A428D">
        <w:trPr>
          <w:cantSplit/>
          <w:trHeight w:val="571"/>
        </w:trPr>
        <w:tc>
          <w:tcPr>
            <w:tcW w:w="2255" w:type="pct"/>
            <w:gridSpan w:val="4"/>
            <w:vMerge/>
            <w:shd w:val="clear" w:color="auto" w:fill="auto"/>
            <w:vAlign w:val="center"/>
          </w:tcPr>
          <w:p w14:paraId="6784FE24" w14:textId="77777777" w:rsidR="008143D9" w:rsidRPr="00470E23" w:rsidRDefault="008143D9" w:rsidP="005A428D">
            <w:pPr>
              <w:rPr>
                <w:rFonts w:eastAsia="SimSun"/>
              </w:rPr>
            </w:pPr>
          </w:p>
        </w:tc>
        <w:tc>
          <w:tcPr>
            <w:tcW w:w="750" w:type="pct"/>
            <w:shd w:val="clear" w:color="auto" w:fill="D9D9D9"/>
            <w:vAlign w:val="center"/>
          </w:tcPr>
          <w:p w14:paraId="7416A91B" w14:textId="77777777" w:rsidR="008143D9" w:rsidRPr="00470E23" w:rsidRDefault="008143D9" w:rsidP="005A428D">
            <w:pPr>
              <w:rPr>
                <w:rFonts w:eastAsia="SimSun"/>
              </w:rPr>
            </w:pPr>
            <w:r w:rsidRPr="00470E23">
              <w:rPr>
                <w:rFonts w:eastAsia="SimSun"/>
              </w:rPr>
              <w:t>Bu12</w:t>
            </w:r>
          </w:p>
        </w:tc>
        <w:tc>
          <w:tcPr>
            <w:tcW w:w="678" w:type="pct"/>
            <w:shd w:val="clear" w:color="auto" w:fill="D9D9D9"/>
            <w:vAlign w:val="center"/>
          </w:tcPr>
          <w:p w14:paraId="24625E95" w14:textId="77777777" w:rsidR="008143D9" w:rsidRPr="00470E23" w:rsidRDefault="008143D9" w:rsidP="005A428D">
            <w:pPr>
              <w:rPr>
                <w:rFonts w:eastAsia="SimSun"/>
              </w:rPr>
            </w:pPr>
            <w:r w:rsidRPr="00470E23">
              <w:rPr>
                <w:rFonts w:eastAsia="SimSun"/>
              </w:rPr>
              <w:t>Bu12</w:t>
            </w:r>
          </w:p>
        </w:tc>
        <w:tc>
          <w:tcPr>
            <w:tcW w:w="749" w:type="pct"/>
            <w:shd w:val="clear" w:color="auto" w:fill="D9D9D9"/>
            <w:vAlign w:val="center"/>
          </w:tcPr>
          <w:p w14:paraId="6CD331A6" w14:textId="77777777" w:rsidR="008143D9" w:rsidRPr="00470E23" w:rsidRDefault="008143D9" w:rsidP="005A428D">
            <w:pPr>
              <w:rPr>
                <w:rFonts w:eastAsia="SimSun"/>
              </w:rPr>
            </w:pPr>
            <w:r w:rsidRPr="00470E23">
              <w:rPr>
                <w:rFonts w:eastAsia="SimSun"/>
              </w:rPr>
              <w:t>Bu14</w:t>
            </w:r>
          </w:p>
        </w:tc>
        <w:tc>
          <w:tcPr>
            <w:tcW w:w="568" w:type="pct"/>
            <w:shd w:val="clear" w:color="auto" w:fill="D9D9D9"/>
            <w:vAlign w:val="center"/>
          </w:tcPr>
          <w:p w14:paraId="7D249DFE" w14:textId="77777777" w:rsidR="008143D9" w:rsidRPr="00470E23" w:rsidRDefault="008143D9" w:rsidP="005A428D">
            <w:pPr>
              <w:rPr>
                <w:rFonts w:eastAsia="SimSun"/>
              </w:rPr>
            </w:pPr>
            <w:r w:rsidRPr="00470E23">
              <w:rPr>
                <w:rFonts w:eastAsia="SimSun"/>
              </w:rPr>
              <w:t>Treo42</w:t>
            </w:r>
          </w:p>
        </w:tc>
      </w:tr>
      <w:tr w:rsidR="008143D9" w:rsidRPr="00470E23" w14:paraId="151F361F" w14:textId="77777777" w:rsidTr="005A428D">
        <w:trPr>
          <w:cantSplit/>
          <w:trHeight w:val="551"/>
        </w:trPr>
        <w:tc>
          <w:tcPr>
            <w:tcW w:w="2255" w:type="pct"/>
            <w:gridSpan w:val="4"/>
            <w:vMerge/>
            <w:shd w:val="clear" w:color="auto" w:fill="auto"/>
            <w:vAlign w:val="center"/>
          </w:tcPr>
          <w:p w14:paraId="7EC822A6" w14:textId="77777777" w:rsidR="008143D9" w:rsidRPr="00470E23" w:rsidRDefault="008143D9" w:rsidP="005A428D">
            <w:pPr>
              <w:rPr>
                <w:rFonts w:eastAsia="SimSun"/>
              </w:rPr>
            </w:pPr>
          </w:p>
        </w:tc>
        <w:tc>
          <w:tcPr>
            <w:tcW w:w="750" w:type="pct"/>
            <w:shd w:val="clear" w:color="auto" w:fill="D9D9D9"/>
            <w:vAlign w:val="center"/>
          </w:tcPr>
          <w:p w14:paraId="5EE63509" w14:textId="77777777" w:rsidR="008143D9" w:rsidRPr="00470E23" w:rsidRDefault="008143D9" w:rsidP="005A428D">
            <w:pPr>
              <w:rPr>
                <w:rFonts w:eastAsia="SimSun"/>
              </w:rPr>
            </w:pPr>
            <w:r w:rsidRPr="00470E23">
              <w:rPr>
                <w:rFonts w:eastAsia="SimSun"/>
              </w:rPr>
              <w:t>-</w:t>
            </w:r>
          </w:p>
        </w:tc>
        <w:tc>
          <w:tcPr>
            <w:tcW w:w="678" w:type="pct"/>
            <w:shd w:val="clear" w:color="auto" w:fill="D9D9D9"/>
            <w:vAlign w:val="center"/>
          </w:tcPr>
          <w:p w14:paraId="408D93E1" w14:textId="77777777" w:rsidR="008143D9" w:rsidRPr="00470E23" w:rsidRDefault="008143D9" w:rsidP="005A428D">
            <w:pPr>
              <w:rPr>
                <w:rFonts w:eastAsia="SimSun"/>
              </w:rPr>
            </w:pPr>
            <w:r w:rsidRPr="00470E23">
              <w:rPr>
                <w:rFonts w:eastAsia="SimSun"/>
              </w:rPr>
              <w:t>-</w:t>
            </w:r>
          </w:p>
        </w:tc>
        <w:tc>
          <w:tcPr>
            <w:tcW w:w="749" w:type="pct"/>
            <w:shd w:val="clear" w:color="auto" w:fill="D9D9D9"/>
            <w:vAlign w:val="center"/>
          </w:tcPr>
          <w:p w14:paraId="126EF103" w14:textId="77777777" w:rsidR="008143D9" w:rsidRPr="00470E23" w:rsidRDefault="008143D9" w:rsidP="005A428D">
            <w:pPr>
              <w:rPr>
                <w:rFonts w:eastAsia="SimSun"/>
              </w:rPr>
            </w:pPr>
            <w:r w:rsidRPr="00470E23">
              <w:rPr>
                <w:rFonts w:eastAsia="SimSun"/>
              </w:rPr>
              <w:t>-</w:t>
            </w:r>
          </w:p>
        </w:tc>
        <w:tc>
          <w:tcPr>
            <w:tcW w:w="568" w:type="pct"/>
            <w:shd w:val="clear" w:color="auto" w:fill="D9D9D9"/>
            <w:vAlign w:val="center"/>
          </w:tcPr>
          <w:p w14:paraId="4520C480" w14:textId="77777777" w:rsidR="008143D9" w:rsidRPr="00470E23" w:rsidRDefault="008143D9" w:rsidP="005A428D">
            <w:pPr>
              <w:rPr>
                <w:rFonts w:eastAsia="SimSun"/>
              </w:rPr>
            </w:pPr>
            <w:r w:rsidRPr="00470E23">
              <w:rPr>
                <w:rFonts w:eastAsia="SimSun"/>
              </w:rPr>
              <w:t>-</w:t>
            </w:r>
          </w:p>
        </w:tc>
      </w:tr>
      <w:tr w:rsidR="008143D9" w:rsidRPr="00470E23" w14:paraId="5898D47F" w14:textId="77777777" w:rsidTr="005A428D">
        <w:trPr>
          <w:cantSplit/>
          <w:trHeight w:val="850"/>
        </w:trPr>
        <w:tc>
          <w:tcPr>
            <w:tcW w:w="549" w:type="pct"/>
            <w:tcBorders>
              <w:bottom w:val="single" w:sz="4" w:space="0" w:color="00000A"/>
            </w:tcBorders>
            <w:shd w:val="clear" w:color="auto" w:fill="D9D9D9"/>
            <w:vAlign w:val="center"/>
          </w:tcPr>
          <w:p w14:paraId="696C1202" w14:textId="77777777" w:rsidR="008143D9" w:rsidRPr="00470E23" w:rsidRDefault="008143D9" w:rsidP="005A428D">
            <w:pPr>
              <w:rPr>
                <w:rFonts w:eastAsia="SimSun"/>
              </w:rPr>
            </w:pPr>
            <w:r w:rsidRPr="00470E23">
              <w:rPr>
                <w:rFonts w:eastAsia="SimSun"/>
              </w:rPr>
              <w:t>hATG</w:t>
            </w:r>
          </w:p>
        </w:tc>
        <w:tc>
          <w:tcPr>
            <w:tcW w:w="477" w:type="pct"/>
            <w:shd w:val="clear" w:color="auto" w:fill="D9D9D9"/>
            <w:vAlign w:val="center"/>
          </w:tcPr>
          <w:p w14:paraId="71FBD341" w14:textId="77777777" w:rsidR="008143D9" w:rsidRPr="00470E23" w:rsidRDefault="008143D9" w:rsidP="005A428D">
            <w:pPr>
              <w:rPr>
                <w:rFonts w:eastAsia="SimSun"/>
              </w:rPr>
            </w:pPr>
            <w:r w:rsidRPr="00470E23">
              <w:rPr>
                <w:rFonts w:eastAsia="SimSun"/>
              </w:rPr>
              <w:t>CSA</w:t>
            </w:r>
          </w:p>
        </w:tc>
        <w:tc>
          <w:tcPr>
            <w:tcW w:w="514" w:type="pct"/>
            <w:shd w:val="clear" w:color="auto" w:fill="D9D9D9"/>
            <w:vAlign w:val="center"/>
          </w:tcPr>
          <w:p w14:paraId="64E46078" w14:textId="77777777" w:rsidR="008143D9" w:rsidRPr="00470E23" w:rsidRDefault="008143D9" w:rsidP="005A428D">
            <w:pPr>
              <w:rPr>
                <w:rFonts w:eastAsia="SimSun"/>
              </w:rPr>
            </w:pPr>
            <w:r w:rsidRPr="00470E23">
              <w:rPr>
                <w:rFonts w:eastAsia="SimSun"/>
              </w:rPr>
              <w:t>MTX</w:t>
            </w:r>
          </w:p>
        </w:tc>
        <w:tc>
          <w:tcPr>
            <w:tcW w:w="715" w:type="pct"/>
            <w:shd w:val="clear" w:color="auto" w:fill="D9D9D9"/>
            <w:vAlign w:val="center"/>
          </w:tcPr>
          <w:p w14:paraId="2855BF2D" w14:textId="77777777" w:rsidR="008143D9" w:rsidRPr="00470E23" w:rsidRDefault="008143D9" w:rsidP="005A428D">
            <w:pPr>
              <w:rPr>
                <w:rFonts w:eastAsia="SimSun"/>
              </w:rPr>
            </w:pPr>
            <w:r w:rsidRPr="00470E23">
              <w:rPr>
                <w:rFonts w:eastAsia="SimSun"/>
              </w:rPr>
              <w:t>MMF45</w:t>
            </w:r>
          </w:p>
        </w:tc>
        <w:tc>
          <w:tcPr>
            <w:tcW w:w="750" w:type="pct"/>
            <w:shd w:val="clear" w:color="auto" w:fill="auto"/>
            <w:vAlign w:val="center"/>
          </w:tcPr>
          <w:p w14:paraId="7C93E42E" w14:textId="77777777" w:rsidR="008143D9" w:rsidRPr="00470E23" w:rsidRDefault="008143D9" w:rsidP="005A428D">
            <w:pPr>
              <w:rPr>
                <w:rFonts w:eastAsia="SimSun"/>
              </w:rPr>
            </w:pPr>
            <w:r w:rsidRPr="00470E23">
              <w:rPr>
                <w:rFonts w:eastAsia="SimSun"/>
              </w:rPr>
              <w:t>5.2.1.1</w:t>
            </w:r>
          </w:p>
        </w:tc>
        <w:tc>
          <w:tcPr>
            <w:tcW w:w="678" w:type="pct"/>
            <w:shd w:val="clear" w:color="auto" w:fill="auto"/>
            <w:vAlign w:val="center"/>
          </w:tcPr>
          <w:p w14:paraId="50A5B9D0" w14:textId="77777777" w:rsidR="008143D9" w:rsidRPr="00470E23" w:rsidRDefault="008143D9" w:rsidP="005A428D">
            <w:pPr>
              <w:rPr>
                <w:rFonts w:eastAsia="SimSun"/>
              </w:rPr>
            </w:pPr>
            <w:r w:rsidRPr="00470E23">
              <w:rPr>
                <w:rFonts w:eastAsia="SimSun"/>
              </w:rPr>
              <w:t>-</w:t>
            </w:r>
          </w:p>
        </w:tc>
        <w:tc>
          <w:tcPr>
            <w:tcW w:w="749" w:type="pct"/>
            <w:shd w:val="clear" w:color="auto" w:fill="auto"/>
            <w:vAlign w:val="center"/>
          </w:tcPr>
          <w:p w14:paraId="00D63935" w14:textId="77777777" w:rsidR="008143D9" w:rsidRPr="00470E23" w:rsidRDefault="008143D9" w:rsidP="005A428D">
            <w:pPr>
              <w:rPr>
                <w:rFonts w:eastAsia="SimSun"/>
              </w:rPr>
            </w:pPr>
            <w:r w:rsidRPr="00470E23">
              <w:rPr>
                <w:rFonts w:eastAsia="SimSun"/>
              </w:rPr>
              <w:t>-</w:t>
            </w:r>
          </w:p>
        </w:tc>
        <w:tc>
          <w:tcPr>
            <w:tcW w:w="568" w:type="pct"/>
            <w:shd w:val="clear" w:color="auto" w:fill="auto"/>
            <w:vAlign w:val="center"/>
          </w:tcPr>
          <w:p w14:paraId="355D5529" w14:textId="77777777" w:rsidR="008143D9" w:rsidRPr="00470E23" w:rsidRDefault="008143D9" w:rsidP="005A428D">
            <w:pPr>
              <w:rPr>
                <w:rFonts w:eastAsia="SimSun"/>
              </w:rPr>
            </w:pPr>
            <w:r w:rsidRPr="00470E23">
              <w:rPr>
                <w:rFonts w:eastAsia="SimSun"/>
              </w:rPr>
              <w:t>-</w:t>
            </w:r>
          </w:p>
        </w:tc>
      </w:tr>
      <w:tr w:rsidR="008143D9" w:rsidRPr="00470E23" w14:paraId="253AD7FB" w14:textId="77777777" w:rsidTr="005A428D">
        <w:trPr>
          <w:cantSplit/>
          <w:trHeight w:val="850"/>
        </w:trPr>
        <w:tc>
          <w:tcPr>
            <w:tcW w:w="549" w:type="pct"/>
            <w:tcBorders>
              <w:top w:val="single" w:sz="4" w:space="0" w:color="00000A"/>
              <w:bottom w:val="single" w:sz="4" w:space="0" w:color="00000A"/>
            </w:tcBorders>
            <w:shd w:val="clear" w:color="auto" w:fill="D9D9D9"/>
            <w:vAlign w:val="center"/>
          </w:tcPr>
          <w:p w14:paraId="7A1CDFDE" w14:textId="77777777" w:rsidR="008143D9" w:rsidRPr="00470E23" w:rsidRDefault="008143D9" w:rsidP="005A428D">
            <w:pPr>
              <w:rPr>
                <w:rFonts w:eastAsia="SimSun"/>
              </w:rPr>
            </w:pPr>
            <w:r w:rsidRPr="00470E23">
              <w:rPr>
                <w:rFonts w:eastAsia="SimSun"/>
              </w:rPr>
              <w:t>rATG</w:t>
            </w:r>
          </w:p>
        </w:tc>
        <w:tc>
          <w:tcPr>
            <w:tcW w:w="477" w:type="pct"/>
            <w:shd w:val="clear" w:color="auto" w:fill="D9D9D9"/>
            <w:vAlign w:val="center"/>
          </w:tcPr>
          <w:p w14:paraId="40C533FF" w14:textId="77777777" w:rsidR="008143D9" w:rsidRPr="00470E23" w:rsidRDefault="008143D9" w:rsidP="005A428D">
            <w:pPr>
              <w:rPr>
                <w:rFonts w:eastAsia="SimSun"/>
              </w:rPr>
            </w:pPr>
            <w:r w:rsidRPr="00470E23">
              <w:rPr>
                <w:rFonts w:eastAsia="SimSun"/>
              </w:rPr>
              <w:t>CSA</w:t>
            </w:r>
          </w:p>
        </w:tc>
        <w:tc>
          <w:tcPr>
            <w:tcW w:w="514" w:type="pct"/>
            <w:shd w:val="clear" w:color="auto" w:fill="D9D9D9"/>
            <w:vAlign w:val="center"/>
          </w:tcPr>
          <w:p w14:paraId="68688A49" w14:textId="77777777" w:rsidR="008143D9" w:rsidRPr="00470E23" w:rsidRDefault="008143D9" w:rsidP="005A428D">
            <w:pPr>
              <w:rPr>
                <w:rFonts w:eastAsia="SimSun"/>
              </w:rPr>
            </w:pPr>
            <w:r w:rsidRPr="00470E23">
              <w:rPr>
                <w:rFonts w:eastAsia="SimSun"/>
              </w:rPr>
              <w:t>MTX</w:t>
            </w:r>
          </w:p>
        </w:tc>
        <w:tc>
          <w:tcPr>
            <w:tcW w:w="715" w:type="pct"/>
            <w:shd w:val="clear" w:color="auto" w:fill="D9D9D9"/>
            <w:vAlign w:val="center"/>
          </w:tcPr>
          <w:p w14:paraId="0D8E0BC2" w14:textId="77777777" w:rsidR="008143D9" w:rsidRPr="00470E23" w:rsidRDefault="008143D9" w:rsidP="005A428D">
            <w:pPr>
              <w:rPr>
                <w:rFonts w:eastAsia="SimSun"/>
              </w:rPr>
            </w:pPr>
            <w:r w:rsidRPr="00470E23">
              <w:rPr>
                <w:rFonts w:eastAsia="SimSun"/>
              </w:rPr>
              <w:t>MMF45</w:t>
            </w:r>
          </w:p>
        </w:tc>
        <w:tc>
          <w:tcPr>
            <w:tcW w:w="750" w:type="pct"/>
            <w:shd w:val="clear" w:color="auto" w:fill="auto"/>
            <w:vAlign w:val="center"/>
          </w:tcPr>
          <w:p w14:paraId="1D65C0E9" w14:textId="77777777" w:rsidR="008143D9" w:rsidRPr="00470E23" w:rsidRDefault="008143D9" w:rsidP="005A428D">
            <w:pPr>
              <w:rPr>
                <w:rFonts w:eastAsia="SimSun"/>
              </w:rPr>
            </w:pPr>
            <w:r w:rsidRPr="00470E23">
              <w:rPr>
                <w:rFonts w:eastAsia="SimSun"/>
              </w:rPr>
              <w:t>5.2.1.2</w:t>
            </w:r>
          </w:p>
        </w:tc>
        <w:tc>
          <w:tcPr>
            <w:tcW w:w="678" w:type="pct"/>
            <w:shd w:val="clear" w:color="auto" w:fill="auto"/>
            <w:vAlign w:val="center"/>
          </w:tcPr>
          <w:p w14:paraId="63A65D4B" w14:textId="77777777" w:rsidR="008143D9" w:rsidRPr="00470E23" w:rsidRDefault="008143D9" w:rsidP="005A428D">
            <w:pPr>
              <w:rPr>
                <w:rFonts w:eastAsia="SimSun"/>
              </w:rPr>
            </w:pPr>
            <w:r w:rsidRPr="00470E23">
              <w:rPr>
                <w:rFonts w:eastAsia="SimSun"/>
              </w:rPr>
              <w:t>-</w:t>
            </w:r>
          </w:p>
        </w:tc>
        <w:tc>
          <w:tcPr>
            <w:tcW w:w="749" w:type="pct"/>
            <w:shd w:val="clear" w:color="auto" w:fill="auto"/>
            <w:vAlign w:val="center"/>
          </w:tcPr>
          <w:p w14:paraId="0055FE5C" w14:textId="77777777" w:rsidR="008143D9" w:rsidRPr="00470E23" w:rsidRDefault="008143D9" w:rsidP="005A428D">
            <w:pPr>
              <w:rPr>
                <w:rFonts w:eastAsia="SimSun"/>
              </w:rPr>
            </w:pPr>
            <w:r w:rsidRPr="00470E23">
              <w:rPr>
                <w:rFonts w:eastAsia="SimSun"/>
              </w:rPr>
              <w:t>-</w:t>
            </w:r>
          </w:p>
        </w:tc>
        <w:tc>
          <w:tcPr>
            <w:tcW w:w="568" w:type="pct"/>
            <w:shd w:val="clear" w:color="auto" w:fill="auto"/>
            <w:vAlign w:val="center"/>
          </w:tcPr>
          <w:p w14:paraId="7E0BC96A" w14:textId="77777777" w:rsidR="008143D9" w:rsidRPr="00470E23" w:rsidRDefault="008143D9" w:rsidP="005A428D">
            <w:pPr>
              <w:rPr>
                <w:rFonts w:eastAsia="SimSun"/>
              </w:rPr>
            </w:pPr>
            <w:r w:rsidRPr="00470E23">
              <w:rPr>
                <w:rFonts w:eastAsia="SimSun"/>
              </w:rPr>
              <w:t>-</w:t>
            </w:r>
          </w:p>
        </w:tc>
      </w:tr>
      <w:tr w:rsidR="008143D9" w:rsidRPr="00470E23" w14:paraId="1A643AF4" w14:textId="77777777" w:rsidTr="005A428D">
        <w:trPr>
          <w:cantSplit/>
          <w:trHeight w:val="850"/>
        </w:trPr>
        <w:tc>
          <w:tcPr>
            <w:tcW w:w="549" w:type="pct"/>
            <w:vMerge w:val="restart"/>
            <w:shd w:val="clear" w:color="auto" w:fill="D9D9D9"/>
            <w:vAlign w:val="center"/>
          </w:tcPr>
          <w:p w14:paraId="5D7C6C68" w14:textId="77777777" w:rsidR="008143D9" w:rsidRPr="00470E23" w:rsidRDefault="008143D9" w:rsidP="005A428D">
            <w:pPr>
              <w:rPr>
                <w:rFonts w:eastAsia="SimSun"/>
              </w:rPr>
            </w:pPr>
            <w:r w:rsidRPr="00470E23">
              <w:rPr>
                <w:rFonts w:eastAsia="SimSun"/>
              </w:rPr>
              <w:t>PT-Cy</w:t>
            </w:r>
          </w:p>
          <w:p w14:paraId="0957C2C7" w14:textId="77777777" w:rsidR="008143D9" w:rsidRPr="00470E23" w:rsidRDefault="008143D9" w:rsidP="005A428D">
            <w:pPr>
              <w:rPr>
                <w:rFonts w:eastAsia="SimSun"/>
              </w:rPr>
            </w:pPr>
          </w:p>
        </w:tc>
        <w:tc>
          <w:tcPr>
            <w:tcW w:w="477" w:type="pct"/>
            <w:shd w:val="clear" w:color="auto" w:fill="D9D9D9"/>
            <w:vAlign w:val="center"/>
          </w:tcPr>
          <w:p w14:paraId="06D7FC7A" w14:textId="77777777" w:rsidR="008143D9" w:rsidRPr="00470E23" w:rsidRDefault="008143D9" w:rsidP="005A428D">
            <w:pPr>
              <w:rPr>
                <w:rFonts w:eastAsia="SimSun"/>
              </w:rPr>
            </w:pPr>
            <w:r w:rsidRPr="00470E23">
              <w:rPr>
                <w:rFonts w:eastAsia="SimSun"/>
              </w:rPr>
              <w:t>-</w:t>
            </w:r>
          </w:p>
        </w:tc>
        <w:tc>
          <w:tcPr>
            <w:tcW w:w="514" w:type="pct"/>
            <w:shd w:val="clear" w:color="auto" w:fill="D9D9D9"/>
            <w:vAlign w:val="center"/>
          </w:tcPr>
          <w:p w14:paraId="26FD7FEE" w14:textId="77777777" w:rsidR="008143D9" w:rsidRPr="00470E23" w:rsidRDefault="008143D9" w:rsidP="005A428D">
            <w:pPr>
              <w:rPr>
                <w:rFonts w:eastAsia="SimSun"/>
              </w:rPr>
            </w:pPr>
            <w:r w:rsidRPr="00470E23">
              <w:rPr>
                <w:rFonts w:eastAsia="SimSun"/>
              </w:rPr>
              <w:t>-</w:t>
            </w:r>
          </w:p>
        </w:tc>
        <w:tc>
          <w:tcPr>
            <w:tcW w:w="715" w:type="pct"/>
            <w:shd w:val="clear" w:color="auto" w:fill="D9D9D9"/>
            <w:vAlign w:val="center"/>
          </w:tcPr>
          <w:p w14:paraId="66219C5C" w14:textId="77777777" w:rsidR="008143D9" w:rsidRPr="00470E23" w:rsidRDefault="008143D9" w:rsidP="005A428D">
            <w:pPr>
              <w:rPr>
                <w:rFonts w:eastAsia="SimSun"/>
              </w:rPr>
            </w:pPr>
            <w:r w:rsidRPr="00470E23">
              <w:rPr>
                <w:rFonts w:eastAsia="SimSun"/>
              </w:rPr>
              <w:t>-</w:t>
            </w:r>
          </w:p>
        </w:tc>
        <w:tc>
          <w:tcPr>
            <w:tcW w:w="750" w:type="pct"/>
            <w:shd w:val="clear" w:color="auto" w:fill="auto"/>
            <w:vAlign w:val="center"/>
          </w:tcPr>
          <w:p w14:paraId="32785987" w14:textId="77777777" w:rsidR="008143D9" w:rsidRPr="00470E23" w:rsidRDefault="008143D9" w:rsidP="005A428D">
            <w:pPr>
              <w:rPr>
                <w:rFonts w:eastAsia="SimSun"/>
              </w:rPr>
            </w:pPr>
            <w:r w:rsidRPr="00470E23">
              <w:rPr>
                <w:rFonts w:eastAsia="SimSun"/>
              </w:rPr>
              <w:t>-</w:t>
            </w:r>
          </w:p>
        </w:tc>
        <w:tc>
          <w:tcPr>
            <w:tcW w:w="678" w:type="pct"/>
            <w:shd w:val="clear" w:color="auto" w:fill="auto"/>
            <w:vAlign w:val="center"/>
          </w:tcPr>
          <w:p w14:paraId="4E0F5D4B" w14:textId="77777777" w:rsidR="008143D9" w:rsidRPr="00470E23" w:rsidRDefault="008143D9" w:rsidP="005A428D">
            <w:pPr>
              <w:rPr>
                <w:rFonts w:eastAsia="SimSun"/>
              </w:rPr>
            </w:pPr>
            <w:r w:rsidRPr="00470E23">
              <w:rPr>
                <w:rFonts w:eastAsia="SimSun"/>
              </w:rPr>
              <w:t>5.2.1.3</w:t>
            </w:r>
          </w:p>
        </w:tc>
        <w:tc>
          <w:tcPr>
            <w:tcW w:w="749" w:type="pct"/>
            <w:shd w:val="clear" w:color="auto" w:fill="auto"/>
            <w:vAlign w:val="center"/>
          </w:tcPr>
          <w:p w14:paraId="3E7AEA80" w14:textId="77777777" w:rsidR="008143D9" w:rsidRPr="00470E23" w:rsidRDefault="008143D9" w:rsidP="005A428D">
            <w:pPr>
              <w:rPr>
                <w:rFonts w:eastAsia="SimSun"/>
              </w:rPr>
            </w:pPr>
            <w:r w:rsidRPr="00470E23">
              <w:rPr>
                <w:rFonts w:eastAsia="SimSun"/>
              </w:rPr>
              <w:t>5.2.1.7</w:t>
            </w:r>
          </w:p>
        </w:tc>
        <w:tc>
          <w:tcPr>
            <w:tcW w:w="568" w:type="pct"/>
            <w:shd w:val="clear" w:color="auto" w:fill="auto"/>
            <w:vAlign w:val="center"/>
          </w:tcPr>
          <w:p w14:paraId="0C830BB1" w14:textId="77777777" w:rsidR="008143D9" w:rsidRPr="00470E23" w:rsidRDefault="008143D9" w:rsidP="005A428D">
            <w:pPr>
              <w:rPr>
                <w:rFonts w:eastAsia="SimSun"/>
              </w:rPr>
            </w:pPr>
            <w:r w:rsidRPr="00470E23">
              <w:rPr>
                <w:rFonts w:eastAsia="SimSun"/>
              </w:rPr>
              <w:t>-</w:t>
            </w:r>
          </w:p>
        </w:tc>
      </w:tr>
      <w:tr w:rsidR="008143D9" w:rsidRPr="00470E23" w14:paraId="399C8EA3" w14:textId="77777777" w:rsidTr="005A428D">
        <w:trPr>
          <w:cantSplit/>
          <w:trHeight w:val="850"/>
        </w:trPr>
        <w:tc>
          <w:tcPr>
            <w:tcW w:w="549" w:type="pct"/>
            <w:vMerge/>
            <w:shd w:val="clear" w:color="auto" w:fill="D9D9D9"/>
            <w:vAlign w:val="center"/>
          </w:tcPr>
          <w:p w14:paraId="12365838" w14:textId="77777777" w:rsidR="008143D9" w:rsidRPr="00470E23" w:rsidRDefault="008143D9" w:rsidP="005A428D">
            <w:pPr>
              <w:rPr>
                <w:rFonts w:eastAsia="SimSun"/>
              </w:rPr>
            </w:pPr>
          </w:p>
        </w:tc>
        <w:tc>
          <w:tcPr>
            <w:tcW w:w="477" w:type="pct"/>
            <w:tcBorders>
              <w:bottom w:val="single" w:sz="4" w:space="0" w:color="00000A"/>
            </w:tcBorders>
            <w:shd w:val="clear" w:color="auto" w:fill="D9D9D9"/>
            <w:vAlign w:val="center"/>
          </w:tcPr>
          <w:p w14:paraId="49E30AF3" w14:textId="77777777" w:rsidR="008143D9" w:rsidRPr="00470E23" w:rsidRDefault="008143D9" w:rsidP="005A428D">
            <w:pPr>
              <w:rPr>
                <w:rFonts w:eastAsia="SimSun"/>
              </w:rPr>
            </w:pPr>
            <w:r w:rsidRPr="00470E23">
              <w:rPr>
                <w:rFonts w:eastAsia="SimSun"/>
              </w:rPr>
              <w:t>CSA</w:t>
            </w:r>
          </w:p>
          <w:p w14:paraId="2627E55E" w14:textId="77777777" w:rsidR="008143D9" w:rsidRPr="00470E23" w:rsidRDefault="008143D9" w:rsidP="005A428D">
            <w:pPr>
              <w:rPr>
                <w:rFonts w:eastAsia="SimSun"/>
              </w:rPr>
            </w:pPr>
          </w:p>
        </w:tc>
        <w:tc>
          <w:tcPr>
            <w:tcW w:w="514" w:type="pct"/>
            <w:shd w:val="clear" w:color="auto" w:fill="D9D9D9"/>
            <w:vAlign w:val="center"/>
          </w:tcPr>
          <w:p w14:paraId="63971FDD" w14:textId="77777777" w:rsidR="008143D9" w:rsidRPr="00470E23" w:rsidRDefault="008143D9" w:rsidP="005A428D">
            <w:pPr>
              <w:rPr>
                <w:rFonts w:eastAsia="SimSun"/>
              </w:rPr>
            </w:pPr>
            <w:r w:rsidRPr="00470E23">
              <w:rPr>
                <w:rFonts w:eastAsia="SimSun"/>
              </w:rPr>
              <w:t>-</w:t>
            </w:r>
          </w:p>
        </w:tc>
        <w:tc>
          <w:tcPr>
            <w:tcW w:w="715" w:type="pct"/>
            <w:shd w:val="clear" w:color="auto" w:fill="D9D9D9"/>
            <w:vAlign w:val="center"/>
          </w:tcPr>
          <w:p w14:paraId="37AE3D86" w14:textId="77777777" w:rsidR="008143D9" w:rsidRPr="00470E23" w:rsidRDefault="008143D9" w:rsidP="005A428D">
            <w:pPr>
              <w:rPr>
                <w:rFonts w:eastAsia="SimSun"/>
              </w:rPr>
            </w:pPr>
            <w:r w:rsidRPr="00470E23">
              <w:rPr>
                <w:rFonts w:eastAsia="SimSun"/>
              </w:rPr>
              <w:t>MMF30</w:t>
            </w:r>
          </w:p>
        </w:tc>
        <w:tc>
          <w:tcPr>
            <w:tcW w:w="750" w:type="pct"/>
            <w:shd w:val="clear" w:color="auto" w:fill="auto"/>
            <w:vAlign w:val="center"/>
          </w:tcPr>
          <w:p w14:paraId="327B0829" w14:textId="77777777" w:rsidR="008143D9" w:rsidRPr="00470E23" w:rsidRDefault="008143D9" w:rsidP="005A428D">
            <w:pPr>
              <w:rPr>
                <w:rFonts w:eastAsia="SimSun"/>
              </w:rPr>
            </w:pPr>
            <w:r w:rsidRPr="00470E23">
              <w:rPr>
                <w:rFonts w:eastAsia="SimSun"/>
              </w:rPr>
              <w:t>-</w:t>
            </w:r>
          </w:p>
        </w:tc>
        <w:tc>
          <w:tcPr>
            <w:tcW w:w="678" w:type="pct"/>
            <w:shd w:val="clear" w:color="auto" w:fill="auto"/>
            <w:vAlign w:val="center"/>
          </w:tcPr>
          <w:p w14:paraId="34F4D580" w14:textId="77777777" w:rsidR="008143D9" w:rsidRPr="00470E23" w:rsidRDefault="008143D9" w:rsidP="005A428D">
            <w:pPr>
              <w:rPr>
                <w:rFonts w:eastAsia="SimSun"/>
              </w:rPr>
            </w:pPr>
            <w:r w:rsidRPr="00470E23">
              <w:rPr>
                <w:rFonts w:eastAsia="SimSun"/>
              </w:rPr>
              <w:t>5.2.1.5</w:t>
            </w:r>
          </w:p>
        </w:tc>
        <w:tc>
          <w:tcPr>
            <w:tcW w:w="749" w:type="pct"/>
            <w:shd w:val="clear" w:color="auto" w:fill="auto"/>
            <w:vAlign w:val="center"/>
          </w:tcPr>
          <w:p w14:paraId="2FAF69B7" w14:textId="77777777" w:rsidR="008143D9" w:rsidRPr="00470E23" w:rsidRDefault="008143D9" w:rsidP="005A428D">
            <w:pPr>
              <w:rPr>
                <w:rFonts w:eastAsia="SimSun"/>
              </w:rPr>
            </w:pPr>
            <w:r w:rsidRPr="00470E23">
              <w:rPr>
                <w:rFonts w:eastAsia="SimSun"/>
              </w:rPr>
              <w:t>5.2.1.9</w:t>
            </w:r>
          </w:p>
        </w:tc>
        <w:tc>
          <w:tcPr>
            <w:tcW w:w="568" w:type="pct"/>
            <w:shd w:val="clear" w:color="auto" w:fill="auto"/>
            <w:vAlign w:val="center"/>
          </w:tcPr>
          <w:p w14:paraId="77775FA1" w14:textId="77777777" w:rsidR="008143D9" w:rsidRPr="00470E23" w:rsidRDefault="008143D9" w:rsidP="005A428D">
            <w:pPr>
              <w:rPr>
                <w:rFonts w:eastAsia="SimSun"/>
              </w:rPr>
            </w:pPr>
            <w:r w:rsidRPr="00470E23">
              <w:rPr>
                <w:rFonts w:eastAsia="SimSun"/>
              </w:rPr>
              <w:t>-</w:t>
            </w:r>
          </w:p>
        </w:tc>
      </w:tr>
      <w:tr w:rsidR="008143D9" w:rsidRPr="00470E23" w14:paraId="5B9CB41B" w14:textId="77777777" w:rsidTr="005A428D">
        <w:trPr>
          <w:cantSplit/>
          <w:trHeight w:val="850"/>
        </w:trPr>
        <w:tc>
          <w:tcPr>
            <w:tcW w:w="549" w:type="pct"/>
            <w:vMerge/>
            <w:tcBorders>
              <w:bottom w:val="single" w:sz="4" w:space="0" w:color="00000A"/>
            </w:tcBorders>
            <w:shd w:val="clear" w:color="auto" w:fill="D9D9D9"/>
            <w:vAlign w:val="center"/>
          </w:tcPr>
          <w:p w14:paraId="4618D377" w14:textId="77777777" w:rsidR="008143D9" w:rsidRPr="00470E23" w:rsidRDefault="008143D9" w:rsidP="005A428D">
            <w:pPr>
              <w:rPr>
                <w:rFonts w:eastAsia="SimSun"/>
              </w:rPr>
            </w:pPr>
          </w:p>
        </w:tc>
        <w:tc>
          <w:tcPr>
            <w:tcW w:w="477" w:type="pct"/>
            <w:tcBorders>
              <w:bottom w:val="single" w:sz="4" w:space="0" w:color="00000A"/>
            </w:tcBorders>
            <w:shd w:val="clear" w:color="auto" w:fill="D9D9D9"/>
            <w:vAlign w:val="center"/>
          </w:tcPr>
          <w:p w14:paraId="41754450" w14:textId="77777777" w:rsidR="008143D9" w:rsidRPr="00470E23" w:rsidRDefault="008143D9" w:rsidP="005A428D">
            <w:pPr>
              <w:rPr>
                <w:rFonts w:eastAsia="SimSun"/>
              </w:rPr>
            </w:pPr>
            <w:r w:rsidRPr="00470E23">
              <w:rPr>
                <w:rFonts w:eastAsia="SimSun"/>
              </w:rPr>
              <w:t>Tx</w:t>
            </w:r>
          </w:p>
        </w:tc>
        <w:tc>
          <w:tcPr>
            <w:tcW w:w="514" w:type="pct"/>
            <w:shd w:val="clear" w:color="auto" w:fill="D9D9D9"/>
            <w:vAlign w:val="center"/>
          </w:tcPr>
          <w:p w14:paraId="4ACA80DC" w14:textId="77777777" w:rsidR="008143D9" w:rsidRPr="00470E23" w:rsidRDefault="008143D9" w:rsidP="005A428D">
            <w:pPr>
              <w:rPr>
                <w:rFonts w:eastAsia="SimSun"/>
              </w:rPr>
            </w:pPr>
            <w:r w:rsidRPr="00470E23">
              <w:rPr>
                <w:rFonts w:eastAsia="SimSun"/>
              </w:rPr>
              <w:t>-</w:t>
            </w:r>
          </w:p>
        </w:tc>
        <w:tc>
          <w:tcPr>
            <w:tcW w:w="715" w:type="pct"/>
            <w:shd w:val="clear" w:color="auto" w:fill="D9D9D9"/>
            <w:vAlign w:val="center"/>
          </w:tcPr>
          <w:p w14:paraId="55BE62EB" w14:textId="77777777" w:rsidR="008143D9" w:rsidRPr="00470E23" w:rsidRDefault="008143D9" w:rsidP="005A428D">
            <w:pPr>
              <w:rPr>
                <w:rFonts w:eastAsia="SimSun"/>
              </w:rPr>
            </w:pPr>
            <w:r w:rsidRPr="00470E23">
              <w:rPr>
                <w:rFonts w:eastAsia="SimSun"/>
              </w:rPr>
              <w:t>MMF30</w:t>
            </w:r>
          </w:p>
        </w:tc>
        <w:tc>
          <w:tcPr>
            <w:tcW w:w="750" w:type="pct"/>
            <w:shd w:val="clear" w:color="auto" w:fill="auto"/>
            <w:vAlign w:val="center"/>
          </w:tcPr>
          <w:p w14:paraId="03E5B9E6" w14:textId="77777777" w:rsidR="008143D9" w:rsidRPr="00470E23" w:rsidRDefault="008143D9" w:rsidP="005A428D">
            <w:pPr>
              <w:rPr>
                <w:rFonts w:eastAsia="SimSun"/>
              </w:rPr>
            </w:pPr>
            <w:r w:rsidRPr="00470E23">
              <w:rPr>
                <w:rFonts w:eastAsia="SimSun"/>
              </w:rPr>
              <w:t>-</w:t>
            </w:r>
          </w:p>
        </w:tc>
        <w:tc>
          <w:tcPr>
            <w:tcW w:w="678" w:type="pct"/>
            <w:shd w:val="clear" w:color="auto" w:fill="auto"/>
            <w:vAlign w:val="center"/>
          </w:tcPr>
          <w:p w14:paraId="1F196EF2" w14:textId="77777777" w:rsidR="008143D9" w:rsidRPr="00470E23" w:rsidRDefault="008143D9" w:rsidP="005A428D">
            <w:pPr>
              <w:rPr>
                <w:rFonts w:eastAsia="SimSun"/>
              </w:rPr>
            </w:pPr>
            <w:r w:rsidRPr="00470E23">
              <w:rPr>
                <w:rFonts w:eastAsia="SimSun"/>
              </w:rPr>
              <w:t>5.2.1.4</w:t>
            </w:r>
          </w:p>
        </w:tc>
        <w:tc>
          <w:tcPr>
            <w:tcW w:w="749" w:type="pct"/>
            <w:shd w:val="clear" w:color="auto" w:fill="auto"/>
            <w:vAlign w:val="center"/>
          </w:tcPr>
          <w:p w14:paraId="2DC1EAD8" w14:textId="77777777" w:rsidR="008143D9" w:rsidRPr="00470E23" w:rsidRDefault="008143D9" w:rsidP="005A428D">
            <w:pPr>
              <w:rPr>
                <w:rFonts w:eastAsia="SimSun"/>
              </w:rPr>
            </w:pPr>
            <w:r w:rsidRPr="00470E23">
              <w:rPr>
                <w:rFonts w:eastAsia="SimSun"/>
              </w:rPr>
              <w:t>5.2.1.8</w:t>
            </w:r>
          </w:p>
        </w:tc>
        <w:tc>
          <w:tcPr>
            <w:tcW w:w="568" w:type="pct"/>
            <w:shd w:val="clear" w:color="auto" w:fill="auto"/>
            <w:vAlign w:val="center"/>
          </w:tcPr>
          <w:p w14:paraId="035B2B67" w14:textId="77777777" w:rsidR="008143D9" w:rsidRPr="00470E23" w:rsidRDefault="008143D9" w:rsidP="005A428D">
            <w:pPr>
              <w:rPr>
                <w:rFonts w:eastAsia="SimSun"/>
              </w:rPr>
            </w:pPr>
            <w:r w:rsidRPr="00470E23">
              <w:rPr>
                <w:rFonts w:eastAsia="SimSun"/>
              </w:rPr>
              <w:t>5.2.1.11</w:t>
            </w:r>
          </w:p>
        </w:tc>
      </w:tr>
      <w:tr w:rsidR="008143D9" w:rsidRPr="00470E23" w14:paraId="74650204" w14:textId="77777777" w:rsidTr="005A428D">
        <w:trPr>
          <w:cantSplit/>
          <w:trHeight w:val="850"/>
        </w:trPr>
        <w:tc>
          <w:tcPr>
            <w:tcW w:w="549" w:type="pct"/>
            <w:shd w:val="clear" w:color="auto" w:fill="D9D9D9"/>
            <w:vAlign w:val="center"/>
          </w:tcPr>
          <w:p w14:paraId="25B657A9" w14:textId="77777777" w:rsidR="008143D9" w:rsidRPr="00470E23" w:rsidRDefault="008143D9" w:rsidP="005A428D">
            <w:pPr>
              <w:rPr>
                <w:rFonts w:eastAsia="SimSun"/>
              </w:rPr>
            </w:pPr>
            <w:r w:rsidRPr="00470E23">
              <w:rPr>
                <w:rFonts w:eastAsia="SimSun"/>
              </w:rPr>
              <w:t>-</w:t>
            </w:r>
          </w:p>
        </w:tc>
        <w:tc>
          <w:tcPr>
            <w:tcW w:w="477" w:type="pct"/>
            <w:shd w:val="clear" w:color="auto" w:fill="D9D9D9"/>
            <w:vAlign w:val="center"/>
          </w:tcPr>
          <w:p w14:paraId="5F4DBECA" w14:textId="77777777" w:rsidR="008143D9" w:rsidRPr="00470E23" w:rsidRDefault="008143D9" w:rsidP="005A428D">
            <w:pPr>
              <w:rPr>
                <w:rFonts w:eastAsia="SimSun"/>
              </w:rPr>
            </w:pPr>
            <w:r w:rsidRPr="00470E23">
              <w:rPr>
                <w:rFonts w:eastAsia="SimSun"/>
              </w:rPr>
              <w:t>Tx</w:t>
            </w:r>
          </w:p>
        </w:tc>
        <w:tc>
          <w:tcPr>
            <w:tcW w:w="514" w:type="pct"/>
            <w:shd w:val="clear" w:color="auto" w:fill="D9D9D9"/>
            <w:vAlign w:val="center"/>
          </w:tcPr>
          <w:p w14:paraId="449D47C4" w14:textId="77777777" w:rsidR="008143D9" w:rsidRPr="00470E23" w:rsidRDefault="008143D9" w:rsidP="005A428D">
            <w:pPr>
              <w:rPr>
                <w:rFonts w:eastAsia="SimSun"/>
              </w:rPr>
            </w:pPr>
            <w:r w:rsidRPr="00470E23">
              <w:rPr>
                <w:rFonts w:eastAsia="SimSun"/>
              </w:rPr>
              <w:t>-</w:t>
            </w:r>
          </w:p>
        </w:tc>
        <w:tc>
          <w:tcPr>
            <w:tcW w:w="715" w:type="pct"/>
            <w:shd w:val="clear" w:color="auto" w:fill="D9D9D9"/>
            <w:vAlign w:val="center"/>
          </w:tcPr>
          <w:p w14:paraId="60D6F1C2" w14:textId="77777777" w:rsidR="008143D9" w:rsidRPr="00470E23" w:rsidRDefault="008143D9" w:rsidP="005A428D">
            <w:pPr>
              <w:rPr>
                <w:rFonts w:eastAsia="SimSun"/>
              </w:rPr>
            </w:pPr>
            <w:r w:rsidRPr="00470E23">
              <w:rPr>
                <w:rFonts w:eastAsia="SimSun"/>
              </w:rPr>
              <w:t>MMF30</w:t>
            </w:r>
          </w:p>
        </w:tc>
        <w:tc>
          <w:tcPr>
            <w:tcW w:w="750" w:type="pct"/>
            <w:shd w:val="clear" w:color="auto" w:fill="auto"/>
            <w:vAlign w:val="center"/>
          </w:tcPr>
          <w:p w14:paraId="31058B3A" w14:textId="77777777" w:rsidR="008143D9" w:rsidRPr="00470E23" w:rsidRDefault="008143D9" w:rsidP="005A428D">
            <w:pPr>
              <w:rPr>
                <w:rFonts w:eastAsia="SimSun"/>
              </w:rPr>
            </w:pPr>
            <w:r w:rsidRPr="00470E23">
              <w:rPr>
                <w:rFonts w:eastAsia="SimSun"/>
              </w:rPr>
              <w:t>-</w:t>
            </w:r>
          </w:p>
        </w:tc>
        <w:tc>
          <w:tcPr>
            <w:tcW w:w="678" w:type="pct"/>
            <w:shd w:val="clear" w:color="auto" w:fill="auto"/>
            <w:vAlign w:val="center"/>
          </w:tcPr>
          <w:p w14:paraId="3CBAEB30" w14:textId="77777777" w:rsidR="008143D9" w:rsidRPr="00470E23" w:rsidRDefault="008143D9" w:rsidP="005A428D">
            <w:pPr>
              <w:rPr>
                <w:rFonts w:eastAsia="SimSun"/>
              </w:rPr>
            </w:pPr>
            <w:r w:rsidRPr="00470E23">
              <w:rPr>
                <w:rFonts w:eastAsia="SimSun"/>
              </w:rPr>
              <w:t>5.2.1.6</w:t>
            </w:r>
          </w:p>
        </w:tc>
        <w:tc>
          <w:tcPr>
            <w:tcW w:w="749" w:type="pct"/>
            <w:shd w:val="clear" w:color="auto" w:fill="auto"/>
            <w:vAlign w:val="center"/>
          </w:tcPr>
          <w:p w14:paraId="69DD7656" w14:textId="77777777" w:rsidR="008143D9" w:rsidRPr="00470E23" w:rsidRDefault="008143D9" w:rsidP="005A428D">
            <w:pPr>
              <w:rPr>
                <w:rFonts w:eastAsia="SimSun"/>
              </w:rPr>
            </w:pPr>
            <w:r w:rsidRPr="00470E23">
              <w:rPr>
                <w:rFonts w:eastAsia="SimSun"/>
              </w:rPr>
              <w:t>5.2.1.10</w:t>
            </w:r>
          </w:p>
        </w:tc>
        <w:tc>
          <w:tcPr>
            <w:tcW w:w="568" w:type="pct"/>
            <w:shd w:val="clear" w:color="auto" w:fill="auto"/>
            <w:vAlign w:val="center"/>
          </w:tcPr>
          <w:p w14:paraId="7011C2A4" w14:textId="77777777" w:rsidR="008143D9" w:rsidRPr="00470E23" w:rsidRDefault="008143D9" w:rsidP="005A428D">
            <w:pPr>
              <w:rPr>
                <w:rFonts w:eastAsia="SimSun"/>
              </w:rPr>
            </w:pPr>
            <w:r w:rsidRPr="00470E23">
              <w:rPr>
                <w:rFonts w:eastAsia="SimSun"/>
              </w:rPr>
              <w:t>-</w:t>
            </w:r>
          </w:p>
        </w:tc>
      </w:tr>
    </w:tbl>
    <w:p w14:paraId="620B37C8" w14:textId="77777777" w:rsidR="008143D9" w:rsidRPr="00C07B2E" w:rsidRDefault="008143D9" w:rsidP="008143D9">
      <w:pPr>
        <w:rPr>
          <w:rFonts w:eastAsia="SimSun"/>
        </w:rPr>
      </w:pPr>
    </w:p>
    <w:p w14:paraId="6367D5E3" w14:textId="77777777" w:rsidR="008143D9" w:rsidRPr="00C07B2E" w:rsidRDefault="008143D9" w:rsidP="008143D9">
      <w:pPr>
        <w:rPr>
          <w:rFonts w:eastAsia="SimSun"/>
        </w:rPr>
        <w:sectPr w:rsidR="008143D9" w:rsidRPr="00C07B2E" w:rsidSect="00980822">
          <w:type w:val="continuous"/>
          <w:pgSz w:w="16839" w:h="11907" w:orient="landscape" w:code="9"/>
          <w:pgMar w:top="1134" w:right="850" w:bottom="1134" w:left="1701" w:header="709" w:footer="567" w:gutter="0"/>
          <w:cols w:space="708"/>
          <w:docGrid w:linePitch="360"/>
        </w:sectPr>
      </w:pPr>
    </w:p>
    <w:p w14:paraId="21854454" w14:textId="77777777" w:rsidR="008143D9" w:rsidRPr="00C07B2E" w:rsidRDefault="008143D9" w:rsidP="008143D9">
      <w:pPr>
        <w:rPr>
          <w:rFonts w:eastAsia="SimSun"/>
        </w:rPr>
      </w:pPr>
    </w:p>
    <w:p w14:paraId="109AFC59" w14:textId="77777777" w:rsidR="008143D9" w:rsidRPr="00C07B2E" w:rsidRDefault="008143D9" w:rsidP="008143D9">
      <w:pPr>
        <w:rPr>
          <w:rFonts w:eastAsia="SimSun"/>
        </w:rPr>
      </w:pPr>
      <w:bookmarkStart w:id="149" w:name="_Toc44401187"/>
      <w:r w:rsidRPr="00042499">
        <w:rPr>
          <w:rFonts w:eastAsia="SimSun"/>
        </w:rPr>
        <w:t>Таблица</w:t>
      </w:r>
      <w:r w:rsidRPr="00C07B2E">
        <w:rPr>
          <w:rFonts w:eastAsia="SimSun"/>
        </w:rPr>
        <w:t xml:space="preserve"> </w:t>
      </w:r>
      <w:r>
        <w:rPr>
          <w:rFonts w:eastAsia="SimSun"/>
        </w:rPr>
        <w:t>5.</w:t>
      </w:r>
      <w:r w:rsidRPr="00C07B2E">
        <w:rPr>
          <w:rFonts w:eastAsia="SimSun"/>
        </w:rPr>
        <w:t>2.1.1  – Bu12+Cy120 / hATG+CSA+MTX+MMF45</w:t>
      </w:r>
      <w:bookmarkEnd w:id="149"/>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8143D9" w:rsidRPr="00AC3044" w14:paraId="44AF8902" w14:textId="77777777" w:rsidTr="005A428D">
        <w:trPr>
          <w:cantSplit/>
          <w:trHeight w:val="20"/>
          <w:tblHeader/>
        </w:trPr>
        <w:tc>
          <w:tcPr>
            <w:tcW w:w="1135" w:type="dxa"/>
          </w:tcPr>
          <w:p w14:paraId="24CF8DCB" w14:textId="77777777" w:rsidR="008143D9" w:rsidRPr="00470D3D" w:rsidRDefault="008143D9" w:rsidP="005A428D">
            <w:pPr>
              <w:rPr>
                <w:rFonts w:eastAsia="SimSun"/>
              </w:rPr>
            </w:pPr>
          </w:p>
        </w:tc>
        <w:tc>
          <w:tcPr>
            <w:tcW w:w="1701" w:type="dxa"/>
          </w:tcPr>
          <w:p w14:paraId="497F65B5" w14:textId="77777777" w:rsidR="008143D9" w:rsidRPr="00AC3044" w:rsidRDefault="008143D9" w:rsidP="005A428D">
            <w:pPr>
              <w:rPr>
                <w:rFonts w:eastAsia="SimSun"/>
              </w:rPr>
            </w:pPr>
            <w:r w:rsidRPr="00AC3044">
              <w:rPr>
                <w:rFonts w:eastAsia="SimSun"/>
              </w:rPr>
              <w:t>Препарат</w:t>
            </w:r>
          </w:p>
        </w:tc>
        <w:tc>
          <w:tcPr>
            <w:tcW w:w="1417" w:type="dxa"/>
          </w:tcPr>
          <w:p w14:paraId="376DBD1A" w14:textId="77777777" w:rsidR="008143D9" w:rsidRPr="00AC3044" w:rsidRDefault="008143D9" w:rsidP="005A428D">
            <w:pPr>
              <w:rPr>
                <w:rFonts w:eastAsia="SimSun"/>
              </w:rPr>
            </w:pPr>
            <w:r w:rsidRPr="00AC3044">
              <w:rPr>
                <w:rFonts w:eastAsia="SimSun"/>
              </w:rPr>
              <w:t>Суточная доза</w:t>
            </w:r>
          </w:p>
        </w:tc>
        <w:tc>
          <w:tcPr>
            <w:tcW w:w="1418" w:type="dxa"/>
          </w:tcPr>
          <w:p w14:paraId="07FC5AF3" w14:textId="77777777" w:rsidR="008143D9" w:rsidRPr="00AC3044" w:rsidRDefault="008143D9" w:rsidP="005A428D">
            <w:pPr>
              <w:rPr>
                <w:rFonts w:eastAsia="SimSun"/>
              </w:rPr>
            </w:pPr>
            <w:r w:rsidRPr="00AC3044">
              <w:rPr>
                <w:rFonts w:eastAsia="SimSun"/>
              </w:rPr>
              <w:t>Курсовая доза</w:t>
            </w:r>
          </w:p>
        </w:tc>
        <w:tc>
          <w:tcPr>
            <w:tcW w:w="1701" w:type="dxa"/>
          </w:tcPr>
          <w:p w14:paraId="7739E135" w14:textId="77777777" w:rsidR="008143D9" w:rsidRPr="00AC3044" w:rsidRDefault="008143D9" w:rsidP="005A428D">
            <w:pPr>
              <w:rPr>
                <w:rFonts w:eastAsia="SimSun"/>
              </w:rPr>
            </w:pPr>
            <w:r w:rsidRPr="00AC3044">
              <w:rPr>
                <w:rFonts w:eastAsia="SimSun"/>
              </w:rPr>
              <w:t>Дни введения</w:t>
            </w:r>
          </w:p>
        </w:tc>
        <w:tc>
          <w:tcPr>
            <w:tcW w:w="2268" w:type="dxa"/>
          </w:tcPr>
          <w:p w14:paraId="0281B2A8"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307D61E3" w14:textId="77777777" w:rsidTr="005A428D">
        <w:trPr>
          <w:cantSplit/>
          <w:trHeight w:val="650"/>
        </w:trPr>
        <w:tc>
          <w:tcPr>
            <w:tcW w:w="1135" w:type="dxa"/>
            <w:vMerge w:val="restart"/>
            <w:textDirection w:val="btLr"/>
          </w:tcPr>
          <w:p w14:paraId="1D27F17D" w14:textId="77777777" w:rsidR="008143D9" w:rsidRPr="00AC3044" w:rsidRDefault="008143D9" w:rsidP="005A428D">
            <w:pPr>
              <w:rPr>
                <w:rFonts w:eastAsia="SimSun"/>
              </w:rPr>
            </w:pPr>
            <w:r w:rsidRPr="00AC3044">
              <w:rPr>
                <w:rFonts w:eastAsia="SimSun"/>
              </w:rPr>
              <w:t>Кондиционирование</w:t>
            </w:r>
          </w:p>
        </w:tc>
        <w:tc>
          <w:tcPr>
            <w:tcW w:w="1701" w:type="dxa"/>
          </w:tcPr>
          <w:p w14:paraId="20681823" w14:textId="77777777" w:rsidR="008143D9" w:rsidRPr="00AC3044" w:rsidRDefault="008143D9" w:rsidP="005A428D">
            <w:pPr>
              <w:rPr>
                <w:rFonts w:eastAsia="SimSun"/>
              </w:rPr>
            </w:pPr>
            <w:r w:rsidRPr="00AC3044">
              <w:rPr>
                <w:rFonts w:eastAsia="SimSun"/>
              </w:rPr>
              <w:t>Бусульфан</w:t>
            </w:r>
          </w:p>
        </w:tc>
        <w:tc>
          <w:tcPr>
            <w:tcW w:w="1417" w:type="dxa"/>
          </w:tcPr>
          <w:p w14:paraId="5472B461" w14:textId="77777777" w:rsidR="008143D9" w:rsidRPr="00AC3044" w:rsidRDefault="008143D9" w:rsidP="005A428D">
            <w:pPr>
              <w:rPr>
                <w:rFonts w:eastAsia="SimSun"/>
              </w:rPr>
            </w:pPr>
            <w:r w:rsidRPr="00AC3044">
              <w:rPr>
                <w:rFonts w:eastAsia="SimSun"/>
              </w:rPr>
              <w:t>4 мг/кг</w:t>
            </w:r>
          </w:p>
        </w:tc>
        <w:tc>
          <w:tcPr>
            <w:tcW w:w="1418" w:type="dxa"/>
          </w:tcPr>
          <w:p w14:paraId="4F7ED9E2" w14:textId="77777777" w:rsidR="008143D9" w:rsidRPr="00AC3044" w:rsidRDefault="008143D9" w:rsidP="005A428D">
            <w:pPr>
              <w:rPr>
                <w:rFonts w:eastAsia="SimSun"/>
              </w:rPr>
            </w:pPr>
            <w:r w:rsidRPr="00AC3044">
              <w:rPr>
                <w:rFonts w:eastAsia="SimSun"/>
              </w:rPr>
              <w:t>12 мг/кг</w:t>
            </w:r>
          </w:p>
        </w:tc>
        <w:tc>
          <w:tcPr>
            <w:tcW w:w="1701" w:type="dxa"/>
          </w:tcPr>
          <w:p w14:paraId="50799B7A" w14:textId="77777777" w:rsidR="008143D9" w:rsidRPr="00AC3044" w:rsidRDefault="008143D9" w:rsidP="005A428D">
            <w:pPr>
              <w:rPr>
                <w:rFonts w:eastAsia="SimSun"/>
              </w:rPr>
            </w:pPr>
            <w:r w:rsidRPr="00AC3044">
              <w:rPr>
                <w:rFonts w:eastAsia="SimSun"/>
              </w:rPr>
              <w:t>С –6 по –4 день</w:t>
            </w:r>
          </w:p>
        </w:tc>
        <w:tc>
          <w:tcPr>
            <w:tcW w:w="2268" w:type="dxa"/>
          </w:tcPr>
          <w:p w14:paraId="644E7222" w14:textId="77777777" w:rsidR="008143D9" w:rsidRPr="00AC3044" w:rsidRDefault="008143D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8143D9" w:rsidRPr="00AC3044" w14:paraId="2C199C79" w14:textId="77777777" w:rsidTr="005A428D">
        <w:trPr>
          <w:cantSplit/>
          <w:trHeight w:val="418"/>
        </w:trPr>
        <w:tc>
          <w:tcPr>
            <w:tcW w:w="1135" w:type="dxa"/>
            <w:vMerge/>
          </w:tcPr>
          <w:p w14:paraId="55210BA5" w14:textId="77777777" w:rsidR="008143D9" w:rsidRPr="00AC3044" w:rsidRDefault="008143D9" w:rsidP="005A428D">
            <w:pPr>
              <w:rPr>
                <w:rFonts w:eastAsia="SimSun"/>
              </w:rPr>
            </w:pPr>
          </w:p>
        </w:tc>
        <w:tc>
          <w:tcPr>
            <w:tcW w:w="1701" w:type="dxa"/>
          </w:tcPr>
          <w:p w14:paraId="6FC88C09" w14:textId="77777777" w:rsidR="008143D9" w:rsidRPr="00AC3044" w:rsidRDefault="008143D9" w:rsidP="005A428D">
            <w:pPr>
              <w:rPr>
                <w:rFonts w:eastAsia="SimSun"/>
              </w:rPr>
            </w:pPr>
            <w:r w:rsidRPr="00AC3044">
              <w:rPr>
                <w:rFonts w:eastAsia="SimSun"/>
              </w:rPr>
              <w:t>Циклофосфамид</w:t>
            </w:r>
          </w:p>
        </w:tc>
        <w:tc>
          <w:tcPr>
            <w:tcW w:w="1417" w:type="dxa"/>
          </w:tcPr>
          <w:p w14:paraId="7BB11FF7" w14:textId="77777777" w:rsidR="008143D9" w:rsidRPr="00AC3044" w:rsidRDefault="008143D9" w:rsidP="005A428D">
            <w:pPr>
              <w:rPr>
                <w:rFonts w:eastAsia="SimSun"/>
              </w:rPr>
            </w:pPr>
            <w:r w:rsidRPr="00AC3044">
              <w:rPr>
                <w:rFonts w:eastAsia="SimSun"/>
              </w:rPr>
              <w:t>60 мг/кг</w:t>
            </w:r>
          </w:p>
        </w:tc>
        <w:tc>
          <w:tcPr>
            <w:tcW w:w="1418" w:type="dxa"/>
          </w:tcPr>
          <w:p w14:paraId="552439BF" w14:textId="77777777" w:rsidR="008143D9" w:rsidRPr="00AC3044" w:rsidRDefault="008143D9" w:rsidP="005A428D">
            <w:pPr>
              <w:rPr>
                <w:rFonts w:eastAsia="SimSun"/>
              </w:rPr>
            </w:pPr>
            <w:r w:rsidRPr="00AC3044">
              <w:rPr>
                <w:rFonts w:eastAsia="SimSun"/>
              </w:rPr>
              <w:t>120 мг/кг</w:t>
            </w:r>
          </w:p>
        </w:tc>
        <w:tc>
          <w:tcPr>
            <w:tcW w:w="1701" w:type="dxa"/>
          </w:tcPr>
          <w:p w14:paraId="69C82755" w14:textId="77777777" w:rsidR="008143D9" w:rsidRPr="00AC3044" w:rsidRDefault="008143D9" w:rsidP="005A428D">
            <w:pPr>
              <w:rPr>
                <w:rFonts w:eastAsia="SimSun"/>
              </w:rPr>
            </w:pPr>
            <w:r w:rsidRPr="00AC3044">
              <w:rPr>
                <w:rFonts w:eastAsia="SimSun"/>
              </w:rPr>
              <w:t xml:space="preserve">–3, –2 дни </w:t>
            </w:r>
          </w:p>
        </w:tc>
        <w:tc>
          <w:tcPr>
            <w:tcW w:w="2268" w:type="dxa"/>
          </w:tcPr>
          <w:p w14:paraId="3E99C4A4" w14:textId="77777777" w:rsidR="008143D9" w:rsidRPr="00AC3044" w:rsidRDefault="008143D9" w:rsidP="005A428D">
            <w:pPr>
              <w:rPr>
                <w:rFonts w:eastAsia="SimSun"/>
              </w:rPr>
            </w:pPr>
            <w:r w:rsidRPr="00AC3044">
              <w:rPr>
                <w:rFonts w:eastAsia="SimSun"/>
              </w:rPr>
              <w:t xml:space="preserve">В/в, в течение 2 ч </w:t>
            </w:r>
          </w:p>
        </w:tc>
      </w:tr>
      <w:tr w:rsidR="008143D9" w:rsidRPr="00AC3044" w14:paraId="57836CB8" w14:textId="77777777" w:rsidTr="005A428D">
        <w:trPr>
          <w:cantSplit/>
          <w:trHeight w:val="20"/>
        </w:trPr>
        <w:tc>
          <w:tcPr>
            <w:tcW w:w="1135" w:type="dxa"/>
            <w:vMerge w:val="restart"/>
            <w:textDirection w:val="btLr"/>
          </w:tcPr>
          <w:p w14:paraId="6D94A013" w14:textId="77777777" w:rsidR="008143D9" w:rsidRPr="00AC3044" w:rsidRDefault="008143D9" w:rsidP="005A428D">
            <w:pPr>
              <w:rPr>
                <w:rFonts w:eastAsia="SimSun"/>
              </w:rPr>
            </w:pPr>
            <w:r w:rsidRPr="00AC3044">
              <w:rPr>
                <w:rFonts w:eastAsia="SimSun"/>
              </w:rPr>
              <w:t>Профилактика РТПХ</w:t>
            </w:r>
          </w:p>
        </w:tc>
        <w:tc>
          <w:tcPr>
            <w:tcW w:w="1701" w:type="dxa"/>
          </w:tcPr>
          <w:p w14:paraId="79CDFC19" w14:textId="77777777" w:rsidR="008143D9" w:rsidRPr="00AC3044" w:rsidRDefault="008143D9" w:rsidP="005A428D">
            <w:pPr>
              <w:rPr>
                <w:rFonts w:eastAsia="SimSun"/>
              </w:rPr>
            </w:pPr>
            <w:r w:rsidRPr="00AC3044">
              <w:rPr>
                <w:rFonts w:eastAsia="SimSun"/>
              </w:rPr>
              <w:t>АТГ (лошадиный)</w:t>
            </w:r>
          </w:p>
        </w:tc>
        <w:tc>
          <w:tcPr>
            <w:tcW w:w="1417" w:type="dxa"/>
          </w:tcPr>
          <w:p w14:paraId="6E4D4D61" w14:textId="77777777" w:rsidR="008143D9" w:rsidRPr="00AC3044" w:rsidRDefault="008143D9" w:rsidP="005A428D">
            <w:pPr>
              <w:rPr>
                <w:rFonts w:eastAsia="SimSun"/>
              </w:rPr>
            </w:pPr>
            <w:r w:rsidRPr="00AC3044">
              <w:rPr>
                <w:rFonts w:eastAsia="SimSun"/>
              </w:rPr>
              <w:t>10-15 мг/кг</w:t>
            </w:r>
          </w:p>
        </w:tc>
        <w:tc>
          <w:tcPr>
            <w:tcW w:w="1418" w:type="dxa"/>
          </w:tcPr>
          <w:p w14:paraId="269E7DA6" w14:textId="77777777" w:rsidR="008143D9" w:rsidRPr="00AC3044" w:rsidRDefault="008143D9" w:rsidP="005A428D">
            <w:pPr>
              <w:rPr>
                <w:rFonts w:eastAsia="SimSun"/>
              </w:rPr>
            </w:pPr>
            <w:r w:rsidRPr="00AC3044">
              <w:rPr>
                <w:rFonts w:eastAsia="SimSun"/>
              </w:rPr>
              <w:t>40-60 мг/кг</w:t>
            </w:r>
          </w:p>
        </w:tc>
        <w:tc>
          <w:tcPr>
            <w:tcW w:w="1701" w:type="dxa"/>
          </w:tcPr>
          <w:p w14:paraId="29470313" w14:textId="77777777" w:rsidR="008143D9" w:rsidRPr="00AC3044" w:rsidRDefault="008143D9" w:rsidP="005A428D">
            <w:pPr>
              <w:rPr>
                <w:rFonts w:eastAsia="SimSun"/>
              </w:rPr>
            </w:pPr>
            <w:r w:rsidRPr="00AC3044">
              <w:rPr>
                <w:rFonts w:eastAsia="SimSun"/>
              </w:rPr>
              <w:t>С –4 по –1 день</w:t>
            </w:r>
          </w:p>
        </w:tc>
        <w:tc>
          <w:tcPr>
            <w:tcW w:w="2268" w:type="dxa"/>
          </w:tcPr>
          <w:p w14:paraId="244DCB77" w14:textId="77777777" w:rsidR="008143D9" w:rsidRPr="00AC3044" w:rsidRDefault="008143D9" w:rsidP="005A428D">
            <w:pPr>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 xml:space="preserve">«Инфузия АТГ») </w:t>
            </w:r>
          </w:p>
        </w:tc>
      </w:tr>
      <w:tr w:rsidR="008143D9" w:rsidRPr="00AC3044" w14:paraId="3A959A44" w14:textId="77777777" w:rsidTr="005A428D">
        <w:trPr>
          <w:cantSplit/>
          <w:trHeight w:val="20"/>
        </w:trPr>
        <w:tc>
          <w:tcPr>
            <w:tcW w:w="1135" w:type="dxa"/>
            <w:vMerge/>
            <w:textDirection w:val="btLr"/>
          </w:tcPr>
          <w:p w14:paraId="67EEBC89" w14:textId="77777777" w:rsidR="008143D9" w:rsidRPr="00AC3044" w:rsidRDefault="008143D9" w:rsidP="005A428D">
            <w:pPr>
              <w:rPr>
                <w:rFonts w:eastAsia="SimSun"/>
              </w:rPr>
            </w:pPr>
          </w:p>
        </w:tc>
        <w:tc>
          <w:tcPr>
            <w:tcW w:w="1701" w:type="dxa"/>
          </w:tcPr>
          <w:p w14:paraId="4CC3D0F9" w14:textId="77777777" w:rsidR="008143D9" w:rsidRPr="00AC3044" w:rsidRDefault="008143D9" w:rsidP="005A428D">
            <w:pPr>
              <w:rPr>
                <w:rFonts w:eastAsia="SimSun"/>
              </w:rPr>
            </w:pPr>
            <w:r w:rsidRPr="00AC3044">
              <w:rPr>
                <w:rFonts w:eastAsia="SimSun"/>
              </w:rPr>
              <w:t>Циклоспорин</w:t>
            </w:r>
          </w:p>
        </w:tc>
        <w:tc>
          <w:tcPr>
            <w:tcW w:w="1417" w:type="dxa"/>
          </w:tcPr>
          <w:p w14:paraId="0F34CE4E" w14:textId="77777777" w:rsidR="008143D9" w:rsidRPr="00AC3044" w:rsidRDefault="008143D9" w:rsidP="005A428D">
            <w:pPr>
              <w:rPr>
                <w:rFonts w:eastAsia="SimSun"/>
              </w:rPr>
            </w:pPr>
            <w:r w:rsidRPr="00AC3044">
              <w:rPr>
                <w:rFonts w:eastAsia="SimSun"/>
              </w:rPr>
              <w:t>3 мг/кг</w:t>
            </w:r>
          </w:p>
        </w:tc>
        <w:tc>
          <w:tcPr>
            <w:tcW w:w="1418" w:type="dxa"/>
          </w:tcPr>
          <w:p w14:paraId="77DB44C0" w14:textId="77777777" w:rsidR="008143D9" w:rsidRPr="00AC3044" w:rsidRDefault="008143D9" w:rsidP="005A428D">
            <w:pPr>
              <w:rPr>
                <w:rFonts w:eastAsia="SimSun"/>
              </w:rPr>
            </w:pPr>
            <w:r w:rsidRPr="00AC3044">
              <w:rPr>
                <w:rFonts w:eastAsia="SimSun"/>
              </w:rPr>
              <w:t>–</w:t>
            </w:r>
          </w:p>
        </w:tc>
        <w:tc>
          <w:tcPr>
            <w:tcW w:w="1701" w:type="dxa"/>
          </w:tcPr>
          <w:p w14:paraId="31E95F5B" w14:textId="77777777" w:rsidR="008143D9" w:rsidRPr="00AC3044" w:rsidRDefault="008143D9" w:rsidP="005A428D">
            <w:pPr>
              <w:rPr>
                <w:rFonts w:eastAsia="SimSun"/>
              </w:rPr>
            </w:pPr>
            <w:r w:rsidRPr="00AC3044">
              <w:rPr>
                <w:rFonts w:eastAsia="SimSun"/>
              </w:rPr>
              <w:t>С –1 по +90 день, затем постепенное снижение к +180 дню</w:t>
            </w:r>
          </w:p>
        </w:tc>
        <w:tc>
          <w:tcPr>
            <w:tcW w:w="2268" w:type="dxa"/>
          </w:tcPr>
          <w:p w14:paraId="60FBE539" w14:textId="77777777" w:rsidR="008143D9" w:rsidRPr="00AC3044" w:rsidRDefault="008143D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 xml:space="preserve">х </w:t>
            </w:r>
            <w:r w:rsidRPr="00AC3044">
              <w:rPr>
                <w:rFonts w:eastAsia="SimSun"/>
              </w:rPr>
              <w:t>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8143D9" w:rsidRPr="00AC3044" w14:paraId="58C407FA" w14:textId="77777777" w:rsidTr="005A428D">
        <w:trPr>
          <w:cantSplit/>
          <w:trHeight w:val="20"/>
        </w:trPr>
        <w:tc>
          <w:tcPr>
            <w:tcW w:w="1135" w:type="dxa"/>
            <w:vMerge/>
          </w:tcPr>
          <w:p w14:paraId="184C0563" w14:textId="77777777" w:rsidR="008143D9" w:rsidRPr="00AC3044" w:rsidRDefault="008143D9" w:rsidP="005A428D">
            <w:pPr>
              <w:rPr>
                <w:rFonts w:eastAsia="SimSun"/>
              </w:rPr>
            </w:pPr>
          </w:p>
        </w:tc>
        <w:tc>
          <w:tcPr>
            <w:tcW w:w="1701" w:type="dxa"/>
            <w:vMerge w:val="restart"/>
          </w:tcPr>
          <w:p w14:paraId="377762E9" w14:textId="77777777" w:rsidR="008143D9" w:rsidRPr="00AC3044" w:rsidRDefault="008143D9" w:rsidP="005A428D">
            <w:pPr>
              <w:rPr>
                <w:rFonts w:eastAsia="SimSun"/>
              </w:rPr>
            </w:pPr>
            <w:r w:rsidRPr="00AC3044">
              <w:rPr>
                <w:rFonts w:eastAsia="SimSun"/>
              </w:rPr>
              <w:t>Метотрексат</w:t>
            </w:r>
          </w:p>
        </w:tc>
        <w:tc>
          <w:tcPr>
            <w:tcW w:w="1417" w:type="dxa"/>
          </w:tcPr>
          <w:p w14:paraId="7A1A441B" w14:textId="77777777" w:rsidR="008143D9" w:rsidRPr="00AC3044" w:rsidRDefault="008143D9" w:rsidP="005A428D">
            <w:pPr>
              <w:rPr>
                <w:rFonts w:eastAsia="SimSun"/>
              </w:rPr>
            </w:pPr>
            <w:r w:rsidRPr="00AC3044">
              <w:rPr>
                <w:rFonts w:eastAsia="SimSun"/>
              </w:rPr>
              <w:t>15 мг/м</w:t>
            </w:r>
            <w:r w:rsidRPr="001E6DBE">
              <w:rPr>
                <w:rFonts w:eastAsia="SimSun"/>
                <w:vertAlign w:val="superscript"/>
              </w:rPr>
              <w:t>2</w:t>
            </w:r>
          </w:p>
        </w:tc>
        <w:tc>
          <w:tcPr>
            <w:tcW w:w="1418" w:type="dxa"/>
          </w:tcPr>
          <w:p w14:paraId="5CB3BA3D" w14:textId="77777777" w:rsidR="008143D9" w:rsidRPr="00AC3044" w:rsidRDefault="008143D9" w:rsidP="005A428D">
            <w:pPr>
              <w:rPr>
                <w:rFonts w:eastAsia="SimSun"/>
              </w:rPr>
            </w:pPr>
            <w:r w:rsidRPr="00AC3044">
              <w:rPr>
                <w:rFonts w:eastAsia="SimSun"/>
              </w:rPr>
              <w:t>–</w:t>
            </w:r>
          </w:p>
        </w:tc>
        <w:tc>
          <w:tcPr>
            <w:tcW w:w="1701" w:type="dxa"/>
          </w:tcPr>
          <w:p w14:paraId="75FCAEDE" w14:textId="77777777" w:rsidR="008143D9" w:rsidRPr="00AC3044" w:rsidRDefault="008143D9" w:rsidP="005A428D">
            <w:pPr>
              <w:rPr>
                <w:rFonts w:eastAsia="SimSun"/>
              </w:rPr>
            </w:pPr>
            <w:r w:rsidRPr="00AC3044">
              <w:rPr>
                <w:rFonts w:eastAsia="SimSun"/>
              </w:rPr>
              <w:t>+1 день</w:t>
            </w:r>
          </w:p>
        </w:tc>
        <w:tc>
          <w:tcPr>
            <w:tcW w:w="2268" w:type="dxa"/>
          </w:tcPr>
          <w:p w14:paraId="79CD6C63" w14:textId="77777777" w:rsidR="008143D9" w:rsidRPr="00AC3044" w:rsidRDefault="008143D9" w:rsidP="005A428D">
            <w:pPr>
              <w:rPr>
                <w:rFonts w:eastAsia="SimSun"/>
              </w:rPr>
            </w:pPr>
            <w:r w:rsidRPr="00AC3044">
              <w:rPr>
                <w:rFonts w:eastAsia="SimSun"/>
              </w:rPr>
              <w:t xml:space="preserve">В/в, в 20 мл физ. р-ра  </w:t>
            </w:r>
          </w:p>
        </w:tc>
      </w:tr>
      <w:tr w:rsidR="008143D9" w:rsidRPr="00AC3044" w14:paraId="20B05511" w14:textId="77777777" w:rsidTr="005A428D">
        <w:trPr>
          <w:cantSplit/>
          <w:trHeight w:val="464"/>
        </w:trPr>
        <w:tc>
          <w:tcPr>
            <w:tcW w:w="1135" w:type="dxa"/>
            <w:vMerge/>
          </w:tcPr>
          <w:p w14:paraId="7372DEF4" w14:textId="77777777" w:rsidR="008143D9" w:rsidRPr="00AC3044" w:rsidRDefault="008143D9" w:rsidP="005A428D">
            <w:pPr>
              <w:rPr>
                <w:rFonts w:eastAsia="SimSun"/>
              </w:rPr>
            </w:pPr>
          </w:p>
        </w:tc>
        <w:tc>
          <w:tcPr>
            <w:tcW w:w="1701" w:type="dxa"/>
            <w:vMerge/>
          </w:tcPr>
          <w:p w14:paraId="18E02E61" w14:textId="77777777" w:rsidR="008143D9" w:rsidRPr="00AC3044" w:rsidRDefault="008143D9" w:rsidP="005A428D">
            <w:pPr>
              <w:rPr>
                <w:rFonts w:eastAsia="SimSun"/>
              </w:rPr>
            </w:pPr>
          </w:p>
        </w:tc>
        <w:tc>
          <w:tcPr>
            <w:tcW w:w="1417" w:type="dxa"/>
          </w:tcPr>
          <w:p w14:paraId="6B5FFCE7" w14:textId="77777777" w:rsidR="008143D9" w:rsidRPr="00AC3044" w:rsidRDefault="008143D9" w:rsidP="005A428D">
            <w:pPr>
              <w:rPr>
                <w:rFonts w:eastAsia="SimSun"/>
              </w:rPr>
            </w:pPr>
            <w:r w:rsidRPr="00AC3044">
              <w:rPr>
                <w:rFonts w:eastAsia="SimSun"/>
              </w:rPr>
              <w:t>10 мг/м</w:t>
            </w:r>
            <w:r w:rsidRPr="001E6DBE">
              <w:rPr>
                <w:rFonts w:eastAsia="SimSun"/>
                <w:vertAlign w:val="superscript"/>
              </w:rPr>
              <w:t>2</w:t>
            </w:r>
          </w:p>
        </w:tc>
        <w:tc>
          <w:tcPr>
            <w:tcW w:w="1418" w:type="dxa"/>
          </w:tcPr>
          <w:p w14:paraId="5C761690" w14:textId="77777777" w:rsidR="008143D9" w:rsidRPr="00AC3044" w:rsidRDefault="008143D9" w:rsidP="005A428D">
            <w:pPr>
              <w:rPr>
                <w:rFonts w:eastAsia="SimSun"/>
              </w:rPr>
            </w:pPr>
            <w:r w:rsidRPr="00AC3044">
              <w:rPr>
                <w:rFonts w:eastAsia="SimSun"/>
              </w:rPr>
              <w:t>–</w:t>
            </w:r>
          </w:p>
        </w:tc>
        <w:tc>
          <w:tcPr>
            <w:tcW w:w="1701" w:type="dxa"/>
          </w:tcPr>
          <w:p w14:paraId="394C7AD7" w14:textId="77777777" w:rsidR="008143D9" w:rsidRPr="00AC3044" w:rsidRDefault="008143D9" w:rsidP="005A428D">
            <w:pPr>
              <w:rPr>
                <w:rFonts w:eastAsia="SimSun"/>
              </w:rPr>
            </w:pPr>
            <w:r w:rsidRPr="00AC3044">
              <w:rPr>
                <w:rFonts w:eastAsia="SimSun"/>
              </w:rPr>
              <w:t>+3, +6, +11 дни</w:t>
            </w:r>
          </w:p>
        </w:tc>
        <w:tc>
          <w:tcPr>
            <w:tcW w:w="2268" w:type="dxa"/>
          </w:tcPr>
          <w:p w14:paraId="46114C7E" w14:textId="77777777" w:rsidR="008143D9" w:rsidRPr="00AC3044" w:rsidRDefault="008143D9" w:rsidP="005A428D">
            <w:pPr>
              <w:rPr>
                <w:rFonts w:eastAsia="SimSun"/>
              </w:rPr>
            </w:pPr>
            <w:r w:rsidRPr="00AC3044">
              <w:rPr>
                <w:rFonts w:eastAsia="SimSun"/>
              </w:rPr>
              <w:t xml:space="preserve">В/в, в 20 мл физ. р-ра  </w:t>
            </w:r>
          </w:p>
        </w:tc>
      </w:tr>
      <w:tr w:rsidR="008143D9" w:rsidRPr="00AC3044" w14:paraId="75747960" w14:textId="77777777" w:rsidTr="005A428D">
        <w:trPr>
          <w:cantSplit/>
          <w:trHeight w:val="464"/>
        </w:trPr>
        <w:tc>
          <w:tcPr>
            <w:tcW w:w="1135" w:type="dxa"/>
            <w:vMerge/>
          </w:tcPr>
          <w:p w14:paraId="27BC381B" w14:textId="77777777" w:rsidR="008143D9" w:rsidRPr="00AC3044" w:rsidRDefault="008143D9" w:rsidP="005A428D">
            <w:pPr>
              <w:rPr>
                <w:rFonts w:eastAsia="SimSun"/>
              </w:rPr>
            </w:pPr>
          </w:p>
        </w:tc>
        <w:tc>
          <w:tcPr>
            <w:tcW w:w="1701" w:type="dxa"/>
          </w:tcPr>
          <w:p w14:paraId="7AC12FDC" w14:textId="77777777" w:rsidR="008143D9" w:rsidRPr="00AC3044" w:rsidRDefault="008143D9" w:rsidP="005A428D">
            <w:pPr>
              <w:rPr>
                <w:rFonts w:eastAsia="SimSun"/>
              </w:rPr>
            </w:pPr>
            <w:r w:rsidRPr="00AC3044">
              <w:rPr>
                <w:rFonts w:eastAsia="SimSun"/>
              </w:rPr>
              <w:t>Микофенолата мофетил</w:t>
            </w:r>
          </w:p>
        </w:tc>
        <w:tc>
          <w:tcPr>
            <w:tcW w:w="1417" w:type="dxa"/>
          </w:tcPr>
          <w:p w14:paraId="6055F2C5" w14:textId="77777777" w:rsidR="008143D9" w:rsidRPr="00AC3044" w:rsidRDefault="008143D9" w:rsidP="005A428D">
            <w:pPr>
              <w:rPr>
                <w:rFonts w:eastAsia="SimSun"/>
              </w:rPr>
            </w:pPr>
            <w:r w:rsidRPr="00AC3044">
              <w:rPr>
                <w:rFonts w:eastAsia="SimSun"/>
              </w:rPr>
              <w:t>45 мг/кг</w:t>
            </w:r>
          </w:p>
        </w:tc>
        <w:tc>
          <w:tcPr>
            <w:tcW w:w="1418" w:type="dxa"/>
          </w:tcPr>
          <w:p w14:paraId="5C4F667A" w14:textId="77777777" w:rsidR="008143D9" w:rsidRPr="00AC3044" w:rsidRDefault="008143D9" w:rsidP="005A428D">
            <w:pPr>
              <w:rPr>
                <w:rFonts w:eastAsia="SimSun"/>
              </w:rPr>
            </w:pPr>
            <w:r w:rsidRPr="00AC3044">
              <w:rPr>
                <w:rFonts w:eastAsia="SimSun"/>
              </w:rPr>
              <w:t>–</w:t>
            </w:r>
          </w:p>
        </w:tc>
        <w:tc>
          <w:tcPr>
            <w:tcW w:w="1701" w:type="dxa"/>
          </w:tcPr>
          <w:p w14:paraId="6D1B3A46" w14:textId="77777777" w:rsidR="008143D9" w:rsidRPr="00AC3044" w:rsidRDefault="008143D9" w:rsidP="005A428D">
            <w:pPr>
              <w:rPr>
                <w:rFonts w:eastAsia="SimSun"/>
              </w:rPr>
            </w:pPr>
            <w:r w:rsidRPr="00AC3044">
              <w:rPr>
                <w:rFonts w:eastAsia="SimSun"/>
              </w:rPr>
              <w:t>С +1 по +90 день</w:t>
            </w:r>
          </w:p>
        </w:tc>
        <w:tc>
          <w:tcPr>
            <w:tcW w:w="2268" w:type="dxa"/>
          </w:tcPr>
          <w:p w14:paraId="4897751B" w14:textId="77777777" w:rsidR="008143D9" w:rsidRPr="00AC3044" w:rsidRDefault="008143D9" w:rsidP="005A428D">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10615FA6" w14:textId="77777777" w:rsidR="008143D9" w:rsidRDefault="008143D9" w:rsidP="008143D9">
      <w:pPr>
        <w:rPr>
          <w:rFonts w:eastAsia="SimSun"/>
        </w:rPr>
      </w:pPr>
      <w:bookmarkStart w:id="150" w:name="_Toc44401188"/>
    </w:p>
    <w:p w14:paraId="029F1BE1" w14:textId="77777777" w:rsidR="008143D9" w:rsidRPr="00391D6D" w:rsidRDefault="008143D9" w:rsidP="008143D9">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2.1.2 – Bu12+Cy120 / rATG+CSA+MTX+MMF45</w:t>
      </w:r>
      <w:bookmarkEnd w:id="150"/>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8143D9" w:rsidRPr="00AC3044" w14:paraId="24A3062F" w14:textId="77777777" w:rsidTr="005A428D">
        <w:trPr>
          <w:cantSplit/>
          <w:trHeight w:val="20"/>
          <w:tblHeader/>
        </w:trPr>
        <w:tc>
          <w:tcPr>
            <w:tcW w:w="1135" w:type="dxa"/>
          </w:tcPr>
          <w:p w14:paraId="2CFD3F89" w14:textId="77777777" w:rsidR="008143D9" w:rsidRPr="00470D3D" w:rsidRDefault="008143D9" w:rsidP="005A428D">
            <w:pPr>
              <w:rPr>
                <w:rFonts w:eastAsia="SimSun"/>
              </w:rPr>
            </w:pPr>
          </w:p>
        </w:tc>
        <w:tc>
          <w:tcPr>
            <w:tcW w:w="1701" w:type="dxa"/>
            <w:vAlign w:val="center"/>
          </w:tcPr>
          <w:p w14:paraId="0A7B387A" w14:textId="77777777" w:rsidR="008143D9" w:rsidRPr="00AC3044" w:rsidRDefault="008143D9" w:rsidP="005A428D">
            <w:pPr>
              <w:rPr>
                <w:rFonts w:eastAsia="SimSun"/>
              </w:rPr>
            </w:pPr>
            <w:r w:rsidRPr="00AC3044">
              <w:rPr>
                <w:rFonts w:eastAsia="SimSun"/>
              </w:rPr>
              <w:t>Препарат</w:t>
            </w:r>
          </w:p>
        </w:tc>
        <w:tc>
          <w:tcPr>
            <w:tcW w:w="1417" w:type="dxa"/>
            <w:vAlign w:val="center"/>
          </w:tcPr>
          <w:p w14:paraId="3432524C" w14:textId="77777777" w:rsidR="008143D9" w:rsidRPr="00AC3044" w:rsidRDefault="008143D9" w:rsidP="005A428D">
            <w:pPr>
              <w:rPr>
                <w:rFonts w:eastAsia="SimSun"/>
              </w:rPr>
            </w:pPr>
            <w:r w:rsidRPr="00AC3044">
              <w:rPr>
                <w:rFonts w:eastAsia="SimSun"/>
              </w:rPr>
              <w:t>Суточная доза</w:t>
            </w:r>
          </w:p>
        </w:tc>
        <w:tc>
          <w:tcPr>
            <w:tcW w:w="1418" w:type="dxa"/>
            <w:vAlign w:val="center"/>
          </w:tcPr>
          <w:p w14:paraId="098C0D5F" w14:textId="77777777" w:rsidR="008143D9" w:rsidRPr="00AC3044" w:rsidRDefault="008143D9" w:rsidP="005A428D">
            <w:pPr>
              <w:rPr>
                <w:rFonts w:eastAsia="SimSun"/>
              </w:rPr>
            </w:pPr>
            <w:r w:rsidRPr="00AC3044">
              <w:rPr>
                <w:rFonts w:eastAsia="SimSun"/>
              </w:rPr>
              <w:t>Курсовая доза</w:t>
            </w:r>
          </w:p>
        </w:tc>
        <w:tc>
          <w:tcPr>
            <w:tcW w:w="1701" w:type="dxa"/>
            <w:vAlign w:val="center"/>
          </w:tcPr>
          <w:p w14:paraId="5CE9AE3B" w14:textId="77777777" w:rsidR="008143D9" w:rsidRPr="00AC3044" w:rsidRDefault="008143D9" w:rsidP="005A428D">
            <w:pPr>
              <w:rPr>
                <w:rFonts w:eastAsia="SimSun"/>
              </w:rPr>
            </w:pPr>
            <w:r w:rsidRPr="00AC3044">
              <w:rPr>
                <w:rFonts w:eastAsia="SimSun"/>
              </w:rPr>
              <w:t>Дни введения</w:t>
            </w:r>
          </w:p>
        </w:tc>
        <w:tc>
          <w:tcPr>
            <w:tcW w:w="2268" w:type="dxa"/>
            <w:vAlign w:val="center"/>
          </w:tcPr>
          <w:p w14:paraId="0BCDFA88" w14:textId="77777777" w:rsidR="008143D9" w:rsidRDefault="008143D9" w:rsidP="005A428D">
            <w:pPr>
              <w:rPr>
                <w:rFonts w:eastAsia="SimSun"/>
              </w:rPr>
            </w:pPr>
            <w:r w:rsidRPr="00AC3044">
              <w:rPr>
                <w:rFonts w:eastAsia="SimSun"/>
              </w:rPr>
              <w:t>Порядок введения</w:t>
            </w:r>
          </w:p>
          <w:p w14:paraId="7810F8DD" w14:textId="77777777" w:rsidR="008143D9" w:rsidRPr="001E6DBE" w:rsidRDefault="008143D9" w:rsidP="005A428D">
            <w:pPr>
              <w:rPr>
                <w:rFonts w:eastAsia="SimSun"/>
              </w:rPr>
            </w:pPr>
          </w:p>
          <w:p w14:paraId="3E281EBC" w14:textId="77777777" w:rsidR="008143D9" w:rsidRPr="001E6DBE" w:rsidRDefault="008143D9" w:rsidP="005A428D">
            <w:pPr>
              <w:rPr>
                <w:rFonts w:eastAsia="SimSun"/>
              </w:rPr>
            </w:pPr>
          </w:p>
          <w:p w14:paraId="242FF43B" w14:textId="77777777" w:rsidR="008143D9" w:rsidRPr="001E6DBE" w:rsidRDefault="008143D9" w:rsidP="005A428D">
            <w:pPr>
              <w:rPr>
                <w:rFonts w:eastAsia="SimSun"/>
              </w:rPr>
            </w:pPr>
          </w:p>
          <w:p w14:paraId="5EB93E6B" w14:textId="77777777" w:rsidR="008143D9" w:rsidRDefault="008143D9" w:rsidP="005A428D">
            <w:pPr>
              <w:rPr>
                <w:rFonts w:eastAsia="SimSun"/>
              </w:rPr>
            </w:pPr>
          </w:p>
          <w:p w14:paraId="039C778D" w14:textId="77777777" w:rsidR="008143D9" w:rsidRPr="001E6DBE" w:rsidRDefault="008143D9" w:rsidP="005A428D">
            <w:pPr>
              <w:rPr>
                <w:rFonts w:eastAsia="SimSun"/>
              </w:rPr>
            </w:pPr>
          </w:p>
        </w:tc>
      </w:tr>
      <w:tr w:rsidR="008143D9" w:rsidRPr="00AC3044" w14:paraId="782E3B0E" w14:textId="77777777" w:rsidTr="005A428D">
        <w:trPr>
          <w:cantSplit/>
          <w:trHeight w:val="20"/>
        </w:trPr>
        <w:tc>
          <w:tcPr>
            <w:tcW w:w="1135" w:type="dxa"/>
            <w:vMerge w:val="restart"/>
            <w:textDirection w:val="btLr"/>
            <w:vAlign w:val="center"/>
          </w:tcPr>
          <w:p w14:paraId="1D310820" w14:textId="77777777" w:rsidR="008143D9" w:rsidRPr="00AC3044" w:rsidRDefault="008143D9" w:rsidP="005A428D">
            <w:pPr>
              <w:rPr>
                <w:rFonts w:eastAsia="SimSun"/>
              </w:rPr>
            </w:pPr>
            <w:r w:rsidRPr="00AC3044">
              <w:rPr>
                <w:rFonts w:eastAsia="SimSun"/>
              </w:rPr>
              <w:t>Кондиционирование</w:t>
            </w:r>
          </w:p>
        </w:tc>
        <w:tc>
          <w:tcPr>
            <w:tcW w:w="1701" w:type="dxa"/>
            <w:vAlign w:val="center"/>
          </w:tcPr>
          <w:p w14:paraId="7D117F4D" w14:textId="77777777" w:rsidR="008143D9" w:rsidRPr="00AC3044" w:rsidRDefault="008143D9" w:rsidP="005A428D">
            <w:pPr>
              <w:rPr>
                <w:rFonts w:eastAsia="SimSun"/>
              </w:rPr>
            </w:pPr>
            <w:r w:rsidRPr="00AC3044">
              <w:rPr>
                <w:rFonts w:eastAsia="SimSun"/>
              </w:rPr>
              <w:t>Бусульфан</w:t>
            </w:r>
          </w:p>
        </w:tc>
        <w:tc>
          <w:tcPr>
            <w:tcW w:w="1417" w:type="dxa"/>
            <w:vAlign w:val="center"/>
          </w:tcPr>
          <w:p w14:paraId="234D9859" w14:textId="77777777" w:rsidR="008143D9" w:rsidRPr="00AC3044" w:rsidRDefault="008143D9" w:rsidP="005A428D">
            <w:pPr>
              <w:rPr>
                <w:rFonts w:eastAsia="SimSun"/>
              </w:rPr>
            </w:pPr>
            <w:r w:rsidRPr="00AC3044">
              <w:rPr>
                <w:rFonts w:eastAsia="SimSun"/>
              </w:rPr>
              <w:t>4 мг/кг</w:t>
            </w:r>
          </w:p>
        </w:tc>
        <w:tc>
          <w:tcPr>
            <w:tcW w:w="1418" w:type="dxa"/>
            <w:vAlign w:val="center"/>
          </w:tcPr>
          <w:p w14:paraId="72DA4D0B" w14:textId="77777777" w:rsidR="008143D9" w:rsidRPr="00AC3044" w:rsidRDefault="008143D9" w:rsidP="005A428D">
            <w:pPr>
              <w:rPr>
                <w:rFonts w:eastAsia="SimSun"/>
              </w:rPr>
            </w:pPr>
            <w:r w:rsidRPr="00AC3044">
              <w:rPr>
                <w:rFonts w:eastAsia="SimSun"/>
              </w:rPr>
              <w:t>12 мг/кг</w:t>
            </w:r>
          </w:p>
        </w:tc>
        <w:tc>
          <w:tcPr>
            <w:tcW w:w="1701" w:type="dxa"/>
            <w:vAlign w:val="center"/>
          </w:tcPr>
          <w:p w14:paraId="3BCAA079" w14:textId="77777777" w:rsidR="008143D9" w:rsidRPr="00AC3044" w:rsidRDefault="008143D9" w:rsidP="005A428D">
            <w:pPr>
              <w:rPr>
                <w:rFonts w:eastAsia="SimSun"/>
              </w:rPr>
            </w:pPr>
            <w:r w:rsidRPr="00AC3044">
              <w:rPr>
                <w:rFonts w:eastAsia="SimSun"/>
              </w:rPr>
              <w:t>С –6 по –4 день</w:t>
            </w:r>
          </w:p>
        </w:tc>
        <w:tc>
          <w:tcPr>
            <w:tcW w:w="2268" w:type="dxa"/>
            <w:vAlign w:val="center"/>
          </w:tcPr>
          <w:p w14:paraId="677B1700" w14:textId="77777777" w:rsidR="008143D9" w:rsidRPr="00AC3044" w:rsidRDefault="008143D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8143D9" w:rsidRPr="00AC3044" w14:paraId="5F4A9975" w14:textId="77777777" w:rsidTr="005A428D">
        <w:trPr>
          <w:cantSplit/>
          <w:trHeight w:val="1038"/>
        </w:trPr>
        <w:tc>
          <w:tcPr>
            <w:tcW w:w="1135" w:type="dxa"/>
            <w:vMerge/>
            <w:vAlign w:val="center"/>
          </w:tcPr>
          <w:p w14:paraId="209C830C" w14:textId="77777777" w:rsidR="008143D9" w:rsidRPr="00AC3044" w:rsidRDefault="008143D9" w:rsidP="005A428D">
            <w:pPr>
              <w:rPr>
                <w:rFonts w:eastAsia="SimSun"/>
              </w:rPr>
            </w:pPr>
          </w:p>
        </w:tc>
        <w:tc>
          <w:tcPr>
            <w:tcW w:w="1701" w:type="dxa"/>
            <w:vAlign w:val="center"/>
          </w:tcPr>
          <w:p w14:paraId="2F5C19AF" w14:textId="77777777" w:rsidR="008143D9" w:rsidRPr="00AC3044" w:rsidRDefault="008143D9" w:rsidP="005A428D">
            <w:pPr>
              <w:rPr>
                <w:rFonts w:eastAsia="SimSun"/>
              </w:rPr>
            </w:pPr>
            <w:r w:rsidRPr="00AC3044">
              <w:rPr>
                <w:rFonts w:eastAsia="SimSun"/>
              </w:rPr>
              <w:t>Циклофосфамид</w:t>
            </w:r>
          </w:p>
        </w:tc>
        <w:tc>
          <w:tcPr>
            <w:tcW w:w="1417" w:type="dxa"/>
            <w:vAlign w:val="center"/>
          </w:tcPr>
          <w:p w14:paraId="7B521C7F" w14:textId="77777777" w:rsidR="008143D9" w:rsidRPr="00AC3044" w:rsidRDefault="008143D9" w:rsidP="005A428D">
            <w:pPr>
              <w:rPr>
                <w:rFonts w:eastAsia="SimSun"/>
              </w:rPr>
            </w:pPr>
            <w:r w:rsidRPr="00AC3044">
              <w:rPr>
                <w:rFonts w:eastAsia="SimSun"/>
              </w:rPr>
              <w:t>60 мг/кг</w:t>
            </w:r>
          </w:p>
        </w:tc>
        <w:tc>
          <w:tcPr>
            <w:tcW w:w="1418" w:type="dxa"/>
            <w:vAlign w:val="center"/>
          </w:tcPr>
          <w:p w14:paraId="181C30BF" w14:textId="77777777" w:rsidR="008143D9" w:rsidRPr="00AC3044" w:rsidRDefault="008143D9" w:rsidP="005A428D">
            <w:pPr>
              <w:rPr>
                <w:rFonts w:eastAsia="SimSun"/>
              </w:rPr>
            </w:pPr>
            <w:r w:rsidRPr="00AC3044">
              <w:rPr>
                <w:rFonts w:eastAsia="SimSun"/>
              </w:rPr>
              <w:t>120 мг/кг</w:t>
            </w:r>
          </w:p>
        </w:tc>
        <w:tc>
          <w:tcPr>
            <w:tcW w:w="1701" w:type="dxa"/>
            <w:vAlign w:val="center"/>
          </w:tcPr>
          <w:p w14:paraId="0C86C590" w14:textId="77777777" w:rsidR="008143D9" w:rsidRPr="00AC3044" w:rsidRDefault="008143D9" w:rsidP="005A428D">
            <w:pPr>
              <w:rPr>
                <w:rFonts w:eastAsia="SimSun"/>
              </w:rPr>
            </w:pPr>
            <w:r w:rsidRPr="00AC3044">
              <w:rPr>
                <w:rFonts w:eastAsia="SimSun"/>
              </w:rPr>
              <w:t xml:space="preserve">–3, –2 дни </w:t>
            </w:r>
          </w:p>
        </w:tc>
        <w:tc>
          <w:tcPr>
            <w:tcW w:w="2268" w:type="dxa"/>
            <w:vAlign w:val="center"/>
          </w:tcPr>
          <w:p w14:paraId="2955E54E" w14:textId="77777777" w:rsidR="008143D9" w:rsidRPr="00AC3044" w:rsidRDefault="008143D9" w:rsidP="005A428D">
            <w:pPr>
              <w:rPr>
                <w:rFonts w:eastAsia="SimSun"/>
              </w:rPr>
            </w:pPr>
            <w:r w:rsidRPr="00AC3044">
              <w:rPr>
                <w:rFonts w:eastAsia="SimSun"/>
              </w:rPr>
              <w:t xml:space="preserve">В/в, в течение 2 ч </w:t>
            </w:r>
          </w:p>
        </w:tc>
      </w:tr>
      <w:tr w:rsidR="008143D9" w:rsidRPr="00AC3044" w14:paraId="14C673B4" w14:textId="77777777" w:rsidTr="005A428D">
        <w:trPr>
          <w:cantSplit/>
          <w:trHeight w:val="20"/>
        </w:trPr>
        <w:tc>
          <w:tcPr>
            <w:tcW w:w="1135" w:type="dxa"/>
            <w:vMerge w:val="restart"/>
            <w:textDirection w:val="btLr"/>
            <w:vAlign w:val="center"/>
          </w:tcPr>
          <w:p w14:paraId="4BEDF937" w14:textId="77777777" w:rsidR="008143D9" w:rsidRPr="00AC3044" w:rsidRDefault="008143D9" w:rsidP="005A428D">
            <w:pPr>
              <w:rPr>
                <w:rFonts w:eastAsia="SimSun"/>
              </w:rPr>
            </w:pPr>
            <w:r w:rsidRPr="00AC3044">
              <w:rPr>
                <w:rFonts w:eastAsia="SimSun"/>
              </w:rPr>
              <w:t>Профилактика РТПХ</w:t>
            </w:r>
          </w:p>
        </w:tc>
        <w:tc>
          <w:tcPr>
            <w:tcW w:w="1701" w:type="dxa"/>
            <w:vAlign w:val="center"/>
          </w:tcPr>
          <w:p w14:paraId="037E9969" w14:textId="77777777" w:rsidR="008143D9" w:rsidRPr="00AC3044" w:rsidRDefault="008143D9" w:rsidP="005A428D">
            <w:pPr>
              <w:rPr>
                <w:rFonts w:eastAsia="SimSun"/>
              </w:rPr>
            </w:pPr>
            <w:r w:rsidRPr="00AC3044">
              <w:rPr>
                <w:rFonts w:eastAsia="SimSun"/>
              </w:rPr>
              <w:t>АТГ (кроличий)</w:t>
            </w:r>
          </w:p>
        </w:tc>
        <w:tc>
          <w:tcPr>
            <w:tcW w:w="1417" w:type="dxa"/>
            <w:vAlign w:val="center"/>
          </w:tcPr>
          <w:p w14:paraId="2AD0103C" w14:textId="77777777" w:rsidR="008143D9" w:rsidRPr="00AC3044" w:rsidRDefault="008143D9" w:rsidP="005A428D">
            <w:pPr>
              <w:rPr>
                <w:rFonts w:eastAsia="SimSun"/>
              </w:rPr>
            </w:pPr>
            <w:r w:rsidRPr="00AC3044">
              <w:rPr>
                <w:rFonts w:eastAsia="SimSun"/>
              </w:rPr>
              <w:t>2,5 мг/кг</w:t>
            </w:r>
          </w:p>
        </w:tc>
        <w:tc>
          <w:tcPr>
            <w:tcW w:w="1418" w:type="dxa"/>
            <w:vAlign w:val="center"/>
          </w:tcPr>
          <w:p w14:paraId="0B0BA564" w14:textId="77777777" w:rsidR="008143D9" w:rsidRPr="00AC3044" w:rsidRDefault="008143D9" w:rsidP="005A428D">
            <w:pPr>
              <w:rPr>
                <w:rFonts w:eastAsia="SimSun"/>
              </w:rPr>
            </w:pPr>
            <w:r w:rsidRPr="00AC3044">
              <w:rPr>
                <w:rFonts w:eastAsia="SimSun"/>
              </w:rPr>
              <w:t>5-7,5 мг/кг</w:t>
            </w:r>
          </w:p>
        </w:tc>
        <w:tc>
          <w:tcPr>
            <w:tcW w:w="1701" w:type="dxa"/>
            <w:vAlign w:val="center"/>
          </w:tcPr>
          <w:p w14:paraId="58D4ADC4" w14:textId="77777777" w:rsidR="008143D9" w:rsidRPr="00AC3044" w:rsidRDefault="008143D9" w:rsidP="005A428D">
            <w:pPr>
              <w:rPr>
                <w:rFonts w:eastAsia="SimSun"/>
              </w:rPr>
            </w:pPr>
            <w:r w:rsidRPr="00AC3044">
              <w:rPr>
                <w:rFonts w:eastAsia="SimSun"/>
              </w:rPr>
              <w:t>С –3 по –2 (-1) день</w:t>
            </w:r>
          </w:p>
        </w:tc>
        <w:tc>
          <w:tcPr>
            <w:tcW w:w="2268" w:type="dxa"/>
            <w:vAlign w:val="center"/>
          </w:tcPr>
          <w:p w14:paraId="721B1A22" w14:textId="77777777" w:rsidR="008143D9" w:rsidRPr="00AC3044" w:rsidRDefault="008143D9" w:rsidP="005A428D">
            <w:pPr>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 xml:space="preserve">«Инфузия АТГ») </w:t>
            </w:r>
          </w:p>
        </w:tc>
      </w:tr>
      <w:tr w:rsidR="008143D9" w:rsidRPr="00AC3044" w14:paraId="63C43F05" w14:textId="77777777" w:rsidTr="005A428D">
        <w:trPr>
          <w:cantSplit/>
          <w:trHeight w:val="20"/>
        </w:trPr>
        <w:tc>
          <w:tcPr>
            <w:tcW w:w="1135" w:type="dxa"/>
            <w:vMerge/>
            <w:textDirection w:val="btLr"/>
          </w:tcPr>
          <w:p w14:paraId="1C5182DB" w14:textId="77777777" w:rsidR="008143D9" w:rsidRPr="00AC3044" w:rsidRDefault="008143D9" w:rsidP="005A428D">
            <w:pPr>
              <w:rPr>
                <w:rFonts w:eastAsia="SimSun"/>
              </w:rPr>
            </w:pPr>
          </w:p>
        </w:tc>
        <w:tc>
          <w:tcPr>
            <w:tcW w:w="1701" w:type="dxa"/>
            <w:vAlign w:val="center"/>
          </w:tcPr>
          <w:p w14:paraId="7E15C374" w14:textId="77777777" w:rsidR="008143D9" w:rsidRPr="00AC3044" w:rsidRDefault="008143D9" w:rsidP="005A428D">
            <w:pPr>
              <w:rPr>
                <w:rFonts w:eastAsia="SimSun"/>
              </w:rPr>
            </w:pPr>
            <w:r w:rsidRPr="00AC3044">
              <w:rPr>
                <w:rFonts w:eastAsia="SimSun"/>
              </w:rPr>
              <w:t>Циклоспорин</w:t>
            </w:r>
          </w:p>
        </w:tc>
        <w:tc>
          <w:tcPr>
            <w:tcW w:w="1417" w:type="dxa"/>
            <w:vAlign w:val="center"/>
          </w:tcPr>
          <w:p w14:paraId="23F82650" w14:textId="77777777" w:rsidR="008143D9" w:rsidRPr="00AC3044" w:rsidRDefault="008143D9" w:rsidP="005A428D">
            <w:pPr>
              <w:rPr>
                <w:rFonts w:eastAsia="SimSun"/>
              </w:rPr>
            </w:pPr>
            <w:r w:rsidRPr="00AC3044">
              <w:rPr>
                <w:rFonts w:eastAsia="SimSun"/>
              </w:rPr>
              <w:t>3 мг/кг</w:t>
            </w:r>
          </w:p>
        </w:tc>
        <w:tc>
          <w:tcPr>
            <w:tcW w:w="1418" w:type="dxa"/>
            <w:vAlign w:val="center"/>
          </w:tcPr>
          <w:p w14:paraId="01E29792" w14:textId="77777777" w:rsidR="008143D9" w:rsidRPr="00AC3044" w:rsidRDefault="008143D9" w:rsidP="005A428D">
            <w:pPr>
              <w:rPr>
                <w:rFonts w:eastAsia="SimSun"/>
              </w:rPr>
            </w:pPr>
            <w:r w:rsidRPr="00AC3044">
              <w:rPr>
                <w:rFonts w:eastAsia="SimSun"/>
              </w:rPr>
              <w:t>–</w:t>
            </w:r>
          </w:p>
        </w:tc>
        <w:tc>
          <w:tcPr>
            <w:tcW w:w="1701" w:type="dxa"/>
            <w:vAlign w:val="center"/>
          </w:tcPr>
          <w:p w14:paraId="6CDD5A9B" w14:textId="77777777" w:rsidR="008143D9" w:rsidRPr="00AC3044" w:rsidRDefault="008143D9" w:rsidP="005A428D">
            <w:pPr>
              <w:rPr>
                <w:rFonts w:eastAsia="SimSun"/>
              </w:rPr>
            </w:pPr>
            <w:r w:rsidRPr="00AC3044">
              <w:rPr>
                <w:rFonts w:eastAsia="SimSun"/>
              </w:rPr>
              <w:t>С –1 по +90 день, затем постепенное снижение к +180 дню</w:t>
            </w:r>
          </w:p>
        </w:tc>
        <w:tc>
          <w:tcPr>
            <w:tcW w:w="2268" w:type="dxa"/>
            <w:vAlign w:val="center"/>
          </w:tcPr>
          <w:p w14:paraId="02E9F0B7" w14:textId="77777777" w:rsidR="008143D9" w:rsidRPr="00AC3044" w:rsidRDefault="008143D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8143D9" w:rsidRPr="00AC3044" w14:paraId="714499E5" w14:textId="77777777" w:rsidTr="005A428D">
        <w:trPr>
          <w:cantSplit/>
          <w:trHeight w:val="20"/>
        </w:trPr>
        <w:tc>
          <w:tcPr>
            <w:tcW w:w="1135" w:type="dxa"/>
            <w:vMerge/>
          </w:tcPr>
          <w:p w14:paraId="7AB298E7" w14:textId="77777777" w:rsidR="008143D9" w:rsidRPr="00AC3044" w:rsidRDefault="008143D9" w:rsidP="005A428D">
            <w:pPr>
              <w:rPr>
                <w:rFonts w:eastAsia="SimSun"/>
              </w:rPr>
            </w:pPr>
          </w:p>
        </w:tc>
        <w:tc>
          <w:tcPr>
            <w:tcW w:w="1701" w:type="dxa"/>
            <w:vMerge w:val="restart"/>
            <w:vAlign w:val="center"/>
          </w:tcPr>
          <w:p w14:paraId="30A0D0F4" w14:textId="77777777" w:rsidR="008143D9" w:rsidRPr="00AC3044" w:rsidRDefault="008143D9" w:rsidP="005A428D">
            <w:pPr>
              <w:rPr>
                <w:rFonts w:eastAsia="SimSun"/>
              </w:rPr>
            </w:pPr>
            <w:r w:rsidRPr="00AC3044">
              <w:rPr>
                <w:rFonts w:eastAsia="SimSun"/>
              </w:rPr>
              <w:t>Метотрексат</w:t>
            </w:r>
          </w:p>
        </w:tc>
        <w:tc>
          <w:tcPr>
            <w:tcW w:w="1417" w:type="dxa"/>
            <w:vAlign w:val="center"/>
          </w:tcPr>
          <w:p w14:paraId="247CDE02" w14:textId="77777777" w:rsidR="008143D9" w:rsidRPr="00AC3044" w:rsidRDefault="008143D9" w:rsidP="005A428D">
            <w:pPr>
              <w:rPr>
                <w:rFonts w:eastAsia="SimSun"/>
              </w:rPr>
            </w:pPr>
            <w:r w:rsidRPr="00AC3044">
              <w:rPr>
                <w:rFonts w:eastAsia="SimSun"/>
              </w:rPr>
              <w:t>15 мг/м</w:t>
            </w:r>
            <w:r w:rsidRPr="001E6DBE">
              <w:rPr>
                <w:rFonts w:eastAsia="SimSun"/>
                <w:vertAlign w:val="superscript"/>
              </w:rPr>
              <w:t>2</w:t>
            </w:r>
          </w:p>
        </w:tc>
        <w:tc>
          <w:tcPr>
            <w:tcW w:w="1418" w:type="dxa"/>
            <w:vAlign w:val="center"/>
          </w:tcPr>
          <w:p w14:paraId="655DC37F" w14:textId="77777777" w:rsidR="008143D9" w:rsidRPr="00AC3044" w:rsidRDefault="008143D9" w:rsidP="005A428D">
            <w:pPr>
              <w:rPr>
                <w:rFonts w:eastAsia="SimSun"/>
              </w:rPr>
            </w:pPr>
            <w:r w:rsidRPr="00AC3044">
              <w:rPr>
                <w:rFonts w:eastAsia="SimSun"/>
              </w:rPr>
              <w:t>–</w:t>
            </w:r>
          </w:p>
        </w:tc>
        <w:tc>
          <w:tcPr>
            <w:tcW w:w="1701" w:type="dxa"/>
            <w:vAlign w:val="center"/>
          </w:tcPr>
          <w:p w14:paraId="5921D7FF" w14:textId="77777777" w:rsidR="008143D9" w:rsidRPr="00AC3044" w:rsidRDefault="008143D9" w:rsidP="005A428D">
            <w:pPr>
              <w:rPr>
                <w:rFonts w:eastAsia="SimSun"/>
              </w:rPr>
            </w:pPr>
            <w:r w:rsidRPr="00AC3044">
              <w:rPr>
                <w:rFonts w:eastAsia="SimSun"/>
              </w:rPr>
              <w:t>+1 день</w:t>
            </w:r>
          </w:p>
        </w:tc>
        <w:tc>
          <w:tcPr>
            <w:tcW w:w="2268" w:type="dxa"/>
            <w:vAlign w:val="center"/>
          </w:tcPr>
          <w:p w14:paraId="02682AF5" w14:textId="77777777" w:rsidR="008143D9" w:rsidRPr="00AC3044" w:rsidRDefault="008143D9" w:rsidP="005A428D">
            <w:pPr>
              <w:rPr>
                <w:rFonts w:eastAsia="SimSun"/>
              </w:rPr>
            </w:pPr>
            <w:r w:rsidRPr="00AC3044">
              <w:rPr>
                <w:rFonts w:eastAsia="SimSun"/>
              </w:rPr>
              <w:t xml:space="preserve">В/в, в 20 мл физ. р-ра </w:t>
            </w:r>
          </w:p>
        </w:tc>
      </w:tr>
      <w:tr w:rsidR="008143D9" w:rsidRPr="00AC3044" w14:paraId="30C61A1F" w14:textId="77777777" w:rsidTr="005A428D">
        <w:trPr>
          <w:cantSplit/>
          <w:trHeight w:val="464"/>
        </w:trPr>
        <w:tc>
          <w:tcPr>
            <w:tcW w:w="1135" w:type="dxa"/>
            <w:vMerge/>
          </w:tcPr>
          <w:p w14:paraId="6FD0DC6E" w14:textId="77777777" w:rsidR="008143D9" w:rsidRPr="00AC3044" w:rsidRDefault="008143D9" w:rsidP="005A428D">
            <w:pPr>
              <w:rPr>
                <w:rFonts w:eastAsia="SimSun"/>
              </w:rPr>
            </w:pPr>
          </w:p>
        </w:tc>
        <w:tc>
          <w:tcPr>
            <w:tcW w:w="1701" w:type="dxa"/>
            <w:vMerge/>
            <w:vAlign w:val="center"/>
          </w:tcPr>
          <w:p w14:paraId="3AA54AA4" w14:textId="77777777" w:rsidR="008143D9" w:rsidRPr="00AC3044" w:rsidRDefault="008143D9" w:rsidP="005A428D">
            <w:pPr>
              <w:rPr>
                <w:rFonts w:eastAsia="SimSun"/>
              </w:rPr>
            </w:pPr>
          </w:p>
        </w:tc>
        <w:tc>
          <w:tcPr>
            <w:tcW w:w="1417" w:type="dxa"/>
            <w:vAlign w:val="center"/>
          </w:tcPr>
          <w:p w14:paraId="722D57F5" w14:textId="77777777" w:rsidR="008143D9" w:rsidRPr="00AC3044" w:rsidRDefault="008143D9" w:rsidP="005A428D">
            <w:pPr>
              <w:rPr>
                <w:rFonts w:eastAsia="SimSun"/>
              </w:rPr>
            </w:pPr>
            <w:r w:rsidRPr="00AC3044">
              <w:rPr>
                <w:rFonts w:eastAsia="SimSun"/>
              </w:rPr>
              <w:t>10 мг/м</w:t>
            </w:r>
            <w:r w:rsidRPr="001E6DBE">
              <w:rPr>
                <w:rFonts w:eastAsia="SimSun"/>
                <w:vertAlign w:val="superscript"/>
              </w:rPr>
              <w:t>2</w:t>
            </w:r>
          </w:p>
        </w:tc>
        <w:tc>
          <w:tcPr>
            <w:tcW w:w="1418" w:type="dxa"/>
            <w:vAlign w:val="center"/>
          </w:tcPr>
          <w:p w14:paraId="50943ECD" w14:textId="77777777" w:rsidR="008143D9" w:rsidRPr="00AC3044" w:rsidRDefault="008143D9" w:rsidP="005A428D">
            <w:pPr>
              <w:rPr>
                <w:rFonts w:eastAsia="SimSun"/>
              </w:rPr>
            </w:pPr>
            <w:r w:rsidRPr="00AC3044">
              <w:rPr>
                <w:rFonts w:eastAsia="SimSun"/>
              </w:rPr>
              <w:t>–</w:t>
            </w:r>
          </w:p>
        </w:tc>
        <w:tc>
          <w:tcPr>
            <w:tcW w:w="1701" w:type="dxa"/>
            <w:vAlign w:val="center"/>
          </w:tcPr>
          <w:p w14:paraId="623A0E6B" w14:textId="77777777" w:rsidR="008143D9" w:rsidRPr="00AC3044" w:rsidRDefault="008143D9" w:rsidP="005A428D">
            <w:pPr>
              <w:rPr>
                <w:rFonts w:eastAsia="SimSun"/>
              </w:rPr>
            </w:pPr>
            <w:r w:rsidRPr="00AC3044">
              <w:rPr>
                <w:rFonts w:eastAsia="SimSun"/>
              </w:rPr>
              <w:t>+3, +6, +11 дни</w:t>
            </w:r>
          </w:p>
        </w:tc>
        <w:tc>
          <w:tcPr>
            <w:tcW w:w="2268" w:type="dxa"/>
            <w:vAlign w:val="center"/>
          </w:tcPr>
          <w:p w14:paraId="684817CE" w14:textId="77777777" w:rsidR="008143D9" w:rsidRPr="00AC3044" w:rsidRDefault="008143D9" w:rsidP="005A428D">
            <w:pPr>
              <w:rPr>
                <w:rFonts w:eastAsia="SimSun"/>
              </w:rPr>
            </w:pPr>
            <w:r w:rsidRPr="00AC3044">
              <w:rPr>
                <w:rFonts w:eastAsia="SimSun"/>
              </w:rPr>
              <w:t xml:space="preserve">В/в, в 20 мл физ. р-ра </w:t>
            </w:r>
          </w:p>
        </w:tc>
      </w:tr>
      <w:tr w:rsidR="008143D9" w:rsidRPr="00AC3044" w14:paraId="31E54F48" w14:textId="77777777" w:rsidTr="005A428D">
        <w:trPr>
          <w:cantSplit/>
          <w:trHeight w:val="464"/>
        </w:trPr>
        <w:tc>
          <w:tcPr>
            <w:tcW w:w="1135" w:type="dxa"/>
            <w:vMerge/>
          </w:tcPr>
          <w:p w14:paraId="3AE4DA66" w14:textId="77777777" w:rsidR="008143D9" w:rsidRPr="00AC3044" w:rsidRDefault="008143D9" w:rsidP="005A428D">
            <w:pPr>
              <w:rPr>
                <w:rFonts w:eastAsia="SimSun"/>
              </w:rPr>
            </w:pPr>
          </w:p>
        </w:tc>
        <w:tc>
          <w:tcPr>
            <w:tcW w:w="1701" w:type="dxa"/>
            <w:vAlign w:val="center"/>
          </w:tcPr>
          <w:p w14:paraId="789B4B4D" w14:textId="77777777" w:rsidR="008143D9" w:rsidRPr="00AC3044" w:rsidRDefault="008143D9" w:rsidP="005A428D">
            <w:pPr>
              <w:rPr>
                <w:rFonts w:eastAsia="SimSun"/>
              </w:rPr>
            </w:pPr>
            <w:r w:rsidRPr="00AC3044">
              <w:rPr>
                <w:rFonts w:eastAsia="SimSun"/>
              </w:rPr>
              <w:t>Микофенолата мофетил</w:t>
            </w:r>
          </w:p>
        </w:tc>
        <w:tc>
          <w:tcPr>
            <w:tcW w:w="1417" w:type="dxa"/>
            <w:vAlign w:val="center"/>
          </w:tcPr>
          <w:p w14:paraId="78A4B76A" w14:textId="77777777" w:rsidR="008143D9" w:rsidRPr="00AC3044" w:rsidRDefault="008143D9" w:rsidP="005A428D">
            <w:pPr>
              <w:rPr>
                <w:rFonts w:eastAsia="SimSun"/>
              </w:rPr>
            </w:pPr>
            <w:r w:rsidRPr="00AC3044">
              <w:rPr>
                <w:rFonts w:eastAsia="SimSun"/>
              </w:rPr>
              <w:t>45 мг/кг</w:t>
            </w:r>
          </w:p>
        </w:tc>
        <w:tc>
          <w:tcPr>
            <w:tcW w:w="1418" w:type="dxa"/>
            <w:vAlign w:val="center"/>
          </w:tcPr>
          <w:p w14:paraId="621D53D1" w14:textId="77777777" w:rsidR="008143D9" w:rsidRPr="00AC3044" w:rsidRDefault="008143D9" w:rsidP="005A428D">
            <w:pPr>
              <w:rPr>
                <w:rFonts w:eastAsia="SimSun"/>
              </w:rPr>
            </w:pPr>
            <w:r w:rsidRPr="00AC3044">
              <w:rPr>
                <w:rFonts w:eastAsia="SimSun"/>
              </w:rPr>
              <w:t>–</w:t>
            </w:r>
          </w:p>
        </w:tc>
        <w:tc>
          <w:tcPr>
            <w:tcW w:w="1701" w:type="dxa"/>
            <w:vAlign w:val="center"/>
          </w:tcPr>
          <w:p w14:paraId="1A2571F0" w14:textId="77777777" w:rsidR="008143D9" w:rsidRPr="00AC3044" w:rsidRDefault="008143D9" w:rsidP="005A428D">
            <w:pPr>
              <w:rPr>
                <w:rFonts w:eastAsia="SimSun"/>
              </w:rPr>
            </w:pPr>
            <w:r w:rsidRPr="00AC3044">
              <w:rPr>
                <w:rFonts w:eastAsia="SimSun"/>
              </w:rPr>
              <w:t>С +1 по +90 день</w:t>
            </w:r>
          </w:p>
        </w:tc>
        <w:tc>
          <w:tcPr>
            <w:tcW w:w="2268" w:type="dxa"/>
            <w:vAlign w:val="center"/>
          </w:tcPr>
          <w:p w14:paraId="2990C514" w14:textId="77777777" w:rsidR="008143D9" w:rsidRPr="00AC3044" w:rsidRDefault="008143D9" w:rsidP="005A428D">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451F4DC7" w14:textId="77777777" w:rsidR="008143D9" w:rsidRDefault="008143D9" w:rsidP="008143D9">
      <w:pPr>
        <w:rPr>
          <w:rFonts w:eastAsia="SimSun"/>
        </w:rPr>
      </w:pPr>
      <w:bookmarkStart w:id="151" w:name="_Toc44401189"/>
    </w:p>
    <w:p w14:paraId="5CF7B637" w14:textId="77777777" w:rsidR="008143D9" w:rsidRPr="00C07B2E" w:rsidRDefault="008143D9" w:rsidP="008143D9">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2.1.3  – Flu180+Bu12 / PT-Cy</w:t>
      </w:r>
      <w:bookmarkEnd w:id="151"/>
    </w:p>
    <w:tbl>
      <w:tblPr>
        <w:tblW w:w="9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2"/>
        <w:gridCol w:w="1710"/>
        <w:gridCol w:w="1424"/>
        <w:gridCol w:w="1427"/>
        <w:gridCol w:w="1694"/>
        <w:gridCol w:w="2274"/>
      </w:tblGrid>
      <w:tr w:rsidR="008143D9" w:rsidRPr="00AC3044" w14:paraId="4331F967" w14:textId="77777777" w:rsidTr="005A428D">
        <w:trPr>
          <w:cantSplit/>
          <w:trHeight w:val="20"/>
          <w:tblHeader/>
        </w:trPr>
        <w:tc>
          <w:tcPr>
            <w:tcW w:w="1122" w:type="dxa"/>
            <w:vAlign w:val="center"/>
          </w:tcPr>
          <w:p w14:paraId="26163D8A" w14:textId="77777777" w:rsidR="008143D9" w:rsidRPr="00AC3044" w:rsidRDefault="008143D9" w:rsidP="005A428D">
            <w:pPr>
              <w:rPr>
                <w:rFonts w:eastAsia="SimSun"/>
              </w:rPr>
            </w:pPr>
          </w:p>
        </w:tc>
        <w:tc>
          <w:tcPr>
            <w:tcW w:w="1710" w:type="dxa"/>
            <w:vAlign w:val="center"/>
          </w:tcPr>
          <w:p w14:paraId="3E439DA4" w14:textId="77777777" w:rsidR="008143D9" w:rsidRPr="00AC3044" w:rsidRDefault="008143D9" w:rsidP="005A428D">
            <w:pPr>
              <w:rPr>
                <w:rFonts w:eastAsia="SimSun"/>
              </w:rPr>
            </w:pPr>
            <w:r w:rsidRPr="00AC3044">
              <w:rPr>
                <w:rFonts w:eastAsia="SimSun"/>
              </w:rPr>
              <w:t>Препарат</w:t>
            </w:r>
          </w:p>
        </w:tc>
        <w:tc>
          <w:tcPr>
            <w:tcW w:w="1424" w:type="dxa"/>
            <w:vAlign w:val="center"/>
          </w:tcPr>
          <w:p w14:paraId="4303737F" w14:textId="77777777" w:rsidR="008143D9" w:rsidRPr="00AC3044" w:rsidRDefault="008143D9" w:rsidP="005A428D">
            <w:pPr>
              <w:rPr>
                <w:rFonts w:eastAsia="SimSun"/>
              </w:rPr>
            </w:pPr>
            <w:r w:rsidRPr="00AC3044">
              <w:rPr>
                <w:rFonts w:eastAsia="SimSun"/>
              </w:rPr>
              <w:t>Суточная доза</w:t>
            </w:r>
          </w:p>
        </w:tc>
        <w:tc>
          <w:tcPr>
            <w:tcW w:w="1427" w:type="dxa"/>
            <w:vAlign w:val="center"/>
          </w:tcPr>
          <w:p w14:paraId="76729D95" w14:textId="77777777" w:rsidR="008143D9" w:rsidRPr="00AC3044" w:rsidRDefault="008143D9" w:rsidP="005A428D">
            <w:pPr>
              <w:rPr>
                <w:rFonts w:eastAsia="SimSun"/>
              </w:rPr>
            </w:pPr>
            <w:r w:rsidRPr="00AC3044">
              <w:rPr>
                <w:rFonts w:eastAsia="SimSun"/>
              </w:rPr>
              <w:t>Курсовая доза</w:t>
            </w:r>
          </w:p>
        </w:tc>
        <w:tc>
          <w:tcPr>
            <w:tcW w:w="1694" w:type="dxa"/>
            <w:vAlign w:val="center"/>
          </w:tcPr>
          <w:p w14:paraId="26146427" w14:textId="77777777" w:rsidR="008143D9" w:rsidRPr="00AC3044" w:rsidRDefault="008143D9" w:rsidP="005A428D">
            <w:pPr>
              <w:rPr>
                <w:rFonts w:eastAsia="SimSun"/>
              </w:rPr>
            </w:pPr>
            <w:r w:rsidRPr="00AC3044">
              <w:rPr>
                <w:rFonts w:eastAsia="SimSun"/>
              </w:rPr>
              <w:t>Дни введения</w:t>
            </w:r>
          </w:p>
        </w:tc>
        <w:tc>
          <w:tcPr>
            <w:tcW w:w="2274" w:type="dxa"/>
            <w:vAlign w:val="center"/>
          </w:tcPr>
          <w:p w14:paraId="7752EBEE"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40281496" w14:textId="77777777" w:rsidTr="005A428D">
        <w:trPr>
          <w:cantSplit/>
          <w:trHeight w:val="20"/>
        </w:trPr>
        <w:tc>
          <w:tcPr>
            <w:tcW w:w="1122" w:type="dxa"/>
            <w:vMerge w:val="restart"/>
            <w:textDirection w:val="btLr"/>
            <w:vAlign w:val="center"/>
          </w:tcPr>
          <w:p w14:paraId="6F39CCA4" w14:textId="77777777" w:rsidR="008143D9" w:rsidRPr="00AC3044" w:rsidRDefault="008143D9" w:rsidP="005A428D">
            <w:pPr>
              <w:rPr>
                <w:rFonts w:eastAsia="SimSun"/>
              </w:rPr>
            </w:pPr>
            <w:r w:rsidRPr="00AC3044">
              <w:rPr>
                <w:rFonts w:eastAsia="SimSun"/>
              </w:rPr>
              <w:t>Кондиционирование</w:t>
            </w:r>
          </w:p>
        </w:tc>
        <w:tc>
          <w:tcPr>
            <w:tcW w:w="1710" w:type="dxa"/>
            <w:vAlign w:val="center"/>
          </w:tcPr>
          <w:p w14:paraId="176CA2D2" w14:textId="77777777" w:rsidR="008143D9" w:rsidRPr="00AC3044" w:rsidRDefault="008143D9" w:rsidP="005A428D">
            <w:pPr>
              <w:rPr>
                <w:rFonts w:eastAsia="SimSun"/>
              </w:rPr>
            </w:pPr>
            <w:r w:rsidRPr="00AC3044">
              <w:rPr>
                <w:rFonts w:eastAsia="SimSun"/>
              </w:rPr>
              <w:t xml:space="preserve">Флударабин </w:t>
            </w:r>
          </w:p>
        </w:tc>
        <w:tc>
          <w:tcPr>
            <w:tcW w:w="1424" w:type="dxa"/>
            <w:vAlign w:val="center"/>
          </w:tcPr>
          <w:p w14:paraId="3DAF13DA" w14:textId="77777777" w:rsidR="008143D9" w:rsidRPr="00AC3044" w:rsidRDefault="008143D9" w:rsidP="005A428D">
            <w:pPr>
              <w:rPr>
                <w:rFonts w:eastAsia="SimSun"/>
              </w:rPr>
            </w:pPr>
            <w:r w:rsidRPr="00AC3044">
              <w:rPr>
                <w:rFonts w:eastAsia="SimSun"/>
              </w:rPr>
              <w:t>30 мг/м</w:t>
            </w:r>
            <w:r w:rsidRPr="001E6DBE">
              <w:rPr>
                <w:rFonts w:eastAsia="SimSun"/>
                <w:vertAlign w:val="superscript"/>
              </w:rPr>
              <w:t>2</w:t>
            </w:r>
          </w:p>
        </w:tc>
        <w:tc>
          <w:tcPr>
            <w:tcW w:w="1427" w:type="dxa"/>
            <w:vAlign w:val="center"/>
          </w:tcPr>
          <w:p w14:paraId="00996991" w14:textId="77777777" w:rsidR="008143D9" w:rsidRPr="00AC3044" w:rsidRDefault="008143D9" w:rsidP="005A428D">
            <w:pPr>
              <w:rPr>
                <w:rFonts w:eastAsia="SimSun"/>
              </w:rPr>
            </w:pPr>
            <w:r w:rsidRPr="00AC3044">
              <w:rPr>
                <w:rFonts w:eastAsia="SimSun"/>
              </w:rPr>
              <w:t>180 мг/м</w:t>
            </w:r>
            <w:r w:rsidRPr="001E6DBE">
              <w:rPr>
                <w:rFonts w:eastAsia="SimSun"/>
                <w:vertAlign w:val="superscript"/>
              </w:rPr>
              <w:t>2</w:t>
            </w:r>
          </w:p>
        </w:tc>
        <w:tc>
          <w:tcPr>
            <w:tcW w:w="1694" w:type="dxa"/>
            <w:vAlign w:val="center"/>
          </w:tcPr>
          <w:p w14:paraId="18738B36" w14:textId="77777777" w:rsidR="008143D9" w:rsidRPr="00AC3044" w:rsidRDefault="008143D9" w:rsidP="005A428D">
            <w:pPr>
              <w:rPr>
                <w:rFonts w:eastAsia="SimSun"/>
              </w:rPr>
            </w:pPr>
            <w:r w:rsidRPr="00AC3044">
              <w:rPr>
                <w:rFonts w:eastAsia="SimSun"/>
              </w:rPr>
              <w:t>С -7 дня по -2 день</w:t>
            </w:r>
          </w:p>
        </w:tc>
        <w:tc>
          <w:tcPr>
            <w:tcW w:w="2274" w:type="dxa"/>
            <w:vAlign w:val="center"/>
          </w:tcPr>
          <w:p w14:paraId="23B05E8D"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6189BAB7" w14:textId="77777777" w:rsidTr="005A428D">
        <w:trPr>
          <w:cantSplit/>
          <w:trHeight w:val="688"/>
        </w:trPr>
        <w:tc>
          <w:tcPr>
            <w:tcW w:w="1122" w:type="dxa"/>
            <w:vMerge/>
            <w:vAlign w:val="center"/>
          </w:tcPr>
          <w:p w14:paraId="5CAA9A04" w14:textId="77777777" w:rsidR="008143D9" w:rsidRPr="00AC3044" w:rsidRDefault="008143D9" w:rsidP="005A428D">
            <w:pPr>
              <w:rPr>
                <w:rFonts w:eastAsia="SimSun"/>
              </w:rPr>
            </w:pPr>
          </w:p>
        </w:tc>
        <w:tc>
          <w:tcPr>
            <w:tcW w:w="1710" w:type="dxa"/>
            <w:vAlign w:val="center"/>
          </w:tcPr>
          <w:p w14:paraId="17E3739B" w14:textId="77777777" w:rsidR="008143D9" w:rsidRPr="00AC3044" w:rsidRDefault="008143D9" w:rsidP="005A428D">
            <w:pPr>
              <w:rPr>
                <w:rFonts w:eastAsia="SimSun"/>
              </w:rPr>
            </w:pPr>
            <w:r w:rsidRPr="00AC3044">
              <w:rPr>
                <w:rFonts w:eastAsia="SimSun"/>
              </w:rPr>
              <w:t>Бусульфан</w:t>
            </w:r>
          </w:p>
        </w:tc>
        <w:tc>
          <w:tcPr>
            <w:tcW w:w="1424" w:type="dxa"/>
            <w:vAlign w:val="center"/>
          </w:tcPr>
          <w:p w14:paraId="0BD6C738" w14:textId="77777777" w:rsidR="008143D9" w:rsidRPr="00AC3044" w:rsidRDefault="008143D9" w:rsidP="005A428D">
            <w:pPr>
              <w:rPr>
                <w:rFonts w:eastAsia="SimSun"/>
              </w:rPr>
            </w:pPr>
            <w:r w:rsidRPr="00AC3044">
              <w:rPr>
                <w:rFonts w:eastAsia="SimSun"/>
              </w:rPr>
              <w:t xml:space="preserve">4 мг/кг </w:t>
            </w:r>
          </w:p>
        </w:tc>
        <w:tc>
          <w:tcPr>
            <w:tcW w:w="1427" w:type="dxa"/>
            <w:vAlign w:val="center"/>
          </w:tcPr>
          <w:p w14:paraId="49A574E0" w14:textId="77777777" w:rsidR="008143D9" w:rsidRPr="00AC3044" w:rsidRDefault="008143D9" w:rsidP="005A428D">
            <w:pPr>
              <w:rPr>
                <w:rFonts w:eastAsia="SimSun"/>
              </w:rPr>
            </w:pPr>
            <w:r w:rsidRPr="00AC3044">
              <w:rPr>
                <w:rFonts w:eastAsia="SimSun"/>
              </w:rPr>
              <w:t xml:space="preserve">12 мг/кг </w:t>
            </w:r>
          </w:p>
        </w:tc>
        <w:tc>
          <w:tcPr>
            <w:tcW w:w="1694" w:type="dxa"/>
            <w:vAlign w:val="center"/>
          </w:tcPr>
          <w:p w14:paraId="6B81A4CB" w14:textId="77777777" w:rsidR="008143D9" w:rsidRPr="00AC3044" w:rsidRDefault="008143D9" w:rsidP="005A428D">
            <w:pPr>
              <w:rPr>
                <w:rFonts w:eastAsia="SimSun"/>
              </w:rPr>
            </w:pPr>
            <w:r w:rsidRPr="00AC3044">
              <w:rPr>
                <w:rFonts w:eastAsia="SimSun"/>
              </w:rPr>
              <w:t>С -5 дня по -3 день</w:t>
            </w:r>
          </w:p>
        </w:tc>
        <w:tc>
          <w:tcPr>
            <w:tcW w:w="2274" w:type="dxa"/>
            <w:vAlign w:val="center"/>
          </w:tcPr>
          <w:p w14:paraId="679BDD68" w14:textId="77777777" w:rsidR="008143D9" w:rsidRPr="00AC3044" w:rsidRDefault="008143D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8143D9" w:rsidRPr="00AC3044" w14:paraId="45226DF0" w14:textId="77777777" w:rsidTr="005A428D">
        <w:trPr>
          <w:cantSplit/>
          <w:trHeight w:val="980"/>
        </w:trPr>
        <w:tc>
          <w:tcPr>
            <w:tcW w:w="1122" w:type="dxa"/>
            <w:textDirection w:val="btLr"/>
            <w:vAlign w:val="center"/>
          </w:tcPr>
          <w:p w14:paraId="7BCCF9CF" w14:textId="77777777" w:rsidR="008143D9" w:rsidRPr="00AC3044" w:rsidRDefault="008143D9" w:rsidP="005A428D">
            <w:pPr>
              <w:rPr>
                <w:rFonts w:eastAsia="SimSun"/>
              </w:rPr>
            </w:pPr>
            <w:r w:rsidRPr="00AC3044">
              <w:rPr>
                <w:rFonts w:eastAsia="SimSun"/>
              </w:rPr>
              <w:t>Профилактика РТПХ</w:t>
            </w:r>
          </w:p>
        </w:tc>
        <w:tc>
          <w:tcPr>
            <w:tcW w:w="1710" w:type="dxa"/>
            <w:vAlign w:val="center"/>
          </w:tcPr>
          <w:p w14:paraId="019879A8" w14:textId="77777777" w:rsidR="008143D9" w:rsidRPr="00AC3044" w:rsidRDefault="008143D9" w:rsidP="005A428D">
            <w:pPr>
              <w:rPr>
                <w:rFonts w:eastAsia="SimSun"/>
              </w:rPr>
            </w:pPr>
            <w:r w:rsidRPr="00AC3044">
              <w:rPr>
                <w:rFonts w:eastAsia="SimSun"/>
              </w:rPr>
              <w:t>Циклофосфамид</w:t>
            </w:r>
          </w:p>
        </w:tc>
        <w:tc>
          <w:tcPr>
            <w:tcW w:w="1424" w:type="dxa"/>
            <w:vAlign w:val="center"/>
          </w:tcPr>
          <w:p w14:paraId="517FD475" w14:textId="77777777" w:rsidR="008143D9" w:rsidRPr="00AC3044" w:rsidRDefault="008143D9" w:rsidP="005A428D">
            <w:pPr>
              <w:rPr>
                <w:rFonts w:eastAsia="SimSun"/>
              </w:rPr>
            </w:pPr>
            <w:r w:rsidRPr="00AC3044">
              <w:rPr>
                <w:rFonts w:eastAsia="SimSun"/>
              </w:rPr>
              <w:t>50 мг/кг</w:t>
            </w:r>
          </w:p>
        </w:tc>
        <w:tc>
          <w:tcPr>
            <w:tcW w:w="1427" w:type="dxa"/>
            <w:vAlign w:val="center"/>
          </w:tcPr>
          <w:p w14:paraId="30066FB6" w14:textId="77777777" w:rsidR="008143D9" w:rsidRPr="00AC3044" w:rsidRDefault="008143D9" w:rsidP="005A428D">
            <w:pPr>
              <w:rPr>
                <w:rFonts w:eastAsia="SimSun"/>
              </w:rPr>
            </w:pPr>
            <w:r w:rsidRPr="00AC3044">
              <w:rPr>
                <w:rFonts w:eastAsia="SimSun"/>
              </w:rPr>
              <w:t>100 мг/кг</w:t>
            </w:r>
          </w:p>
        </w:tc>
        <w:tc>
          <w:tcPr>
            <w:tcW w:w="1694" w:type="dxa"/>
            <w:vAlign w:val="center"/>
          </w:tcPr>
          <w:p w14:paraId="01F86AF1" w14:textId="77777777" w:rsidR="008143D9" w:rsidRPr="00AC3044" w:rsidRDefault="008143D9" w:rsidP="005A428D">
            <w:pPr>
              <w:rPr>
                <w:rFonts w:eastAsia="SimSun"/>
              </w:rPr>
            </w:pPr>
            <w:r w:rsidRPr="00AC3044">
              <w:rPr>
                <w:rFonts w:eastAsia="SimSun"/>
              </w:rPr>
              <w:t>С +3 дня по +4 день</w:t>
            </w:r>
          </w:p>
        </w:tc>
        <w:tc>
          <w:tcPr>
            <w:tcW w:w="2274" w:type="dxa"/>
            <w:vAlign w:val="center"/>
          </w:tcPr>
          <w:p w14:paraId="322B6084" w14:textId="77777777" w:rsidR="008143D9" w:rsidRPr="00AC3044" w:rsidRDefault="008143D9" w:rsidP="005A428D">
            <w:pPr>
              <w:rPr>
                <w:rFonts w:eastAsia="SimSun"/>
              </w:rPr>
            </w:pPr>
            <w:r w:rsidRPr="00AC3044">
              <w:rPr>
                <w:rFonts w:eastAsia="SimSun"/>
              </w:rPr>
              <w:t>В/в, в течение 2 ч</w:t>
            </w:r>
          </w:p>
        </w:tc>
      </w:tr>
    </w:tbl>
    <w:p w14:paraId="54E073B1" w14:textId="77777777" w:rsidR="008143D9" w:rsidRPr="00C07B2E" w:rsidRDefault="008143D9" w:rsidP="008143D9">
      <w:pPr>
        <w:rPr>
          <w:rFonts w:eastAsia="SimSun"/>
        </w:rPr>
      </w:pPr>
      <w:r w:rsidRPr="00C07B2E">
        <w:rPr>
          <w:rFonts w:eastAsia="SimSun"/>
        </w:rPr>
        <w:tab/>
      </w:r>
    </w:p>
    <w:p w14:paraId="41C32F88" w14:textId="77777777" w:rsidR="008143D9" w:rsidRPr="00C07B2E" w:rsidRDefault="008143D9" w:rsidP="008143D9">
      <w:pPr>
        <w:rPr>
          <w:rFonts w:eastAsia="SimSun"/>
        </w:rPr>
      </w:pPr>
      <w:bookmarkStart w:id="152" w:name="_Toc44401190"/>
      <w:r w:rsidRPr="00042499">
        <w:rPr>
          <w:rFonts w:eastAsia="SimSun"/>
        </w:rPr>
        <w:t>Таблица</w:t>
      </w:r>
      <w:r w:rsidRPr="00C07B2E">
        <w:rPr>
          <w:rFonts w:eastAsia="SimSun"/>
        </w:rPr>
        <w:t xml:space="preserve"> </w:t>
      </w:r>
      <w:r>
        <w:rPr>
          <w:rFonts w:eastAsia="SimSun"/>
        </w:rPr>
        <w:t>5.</w:t>
      </w:r>
      <w:r w:rsidRPr="00C07B2E">
        <w:rPr>
          <w:rFonts w:eastAsia="SimSun"/>
        </w:rPr>
        <w:t>2.1.4  – Flu180+Bu12 / PT-Cy+Tx+MMF30</w:t>
      </w:r>
      <w:bookmarkEnd w:id="152"/>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8143D9" w:rsidRPr="00AC3044" w14:paraId="2B82FE1E" w14:textId="77777777" w:rsidTr="005A428D">
        <w:trPr>
          <w:cantSplit/>
          <w:trHeight w:val="20"/>
          <w:tblHeader/>
        </w:trPr>
        <w:tc>
          <w:tcPr>
            <w:tcW w:w="1135" w:type="dxa"/>
            <w:vAlign w:val="center"/>
          </w:tcPr>
          <w:p w14:paraId="78035343" w14:textId="77777777" w:rsidR="008143D9" w:rsidRPr="00470D3D" w:rsidRDefault="008143D9" w:rsidP="005A428D">
            <w:pPr>
              <w:rPr>
                <w:rFonts w:eastAsia="SimSun"/>
              </w:rPr>
            </w:pPr>
          </w:p>
        </w:tc>
        <w:tc>
          <w:tcPr>
            <w:tcW w:w="1701" w:type="dxa"/>
            <w:vAlign w:val="center"/>
          </w:tcPr>
          <w:p w14:paraId="329E2FE5" w14:textId="77777777" w:rsidR="008143D9" w:rsidRPr="00AC3044" w:rsidRDefault="008143D9" w:rsidP="005A428D">
            <w:pPr>
              <w:rPr>
                <w:rFonts w:eastAsia="SimSun"/>
              </w:rPr>
            </w:pPr>
            <w:r w:rsidRPr="00AC3044">
              <w:rPr>
                <w:rFonts w:eastAsia="SimSun"/>
              </w:rPr>
              <w:t>Препарат</w:t>
            </w:r>
          </w:p>
        </w:tc>
        <w:tc>
          <w:tcPr>
            <w:tcW w:w="1417" w:type="dxa"/>
            <w:vAlign w:val="center"/>
          </w:tcPr>
          <w:p w14:paraId="79A03616" w14:textId="77777777" w:rsidR="008143D9" w:rsidRPr="00AC3044" w:rsidRDefault="008143D9" w:rsidP="005A428D">
            <w:pPr>
              <w:rPr>
                <w:rFonts w:eastAsia="SimSun"/>
              </w:rPr>
            </w:pPr>
            <w:r w:rsidRPr="00AC3044">
              <w:rPr>
                <w:rFonts w:eastAsia="SimSun"/>
              </w:rPr>
              <w:t>Суточная доза</w:t>
            </w:r>
          </w:p>
        </w:tc>
        <w:tc>
          <w:tcPr>
            <w:tcW w:w="1418" w:type="dxa"/>
            <w:vAlign w:val="center"/>
          </w:tcPr>
          <w:p w14:paraId="1247D84A" w14:textId="77777777" w:rsidR="008143D9" w:rsidRPr="00AC3044" w:rsidRDefault="008143D9" w:rsidP="005A428D">
            <w:pPr>
              <w:rPr>
                <w:rFonts w:eastAsia="SimSun"/>
              </w:rPr>
            </w:pPr>
            <w:r w:rsidRPr="00AC3044">
              <w:rPr>
                <w:rFonts w:eastAsia="SimSun"/>
              </w:rPr>
              <w:t>Курсовая доза</w:t>
            </w:r>
          </w:p>
        </w:tc>
        <w:tc>
          <w:tcPr>
            <w:tcW w:w="1701" w:type="dxa"/>
            <w:vAlign w:val="center"/>
          </w:tcPr>
          <w:p w14:paraId="694150BE" w14:textId="77777777" w:rsidR="008143D9" w:rsidRPr="00AC3044" w:rsidRDefault="008143D9" w:rsidP="005A428D">
            <w:pPr>
              <w:rPr>
                <w:rFonts w:eastAsia="SimSun"/>
              </w:rPr>
            </w:pPr>
            <w:r w:rsidRPr="00AC3044">
              <w:rPr>
                <w:rFonts w:eastAsia="SimSun"/>
              </w:rPr>
              <w:t>Дни введения</w:t>
            </w:r>
          </w:p>
        </w:tc>
        <w:tc>
          <w:tcPr>
            <w:tcW w:w="2268" w:type="dxa"/>
            <w:vAlign w:val="center"/>
          </w:tcPr>
          <w:p w14:paraId="09C37C44"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407620C4" w14:textId="77777777" w:rsidTr="005A428D">
        <w:trPr>
          <w:cantSplit/>
          <w:trHeight w:val="20"/>
        </w:trPr>
        <w:tc>
          <w:tcPr>
            <w:tcW w:w="1135" w:type="dxa"/>
            <w:vMerge w:val="restart"/>
            <w:textDirection w:val="btLr"/>
            <w:vAlign w:val="center"/>
          </w:tcPr>
          <w:p w14:paraId="5B5B8E54" w14:textId="77777777" w:rsidR="008143D9" w:rsidRPr="00AC3044" w:rsidRDefault="008143D9" w:rsidP="005A428D">
            <w:pPr>
              <w:rPr>
                <w:rFonts w:eastAsia="SimSun"/>
              </w:rPr>
            </w:pPr>
            <w:r w:rsidRPr="00AC3044">
              <w:rPr>
                <w:rFonts w:eastAsia="SimSun"/>
              </w:rPr>
              <w:t>Кондиционирование</w:t>
            </w:r>
          </w:p>
        </w:tc>
        <w:tc>
          <w:tcPr>
            <w:tcW w:w="1701" w:type="dxa"/>
            <w:vAlign w:val="center"/>
          </w:tcPr>
          <w:p w14:paraId="627006A7" w14:textId="77777777" w:rsidR="008143D9" w:rsidRPr="00AC3044" w:rsidRDefault="008143D9" w:rsidP="005A428D">
            <w:pPr>
              <w:rPr>
                <w:rFonts w:eastAsia="SimSun"/>
              </w:rPr>
            </w:pPr>
            <w:r w:rsidRPr="00AC3044">
              <w:rPr>
                <w:rFonts w:eastAsia="SimSun"/>
              </w:rPr>
              <w:t xml:space="preserve">Флударабин </w:t>
            </w:r>
          </w:p>
        </w:tc>
        <w:tc>
          <w:tcPr>
            <w:tcW w:w="1417" w:type="dxa"/>
            <w:vAlign w:val="center"/>
          </w:tcPr>
          <w:p w14:paraId="7EBC2236" w14:textId="77777777" w:rsidR="008143D9" w:rsidRPr="00AC3044" w:rsidRDefault="008143D9" w:rsidP="005A428D">
            <w:pPr>
              <w:rPr>
                <w:rFonts w:eastAsia="SimSun"/>
              </w:rPr>
            </w:pPr>
            <w:r w:rsidRPr="00AC3044">
              <w:rPr>
                <w:rFonts w:eastAsia="SimSun"/>
              </w:rPr>
              <w:t>30 мг/м</w:t>
            </w:r>
            <w:r w:rsidRPr="001E6DBE">
              <w:rPr>
                <w:rFonts w:eastAsia="SimSun"/>
                <w:vertAlign w:val="superscript"/>
              </w:rPr>
              <w:t>2</w:t>
            </w:r>
          </w:p>
        </w:tc>
        <w:tc>
          <w:tcPr>
            <w:tcW w:w="1418" w:type="dxa"/>
            <w:vAlign w:val="center"/>
          </w:tcPr>
          <w:p w14:paraId="127960E4" w14:textId="77777777" w:rsidR="008143D9" w:rsidRPr="00AC3044" w:rsidRDefault="008143D9" w:rsidP="005A428D">
            <w:pPr>
              <w:rPr>
                <w:rFonts w:eastAsia="SimSun"/>
              </w:rPr>
            </w:pPr>
            <w:r w:rsidRPr="00AC3044">
              <w:rPr>
                <w:rFonts w:eastAsia="SimSun"/>
              </w:rPr>
              <w:t>180 мг/м</w:t>
            </w:r>
            <w:r w:rsidRPr="001E6DBE">
              <w:rPr>
                <w:rFonts w:eastAsia="SimSun"/>
                <w:vertAlign w:val="superscript"/>
              </w:rPr>
              <w:t>2</w:t>
            </w:r>
          </w:p>
        </w:tc>
        <w:tc>
          <w:tcPr>
            <w:tcW w:w="1701" w:type="dxa"/>
            <w:vAlign w:val="center"/>
          </w:tcPr>
          <w:p w14:paraId="5586B443" w14:textId="77777777" w:rsidR="008143D9" w:rsidRPr="00AC3044" w:rsidRDefault="008143D9" w:rsidP="005A428D">
            <w:pPr>
              <w:rPr>
                <w:rFonts w:eastAsia="SimSun"/>
              </w:rPr>
            </w:pPr>
            <w:r w:rsidRPr="00AC3044">
              <w:rPr>
                <w:rFonts w:eastAsia="SimSun"/>
              </w:rPr>
              <w:t>С -7 дня по -2 день</w:t>
            </w:r>
          </w:p>
        </w:tc>
        <w:tc>
          <w:tcPr>
            <w:tcW w:w="2268" w:type="dxa"/>
            <w:vAlign w:val="center"/>
          </w:tcPr>
          <w:p w14:paraId="2BBE5957"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72B4890E" w14:textId="77777777" w:rsidTr="005A428D">
        <w:trPr>
          <w:cantSplit/>
          <w:trHeight w:val="1207"/>
        </w:trPr>
        <w:tc>
          <w:tcPr>
            <w:tcW w:w="1135" w:type="dxa"/>
            <w:vMerge/>
            <w:vAlign w:val="center"/>
          </w:tcPr>
          <w:p w14:paraId="0ED3E7F5" w14:textId="77777777" w:rsidR="008143D9" w:rsidRPr="00AC3044" w:rsidRDefault="008143D9" w:rsidP="005A428D">
            <w:pPr>
              <w:rPr>
                <w:rFonts w:eastAsia="SimSun"/>
              </w:rPr>
            </w:pPr>
          </w:p>
        </w:tc>
        <w:tc>
          <w:tcPr>
            <w:tcW w:w="1701" w:type="dxa"/>
            <w:vAlign w:val="center"/>
          </w:tcPr>
          <w:p w14:paraId="727652EE" w14:textId="77777777" w:rsidR="008143D9" w:rsidRPr="00AC3044" w:rsidRDefault="008143D9" w:rsidP="005A428D">
            <w:pPr>
              <w:rPr>
                <w:rFonts w:eastAsia="SimSun"/>
              </w:rPr>
            </w:pPr>
            <w:r w:rsidRPr="00AC3044">
              <w:rPr>
                <w:rFonts w:eastAsia="SimSun"/>
              </w:rPr>
              <w:t>Бусульфан</w:t>
            </w:r>
          </w:p>
        </w:tc>
        <w:tc>
          <w:tcPr>
            <w:tcW w:w="1417" w:type="dxa"/>
            <w:vAlign w:val="center"/>
          </w:tcPr>
          <w:p w14:paraId="405865C1" w14:textId="77777777" w:rsidR="008143D9" w:rsidRPr="00AC3044" w:rsidRDefault="008143D9" w:rsidP="005A428D">
            <w:pPr>
              <w:rPr>
                <w:rFonts w:eastAsia="SimSun"/>
              </w:rPr>
            </w:pPr>
            <w:r w:rsidRPr="00AC3044">
              <w:rPr>
                <w:rFonts w:eastAsia="SimSun"/>
              </w:rPr>
              <w:t xml:space="preserve">4 мг/кг </w:t>
            </w:r>
          </w:p>
        </w:tc>
        <w:tc>
          <w:tcPr>
            <w:tcW w:w="1418" w:type="dxa"/>
            <w:vAlign w:val="center"/>
          </w:tcPr>
          <w:p w14:paraId="1A44692B" w14:textId="77777777" w:rsidR="008143D9" w:rsidRPr="00AC3044" w:rsidRDefault="008143D9" w:rsidP="005A428D">
            <w:pPr>
              <w:rPr>
                <w:rFonts w:eastAsia="SimSun"/>
              </w:rPr>
            </w:pPr>
            <w:r w:rsidRPr="00AC3044">
              <w:rPr>
                <w:rFonts w:eastAsia="SimSun"/>
              </w:rPr>
              <w:t xml:space="preserve">12мг/кг </w:t>
            </w:r>
          </w:p>
        </w:tc>
        <w:tc>
          <w:tcPr>
            <w:tcW w:w="1701" w:type="dxa"/>
            <w:vAlign w:val="center"/>
          </w:tcPr>
          <w:p w14:paraId="4D83581C" w14:textId="77777777" w:rsidR="008143D9" w:rsidRPr="00AC3044" w:rsidRDefault="008143D9" w:rsidP="005A428D">
            <w:pPr>
              <w:rPr>
                <w:rFonts w:eastAsia="SimSun"/>
              </w:rPr>
            </w:pPr>
            <w:r w:rsidRPr="00AC3044">
              <w:rPr>
                <w:rFonts w:eastAsia="SimSun"/>
              </w:rPr>
              <w:t>С -5 дня по -3 день</w:t>
            </w:r>
          </w:p>
        </w:tc>
        <w:tc>
          <w:tcPr>
            <w:tcW w:w="2268" w:type="dxa"/>
            <w:vAlign w:val="center"/>
          </w:tcPr>
          <w:p w14:paraId="42D7FA92" w14:textId="77777777" w:rsidR="008143D9" w:rsidRPr="00AC3044" w:rsidRDefault="008143D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8143D9" w:rsidRPr="00AC3044" w14:paraId="47FFFAB1" w14:textId="77777777" w:rsidTr="005A428D">
        <w:trPr>
          <w:cantSplit/>
          <w:trHeight w:val="669"/>
        </w:trPr>
        <w:tc>
          <w:tcPr>
            <w:tcW w:w="1135" w:type="dxa"/>
            <w:vMerge w:val="restart"/>
            <w:textDirection w:val="btLr"/>
            <w:vAlign w:val="center"/>
          </w:tcPr>
          <w:p w14:paraId="12FACC02" w14:textId="77777777" w:rsidR="008143D9" w:rsidRPr="00AC3044" w:rsidRDefault="008143D9" w:rsidP="005A428D">
            <w:pPr>
              <w:rPr>
                <w:rFonts w:eastAsia="SimSun"/>
              </w:rPr>
            </w:pPr>
            <w:r w:rsidRPr="00AC3044">
              <w:rPr>
                <w:rFonts w:eastAsia="SimSun"/>
              </w:rPr>
              <w:t>Профилактика РТПХ</w:t>
            </w:r>
          </w:p>
        </w:tc>
        <w:tc>
          <w:tcPr>
            <w:tcW w:w="1701" w:type="dxa"/>
            <w:vAlign w:val="center"/>
          </w:tcPr>
          <w:p w14:paraId="3A712E30" w14:textId="77777777" w:rsidR="008143D9" w:rsidRPr="00AC3044" w:rsidRDefault="008143D9" w:rsidP="005A428D">
            <w:pPr>
              <w:rPr>
                <w:rFonts w:eastAsia="SimSun"/>
              </w:rPr>
            </w:pPr>
            <w:r w:rsidRPr="00AC3044">
              <w:rPr>
                <w:rFonts w:eastAsia="SimSun"/>
              </w:rPr>
              <w:t>Циклофосфамид</w:t>
            </w:r>
          </w:p>
        </w:tc>
        <w:tc>
          <w:tcPr>
            <w:tcW w:w="1417" w:type="dxa"/>
            <w:vAlign w:val="center"/>
          </w:tcPr>
          <w:p w14:paraId="2305A987" w14:textId="77777777" w:rsidR="008143D9" w:rsidRPr="00AC3044" w:rsidRDefault="008143D9" w:rsidP="005A428D">
            <w:pPr>
              <w:rPr>
                <w:rFonts w:eastAsia="SimSun"/>
              </w:rPr>
            </w:pPr>
            <w:r w:rsidRPr="00AC3044">
              <w:rPr>
                <w:rFonts w:eastAsia="SimSun"/>
              </w:rPr>
              <w:t>50 мг/кг</w:t>
            </w:r>
          </w:p>
        </w:tc>
        <w:tc>
          <w:tcPr>
            <w:tcW w:w="1418" w:type="dxa"/>
            <w:vAlign w:val="center"/>
          </w:tcPr>
          <w:p w14:paraId="2B455B76" w14:textId="77777777" w:rsidR="008143D9" w:rsidRPr="00AC3044" w:rsidRDefault="008143D9" w:rsidP="005A428D">
            <w:pPr>
              <w:rPr>
                <w:rFonts w:eastAsia="SimSun"/>
              </w:rPr>
            </w:pPr>
            <w:r w:rsidRPr="00AC3044">
              <w:rPr>
                <w:rFonts w:eastAsia="SimSun"/>
              </w:rPr>
              <w:t>100 мг/кг</w:t>
            </w:r>
          </w:p>
        </w:tc>
        <w:tc>
          <w:tcPr>
            <w:tcW w:w="1701" w:type="dxa"/>
            <w:vAlign w:val="center"/>
          </w:tcPr>
          <w:p w14:paraId="1ED29948" w14:textId="77777777" w:rsidR="008143D9" w:rsidRPr="00AC3044" w:rsidRDefault="008143D9" w:rsidP="005A428D">
            <w:pPr>
              <w:rPr>
                <w:rFonts w:eastAsia="SimSun"/>
              </w:rPr>
            </w:pPr>
            <w:r w:rsidRPr="00AC3044">
              <w:rPr>
                <w:rFonts w:eastAsia="SimSun"/>
              </w:rPr>
              <w:t>С +3 дня по +4 день</w:t>
            </w:r>
          </w:p>
        </w:tc>
        <w:tc>
          <w:tcPr>
            <w:tcW w:w="2268" w:type="dxa"/>
            <w:vAlign w:val="center"/>
          </w:tcPr>
          <w:p w14:paraId="104F29B7" w14:textId="77777777" w:rsidR="008143D9" w:rsidRPr="00AC3044" w:rsidRDefault="008143D9" w:rsidP="005A428D">
            <w:pPr>
              <w:rPr>
                <w:rFonts w:eastAsia="SimSun"/>
              </w:rPr>
            </w:pPr>
            <w:r w:rsidRPr="00AC3044">
              <w:rPr>
                <w:rFonts w:eastAsia="SimSun"/>
              </w:rPr>
              <w:t>В/в, в течение 2 ч</w:t>
            </w:r>
          </w:p>
        </w:tc>
      </w:tr>
      <w:tr w:rsidR="008143D9" w:rsidRPr="00AC3044" w14:paraId="4F9785E9" w14:textId="77777777" w:rsidTr="005A428D">
        <w:trPr>
          <w:cantSplit/>
          <w:trHeight w:val="958"/>
        </w:trPr>
        <w:tc>
          <w:tcPr>
            <w:tcW w:w="1135" w:type="dxa"/>
            <w:vMerge/>
            <w:textDirection w:val="btLr"/>
            <w:vAlign w:val="center"/>
          </w:tcPr>
          <w:p w14:paraId="42412E65" w14:textId="77777777" w:rsidR="008143D9" w:rsidRPr="00AC3044" w:rsidRDefault="008143D9" w:rsidP="005A428D">
            <w:pPr>
              <w:rPr>
                <w:rFonts w:eastAsia="SimSun"/>
              </w:rPr>
            </w:pPr>
          </w:p>
        </w:tc>
        <w:tc>
          <w:tcPr>
            <w:tcW w:w="1701" w:type="dxa"/>
            <w:vAlign w:val="center"/>
          </w:tcPr>
          <w:p w14:paraId="599DA737" w14:textId="77777777" w:rsidR="008143D9" w:rsidRPr="00AC3044" w:rsidRDefault="008143D9" w:rsidP="005A428D">
            <w:pPr>
              <w:rPr>
                <w:rFonts w:eastAsia="SimSun"/>
              </w:rPr>
            </w:pPr>
            <w:r w:rsidRPr="00AC3044">
              <w:rPr>
                <w:rFonts w:eastAsia="SimSun"/>
              </w:rPr>
              <w:t xml:space="preserve">Такролимус </w:t>
            </w:r>
          </w:p>
        </w:tc>
        <w:tc>
          <w:tcPr>
            <w:tcW w:w="1417" w:type="dxa"/>
            <w:vAlign w:val="center"/>
          </w:tcPr>
          <w:p w14:paraId="1024D09C" w14:textId="77777777" w:rsidR="008143D9" w:rsidRPr="00AC3044" w:rsidRDefault="008143D9" w:rsidP="005A428D">
            <w:pPr>
              <w:rPr>
                <w:rFonts w:eastAsia="SimSun"/>
              </w:rPr>
            </w:pPr>
            <w:r w:rsidRPr="00AC3044">
              <w:rPr>
                <w:rFonts w:eastAsia="SimSun"/>
              </w:rPr>
              <w:t>0,03 мг/кг</w:t>
            </w:r>
          </w:p>
        </w:tc>
        <w:tc>
          <w:tcPr>
            <w:tcW w:w="1418" w:type="dxa"/>
            <w:vAlign w:val="center"/>
          </w:tcPr>
          <w:p w14:paraId="6F63AC2A" w14:textId="77777777" w:rsidR="008143D9" w:rsidRPr="00AC3044" w:rsidRDefault="008143D9" w:rsidP="005A428D">
            <w:pPr>
              <w:rPr>
                <w:rFonts w:eastAsia="SimSun"/>
              </w:rPr>
            </w:pPr>
            <w:r w:rsidRPr="00AC3044">
              <w:rPr>
                <w:rFonts w:eastAsia="SimSun"/>
              </w:rPr>
              <w:t>–</w:t>
            </w:r>
          </w:p>
        </w:tc>
        <w:tc>
          <w:tcPr>
            <w:tcW w:w="1701" w:type="dxa"/>
            <w:vAlign w:val="center"/>
          </w:tcPr>
          <w:p w14:paraId="5DD0A9A3" w14:textId="77777777" w:rsidR="008143D9" w:rsidRPr="00AC3044" w:rsidRDefault="008143D9" w:rsidP="005A428D">
            <w:pPr>
              <w:rPr>
                <w:rFonts w:eastAsia="SimSun"/>
              </w:rPr>
            </w:pPr>
            <w:r w:rsidRPr="00AC3044">
              <w:rPr>
                <w:rFonts w:eastAsia="SimSun"/>
              </w:rPr>
              <w:t xml:space="preserve">С +5 дня длительно </w:t>
            </w:r>
          </w:p>
        </w:tc>
        <w:tc>
          <w:tcPr>
            <w:tcW w:w="2268" w:type="dxa"/>
            <w:vAlign w:val="center"/>
          </w:tcPr>
          <w:p w14:paraId="2908BF16" w14:textId="77777777" w:rsidR="008143D9" w:rsidRPr="00AC3044" w:rsidRDefault="008143D9" w:rsidP="005A428D">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8143D9" w:rsidRPr="00AC3044" w14:paraId="3138F821" w14:textId="77777777" w:rsidTr="005A428D">
        <w:trPr>
          <w:cantSplit/>
          <w:trHeight w:val="486"/>
        </w:trPr>
        <w:tc>
          <w:tcPr>
            <w:tcW w:w="1135" w:type="dxa"/>
            <w:vMerge/>
            <w:textDirection w:val="btLr"/>
            <w:vAlign w:val="center"/>
          </w:tcPr>
          <w:p w14:paraId="02F90A19" w14:textId="77777777" w:rsidR="008143D9" w:rsidRPr="00AC3044" w:rsidRDefault="008143D9" w:rsidP="005A428D">
            <w:pPr>
              <w:rPr>
                <w:rFonts w:eastAsia="SimSun"/>
              </w:rPr>
            </w:pPr>
          </w:p>
        </w:tc>
        <w:tc>
          <w:tcPr>
            <w:tcW w:w="1701" w:type="dxa"/>
            <w:vAlign w:val="center"/>
          </w:tcPr>
          <w:p w14:paraId="27051B61" w14:textId="77777777" w:rsidR="008143D9" w:rsidRPr="00AC3044" w:rsidRDefault="008143D9" w:rsidP="005A428D">
            <w:pPr>
              <w:rPr>
                <w:rFonts w:eastAsia="SimSun"/>
              </w:rPr>
            </w:pPr>
            <w:r w:rsidRPr="00AC3044">
              <w:rPr>
                <w:rFonts w:eastAsia="SimSun"/>
              </w:rPr>
              <w:t>Микофенолата мофетил</w:t>
            </w:r>
          </w:p>
        </w:tc>
        <w:tc>
          <w:tcPr>
            <w:tcW w:w="1417" w:type="dxa"/>
            <w:vAlign w:val="center"/>
          </w:tcPr>
          <w:p w14:paraId="09F817DC" w14:textId="77777777" w:rsidR="008143D9" w:rsidRPr="00AC3044" w:rsidRDefault="008143D9" w:rsidP="005A428D">
            <w:pPr>
              <w:rPr>
                <w:rFonts w:eastAsia="SimSun"/>
              </w:rPr>
            </w:pPr>
            <w:r w:rsidRPr="00AC3044">
              <w:rPr>
                <w:rFonts w:eastAsia="SimSun"/>
              </w:rPr>
              <w:t xml:space="preserve">30 мг/кг </w:t>
            </w:r>
          </w:p>
        </w:tc>
        <w:tc>
          <w:tcPr>
            <w:tcW w:w="1418" w:type="dxa"/>
            <w:vAlign w:val="center"/>
          </w:tcPr>
          <w:p w14:paraId="0DB7FF35" w14:textId="77777777" w:rsidR="008143D9" w:rsidRPr="00AC3044" w:rsidRDefault="008143D9" w:rsidP="005A428D">
            <w:pPr>
              <w:rPr>
                <w:rFonts w:eastAsia="SimSun"/>
              </w:rPr>
            </w:pPr>
            <w:r w:rsidRPr="00AC3044">
              <w:rPr>
                <w:rFonts w:eastAsia="SimSun"/>
              </w:rPr>
              <w:t>–</w:t>
            </w:r>
          </w:p>
        </w:tc>
        <w:tc>
          <w:tcPr>
            <w:tcW w:w="1701" w:type="dxa"/>
            <w:vAlign w:val="center"/>
          </w:tcPr>
          <w:p w14:paraId="66C65524" w14:textId="77777777" w:rsidR="008143D9" w:rsidRPr="00AC3044" w:rsidRDefault="008143D9" w:rsidP="005A428D">
            <w:pPr>
              <w:rPr>
                <w:rFonts w:eastAsia="SimSun"/>
              </w:rPr>
            </w:pPr>
            <w:r w:rsidRPr="00AC3044">
              <w:rPr>
                <w:rFonts w:eastAsia="SimSun"/>
              </w:rPr>
              <w:t xml:space="preserve">С +5 дня по +35 день </w:t>
            </w:r>
          </w:p>
        </w:tc>
        <w:tc>
          <w:tcPr>
            <w:tcW w:w="2268" w:type="dxa"/>
            <w:vAlign w:val="center"/>
          </w:tcPr>
          <w:p w14:paraId="61BD2B74" w14:textId="77777777" w:rsidR="008143D9" w:rsidRPr="00AC3044" w:rsidRDefault="008143D9" w:rsidP="005A428D">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7193CE8C" w14:textId="77777777" w:rsidR="008143D9" w:rsidRDefault="008143D9" w:rsidP="008143D9">
      <w:pPr>
        <w:rPr>
          <w:rFonts w:eastAsia="SimSun"/>
        </w:rPr>
      </w:pPr>
      <w:bookmarkStart w:id="153" w:name="_Toc44401191"/>
    </w:p>
    <w:p w14:paraId="4E67B26A" w14:textId="77777777" w:rsidR="008143D9" w:rsidRPr="00C07B2E" w:rsidRDefault="008143D9" w:rsidP="008143D9">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2.1.5  – Flu180+Bu12 / PT-Cy+CSA+MMF30</w:t>
      </w:r>
      <w:bookmarkEnd w:id="153"/>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8143D9" w:rsidRPr="00AC3044" w14:paraId="01584439" w14:textId="77777777" w:rsidTr="005A428D">
        <w:trPr>
          <w:cantSplit/>
          <w:trHeight w:val="20"/>
          <w:tblHeader/>
        </w:trPr>
        <w:tc>
          <w:tcPr>
            <w:tcW w:w="1135" w:type="dxa"/>
            <w:vAlign w:val="center"/>
          </w:tcPr>
          <w:p w14:paraId="7B347986" w14:textId="77777777" w:rsidR="008143D9" w:rsidRPr="00470D3D" w:rsidRDefault="008143D9" w:rsidP="005A428D">
            <w:pPr>
              <w:rPr>
                <w:rFonts w:eastAsia="SimSun"/>
              </w:rPr>
            </w:pPr>
          </w:p>
        </w:tc>
        <w:tc>
          <w:tcPr>
            <w:tcW w:w="1701" w:type="dxa"/>
            <w:vAlign w:val="center"/>
          </w:tcPr>
          <w:p w14:paraId="272714E6" w14:textId="77777777" w:rsidR="008143D9" w:rsidRPr="00AC3044" w:rsidRDefault="008143D9" w:rsidP="005A428D">
            <w:pPr>
              <w:rPr>
                <w:rFonts w:eastAsia="SimSun"/>
              </w:rPr>
            </w:pPr>
            <w:r w:rsidRPr="00AC3044">
              <w:rPr>
                <w:rFonts w:eastAsia="SimSun"/>
              </w:rPr>
              <w:t>Препарат</w:t>
            </w:r>
          </w:p>
        </w:tc>
        <w:tc>
          <w:tcPr>
            <w:tcW w:w="1417" w:type="dxa"/>
            <w:vAlign w:val="center"/>
          </w:tcPr>
          <w:p w14:paraId="215981EA" w14:textId="77777777" w:rsidR="008143D9" w:rsidRPr="00AC3044" w:rsidRDefault="008143D9" w:rsidP="005A428D">
            <w:pPr>
              <w:rPr>
                <w:rFonts w:eastAsia="SimSun"/>
              </w:rPr>
            </w:pPr>
            <w:r w:rsidRPr="00AC3044">
              <w:rPr>
                <w:rFonts w:eastAsia="SimSun"/>
              </w:rPr>
              <w:t>Суточная доза</w:t>
            </w:r>
          </w:p>
        </w:tc>
        <w:tc>
          <w:tcPr>
            <w:tcW w:w="1418" w:type="dxa"/>
            <w:vAlign w:val="center"/>
          </w:tcPr>
          <w:p w14:paraId="01D9B6FE" w14:textId="77777777" w:rsidR="008143D9" w:rsidRPr="00AC3044" w:rsidRDefault="008143D9" w:rsidP="005A428D">
            <w:pPr>
              <w:rPr>
                <w:rFonts w:eastAsia="SimSun"/>
              </w:rPr>
            </w:pPr>
            <w:r w:rsidRPr="00AC3044">
              <w:rPr>
                <w:rFonts w:eastAsia="SimSun"/>
              </w:rPr>
              <w:t>Курсовая доза</w:t>
            </w:r>
          </w:p>
        </w:tc>
        <w:tc>
          <w:tcPr>
            <w:tcW w:w="1701" w:type="dxa"/>
            <w:vAlign w:val="center"/>
          </w:tcPr>
          <w:p w14:paraId="184DDE9B" w14:textId="77777777" w:rsidR="008143D9" w:rsidRPr="00AC3044" w:rsidRDefault="008143D9" w:rsidP="005A428D">
            <w:pPr>
              <w:rPr>
                <w:rFonts w:eastAsia="SimSun"/>
              </w:rPr>
            </w:pPr>
            <w:r w:rsidRPr="00AC3044">
              <w:rPr>
                <w:rFonts w:eastAsia="SimSun"/>
              </w:rPr>
              <w:t>Дни введения</w:t>
            </w:r>
          </w:p>
        </w:tc>
        <w:tc>
          <w:tcPr>
            <w:tcW w:w="2268" w:type="dxa"/>
            <w:vAlign w:val="center"/>
          </w:tcPr>
          <w:p w14:paraId="7E6199DA"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1EC8763D" w14:textId="77777777" w:rsidTr="005A428D">
        <w:trPr>
          <w:cantSplit/>
          <w:trHeight w:val="20"/>
        </w:trPr>
        <w:tc>
          <w:tcPr>
            <w:tcW w:w="1135" w:type="dxa"/>
            <w:vMerge w:val="restart"/>
            <w:textDirection w:val="btLr"/>
            <w:vAlign w:val="center"/>
          </w:tcPr>
          <w:p w14:paraId="323DF448" w14:textId="77777777" w:rsidR="008143D9" w:rsidRPr="00AC3044" w:rsidRDefault="008143D9" w:rsidP="005A428D">
            <w:pPr>
              <w:rPr>
                <w:rFonts w:eastAsia="SimSun"/>
              </w:rPr>
            </w:pPr>
            <w:r w:rsidRPr="00AC3044">
              <w:rPr>
                <w:rFonts w:eastAsia="SimSun"/>
              </w:rPr>
              <w:t>Кондиционирование</w:t>
            </w:r>
          </w:p>
        </w:tc>
        <w:tc>
          <w:tcPr>
            <w:tcW w:w="1701" w:type="dxa"/>
            <w:vAlign w:val="center"/>
          </w:tcPr>
          <w:p w14:paraId="0DD14321" w14:textId="77777777" w:rsidR="008143D9" w:rsidRPr="00AC3044" w:rsidRDefault="008143D9" w:rsidP="005A428D">
            <w:pPr>
              <w:rPr>
                <w:rFonts w:eastAsia="SimSun"/>
              </w:rPr>
            </w:pPr>
            <w:r w:rsidRPr="00AC3044">
              <w:rPr>
                <w:rFonts w:eastAsia="SimSun"/>
              </w:rPr>
              <w:t xml:space="preserve">Флударабин </w:t>
            </w:r>
          </w:p>
        </w:tc>
        <w:tc>
          <w:tcPr>
            <w:tcW w:w="1417" w:type="dxa"/>
            <w:vAlign w:val="center"/>
          </w:tcPr>
          <w:p w14:paraId="30090738" w14:textId="77777777" w:rsidR="008143D9" w:rsidRPr="00AC3044" w:rsidRDefault="008143D9" w:rsidP="005A428D">
            <w:pPr>
              <w:rPr>
                <w:rFonts w:eastAsia="SimSun"/>
              </w:rPr>
            </w:pPr>
            <w:r w:rsidRPr="00AC3044">
              <w:rPr>
                <w:rFonts w:eastAsia="SimSun"/>
              </w:rPr>
              <w:t>30 мг/м</w:t>
            </w:r>
            <w:r w:rsidRPr="001E6DBE">
              <w:rPr>
                <w:rFonts w:eastAsia="SimSun"/>
                <w:vertAlign w:val="superscript"/>
              </w:rPr>
              <w:t>2</w:t>
            </w:r>
          </w:p>
        </w:tc>
        <w:tc>
          <w:tcPr>
            <w:tcW w:w="1418" w:type="dxa"/>
            <w:vAlign w:val="center"/>
          </w:tcPr>
          <w:p w14:paraId="6566B058" w14:textId="77777777" w:rsidR="008143D9" w:rsidRPr="00AC3044" w:rsidRDefault="008143D9" w:rsidP="005A428D">
            <w:pPr>
              <w:rPr>
                <w:rFonts w:eastAsia="SimSun"/>
              </w:rPr>
            </w:pPr>
            <w:r w:rsidRPr="00AC3044">
              <w:rPr>
                <w:rFonts w:eastAsia="SimSun"/>
              </w:rPr>
              <w:t>180 мг/м</w:t>
            </w:r>
            <w:r w:rsidRPr="001E6DBE">
              <w:rPr>
                <w:rFonts w:eastAsia="SimSun"/>
                <w:vertAlign w:val="superscript"/>
              </w:rPr>
              <w:t>2</w:t>
            </w:r>
          </w:p>
        </w:tc>
        <w:tc>
          <w:tcPr>
            <w:tcW w:w="1701" w:type="dxa"/>
            <w:vAlign w:val="center"/>
          </w:tcPr>
          <w:p w14:paraId="2F87FC9E" w14:textId="77777777" w:rsidR="008143D9" w:rsidRPr="00AC3044" w:rsidRDefault="008143D9" w:rsidP="005A428D">
            <w:pPr>
              <w:rPr>
                <w:rFonts w:eastAsia="SimSun"/>
              </w:rPr>
            </w:pPr>
            <w:r w:rsidRPr="00AC3044">
              <w:rPr>
                <w:rFonts w:eastAsia="SimSun"/>
              </w:rPr>
              <w:t>С -7 дня по -2 день</w:t>
            </w:r>
          </w:p>
        </w:tc>
        <w:tc>
          <w:tcPr>
            <w:tcW w:w="2268" w:type="dxa"/>
            <w:vAlign w:val="center"/>
          </w:tcPr>
          <w:p w14:paraId="0EF31710"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5ADC1D7A" w14:textId="77777777" w:rsidTr="005A428D">
        <w:trPr>
          <w:cantSplit/>
          <w:trHeight w:val="1207"/>
        </w:trPr>
        <w:tc>
          <w:tcPr>
            <w:tcW w:w="1135" w:type="dxa"/>
            <w:vMerge/>
            <w:vAlign w:val="center"/>
          </w:tcPr>
          <w:p w14:paraId="0B6CC932" w14:textId="77777777" w:rsidR="008143D9" w:rsidRPr="00AC3044" w:rsidRDefault="008143D9" w:rsidP="005A428D">
            <w:pPr>
              <w:rPr>
                <w:rFonts w:eastAsia="SimSun"/>
              </w:rPr>
            </w:pPr>
          </w:p>
        </w:tc>
        <w:tc>
          <w:tcPr>
            <w:tcW w:w="1701" w:type="dxa"/>
            <w:vAlign w:val="center"/>
          </w:tcPr>
          <w:p w14:paraId="676F3E21" w14:textId="77777777" w:rsidR="008143D9" w:rsidRPr="00AC3044" w:rsidRDefault="008143D9" w:rsidP="005A428D">
            <w:pPr>
              <w:rPr>
                <w:rFonts w:eastAsia="SimSun"/>
              </w:rPr>
            </w:pPr>
            <w:r w:rsidRPr="00AC3044">
              <w:rPr>
                <w:rFonts w:eastAsia="SimSun"/>
              </w:rPr>
              <w:t>Бусульфан</w:t>
            </w:r>
          </w:p>
        </w:tc>
        <w:tc>
          <w:tcPr>
            <w:tcW w:w="1417" w:type="dxa"/>
            <w:vAlign w:val="center"/>
          </w:tcPr>
          <w:p w14:paraId="31AF7652" w14:textId="77777777" w:rsidR="008143D9" w:rsidRPr="00AC3044" w:rsidRDefault="008143D9" w:rsidP="005A428D">
            <w:pPr>
              <w:rPr>
                <w:rFonts w:eastAsia="SimSun"/>
              </w:rPr>
            </w:pPr>
            <w:r w:rsidRPr="00AC3044">
              <w:rPr>
                <w:rFonts w:eastAsia="SimSun"/>
              </w:rPr>
              <w:t xml:space="preserve">4 мг/кг </w:t>
            </w:r>
          </w:p>
        </w:tc>
        <w:tc>
          <w:tcPr>
            <w:tcW w:w="1418" w:type="dxa"/>
            <w:vAlign w:val="center"/>
          </w:tcPr>
          <w:p w14:paraId="335AE4B5" w14:textId="77777777" w:rsidR="008143D9" w:rsidRPr="00AC3044" w:rsidRDefault="008143D9" w:rsidP="005A428D">
            <w:pPr>
              <w:rPr>
                <w:rFonts w:eastAsia="SimSun"/>
              </w:rPr>
            </w:pPr>
            <w:r w:rsidRPr="00AC3044">
              <w:rPr>
                <w:rFonts w:eastAsia="SimSun"/>
              </w:rPr>
              <w:t xml:space="preserve">12 мг/кг </w:t>
            </w:r>
          </w:p>
        </w:tc>
        <w:tc>
          <w:tcPr>
            <w:tcW w:w="1701" w:type="dxa"/>
            <w:vAlign w:val="center"/>
          </w:tcPr>
          <w:p w14:paraId="4104C115" w14:textId="77777777" w:rsidR="008143D9" w:rsidRPr="00AC3044" w:rsidRDefault="008143D9" w:rsidP="005A428D">
            <w:pPr>
              <w:rPr>
                <w:rFonts w:eastAsia="SimSun"/>
              </w:rPr>
            </w:pPr>
            <w:r w:rsidRPr="00AC3044">
              <w:rPr>
                <w:rFonts w:eastAsia="SimSun"/>
              </w:rPr>
              <w:t>С -5 дня по -3 день</w:t>
            </w:r>
          </w:p>
        </w:tc>
        <w:tc>
          <w:tcPr>
            <w:tcW w:w="2268" w:type="dxa"/>
            <w:vAlign w:val="center"/>
          </w:tcPr>
          <w:p w14:paraId="6E70077C" w14:textId="77777777" w:rsidR="008143D9" w:rsidRPr="00AC3044" w:rsidRDefault="008143D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8143D9" w:rsidRPr="00AC3044" w14:paraId="38D814D0" w14:textId="77777777" w:rsidTr="005A428D">
        <w:trPr>
          <w:cantSplit/>
          <w:trHeight w:val="606"/>
        </w:trPr>
        <w:tc>
          <w:tcPr>
            <w:tcW w:w="1135" w:type="dxa"/>
            <w:vMerge w:val="restart"/>
            <w:textDirection w:val="btLr"/>
            <w:vAlign w:val="center"/>
          </w:tcPr>
          <w:p w14:paraId="4963ADDB" w14:textId="77777777" w:rsidR="008143D9" w:rsidRPr="00AC3044" w:rsidRDefault="008143D9" w:rsidP="005A428D">
            <w:pPr>
              <w:rPr>
                <w:rFonts w:eastAsia="SimSun"/>
              </w:rPr>
            </w:pPr>
            <w:r w:rsidRPr="00AC3044">
              <w:rPr>
                <w:rFonts w:eastAsia="SimSun"/>
              </w:rPr>
              <w:t>Профилактика РТПХ</w:t>
            </w:r>
          </w:p>
        </w:tc>
        <w:tc>
          <w:tcPr>
            <w:tcW w:w="1701" w:type="dxa"/>
            <w:vAlign w:val="center"/>
          </w:tcPr>
          <w:p w14:paraId="101190EA" w14:textId="77777777" w:rsidR="008143D9" w:rsidRPr="00AC3044" w:rsidRDefault="008143D9" w:rsidP="005A428D">
            <w:pPr>
              <w:rPr>
                <w:rFonts w:eastAsia="SimSun"/>
              </w:rPr>
            </w:pPr>
            <w:r w:rsidRPr="00AC3044">
              <w:rPr>
                <w:rFonts w:eastAsia="SimSun"/>
              </w:rPr>
              <w:t>Циклофосфамид</w:t>
            </w:r>
          </w:p>
        </w:tc>
        <w:tc>
          <w:tcPr>
            <w:tcW w:w="1417" w:type="dxa"/>
            <w:vAlign w:val="center"/>
          </w:tcPr>
          <w:p w14:paraId="0CF11922" w14:textId="77777777" w:rsidR="008143D9" w:rsidRPr="00AC3044" w:rsidRDefault="008143D9" w:rsidP="005A428D">
            <w:pPr>
              <w:rPr>
                <w:rFonts w:eastAsia="SimSun"/>
              </w:rPr>
            </w:pPr>
            <w:r w:rsidRPr="00AC3044">
              <w:rPr>
                <w:rFonts w:eastAsia="SimSun"/>
              </w:rPr>
              <w:t>50 мг/кг</w:t>
            </w:r>
          </w:p>
        </w:tc>
        <w:tc>
          <w:tcPr>
            <w:tcW w:w="1418" w:type="dxa"/>
            <w:vAlign w:val="center"/>
          </w:tcPr>
          <w:p w14:paraId="185DE2B4" w14:textId="77777777" w:rsidR="008143D9" w:rsidRPr="00AC3044" w:rsidRDefault="008143D9" w:rsidP="005A428D">
            <w:pPr>
              <w:rPr>
                <w:rFonts w:eastAsia="SimSun"/>
              </w:rPr>
            </w:pPr>
            <w:r w:rsidRPr="00AC3044">
              <w:rPr>
                <w:rFonts w:eastAsia="SimSun"/>
              </w:rPr>
              <w:t>100 мг/кг</w:t>
            </w:r>
          </w:p>
        </w:tc>
        <w:tc>
          <w:tcPr>
            <w:tcW w:w="1701" w:type="dxa"/>
            <w:vAlign w:val="center"/>
          </w:tcPr>
          <w:p w14:paraId="64CED374" w14:textId="77777777" w:rsidR="008143D9" w:rsidRPr="00AC3044" w:rsidRDefault="008143D9" w:rsidP="005A428D">
            <w:pPr>
              <w:rPr>
                <w:rFonts w:eastAsia="SimSun"/>
              </w:rPr>
            </w:pPr>
            <w:r w:rsidRPr="00AC3044">
              <w:rPr>
                <w:rFonts w:eastAsia="SimSun"/>
              </w:rPr>
              <w:t>В +3 день  и +5 день</w:t>
            </w:r>
          </w:p>
        </w:tc>
        <w:tc>
          <w:tcPr>
            <w:tcW w:w="2268" w:type="dxa"/>
            <w:vAlign w:val="center"/>
          </w:tcPr>
          <w:p w14:paraId="6D92EE97" w14:textId="77777777" w:rsidR="008143D9" w:rsidRPr="00AC3044" w:rsidRDefault="008143D9" w:rsidP="005A428D">
            <w:pPr>
              <w:rPr>
                <w:rFonts w:eastAsia="SimSun"/>
              </w:rPr>
            </w:pPr>
            <w:r w:rsidRPr="00AC3044">
              <w:rPr>
                <w:rFonts w:eastAsia="SimSun"/>
              </w:rPr>
              <w:t>В/в, в течение 2 ч</w:t>
            </w:r>
          </w:p>
        </w:tc>
      </w:tr>
      <w:tr w:rsidR="008143D9" w:rsidRPr="00AC3044" w14:paraId="50862F19" w14:textId="77777777" w:rsidTr="005A428D">
        <w:trPr>
          <w:cantSplit/>
          <w:trHeight w:val="829"/>
        </w:trPr>
        <w:tc>
          <w:tcPr>
            <w:tcW w:w="1135" w:type="dxa"/>
            <w:vMerge/>
            <w:textDirection w:val="btLr"/>
            <w:vAlign w:val="center"/>
          </w:tcPr>
          <w:p w14:paraId="54A33013" w14:textId="77777777" w:rsidR="008143D9" w:rsidRPr="00AC3044" w:rsidRDefault="008143D9" w:rsidP="005A428D">
            <w:pPr>
              <w:rPr>
                <w:rFonts w:eastAsia="SimSun"/>
              </w:rPr>
            </w:pPr>
          </w:p>
        </w:tc>
        <w:tc>
          <w:tcPr>
            <w:tcW w:w="1701" w:type="dxa"/>
            <w:vAlign w:val="center"/>
          </w:tcPr>
          <w:p w14:paraId="137831CE" w14:textId="77777777" w:rsidR="008143D9" w:rsidRPr="00AC3044" w:rsidRDefault="008143D9" w:rsidP="005A428D">
            <w:pPr>
              <w:rPr>
                <w:rFonts w:eastAsia="SimSun"/>
              </w:rPr>
            </w:pPr>
            <w:r w:rsidRPr="00AC3044">
              <w:rPr>
                <w:rFonts w:eastAsia="SimSun"/>
              </w:rPr>
              <w:t>Микофенолата мофетил</w:t>
            </w:r>
          </w:p>
        </w:tc>
        <w:tc>
          <w:tcPr>
            <w:tcW w:w="1417" w:type="dxa"/>
            <w:vAlign w:val="center"/>
          </w:tcPr>
          <w:p w14:paraId="051B6AB4" w14:textId="77777777" w:rsidR="008143D9" w:rsidRPr="00AC3044" w:rsidRDefault="008143D9" w:rsidP="005A428D">
            <w:pPr>
              <w:rPr>
                <w:rFonts w:eastAsia="SimSun"/>
              </w:rPr>
            </w:pPr>
            <w:r w:rsidRPr="00AC3044">
              <w:rPr>
                <w:rFonts w:eastAsia="SimSun"/>
              </w:rPr>
              <w:t xml:space="preserve">30 мг/кг </w:t>
            </w:r>
          </w:p>
        </w:tc>
        <w:tc>
          <w:tcPr>
            <w:tcW w:w="1418" w:type="dxa"/>
            <w:vAlign w:val="center"/>
          </w:tcPr>
          <w:p w14:paraId="07D93E15" w14:textId="77777777" w:rsidR="008143D9" w:rsidRPr="00AC3044" w:rsidRDefault="008143D9" w:rsidP="005A428D">
            <w:pPr>
              <w:rPr>
                <w:rFonts w:eastAsia="SimSun"/>
              </w:rPr>
            </w:pPr>
            <w:r w:rsidRPr="00AC3044">
              <w:rPr>
                <w:rFonts w:eastAsia="SimSun"/>
              </w:rPr>
              <w:t>–</w:t>
            </w:r>
          </w:p>
        </w:tc>
        <w:tc>
          <w:tcPr>
            <w:tcW w:w="1701" w:type="dxa"/>
            <w:vAlign w:val="center"/>
          </w:tcPr>
          <w:p w14:paraId="342F5211" w14:textId="77777777" w:rsidR="008143D9" w:rsidRPr="00AC3044" w:rsidRDefault="008143D9" w:rsidP="005A428D">
            <w:pPr>
              <w:rPr>
                <w:rFonts w:eastAsia="SimSun"/>
              </w:rPr>
            </w:pPr>
            <w:r w:rsidRPr="00AC3044">
              <w:rPr>
                <w:rFonts w:eastAsia="SimSun"/>
              </w:rPr>
              <w:t xml:space="preserve">С +1 дня по +28 день </w:t>
            </w:r>
          </w:p>
        </w:tc>
        <w:tc>
          <w:tcPr>
            <w:tcW w:w="2268" w:type="dxa"/>
            <w:vAlign w:val="center"/>
          </w:tcPr>
          <w:p w14:paraId="166C36FC" w14:textId="77777777" w:rsidR="008143D9" w:rsidRPr="00AC3044" w:rsidRDefault="008143D9" w:rsidP="005A428D">
            <w:pPr>
              <w:rPr>
                <w:rFonts w:eastAsia="SimSun"/>
              </w:rPr>
            </w:pPr>
            <w:r w:rsidRPr="00AC3044">
              <w:rPr>
                <w:rFonts w:eastAsia="SimSun"/>
              </w:rPr>
              <w:t xml:space="preserve">Внутрь, суммарная суточная доза разделяется на 2- 4 приема (не более 3г/сут).  </w:t>
            </w:r>
          </w:p>
        </w:tc>
      </w:tr>
      <w:tr w:rsidR="008143D9" w:rsidRPr="00AC3044" w14:paraId="57BBD223" w14:textId="77777777" w:rsidTr="005A428D">
        <w:trPr>
          <w:cantSplit/>
          <w:trHeight w:val="958"/>
        </w:trPr>
        <w:tc>
          <w:tcPr>
            <w:tcW w:w="1135" w:type="dxa"/>
            <w:vMerge/>
            <w:textDirection w:val="btLr"/>
            <w:vAlign w:val="center"/>
          </w:tcPr>
          <w:p w14:paraId="46C9ABD9" w14:textId="77777777" w:rsidR="008143D9" w:rsidRPr="00AC3044" w:rsidRDefault="008143D9" w:rsidP="005A428D">
            <w:pPr>
              <w:rPr>
                <w:rFonts w:eastAsia="SimSun"/>
              </w:rPr>
            </w:pPr>
          </w:p>
        </w:tc>
        <w:tc>
          <w:tcPr>
            <w:tcW w:w="1701" w:type="dxa"/>
            <w:vAlign w:val="center"/>
          </w:tcPr>
          <w:p w14:paraId="41D26E89" w14:textId="77777777" w:rsidR="008143D9" w:rsidRPr="00AC3044" w:rsidRDefault="008143D9" w:rsidP="005A428D">
            <w:pPr>
              <w:rPr>
                <w:rFonts w:eastAsia="SimSun"/>
              </w:rPr>
            </w:pPr>
            <w:r w:rsidRPr="00AC3044">
              <w:rPr>
                <w:rFonts w:eastAsia="SimSun"/>
              </w:rPr>
              <w:t>Циклоспорин А</w:t>
            </w:r>
          </w:p>
        </w:tc>
        <w:tc>
          <w:tcPr>
            <w:tcW w:w="1417" w:type="dxa"/>
            <w:vAlign w:val="center"/>
          </w:tcPr>
          <w:p w14:paraId="40E75B48" w14:textId="77777777" w:rsidR="008143D9" w:rsidRPr="00AC3044" w:rsidRDefault="008143D9" w:rsidP="005A428D">
            <w:pPr>
              <w:rPr>
                <w:rFonts w:eastAsia="SimSun"/>
              </w:rPr>
            </w:pPr>
            <w:r w:rsidRPr="00AC3044">
              <w:rPr>
                <w:rFonts w:eastAsia="SimSun"/>
              </w:rPr>
              <w:t>3  мг/кг</w:t>
            </w:r>
          </w:p>
        </w:tc>
        <w:tc>
          <w:tcPr>
            <w:tcW w:w="1418" w:type="dxa"/>
            <w:vAlign w:val="center"/>
          </w:tcPr>
          <w:p w14:paraId="06A5A703" w14:textId="77777777" w:rsidR="008143D9" w:rsidRPr="00AC3044" w:rsidRDefault="008143D9" w:rsidP="005A428D">
            <w:pPr>
              <w:rPr>
                <w:rFonts w:eastAsia="SimSun"/>
              </w:rPr>
            </w:pPr>
            <w:r w:rsidRPr="00AC3044">
              <w:rPr>
                <w:rFonts w:eastAsia="SimSun"/>
              </w:rPr>
              <w:t>-</w:t>
            </w:r>
          </w:p>
        </w:tc>
        <w:tc>
          <w:tcPr>
            <w:tcW w:w="1701" w:type="dxa"/>
            <w:vAlign w:val="center"/>
          </w:tcPr>
          <w:p w14:paraId="1C04C701" w14:textId="77777777" w:rsidR="008143D9" w:rsidRPr="00AC3044" w:rsidRDefault="008143D9" w:rsidP="005A428D">
            <w:pPr>
              <w:rPr>
                <w:rFonts w:eastAsia="SimSun"/>
              </w:rPr>
            </w:pPr>
            <w:r w:rsidRPr="00AC3044">
              <w:rPr>
                <w:rFonts w:eastAsia="SimSun"/>
              </w:rPr>
              <w:t xml:space="preserve">С -1 дня по +100 день </w:t>
            </w:r>
          </w:p>
        </w:tc>
        <w:tc>
          <w:tcPr>
            <w:tcW w:w="2268" w:type="dxa"/>
            <w:vAlign w:val="center"/>
          </w:tcPr>
          <w:p w14:paraId="7E532B94" w14:textId="77777777" w:rsidR="008143D9" w:rsidRPr="00AC3044" w:rsidRDefault="008143D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14:paraId="5B796ED7" w14:textId="77777777" w:rsidR="008143D9" w:rsidRPr="001E6DBE" w:rsidRDefault="008143D9" w:rsidP="008143D9">
      <w:pPr>
        <w:rPr>
          <w:rFonts w:eastAsia="SimSun"/>
        </w:rPr>
      </w:pPr>
    </w:p>
    <w:p w14:paraId="5C9E1E0C" w14:textId="77777777" w:rsidR="008143D9" w:rsidRPr="00042499" w:rsidRDefault="008143D9" w:rsidP="008143D9">
      <w:pPr>
        <w:rPr>
          <w:rFonts w:eastAsia="SimSun"/>
          <w:lang w:val="en-US"/>
        </w:rPr>
      </w:pPr>
      <w:bookmarkStart w:id="154" w:name="_Toc44401192"/>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2.1.6  – </w:t>
      </w:r>
      <w:r w:rsidRPr="00C07B2E">
        <w:rPr>
          <w:rFonts w:eastAsia="SimSun"/>
        </w:rPr>
        <w:t>Flu</w:t>
      </w:r>
      <w:r w:rsidRPr="00042499">
        <w:rPr>
          <w:rFonts w:eastAsia="SimSun"/>
          <w:lang w:val="en-US"/>
        </w:rPr>
        <w:t>180+</w:t>
      </w:r>
      <w:r w:rsidRPr="00C07B2E">
        <w:rPr>
          <w:rFonts w:eastAsia="SimSun"/>
        </w:rPr>
        <w:t>Bu</w:t>
      </w:r>
      <w:r w:rsidRPr="00042499">
        <w:rPr>
          <w:rFonts w:eastAsia="SimSun"/>
          <w:lang w:val="en-US"/>
        </w:rPr>
        <w:t xml:space="preserve">12 / </w:t>
      </w:r>
      <w:r w:rsidRPr="00C07B2E">
        <w:rPr>
          <w:rFonts w:eastAsia="SimSun"/>
        </w:rPr>
        <w:t>Tx</w:t>
      </w:r>
      <w:r w:rsidRPr="00042499">
        <w:rPr>
          <w:rFonts w:eastAsia="SimSun"/>
          <w:lang w:val="en-US"/>
        </w:rPr>
        <w:t>+</w:t>
      </w:r>
      <w:r w:rsidRPr="00C07B2E">
        <w:rPr>
          <w:rFonts w:eastAsia="SimSun"/>
        </w:rPr>
        <w:t>MMF</w:t>
      </w:r>
      <w:r w:rsidRPr="00042499">
        <w:rPr>
          <w:rFonts w:eastAsia="SimSun"/>
          <w:lang w:val="en-US"/>
        </w:rPr>
        <w:t>30</w:t>
      </w:r>
      <w:bookmarkEnd w:id="154"/>
    </w:p>
    <w:tbl>
      <w:tblPr>
        <w:tblpPr w:leftFromText="180" w:rightFromText="180" w:vertAnchor="text" w:horzAnchor="margin" w:tblpX="6" w:tblpY="38"/>
        <w:tblW w:w="9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42"/>
        <w:gridCol w:w="1709"/>
        <w:gridCol w:w="1395"/>
        <w:gridCol w:w="1367"/>
        <w:gridCol w:w="1783"/>
        <w:gridCol w:w="2267"/>
      </w:tblGrid>
      <w:tr w:rsidR="008143D9" w:rsidRPr="00AC3044" w14:paraId="74B716D9" w14:textId="77777777" w:rsidTr="005A428D">
        <w:trPr>
          <w:cantSplit/>
          <w:trHeight w:val="20"/>
          <w:tblHeader/>
        </w:trPr>
        <w:tc>
          <w:tcPr>
            <w:tcW w:w="1142" w:type="dxa"/>
            <w:vAlign w:val="center"/>
          </w:tcPr>
          <w:p w14:paraId="38F39A6F" w14:textId="77777777" w:rsidR="008143D9" w:rsidRPr="00AC3044" w:rsidRDefault="008143D9" w:rsidP="005A428D">
            <w:pPr>
              <w:rPr>
                <w:rFonts w:eastAsia="SimSun"/>
              </w:rPr>
            </w:pPr>
          </w:p>
        </w:tc>
        <w:tc>
          <w:tcPr>
            <w:tcW w:w="1709" w:type="dxa"/>
            <w:vAlign w:val="center"/>
          </w:tcPr>
          <w:p w14:paraId="747879A0" w14:textId="77777777" w:rsidR="008143D9" w:rsidRPr="00AC3044" w:rsidRDefault="008143D9" w:rsidP="005A428D">
            <w:pPr>
              <w:rPr>
                <w:rFonts w:eastAsia="SimSun"/>
              </w:rPr>
            </w:pPr>
            <w:r w:rsidRPr="00AC3044">
              <w:rPr>
                <w:rFonts w:eastAsia="SimSun"/>
              </w:rPr>
              <w:t>Препарат</w:t>
            </w:r>
          </w:p>
        </w:tc>
        <w:tc>
          <w:tcPr>
            <w:tcW w:w="1395" w:type="dxa"/>
            <w:vAlign w:val="center"/>
          </w:tcPr>
          <w:p w14:paraId="4CDEDF24" w14:textId="77777777" w:rsidR="008143D9" w:rsidRPr="00AC3044" w:rsidRDefault="008143D9" w:rsidP="005A428D">
            <w:pPr>
              <w:rPr>
                <w:rFonts w:eastAsia="SimSun"/>
              </w:rPr>
            </w:pPr>
            <w:r w:rsidRPr="00AC3044">
              <w:rPr>
                <w:rFonts w:eastAsia="SimSun"/>
              </w:rPr>
              <w:t>Суточная доза</w:t>
            </w:r>
          </w:p>
        </w:tc>
        <w:tc>
          <w:tcPr>
            <w:tcW w:w="1367" w:type="dxa"/>
            <w:vAlign w:val="center"/>
          </w:tcPr>
          <w:p w14:paraId="1D235733" w14:textId="77777777" w:rsidR="008143D9" w:rsidRPr="00AC3044" w:rsidRDefault="008143D9" w:rsidP="005A428D">
            <w:pPr>
              <w:rPr>
                <w:rFonts w:eastAsia="SimSun"/>
              </w:rPr>
            </w:pPr>
            <w:r w:rsidRPr="00AC3044">
              <w:rPr>
                <w:rFonts w:eastAsia="SimSun"/>
              </w:rPr>
              <w:t>Курсовая доза</w:t>
            </w:r>
          </w:p>
        </w:tc>
        <w:tc>
          <w:tcPr>
            <w:tcW w:w="1783" w:type="dxa"/>
            <w:vAlign w:val="center"/>
          </w:tcPr>
          <w:p w14:paraId="6FD50150" w14:textId="77777777" w:rsidR="008143D9" w:rsidRPr="00AC3044" w:rsidRDefault="008143D9" w:rsidP="005A428D">
            <w:pPr>
              <w:rPr>
                <w:rFonts w:eastAsia="SimSun"/>
              </w:rPr>
            </w:pPr>
            <w:r w:rsidRPr="00AC3044">
              <w:rPr>
                <w:rFonts w:eastAsia="SimSun"/>
              </w:rPr>
              <w:t>Дни введения</w:t>
            </w:r>
          </w:p>
        </w:tc>
        <w:tc>
          <w:tcPr>
            <w:tcW w:w="2267" w:type="dxa"/>
            <w:vAlign w:val="center"/>
          </w:tcPr>
          <w:p w14:paraId="59A04655"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36D2704C" w14:textId="77777777" w:rsidTr="005A428D">
        <w:trPr>
          <w:cantSplit/>
          <w:trHeight w:val="20"/>
        </w:trPr>
        <w:tc>
          <w:tcPr>
            <w:tcW w:w="1142" w:type="dxa"/>
            <w:vMerge w:val="restart"/>
            <w:textDirection w:val="btLr"/>
            <w:vAlign w:val="center"/>
          </w:tcPr>
          <w:p w14:paraId="2EF47938" w14:textId="77777777" w:rsidR="008143D9" w:rsidRPr="00AC3044" w:rsidRDefault="008143D9" w:rsidP="005A428D">
            <w:pPr>
              <w:rPr>
                <w:rFonts w:eastAsia="SimSun"/>
              </w:rPr>
            </w:pPr>
            <w:r w:rsidRPr="00AC3044">
              <w:rPr>
                <w:rFonts w:eastAsia="SimSun"/>
              </w:rPr>
              <w:t>Кондиционирование</w:t>
            </w:r>
          </w:p>
        </w:tc>
        <w:tc>
          <w:tcPr>
            <w:tcW w:w="1709" w:type="dxa"/>
            <w:vAlign w:val="center"/>
          </w:tcPr>
          <w:p w14:paraId="73DB32E1" w14:textId="77777777" w:rsidR="008143D9" w:rsidRPr="00AC3044" w:rsidRDefault="008143D9" w:rsidP="005A428D">
            <w:pPr>
              <w:rPr>
                <w:rFonts w:eastAsia="SimSun"/>
              </w:rPr>
            </w:pPr>
            <w:r w:rsidRPr="00AC3044">
              <w:rPr>
                <w:rFonts w:eastAsia="SimSun"/>
              </w:rPr>
              <w:t xml:space="preserve">Флударабин </w:t>
            </w:r>
          </w:p>
        </w:tc>
        <w:tc>
          <w:tcPr>
            <w:tcW w:w="1395" w:type="dxa"/>
            <w:vAlign w:val="center"/>
          </w:tcPr>
          <w:p w14:paraId="3B3BE444" w14:textId="77777777" w:rsidR="008143D9" w:rsidRPr="00AC3044" w:rsidRDefault="008143D9" w:rsidP="005A428D">
            <w:pPr>
              <w:rPr>
                <w:rFonts w:eastAsia="SimSun"/>
              </w:rPr>
            </w:pPr>
            <w:r w:rsidRPr="00AC3044">
              <w:rPr>
                <w:rFonts w:eastAsia="SimSun"/>
              </w:rPr>
              <w:t>30 мг/м</w:t>
            </w:r>
            <w:r w:rsidRPr="001E6DBE">
              <w:rPr>
                <w:rFonts w:eastAsia="SimSun"/>
                <w:vertAlign w:val="superscript"/>
              </w:rPr>
              <w:t>2</w:t>
            </w:r>
          </w:p>
        </w:tc>
        <w:tc>
          <w:tcPr>
            <w:tcW w:w="1367" w:type="dxa"/>
            <w:vAlign w:val="center"/>
          </w:tcPr>
          <w:p w14:paraId="03B0C85E" w14:textId="77777777" w:rsidR="008143D9" w:rsidRPr="00AC3044" w:rsidRDefault="008143D9" w:rsidP="005A428D">
            <w:pPr>
              <w:rPr>
                <w:rFonts w:eastAsia="SimSun"/>
              </w:rPr>
            </w:pPr>
            <w:r w:rsidRPr="00AC3044">
              <w:rPr>
                <w:rFonts w:eastAsia="SimSun"/>
              </w:rPr>
              <w:t>180 мг/м</w:t>
            </w:r>
            <w:r w:rsidRPr="001E6DBE">
              <w:rPr>
                <w:rFonts w:eastAsia="SimSun"/>
                <w:vertAlign w:val="superscript"/>
              </w:rPr>
              <w:t>2</w:t>
            </w:r>
          </w:p>
        </w:tc>
        <w:tc>
          <w:tcPr>
            <w:tcW w:w="1783" w:type="dxa"/>
            <w:vAlign w:val="center"/>
          </w:tcPr>
          <w:p w14:paraId="30037273" w14:textId="77777777" w:rsidR="008143D9" w:rsidRPr="00AC3044" w:rsidRDefault="008143D9" w:rsidP="005A428D">
            <w:pPr>
              <w:rPr>
                <w:rFonts w:eastAsia="SimSun"/>
              </w:rPr>
            </w:pPr>
            <w:r w:rsidRPr="00AC3044">
              <w:rPr>
                <w:rFonts w:eastAsia="SimSun"/>
              </w:rPr>
              <w:t>С -7 дня по -2 день</w:t>
            </w:r>
          </w:p>
        </w:tc>
        <w:tc>
          <w:tcPr>
            <w:tcW w:w="2267" w:type="dxa"/>
            <w:vAlign w:val="center"/>
          </w:tcPr>
          <w:p w14:paraId="0F4A7761"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2E0C5535" w14:textId="77777777" w:rsidTr="005A428D">
        <w:trPr>
          <w:cantSplit/>
          <w:trHeight w:val="547"/>
        </w:trPr>
        <w:tc>
          <w:tcPr>
            <w:tcW w:w="1142" w:type="dxa"/>
            <w:vMerge/>
            <w:vAlign w:val="center"/>
          </w:tcPr>
          <w:p w14:paraId="422AE5F5" w14:textId="77777777" w:rsidR="008143D9" w:rsidRPr="00AC3044" w:rsidRDefault="008143D9" w:rsidP="005A428D">
            <w:pPr>
              <w:rPr>
                <w:rFonts w:eastAsia="SimSun"/>
              </w:rPr>
            </w:pPr>
          </w:p>
        </w:tc>
        <w:tc>
          <w:tcPr>
            <w:tcW w:w="1709" w:type="dxa"/>
            <w:vAlign w:val="center"/>
          </w:tcPr>
          <w:p w14:paraId="02C4B363" w14:textId="77777777" w:rsidR="008143D9" w:rsidRPr="00AC3044" w:rsidRDefault="008143D9" w:rsidP="005A428D">
            <w:pPr>
              <w:rPr>
                <w:rFonts w:eastAsia="SimSun"/>
              </w:rPr>
            </w:pPr>
            <w:r w:rsidRPr="00AC3044">
              <w:rPr>
                <w:rFonts w:eastAsia="SimSun"/>
              </w:rPr>
              <w:t>Бусульфан</w:t>
            </w:r>
          </w:p>
        </w:tc>
        <w:tc>
          <w:tcPr>
            <w:tcW w:w="1395" w:type="dxa"/>
            <w:vAlign w:val="center"/>
          </w:tcPr>
          <w:p w14:paraId="4F22861A" w14:textId="77777777" w:rsidR="008143D9" w:rsidRPr="00AC3044" w:rsidRDefault="008143D9" w:rsidP="005A428D">
            <w:pPr>
              <w:rPr>
                <w:rFonts w:eastAsia="SimSun"/>
              </w:rPr>
            </w:pPr>
            <w:r w:rsidRPr="00AC3044">
              <w:rPr>
                <w:rFonts w:eastAsia="SimSun"/>
              </w:rPr>
              <w:t xml:space="preserve">4 мг/кг </w:t>
            </w:r>
          </w:p>
        </w:tc>
        <w:tc>
          <w:tcPr>
            <w:tcW w:w="1367" w:type="dxa"/>
            <w:vAlign w:val="center"/>
          </w:tcPr>
          <w:p w14:paraId="7A7F6292" w14:textId="77777777" w:rsidR="008143D9" w:rsidRPr="00AC3044" w:rsidRDefault="008143D9" w:rsidP="005A428D">
            <w:pPr>
              <w:rPr>
                <w:rFonts w:eastAsia="SimSun"/>
              </w:rPr>
            </w:pPr>
            <w:r w:rsidRPr="00AC3044">
              <w:rPr>
                <w:rFonts w:eastAsia="SimSun"/>
              </w:rPr>
              <w:t xml:space="preserve">12 мг/кг </w:t>
            </w:r>
          </w:p>
        </w:tc>
        <w:tc>
          <w:tcPr>
            <w:tcW w:w="1783" w:type="dxa"/>
            <w:vAlign w:val="center"/>
          </w:tcPr>
          <w:p w14:paraId="03F564B1" w14:textId="77777777" w:rsidR="008143D9" w:rsidRPr="00AC3044" w:rsidRDefault="008143D9" w:rsidP="005A428D">
            <w:pPr>
              <w:rPr>
                <w:rFonts w:eastAsia="SimSun"/>
              </w:rPr>
            </w:pPr>
            <w:r w:rsidRPr="00AC3044">
              <w:rPr>
                <w:rFonts w:eastAsia="SimSun"/>
              </w:rPr>
              <w:t>С -5 дня по -3 день</w:t>
            </w:r>
          </w:p>
        </w:tc>
        <w:tc>
          <w:tcPr>
            <w:tcW w:w="2267" w:type="dxa"/>
            <w:vAlign w:val="center"/>
          </w:tcPr>
          <w:p w14:paraId="78249245" w14:textId="77777777" w:rsidR="008143D9" w:rsidRPr="00AC3044" w:rsidRDefault="008143D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8143D9" w:rsidRPr="00AC3044" w14:paraId="63C632C1" w14:textId="77777777" w:rsidTr="005A428D">
        <w:trPr>
          <w:cantSplit/>
          <w:trHeight w:val="1498"/>
        </w:trPr>
        <w:tc>
          <w:tcPr>
            <w:tcW w:w="1142" w:type="dxa"/>
            <w:vMerge w:val="restart"/>
            <w:textDirection w:val="btLr"/>
            <w:vAlign w:val="center"/>
          </w:tcPr>
          <w:p w14:paraId="2A2D9AB6" w14:textId="77777777" w:rsidR="008143D9" w:rsidRPr="00AC3044" w:rsidRDefault="008143D9" w:rsidP="005A428D">
            <w:pPr>
              <w:rPr>
                <w:rFonts w:eastAsia="SimSun"/>
              </w:rPr>
            </w:pPr>
            <w:r w:rsidRPr="00AC3044">
              <w:rPr>
                <w:rFonts w:eastAsia="SimSun"/>
              </w:rPr>
              <w:t>Профилактика РТПХ</w:t>
            </w:r>
          </w:p>
        </w:tc>
        <w:tc>
          <w:tcPr>
            <w:tcW w:w="1709" w:type="dxa"/>
            <w:vAlign w:val="center"/>
          </w:tcPr>
          <w:p w14:paraId="32950465" w14:textId="77777777" w:rsidR="008143D9" w:rsidRPr="00AC3044" w:rsidRDefault="008143D9" w:rsidP="005A428D">
            <w:pPr>
              <w:rPr>
                <w:rFonts w:eastAsia="SimSun"/>
              </w:rPr>
            </w:pPr>
            <w:r w:rsidRPr="00AC3044">
              <w:rPr>
                <w:rFonts w:eastAsia="SimSun"/>
              </w:rPr>
              <w:t xml:space="preserve">Такролимус </w:t>
            </w:r>
          </w:p>
        </w:tc>
        <w:tc>
          <w:tcPr>
            <w:tcW w:w="1395" w:type="dxa"/>
            <w:vAlign w:val="center"/>
          </w:tcPr>
          <w:p w14:paraId="19D66D16" w14:textId="77777777" w:rsidR="008143D9" w:rsidRPr="00AC3044" w:rsidRDefault="008143D9" w:rsidP="005A428D">
            <w:pPr>
              <w:rPr>
                <w:rFonts w:eastAsia="SimSun"/>
              </w:rPr>
            </w:pPr>
            <w:r w:rsidRPr="00AC3044">
              <w:rPr>
                <w:rFonts w:eastAsia="SimSun"/>
              </w:rPr>
              <w:t>0,03 мг/кг</w:t>
            </w:r>
          </w:p>
        </w:tc>
        <w:tc>
          <w:tcPr>
            <w:tcW w:w="1367" w:type="dxa"/>
            <w:vAlign w:val="center"/>
          </w:tcPr>
          <w:p w14:paraId="5223A907" w14:textId="77777777" w:rsidR="008143D9" w:rsidRPr="00AC3044" w:rsidRDefault="008143D9" w:rsidP="005A428D">
            <w:pPr>
              <w:rPr>
                <w:rFonts w:eastAsia="SimSun"/>
              </w:rPr>
            </w:pPr>
            <w:r w:rsidRPr="00AC3044">
              <w:rPr>
                <w:rFonts w:eastAsia="SimSun"/>
              </w:rPr>
              <w:t>–</w:t>
            </w:r>
          </w:p>
        </w:tc>
        <w:tc>
          <w:tcPr>
            <w:tcW w:w="1783" w:type="dxa"/>
            <w:vAlign w:val="center"/>
          </w:tcPr>
          <w:p w14:paraId="3D1848AF" w14:textId="77777777" w:rsidR="008143D9" w:rsidRPr="00AC3044" w:rsidRDefault="008143D9" w:rsidP="005A428D">
            <w:pPr>
              <w:rPr>
                <w:rFonts w:eastAsia="SimSun"/>
              </w:rPr>
            </w:pPr>
            <w:r w:rsidRPr="00AC3044">
              <w:rPr>
                <w:rFonts w:eastAsia="SimSun"/>
              </w:rPr>
              <w:t xml:space="preserve">С +5 дня длительно </w:t>
            </w:r>
          </w:p>
        </w:tc>
        <w:tc>
          <w:tcPr>
            <w:tcW w:w="2267" w:type="dxa"/>
            <w:vAlign w:val="center"/>
          </w:tcPr>
          <w:p w14:paraId="67A944ED" w14:textId="77777777" w:rsidR="008143D9" w:rsidRPr="00AC3044" w:rsidRDefault="008143D9" w:rsidP="005A428D">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DB259E">
              <w:rPr>
                <w:rFonts w:eastAsia="SimSun"/>
                <w:vertAlign w:val="superscript"/>
              </w:rPr>
              <w:t>9</w:t>
            </w:r>
            <w:r w:rsidRPr="00AC3044">
              <w:rPr>
                <w:rFonts w:eastAsia="SimSun"/>
              </w:rPr>
              <w:t>/л, при</w:t>
            </w:r>
            <w:r>
              <w:rPr>
                <w:rFonts w:eastAsia="SimSun"/>
              </w:rPr>
              <w:t xml:space="preserve"> </w:t>
            </w:r>
            <w:r w:rsidRPr="00AC3044">
              <w:rPr>
                <w:rFonts w:eastAsia="SimSun"/>
              </w:rPr>
              <w:t xml:space="preserve">отсутствии тошноты, рвоты, диареи и возможности приема внутрь. Концентрация Tx 5-15 нг/мл.    </w:t>
            </w:r>
          </w:p>
        </w:tc>
      </w:tr>
      <w:tr w:rsidR="008143D9" w:rsidRPr="00AC3044" w14:paraId="7D8A9269" w14:textId="77777777" w:rsidTr="005A428D">
        <w:trPr>
          <w:cantSplit/>
          <w:trHeight w:val="625"/>
        </w:trPr>
        <w:tc>
          <w:tcPr>
            <w:tcW w:w="1142" w:type="dxa"/>
            <w:vMerge/>
            <w:textDirection w:val="btLr"/>
            <w:vAlign w:val="center"/>
          </w:tcPr>
          <w:p w14:paraId="4595FD37" w14:textId="77777777" w:rsidR="008143D9" w:rsidRPr="00AC3044" w:rsidRDefault="008143D9" w:rsidP="005A428D">
            <w:pPr>
              <w:rPr>
                <w:rFonts w:eastAsia="SimSun"/>
              </w:rPr>
            </w:pPr>
          </w:p>
        </w:tc>
        <w:tc>
          <w:tcPr>
            <w:tcW w:w="1709" w:type="dxa"/>
            <w:vAlign w:val="center"/>
          </w:tcPr>
          <w:p w14:paraId="261FFE6C" w14:textId="77777777" w:rsidR="008143D9" w:rsidRPr="00AC3044" w:rsidRDefault="008143D9" w:rsidP="005A428D">
            <w:pPr>
              <w:rPr>
                <w:rFonts w:eastAsia="SimSun"/>
              </w:rPr>
            </w:pPr>
            <w:r w:rsidRPr="00AC3044">
              <w:rPr>
                <w:rFonts w:eastAsia="SimSun"/>
              </w:rPr>
              <w:t>Микофенолата мофетил</w:t>
            </w:r>
          </w:p>
        </w:tc>
        <w:tc>
          <w:tcPr>
            <w:tcW w:w="1395" w:type="dxa"/>
            <w:vAlign w:val="center"/>
          </w:tcPr>
          <w:p w14:paraId="34704E1A" w14:textId="77777777" w:rsidR="008143D9" w:rsidRPr="00AC3044" w:rsidRDefault="008143D9" w:rsidP="005A428D">
            <w:pPr>
              <w:rPr>
                <w:rFonts w:eastAsia="SimSun"/>
              </w:rPr>
            </w:pPr>
            <w:r w:rsidRPr="00AC3044">
              <w:rPr>
                <w:rFonts w:eastAsia="SimSun"/>
              </w:rPr>
              <w:t xml:space="preserve">30 мг/кг </w:t>
            </w:r>
          </w:p>
        </w:tc>
        <w:tc>
          <w:tcPr>
            <w:tcW w:w="1367" w:type="dxa"/>
            <w:vAlign w:val="center"/>
          </w:tcPr>
          <w:p w14:paraId="5370FF41" w14:textId="77777777" w:rsidR="008143D9" w:rsidRPr="00AC3044" w:rsidRDefault="008143D9" w:rsidP="005A428D">
            <w:pPr>
              <w:rPr>
                <w:rFonts w:eastAsia="SimSun"/>
              </w:rPr>
            </w:pPr>
            <w:r w:rsidRPr="00AC3044">
              <w:rPr>
                <w:rFonts w:eastAsia="SimSun"/>
              </w:rPr>
              <w:t>–</w:t>
            </w:r>
          </w:p>
        </w:tc>
        <w:tc>
          <w:tcPr>
            <w:tcW w:w="1783" w:type="dxa"/>
            <w:vAlign w:val="center"/>
          </w:tcPr>
          <w:p w14:paraId="30FD4937" w14:textId="77777777" w:rsidR="008143D9" w:rsidRPr="00AC3044" w:rsidRDefault="008143D9" w:rsidP="005A428D">
            <w:pPr>
              <w:rPr>
                <w:rFonts w:eastAsia="SimSun"/>
              </w:rPr>
            </w:pPr>
            <w:r w:rsidRPr="00AC3044">
              <w:rPr>
                <w:rFonts w:eastAsia="SimSun"/>
              </w:rPr>
              <w:t xml:space="preserve">С +5 дня по +35 день </w:t>
            </w:r>
          </w:p>
        </w:tc>
        <w:tc>
          <w:tcPr>
            <w:tcW w:w="2267" w:type="dxa"/>
            <w:vAlign w:val="center"/>
          </w:tcPr>
          <w:p w14:paraId="7FEE8C55" w14:textId="77777777" w:rsidR="008143D9" w:rsidRPr="00AC3044" w:rsidRDefault="008143D9" w:rsidP="005A428D">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481FB7F6" w14:textId="77777777" w:rsidR="008143D9" w:rsidRDefault="008143D9" w:rsidP="008143D9">
      <w:pPr>
        <w:rPr>
          <w:rFonts w:eastAsia="SimSun"/>
        </w:rPr>
      </w:pPr>
      <w:bookmarkStart w:id="155" w:name="_Toc44401193"/>
    </w:p>
    <w:p w14:paraId="03E12EEA" w14:textId="77777777" w:rsidR="008143D9" w:rsidRDefault="008143D9" w:rsidP="008143D9">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2.1.7  – Flu180+Bu14 / PT-Cy</w:t>
      </w:r>
      <w:bookmarkStart w:id="156" w:name="_Toc44401194"/>
      <w:bookmarkEnd w:id="155"/>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6"/>
        <w:gridCol w:w="1731"/>
        <w:gridCol w:w="1399"/>
        <w:gridCol w:w="1272"/>
        <w:gridCol w:w="1760"/>
        <w:gridCol w:w="2234"/>
      </w:tblGrid>
      <w:tr w:rsidR="008143D9" w:rsidRPr="00AC3044" w14:paraId="6156C581" w14:textId="77777777" w:rsidTr="005A428D">
        <w:trPr>
          <w:cantSplit/>
          <w:trHeight w:val="20"/>
          <w:tblHeader/>
        </w:trPr>
        <w:tc>
          <w:tcPr>
            <w:tcW w:w="1176" w:type="dxa"/>
            <w:vAlign w:val="center"/>
          </w:tcPr>
          <w:p w14:paraId="70D1729D" w14:textId="77777777" w:rsidR="008143D9" w:rsidRPr="00AC3044" w:rsidRDefault="008143D9" w:rsidP="005A428D">
            <w:pPr>
              <w:rPr>
                <w:rFonts w:eastAsia="SimSun"/>
              </w:rPr>
            </w:pPr>
            <w:r w:rsidRPr="00AC3044">
              <w:rPr>
                <w:rFonts w:eastAsia="SimSun"/>
              </w:rPr>
              <w:tab/>
            </w:r>
          </w:p>
        </w:tc>
        <w:tc>
          <w:tcPr>
            <w:tcW w:w="1731" w:type="dxa"/>
            <w:vAlign w:val="center"/>
          </w:tcPr>
          <w:p w14:paraId="2E26E64D" w14:textId="77777777" w:rsidR="008143D9" w:rsidRPr="00AC3044" w:rsidRDefault="008143D9" w:rsidP="005A428D">
            <w:pPr>
              <w:rPr>
                <w:rFonts w:eastAsia="SimSun"/>
              </w:rPr>
            </w:pPr>
            <w:r w:rsidRPr="00AC3044">
              <w:rPr>
                <w:rFonts w:eastAsia="SimSun"/>
              </w:rPr>
              <w:t>Препарат</w:t>
            </w:r>
          </w:p>
        </w:tc>
        <w:tc>
          <w:tcPr>
            <w:tcW w:w="1399" w:type="dxa"/>
            <w:vAlign w:val="center"/>
          </w:tcPr>
          <w:p w14:paraId="255DD5CA" w14:textId="77777777" w:rsidR="008143D9" w:rsidRPr="00AC3044" w:rsidRDefault="008143D9" w:rsidP="005A428D">
            <w:pPr>
              <w:rPr>
                <w:rFonts w:eastAsia="SimSun"/>
              </w:rPr>
            </w:pPr>
            <w:r w:rsidRPr="00AC3044">
              <w:rPr>
                <w:rFonts w:eastAsia="SimSun"/>
              </w:rPr>
              <w:t>Суточная доза</w:t>
            </w:r>
          </w:p>
        </w:tc>
        <w:tc>
          <w:tcPr>
            <w:tcW w:w="1272" w:type="dxa"/>
            <w:vAlign w:val="center"/>
          </w:tcPr>
          <w:p w14:paraId="1BDF7A9B" w14:textId="77777777" w:rsidR="008143D9" w:rsidRPr="00AC3044" w:rsidRDefault="008143D9" w:rsidP="005A428D">
            <w:pPr>
              <w:rPr>
                <w:rFonts w:eastAsia="SimSun"/>
              </w:rPr>
            </w:pPr>
            <w:r w:rsidRPr="00AC3044">
              <w:rPr>
                <w:rFonts w:eastAsia="SimSun"/>
              </w:rPr>
              <w:t>Курсовая доза</w:t>
            </w:r>
          </w:p>
        </w:tc>
        <w:tc>
          <w:tcPr>
            <w:tcW w:w="1760" w:type="dxa"/>
            <w:vAlign w:val="center"/>
          </w:tcPr>
          <w:p w14:paraId="676F4614" w14:textId="77777777" w:rsidR="008143D9" w:rsidRPr="00AC3044" w:rsidRDefault="008143D9" w:rsidP="005A428D">
            <w:pPr>
              <w:rPr>
                <w:rFonts w:eastAsia="SimSun"/>
              </w:rPr>
            </w:pPr>
            <w:r w:rsidRPr="00AC3044">
              <w:rPr>
                <w:rFonts w:eastAsia="SimSun"/>
              </w:rPr>
              <w:t>Дни введения</w:t>
            </w:r>
          </w:p>
        </w:tc>
        <w:tc>
          <w:tcPr>
            <w:tcW w:w="2234" w:type="dxa"/>
            <w:vAlign w:val="center"/>
          </w:tcPr>
          <w:p w14:paraId="32E048D4"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451853A5" w14:textId="77777777" w:rsidTr="005A428D">
        <w:trPr>
          <w:cantSplit/>
          <w:trHeight w:val="20"/>
        </w:trPr>
        <w:tc>
          <w:tcPr>
            <w:tcW w:w="1176" w:type="dxa"/>
            <w:vMerge w:val="restart"/>
            <w:textDirection w:val="btLr"/>
            <w:vAlign w:val="center"/>
          </w:tcPr>
          <w:p w14:paraId="58E3D38F" w14:textId="77777777" w:rsidR="008143D9" w:rsidRPr="00AC3044" w:rsidRDefault="008143D9" w:rsidP="005A428D">
            <w:pPr>
              <w:rPr>
                <w:rFonts w:eastAsia="SimSun"/>
              </w:rPr>
            </w:pPr>
            <w:r w:rsidRPr="00AC3044">
              <w:rPr>
                <w:rFonts w:eastAsia="SimSun"/>
              </w:rPr>
              <w:t>Кондиционирование</w:t>
            </w:r>
          </w:p>
        </w:tc>
        <w:tc>
          <w:tcPr>
            <w:tcW w:w="1731" w:type="dxa"/>
            <w:vAlign w:val="center"/>
          </w:tcPr>
          <w:p w14:paraId="3737EBCB" w14:textId="77777777" w:rsidR="008143D9" w:rsidRPr="00AC3044" w:rsidRDefault="008143D9" w:rsidP="005A428D">
            <w:pPr>
              <w:rPr>
                <w:rFonts w:eastAsia="SimSun"/>
              </w:rPr>
            </w:pPr>
            <w:r w:rsidRPr="00AC3044">
              <w:rPr>
                <w:rFonts w:eastAsia="SimSun"/>
              </w:rPr>
              <w:t xml:space="preserve">Флударабин </w:t>
            </w:r>
          </w:p>
        </w:tc>
        <w:tc>
          <w:tcPr>
            <w:tcW w:w="1399" w:type="dxa"/>
            <w:vAlign w:val="center"/>
          </w:tcPr>
          <w:p w14:paraId="775D923A" w14:textId="77777777" w:rsidR="008143D9" w:rsidRPr="00AC3044" w:rsidRDefault="008143D9" w:rsidP="005A428D">
            <w:pPr>
              <w:rPr>
                <w:rFonts w:eastAsia="SimSun"/>
              </w:rPr>
            </w:pPr>
            <w:r w:rsidRPr="00AC3044">
              <w:rPr>
                <w:rFonts w:eastAsia="SimSun"/>
              </w:rPr>
              <w:t>30 мг/м</w:t>
            </w:r>
            <w:r w:rsidRPr="00DB259E">
              <w:rPr>
                <w:rFonts w:eastAsia="SimSun"/>
                <w:vertAlign w:val="superscript"/>
              </w:rPr>
              <w:t>2</w:t>
            </w:r>
          </w:p>
        </w:tc>
        <w:tc>
          <w:tcPr>
            <w:tcW w:w="1272" w:type="dxa"/>
            <w:vAlign w:val="center"/>
          </w:tcPr>
          <w:p w14:paraId="5BBF9FD9" w14:textId="77777777" w:rsidR="008143D9" w:rsidRPr="00AC3044" w:rsidRDefault="008143D9" w:rsidP="005A428D">
            <w:pPr>
              <w:rPr>
                <w:rFonts w:eastAsia="SimSun"/>
              </w:rPr>
            </w:pPr>
            <w:r w:rsidRPr="00AC3044">
              <w:rPr>
                <w:rFonts w:eastAsia="SimSun"/>
              </w:rPr>
              <w:t>180 мг/м</w:t>
            </w:r>
            <w:r w:rsidRPr="00DB259E">
              <w:rPr>
                <w:rFonts w:eastAsia="SimSun"/>
                <w:vertAlign w:val="superscript"/>
              </w:rPr>
              <w:t>2</w:t>
            </w:r>
          </w:p>
        </w:tc>
        <w:tc>
          <w:tcPr>
            <w:tcW w:w="1760" w:type="dxa"/>
            <w:vAlign w:val="center"/>
          </w:tcPr>
          <w:p w14:paraId="61642D82" w14:textId="77777777" w:rsidR="008143D9" w:rsidRPr="00AC3044" w:rsidRDefault="008143D9" w:rsidP="005A428D">
            <w:pPr>
              <w:rPr>
                <w:rFonts w:eastAsia="SimSun"/>
              </w:rPr>
            </w:pPr>
            <w:r w:rsidRPr="00AC3044">
              <w:rPr>
                <w:rFonts w:eastAsia="SimSun"/>
              </w:rPr>
              <w:t>С -7 дня по -2 день</w:t>
            </w:r>
          </w:p>
        </w:tc>
        <w:tc>
          <w:tcPr>
            <w:tcW w:w="2234" w:type="dxa"/>
            <w:vAlign w:val="center"/>
          </w:tcPr>
          <w:p w14:paraId="5B32C0B9"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510D18D9" w14:textId="77777777" w:rsidTr="005A428D">
        <w:trPr>
          <w:cantSplit/>
          <w:trHeight w:val="1207"/>
        </w:trPr>
        <w:tc>
          <w:tcPr>
            <w:tcW w:w="1176" w:type="dxa"/>
            <w:vMerge/>
            <w:vAlign w:val="center"/>
          </w:tcPr>
          <w:p w14:paraId="514DC3FF" w14:textId="77777777" w:rsidR="008143D9" w:rsidRPr="00AC3044" w:rsidRDefault="008143D9" w:rsidP="005A428D">
            <w:pPr>
              <w:rPr>
                <w:rFonts w:eastAsia="SimSun"/>
              </w:rPr>
            </w:pPr>
          </w:p>
        </w:tc>
        <w:tc>
          <w:tcPr>
            <w:tcW w:w="1731" w:type="dxa"/>
            <w:vAlign w:val="center"/>
          </w:tcPr>
          <w:p w14:paraId="2F64EC6C" w14:textId="77777777" w:rsidR="008143D9" w:rsidRPr="00AC3044" w:rsidRDefault="008143D9" w:rsidP="005A428D">
            <w:pPr>
              <w:rPr>
                <w:rFonts w:eastAsia="SimSun"/>
              </w:rPr>
            </w:pPr>
            <w:r w:rsidRPr="00AC3044">
              <w:rPr>
                <w:rFonts w:eastAsia="SimSun"/>
              </w:rPr>
              <w:t>Бусульфан</w:t>
            </w:r>
          </w:p>
        </w:tc>
        <w:tc>
          <w:tcPr>
            <w:tcW w:w="1399" w:type="dxa"/>
            <w:vAlign w:val="center"/>
          </w:tcPr>
          <w:p w14:paraId="4DCEBC75" w14:textId="77777777" w:rsidR="008143D9" w:rsidRPr="00AC3044" w:rsidRDefault="008143D9" w:rsidP="005A428D">
            <w:pPr>
              <w:rPr>
                <w:rFonts w:eastAsia="SimSun"/>
              </w:rPr>
            </w:pPr>
            <w:r w:rsidRPr="00AC3044">
              <w:rPr>
                <w:rFonts w:eastAsia="SimSun"/>
              </w:rPr>
              <w:t xml:space="preserve">4 мг/кг </w:t>
            </w:r>
          </w:p>
        </w:tc>
        <w:tc>
          <w:tcPr>
            <w:tcW w:w="1272" w:type="dxa"/>
            <w:vAlign w:val="center"/>
          </w:tcPr>
          <w:p w14:paraId="0F20AA73" w14:textId="77777777" w:rsidR="008143D9" w:rsidRPr="00AC3044" w:rsidRDefault="008143D9" w:rsidP="005A428D">
            <w:pPr>
              <w:rPr>
                <w:rFonts w:eastAsia="SimSun"/>
              </w:rPr>
            </w:pPr>
            <w:r w:rsidRPr="00AC3044">
              <w:rPr>
                <w:rFonts w:eastAsia="SimSun"/>
              </w:rPr>
              <w:t xml:space="preserve">14 мг/кг </w:t>
            </w:r>
          </w:p>
        </w:tc>
        <w:tc>
          <w:tcPr>
            <w:tcW w:w="1760" w:type="dxa"/>
            <w:vAlign w:val="center"/>
          </w:tcPr>
          <w:p w14:paraId="7337BE5D" w14:textId="77777777" w:rsidR="008143D9" w:rsidRPr="00AC3044" w:rsidRDefault="008143D9" w:rsidP="005A428D">
            <w:pPr>
              <w:rPr>
                <w:rFonts w:eastAsia="SimSun"/>
              </w:rPr>
            </w:pPr>
            <w:r w:rsidRPr="00AC3044">
              <w:rPr>
                <w:rFonts w:eastAsia="SimSun"/>
              </w:rPr>
              <w:t>С -6 дня по -3 день</w:t>
            </w:r>
          </w:p>
        </w:tc>
        <w:tc>
          <w:tcPr>
            <w:tcW w:w="2234" w:type="dxa"/>
            <w:vAlign w:val="center"/>
          </w:tcPr>
          <w:p w14:paraId="3C8EE5A7" w14:textId="77777777" w:rsidR="008143D9" w:rsidRPr="00AC3044" w:rsidRDefault="008143D9" w:rsidP="005A428D">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8143D9" w:rsidRPr="00AC3044" w14:paraId="6157151B" w14:textId="77777777" w:rsidTr="005A428D">
        <w:trPr>
          <w:cantSplit/>
          <w:trHeight w:val="1274"/>
        </w:trPr>
        <w:tc>
          <w:tcPr>
            <w:tcW w:w="1176" w:type="dxa"/>
            <w:textDirection w:val="btLr"/>
            <w:vAlign w:val="center"/>
          </w:tcPr>
          <w:p w14:paraId="7E7F2D39" w14:textId="77777777" w:rsidR="008143D9" w:rsidRPr="00AC3044" w:rsidRDefault="008143D9" w:rsidP="005A428D">
            <w:pPr>
              <w:rPr>
                <w:rFonts w:eastAsia="SimSun"/>
              </w:rPr>
            </w:pPr>
            <w:r w:rsidRPr="00AC3044">
              <w:rPr>
                <w:rFonts w:eastAsia="SimSun"/>
              </w:rPr>
              <w:t>Профилактика РТПХ</w:t>
            </w:r>
          </w:p>
        </w:tc>
        <w:tc>
          <w:tcPr>
            <w:tcW w:w="1731" w:type="dxa"/>
            <w:vAlign w:val="center"/>
          </w:tcPr>
          <w:p w14:paraId="6FF6CF3A" w14:textId="77777777" w:rsidR="008143D9" w:rsidRPr="00AC3044" w:rsidRDefault="008143D9" w:rsidP="005A428D">
            <w:pPr>
              <w:rPr>
                <w:rFonts w:eastAsia="SimSun"/>
              </w:rPr>
            </w:pPr>
            <w:r w:rsidRPr="00AC3044">
              <w:rPr>
                <w:rFonts w:eastAsia="SimSun"/>
              </w:rPr>
              <w:t>Циклофосфамид</w:t>
            </w:r>
          </w:p>
        </w:tc>
        <w:tc>
          <w:tcPr>
            <w:tcW w:w="1399" w:type="dxa"/>
            <w:vAlign w:val="center"/>
          </w:tcPr>
          <w:p w14:paraId="6A78D715" w14:textId="77777777" w:rsidR="008143D9" w:rsidRPr="00AC3044" w:rsidRDefault="008143D9" w:rsidP="005A428D">
            <w:pPr>
              <w:rPr>
                <w:rFonts w:eastAsia="SimSun"/>
              </w:rPr>
            </w:pPr>
            <w:r w:rsidRPr="00AC3044">
              <w:rPr>
                <w:rFonts w:eastAsia="SimSun"/>
              </w:rPr>
              <w:t>50 мг/кг</w:t>
            </w:r>
          </w:p>
        </w:tc>
        <w:tc>
          <w:tcPr>
            <w:tcW w:w="1272" w:type="dxa"/>
            <w:vAlign w:val="center"/>
          </w:tcPr>
          <w:p w14:paraId="38E039F0" w14:textId="77777777" w:rsidR="008143D9" w:rsidRPr="00AC3044" w:rsidRDefault="008143D9" w:rsidP="005A428D">
            <w:pPr>
              <w:rPr>
                <w:rFonts w:eastAsia="SimSun"/>
              </w:rPr>
            </w:pPr>
            <w:r w:rsidRPr="00AC3044">
              <w:rPr>
                <w:rFonts w:eastAsia="SimSun"/>
              </w:rPr>
              <w:t>100 мг/кг</w:t>
            </w:r>
          </w:p>
        </w:tc>
        <w:tc>
          <w:tcPr>
            <w:tcW w:w="1760" w:type="dxa"/>
            <w:vAlign w:val="center"/>
          </w:tcPr>
          <w:p w14:paraId="0D1B88F4" w14:textId="77777777" w:rsidR="008143D9" w:rsidRPr="00AC3044" w:rsidRDefault="008143D9" w:rsidP="005A428D">
            <w:pPr>
              <w:rPr>
                <w:rFonts w:eastAsia="SimSun"/>
              </w:rPr>
            </w:pPr>
            <w:r w:rsidRPr="00AC3044">
              <w:rPr>
                <w:rFonts w:eastAsia="SimSun"/>
              </w:rPr>
              <w:t>С +3 дня по +4 день</w:t>
            </w:r>
          </w:p>
        </w:tc>
        <w:tc>
          <w:tcPr>
            <w:tcW w:w="2234" w:type="dxa"/>
            <w:vAlign w:val="center"/>
          </w:tcPr>
          <w:p w14:paraId="7461A72B" w14:textId="77777777" w:rsidR="008143D9" w:rsidRPr="00AC3044" w:rsidRDefault="008143D9" w:rsidP="005A428D">
            <w:pPr>
              <w:rPr>
                <w:rFonts w:eastAsia="SimSun"/>
              </w:rPr>
            </w:pPr>
            <w:r w:rsidRPr="00AC3044">
              <w:rPr>
                <w:rFonts w:eastAsia="SimSun"/>
              </w:rPr>
              <w:t>В/в, в течение 2 ч</w:t>
            </w:r>
          </w:p>
        </w:tc>
      </w:tr>
    </w:tbl>
    <w:p w14:paraId="64D189A5" w14:textId="77777777" w:rsidR="008143D9" w:rsidRDefault="008143D9" w:rsidP="008143D9">
      <w:pPr>
        <w:rPr>
          <w:rFonts w:eastAsia="SimSun"/>
        </w:rPr>
      </w:pPr>
    </w:p>
    <w:p w14:paraId="559A5ACD" w14:textId="77777777" w:rsidR="008143D9" w:rsidRPr="00C07B2E" w:rsidRDefault="008143D9" w:rsidP="008143D9">
      <w:pPr>
        <w:rPr>
          <w:rFonts w:eastAsia="SimSun"/>
        </w:rPr>
      </w:pPr>
      <w:r w:rsidRPr="00042499">
        <w:rPr>
          <w:rFonts w:eastAsia="SimSun"/>
        </w:rPr>
        <w:t>Таблица</w:t>
      </w:r>
      <w:r w:rsidRPr="00C07B2E">
        <w:rPr>
          <w:rFonts w:eastAsia="SimSun"/>
        </w:rPr>
        <w:t xml:space="preserve"> 4.2.1.8  – Flu180+Bu14 / PT-Cy+Tx+MMF30</w:t>
      </w:r>
      <w:bookmarkEnd w:id="156"/>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01"/>
        <w:gridCol w:w="1418"/>
        <w:gridCol w:w="1275"/>
        <w:gridCol w:w="1702"/>
        <w:gridCol w:w="2268"/>
      </w:tblGrid>
      <w:tr w:rsidR="008143D9" w:rsidRPr="00AC3044" w14:paraId="34333E85" w14:textId="77777777" w:rsidTr="005A428D">
        <w:trPr>
          <w:cantSplit/>
          <w:trHeight w:val="20"/>
          <w:tblHeader/>
        </w:trPr>
        <w:tc>
          <w:tcPr>
            <w:tcW w:w="1242" w:type="dxa"/>
            <w:vAlign w:val="center"/>
          </w:tcPr>
          <w:p w14:paraId="1D9A5ED7" w14:textId="77777777" w:rsidR="008143D9" w:rsidRPr="00AC3044" w:rsidRDefault="008143D9" w:rsidP="005A428D">
            <w:pPr>
              <w:rPr>
                <w:rFonts w:eastAsia="SimSun"/>
              </w:rPr>
            </w:pPr>
          </w:p>
        </w:tc>
        <w:tc>
          <w:tcPr>
            <w:tcW w:w="1701" w:type="dxa"/>
            <w:vAlign w:val="center"/>
          </w:tcPr>
          <w:p w14:paraId="463514F4" w14:textId="77777777" w:rsidR="008143D9" w:rsidRPr="00AC3044" w:rsidRDefault="008143D9" w:rsidP="005A428D">
            <w:pPr>
              <w:rPr>
                <w:rFonts w:eastAsia="SimSun"/>
              </w:rPr>
            </w:pPr>
            <w:r w:rsidRPr="00AC3044">
              <w:rPr>
                <w:rFonts w:eastAsia="SimSun"/>
              </w:rPr>
              <w:t>Препарат</w:t>
            </w:r>
          </w:p>
        </w:tc>
        <w:tc>
          <w:tcPr>
            <w:tcW w:w="1418" w:type="dxa"/>
            <w:vAlign w:val="center"/>
          </w:tcPr>
          <w:p w14:paraId="7D71ACFA" w14:textId="77777777" w:rsidR="008143D9" w:rsidRPr="00AC3044" w:rsidRDefault="008143D9" w:rsidP="005A428D">
            <w:pPr>
              <w:rPr>
                <w:rFonts w:eastAsia="SimSun"/>
              </w:rPr>
            </w:pPr>
            <w:r w:rsidRPr="00AC3044">
              <w:rPr>
                <w:rFonts w:eastAsia="SimSun"/>
              </w:rPr>
              <w:t>Суточная доза</w:t>
            </w:r>
          </w:p>
        </w:tc>
        <w:tc>
          <w:tcPr>
            <w:tcW w:w="1275" w:type="dxa"/>
            <w:vAlign w:val="center"/>
          </w:tcPr>
          <w:p w14:paraId="0D05F8F2" w14:textId="77777777" w:rsidR="008143D9" w:rsidRPr="00AC3044" w:rsidRDefault="008143D9" w:rsidP="005A428D">
            <w:pPr>
              <w:rPr>
                <w:rFonts w:eastAsia="SimSun"/>
              </w:rPr>
            </w:pPr>
            <w:r w:rsidRPr="00AC3044">
              <w:rPr>
                <w:rFonts w:eastAsia="SimSun"/>
              </w:rPr>
              <w:t>Курсовая доза</w:t>
            </w:r>
          </w:p>
        </w:tc>
        <w:tc>
          <w:tcPr>
            <w:tcW w:w="1702" w:type="dxa"/>
            <w:vAlign w:val="center"/>
          </w:tcPr>
          <w:p w14:paraId="392C14C9" w14:textId="77777777" w:rsidR="008143D9" w:rsidRPr="00AC3044" w:rsidRDefault="008143D9" w:rsidP="005A428D">
            <w:pPr>
              <w:rPr>
                <w:rFonts w:eastAsia="SimSun"/>
              </w:rPr>
            </w:pPr>
            <w:r w:rsidRPr="00AC3044">
              <w:rPr>
                <w:rFonts w:eastAsia="SimSun"/>
              </w:rPr>
              <w:t>Дни введения</w:t>
            </w:r>
          </w:p>
        </w:tc>
        <w:tc>
          <w:tcPr>
            <w:tcW w:w="2268" w:type="dxa"/>
            <w:vAlign w:val="center"/>
          </w:tcPr>
          <w:p w14:paraId="6B2637B0"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4AF77AE3" w14:textId="77777777" w:rsidTr="005A428D">
        <w:trPr>
          <w:cantSplit/>
          <w:trHeight w:val="20"/>
        </w:trPr>
        <w:tc>
          <w:tcPr>
            <w:tcW w:w="1242" w:type="dxa"/>
            <w:vMerge w:val="restart"/>
            <w:textDirection w:val="btLr"/>
            <w:vAlign w:val="center"/>
          </w:tcPr>
          <w:p w14:paraId="2CF2373B" w14:textId="77777777" w:rsidR="008143D9" w:rsidRPr="00AC3044" w:rsidRDefault="008143D9" w:rsidP="005A428D">
            <w:pPr>
              <w:rPr>
                <w:rFonts w:eastAsia="SimSun"/>
              </w:rPr>
            </w:pPr>
            <w:r w:rsidRPr="00AC3044">
              <w:rPr>
                <w:rFonts w:eastAsia="SimSun"/>
              </w:rPr>
              <w:t>Кондиционирование</w:t>
            </w:r>
          </w:p>
        </w:tc>
        <w:tc>
          <w:tcPr>
            <w:tcW w:w="1701" w:type="dxa"/>
            <w:vAlign w:val="center"/>
          </w:tcPr>
          <w:p w14:paraId="633D8DC6" w14:textId="77777777" w:rsidR="008143D9" w:rsidRPr="00AC3044" w:rsidRDefault="008143D9" w:rsidP="005A428D">
            <w:pPr>
              <w:rPr>
                <w:rFonts w:eastAsia="SimSun"/>
              </w:rPr>
            </w:pPr>
            <w:r w:rsidRPr="00AC3044">
              <w:rPr>
                <w:rFonts w:eastAsia="SimSun"/>
              </w:rPr>
              <w:t xml:space="preserve">Флударабин </w:t>
            </w:r>
          </w:p>
        </w:tc>
        <w:tc>
          <w:tcPr>
            <w:tcW w:w="1418" w:type="dxa"/>
            <w:vAlign w:val="center"/>
          </w:tcPr>
          <w:p w14:paraId="4B74DFBD" w14:textId="77777777" w:rsidR="008143D9" w:rsidRPr="00AC3044" w:rsidRDefault="008143D9" w:rsidP="005A428D">
            <w:pPr>
              <w:rPr>
                <w:rFonts w:eastAsia="SimSun"/>
              </w:rPr>
            </w:pPr>
            <w:r w:rsidRPr="00AC3044">
              <w:rPr>
                <w:rFonts w:eastAsia="SimSun"/>
              </w:rPr>
              <w:t>30 мг/м</w:t>
            </w:r>
            <w:r w:rsidRPr="00DB259E">
              <w:rPr>
                <w:rFonts w:eastAsia="SimSun"/>
                <w:vertAlign w:val="superscript"/>
              </w:rPr>
              <w:t>2</w:t>
            </w:r>
          </w:p>
        </w:tc>
        <w:tc>
          <w:tcPr>
            <w:tcW w:w="1275" w:type="dxa"/>
            <w:vAlign w:val="center"/>
          </w:tcPr>
          <w:p w14:paraId="5DB82455" w14:textId="77777777" w:rsidR="008143D9" w:rsidRPr="00AC3044" w:rsidRDefault="008143D9" w:rsidP="005A428D">
            <w:pPr>
              <w:rPr>
                <w:rFonts w:eastAsia="SimSun"/>
              </w:rPr>
            </w:pPr>
            <w:r w:rsidRPr="00AC3044">
              <w:rPr>
                <w:rFonts w:eastAsia="SimSun"/>
              </w:rPr>
              <w:t>180 мг/м</w:t>
            </w:r>
            <w:r w:rsidRPr="00DB259E">
              <w:rPr>
                <w:rFonts w:eastAsia="SimSun"/>
                <w:vertAlign w:val="superscript"/>
              </w:rPr>
              <w:t>2</w:t>
            </w:r>
          </w:p>
        </w:tc>
        <w:tc>
          <w:tcPr>
            <w:tcW w:w="1702" w:type="dxa"/>
            <w:vAlign w:val="center"/>
          </w:tcPr>
          <w:p w14:paraId="7C56C670" w14:textId="77777777" w:rsidR="008143D9" w:rsidRPr="00AC3044" w:rsidRDefault="008143D9" w:rsidP="005A428D">
            <w:pPr>
              <w:rPr>
                <w:rFonts w:eastAsia="SimSun"/>
              </w:rPr>
            </w:pPr>
            <w:r w:rsidRPr="00AC3044">
              <w:rPr>
                <w:rFonts w:eastAsia="SimSun"/>
              </w:rPr>
              <w:t>С -7 дня по -2 день</w:t>
            </w:r>
          </w:p>
        </w:tc>
        <w:tc>
          <w:tcPr>
            <w:tcW w:w="2268" w:type="dxa"/>
            <w:vAlign w:val="center"/>
          </w:tcPr>
          <w:p w14:paraId="2807B6AB"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0568382B" w14:textId="77777777" w:rsidTr="005A428D">
        <w:trPr>
          <w:cantSplit/>
          <w:trHeight w:val="985"/>
        </w:trPr>
        <w:tc>
          <w:tcPr>
            <w:tcW w:w="1242" w:type="dxa"/>
            <w:vMerge/>
            <w:vAlign w:val="center"/>
          </w:tcPr>
          <w:p w14:paraId="13323C38" w14:textId="77777777" w:rsidR="008143D9" w:rsidRPr="00AC3044" w:rsidRDefault="008143D9" w:rsidP="005A428D">
            <w:pPr>
              <w:rPr>
                <w:rFonts w:eastAsia="SimSun"/>
              </w:rPr>
            </w:pPr>
          </w:p>
        </w:tc>
        <w:tc>
          <w:tcPr>
            <w:tcW w:w="1701" w:type="dxa"/>
            <w:vAlign w:val="center"/>
          </w:tcPr>
          <w:p w14:paraId="093CFD73" w14:textId="77777777" w:rsidR="008143D9" w:rsidRPr="00AC3044" w:rsidRDefault="008143D9" w:rsidP="005A428D">
            <w:pPr>
              <w:rPr>
                <w:rFonts w:eastAsia="SimSun"/>
              </w:rPr>
            </w:pPr>
            <w:r w:rsidRPr="00AC3044">
              <w:rPr>
                <w:rFonts w:eastAsia="SimSun"/>
              </w:rPr>
              <w:t>Бусульфан</w:t>
            </w:r>
          </w:p>
        </w:tc>
        <w:tc>
          <w:tcPr>
            <w:tcW w:w="1418" w:type="dxa"/>
            <w:vAlign w:val="center"/>
          </w:tcPr>
          <w:p w14:paraId="03D3D4BC" w14:textId="77777777" w:rsidR="008143D9" w:rsidRPr="00AC3044" w:rsidRDefault="008143D9" w:rsidP="005A428D">
            <w:pPr>
              <w:rPr>
                <w:rFonts w:eastAsia="SimSun"/>
              </w:rPr>
            </w:pPr>
            <w:r w:rsidRPr="00AC3044">
              <w:rPr>
                <w:rFonts w:eastAsia="SimSun"/>
              </w:rPr>
              <w:t xml:space="preserve">4 мг/кг </w:t>
            </w:r>
          </w:p>
        </w:tc>
        <w:tc>
          <w:tcPr>
            <w:tcW w:w="1275" w:type="dxa"/>
            <w:vAlign w:val="center"/>
          </w:tcPr>
          <w:p w14:paraId="7094ED5C" w14:textId="77777777" w:rsidR="008143D9" w:rsidRPr="00AC3044" w:rsidRDefault="008143D9" w:rsidP="005A428D">
            <w:pPr>
              <w:rPr>
                <w:rFonts w:eastAsia="SimSun"/>
              </w:rPr>
            </w:pPr>
            <w:r w:rsidRPr="00AC3044">
              <w:rPr>
                <w:rFonts w:eastAsia="SimSun"/>
              </w:rPr>
              <w:t xml:space="preserve">14мг/кг </w:t>
            </w:r>
          </w:p>
        </w:tc>
        <w:tc>
          <w:tcPr>
            <w:tcW w:w="1702" w:type="dxa"/>
            <w:vAlign w:val="center"/>
          </w:tcPr>
          <w:p w14:paraId="1C62E40D" w14:textId="77777777" w:rsidR="008143D9" w:rsidRPr="00AC3044" w:rsidRDefault="008143D9" w:rsidP="005A428D">
            <w:pPr>
              <w:rPr>
                <w:rFonts w:eastAsia="SimSun"/>
              </w:rPr>
            </w:pPr>
            <w:r w:rsidRPr="00AC3044">
              <w:rPr>
                <w:rFonts w:eastAsia="SimSun"/>
              </w:rPr>
              <w:t>С -6 дня по -3 день</w:t>
            </w:r>
          </w:p>
        </w:tc>
        <w:tc>
          <w:tcPr>
            <w:tcW w:w="2268" w:type="dxa"/>
            <w:vAlign w:val="center"/>
          </w:tcPr>
          <w:p w14:paraId="18D3837E" w14:textId="77777777" w:rsidR="008143D9" w:rsidRPr="00AC3044" w:rsidRDefault="008143D9" w:rsidP="005A428D">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8143D9" w:rsidRPr="00AC3044" w14:paraId="6FDFF56D" w14:textId="77777777" w:rsidTr="005A428D">
        <w:trPr>
          <w:cantSplit/>
          <w:trHeight w:val="590"/>
        </w:trPr>
        <w:tc>
          <w:tcPr>
            <w:tcW w:w="1242" w:type="dxa"/>
            <w:vMerge w:val="restart"/>
            <w:textDirection w:val="btLr"/>
            <w:vAlign w:val="center"/>
          </w:tcPr>
          <w:p w14:paraId="0A3F705D" w14:textId="77777777" w:rsidR="008143D9" w:rsidRPr="00AC3044" w:rsidRDefault="008143D9" w:rsidP="005A428D">
            <w:pPr>
              <w:rPr>
                <w:rFonts w:eastAsia="SimSun"/>
              </w:rPr>
            </w:pPr>
            <w:r w:rsidRPr="00AC3044">
              <w:rPr>
                <w:rFonts w:eastAsia="SimSun"/>
              </w:rPr>
              <w:t>Профилактика РТПХ</w:t>
            </w:r>
          </w:p>
        </w:tc>
        <w:tc>
          <w:tcPr>
            <w:tcW w:w="1701" w:type="dxa"/>
            <w:vAlign w:val="center"/>
          </w:tcPr>
          <w:p w14:paraId="3EC64FBD" w14:textId="77777777" w:rsidR="008143D9" w:rsidRPr="00AC3044" w:rsidRDefault="008143D9" w:rsidP="005A428D">
            <w:pPr>
              <w:rPr>
                <w:rFonts w:eastAsia="SimSun"/>
              </w:rPr>
            </w:pPr>
            <w:r w:rsidRPr="00AC3044">
              <w:rPr>
                <w:rFonts w:eastAsia="SimSun"/>
              </w:rPr>
              <w:t>Циклофосфамид</w:t>
            </w:r>
          </w:p>
        </w:tc>
        <w:tc>
          <w:tcPr>
            <w:tcW w:w="1418" w:type="dxa"/>
            <w:vAlign w:val="center"/>
          </w:tcPr>
          <w:p w14:paraId="58EDE917" w14:textId="77777777" w:rsidR="008143D9" w:rsidRPr="00AC3044" w:rsidRDefault="008143D9" w:rsidP="005A428D">
            <w:pPr>
              <w:rPr>
                <w:rFonts w:eastAsia="SimSun"/>
              </w:rPr>
            </w:pPr>
            <w:r w:rsidRPr="00AC3044">
              <w:rPr>
                <w:rFonts w:eastAsia="SimSun"/>
              </w:rPr>
              <w:t>50 мг/кг</w:t>
            </w:r>
          </w:p>
        </w:tc>
        <w:tc>
          <w:tcPr>
            <w:tcW w:w="1275" w:type="dxa"/>
            <w:vAlign w:val="center"/>
          </w:tcPr>
          <w:p w14:paraId="3A13F29E" w14:textId="77777777" w:rsidR="008143D9" w:rsidRPr="00AC3044" w:rsidRDefault="008143D9" w:rsidP="005A428D">
            <w:pPr>
              <w:rPr>
                <w:rFonts w:eastAsia="SimSun"/>
              </w:rPr>
            </w:pPr>
            <w:r w:rsidRPr="00AC3044">
              <w:rPr>
                <w:rFonts w:eastAsia="SimSun"/>
              </w:rPr>
              <w:t>100 мг/кг</w:t>
            </w:r>
          </w:p>
        </w:tc>
        <w:tc>
          <w:tcPr>
            <w:tcW w:w="1702" w:type="dxa"/>
            <w:vAlign w:val="center"/>
          </w:tcPr>
          <w:p w14:paraId="2A4F7A61" w14:textId="77777777" w:rsidR="008143D9" w:rsidRPr="00AC3044" w:rsidRDefault="008143D9" w:rsidP="005A428D">
            <w:pPr>
              <w:rPr>
                <w:rFonts w:eastAsia="SimSun"/>
              </w:rPr>
            </w:pPr>
            <w:r w:rsidRPr="00AC3044">
              <w:rPr>
                <w:rFonts w:eastAsia="SimSun"/>
              </w:rPr>
              <w:t>С +3 дня по +4 день</w:t>
            </w:r>
          </w:p>
        </w:tc>
        <w:tc>
          <w:tcPr>
            <w:tcW w:w="2268" w:type="dxa"/>
            <w:vAlign w:val="center"/>
          </w:tcPr>
          <w:p w14:paraId="4616B30E" w14:textId="77777777" w:rsidR="008143D9" w:rsidRPr="00AC3044" w:rsidRDefault="008143D9" w:rsidP="005A428D">
            <w:pPr>
              <w:rPr>
                <w:rFonts w:eastAsia="SimSun"/>
              </w:rPr>
            </w:pPr>
            <w:r w:rsidRPr="00AC3044">
              <w:rPr>
                <w:rFonts w:eastAsia="SimSun"/>
              </w:rPr>
              <w:t>В/в, в течение 2 ч</w:t>
            </w:r>
          </w:p>
        </w:tc>
      </w:tr>
      <w:tr w:rsidR="008143D9" w:rsidRPr="00AC3044" w14:paraId="10B0A6A5" w14:textId="77777777" w:rsidTr="005A428D">
        <w:trPr>
          <w:cantSplit/>
          <w:trHeight w:val="958"/>
        </w:trPr>
        <w:tc>
          <w:tcPr>
            <w:tcW w:w="1242" w:type="dxa"/>
            <w:vMerge/>
            <w:textDirection w:val="btLr"/>
            <w:vAlign w:val="center"/>
          </w:tcPr>
          <w:p w14:paraId="7DD75287" w14:textId="77777777" w:rsidR="008143D9" w:rsidRPr="00AC3044" w:rsidRDefault="008143D9" w:rsidP="005A428D">
            <w:pPr>
              <w:rPr>
                <w:rFonts w:eastAsia="SimSun"/>
              </w:rPr>
            </w:pPr>
          </w:p>
        </w:tc>
        <w:tc>
          <w:tcPr>
            <w:tcW w:w="1701" w:type="dxa"/>
            <w:vAlign w:val="center"/>
          </w:tcPr>
          <w:p w14:paraId="4885EFAA" w14:textId="77777777" w:rsidR="008143D9" w:rsidRPr="00AC3044" w:rsidRDefault="008143D9" w:rsidP="005A428D">
            <w:pPr>
              <w:rPr>
                <w:rFonts w:eastAsia="SimSun"/>
              </w:rPr>
            </w:pPr>
            <w:r w:rsidRPr="00AC3044">
              <w:rPr>
                <w:rFonts w:eastAsia="SimSun"/>
              </w:rPr>
              <w:t xml:space="preserve">Такролимус </w:t>
            </w:r>
          </w:p>
        </w:tc>
        <w:tc>
          <w:tcPr>
            <w:tcW w:w="1418" w:type="dxa"/>
            <w:vAlign w:val="center"/>
          </w:tcPr>
          <w:p w14:paraId="554838E1" w14:textId="77777777" w:rsidR="008143D9" w:rsidRPr="00AC3044" w:rsidRDefault="008143D9" w:rsidP="005A428D">
            <w:pPr>
              <w:rPr>
                <w:rFonts w:eastAsia="SimSun"/>
              </w:rPr>
            </w:pPr>
            <w:r w:rsidRPr="00AC3044">
              <w:rPr>
                <w:rFonts w:eastAsia="SimSun"/>
              </w:rPr>
              <w:t>0,03 мг/кг</w:t>
            </w:r>
          </w:p>
        </w:tc>
        <w:tc>
          <w:tcPr>
            <w:tcW w:w="1275" w:type="dxa"/>
            <w:vAlign w:val="center"/>
          </w:tcPr>
          <w:p w14:paraId="4EBAEDB3" w14:textId="77777777" w:rsidR="008143D9" w:rsidRPr="00AC3044" w:rsidRDefault="008143D9" w:rsidP="005A428D">
            <w:pPr>
              <w:rPr>
                <w:rFonts w:eastAsia="SimSun"/>
              </w:rPr>
            </w:pPr>
            <w:r w:rsidRPr="00AC3044">
              <w:rPr>
                <w:rFonts w:eastAsia="SimSun"/>
              </w:rPr>
              <w:t>–</w:t>
            </w:r>
          </w:p>
        </w:tc>
        <w:tc>
          <w:tcPr>
            <w:tcW w:w="1702" w:type="dxa"/>
            <w:vAlign w:val="center"/>
          </w:tcPr>
          <w:p w14:paraId="743DBD52" w14:textId="77777777" w:rsidR="008143D9" w:rsidRPr="00AC3044" w:rsidRDefault="008143D9" w:rsidP="005A428D">
            <w:pPr>
              <w:rPr>
                <w:rFonts w:eastAsia="SimSun"/>
              </w:rPr>
            </w:pPr>
            <w:r w:rsidRPr="00AC3044">
              <w:rPr>
                <w:rFonts w:eastAsia="SimSun"/>
              </w:rPr>
              <w:t xml:space="preserve">С +5 дня длительно </w:t>
            </w:r>
          </w:p>
        </w:tc>
        <w:tc>
          <w:tcPr>
            <w:tcW w:w="2268" w:type="dxa"/>
            <w:vAlign w:val="center"/>
          </w:tcPr>
          <w:p w14:paraId="7F94F60F" w14:textId="77777777" w:rsidR="008143D9" w:rsidRPr="00AC3044" w:rsidRDefault="008143D9" w:rsidP="005A428D">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DB259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8143D9" w:rsidRPr="00AC3044" w14:paraId="76017407" w14:textId="77777777" w:rsidTr="005A428D">
        <w:trPr>
          <w:cantSplit/>
          <w:trHeight w:val="508"/>
        </w:trPr>
        <w:tc>
          <w:tcPr>
            <w:tcW w:w="1242" w:type="dxa"/>
            <w:vMerge/>
            <w:textDirection w:val="btLr"/>
            <w:vAlign w:val="center"/>
          </w:tcPr>
          <w:p w14:paraId="63F5D1E5" w14:textId="77777777" w:rsidR="008143D9" w:rsidRPr="00AC3044" w:rsidRDefault="008143D9" w:rsidP="005A428D">
            <w:pPr>
              <w:rPr>
                <w:rFonts w:eastAsia="SimSun"/>
              </w:rPr>
            </w:pPr>
          </w:p>
        </w:tc>
        <w:tc>
          <w:tcPr>
            <w:tcW w:w="1701" w:type="dxa"/>
            <w:vAlign w:val="center"/>
          </w:tcPr>
          <w:p w14:paraId="688222BE" w14:textId="77777777" w:rsidR="008143D9" w:rsidRPr="00AC3044" w:rsidRDefault="008143D9" w:rsidP="005A428D">
            <w:pPr>
              <w:rPr>
                <w:rFonts w:eastAsia="SimSun"/>
              </w:rPr>
            </w:pPr>
            <w:r w:rsidRPr="00AC3044">
              <w:rPr>
                <w:rFonts w:eastAsia="SimSun"/>
              </w:rPr>
              <w:t>Микофенолата мофетил</w:t>
            </w:r>
          </w:p>
        </w:tc>
        <w:tc>
          <w:tcPr>
            <w:tcW w:w="1418" w:type="dxa"/>
            <w:vAlign w:val="center"/>
          </w:tcPr>
          <w:p w14:paraId="637BCA15" w14:textId="77777777" w:rsidR="008143D9" w:rsidRPr="00AC3044" w:rsidRDefault="008143D9" w:rsidP="005A428D">
            <w:pPr>
              <w:rPr>
                <w:rFonts w:eastAsia="SimSun"/>
              </w:rPr>
            </w:pPr>
            <w:r w:rsidRPr="00AC3044">
              <w:rPr>
                <w:rFonts w:eastAsia="SimSun"/>
              </w:rPr>
              <w:t xml:space="preserve">30 мг/кг </w:t>
            </w:r>
          </w:p>
        </w:tc>
        <w:tc>
          <w:tcPr>
            <w:tcW w:w="1275" w:type="dxa"/>
            <w:vAlign w:val="center"/>
          </w:tcPr>
          <w:p w14:paraId="1F047986" w14:textId="77777777" w:rsidR="008143D9" w:rsidRPr="00AC3044" w:rsidRDefault="008143D9" w:rsidP="005A428D">
            <w:pPr>
              <w:rPr>
                <w:rFonts w:eastAsia="SimSun"/>
              </w:rPr>
            </w:pPr>
            <w:r w:rsidRPr="00AC3044">
              <w:rPr>
                <w:rFonts w:eastAsia="SimSun"/>
              </w:rPr>
              <w:t>–</w:t>
            </w:r>
          </w:p>
        </w:tc>
        <w:tc>
          <w:tcPr>
            <w:tcW w:w="1702" w:type="dxa"/>
            <w:vAlign w:val="center"/>
          </w:tcPr>
          <w:p w14:paraId="09B6C0C1" w14:textId="77777777" w:rsidR="008143D9" w:rsidRPr="00AC3044" w:rsidRDefault="008143D9" w:rsidP="005A428D">
            <w:pPr>
              <w:rPr>
                <w:rFonts w:eastAsia="SimSun"/>
              </w:rPr>
            </w:pPr>
            <w:r w:rsidRPr="00AC3044">
              <w:rPr>
                <w:rFonts w:eastAsia="SimSun"/>
              </w:rPr>
              <w:t xml:space="preserve">С +5 дня по +35 день </w:t>
            </w:r>
          </w:p>
        </w:tc>
        <w:tc>
          <w:tcPr>
            <w:tcW w:w="2268" w:type="dxa"/>
            <w:vAlign w:val="center"/>
          </w:tcPr>
          <w:p w14:paraId="430D72FF" w14:textId="77777777" w:rsidR="008143D9" w:rsidRPr="00AC3044" w:rsidRDefault="008143D9" w:rsidP="005A428D">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30CD371E" w14:textId="77777777" w:rsidR="008143D9" w:rsidRPr="00C07B2E" w:rsidRDefault="008143D9" w:rsidP="008143D9">
      <w:pPr>
        <w:rPr>
          <w:rFonts w:eastAsia="SimSun"/>
        </w:rPr>
      </w:pPr>
    </w:p>
    <w:p w14:paraId="4BC83611" w14:textId="77777777" w:rsidR="008143D9" w:rsidRPr="00C07B2E" w:rsidRDefault="008143D9" w:rsidP="008143D9">
      <w:pPr>
        <w:rPr>
          <w:rFonts w:eastAsia="SimSun"/>
        </w:rPr>
      </w:pPr>
      <w:bookmarkStart w:id="157" w:name="_Toc44401195"/>
      <w:r w:rsidRPr="00042499">
        <w:rPr>
          <w:rFonts w:eastAsia="SimSun"/>
        </w:rPr>
        <w:t>Таблица</w:t>
      </w:r>
      <w:r w:rsidRPr="00C07B2E">
        <w:rPr>
          <w:rFonts w:eastAsia="SimSun"/>
        </w:rPr>
        <w:t xml:space="preserve"> </w:t>
      </w:r>
      <w:r>
        <w:rPr>
          <w:rFonts w:eastAsia="SimSun"/>
        </w:rPr>
        <w:t>5.</w:t>
      </w:r>
      <w:r w:rsidRPr="00C07B2E">
        <w:rPr>
          <w:rFonts w:eastAsia="SimSun"/>
        </w:rPr>
        <w:t>2.1.9  – Flu180+Bu14 / PT-Cy+CSA+MMF30</w:t>
      </w:r>
      <w:bookmarkEnd w:id="157"/>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35"/>
        <w:gridCol w:w="1418"/>
        <w:gridCol w:w="1276"/>
        <w:gridCol w:w="1701"/>
        <w:gridCol w:w="2268"/>
      </w:tblGrid>
      <w:tr w:rsidR="008143D9" w:rsidRPr="00AC3044" w14:paraId="6A76E15C" w14:textId="77777777" w:rsidTr="005A428D">
        <w:trPr>
          <w:cantSplit/>
          <w:trHeight w:val="20"/>
          <w:tblHeader/>
        </w:trPr>
        <w:tc>
          <w:tcPr>
            <w:tcW w:w="1242" w:type="dxa"/>
            <w:vAlign w:val="center"/>
          </w:tcPr>
          <w:p w14:paraId="5ACEFE8B" w14:textId="77777777" w:rsidR="008143D9" w:rsidRPr="00470D3D" w:rsidRDefault="008143D9" w:rsidP="005A428D">
            <w:pPr>
              <w:rPr>
                <w:rFonts w:eastAsia="SimSun"/>
              </w:rPr>
            </w:pPr>
          </w:p>
        </w:tc>
        <w:tc>
          <w:tcPr>
            <w:tcW w:w="1735" w:type="dxa"/>
            <w:vAlign w:val="center"/>
          </w:tcPr>
          <w:p w14:paraId="52080891" w14:textId="77777777" w:rsidR="008143D9" w:rsidRPr="00AC3044" w:rsidRDefault="008143D9" w:rsidP="005A428D">
            <w:pPr>
              <w:rPr>
                <w:rFonts w:eastAsia="SimSun"/>
              </w:rPr>
            </w:pPr>
            <w:r w:rsidRPr="00AC3044">
              <w:rPr>
                <w:rFonts w:eastAsia="SimSun"/>
              </w:rPr>
              <w:t>Препарат</w:t>
            </w:r>
          </w:p>
        </w:tc>
        <w:tc>
          <w:tcPr>
            <w:tcW w:w="1418" w:type="dxa"/>
            <w:vAlign w:val="center"/>
          </w:tcPr>
          <w:p w14:paraId="193D7600" w14:textId="77777777" w:rsidR="008143D9" w:rsidRPr="00AC3044" w:rsidRDefault="008143D9" w:rsidP="005A428D">
            <w:pPr>
              <w:rPr>
                <w:rFonts w:eastAsia="SimSun"/>
              </w:rPr>
            </w:pPr>
            <w:r w:rsidRPr="00AC3044">
              <w:rPr>
                <w:rFonts w:eastAsia="SimSun"/>
              </w:rPr>
              <w:t>Суточная доза</w:t>
            </w:r>
          </w:p>
        </w:tc>
        <w:tc>
          <w:tcPr>
            <w:tcW w:w="1276" w:type="dxa"/>
            <w:vAlign w:val="center"/>
          </w:tcPr>
          <w:p w14:paraId="65E490E0" w14:textId="77777777" w:rsidR="008143D9" w:rsidRPr="00AC3044" w:rsidRDefault="008143D9" w:rsidP="005A428D">
            <w:pPr>
              <w:rPr>
                <w:rFonts w:eastAsia="SimSun"/>
              </w:rPr>
            </w:pPr>
            <w:r w:rsidRPr="00AC3044">
              <w:rPr>
                <w:rFonts w:eastAsia="SimSun"/>
              </w:rPr>
              <w:t>Курсовая доза</w:t>
            </w:r>
          </w:p>
        </w:tc>
        <w:tc>
          <w:tcPr>
            <w:tcW w:w="1701" w:type="dxa"/>
            <w:vAlign w:val="center"/>
          </w:tcPr>
          <w:p w14:paraId="0C96C808" w14:textId="77777777" w:rsidR="008143D9" w:rsidRPr="00AC3044" w:rsidRDefault="008143D9" w:rsidP="005A428D">
            <w:pPr>
              <w:rPr>
                <w:rFonts w:eastAsia="SimSun"/>
              </w:rPr>
            </w:pPr>
            <w:r w:rsidRPr="00AC3044">
              <w:rPr>
                <w:rFonts w:eastAsia="SimSun"/>
              </w:rPr>
              <w:t>Дни введения</w:t>
            </w:r>
          </w:p>
        </w:tc>
        <w:tc>
          <w:tcPr>
            <w:tcW w:w="2268" w:type="dxa"/>
            <w:vAlign w:val="center"/>
          </w:tcPr>
          <w:p w14:paraId="0F84888A"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0790AA91" w14:textId="77777777" w:rsidTr="005A428D">
        <w:trPr>
          <w:cantSplit/>
          <w:trHeight w:val="20"/>
        </w:trPr>
        <w:tc>
          <w:tcPr>
            <w:tcW w:w="1242" w:type="dxa"/>
            <w:vMerge w:val="restart"/>
            <w:textDirection w:val="btLr"/>
            <w:vAlign w:val="center"/>
          </w:tcPr>
          <w:p w14:paraId="6DB06E58" w14:textId="77777777" w:rsidR="008143D9" w:rsidRPr="00AC3044" w:rsidRDefault="008143D9" w:rsidP="005A428D">
            <w:pPr>
              <w:rPr>
                <w:rFonts w:eastAsia="SimSun"/>
              </w:rPr>
            </w:pPr>
            <w:r w:rsidRPr="00AC3044">
              <w:rPr>
                <w:rFonts w:eastAsia="SimSun"/>
              </w:rPr>
              <w:t>Кондиционирование</w:t>
            </w:r>
          </w:p>
        </w:tc>
        <w:tc>
          <w:tcPr>
            <w:tcW w:w="1735" w:type="dxa"/>
            <w:vAlign w:val="center"/>
          </w:tcPr>
          <w:p w14:paraId="248623B3" w14:textId="77777777" w:rsidR="008143D9" w:rsidRPr="00AC3044" w:rsidRDefault="008143D9" w:rsidP="005A428D">
            <w:pPr>
              <w:rPr>
                <w:rFonts w:eastAsia="SimSun"/>
              </w:rPr>
            </w:pPr>
            <w:r w:rsidRPr="00AC3044">
              <w:rPr>
                <w:rFonts w:eastAsia="SimSun"/>
              </w:rPr>
              <w:t xml:space="preserve">Флударабин </w:t>
            </w:r>
          </w:p>
        </w:tc>
        <w:tc>
          <w:tcPr>
            <w:tcW w:w="1418" w:type="dxa"/>
            <w:vAlign w:val="center"/>
          </w:tcPr>
          <w:p w14:paraId="49145C13" w14:textId="77777777" w:rsidR="008143D9" w:rsidRPr="00AC3044" w:rsidRDefault="008143D9" w:rsidP="005A428D">
            <w:pPr>
              <w:rPr>
                <w:rFonts w:eastAsia="SimSun"/>
              </w:rPr>
            </w:pPr>
            <w:r w:rsidRPr="00AC3044">
              <w:rPr>
                <w:rFonts w:eastAsia="SimSun"/>
              </w:rPr>
              <w:t>30 мг/м</w:t>
            </w:r>
            <w:r w:rsidRPr="00DB259E">
              <w:rPr>
                <w:rFonts w:eastAsia="SimSun"/>
                <w:vertAlign w:val="superscript"/>
              </w:rPr>
              <w:t>2</w:t>
            </w:r>
          </w:p>
        </w:tc>
        <w:tc>
          <w:tcPr>
            <w:tcW w:w="1276" w:type="dxa"/>
            <w:vAlign w:val="center"/>
          </w:tcPr>
          <w:p w14:paraId="2D1D1AC6" w14:textId="77777777" w:rsidR="008143D9" w:rsidRPr="00AC3044" w:rsidRDefault="008143D9" w:rsidP="005A428D">
            <w:pPr>
              <w:rPr>
                <w:rFonts w:eastAsia="SimSun"/>
              </w:rPr>
            </w:pPr>
            <w:r w:rsidRPr="00AC3044">
              <w:rPr>
                <w:rFonts w:eastAsia="SimSun"/>
              </w:rPr>
              <w:t>180 мг/м</w:t>
            </w:r>
            <w:r w:rsidRPr="00DB259E">
              <w:rPr>
                <w:rFonts w:eastAsia="SimSun"/>
                <w:vertAlign w:val="superscript"/>
              </w:rPr>
              <w:t>2</w:t>
            </w:r>
          </w:p>
        </w:tc>
        <w:tc>
          <w:tcPr>
            <w:tcW w:w="1701" w:type="dxa"/>
            <w:vAlign w:val="center"/>
          </w:tcPr>
          <w:p w14:paraId="5098D78D" w14:textId="77777777" w:rsidR="008143D9" w:rsidRPr="00AC3044" w:rsidRDefault="008143D9" w:rsidP="005A428D">
            <w:pPr>
              <w:rPr>
                <w:rFonts w:eastAsia="SimSun"/>
              </w:rPr>
            </w:pPr>
            <w:r w:rsidRPr="00AC3044">
              <w:rPr>
                <w:rFonts w:eastAsia="SimSun"/>
              </w:rPr>
              <w:t>С -7 дня по -2 день</w:t>
            </w:r>
          </w:p>
        </w:tc>
        <w:tc>
          <w:tcPr>
            <w:tcW w:w="2268" w:type="dxa"/>
            <w:vAlign w:val="center"/>
          </w:tcPr>
          <w:p w14:paraId="129209DA"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76F1D370" w14:textId="77777777" w:rsidTr="005A428D">
        <w:trPr>
          <w:cantSplit/>
          <w:trHeight w:val="766"/>
        </w:trPr>
        <w:tc>
          <w:tcPr>
            <w:tcW w:w="1242" w:type="dxa"/>
            <w:vMerge/>
            <w:vAlign w:val="center"/>
          </w:tcPr>
          <w:p w14:paraId="53EC4342" w14:textId="77777777" w:rsidR="008143D9" w:rsidRPr="00AC3044" w:rsidRDefault="008143D9" w:rsidP="005A428D">
            <w:pPr>
              <w:rPr>
                <w:rFonts w:eastAsia="SimSun"/>
              </w:rPr>
            </w:pPr>
          </w:p>
        </w:tc>
        <w:tc>
          <w:tcPr>
            <w:tcW w:w="1735" w:type="dxa"/>
            <w:vAlign w:val="center"/>
          </w:tcPr>
          <w:p w14:paraId="29DD18DD" w14:textId="77777777" w:rsidR="008143D9" w:rsidRPr="00AC3044" w:rsidRDefault="008143D9" w:rsidP="005A428D">
            <w:pPr>
              <w:rPr>
                <w:rFonts w:eastAsia="SimSun"/>
              </w:rPr>
            </w:pPr>
            <w:r w:rsidRPr="00AC3044">
              <w:rPr>
                <w:rFonts w:eastAsia="SimSun"/>
              </w:rPr>
              <w:t>Бусульфан</w:t>
            </w:r>
          </w:p>
        </w:tc>
        <w:tc>
          <w:tcPr>
            <w:tcW w:w="1418" w:type="dxa"/>
            <w:vAlign w:val="center"/>
          </w:tcPr>
          <w:p w14:paraId="220FA09E" w14:textId="77777777" w:rsidR="008143D9" w:rsidRPr="00AC3044" w:rsidRDefault="008143D9" w:rsidP="005A428D">
            <w:pPr>
              <w:rPr>
                <w:rFonts w:eastAsia="SimSun"/>
              </w:rPr>
            </w:pPr>
            <w:r w:rsidRPr="00AC3044">
              <w:rPr>
                <w:rFonts w:eastAsia="SimSun"/>
              </w:rPr>
              <w:t xml:space="preserve">4 мг/кг </w:t>
            </w:r>
          </w:p>
        </w:tc>
        <w:tc>
          <w:tcPr>
            <w:tcW w:w="1276" w:type="dxa"/>
            <w:vAlign w:val="center"/>
          </w:tcPr>
          <w:p w14:paraId="4C918811" w14:textId="77777777" w:rsidR="008143D9" w:rsidRPr="00AC3044" w:rsidRDefault="008143D9" w:rsidP="005A428D">
            <w:pPr>
              <w:rPr>
                <w:rFonts w:eastAsia="SimSun"/>
              </w:rPr>
            </w:pPr>
            <w:r w:rsidRPr="00AC3044">
              <w:rPr>
                <w:rFonts w:eastAsia="SimSun"/>
              </w:rPr>
              <w:t xml:space="preserve">14 мг/кг </w:t>
            </w:r>
          </w:p>
        </w:tc>
        <w:tc>
          <w:tcPr>
            <w:tcW w:w="1701" w:type="dxa"/>
            <w:vAlign w:val="center"/>
          </w:tcPr>
          <w:p w14:paraId="061DD6A3" w14:textId="77777777" w:rsidR="008143D9" w:rsidRPr="00AC3044" w:rsidRDefault="008143D9" w:rsidP="005A428D">
            <w:pPr>
              <w:rPr>
                <w:rFonts w:eastAsia="SimSun"/>
              </w:rPr>
            </w:pPr>
            <w:r w:rsidRPr="00AC3044">
              <w:rPr>
                <w:rFonts w:eastAsia="SimSun"/>
              </w:rPr>
              <w:t>С -6 дня по -3 день</w:t>
            </w:r>
          </w:p>
        </w:tc>
        <w:tc>
          <w:tcPr>
            <w:tcW w:w="2268" w:type="dxa"/>
            <w:vAlign w:val="center"/>
          </w:tcPr>
          <w:p w14:paraId="41BFD241" w14:textId="77777777" w:rsidR="008143D9" w:rsidRPr="00AC3044" w:rsidRDefault="008143D9" w:rsidP="005A428D">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8143D9" w:rsidRPr="00AC3044" w14:paraId="7096B40B" w14:textId="77777777" w:rsidTr="005A428D">
        <w:trPr>
          <w:cantSplit/>
          <w:trHeight w:val="796"/>
        </w:trPr>
        <w:tc>
          <w:tcPr>
            <w:tcW w:w="1242" w:type="dxa"/>
            <w:vMerge w:val="restart"/>
            <w:textDirection w:val="btLr"/>
            <w:vAlign w:val="center"/>
          </w:tcPr>
          <w:p w14:paraId="364968FF" w14:textId="77777777" w:rsidR="008143D9" w:rsidRPr="00AC3044" w:rsidRDefault="008143D9" w:rsidP="005A428D">
            <w:pPr>
              <w:rPr>
                <w:rFonts w:eastAsia="SimSun"/>
              </w:rPr>
            </w:pPr>
            <w:r w:rsidRPr="00AC3044">
              <w:rPr>
                <w:rFonts w:eastAsia="SimSun"/>
              </w:rPr>
              <w:t>Профилактика РТПХ</w:t>
            </w:r>
          </w:p>
        </w:tc>
        <w:tc>
          <w:tcPr>
            <w:tcW w:w="1735" w:type="dxa"/>
            <w:vAlign w:val="center"/>
          </w:tcPr>
          <w:p w14:paraId="394DDB79" w14:textId="77777777" w:rsidR="008143D9" w:rsidRPr="00AC3044" w:rsidRDefault="008143D9" w:rsidP="005A428D">
            <w:pPr>
              <w:rPr>
                <w:rFonts w:eastAsia="SimSun"/>
              </w:rPr>
            </w:pPr>
            <w:r w:rsidRPr="00AC3044">
              <w:rPr>
                <w:rFonts w:eastAsia="SimSun"/>
              </w:rPr>
              <w:t>Циклофосфамид</w:t>
            </w:r>
          </w:p>
        </w:tc>
        <w:tc>
          <w:tcPr>
            <w:tcW w:w="1418" w:type="dxa"/>
            <w:vAlign w:val="center"/>
          </w:tcPr>
          <w:p w14:paraId="7AE98CD1" w14:textId="77777777" w:rsidR="008143D9" w:rsidRPr="00AC3044" w:rsidRDefault="008143D9" w:rsidP="005A428D">
            <w:pPr>
              <w:rPr>
                <w:rFonts w:eastAsia="SimSun"/>
              </w:rPr>
            </w:pPr>
            <w:r w:rsidRPr="00AC3044">
              <w:rPr>
                <w:rFonts w:eastAsia="SimSun"/>
              </w:rPr>
              <w:t>50 мг/кг</w:t>
            </w:r>
          </w:p>
        </w:tc>
        <w:tc>
          <w:tcPr>
            <w:tcW w:w="1276" w:type="dxa"/>
            <w:vAlign w:val="center"/>
          </w:tcPr>
          <w:p w14:paraId="6CCC2249" w14:textId="77777777" w:rsidR="008143D9" w:rsidRPr="00AC3044" w:rsidRDefault="008143D9" w:rsidP="005A428D">
            <w:pPr>
              <w:rPr>
                <w:rFonts w:eastAsia="SimSun"/>
              </w:rPr>
            </w:pPr>
            <w:r w:rsidRPr="00AC3044">
              <w:rPr>
                <w:rFonts w:eastAsia="SimSun"/>
              </w:rPr>
              <w:t>100 мг/кг</w:t>
            </w:r>
          </w:p>
        </w:tc>
        <w:tc>
          <w:tcPr>
            <w:tcW w:w="1701" w:type="dxa"/>
            <w:vAlign w:val="center"/>
          </w:tcPr>
          <w:p w14:paraId="6E4C4E2B" w14:textId="77777777" w:rsidR="008143D9" w:rsidRPr="00AC3044" w:rsidRDefault="008143D9" w:rsidP="005A428D">
            <w:pPr>
              <w:rPr>
                <w:rFonts w:eastAsia="SimSun"/>
              </w:rPr>
            </w:pPr>
            <w:r w:rsidRPr="00AC3044">
              <w:rPr>
                <w:rFonts w:eastAsia="SimSun"/>
              </w:rPr>
              <w:t>В +3 день  и +5 день</w:t>
            </w:r>
          </w:p>
        </w:tc>
        <w:tc>
          <w:tcPr>
            <w:tcW w:w="2268" w:type="dxa"/>
            <w:vAlign w:val="center"/>
          </w:tcPr>
          <w:p w14:paraId="005FA702" w14:textId="77777777" w:rsidR="008143D9" w:rsidRPr="00AC3044" w:rsidRDefault="008143D9" w:rsidP="005A428D">
            <w:pPr>
              <w:rPr>
                <w:rFonts w:eastAsia="SimSun"/>
              </w:rPr>
            </w:pPr>
            <w:r w:rsidRPr="00AC3044">
              <w:rPr>
                <w:rFonts w:eastAsia="SimSun"/>
              </w:rPr>
              <w:t>В/в, в течение 2 ч</w:t>
            </w:r>
          </w:p>
        </w:tc>
      </w:tr>
      <w:tr w:rsidR="008143D9" w:rsidRPr="00AC3044" w14:paraId="690D27A2" w14:textId="77777777" w:rsidTr="005A428D">
        <w:trPr>
          <w:cantSplit/>
          <w:trHeight w:val="410"/>
        </w:trPr>
        <w:tc>
          <w:tcPr>
            <w:tcW w:w="1242" w:type="dxa"/>
            <w:vMerge/>
            <w:textDirection w:val="btLr"/>
            <w:vAlign w:val="center"/>
          </w:tcPr>
          <w:p w14:paraId="6085EC4D" w14:textId="77777777" w:rsidR="008143D9" w:rsidRPr="00AC3044" w:rsidRDefault="008143D9" w:rsidP="005A428D">
            <w:pPr>
              <w:rPr>
                <w:rFonts w:eastAsia="SimSun"/>
              </w:rPr>
            </w:pPr>
          </w:p>
        </w:tc>
        <w:tc>
          <w:tcPr>
            <w:tcW w:w="1735" w:type="dxa"/>
            <w:vAlign w:val="center"/>
          </w:tcPr>
          <w:p w14:paraId="0CC73A31" w14:textId="77777777" w:rsidR="008143D9" w:rsidRPr="00AC3044" w:rsidRDefault="008143D9" w:rsidP="005A428D">
            <w:pPr>
              <w:rPr>
                <w:rFonts w:eastAsia="SimSun"/>
              </w:rPr>
            </w:pPr>
            <w:r w:rsidRPr="00AC3044">
              <w:rPr>
                <w:rFonts w:eastAsia="SimSun"/>
              </w:rPr>
              <w:t>Микофенолата мофетил</w:t>
            </w:r>
          </w:p>
        </w:tc>
        <w:tc>
          <w:tcPr>
            <w:tcW w:w="1418" w:type="dxa"/>
            <w:vAlign w:val="center"/>
          </w:tcPr>
          <w:p w14:paraId="521012B6" w14:textId="77777777" w:rsidR="008143D9" w:rsidRPr="00AC3044" w:rsidRDefault="008143D9" w:rsidP="005A428D">
            <w:pPr>
              <w:rPr>
                <w:rFonts w:eastAsia="SimSun"/>
              </w:rPr>
            </w:pPr>
            <w:r w:rsidRPr="00AC3044">
              <w:rPr>
                <w:rFonts w:eastAsia="SimSun"/>
              </w:rPr>
              <w:t xml:space="preserve">30 мг/кг </w:t>
            </w:r>
          </w:p>
        </w:tc>
        <w:tc>
          <w:tcPr>
            <w:tcW w:w="1276" w:type="dxa"/>
            <w:vAlign w:val="center"/>
          </w:tcPr>
          <w:p w14:paraId="4DAAB0B3" w14:textId="77777777" w:rsidR="008143D9" w:rsidRPr="00AC3044" w:rsidRDefault="008143D9" w:rsidP="005A428D">
            <w:pPr>
              <w:rPr>
                <w:rFonts w:eastAsia="SimSun"/>
              </w:rPr>
            </w:pPr>
            <w:r w:rsidRPr="00AC3044">
              <w:rPr>
                <w:rFonts w:eastAsia="SimSun"/>
              </w:rPr>
              <w:t>–</w:t>
            </w:r>
          </w:p>
        </w:tc>
        <w:tc>
          <w:tcPr>
            <w:tcW w:w="1701" w:type="dxa"/>
            <w:vAlign w:val="center"/>
          </w:tcPr>
          <w:p w14:paraId="2849A20A" w14:textId="77777777" w:rsidR="008143D9" w:rsidRPr="00AC3044" w:rsidRDefault="008143D9" w:rsidP="005A428D">
            <w:pPr>
              <w:rPr>
                <w:rFonts w:eastAsia="SimSun"/>
              </w:rPr>
            </w:pPr>
            <w:r w:rsidRPr="00AC3044">
              <w:rPr>
                <w:rFonts w:eastAsia="SimSun"/>
              </w:rPr>
              <w:t xml:space="preserve">С +1 дня по +28 день </w:t>
            </w:r>
          </w:p>
        </w:tc>
        <w:tc>
          <w:tcPr>
            <w:tcW w:w="2268" w:type="dxa"/>
            <w:vAlign w:val="center"/>
          </w:tcPr>
          <w:p w14:paraId="2BDA1966" w14:textId="77777777" w:rsidR="008143D9" w:rsidRPr="00AC3044" w:rsidRDefault="008143D9" w:rsidP="005A428D">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8143D9" w:rsidRPr="00AC3044" w14:paraId="0B7EB9C0" w14:textId="77777777" w:rsidTr="005A428D">
        <w:trPr>
          <w:cantSplit/>
          <w:trHeight w:val="815"/>
        </w:trPr>
        <w:tc>
          <w:tcPr>
            <w:tcW w:w="1242" w:type="dxa"/>
            <w:vMerge/>
            <w:textDirection w:val="btLr"/>
            <w:vAlign w:val="center"/>
          </w:tcPr>
          <w:p w14:paraId="38B659ED" w14:textId="77777777" w:rsidR="008143D9" w:rsidRPr="00AC3044" w:rsidRDefault="008143D9" w:rsidP="005A428D">
            <w:pPr>
              <w:rPr>
                <w:rFonts w:eastAsia="SimSun"/>
              </w:rPr>
            </w:pPr>
          </w:p>
        </w:tc>
        <w:tc>
          <w:tcPr>
            <w:tcW w:w="1735" w:type="dxa"/>
            <w:vAlign w:val="center"/>
          </w:tcPr>
          <w:p w14:paraId="46A4BE67" w14:textId="77777777" w:rsidR="008143D9" w:rsidRPr="00AC3044" w:rsidRDefault="008143D9" w:rsidP="005A428D">
            <w:pPr>
              <w:rPr>
                <w:rFonts w:eastAsia="SimSun"/>
              </w:rPr>
            </w:pPr>
            <w:r w:rsidRPr="00AC3044">
              <w:rPr>
                <w:rFonts w:eastAsia="SimSun"/>
              </w:rPr>
              <w:t>Циклоспорин А</w:t>
            </w:r>
          </w:p>
        </w:tc>
        <w:tc>
          <w:tcPr>
            <w:tcW w:w="1418" w:type="dxa"/>
            <w:vAlign w:val="center"/>
          </w:tcPr>
          <w:p w14:paraId="39293F13" w14:textId="77777777" w:rsidR="008143D9" w:rsidRPr="00AC3044" w:rsidRDefault="008143D9" w:rsidP="005A428D">
            <w:pPr>
              <w:rPr>
                <w:rFonts w:eastAsia="SimSun"/>
              </w:rPr>
            </w:pPr>
            <w:r w:rsidRPr="00AC3044">
              <w:rPr>
                <w:rFonts w:eastAsia="SimSun"/>
              </w:rPr>
              <w:t>3  мг/кг</w:t>
            </w:r>
          </w:p>
        </w:tc>
        <w:tc>
          <w:tcPr>
            <w:tcW w:w="1276" w:type="dxa"/>
            <w:vAlign w:val="center"/>
          </w:tcPr>
          <w:p w14:paraId="7E658494" w14:textId="77777777" w:rsidR="008143D9" w:rsidRPr="00AC3044" w:rsidRDefault="008143D9" w:rsidP="005A428D">
            <w:pPr>
              <w:rPr>
                <w:rFonts w:eastAsia="SimSun"/>
              </w:rPr>
            </w:pPr>
            <w:r w:rsidRPr="00AC3044">
              <w:rPr>
                <w:rFonts w:eastAsia="SimSun"/>
              </w:rPr>
              <w:t>-</w:t>
            </w:r>
          </w:p>
        </w:tc>
        <w:tc>
          <w:tcPr>
            <w:tcW w:w="1701" w:type="dxa"/>
            <w:vAlign w:val="center"/>
          </w:tcPr>
          <w:p w14:paraId="179C2950" w14:textId="77777777" w:rsidR="008143D9" w:rsidRPr="00AC3044" w:rsidRDefault="008143D9" w:rsidP="005A428D">
            <w:pPr>
              <w:rPr>
                <w:rFonts w:eastAsia="SimSun"/>
              </w:rPr>
            </w:pPr>
            <w:r w:rsidRPr="00AC3044">
              <w:rPr>
                <w:rFonts w:eastAsia="SimSun"/>
              </w:rPr>
              <w:t xml:space="preserve">С -1 дня по +100 день </w:t>
            </w:r>
          </w:p>
        </w:tc>
        <w:tc>
          <w:tcPr>
            <w:tcW w:w="2268" w:type="dxa"/>
            <w:vAlign w:val="center"/>
          </w:tcPr>
          <w:p w14:paraId="5CE9AC2A" w14:textId="77777777" w:rsidR="008143D9" w:rsidRPr="00AC3044" w:rsidRDefault="008143D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14:paraId="17A8C335" w14:textId="77777777" w:rsidR="008143D9" w:rsidRPr="00C07B2E" w:rsidRDefault="008143D9" w:rsidP="008143D9">
      <w:pPr>
        <w:rPr>
          <w:rFonts w:eastAsia="SimSun"/>
        </w:rPr>
      </w:pPr>
    </w:p>
    <w:p w14:paraId="40559488" w14:textId="77777777" w:rsidR="008143D9" w:rsidRPr="00C07B2E" w:rsidRDefault="008143D9" w:rsidP="008143D9">
      <w:pPr>
        <w:rPr>
          <w:rFonts w:eastAsia="SimSun"/>
        </w:rPr>
      </w:pPr>
      <w:bookmarkStart w:id="158" w:name="_Toc44401196"/>
      <w:r w:rsidRPr="00042499">
        <w:rPr>
          <w:rFonts w:eastAsia="SimSun"/>
        </w:rPr>
        <w:t>Таблица</w:t>
      </w:r>
      <w:r w:rsidRPr="00C07B2E">
        <w:rPr>
          <w:rFonts w:eastAsia="SimSun"/>
        </w:rPr>
        <w:t xml:space="preserve"> </w:t>
      </w:r>
      <w:r>
        <w:rPr>
          <w:rFonts w:eastAsia="SimSun"/>
        </w:rPr>
        <w:t>5.</w:t>
      </w:r>
      <w:r w:rsidRPr="00C07B2E">
        <w:rPr>
          <w:rFonts w:eastAsia="SimSun"/>
        </w:rPr>
        <w:t>2.1.10  – Flu180+Bu14 / Tx+MMF30</w:t>
      </w:r>
      <w:bookmarkEnd w:id="158"/>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01"/>
        <w:gridCol w:w="1418"/>
        <w:gridCol w:w="1276"/>
        <w:gridCol w:w="1701"/>
        <w:gridCol w:w="2268"/>
      </w:tblGrid>
      <w:tr w:rsidR="008143D9" w:rsidRPr="00AC3044" w14:paraId="1E579ABB" w14:textId="77777777" w:rsidTr="005A428D">
        <w:trPr>
          <w:cantSplit/>
          <w:trHeight w:val="20"/>
          <w:tblHeader/>
        </w:trPr>
        <w:tc>
          <w:tcPr>
            <w:tcW w:w="1242" w:type="dxa"/>
            <w:vAlign w:val="center"/>
          </w:tcPr>
          <w:p w14:paraId="2E2FFBCD" w14:textId="77777777" w:rsidR="008143D9" w:rsidRPr="00AC3044" w:rsidRDefault="008143D9" w:rsidP="005A428D">
            <w:pPr>
              <w:rPr>
                <w:rFonts w:eastAsia="SimSun"/>
              </w:rPr>
            </w:pPr>
          </w:p>
        </w:tc>
        <w:tc>
          <w:tcPr>
            <w:tcW w:w="1701" w:type="dxa"/>
            <w:vAlign w:val="center"/>
          </w:tcPr>
          <w:p w14:paraId="01DBAB83" w14:textId="77777777" w:rsidR="008143D9" w:rsidRPr="00AC3044" w:rsidRDefault="008143D9" w:rsidP="005A428D">
            <w:pPr>
              <w:rPr>
                <w:rFonts w:eastAsia="SimSun"/>
              </w:rPr>
            </w:pPr>
            <w:r w:rsidRPr="00AC3044">
              <w:rPr>
                <w:rFonts w:eastAsia="SimSun"/>
              </w:rPr>
              <w:t>Препарат</w:t>
            </w:r>
          </w:p>
        </w:tc>
        <w:tc>
          <w:tcPr>
            <w:tcW w:w="1418" w:type="dxa"/>
            <w:vAlign w:val="center"/>
          </w:tcPr>
          <w:p w14:paraId="634F715E" w14:textId="77777777" w:rsidR="008143D9" w:rsidRPr="00AC3044" w:rsidRDefault="008143D9" w:rsidP="005A428D">
            <w:pPr>
              <w:rPr>
                <w:rFonts w:eastAsia="SimSun"/>
              </w:rPr>
            </w:pPr>
            <w:r w:rsidRPr="00AC3044">
              <w:rPr>
                <w:rFonts w:eastAsia="SimSun"/>
              </w:rPr>
              <w:t>Суточная доза</w:t>
            </w:r>
          </w:p>
        </w:tc>
        <w:tc>
          <w:tcPr>
            <w:tcW w:w="1276" w:type="dxa"/>
            <w:vAlign w:val="center"/>
          </w:tcPr>
          <w:p w14:paraId="79BD0681" w14:textId="77777777" w:rsidR="008143D9" w:rsidRPr="00AC3044" w:rsidRDefault="008143D9" w:rsidP="005A428D">
            <w:pPr>
              <w:rPr>
                <w:rFonts w:eastAsia="SimSun"/>
              </w:rPr>
            </w:pPr>
            <w:r w:rsidRPr="00AC3044">
              <w:rPr>
                <w:rFonts w:eastAsia="SimSun"/>
              </w:rPr>
              <w:t>Курсовая доза</w:t>
            </w:r>
          </w:p>
        </w:tc>
        <w:tc>
          <w:tcPr>
            <w:tcW w:w="1701" w:type="dxa"/>
            <w:vAlign w:val="center"/>
          </w:tcPr>
          <w:p w14:paraId="63AF6E29" w14:textId="77777777" w:rsidR="008143D9" w:rsidRPr="00AC3044" w:rsidRDefault="008143D9" w:rsidP="005A428D">
            <w:pPr>
              <w:rPr>
                <w:rFonts w:eastAsia="SimSun"/>
              </w:rPr>
            </w:pPr>
            <w:r w:rsidRPr="00AC3044">
              <w:rPr>
                <w:rFonts w:eastAsia="SimSun"/>
              </w:rPr>
              <w:t>Дни введения</w:t>
            </w:r>
          </w:p>
        </w:tc>
        <w:tc>
          <w:tcPr>
            <w:tcW w:w="2268" w:type="dxa"/>
            <w:vAlign w:val="center"/>
          </w:tcPr>
          <w:p w14:paraId="5C21F8EE"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3392AA57" w14:textId="77777777" w:rsidTr="005A428D">
        <w:trPr>
          <w:cantSplit/>
          <w:trHeight w:val="20"/>
        </w:trPr>
        <w:tc>
          <w:tcPr>
            <w:tcW w:w="1242" w:type="dxa"/>
            <w:vMerge w:val="restart"/>
            <w:textDirection w:val="btLr"/>
            <w:vAlign w:val="center"/>
          </w:tcPr>
          <w:p w14:paraId="21D7AA5D" w14:textId="77777777" w:rsidR="008143D9" w:rsidRPr="00AC3044" w:rsidRDefault="008143D9" w:rsidP="005A428D">
            <w:pPr>
              <w:rPr>
                <w:rFonts w:eastAsia="SimSun"/>
              </w:rPr>
            </w:pPr>
            <w:r w:rsidRPr="00AC3044">
              <w:rPr>
                <w:rFonts w:eastAsia="SimSun"/>
              </w:rPr>
              <w:t>Кондиционирование</w:t>
            </w:r>
          </w:p>
        </w:tc>
        <w:tc>
          <w:tcPr>
            <w:tcW w:w="1701" w:type="dxa"/>
            <w:vAlign w:val="center"/>
          </w:tcPr>
          <w:p w14:paraId="69AF6EA0" w14:textId="77777777" w:rsidR="008143D9" w:rsidRPr="00AC3044" w:rsidRDefault="008143D9" w:rsidP="005A428D">
            <w:pPr>
              <w:rPr>
                <w:rFonts w:eastAsia="SimSun"/>
              </w:rPr>
            </w:pPr>
            <w:r w:rsidRPr="00AC3044">
              <w:rPr>
                <w:rFonts w:eastAsia="SimSun"/>
              </w:rPr>
              <w:t xml:space="preserve">Флударабин </w:t>
            </w:r>
          </w:p>
        </w:tc>
        <w:tc>
          <w:tcPr>
            <w:tcW w:w="1418" w:type="dxa"/>
            <w:vAlign w:val="center"/>
          </w:tcPr>
          <w:p w14:paraId="0A33DCD9" w14:textId="77777777" w:rsidR="008143D9" w:rsidRPr="00AC3044" w:rsidRDefault="008143D9" w:rsidP="005A428D">
            <w:pPr>
              <w:rPr>
                <w:rFonts w:eastAsia="SimSun"/>
              </w:rPr>
            </w:pPr>
            <w:r w:rsidRPr="00AC3044">
              <w:rPr>
                <w:rFonts w:eastAsia="SimSun"/>
              </w:rPr>
              <w:t>30 мг/м</w:t>
            </w:r>
            <w:r w:rsidRPr="00DB259E">
              <w:rPr>
                <w:rFonts w:eastAsia="SimSun"/>
                <w:vertAlign w:val="superscript"/>
              </w:rPr>
              <w:t>2</w:t>
            </w:r>
          </w:p>
        </w:tc>
        <w:tc>
          <w:tcPr>
            <w:tcW w:w="1276" w:type="dxa"/>
            <w:vAlign w:val="center"/>
          </w:tcPr>
          <w:p w14:paraId="02AC39D1" w14:textId="77777777" w:rsidR="008143D9" w:rsidRPr="00AC3044" w:rsidRDefault="008143D9" w:rsidP="005A428D">
            <w:pPr>
              <w:rPr>
                <w:rFonts w:eastAsia="SimSun"/>
              </w:rPr>
            </w:pPr>
            <w:r w:rsidRPr="00AC3044">
              <w:rPr>
                <w:rFonts w:eastAsia="SimSun"/>
              </w:rPr>
              <w:t>180 мг/м</w:t>
            </w:r>
            <w:r w:rsidRPr="00DB259E">
              <w:rPr>
                <w:rFonts w:eastAsia="SimSun"/>
                <w:vertAlign w:val="superscript"/>
              </w:rPr>
              <w:t>2</w:t>
            </w:r>
          </w:p>
        </w:tc>
        <w:tc>
          <w:tcPr>
            <w:tcW w:w="1701" w:type="dxa"/>
            <w:vAlign w:val="center"/>
          </w:tcPr>
          <w:p w14:paraId="2432B742" w14:textId="77777777" w:rsidR="008143D9" w:rsidRPr="00AC3044" w:rsidRDefault="008143D9" w:rsidP="005A428D">
            <w:pPr>
              <w:rPr>
                <w:rFonts w:eastAsia="SimSun"/>
              </w:rPr>
            </w:pPr>
            <w:r w:rsidRPr="00AC3044">
              <w:rPr>
                <w:rFonts w:eastAsia="SimSun"/>
              </w:rPr>
              <w:t>С -7 дня по -2 день</w:t>
            </w:r>
          </w:p>
        </w:tc>
        <w:tc>
          <w:tcPr>
            <w:tcW w:w="2268" w:type="dxa"/>
            <w:vAlign w:val="center"/>
          </w:tcPr>
          <w:p w14:paraId="48AD1886"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59FA5465" w14:textId="77777777" w:rsidTr="005A428D">
        <w:trPr>
          <w:cantSplit/>
          <w:trHeight w:val="1207"/>
        </w:trPr>
        <w:tc>
          <w:tcPr>
            <w:tcW w:w="1242" w:type="dxa"/>
            <w:vMerge/>
            <w:vAlign w:val="center"/>
          </w:tcPr>
          <w:p w14:paraId="1C9DA765" w14:textId="77777777" w:rsidR="008143D9" w:rsidRPr="00AC3044" w:rsidRDefault="008143D9" w:rsidP="005A428D">
            <w:pPr>
              <w:rPr>
                <w:rFonts w:eastAsia="SimSun"/>
              </w:rPr>
            </w:pPr>
          </w:p>
        </w:tc>
        <w:tc>
          <w:tcPr>
            <w:tcW w:w="1701" w:type="dxa"/>
            <w:vAlign w:val="center"/>
          </w:tcPr>
          <w:p w14:paraId="672B94B9" w14:textId="77777777" w:rsidR="008143D9" w:rsidRPr="00AC3044" w:rsidRDefault="008143D9" w:rsidP="005A428D">
            <w:pPr>
              <w:rPr>
                <w:rFonts w:eastAsia="SimSun"/>
              </w:rPr>
            </w:pPr>
            <w:r w:rsidRPr="00AC3044">
              <w:rPr>
                <w:rFonts w:eastAsia="SimSun"/>
              </w:rPr>
              <w:t>Бусульфан</w:t>
            </w:r>
          </w:p>
        </w:tc>
        <w:tc>
          <w:tcPr>
            <w:tcW w:w="1418" w:type="dxa"/>
            <w:vAlign w:val="center"/>
          </w:tcPr>
          <w:p w14:paraId="0DF55E8B" w14:textId="77777777" w:rsidR="008143D9" w:rsidRPr="00AC3044" w:rsidRDefault="008143D9" w:rsidP="005A428D">
            <w:pPr>
              <w:rPr>
                <w:rFonts w:eastAsia="SimSun"/>
              </w:rPr>
            </w:pPr>
            <w:r w:rsidRPr="00AC3044">
              <w:rPr>
                <w:rFonts w:eastAsia="SimSun"/>
              </w:rPr>
              <w:t xml:space="preserve">4 мг/кг </w:t>
            </w:r>
          </w:p>
        </w:tc>
        <w:tc>
          <w:tcPr>
            <w:tcW w:w="1276" w:type="dxa"/>
            <w:vAlign w:val="center"/>
          </w:tcPr>
          <w:p w14:paraId="1938AC1A" w14:textId="77777777" w:rsidR="008143D9" w:rsidRPr="00AC3044" w:rsidRDefault="008143D9" w:rsidP="005A428D">
            <w:pPr>
              <w:rPr>
                <w:rFonts w:eastAsia="SimSun"/>
              </w:rPr>
            </w:pPr>
            <w:r w:rsidRPr="00AC3044">
              <w:rPr>
                <w:rFonts w:eastAsia="SimSun"/>
              </w:rPr>
              <w:t xml:space="preserve">14 мг/кг </w:t>
            </w:r>
          </w:p>
        </w:tc>
        <w:tc>
          <w:tcPr>
            <w:tcW w:w="1701" w:type="dxa"/>
            <w:vAlign w:val="center"/>
          </w:tcPr>
          <w:p w14:paraId="2E2F1E5D" w14:textId="77777777" w:rsidR="008143D9" w:rsidRPr="00AC3044" w:rsidRDefault="008143D9" w:rsidP="005A428D">
            <w:pPr>
              <w:rPr>
                <w:rFonts w:eastAsia="SimSun"/>
              </w:rPr>
            </w:pPr>
            <w:r w:rsidRPr="00AC3044">
              <w:rPr>
                <w:rFonts w:eastAsia="SimSun"/>
              </w:rPr>
              <w:t>С -6 дня по -3 день</w:t>
            </w:r>
          </w:p>
        </w:tc>
        <w:tc>
          <w:tcPr>
            <w:tcW w:w="2268" w:type="dxa"/>
            <w:vAlign w:val="center"/>
          </w:tcPr>
          <w:p w14:paraId="60ACA31C" w14:textId="77777777" w:rsidR="008143D9" w:rsidRPr="00AC3044" w:rsidRDefault="008143D9" w:rsidP="005A428D">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8143D9" w:rsidRPr="00AC3044" w14:paraId="7F7E070C" w14:textId="77777777" w:rsidTr="005A428D">
        <w:trPr>
          <w:cantSplit/>
          <w:trHeight w:val="1498"/>
        </w:trPr>
        <w:tc>
          <w:tcPr>
            <w:tcW w:w="1242" w:type="dxa"/>
            <w:vMerge w:val="restart"/>
            <w:textDirection w:val="btLr"/>
            <w:vAlign w:val="center"/>
          </w:tcPr>
          <w:p w14:paraId="73847DC1" w14:textId="77777777" w:rsidR="008143D9" w:rsidRPr="00AC3044" w:rsidRDefault="008143D9" w:rsidP="005A428D">
            <w:pPr>
              <w:rPr>
                <w:rFonts w:eastAsia="SimSun"/>
              </w:rPr>
            </w:pPr>
            <w:r w:rsidRPr="00AC3044">
              <w:rPr>
                <w:rFonts w:eastAsia="SimSun"/>
              </w:rPr>
              <w:t>Профилактика РТПХ</w:t>
            </w:r>
          </w:p>
        </w:tc>
        <w:tc>
          <w:tcPr>
            <w:tcW w:w="1701" w:type="dxa"/>
            <w:vAlign w:val="center"/>
          </w:tcPr>
          <w:p w14:paraId="3CD957DD" w14:textId="77777777" w:rsidR="008143D9" w:rsidRPr="00AC3044" w:rsidRDefault="008143D9" w:rsidP="005A428D">
            <w:pPr>
              <w:rPr>
                <w:rFonts w:eastAsia="SimSun"/>
              </w:rPr>
            </w:pPr>
            <w:r w:rsidRPr="00AC3044">
              <w:rPr>
                <w:rFonts w:eastAsia="SimSun"/>
              </w:rPr>
              <w:t xml:space="preserve">Такролимус </w:t>
            </w:r>
          </w:p>
        </w:tc>
        <w:tc>
          <w:tcPr>
            <w:tcW w:w="1418" w:type="dxa"/>
            <w:vAlign w:val="center"/>
          </w:tcPr>
          <w:p w14:paraId="790C91C6" w14:textId="77777777" w:rsidR="008143D9" w:rsidRPr="00AC3044" w:rsidRDefault="008143D9" w:rsidP="005A428D">
            <w:pPr>
              <w:rPr>
                <w:rFonts w:eastAsia="SimSun"/>
              </w:rPr>
            </w:pPr>
            <w:r w:rsidRPr="00AC3044">
              <w:rPr>
                <w:rFonts w:eastAsia="SimSun"/>
              </w:rPr>
              <w:t>0,03 мг/кг</w:t>
            </w:r>
          </w:p>
        </w:tc>
        <w:tc>
          <w:tcPr>
            <w:tcW w:w="1276" w:type="dxa"/>
            <w:vAlign w:val="center"/>
          </w:tcPr>
          <w:p w14:paraId="7241469F" w14:textId="77777777" w:rsidR="008143D9" w:rsidRPr="00AC3044" w:rsidRDefault="008143D9" w:rsidP="005A428D">
            <w:pPr>
              <w:rPr>
                <w:rFonts w:eastAsia="SimSun"/>
              </w:rPr>
            </w:pPr>
            <w:r w:rsidRPr="00AC3044">
              <w:rPr>
                <w:rFonts w:eastAsia="SimSun"/>
              </w:rPr>
              <w:t>–</w:t>
            </w:r>
          </w:p>
        </w:tc>
        <w:tc>
          <w:tcPr>
            <w:tcW w:w="1701" w:type="dxa"/>
            <w:vAlign w:val="center"/>
          </w:tcPr>
          <w:p w14:paraId="4D3F3EF7" w14:textId="77777777" w:rsidR="008143D9" w:rsidRPr="00AC3044" w:rsidRDefault="008143D9" w:rsidP="005A428D">
            <w:pPr>
              <w:rPr>
                <w:rFonts w:eastAsia="SimSun"/>
              </w:rPr>
            </w:pPr>
            <w:r w:rsidRPr="00AC3044">
              <w:rPr>
                <w:rFonts w:eastAsia="SimSun"/>
              </w:rPr>
              <w:t xml:space="preserve">С +5 дня длительно </w:t>
            </w:r>
          </w:p>
        </w:tc>
        <w:tc>
          <w:tcPr>
            <w:tcW w:w="2268" w:type="dxa"/>
            <w:vAlign w:val="center"/>
          </w:tcPr>
          <w:p w14:paraId="0E5F77A7" w14:textId="77777777" w:rsidR="008143D9" w:rsidRPr="00AC3044" w:rsidRDefault="008143D9" w:rsidP="005A428D">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DB259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8143D9" w:rsidRPr="00AC3044" w14:paraId="28ACE630" w14:textId="77777777" w:rsidTr="005A428D">
        <w:trPr>
          <w:cantSplit/>
          <w:trHeight w:val="604"/>
        </w:trPr>
        <w:tc>
          <w:tcPr>
            <w:tcW w:w="1242" w:type="dxa"/>
            <w:vMerge/>
            <w:textDirection w:val="btLr"/>
            <w:vAlign w:val="center"/>
          </w:tcPr>
          <w:p w14:paraId="20E15F35" w14:textId="77777777" w:rsidR="008143D9" w:rsidRPr="00AC3044" w:rsidRDefault="008143D9" w:rsidP="005A428D">
            <w:pPr>
              <w:rPr>
                <w:rFonts w:eastAsia="SimSun"/>
              </w:rPr>
            </w:pPr>
          </w:p>
        </w:tc>
        <w:tc>
          <w:tcPr>
            <w:tcW w:w="1701" w:type="dxa"/>
            <w:vAlign w:val="center"/>
          </w:tcPr>
          <w:p w14:paraId="010E33DF" w14:textId="77777777" w:rsidR="008143D9" w:rsidRPr="00AC3044" w:rsidRDefault="008143D9" w:rsidP="005A428D">
            <w:pPr>
              <w:rPr>
                <w:rFonts w:eastAsia="SimSun"/>
              </w:rPr>
            </w:pPr>
            <w:r w:rsidRPr="00AC3044">
              <w:rPr>
                <w:rFonts w:eastAsia="SimSun"/>
              </w:rPr>
              <w:t>Микофенолата мофетил</w:t>
            </w:r>
          </w:p>
        </w:tc>
        <w:tc>
          <w:tcPr>
            <w:tcW w:w="1418" w:type="dxa"/>
            <w:vAlign w:val="center"/>
          </w:tcPr>
          <w:p w14:paraId="18E8ADA8" w14:textId="77777777" w:rsidR="008143D9" w:rsidRPr="00AC3044" w:rsidRDefault="008143D9" w:rsidP="005A428D">
            <w:pPr>
              <w:rPr>
                <w:rFonts w:eastAsia="SimSun"/>
              </w:rPr>
            </w:pPr>
            <w:r w:rsidRPr="00AC3044">
              <w:rPr>
                <w:rFonts w:eastAsia="SimSun"/>
              </w:rPr>
              <w:t xml:space="preserve">30 мг/кг </w:t>
            </w:r>
          </w:p>
        </w:tc>
        <w:tc>
          <w:tcPr>
            <w:tcW w:w="1276" w:type="dxa"/>
            <w:vAlign w:val="center"/>
          </w:tcPr>
          <w:p w14:paraId="315ACFFD" w14:textId="77777777" w:rsidR="008143D9" w:rsidRPr="00AC3044" w:rsidRDefault="008143D9" w:rsidP="005A428D">
            <w:pPr>
              <w:rPr>
                <w:rFonts w:eastAsia="SimSun"/>
              </w:rPr>
            </w:pPr>
            <w:r w:rsidRPr="00AC3044">
              <w:rPr>
                <w:rFonts w:eastAsia="SimSun"/>
              </w:rPr>
              <w:t>–</w:t>
            </w:r>
          </w:p>
        </w:tc>
        <w:tc>
          <w:tcPr>
            <w:tcW w:w="1701" w:type="dxa"/>
            <w:vAlign w:val="center"/>
          </w:tcPr>
          <w:p w14:paraId="03E9E69B" w14:textId="77777777" w:rsidR="008143D9" w:rsidRPr="00AC3044" w:rsidRDefault="008143D9" w:rsidP="005A428D">
            <w:pPr>
              <w:rPr>
                <w:rFonts w:eastAsia="SimSun"/>
              </w:rPr>
            </w:pPr>
            <w:r w:rsidRPr="00AC3044">
              <w:rPr>
                <w:rFonts w:eastAsia="SimSun"/>
              </w:rPr>
              <w:t xml:space="preserve">С +5 дня по +35 день </w:t>
            </w:r>
          </w:p>
        </w:tc>
        <w:tc>
          <w:tcPr>
            <w:tcW w:w="2268" w:type="dxa"/>
            <w:vAlign w:val="center"/>
          </w:tcPr>
          <w:p w14:paraId="3F40814B" w14:textId="77777777" w:rsidR="008143D9" w:rsidRPr="00AC3044" w:rsidRDefault="008143D9" w:rsidP="005A428D">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0C07899F" w14:textId="77777777" w:rsidR="008143D9" w:rsidRDefault="008143D9" w:rsidP="008143D9">
      <w:pPr>
        <w:rPr>
          <w:rFonts w:eastAsia="SimSun"/>
        </w:rPr>
      </w:pPr>
      <w:bookmarkStart w:id="159" w:name="_Toc44401197"/>
    </w:p>
    <w:p w14:paraId="1837457F" w14:textId="77777777" w:rsidR="008143D9" w:rsidRPr="00C07B2E" w:rsidRDefault="008143D9" w:rsidP="008143D9">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2.1.11  – Flu180+Treo42 / PT-Cy+Tx+MMF30</w:t>
      </w:r>
      <w:bookmarkEnd w:id="159"/>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01"/>
        <w:gridCol w:w="1418"/>
        <w:gridCol w:w="1276"/>
        <w:gridCol w:w="1701"/>
        <w:gridCol w:w="2268"/>
      </w:tblGrid>
      <w:tr w:rsidR="008143D9" w:rsidRPr="00C07B2E" w14:paraId="6D9616BC" w14:textId="77777777" w:rsidTr="005A428D">
        <w:trPr>
          <w:cantSplit/>
          <w:trHeight w:val="20"/>
          <w:tblHeader/>
        </w:trPr>
        <w:tc>
          <w:tcPr>
            <w:tcW w:w="1242" w:type="dxa"/>
            <w:vAlign w:val="center"/>
          </w:tcPr>
          <w:p w14:paraId="1B71DD79" w14:textId="77777777" w:rsidR="008143D9" w:rsidRPr="00470D3D" w:rsidRDefault="008143D9" w:rsidP="005A428D">
            <w:pPr>
              <w:rPr>
                <w:rFonts w:eastAsia="SimSun"/>
              </w:rPr>
            </w:pPr>
          </w:p>
        </w:tc>
        <w:tc>
          <w:tcPr>
            <w:tcW w:w="1701" w:type="dxa"/>
            <w:vAlign w:val="center"/>
          </w:tcPr>
          <w:p w14:paraId="7A4A379B" w14:textId="77777777" w:rsidR="008143D9" w:rsidRPr="00C07B2E" w:rsidRDefault="008143D9" w:rsidP="005A428D">
            <w:pPr>
              <w:rPr>
                <w:rFonts w:eastAsia="SimSun"/>
              </w:rPr>
            </w:pPr>
            <w:r w:rsidRPr="00C07B2E">
              <w:rPr>
                <w:rFonts w:eastAsia="SimSun"/>
              </w:rPr>
              <w:t>Препарат</w:t>
            </w:r>
          </w:p>
        </w:tc>
        <w:tc>
          <w:tcPr>
            <w:tcW w:w="1418" w:type="dxa"/>
            <w:vAlign w:val="center"/>
          </w:tcPr>
          <w:p w14:paraId="0C442E8C" w14:textId="77777777" w:rsidR="008143D9" w:rsidRPr="00C07B2E" w:rsidRDefault="008143D9" w:rsidP="005A428D">
            <w:pPr>
              <w:rPr>
                <w:rFonts w:eastAsia="SimSun"/>
              </w:rPr>
            </w:pPr>
            <w:r w:rsidRPr="00C07B2E">
              <w:rPr>
                <w:rFonts w:eastAsia="SimSun"/>
              </w:rPr>
              <w:t>Суточная доза</w:t>
            </w:r>
          </w:p>
        </w:tc>
        <w:tc>
          <w:tcPr>
            <w:tcW w:w="1276" w:type="dxa"/>
            <w:vAlign w:val="center"/>
          </w:tcPr>
          <w:p w14:paraId="2EBA6071" w14:textId="77777777" w:rsidR="008143D9" w:rsidRPr="00C07B2E" w:rsidRDefault="008143D9" w:rsidP="005A428D">
            <w:pPr>
              <w:rPr>
                <w:rFonts w:eastAsia="SimSun"/>
              </w:rPr>
            </w:pPr>
            <w:r w:rsidRPr="00C07B2E">
              <w:rPr>
                <w:rFonts w:eastAsia="SimSun"/>
              </w:rPr>
              <w:t>Курсовая доза</w:t>
            </w:r>
          </w:p>
        </w:tc>
        <w:tc>
          <w:tcPr>
            <w:tcW w:w="1701" w:type="dxa"/>
            <w:vAlign w:val="center"/>
          </w:tcPr>
          <w:p w14:paraId="3F128FA4" w14:textId="77777777" w:rsidR="008143D9" w:rsidRPr="00C07B2E" w:rsidRDefault="008143D9" w:rsidP="005A428D">
            <w:pPr>
              <w:rPr>
                <w:rFonts w:eastAsia="SimSun"/>
              </w:rPr>
            </w:pPr>
            <w:r w:rsidRPr="00C07B2E">
              <w:rPr>
                <w:rFonts w:eastAsia="SimSun"/>
              </w:rPr>
              <w:t>Дни введения</w:t>
            </w:r>
          </w:p>
        </w:tc>
        <w:tc>
          <w:tcPr>
            <w:tcW w:w="2268" w:type="dxa"/>
            <w:vAlign w:val="center"/>
          </w:tcPr>
          <w:p w14:paraId="461D5015" w14:textId="77777777" w:rsidR="008143D9" w:rsidRPr="00C07B2E" w:rsidRDefault="008143D9" w:rsidP="005A428D">
            <w:pPr>
              <w:rPr>
                <w:rFonts w:eastAsia="SimSun"/>
              </w:rPr>
            </w:pPr>
            <w:r w:rsidRPr="00C07B2E">
              <w:rPr>
                <w:rFonts w:eastAsia="SimSun"/>
              </w:rPr>
              <w:t>Порядок введения</w:t>
            </w:r>
          </w:p>
        </w:tc>
      </w:tr>
      <w:tr w:rsidR="008143D9" w:rsidRPr="00C07B2E" w14:paraId="535C42C5" w14:textId="77777777" w:rsidTr="005A428D">
        <w:trPr>
          <w:cantSplit/>
          <w:trHeight w:val="20"/>
        </w:trPr>
        <w:tc>
          <w:tcPr>
            <w:tcW w:w="1242" w:type="dxa"/>
            <w:vMerge w:val="restart"/>
            <w:textDirection w:val="btLr"/>
            <w:vAlign w:val="center"/>
          </w:tcPr>
          <w:p w14:paraId="31F313B9" w14:textId="77777777" w:rsidR="008143D9" w:rsidRPr="00C07B2E" w:rsidRDefault="008143D9" w:rsidP="005A428D">
            <w:pPr>
              <w:rPr>
                <w:rFonts w:eastAsia="SimSun"/>
              </w:rPr>
            </w:pPr>
            <w:r w:rsidRPr="00C07B2E">
              <w:rPr>
                <w:rFonts w:eastAsia="SimSun"/>
              </w:rPr>
              <w:t>Кондиционирование</w:t>
            </w:r>
          </w:p>
        </w:tc>
        <w:tc>
          <w:tcPr>
            <w:tcW w:w="1701" w:type="dxa"/>
            <w:vAlign w:val="center"/>
          </w:tcPr>
          <w:p w14:paraId="55486990" w14:textId="77777777" w:rsidR="008143D9" w:rsidRPr="00C07B2E" w:rsidRDefault="008143D9" w:rsidP="005A428D">
            <w:pPr>
              <w:rPr>
                <w:rFonts w:eastAsia="SimSun"/>
              </w:rPr>
            </w:pPr>
            <w:r w:rsidRPr="00C07B2E">
              <w:rPr>
                <w:rFonts w:eastAsia="SimSun"/>
              </w:rPr>
              <w:t xml:space="preserve">Флударабин </w:t>
            </w:r>
          </w:p>
        </w:tc>
        <w:tc>
          <w:tcPr>
            <w:tcW w:w="1418" w:type="dxa"/>
            <w:vAlign w:val="center"/>
          </w:tcPr>
          <w:p w14:paraId="56068C7B" w14:textId="77777777" w:rsidR="008143D9" w:rsidRPr="00C07B2E" w:rsidRDefault="008143D9" w:rsidP="005A428D">
            <w:pPr>
              <w:rPr>
                <w:rFonts w:eastAsia="SimSun"/>
              </w:rPr>
            </w:pPr>
            <w:r w:rsidRPr="00C07B2E">
              <w:rPr>
                <w:rFonts w:eastAsia="SimSun"/>
              </w:rPr>
              <w:t>30 мг/м</w:t>
            </w:r>
            <w:r w:rsidRPr="00DB259E">
              <w:rPr>
                <w:rFonts w:eastAsia="SimSun"/>
                <w:vertAlign w:val="superscript"/>
              </w:rPr>
              <w:t>2</w:t>
            </w:r>
          </w:p>
        </w:tc>
        <w:tc>
          <w:tcPr>
            <w:tcW w:w="1276" w:type="dxa"/>
            <w:vAlign w:val="center"/>
          </w:tcPr>
          <w:p w14:paraId="54483C59" w14:textId="77777777" w:rsidR="008143D9" w:rsidRPr="00C07B2E" w:rsidRDefault="008143D9" w:rsidP="005A428D">
            <w:pPr>
              <w:rPr>
                <w:rFonts w:eastAsia="SimSun"/>
              </w:rPr>
            </w:pPr>
            <w:r w:rsidRPr="00C07B2E">
              <w:rPr>
                <w:rFonts w:eastAsia="SimSun"/>
              </w:rPr>
              <w:t>180 мг/м</w:t>
            </w:r>
            <w:r w:rsidRPr="00DB259E">
              <w:rPr>
                <w:rFonts w:eastAsia="SimSun"/>
                <w:vertAlign w:val="superscript"/>
              </w:rPr>
              <w:t>2</w:t>
            </w:r>
          </w:p>
        </w:tc>
        <w:tc>
          <w:tcPr>
            <w:tcW w:w="1701" w:type="dxa"/>
            <w:vAlign w:val="center"/>
          </w:tcPr>
          <w:p w14:paraId="72401139" w14:textId="77777777" w:rsidR="008143D9" w:rsidRPr="00C07B2E" w:rsidRDefault="008143D9" w:rsidP="005A428D">
            <w:pPr>
              <w:rPr>
                <w:rFonts w:eastAsia="SimSun"/>
              </w:rPr>
            </w:pPr>
            <w:r w:rsidRPr="00C07B2E">
              <w:rPr>
                <w:rFonts w:eastAsia="SimSun"/>
              </w:rPr>
              <w:t>С -7 дня по -2 день</w:t>
            </w:r>
          </w:p>
        </w:tc>
        <w:tc>
          <w:tcPr>
            <w:tcW w:w="2268" w:type="dxa"/>
            <w:vAlign w:val="center"/>
          </w:tcPr>
          <w:p w14:paraId="1EE1B151" w14:textId="77777777" w:rsidR="008143D9" w:rsidRPr="00C07B2E" w:rsidRDefault="008143D9" w:rsidP="005A428D">
            <w:pPr>
              <w:rPr>
                <w:rFonts w:eastAsia="SimSun"/>
              </w:rPr>
            </w:pPr>
            <w:r w:rsidRPr="00C07B2E">
              <w:rPr>
                <w:rFonts w:eastAsia="SimSun"/>
              </w:rPr>
              <w:t>В/в, в течение 30 -60 мин</w:t>
            </w:r>
          </w:p>
        </w:tc>
      </w:tr>
      <w:tr w:rsidR="008143D9" w:rsidRPr="00C07B2E" w14:paraId="5F4DB4AC" w14:textId="77777777" w:rsidTr="005A428D">
        <w:trPr>
          <w:cantSplit/>
          <w:trHeight w:val="872"/>
        </w:trPr>
        <w:tc>
          <w:tcPr>
            <w:tcW w:w="1242" w:type="dxa"/>
            <w:vMerge/>
            <w:vAlign w:val="center"/>
          </w:tcPr>
          <w:p w14:paraId="157A714F" w14:textId="77777777" w:rsidR="008143D9" w:rsidRPr="00C07B2E" w:rsidRDefault="008143D9" w:rsidP="005A428D">
            <w:pPr>
              <w:rPr>
                <w:rFonts w:eastAsia="SimSun"/>
              </w:rPr>
            </w:pPr>
          </w:p>
        </w:tc>
        <w:tc>
          <w:tcPr>
            <w:tcW w:w="1701" w:type="dxa"/>
            <w:vAlign w:val="center"/>
          </w:tcPr>
          <w:p w14:paraId="1559B333" w14:textId="77777777" w:rsidR="008143D9" w:rsidRPr="00C07B2E" w:rsidRDefault="008143D9" w:rsidP="005A428D">
            <w:pPr>
              <w:rPr>
                <w:rFonts w:eastAsia="SimSun"/>
              </w:rPr>
            </w:pPr>
            <w:r w:rsidRPr="00C07B2E">
              <w:rPr>
                <w:rFonts w:eastAsia="SimSun"/>
              </w:rPr>
              <w:t xml:space="preserve">Треосульфан </w:t>
            </w:r>
          </w:p>
        </w:tc>
        <w:tc>
          <w:tcPr>
            <w:tcW w:w="1418" w:type="dxa"/>
            <w:vAlign w:val="center"/>
          </w:tcPr>
          <w:p w14:paraId="2D3C7AA7" w14:textId="77777777" w:rsidR="008143D9" w:rsidRPr="00C07B2E" w:rsidRDefault="008143D9" w:rsidP="005A428D">
            <w:pPr>
              <w:rPr>
                <w:rFonts w:eastAsia="SimSun"/>
              </w:rPr>
            </w:pPr>
            <w:r w:rsidRPr="00C07B2E">
              <w:rPr>
                <w:rFonts w:eastAsia="SimSun"/>
              </w:rPr>
              <w:t>14 г/кг</w:t>
            </w:r>
          </w:p>
        </w:tc>
        <w:tc>
          <w:tcPr>
            <w:tcW w:w="1276" w:type="dxa"/>
            <w:vAlign w:val="center"/>
          </w:tcPr>
          <w:p w14:paraId="043A2B51" w14:textId="77777777" w:rsidR="008143D9" w:rsidRPr="00C07B2E" w:rsidRDefault="008143D9" w:rsidP="005A428D">
            <w:pPr>
              <w:rPr>
                <w:rFonts w:eastAsia="SimSun"/>
              </w:rPr>
            </w:pPr>
            <w:r w:rsidRPr="00C07B2E">
              <w:rPr>
                <w:rFonts w:eastAsia="SimSun"/>
                <w:lang w:val="en-US"/>
              </w:rPr>
              <w:t>4</w:t>
            </w:r>
            <w:r w:rsidRPr="00C07B2E">
              <w:rPr>
                <w:rFonts w:eastAsia="SimSun"/>
              </w:rPr>
              <w:t>2 г/кг</w:t>
            </w:r>
          </w:p>
        </w:tc>
        <w:tc>
          <w:tcPr>
            <w:tcW w:w="1701" w:type="dxa"/>
            <w:vAlign w:val="center"/>
          </w:tcPr>
          <w:p w14:paraId="469C8350" w14:textId="77777777" w:rsidR="008143D9" w:rsidRPr="00C07B2E" w:rsidRDefault="008143D9" w:rsidP="005A428D">
            <w:pPr>
              <w:rPr>
                <w:rFonts w:eastAsia="SimSun"/>
              </w:rPr>
            </w:pPr>
            <w:r w:rsidRPr="00C07B2E">
              <w:rPr>
                <w:rFonts w:eastAsia="SimSun"/>
              </w:rPr>
              <w:t xml:space="preserve">С -5 дня по -3 день </w:t>
            </w:r>
          </w:p>
        </w:tc>
        <w:tc>
          <w:tcPr>
            <w:tcW w:w="2268" w:type="dxa"/>
            <w:vAlign w:val="center"/>
          </w:tcPr>
          <w:p w14:paraId="7D667970" w14:textId="77777777" w:rsidR="008143D9" w:rsidRPr="00C07B2E" w:rsidRDefault="008143D9" w:rsidP="005A428D">
            <w:pPr>
              <w:rPr>
                <w:rFonts w:eastAsia="SimSun"/>
              </w:rPr>
            </w:pPr>
            <w:r w:rsidRPr="00C07B2E">
              <w:rPr>
                <w:rFonts w:eastAsia="SimSun"/>
              </w:rPr>
              <w:t>В/в, в течение 2 часов</w:t>
            </w:r>
          </w:p>
        </w:tc>
      </w:tr>
      <w:tr w:rsidR="008143D9" w:rsidRPr="00C07B2E" w14:paraId="0E620792" w14:textId="77777777" w:rsidTr="005A428D">
        <w:trPr>
          <w:cantSplit/>
          <w:trHeight w:val="1498"/>
        </w:trPr>
        <w:tc>
          <w:tcPr>
            <w:tcW w:w="1242" w:type="dxa"/>
            <w:vMerge w:val="restart"/>
            <w:textDirection w:val="btLr"/>
            <w:vAlign w:val="center"/>
          </w:tcPr>
          <w:p w14:paraId="43191568" w14:textId="77777777" w:rsidR="008143D9" w:rsidRPr="00C07B2E" w:rsidRDefault="008143D9" w:rsidP="005A428D">
            <w:pPr>
              <w:rPr>
                <w:rFonts w:eastAsia="SimSun"/>
              </w:rPr>
            </w:pPr>
            <w:r w:rsidRPr="00C07B2E">
              <w:rPr>
                <w:rFonts w:eastAsia="SimSun"/>
              </w:rPr>
              <w:t>Профилактика РТПХ</w:t>
            </w:r>
          </w:p>
        </w:tc>
        <w:tc>
          <w:tcPr>
            <w:tcW w:w="1701" w:type="dxa"/>
            <w:vAlign w:val="center"/>
          </w:tcPr>
          <w:p w14:paraId="34571857" w14:textId="77777777" w:rsidR="008143D9" w:rsidRPr="00C07B2E" w:rsidRDefault="008143D9" w:rsidP="005A428D">
            <w:pPr>
              <w:rPr>
                <w:rFonts w:eastAsia="SimSun"/>
              </w:rPr>
            </w:pPr>
            <w:r w:rsidRPr="00C07B2E">
              <w:rPr>
                <w:rFonts w:eastAsia="SimSun"/>
              </w:rPr>
              <w:t xml:space="preserve">Такролимус </w:t>
            </w:r>
          </w:p>
        </w:tc>
        <w:tc>
          <w:tcPr>
            <w:tcW w:w="1418" w:type="dxa"/>
            <w:vAlign w:val="center"/>
          </w:tcPr>
          <w:p w14:paraId="0C4D881E" w14:textId="77777777" w:rsidR="008143D9" w:rsidRPr="00C07B2E" w:rsidRDefault="008143D9" w:rsidP="005A428D">
            <w:pPr>
              <w:rPr>
                <w:rFonts w:eastAsia="SimSun"/>
              </w:rPr>
            </w:pPr>
            <w:r w:rsidRPr="00C07B2E">
              <w:rPr>
                <w:rFonts w:eastAsia="SimSun"/>
              </w:rPr>
              <w:t>0,03 мг/кг</w:t>
            </w:r>
          </w:p>
        </w:tc>
        <w:tc>
          <w:tcPr>
            <w:tcW w:w="1276" w:type="dxa"/>
            <w:vAlign w:val="center"/>
          </w:tcPr>
          <w:p w14:paraId="156B9774" w14:textId="77777777" w:rsidR="008143D9" w:rsidRPr="00C07B2E" w:rsidRDefault="008143D9" w:rsidP="005A428D">
            <w:pPr>
              <w:rPr>
                <w:rFonts w:eastAsia="SimSun"/>
              </w:rPr>
            </w:pPr>
            <w:r w:rsidRPr="00C07B2E">
              <w:rPr>
                <w:rFonts w:eastAsia="SimSun"/>
                <w:lang w:val="en-US"/>
              </w:rPr>
              <w:t>–</w:t>
            </w:r>
          </w:p>
        </w:tc>
        <w:tc>
          <w:tcPr>
            <w:tcW w:w="1701" w:type="dxa"/>
            <w:vAlign w:val="center"/>
          </w:tcPr>
          <w:p w14:paraId="5B9E0B97" w14:textId="77777777" w:rsidR="008143D9" w:rsidRPr="00C07B2E" w:rsidRDefault="008143D9" w:rsidP="005A428D">
            <w:pPr>
              <w:rPr>
                <w:rFonts w:eastAsia="SimSun"/>
              </w:rPr>
            </w:pPr>
            <w:r w:rsidRPr="00C07B2E">
              <w:rPr>
                <w:rFonts w:eastAsia="SimSun"/>
              </w:rPr>
              <w:t xml:space="preserve">С +5 дня длительно </w:t>
            </w:r>
          </w:p>
        </w:tc>
        <w:tc>
          <w:tcPr>
            <w:tcW w:w="2268" w:type="dxa"/>
            <w:vAlign w:val="center"/>
          </w:tcPr>
          <w:p w14:paraId="592F8083" w14:textId="77777777" w:rsidR="008143D9" w:rsidRPr="00DB259E" w:rsidRDefault="008143D9" w:rsidP="005A428D">
            <w:pPr>
              <w:rPr>
                <w:rFonts w:eastAsia="SimSun"/>
              </w:rPr>
            </w:pPr>
            <w:r w:rsidRPr="00C07B2E">
              <w:rPr>
                <w:rFonts w:eastAsia="SimSun"/>
              </w:rPr>
              <w:t xml:space="preserve">В/в инфузия в течение 24 ч с последующей коррекцией суточной дозы по концентрации. </w:t>
            </w:r>
            <w:r w:rsidRPr="00DB259E">
              <w:rPr>
                <w:rFonts w:eastAsia="SimSun"/>
              </w:rPr>
              <w:t>Перевод на прием внутрь при условии восстановления лейкоцитов &gt; 1</w:t>
            </w:r>
            <w:r>
              <w:rPr>
                <w:rFonts w:eastAsia="SimSun"/>
              </w:rPr>
              <w:t xml:space="preserve"> х</w:t>
            </w:r>
            <w:r w:rsidRPr="00DB259E">
              <w:rPr>
                <w:rFonts w:eastAsia="SimSun"/>
              </w:rPr>
              <w:t xml:space="preserve"> 10</w:t>
            </w:r>
            <w:r w:rsidRPr="00DB259E">
              <w:rPr>
                <w:rFonts w:eastAsia="SimSun"/>
                <w:vertAlign w:val="superscript"/>
              </w:rPr>
              <w:t>9</w:t>
            </w:r>
            <w:r w:rsidRPr="00DB259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DB259E">
              <w:rPr>
                <w:rFonts w:eastAsia="SimSun"/>
              </w:rPr>
              <w:t xml:space="preserve"> 5-15 нг/мл.    </w:t>
            </w:r>
          </w:p>
        </w:tc>
      </w:tr>
      <w:tr w:rsidR="008143D9" w:rsidRPr="00C07B2E" w14:paraId="201A8D1F" w14:textId="77777777" w:rsidTr="005A428D">
        <w:trPr>
          <w:cantSplit/>
          <w:trHeight w:val="542"/>
        </w:trPr>
        <w:tc>
          <w:tcPr>
            <w:tcW w:w="1242" w:type="dxa"/>
            <w:vMerge/>
            <w:textDirection w:val="btLr"/>
            <w:vAlign w:val="center"/>
          </w:tcPr>
          <w:p w14:paraId="61C927AE" w14:textId="77777777" w:rsidR="008143D9" w:rsidRPr="00DB259E" w:rsidRDefault="008143D9" w:rsidP="005A428D">
            <w:pPr>
              <w:rPr>
                <w:rFonts w:eastAsia="SimSun"/>
              </w:rPr>
            </w:pPr>
          </w:p>
        </w:tc>
        <w:tc>
          <w:tcPr>
            <w:tcW w:w="1701" w:type="dxa"/>
            <w:vAlign w:val="center"/>
          </w:tcPr>
          <w:p w14:paraId="7D042E86" w14:textId="77777777" w:rsidR="008143D9" w:rsidRPr="00C07B2E" w:rsidRDefault="008143D9" w:rsidP="005A428D">
            <w:pPr>
              <w:rPr>
                <w:rFonts w:eastAsia="SimSun"/>
              </w:rPr>
            </w:pPr>
            <w:r w:rsidRPr="00C07B2E">
              <w:rPr>
                <w:rFonts w:eastAsia="SimSun"/>
              </w:rPr>
              <w:t>Микофенолата мофетил</w:t>
            </w:r>
          </w:p>
        </w:tc>
        <w:tc>
          <w:tcPr>
            <w:tcW w:w="1418" w:type="dxa"/>
            <w:vAlign w:val="center"/>
          </w:tcPr>
          <w:p w14:paraId="2479D599" w14:textId="77777777" w:rsidR="008143D9" w:rsidRPr="00C07B2E" w:rsidRDefault="008143D9" w:rsidP="005A428D">
            <w:pPr>
              <w:rPr>
                <w:rFonts w:eastAsia="SimSun"/>
              </w:rPr>
            </w:pPr>
            <w:r w:rsidRPr="00C07B2E">
              <w:rPr>
                <w:rFonts w:eastAsia="SimSun"/>
                <w:lang w:val="en-US"/>
              </w:rPr>
              <w:t>30</w:t>
            </w:r>
            <w:r w:rsidRPr="00C07B2E">
              <w:rPr>
                <w:rFonts w:eastAsia="SimSun"/>
              </w:rPr>
              <w:t xml:space="preserve"> мг/кг </w:t>
            </w:r>
          </w:p>
        </w:tc>
        <w:tc>
          <w:tcPr>
            <w:tcW w:w="1276" w:type="dxa"/>
            <w:vAlign w:val="center"/>
          </w:tcPr>
          <w:p w14:paraId="71041F6D" w14:textId="77777777" w:rsidR="008143D9" w:rsidRPr="00C07B2E" w:rsidRDefault="008143D9" w:rsidP="005A428D">
            <w:pPr>
              <w:rPr>
                <w:rFonts w:eastAsia="SimSun"/>
              </w:rPr>
            </w:pPr>
            <w:r w:rsidRPr="00C07B2E">
              <w:rPr>
                <w:rFonts w:eastAsia="SimSun"/>
              </w:rPr>
              <w:t>–</w:t>
            </w:r>
          </w:p>
        </w:tc>
        <w:tc>
          <w:tcPr>
            <w:tcW w:w="1701" w:type="dxa"/>
            <w:vAlign w:val="center"/>
          </w:tcPr>
          <w:p w14:paraId="4636986D" w14:textId="77777777" w:rsidR="008143D9" w:rsidRPr="00C07B2E" w:rsidRDefault="008143D9" w:rsidP="005A428D">
            <w:pPr>
              <w:rPr>
                <w:rFonts w:eastAsia="SimSun"/>
              </w:rPr>
            </w:pPr>
            <w:r w:rsidRPr="00C07B2E">
              <w:rPr>
                <w:rFonts w:eastAsia="SimSun"/>
              </w:rPr>
              <w:t xml:space="preserve">С +5 дня по +35 день </w:t>
            </w:r>
          </w:p>
        </w:tc>
        <w:tc>
          <w:tcPr>
            <w:tcW w:w="2268" w:type="dxa"/>
            <w:vAlign w:val="center"/>
          </w:tcPr>
          <w:p w14:paraId="378262F1" w14:textId="77777777" w:rsidR="008143D9" w:rsidRPr="00C07B2E" w:rsidRDefault="008143D9" w:rsidP="005A428D">
            <w:pPr>
              <w:rPr>
                <w:rFonts w:eastAsia="SimSun"/>
              </w:rPr>
            </w:pPr>
            <w:r w:rsidRPr="00C07B2E">
              <w:rPr>
                <w:rFonts w:eastAsia="SimSun"/>
              </w:rPr>
              <w:t xml:space="preserve">Внутрь, суммарная суточная доза разделяется на 2- 4 приема (не более 3г/сут).  </w:t>
            </w:r>
          </w:p>
        </w:tc>
      </w:tr>
      <w:tr w:rsidR="008143D9" w:rsidRPr="00C07B2E" w14:paraId="31F0EE4A" w14:textId="77777777" w:rsidTr="005A428D">
        <w:trPr>
          <w:cantSplit/>
          <w:trHeight w:val="508"/>
        </w:trPr>
        <w:tc>
          <w:tcPr>
            <w:tcW w:w="1242" w:type="dxa"/>
            <w:vMerge/>
            <w:textDirection w:val="btLr"/>
            <w:vAlign w:val="center"/>
          </w:tcPr>
          <w:p w14:paraId="35A4A25F" w14:textId="77777777" w:rsidR="008143D9" w:rsidRPr="00C07B2E" w:rsidRDefault="008143D9" w:rsidP="005A428D">
            <w:pPr>
              <w:rPr>
                <w:rFonts w:eastAsia="SimSun"/>
              </w:rPr>
            </w:pPr>
          </w:p>
        </w:tc>
        <w:tc>
          <w:tcPr>
            <w:tcW w:w="1701" w:type="dxa"/>
            <w:vAlign w:val="center"/>
          </w:tcPr>
          <w:p w14:paraId="07F5F4A0" w14:textId="77777777" w:rsidR="008143D9" w:rsidRPr="00C07B2E" w:rsidRDefault="008143D9" w:rsidP="005A428D">
            <w:pPr>
              <w:rPr>
                <w:rFonts w:eastAsia="SimSun"/>
              </w:rPr>
            </w:pPr>
            <w:r w:rsidRPr="00C07B2E">
              <w:rPr>
                <w:rFonts w:eastAsia="SimSun"/>
              </w:rPr>
              <w:t xml:space="preserve">Циклофосфамид </w:t>
            </w:r>
          </w:p>
        </w:tc>
        <w:tc>
          <w:tcPr>
            <w:tcW w:w="1418" w:type="dxa"/>
            <w:vAlign w:val="center"/>
          </w:tcPr>
          <w:p w14:paraId="01B65700" w14:textId="77777777" w:rsidR="008143D9" w:rsidRPr="00C07B2E" w:rsidRDefault="008143D9" w:rsidP="005A428D">
            <w:pPr>
              <w:rPr>
                <w:rFonts w:eastAsia="SimSun"/>
              </w:rPr>
            </w:pPr>
            <w:r w:rsidRPr="00C07B2E">
              <w:rPr>
                <w:rFonts w:eastAsia="SimSun"/>
              </w:rPr>
              <w:t xml:space="preserve">50 мг/кг </w:t>
            </w:r>
          </w:p>
        </w:tc>
        <w:tc>
          <w:tcPr>
            <w:tcW w:w="1276" w:type="dxa"/>
            <w:vAlign w:val="center"/>
          </w:tcPr>
          <w:p w14:paraId="4B34494E" w14:textId="77777777" w:rsidR="008143D9" w:rsidRPr="00C07B2E" w:rsidRDefault="008143D9" w:rsidP="005A428D">
            <w:pPr>
              <w:rPr>
                <w:rFonts w:eastAsia="SimSun"/>
              </w:rPr>
            </w:pPr>
            <w:r w:rsidRPr="00C07B2E">
              <w:rPr>
                <w:rFonts w:eastAsia="SimSun"/>
              </w:rPr>
              <w:t>100 мг/кг</w:t>
            </w:r>
          </w:p>
        </w:tc>
        <w:tc>
          <w:tcPr>
            <w:tcW w:w="1701" w:type="dxa"/>
            <w:vAlign w:val="center"/>
          </w:tcPr>
          <w:p w14:paraId="2FED18EB" w14:textId="77777777" w:rsidR="008143D9" w:rsidRPr="00C07B2E" w:rsidRDefault="008143D9" w:rsidP="005A428D">
            <w:pPr>
              <w:rPr>
                <w:rFonts w:eastAsia="SimSun"/>
              </w:rPr>
            </w:pPr>
            <w:r w:rsidRPr="00C07B2E">
              <w:rPr>
                <w:rFonts w:eastAsia="SimSun"/>
              </w:rPr>
              <w:t>С +3 дня по +4 день</w:t>
            </w:r>
          </w:p>
        </w:tc>
        <w:tc>
          <w:tcPr>
            <w:tcW w:w="2268" w:type="dxa"/>
            <w:vAlign w:val="center"/>
          </w:tcPr>
          <w:p w14:paraId="35E1C936" w14:textId="77777777" w:rsidR="008143D9" w:rsidRPr="00C07B2E" w:rsidRDefault="008143D9" w:rsidP="005A428D">
            <w:pPr>
              <w:rPr>
                <w:rFonts w:eastAsia="SimSun"/>
              </w:rPr>
            </w:pPr>
            <w:r w:rsidRPr="00C07B2E">
              <w:rPr>
                <w:rFonts w:eastAsia="SimSun"/>
              </w:rPr>
              <w:t>В/в, в течение 2 ч</w:t>
            </w:r>
          </w:p>
        </w:tc>
      </w:tr>
    </w:tbl>
    <w:p w14:paraId="02F26647" w14:textId="77777777" w:rsidR="008143D9" w:rsidRPr="00C07B2E" w:rsidRDefault="008143D9" w:rsidP="008143D9">
      <w:pPr>
        <w:rPr>
          <w:rFonts w:eastAsia="SimSun"/>
        </w:rPr>
      </w:pPr>
    </w:p>
    <w:p w14:paraId="284A59A8" w14:textId="77777777" w:rsidR="008143D9" w:rsidRPr="00C07B2E" w:rsidRDefault="008143D9" w:rsidP="008143D9">
      <w:pPr>
        <w:rPr>
          <w:rFonts w:eastAsia="SimSun"/>
        </w:rPr>
        <w:sectPr w:rsidR="008143D9" w:rsidRPr="00C07B2E" w:rsidSect="00980822">
          <w:footerReference w:type="default" r:id="rId15"/>
          <w:type w:val="continuous"/>
          <w:pgSz w:w="11907" w:h="16839" w:code="9"/>
          <w:pgMar w:top="1134" w:right="850" w:bottom="1134" w:left="1701" w:header="709" w:footer="567" w:gutter="0"/>
          <w:cols w:space="708"/>
          <w:docGrid w:linePitch="360"/>
        </w:sectPr>
      </w:pPr>
      <w:r w:rsidRPr="00C07B2E">
        <w:rPr>
          <w:rFonts w:eastAsia="SimSun"/>
        </w:rPr>
        <w:t xml:space="preserve">Схемы и режимы применения препаратов для </w:t>
      </w:r>
      <w:r w:rsidRPr="00723FEA">
        <w:rPr>
          <w:rFonts w:eastAsia="SimSun"/>
          <w:b/>
        </w:rPr>
        <w:t>кондиционирования в режиме пониженной</w:t>
      </w:r>
      <w:r>
        <w:rPr>
          <w:rFonts w:eastAsia="SimSun"/>
        </w:rPr>
        <w:t xml:space="preserve"> интенсивности</w:t>
      </w:r>
      <w:r w:rsidRPr="00C07B2E">
        <w:rPr>
          <w:rFonts w:eastAsia="SimSun"/>
        </w:rPr>
        <w:t xml:space="preserve"> и профилактики РТПХ указаны в Таблице </w:t>
      </w:r>
      <w:r>
        <w:rPr>
          <w:rFonts w:eastAsia="SimSun"/>
        </w:rPr>
        <w:t>5.</w:t>
      </w:r>
      <w:r w:rsidRPr="00C07B2E">
        <w:rPr>
          <w:rFonts w:eastAsia="SimSun"/>
        </w:rPr>
        <w:t>2.2</w:t>
      </w:r>
    </w:p>
    <w:p w14:paraId="475E4DC9" w14:textId="77777777" w:rsidR="008143D9" w:rsidRPr="00C07B2E" w:rsidRDefault="008143D9" w:rsidP="008143D9">
      <w:pPr>
        <w:rPr>
          <w:rFonts w:eastAsia="SimSun"/>
        </w:rPr>
      </w:pPr>
      <w:r w:rsidRPr="00C07B2E">
        <w:rPr>
          <w:rFonts w:eastAsia="SimSun"/>
        </w:rPr>
        <w:t xml:space="preserve">Таблица </w:t>
      </w:r>
      <w:r>
        <w:rPr>
          <w:rFonts w:eastAsia="SimSun"/>
        </w:rPr>
        <w:t>5.</w:t>
      </w:r>
      <w:r w:rsidRPr="00C07B2E">
        <w:rPr>
          <w:rFonts w:eastAsia="SimSun"/>
        </w:rPr>
        <w:t xml:space="preserve">2.2 Схемы и режимы применения препаратов для кондиционирования и профилактики РТПХ со ссылками на </w:t>
      </w:r>
      <w:r>
        <w:rPr>
          <w:rFonts w:eastAsia="SimSun"/>
        </w:rPr>
        <w:t>таблицы с описанием</w:t>
      </w:r>
    </w:p>
    <w:p w14:paraId="07DAFB01" w14:textId="77777777" w:rsidR="008143D9" w:rsidRPr="00C07B2E" w:rsidRDefault="008143D9" w:rsidP="008143D9">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4"/>
        <w:gridCol w:w="865"/>
        <w:gridCol w:w="880"/>
        <w:gridCol w:w="1222"/>
        <w:gridCol w:w="1177"/>
        <w:gridCol w:w="1031"/>
        <w:gridCol w:w="1265"/>
        <w:gridCol w:w="1228"/>
        <w:gridCol w:w="902"/>
        <w:gridCol w:w="1356"/>
        <w:gridCol w:w="1091"/>
        <w:gridCol w:w="1142"/>
        <w:gridCol w:w="1125"/>
      </w:tblGrid>
      <w:tr w:rsidR="008143D9" w:rsidRPr="00470E23" w14:paraId="451A0DB6" w14:textId="77777777" w:rsidTr="005A428D">
        <w:trPr>
          <w:cantSplit/>
          <w:trHeight w:val="498"/>
        </w:trPr>
        <w:tc>
          <w:tcPr>
            <w:tcW w:w="1387" w:type="pct"/>
            <w:gridSpan w:val="4"/>
            <w:vMerge w:val="restart"/>
            <w:shd w:val="clear" w:color="auto" w:fill="auto"/>
            <w:vAlign w:val="center"/>
          </w:tcPr>
          <w:p w14:paraId="76DC06D0" w14:textId="77777777" w:rsidR="008143D9" w:rsidRPr="00470E23" w:rsidRDefault="008143D9" w:rsidP="005A428D">
            <w:pPr>
              <w:rPr>
                <w:rFonts w:eastAsia="SimSun"/>
                <w:sz w:val="22"/>
              </w:rPr>
            </w:pPr>
            <w:r w:rsidRPr="00470E23">
              <w:rPr>
                <w:rFonts w:eastAsia="SimSun"/>
                <w:sz w:val="22"/>
              </w:rPr>
              <w:t>Профилактика РТПХ</w:t>
            </w:r>
          </w:p>
        </w:tc>
        <w:tc>
          <w:tcPr>
            <w:tcW w:w="3613" w:type="pct"/>
            <w:gridSpan w:val="9"/>
            <w:shd w:val="clear" w:color="auto" w:fill="auto"/>
            <w:vAlign w:val="center"/>
          </w:tcPr>
          <w:p w14:paraId="71FE5544" w14:textId="77777777" w:rsidR="008143D9" w:rsidRPr="00470E23" w:rsidRDefault="008143D9" w:rsidP="005A428D">
            <w:pPr>
              <w:rPr>
                <w:rFonts w:eastAsia="SimSun"/>
                <w:sz w:val="22"/>
              </w:rPr>
            </w:pPr>
            <w:r w:rsidRPr="00470E23">
              <w:rPr>
                <w:rFonts w:eastAsia="SimSun"/>
                <w:sz w:val="22"/>
              </w:rPr>
              <w:t>Режим кондиционирования</w:t>
            </w:r>
          </w:p>
        </w:tc>
      </w:tr>
      <w:tr w:rsidR="008143D9" w:rsidRPr="00470E23" w14:paraId="3F971D65" w14:textId="77777777" w:rsidTr="005A428D">
        <w:trPr>
          <w:cantSplit/>
          <w:trHeight w:val="433"/>
        </w:trPr>
        <w:tc>
          <w:tcPr>
            <w:tcW w:w="1387" w:type="pct"/>
            <w:gridSpan w:val="4"/>
            <w:vMerge/>
            <w:shd w:val="clear" w:color="auto" w:fill="auto"/>
            <w:vAlign w:val="center"/>
          </w:tcPr>
          <w:p w14:paraId="138CCA46" w14:textId="77777777" w:rsidR="008143D9" w:rsidRPr="00470E23" w:rsidRDefault="008143D9" w:rsidP="005A428D">
            <w:pPr>
              <w:rPr>
                <w:rFonts w:eastAsia="SimSun"/>
                <w:sz w:val="22"/>
              </w:rPr>
            </w:pPr>
          </w:p>
        </w:tc>
        <w:tc>
          <w:tcPr>
            <w:tcW w:w="412" w:type="pct"/>
            <w:shd w:val="clear" w:color="auto" w:fill="D9D9D9"/>
            <w:vAlign w:val="center"/>
          </w:tcPr>
          <w:p w14:paraId="1B389A07" w14:textId="77777777" w:rsidR="008143D9" w:rsidRPr="00470E23" w:rsidRDefault="008143D9" w:rsidP="005A428D">
            <w:pPr>
              <w:rPr>
                <w:rFonts w:eastAsia="SimSun"/>
                <w:sz w:val="22"/>
              </w:rPr>
            </w:pPr>
            <w:r w:rsidRPr="00470E23">
              <w:rPr>
                <w:rFonts w:eastAsia="SimSun"/>
                <w:sz w:val="22"/>
              </w:rPr>
              <w:t>Flu90</w:t>
            </w:r>
          </w:p>
        </w:tc>
        <w:tc>
          <w:tcPr>
            <w:tcW w:w="803" w:type="pct"/>
            <w:gridSpan w:val="2"/>
            <w:tcBorders>
              <w:right w:val="single" w:sz="4" w:space="0" w:color="00000A"/>
            </w:tcBorders>
            <w:shd w:val="clear" w:color="auto" w:fill="D9D9D9"/>
            <w:vAlign w:val="center"/>
          </w:tcPr>
          <w:p w14:paraId="6579B3AA" w14:textId="77777777" w:rsidR="008143D9" w:rsidRPr="00470E23" w:rsidRDefault="008143D9" w:rsidP="005A428D">
            <w:pPr>
              <w:rPr>
                <w:rFonts w:eastAsia="SimSun"/>
                <w:sz w:val="22"/>
              </w:rPr>
            </w:pPr>
            <w:r w:rsidRPr="00470E23">
              <w:rPr>
                <w:rFonts w:eastAsia="SimSun"/>
                <w:sz w:val="22"/>
              </w:rPr>
              <w:t>Flu150</w:t>
            </w:r>
          </w:p>
        </w:tc>
        <w:tc>
          <w:tcPr>
            <w:tcW w:w="2398" w:type="pct"/>
            <w:gridSpan w:val="6"/>
            <w:tcBorders>
              <w:left w:val="single" w:sz="4" w:space="0" w:color="00000A"/>
            </w:tcBorders>
            <w:shd w:val="clear" w:color="auto" w:fill="D9D9D9"/>
            <w:vAlign w:val="center"/>
          </w:tcPr>
          <w:p w14:paraId="08EE78A6" w14:textId="77777777" w:rsidR="008143D9" w:rsidRPr="00470E23" w:rsidRDefault="008143D9" w:rsidP="005A428D">
            <w:pPr>
              <w:rPr>
                <w:rFonts w:eastAsia="SimSun"/>
                <w:sz w:val="22"/>
              </w:rPr>
            </w:pPr>
            <w:r w:rsidRPr="00470E23">
              <w:rPr>
                <w:rFonts w:eastAsia="SimSun"/>
                <w:sz w:val="22"/>
              </w:rPr>
              <w:t>Flu180</w:t>
            </w:r>
          </w:p>
        </w:tc>
      </w:tr>
      <w:tr w:rsidR="008143D9" w:rsidRPr="00470E23" w14:paraId="74F484EF" w14:textId="77777777" w:rsidTr="005A428D">
        <w:trPr>
          <w:cantSplit/>
          <w:trHeight w:val="397"/>
        </w:trPr>
        <w:tc>
          <w:tcPr>
            <w:tcW w:w="1387" w:type="pct"/>
            <w:gridSpan w:val="4"/>
            <w:vMerge/>
            <w:shd w:val="clear" w:color="auto" w:fill="auto"/>
            <w:vAlign w:val="center"/>
          </w:tcPr>
          <w:p w14:paraId="234F8229" w14:textId="77777777" w:rsidR="008143D9" w:rsidRPr="00470E23" w:rsidRDefault="008143D9" w:rsidP="005A428D">
            <w:pPr>
              <w:rPr>
                <w:rFonts w:eastAsia="SimSun"/>
                <w:sz w:val="22"/>
              </w:rPr>
            </w:pPr>
          </w:p>
        </w:tc>
        <w:tc>
          <w:tcPr>
            <w:tcW w:w="412" w:type="pct"/>
            <w:shd w:val="clear" w:color="auto" w:fill="D9D9D9"/>
            <w:vAlign w:val="center"/>
          </w:tcPr>
          <w:p w14:paraId="3C4129E6" w14:textId="77777777" w:rsidR="008143D9" w:rsidRPr="00470E23" w:rsidRDefault="008143D9" w:rsidP="005A428D">
            <w:pPr>
              <w:rPr>
                <w:rFonts w:eastAsia="SimSun"/>
                <w:sz w:val="22"/>
              </w:rPr>
            </w:pPr>
            <w:r w:rsidRPr="00470E23">
              <w:rPr>
                <w:rFonts w:eastAsia="SimSun"/>
                <w:sz w:val="22"/>
              </w:rPr>
              <w:t>Benda</w:t>
            </w:r>
          </w:p>
        </w:tc>
        <w:tc>
          <w:tcPr>
            <w:tcW w:w="361" w:type="pct"/>
            <w:tcBorders>
              <w:right w:val="single" w:sz="4" w:space="0" w:color="00000A"/>
            </w:tcBorders>
            <w:shd w:val="clear" w:color="auto" w:fill="D9D9D9"/>
            <w:vAlign w:val="center"/>
          </w:tcPr>
          <w:p w14:paraId="2AF12F94" w14:textId="77777777" w:rsidR="008143D9" w:rsidRPr="00470E23" w:rsidRDefault="008143D9" w:rsidP="005A428D">
            <w:pPr>
              <w:rPr>
                <w:rFonts w:eastAsia="SimSun"/>
                <w:sz w:val="22"/>
              </w:rPr>
            </w:pPr>
            <w:r w:rsidRPr="00470E23">
              <w:rPr>
                <w:rFonts w:eastAsia="SimSun"/>
                <w:sz w:val="22"/>
              </w:rPr>
              <w:t>-</w:t>
            </w:r>
          </w:p>
        </w:tc>
        <w:tc>
          <w:tcPr>
            <w:tcW w:w="443" w:type="pct"/>
            <w:tcBorders>
              <w:left w:val="single" w:sz="4" w:space="0" w:color="00000A"/>
              <w:right w:val="single" w:sz="4" w:space="0" w:color="00000A"/>
            </w:tcBorders>
            <w:shd w:val="clear" w:color="auto" w:fill="D9D9D9"/>
            <w:vAlign w:val="center"/>
          </w:tcPr>
          <w:p w14:paraId="01BAFE23" w14:textId="77777777" w:rsidR="008143D9" w:rsidRPr="00470E23" w:rsidRDefault="008143D9" w:rsidP="005A428D">
            <w:pPr>
              <w:rPr>
                <w:rFonts w:eastAsia="SimSun"/>
                <w:sz w:val="22"/>
              </w:rPr>
            </w:pPr>
            <w:r w:rsidRPr="00470E23">
              <w:rPr>
                <w:rFonts w:eastAsia="SimSun"/>
                <w:sz w:val="22"/>
              </w:rPr>
              <w:t>Bu8</w:t>
            </w:r>
          </w:p>
        </w:tc>
        <w:tc>
          <w:tcPr>
            <w:tcW w:w="746" w:type="pct"/>
            <w:gridSpan w:val="2"/>
            <w:shd w:val="clear" w:color="auto" w:fill="D9D9D9"/>
            <w:vAlign w:val="center"/>
          </w:tcPr>
          <w:p w14:paraId="7DB42F1F" w14:textId="77777777" w:rsidR="008143D9" w:rsidRPr="00470E23" w:rsidRDefault="008143D9" w:rsidP="005A428D">
            <w:pPr>
              <w:rPr>
                <w:rFonts w:eastAsia="SimSun"/>
                <w:sz w:val="22"/>
              </w:rPr>
            </w:pPr>
            <w:r w:rsidRPr="00470E23">
              <w:rPr>
                <w:rFonts w:eastAsia="SimSun"/>
                <w:sz w:val="22"/>
              </w:rPr>
              <w:t>Bu8</w:t>
            </w:r>
          </w:p>
        </w:tc>
        <w:tc>
          <w:tcPr>
            <w:tcW w:w="475" w:type="pct"/>
            <w:shd w:val="clear" w:color="auto" w:fill="D9D9D9"/>
            <w:vAlign w:val="center"/>
          </w:tcPr>
          <w:p w14:paraId="0480B121" w14:textId="77777777" w:rsidR="008143D9" w:rsidRPr="00470E23" w:rsidRDefault="008143D9" w:rsidP="005A428D">
            <w:pPr>
              <w:rPr>
                <w:rFonts w:eastAsia="SimSun"/>
                <w:sz w:val="22"/>
              </w:rPr>
            </w:pPr>
            <w:r w:rsidRPr="00470E23">
              <w:rPr>
                <w:rFonts w:eastAsia="SimSun"/>
                <w:sz w:val="22"/>
              </w:rPr>
              <w:t>Bu10</w:t>
            </w:r>
          </w:p>
        </w:tc>
        <w:tc>
          <w:tcPr>
            <w:tcW w:w="382" w:type="pct"/>
            <w:shd w:val="clear" w:color="auto" w:fill="D9D9D9"/>
            <w:vAlign w:val="center"/>
          </w:tcPr>
          <w:p w14:paraId="5817E294" w14:textId="77777777" w:rsidR="008143D9" w:rsidRPr="00470E23" w:rsidRDefault="008143D9" w:rsidP="005A428D">
            <w:pPr>
              <w:rPr>
                <w:rFonts w:eastAsia="SimSun"/>
                <w:sz w:val="22"/>
              </w:rPr>
            </w:pPr>
            <w:r w:rsidRPr="00470E23">
              <w:rPr>
                <w:rFonts w:eastAsia="SimSun"/>
                <w:sz w:val="22"/>
              </w:rPr>
              <w:t>Treo36</w:t>
            </w:r>
          </w:p>
        </w:tc>
        <w:tc>
          <w:tcPr>
            <w:tcW w:w="400" w:type="pct"/>
            <w:shd w:val="clear" w:color="auto" w:fill="D9D9D9"/>
            <w:vAlign w:val="center"/>
          </w:tcPr>
          <w:p w14:paraId="275C2C52" w14:textId="77777777" w:rsidR="008143D9" w:rsidRPr="00470E23" w:rsidRDefault="008143D9" w:rsidP="005A428D">
            <w:pPr>
              <w:rPr>
                <w:rFonts w:eastAsia="SimSun"/>
                <w:sz w:val="22"/>
              </w:rPr>
            </w:pPr>
            <w:r w:rsidRPr="00470E23">
              <w:rPr>
                <w:rFonts w:eastAsia="SimSun"/>
                <w:sz w:val="22"/>
              </w:rPr>
              <w:t>Cy1200</w:t>
            </w:r>
          </w:p>
        </w:tc>
        <w:tc>
          <w:tcPr>
            <w:tcW w:w="394" w:type="pct"/>
            <w:shd w:val="clear" w:color="auto" w:fill="D9D9D9"/>
            <w:vAlign w:val="center"/>
          </w:tcPr>
          <w:p w14:paraId="161D167D" w14:textId="77777777" w:rsidR="008143D9" w:rsidRPr="00470E23" w:rsidRDefault="008143D9" w:rsidP="005A428D">
            <w:pPr>
              <w:rPr>
                <w:rFonts w:eastAsia="SimSun"/>
                <w:sz w:val="22"/>
              </w:rPr>
            </w:pPr>
            <w:r w:rsidRPr="00470E23">
              <w:rPr>
                <w:rFonts w:eastAsia="SimSun"/>
                <w:sz w:val="22"/>
              </w:rPr>
              <w:t>Mel100</w:t>
            </w:r>
          </w:p>
        </w:tc>
      </w:tr>
      <w:tr w:rsidR="008143D9" w:rsidRPr="00470E23" w14:paraId="400B38E9" w14:textId="77777777" w:rsidTr="005A428D">
        <w:trPr>
          <w:cantSplit/>
          <w:trHeight w:val="417"/>
        </w:trPr>
        <w:tc>
          <w:tcPr>
            <w:tcW w:w="1387" w:type="pct"/>
            <w:gridSpan w:val="4"/>
            <w:vMerge/>
            <w:shd w:val="clear" w:color="auto" w:fill="auto"/>
            <w:vAlign w:val="center"/>
          </w:tcPr>
          <w:p w14:paraId="639CC89F" w14:textId="77777777" w:rsidR="008143D9" w:rsidRPr="00470E23" w:rsidRDefault="008143D9" w:rsidP="005A428D">
            <w:pPr>
              <w:rPr>
                <w:rFonts w:eastAsia="SimSun"/>
                <w:sz w:val="22"/>
              </w:rPr>
            </w:pPr>
          </w:p>
        </w:tc>
        <w:tc>
          <w:tcPr>
            <w:tcW w:w="412" w:type="pct"/>
            <w:shd w:val="clear" w:color="auto" w:fill="D9D9D9"/>
            <w:vAlign w:val="center"/>
          </w:tcPr>
          <w:p w14:paraId="10C96916" w14:textId="77777777" w:rsidR="008143D9" w:rsidRPr="00470E23" w:rsidRDefault="008143D9" w:rsidP="005A428D">
            <w:pPr>
              <w:rPr>
                <w:rFonts w:eastAsia="SimSun"/>
                <w:sz w:val="22"/>
              </w:rPr>
            </w:pPr>
            <w:r w:rsidRPr="00470E23">
              <w:rPr>
                <w:rFonts w:eastAsia="SimSun"/>
                <w:sz w:val="22"/>
              </w:rPr>
              <w:t>-</w:t>
            </w:r>
          </w:p>
        </w:tc>
        <w:tc>
          <w:tcPr>
            <w:tcW w:w="361" w:type="pct"/>
            <w:tcBorders>
              <w:right w:val="single" w:sz="4" w:space="0" w:color="00000A"/>
            </w:tcBorders>
            <w:shd w:val="clear" w:color="auto" w:fill="D9D9D9"/>
            <w:vAlign w:val="center"/>
          </w:tcPr>
          <w:p w14:paraId="19D124FF" w14:textId="77777777" w:rsidR="008143D9" w:rsidRPr="00470E23" w:rsidRDefault="008143D9" w:rsidP="005A428D">
            <w:pPr>
              <w:rPr>
                <w:rFonts w:eastAsia="SimSun"/>
                <w:sz w:val="22"/>
              </w:rPr>
            </w:pPr>
            <w:r w:rsidRPr="00470E23">
              <w:rPr>
                <w:rFonts w:eastAsia="SimSun"/>
                <w:sz w:val="22"/>
              </w:rPr>
              <w:t>Thio</w:t>
            </w:r>
          </w:p>
        </w:tc>
        <w:tc>
          <w:tcPr>
            <w:tcW w:w="443" w:type="pct"/>
            <w:tcBorders>
              <w:left w:val="single" w:sz="4" w:space="0" w:color="00000A"/>
            </w:tcBorders>
            <w:shd w:val="clear" w:color="auto" w:fill="D9D9D9"/>
            <w:vAlign w:val="center"/>
          </w:tcPr>
          <w:p w14:paraId="0785005D" w14:textId="77777777" w:rsidR="008143D9" w:rsidRPr="00470E23" w:rsidRDefault="008143D9" w:rsidP="005A428D">
            <w:pPr>
              <w:rPr>
                <w:rFonts w:eastAsia="SimSun"/>
                <w:sz w:val="22"/>
              </w:rPr>
            </w:pPr>
            <w:r w:rsidRPr="00470E23">
              <w:rPr>
                <w:rFonts w:eastAsia="SimSun"/>
                <w:sz w:val="22"/>
              </w:rPr>
              <w:t>Thio</w:t>
            </w:r>
          </w:p>
        </w:tc>
        <w:tc>
          <w:tcPr>
            <w:tcW w:w="430" w:type="pct"/>
            <w:tcBorders>
              <w:right w:val="single" w:sz="4" w:space="0" w:color="00000A"/>
            </w:tcBorders>
            <w:shd w:val="clear" w:color="auto" w:fill="D9D9D9"/>
            <w:vAlign w:val="center"/>
          </w:tcPr>
          <w:p w14:paraId="146BAC55" w14:textId="77777777" w:rsidR="008143D9" w:rsidRPr="00470E23" w:rsidRDefault="008143D9" w:rsidP="005A428D">
            <w:pPr>
              <w:rPr>
                <w:rFonts w:eastAsia="SimSun"/>
                <w:sz w:val="22"/>
              </w:rPr>
            </w:pPr>
            <w:r w:rsidRPr="00470E23">
              <w:rPr>
                <w:rFonts w:eastAsia="SimSun"/>
                <w:sz w:val="22"/>
              </w:rPr>
              <w:t>-</w:t>
            </w:r>
          </w:p>
        </w:tc>
        <w:tc>
          <w:tcPr>
            <w:tcW w:w="316" w:type="pct"/>
            <w:tcBorders>
              <w:left w:val="single" w:sz="4" w:space="0" w:color="00000A"/>
            </w:tcBorders>
            <w:shd w:val="clear" w:color="auto" w:fill="D9D9D9"/>
            <w:vAlign w:val="center"/>
          </w:tcPr>
          <w:p w14:paraId="01BEE35E" w14:textId="77777777" w:rsidR="008143D9" w:rsidRPr="00470E23" w:rsidRDefault="008143D9" w:rsidP="005A428D">
            <w:pPr>
              <w:rPr>
                <w:rFonts w:eastAsia="SimSun"/>
                <w:sz w:val="22"/>
              </w:rPr>
            </w:pPr>
            <w:r w:rsidRPr="00470E23">
              <w:rPr>
                <w:rFonts w:eastAsia="SimSun"/>
                <w:sz w:val="22"/>
              </w:rPr>
              <w:t>Thio</w:t>
            </w:r>
          </w:p>
        </w:tc>
        <w:tc>
          <w:tcPr>
            <w:tcW w:w="475" w:type="pct"/>
            <w:shd w:val="clear" w:color="auto" w:fill="D9D9D9"/>
            <w:vAlign w:val="center"/>
          </w:tcPr>
          <w:p w14:paraId="13254041" w14:textId="77777777" w:rsidR="008143D9" w:rsidRPr="00470E23" w:rsidRDefault="008143D9" w:rsidP="005A428D">
            <w:pPr>
              <w:rPr>
                <w:rFonts w:eastAsia="SimSun"/>
                <w:sz w:val="22"/>
              </w:rPr>
            </w:pPr>
            <w:r w:rsidRPr="00470E23">
              <w:rPr>
                <w:rFonts w:eastAsia="SimSun"/>
                <w:sz w:val="22"/>
              </w:rPr>
              <w:t>-</w:t>
            </w:r>
          </w:p>
        </w:tc>
        <w:tc>
          <w:tcPr>
            <w:tcW w:w="382" w:type="pct"/>
            <w:shd w:val="clear" w:color="auto" w:fill="D9D9D9"/>
            <w:vAlign w:val="center"/>
          </w:tcPr>
          <w:p w14:paraId="171EAC73" w14:textId="77777777" w:rsidR="008143D9" w:rsidRPr="00470E23" w:rsidRDefault="008143D9" w:rsidP="005A428D">
            <w:pPr>
              <w:rPr>
                <w:rFonts w:eastAsia="SimSun"/>
                <w:sz w:val="22"/>
              </w:rPr>
            </w:pPr>
            <w:r w:rsidRPr="00470E23">
              <w:rPr>
                <w:rFonts w:eastAsia="SimSun"/>
                <w:sz w:val="22"/>
              </w:rPr>
              <w:t>-</w:t>
            </w:r>
          </w:p>
        </w:tc>
        <w:tc>
          <w:tcPr>
            <w:tcW w:w="400" w:type="pct"/>
            <w:shd w:val="clear" w:color="auto" w:fill="D9D9D9"/>
            <w:vAlign w:val="center"/>
          </w:tcPr>
          <w:p w14:paraId="0ECA700D" w14:textId="77777777" w:rsidR="008143D9" w:rsidRPr="00470E23" w:rsidRDefault="008143D9" w:rsidP="005A428D">
            <w:pPr>
              <w:rPr>
                <w:rFonts w:eastAsia="SimSun"/>
                <w:sz w:val="22"/>
              </w:rPr>
            </w:pPr>
          </w:p>
        </w:tc>
        <w:tc>
          <w:tcPr>
            <w:tcW w:w="394" w:type="pct"/>
            <w:shd w:val="clear" w:color="auto" w:fill="D9D9D9"/>
            <w:vAlign w:val="center"/>
          </w:tcPr>
          <w:p w14:paraId="07396603" w14:textId="77777777" w:rsidR="008143D9" w:rsidRPr="00470E23" w:rsidRDefault="008143D9" w:rsidP="005A428D">
            <w:pPr>
              <w:rPr>
                <w:rFonts w:eastAsia="SimSun"/>
                <w:sz w:val="22"/>
              </w:rPr>
            </w:pPr>
          </w:p>
        </w:tc>
      </w:tr>
      <w:tr w:rsidR="008143D9" w:rsidRPr="00470E23" w14:paraId="076D4217" w14:textId="77777777" w:rsidTr="005A428D">
        <w:trPr>
          <w:cantSplit/>
          <w:trHeight w:val="606"/>
        </w:trPr>
        <w:tc>
          <w:tcPr>
            <w:tcW w:w="348" w:type="pct"/>
            <w:vMerge w:val="restart"/>
            <w:shd w:val="clear" w:color="auto" w:fill="D9D9D9"/>
            <w:vAlign w:val="center"/>
          </w:tcPr>
          <w:p w14:paraId="099328DA" w14:textId="77777777" w:rsidR="008143D9" w:rsidRPr="00470E23" w:rsidRDefault="008143D9" w:rsidP="005A428D">
            <w:pPr>
              <w:rPr>
                <w:rFonts w:eastAsia="SimSun"/>
                <w:sz w:val="22"/>
              </w:rPr>
            </w:pPr>
            <w:r w:rsidRPr="00470E23">
              <w:rPr>
                <w:rFonts w:eastAsia="SimSun"/>
                <w:sz w:val="22"/>
              </w:rPr>
              <w:t>hATG</w:t>
            </w:r>
          </w:p>
        </w:tc>
        <w:tc>
          <w:tcPr>
            <w:tcW w:w="303" w:type="pct"/>
            <w:shd w:val="clear" w:color="auto" w:fill="D9D9D9"/>
            <w:vAlign w:val="center"/>
          </w:tcPr>
          <w:p w14:paraId="6D92DD61" w14:textId="77777777" w:rsidR="008143D9" w:rsidRPr="00470E23" w:rsidRDefault="008143D9" w:rsidP="005A428D">
            <w:pPr>
              <w:rPr>
                <w:rFonts w:eastAsia="SimSun"/>
                <w:sz w:val="22"/>
              </w:rPr>
            </w:pPr>
            <w:r w:rsidRPr="00470E23">
              <w:rPr>
                <w:rFonts w:eastAsia="SimSun"/>
                <w:sz w:val="22"/>
              </w:rPr>
              <w:t>CSA</w:t>
            </w:r>
          </w:p>
        </w:tc>
        <w:tc>
          <w:tcPr>
            <w:tcW w:w="308" w:type="pct"/>
            <w:shd w:val="clear" w:color="auto" w:fill="D9D9D9"/>
            <w:vAlign w:val="center"/>
          </w:tcPr>
          <w:p w14:paraId="3643B632" w14:textId="77777777" w:rsidR="008143D9" w:rsidRPr="00470E23" w:rsidRDefault="008143D9" w:rsidP="005A428D">
            <w:pPr>
              <w:rPr>
                <w:rFonts w:eastAsia="SimSun"/>
                <w:sz w:val="22"/>
              </w:rPr>
            </w:pPr>
            <w:r w:rsidRPr="00470E23">
              <w:rPr>
                <w:rFonts w:eastAsia="SimSun"/>
                <w:sz w:val="22"/>
              </w:rPr>
              <w:t>MTX</w:t>
            </w:r>
          </w:p>
        </w:tc>
        <w:tc>
          <w:tcPr>
            <w:tcW w:w="428" w:type="pct"/>
            <w:shd w:val="clear" w:color="auto" w:fill="D9D9D9"/>
            <w:vAlign w:val="center"/>
          </w:tcPr>
          <w:p w14:paraId="5EB15BA0" w14:textId="77777777" w:rsidR="008143D9" w:rsidRPr="00470E23" w:rsidRDefault="008143D9" w:rsidP="005A428D">
            <w:pPr>
              <w:rPr>
                <w:rFonts w:eastAsia="SimSun"/>
                <w:sz w:val="22"/>
              </w:rPr>
            </w:pPr>
            <w:r w:rsidRPr="00470E23">
              <w:rPr>
                <w:rFonts w:eastAsia="SimSun"/>
                <w:sz w:val="22"/>
              </w:rPr>
              <w:t>MMF45</w:t>
            </w:r>
          </w:p>
        </w:tc>
        <w:tc>
          <w:tcPr>
            <w:tcW w:w="412" w:type="pct"/>
            <w:shd w:val="clear" w:color="auto" w:fill="auto"/>
            <w:vAlign w:val="center"/>
          </w:tcPr>
          <w:p w14:paraId="5515038F" w14:textId="77777777" w:rsidR="008143D9" w:rsidRPr="00470E23" w:rsidRDefault="008143D9" w:rsidP="005A428D">
            <w:pPr>
              <w:rPr>
                <w:rFonts w:eastAsia="SimSun"/>
                <w:sz w:val="22"/>
              </w:rPr>
            </w:pPr>
            <w:r w:rsidRPr="00470E23">
              <w:rPr>
                <w:rFonts w:eastAsia="SimSun"/>
                <w:sz w:val="22"/>
              </w:rPr>
              <w:t>-</w:t>
            </w:r>
          </w:p>
        </w:tc>
        <w:tc>
          <w:tcPr>
            <w:tcW w:w="361" w:type="pct"/>
            <w:tcBorders>
              <w:right w:val="single" w:sz="4" w:space="0" w:color="00000A"/>
            </w:tcBorders>
            <w:shd w:val="clear" w:color="auto" w:fill="auto"/>
            <w:vAlign w:val="center"/>
          </w:tcPr>
          <w:p w14:paraId="22365726" w14:textId="77777777" w:rsidR="008143D9" w:rsidRPr="00470E23" w:rsidRDefault="008143D9" w:rsidP="005A428D">
            <w:pPr>
              <w:rPr>
                <w:rFonts w:eastAsia="SimSun"/>
                <w:sz w:val="22"/>
              </w:rPr>
            </w:pPr>
          </w:p>
        </w:tc>
        <w:tc>
          <w:tcPr>
            <w:tcW w:w="443" w:type="pct"/>
            <w:tcBorders>
              <w:left w:val="single" w:sz="4" w:space="0" w:color="00000A"/>
            </w:tcBorders>
            <w:shd w:val="clear" w:color="auto" w:fill="auto"/>
            <w:vAlign w:val="center"/>
          </w:tcPr>
          <w:p w14:paraId="19BA0A40" w14:textId="77777777" w:rsidR="008143D9" w:rsidRPr="00470E23" w:rsidRDefault="008143D9" w:rsidP="005A428D">
            <w:pPr>
              <w:rPr>
                <w:rFonts w:eastAsia="SimSun"/>
                <w:sz w:val="22"/>
              </w:rPr>
            </w:pPr>
            <w:r w:rsidRPr="00470E23">
              <w:rPr>
                <w:rFonts w:eastAsia="SimSun"/>
                <w:sz w:val="22"/>
              </w:rPr>
              <w:t>5.2.2.1</w:t>
            </w:r>
          </w:p>
        </w:tc>
        <w:tc>
          <w:tcPr>
            <w:tcW w:w="430" w:type="pct"/>
            <w:tcBorders>
              <w:right w:val="single" w:sz="4" w:space="0" w:color="00000A"/>
            </w:tcBorders>
            <w:shd w:val="clear" w:color="auto" w:fill="auto"/>
            <w:vAlign w:val="center"/>
          </w:tcPr>
          <w:p w14:paraId="1127EAA2" w14:textId="77777777" w:rsidR="008143D9" w:rsidRPr="00470E23" w:rsidRDefault="008143D9" w:rsidP="005A428D">
            <w:pPr>
              <w:rPr>
                <w:rFonts w:eastAsia="SimSun"/>
                <w:sz w:val="22"/>
              </w:rPr>
            </w:pPr>
            <w:r w:rsidRPr="00470E23">
              <w:rPr>
                <w:rFonts w:eastAsia="SimSun"/>
                <w:sz w:val="22"/>
              </w:rPr>
              <w:t>5.2.2.5</w:t>
            </w:r>
          </w:p>
        </w:tc>
        <w:tc>
          <w:tcPr>
            <w:tcW w:w="316" w:type="pct"/>
            <w:tcBorders>
              <w:left w:val="single" w:sz="4" w:space="0" w:color="00000A"/>
            </w:tcBorders>
            <w:shd w:val="clear" w:color="auto" w:fill="auto"/>
            <w:vAlign w:val="center"/>
          </w:tcPr>
          <w:p w14:paraId="4360F0DD" w14:textId="77777777" w:rsidR="008143D9" w:rsidRPr="00470E23" w:rsidRDefault="008143D9" w:rsidP="005A428D">
            <w:pPr>
              <w:rPr>
                <w:rFonts w:eastAsia="SimSun"/>
                <w:sz w:val="22"/>
              </w:rPr>
            </w:pPr>
          </w:p>
        </w:tc>
        <w:tc>
          <w:tcPr>
            <w:tcW w:w="475" w:type="pct"/>
            <w:shd w:val="clear" w:color="auto" w:fill="auto"/>
            <w:vAlign w:val="center"/>
          </w:tcPr>
          <w:p w14:paraId="790527F9" w14:textId="77777777" w:rsidR="008143D9" w:rsidRPr="00470E23" w:rsidRDefault="008143D9" w:rsidP="005A428D">
            <w:pPr>
              <w:rPr>
                <w:rFonts w:eastAsia="SimSun"/>
                <w:sz w:val="22"/>
              </w:rPr>
            </w:pPr>
          </w:p>
        </w:tc>
        <w:tc>
          <w:tcPr>
            <w:tcW w:w="382" w:type="pct"/>
            <w:shd w:val="clear" w:color="auto" w:fill="auto"/>
            <w:vAlign w:val="center"/>
          </w:tcPr>
          <w:p w14:paraId="55DB658E" w14:textId="77777777" w:rsidR="008143D9" w:rsidRPr="00470E23" w:rsidRDefault="008143D9" w:rsidP="005A428D">
            <w:pPr>
              <w:rPr>
                <w:rFonts w:eastAsia="SimSun"/>
                <w:sz w:val="22"/>
              </w:rPr>
            </w:pPr>
          </w:p>
        </w:tc>
        <w:tc>
          <w:tcPr>
            <w:tcW w:w="400" w:type="pct"/>
            <w:shd w:val="clear" w:color="auto" w:fill="auto"/>
            <w:vAlign w:val="center"/>
          </w:tcPr>
          <w:p w14:paraId="5CD3DA37" w14:textId="77777777" w:rsidR="008143D9" w:rsidRPr="00470E23" w:rsidRDefault="008143D9" w:rsidP="005A428D">
            <w:pPr>
              <w:rPr>
                <w:rFonts w:eastAsia="SimSun"/>
                <w:sz w:val="22"/>
              </w:rPr>
            </w:pPr>
          </w:p>
        </w:tc>
        <w:tc>
          <w:tcPr>
            <w:tcW w:w="394" w:type="pct"/>
            <w:vAlign w:val="center"/>
          </w:tcPr>
          <w:p w14:paraId="466763D2" w14:textId="77777777" w:rsidR="008143D9" w:rsidRPr="00470E23" w:rsidRDefault="008143D9" w:rsidP="005A428D">
            <w:pPr>
              <w:rPr>
                <w:rFonts w:eastAsia="SimSun"/>
                <w:sz w:val="22"/>
              </w:rPr>
            </w:pPr>
          </w:p>
        </w:tc>
      </w:tr>
      <w:tr w:rsidR="008143D9" w:rsidRPr="00470E23" w14:paraId="1BB76630" w14:textId="77777777" w:rsidTr="005A428D">
        <w:trPr>
          <w:cantSplit/>
          <w:trHeight w:val="606"/>
        </w:trPr>
        <w:tc>
          <w:tcPr>
            <w:tcW w:w="348" w:type="pct"/>
            <w:vMerge/>
            <w:shd w:val="clear" w:color="auto" w:fill="D9D9D9"/>
            <w:vAlign w:val="center"/>
          </w:tcPr>
          <w:p w14:paraId="058D14D2" w14:textId="77777777" w:rsidR="008143D9" w:rsidRPr="00470E23" w:rsidRDefault="008143D9" w:rsidP="005A428D">
            <w:pPr>
              <w:rPr>
                <w:rFonts w:eastAsia="SimSun"/>
                <w:sz w:val="22"/>
              </w:rPr>
            </w:pPr>
          </w:p>
        </w:tc>
        <w:tc>
          <w:tcPr>
            <w:tcW w:w="303" w:type="pct"/>
            <w:shd w:val="clear" w:color="auto" w:fill="D9D9D9"/>
            <w:vAlign w:val="center"/>
          </w:tcPr>
          <w:p w14:paraId="10647311" w14:textId="77777777" w:rsidR="008143D9" w:rsidRPr="00470E23" w:rsidRDefault="008143D9" w:rsidP="005A428D">
            <w:pPr>
              <w:rPr>
                <w:rFonts w:eastAsia="SimSun"/>
                <w:sz w:val="22"/>
              </w:rPr>
            </w:pPr>
            <w:r w:rsidRPr="00470E23">
              <w:rPr>
                <w:rFonts w:eastAsia="SimSun"/>
                <w:sz w:val="22"/>
              </w:rPr>
              <w:t>Tx</w:t>
            </w:r>
          </w:p>
        </w:tc>
        <w:tc>
          <w:tcPr>
            <w:tcW w:w="308" w:type="pct"/>
            <w:shd w:val="clear" w:color="auto" w:fill="D9D9D9"/>
            <w:vAlign w:val="center"/>
          </w:tcPr>
          <w:p w14:paraId="789EFE2E" w14:textId="77777777" w:rsidR="008143D9" w:rsidRPr="00470E23" w:rsidRDefault="008143D9" w:rsidP="005A428D">
            <w:pPr>
              <w:rPr>
                <w:rFonts w:eastAsia="SimSun"/>
                <w:sz w:val="22"/>
              </w:rPr>
            </w:pPr>
            <w:r w:rsidRPr="00470E23">
              <w:rPr>
                <w:rFonts w:eastAsia="SimSun"/>
                <w:sz w:val="22"/>
              </w:rPr>
              <w:t>-</w:t>
            </w:r>
          </w:p>
        </w:tc>
        <w:tc>
          <w:tcPr>
            <w:tcW w:w="428" w:type="pct"/>
            <w:shd w:val="clear" w:color="auto" w:fill="D9D9D9"/>
            <w:vAlign w:val="center"/>
          </w:tcPr>
          <w:p w14:paraId="068A34F5" w14:textId="77777777" w:rsidR="008143D9" w:rsidRPr="00470E23" w:rsidRDefault="008143D9" w:rsidP="005A428D">
            <w:pPr>
              <w:rPr>
                <w:rFonts w:eastAsia="SimSun"/>
                <w:sz w:val="22"/>
              </w:rPr>
            </w:pPr>
            <w:r w:rsidRPr="00470E23">
              <w:rPr>
                <w:rFonts w:eastAsia="SimSun"/>
                <w:sz w:val="22"/>
              </w:rPr>
              <w:t>MMF30</w:t>
            </w:r>
          </w:p>
        </w:tc>
        <w:tc>
          <w:tcPr>
            <w:tcW w:w="412" w:type="pct"/>
            <w:shd w:val="clear" w:color="auto" w:fill="auto"/>
            <w:vAlign w:val="center"/>
          </w:tcPr>
          <w:p w14:paraId="7F1E536C" w14:textId="77777777" w:rsidR="008143D9" w:rsidRPr="00470E23" w:rsidRDefault="008143D9" w:rsidP="005A428D">
            <w:pPr>
              <w:rPr>
                <w:rFonts w:eastAsia="SimSun"/>
                <w:sz w:val="22"/>
              </w:rPr>
            </w:pPr>
          </w:p>
        </w:tc>
        <w:tc>
          <w:tcPr>
            <w:tcW w:w="361" w:type="pct"/>
            <w:tcBorders>
              <w:right w:val="single" w:sz="4" w:space="0" w:color="00000A"/>
            </w:tcBorders>
            <w:shd w:val="clear" w:color="auto" w:fill="auto"/>
            <w:vAlign w:val="center"/>
          </w:tcPr>
          <w:p w14:paraId="49734DD2" w14:textId="77777777" w:rsidR="008143D9" w:rsidRPr="00470E23" w:rsidRDefault="008143D9" w:rsidP="005A428D">
            <w:pPr>
              <w:rPr>
                <w:rFonts w:eastAsia="SimSun"/>
                <w:sz w:val="22"/>
              </w:rPr>
            </w:pPr>
            <w:r w:rsidRPr="00470E23">
              <w:rPr>
                <w:rFonts w:eastAsia="SimSun"/>
                <w:sz w:val="22"/>
              </w:rPr>
              <w:t>5.2.2.17</w:t>
            </w:r>
          </w:p>
        </w:tc>
        <w:tc>
          <w:tcPr>
            <w:tcW w:w="443" w:type="pct"/>
            <w:tcBorders>
              <w:left w:val="single" w:sz="4" w:space="0" w:color="00000A"/>
            </w:tcBorders>
            <w:shd w:val="clear" w:color="auto" w:fill="auto"/>
            <w:vAlign w:val="center"/>
          </w:tcPr>
          <w:p w14:paraId="677D473B" w14:textId="77777777" w:rsidR="008143D9" w:rsidRPr="00470E23" w:rsidRDefault="008143D9" w:rsidP="005A428D">
            <w:pPr>
              <w:rPr>
                <w:rFonts w:eastAsia="SimSun"/>
                <w:sz w:val="22"/>
              </w:rPr>
            </w:pPr>
          </w:p>
        </w:tc>
        <w:tc>
          <w:tcPr>
            <w:tcW w:w="430" w:type="pct"/>
            <w:tcBorders>
              <w:right w:val="single" w:sz="4" w:space="0" w:color="00000A"/>
            </w:tcBorders>
            <w:shd w:val="clear" w:color="auto" w:fill="auto"/>
            <w:vAlign w:val="center"/>
          </w:tcPr>
          <w:p w14:paraId="4C228962" w14:textId="77777777" w:rsidR="008143D9" w:rsidRPr="00470E23" w:rsidRDefault="008143D9" w:rsidP="005A428D">
            <w:pPr>
              <w:rPr>
                <w:rFonts w:eastAsia="SimSun"/>
                <w:sz w:val="22"/>
              </w:rPr>
            </w:pPr>
          </w:p>
        </w:tc>
        <w:tc>
          <w:tcPr>
            <w:tcW w:w="316" w:type="pct"/>
            <w:tcBorders>
              <w:left w:val="single" w:sz="4" w:space="0" w:color="00000A"/>
            </w:tcBorders>
            <w:shd w:val="clear" w:color="auto" w:fill="auto"/>
            <w:vAlign w:val="center"/>
          </w:tcPr>
          <w:p w14:paraId="63FD6478" w14:textId="77777777" w:rsidR="008143D9" w:rsidRPr="00470E23" w:rsidRDefault="008143D9" w:rsidP="005A428D">
            <w:pPr>
              <w:rPr>
                <w:rFonts w:eastAsia="SimSun"/>
                <w:sz w:val="22"/>
              </w:rPr>
            </w:pPr>
          </w:p>
        </w:tc>
        <w:tc>
          <w:tcPr>
            <w:tcW w:w="475" w:type="pct"/>
            <w:shd w:val="clear" w:color="auto" w:fill="auto"/>
            <w:vAlign w:val="center"/>
          </w:tcPr>
          <w:p w14:paraId="0B0430B4" w14:textId="77777777" w:rsidR="008143D9" w:rsidRPr="00470E23" w:rsidRDefault="008143D9" w:rsidP="005A428D">
            <w:pPr>
              <w:rPr>
                <w:rFonts w:eastAsia="SimSun"/>
                <w:sz w:val="22"/>
              </w:rPr>
            </w:pPr>
          </w:p>
        </w:tc>
        <w:tc>
          <w:tcPr>
            <w:tcW w:w="382" w:type="pct"/>
            <w:shd w:val="clear" w:color="auto" w:fill="auto"/>
            <w:vAlign w:val="center"/>
          </w:tcPr>
          <w:p w14:paraId="3ACD2C74" w14:textId="77777777" w:rsidR="008143D9" w:rsidRPr="00470E23" w:rsidRDefault="008143D9" w:rsidP="005A428D">
            <w:pPr>
              <w:rPr>
                <w:rFonts w:eastAsia="SimSun"/>
                <w:sz w:val="22"/>
              </w:rPr>
            </w:pPr>
          </w:p>
        </w:tc>
        <w:tc>
          <w:tcPr>
            <w:tcW w:w="400" w:type="pct"/>
            <w:shd w:val="clear" w:color="auto" w:fill="auto"/>
            <w:vAlign w:val="center"/>
          </w:tcPr>
          <w:p w14:paraId="6C2F276B" w14:textId="77777777" w:rsidR="008143D9" w:rsidRPr="00470E23" w:rsidRDefault="008143D9" w:rsidP="005A428D">
            <w:pPr>
              <w:rPr>
                <w:rFonts w:eastAsia="SimSun"/>
                <w:sz w:val="22"/>
              </w:rPr>
            </w:pPr>
            <w:r w:rsidRPr="00470E23">
              <w:rPr>
                <w:rFonts w:eastAsia="SimSun"/>
                <w:sz w:val="22"/>
              </w:rPr>
              <w:t>5.2.2.19</w:t>
            </w:r>
          </w:p>
        </w:tc>
        <w:tc>
          <w:tcPr>
            <w:tcW w:w="394" w:type="pct"/>
            <w:vAlign w:val="center"/>
          </w:tcPr>
          <w:p w14:paraId="6808266F" w14:textId="77777777" w:rsidR="008143D9" w:rsidRPr="00470E23" w:rsidRDefault="008143D9" w:rsidP="005A428D">
            <w:pPr>
              <w:rPr>
                <w:rFonts w:eastAsia="SimSun"/>
                <w:sz w:val="22"/>
              </w:rPr>
            </w:pPr>
          </w:p>
        </w:tc>
      </w:tr>
      <w:tr w:rsidR="008143D9" w:rsidRPr="00470E23" w14:paraId="0D0ED8EE" w14:textId="77777777" w:rsidTr="005A428D">
        <w:trPr>
          <w:cantSplit/>
          <w:trHeight w:val="606"/>
        </w:trPr>
        <w:tc>
          <w:tcPr>
            <w:tcW w:w="348" w:type="pct"/>
            <w:vMerge w:val="restart"/>
            <w:shd w:val="clear" w:color="auto" w:fill="D9D9D9"/>
            <w:vAlign w:val="center"/>
          </w:tcPr>
          <w:p w14:paraId="65D80E8F" w14:textId="77777777" w:rsidR="008143D9" w:rsidRPr="00470E23" w:rsidRDefault="008143D9" w:rsidP="005A428D">
            <w:pPr>
              <w:rPr>
                <w:rFonts w:eastAsia="SimSun"/>
                <w:sz w:val="22"/>
              </w:rPr>
            </w:pPr>
            <w:r w:rsidRPr="00470E23">
              <w:rPr>
                <w:rFonts w:eastAsia="SimSun"/>
                <w:sz w:val="22"/>
              </w:rPr>
              <w:t>rATG</w:t>
            </w:r>
          </w:p>
        </w:tc>
        <w:tc>
          <w:tcPr>
            <w:tcW w:w="303" w:type="pct"/>
            <w:shd w:val="clear" w:color="auto" w:fill="D9D9D9"/>
            <w:vAlign w:val="center"/>
          </w:tcPr>
          <w:p w14:paraId="2CB37CF6" w14:textId="77777777" w:rsidR="008143D9" w:rsidRPr="00470E23" w:rsidRDefault="008143D9" w:rsidP="005A428D">
            <w:pPr>
              <w:rPr>
                <w:rFonts w:eastAsia="SimSun"/>
                <w:sz w:val="22"/>
              </w:rPr>
            </w:pPr>
            <w:r w:rsidRPr="00470E23">
              <w:rPr>
                <w:rFonts w:eastAsia="SimSun"/>
                <w:sz w:val="22"/>
              </w:rPr>
              <w:t>CSA</w:t>
            </w:r>
          </w:p>
        </w:tc>
        <w:tc>
          <w:tcPr>
            <w:tcW w:w="308" w:type="pct"/>
            <w:shd w:val="clear" w:color="auto" w:fill="D9D9D9"/>
            <w:vAlign w:val="center"/>
          </w:tcPr>
          <w:p w14:paraId="7CCDAA40" w14:textId="77777777" w:rsidR="008143D9" w:rsidRPr="00470E23" w:rsidRDefault="008143D9" w:rsidP="005A428D">
            <w:pPr>
              <w:rPr>
                <w:rFonts w:eastAsia="SimSun"/>
                <w:sz w:val="22"/>
              </w:rPr>
            </w:pPr>
            <w:r w:rsidRPr="00470E23">
              <w:rPr>
                <w:rFonts w:eastAsia="SimSun"/>
                <w:sz w:val="22"/>
              </w:rPr>
              <w:t>MTX</w:t>
            </w:r>
          </w:p>
        </w:tc>
        <w:tc>
          <w:tcPr>
            <w:tcW w:w="428" w:type="pct"/>
            <w:shd w:val="clear" w:color="auto" w:fill="D9D9D9"/>
            <w:vAlign w:val="center"/>
          </w:tcPr>
          <w:p w14:paraId="790964FD" w14:textId="77777777" w:rsidR="008143D9" w:rsidRPr="00470E23" w:rsidRDefault="008143D9" w:rsidP="005A428D">
            <w:pPr>
              <w:rPr>
                <w:rFonts w:eastAsia="SimSun"/>
                <w:sz w:val="22"/>
              </w:rPr>
            </w:pPr>
            <w:r w:rsidRPr="00470E23">
              <w:rPr>
                <w:rFonts w:eastAsia="SimSun"/>
                <w:sz w:val="22"/>
              </w:rPr>
              <w:t>MMF45</w:t>
            </w:r>
          </w:p>
        </w:tc>
        <w:tc>
          <w:tcPr>
            <w:tcW w:w="412" w:type="pct"/>
            <w:shd w:val="clear" w:color="auto" w:fill="auto"/>
            <w:vAlign w:val="center"/>
          </w:tcPr>
          <w:p w14:paraId="787434F8" w14:textId="77777777" w:rsidR="008143D9" w:rsidRPr="00470E23" w:rsidRDefault="008143D9" w:rsidP="005A428D">
            <w:pPr>
              <w:rPr>
                <w:rFonts w:eastAsia="SimSun"/>
                <w:sz w:val="22"/>
              </w:rPr>
            </w:pPr>
          </w:p>
        </w:tc>
        <w:tc>
          <w:tcPr>
            <w:tcW w:w="361" w:type="pct"/>
            <w:tcBorders>
              <w:right w:val="single" w:sz="4" w:space="0" w:color="00000A"/>
            </w:tcBorders>
            <w:shd w:val="clear" w:color="auto" w:fill="auto"/>
            <w:vAlign w:val="center"/>
          </w:tcPr>
          <w:p w14:paraId="1D210010" w14:textId="77777777" w:rsidR="008143D9" w:rsidRPr="00470E23" w:rsidRDefault="008143D9" w:rsidP="005A428D">
            <w:pPr>
              <w:rPr>
                <w:rFonts w:eastAsia="SimSun"/>
                <w:sz w:val="22"/>
              </w:rPr>
            </w:pPr>
          </w:p>
        </w:tc>
        <w:tc>
          <w:tcPr>
            <w:tcW w:w="443" w:type="pct"/>
            <w:tcBorders>
              <w:left w:val="single" w:sz="4" w:space="0" w:color="00000A"/>
            </w:tcBorders>
            <w:shd w:val="clear" w:color="auto" w:fill="auto"/>
            <w:vAlign w:val="center"/>
          </w:tcPr>
          <w:p w14:paraId="160C23EE" w14:textId="77777777" w:rsidR="008143D9" w:rsidRPr="00470E23" w:rsidRDefault="008143D9" w:rsidP="005A428D">
            <w:pPr>
              <w:rPr>
                <w:rFonts w:eastAsia="SimSun"/>
                <w:sz w:val="22"/>
              </w:rPr>
            </w:pPr>
            <w:r w:rsidRPr="00470E23">
              <w:rPr>
                <w:rFonts w:eastAsia="SimSun"/>
                <w:sz w:val="22"/>
              </w:rPr>
              <w:t>5.2.2.2</w:t>
            </w:r>
          </w:p>
        </w:tc>
        <w:tc>
          <w:tcPr>
            <w:tcW w:w="430" w:type="pct"/>
            <w:tcBorders>
              <w:right w:val="single" w:sz="4" w:space="0" w:color="00000A"/>
            </w:tcBorders>
            <w:shd w:val="clear" w:color="auto" w:fill="auto"/>
            <w:vAlign w:val="center"/>
          </w:tcPr>
          <w:p w14:paraId="6ACB2B30" w14:textId="77777777" w:rsidR="008143D9" w:rsidRPr="00470E23" w:rsidRDefault="008143D9" w:rsidP="005A428D">
            <w:pPr>
              <w:rPr>
                <w:rFonts w:eastAsia="SimSun"/>
                <w:sz w:val="22"/>
              </w:rPr>
            </w:pPr>
            <w:r w:rsidRPr="00470E23">
              <w:rPr>
                <w:rFonts w:eastAsia="SimSun"/>
                <w:sz w:val="22"/>
              </w:rPr>
              <w:t>5.2.2.6</w:t>
            </w:r>
          </w:p>
        </w:tc>
        <w:tc>
          <w:tcPr>
            <w:tcW w:w="316" w:type="pct"/>
            <w:tcBorders>
              <w:left w:val="single" w:sz="4" w:space="0" w:color="00000A"/>
            </w:tcBorders>
            <w:shd w:val="clear" w:color="auto" w:fill="auto"/>
            <w:vAlign w:val="center"/>
          </w:tcPr>
          <w:p w14:paraId="0F44C674" w14:textId="77777777" w:rsidR="008143D9" w:rsidRPr="00470E23" w:rsidRDefault="008143D9" w:rsidP="005A428D">
            <w:pPr>
              <w:rPr>
                <w:rFonts w:eastAsia="SimSun"/>
                <w:sz w:val="22"/>
              </w:rPr>
            </w:pPr>
          </w:p>
        </w:tc>
        <w:tc>
          <w:tcPr>
            <w:tcW w:w="475" w:type="pct"/>
            <w:shd w:val="clear" w:color="auto" w:fill="auto"/>
            <w:vAlign w:val="center"/>
          </w:tcPr>
          <w:p w14:paraId="5C7E06E9" w14:textId="77777777" w:rsidR="008143D9" w:rsidRPr="00470E23" w:rsidRDefault="008143D9" w:rsidP="005A428D">
            <w:pPr>
              <w:rPr>
                <w:rFonts w:eastAsia="SimSun"/>
                <w:sz w:val="22"/>
              </w:rPr>
            </w:pPr>
          </w:p>
        </w:tc>
        <w:tc>
          <w:tcPr>
            <w:tcW w:w="382" w:type="pct"/>
            <w:shd w:val="clear" w:color="auto" w:fill="auto"/>
            <w:vAlign w:val="center"/>
          </w:tcPr>
          <w:p w14:paraId="69DC1061" w14:textId="77777777" w:rsidR="008143D9" w:rsidRPr="00470E23" w:rsidRDefault="008143D9" w:rsidP="005A428D">
            <w:pPr>
              <w:rPr>
                <w:rFonts w:eastAsia="SimSun"/>
                <w:sz w:val="22"/>
              </w:rPr>
            </w:pPr>
          </w:p>
        </w:tc>
        <w:tc>
          <w:tcPr>
            <w:tcW w:w="400" w:type="pct"/>
            <w:shd w:val="clear" w:color="auto" w:fill="auto"/>
            <w:vAlign w:val="center"/>
          </w:tcPr>
          <w:p w14:paraId="3A6D3D1E" w14:textId="77777777" w:rsidR="008143D9" w:rsidRPr="00470E23" w:rsidRDefault="008143D9" w:rsidP="005A428D">
            <w:pPr>
              <w:rPr>
                <w:rFonts w:eastAsia="SimSun"/>
                <w:sz w:val="22"/>
              </w:rPr>
            </w:pPr>
          </w:p>
        </w:tc>
        <w:tc>
          <w:tcPr>
            <w:tcW w:w="394" w:type="pct"/>
            <w:vAlign w:val="center"/>
          </w:tcPr>
          <w:p w14:paraId="0BCE869C" w14:textId="77777777" w:rsidR="008143D9" w:rsidRPr="00470E23" w:rsidRDefault="008143D9" w:rsidP="005A428D">
            <w:pPr>
              <w:rPr>
                <w:rFonts w:eastAsia="SimSun"/>
                <w:sz w:val="22"/>
              </w:rPr>
            </w:pPr>
          </w:p>
        </w:tc>
      </w:tr>
      <w:tr w:rsidR="008143D9" w:rsidRPr="00470E23" w14:paraId="7147D4B0" w14:textId="77777777" w:rsidTr="005A428D">
        <w:trPr>
          <w:cantSplit/>
          <w:trHeight w:val="606"/>
        </w:trPr>
        <w:tc>
          <w:tcPr>
            <w:tcW w:w="348" w:type="pct"/>
            <w:vMerge/>
            <w:shd w:val="clear" w:color="auto" w:fill="D9D9D9"/>
            <w:vAlign w:val="center"/>
          </w:tcPr>
          <w:p w14:paraId="0DA4D62A" w14:textId="77777777" w:rsidR="008143D9" w:rsidRPr="00470E23" w:rsidRDefault="008143D9" w:rsidP="005A428D">
            <w:pPr>
              <w:rPr>
                <w:rFonts w:eastAsia="SimSun"/>
                <w:sz w:val="22"/>
              </w:rPr>
            </w:pPr>
          </w:p>
        </w:tc>
        <w:tc>
          <w:tcPr>
            <w:tcW w:w="303" w:type="pct"/>
            <w:shd w:val="clear" w:color="auto" w:fill="D9D9D9"/>
            <w:vAlign w:val="center"/>
          </w:tcPr>
          <w:p w14:paraId="07B8C97A" w14:textId="77777777" w:rsidR="008143D9" w:rsidRPr="00470E23" w:rsidRDefault="008143D9" w:rsidP="005A428D">
            <w:pPr>
              <w:rPr>
                <w:rFonts w:eastAsia="SimSun"/>
                <w:sz w:val="22"/>
              </w:rPr>
            </w:pPr>
            <w:r w:rsidRPr="00470E23">
              <w:rPr>
                <w:rFonts w:eastAsia="SimSun"/>
                <w:sz w:val="22"/>
              </w:rPr>
              <w:t>Tx</w:t>
            </w:r>
          </w:p>
        </w:tc>
        <w:tc>
          <w:tcPr>
            <w:tcW w:w="308" w:type="pct"/>
            <w:shd w:val="clear" w:color="auto" w:fill="D9D9D9"/>
            <w:vAlign w:val="center"/>
          </w:tcPr>
          <w:p w14:paraId="5715F3FB" w14:textId="77777777" w:rsidR="008143D9" w:rsidRPr="00470E23" w:rsidRDefault="008143D9" w:rsidP="005A428D">
            <w:pPr>
              <w:rPr>
                <w:rFonts w:eastAsia="SimSun"/>
                <w:sz w:val="22"/>
              </w:rPr>
            </w:pPr>
            <w:r w:rsidRPr="00470E23">
              <w:rPr>
                <w:rFonts w:eastAsia="SimSun"/>
                <w:sz w:val="22"/>
              </w:rPr>
              <w:t>-</w:t>
            </w:r>
          </w:p>
        </w:tc>
        <w:tc>
          <w:tcPr>
            <w:tcW w:w="428" w:type="pct"/>
            <w:shd w:val="clear" w:color="auto" w:fill="D9D9D9"/>
            <w:vAlign w:val="center"/>
          </w:tcPr>
          <w:p w14:paraId="003DD9E6" w14:textId="77777777" w:rsidR="008143D9" w:rsidRPr="00470E23" w:rsidRDefault="008143D9" w:rsidP="005A428D">
            <w:pPr>
              <w:rPr>
                <w:rFonts w:eastAsia="SimSun"/>
                <w:sz w:val="22"/>
              </w:rPr>
            </w:pPr>
            <w:r w:rsidRPr="00470E23">
              <w:rPr>
                <w:rFonts w:eastAsia="SimSun"/>
                <w:sz w:val="22"/>
              </w:rPr>
              <w:t>MMF30</w:t>
            </w:r>
          </w:p>
        </w:tc>
        <w:tc>
          <w:tcPr>
            <w:tcW w:w="412" w:type="pct"/>
            <w:shd w:val="clear" w:color="auto" w:fill="auto"/>
            <w:vAlign w:val="center"/>
          </w:tcPr>
          <w:p w14:paraId="5FDD0DBE" w14:textId="77777777" w:rsidR="008143D9" w:rsidRPr="00470E23" w:rsidRDefault="008143D9" w:rsidP="005A428D">
            <w:pPr>
              <w:rPr>
                <w:rFonts w:eastAsia="SimSun"/>
                <w:sz w:val="22"/>
              </w:rPr>
            </w:pPr>
          </w:p>
        </w:tc>
        <w:tc>
          <w:tcPr>
            <w:tcW w:w="361" w:type="pct"/>
            <w:tcBorders>
              <w:right w:val="single" w:sz="4" w:space="0" w:color="00000A"/>
            </w:tcBorders>
            <w:shd w:val="clear" w:color="auto" w:fill="auto"/>
            <w:vAlign w:val="center"/>
          </w:tcPr>
          <w:p w14:paraId="3E650CEA" w14:textId="77777777" w:rsidR="008143D9" w:rsidRPr="00470E23" w:rsidRDefault="008143D9" w:rsidP="005A428D">
            <w:pPr>
              <w:rPr>
                <w:rFonts w:eastAsia="SimSun"/>
                <w:sz w:val="22"/>
              </w:rPr>
            </w:pPr>
          </w:p>
        </w:tc>
        <w:tc>
          <w:tcPr>
            <w:tcW w:w="443" w:type="pct"/>
            <w:tcBorders>
              <w:left w:val="single" w:sz="4" w:space="0" w:color="00000A"/>
            </w:tcBorders>
            <w:shd w:val="clear" w:color="auto" w:fill="auto"/>
            <w:vAlign w:val="center"/>
          </w:tcPr>
          <w:p w14:paraId="45AD3B88" w14:textId="77777777" w:rsidR="008143D9" w:rsidRPr="00470E23" w:rsidRDefault="008143D9" w:rsidP="005A428D">
            <w:pPr>
              <w:rPr>
                <w:rFonts w:eastAsia="SimSun"/>
                <w:sz w:val="22"/>
              </w:rPr>
            </w:pPr>
          </w:p>
        </w:tc>
        <w:tc>
          <w:tcPr>
            <w:tcW w:w="430" w:type="pct"/>
            <w:tcBorders>
              <w:right w:val="single" w:sz="4" w:space="0" w:color="00000A"/>
            </w:tcBorders>
            <w:shd w:val="clear" w:color="auto" w:fill="auto"/>
            <w:vAlign w:val="center"/>
          </w:tcPr>
          <w:p w14:paraId="21D1B809" w14:textId="77777777" w:rsidR="008143D9" w:rsidRPr="00470E23" w:rsidRDefault="008143D9" w:rsidP="005A428D">
            <w:pPr>
              <w:rPr>
                <w:rFonts w:eastAsia="SimSun"/>
                <w:sz w:val="22"/>
              </w:rPr>
            </w:pPr>
          </w:p>
        </w:tc>
        <w:tc>
          <w:tcPr>
            <w:tcW w:w="316" w:type="pct"/>
            <w:tcBorders>
              <w:left w:val="single" w:sz="4" w:space="0" w:color="00000A"/>
            </w:tcBorders>
            <w:shd w:val="clear" w:color="auto" w:fill="auto"/>
            <w:vAlign w:val="center"/>
          </w:tcPr>
          <w:p w14:paraId="058DECC4" w14:textId="77777777" w:rsidR="008143D9" w:rsidRPr="00470E23" w:rsidRDefault="008143D9" w:rsidP="005A428D">
            <w:pPr>
              <w:rPr>
                <w:rFonts w:eastAsia="SimSun"/>
                <w:sz w:val="22"/>
              </w:rPr>
            </w:pPr>
          </w:p>
        </w:tc>
        <w:tc>
          <w:tcPr>
            <w:tcW w:w="475" w:type="pct"/>
            <w:shd w:val="clear" w:color="auto" w:fill="auto"/>
            <w:vAlign w:val="center"/>
          </w:tcPr>
          <w:p w14:paraId="30C0D739" w14:textId="77777777" w:rsidR="008143D9" w:rsidRPr="00470E23" w:rsidRDefault="008143D9" w:rsidP="005A428D">
            <w:pPr>
              <w:rPr>
                <w:rFonts w:eastAsia="SimSun"/>
                <w:sz w:val="22"/>
              </w:rPr>
            </w:pPr>
          </w:p>
        </w:tc>
        <w:tc>
          <w:tcPr>
            <w:tcW w:w="382" w:type="pct"/>
            <w:shd w:val="clear" w:color="auto" w:fill="auto"/>
            <w:vAlign w:val="center"/>
          </w:tcPr>
          <w:p w14:paraId="710D6C23" w14:textId="77777777" w:rsidR="008143D9" w:rsidRPr="00470E23" w:rsidRDefault="008143D9" w:rsidP="005A428D">
            <w:pPr>
              <w:rPr>
                <w:rFonts w:eastAsia="SimSun"/>
                <w:sz w:val="22"/>
              </w:rPr>
            </w:pPr>
          </w:p>
        </w:tc>
        <w:tc>
          <w:tcPr>
            <w:tcW w:w="400" w:type="pct"/>
            <w:shd w:val="clear" w:color="auto" w:fill="auto"/>
            <w:vAlign w:val="center"/>
          </w:tcPr>
          <w:p w14:paraId="2AFA7107" w14:textId="77777777" w:rsidR="008143D9" w:rsidRPr="00470E23" w:rsidRDefault="008143D9" w:rsidP="005A428D">
            <w:pPr>
              <w:rPr>
                <w:rFonts w:eastAsia="SimSun"/>
                <w:sz w:val="22"/>
              </w:rPr>
            </w:pPr>
            <w:r w:rsidRPr="00470E23">
              <w:rPr>
                <w:rFonts w:eastAsia="SimSun"/>
                <w:sz w:val="22"/>
              </w:rPr>
              <w:t>5.2.2.20</w:t>
            </w:r>
          </w:p>
        </w:tc>
        <w:tc>
          <w:tcPr>
            <w:tcW w:w="394" w:type="pct"/>
            <w:vAlign w:val="center"/>
          </w:tcPr>
          <w:p w14:paraId="64CEEC30" w14:textId="77777777" w:rsidR="008143D9" w:rsidRPr="00470E23" w:rsidRDefault="008143D9" w:rsidP="005A428D">
            <w:pPr>
              <w:rPr>
                <w:rFonts w:eastAsia="SimSun"/>
                <w:sz w:val="22"/>
              </w:rPr>
            </w:pPr>
          </w:p>
        </w:tc>
      </w:tr>
      <w:tr w:rsidR="008143D9" w:rsidRPr="00470E23" w14:paraId="5C7E0AA0" w14:textId="77777777" w:rsidTr="005A428D">
        <w:trPr>
          <w:cantSplit/>
          <w:trHeight w:val="606"/>
        </w:trPr>
        <w:tc>
          <w:tcPr>
            <w:tcW w:w="348" w:type="pct"/>
            <w:vMerge w:val="restart"/>
            <w:shd w:val="clear" w:color="auto" w:fill="D9D9D9"/>
            <w:vAlign w:val="center"/>
          </w:tcPr>
          <w:p w14:paraId="6BB74950" w14:textId="77777777" w:rsidR="008143D9" w:rsidRPr="00470E23" w:rsidRDefault="008143D9" w:rsidP="005A428D">
            <w:pPr>
              <w:rPr>
                <w:rFonts w:eastAsia="SimSun"/>
                <w:sz w:val="22"/>
              </w:rPr>
            </w:pPr>
            <w:r w:rsidRPr="00470E23">
              <w:rPr>
                <w:rFonts w:eastAsia="SimSun"/>
                <w:sz w:val="22"/>
              </w:rPr>
              <w:t>PT-Cy</w:t>
            </w:r>
          </w:p>
          <w:p w14:paraId="7184791F" w14:textId="77777777" w:rsidR="008143D9" w:rsidRPr="00470E23" w:rsidRDefault="008143D9" w:rsidP="005A428D">
            <w:pPr>
              <w:rPr>
                <w:rFonts w:eastAsia="SimSun"/>
                <w:sz w:val="22"/>
              </w:rPr>
            </w:pPr>
          </w:p>
        </w:tc>
        <w:tc>
          <w:tcPr>
            <w:tcW w:w="303" w:type="pct"/>
            <w:shd w:val="clear" w:color="auto" w:fill="D9D9D9"/>
            <w:vAlign w:val="center"/>
          </w:tcPr>
          <w:p w14:paraId="02278C3B" w14:textId="77777777" w:rsidR="008143D9" w:rsidRPr="00470E23" w:rsidRDefault="008143D9" w:rsidP="005A428D">
            <w:pPr>
              <w:rPr>
                <w:rFonts w:eastAsia="SimSun"/>
                <w:sz w:val="22"/>
              </w:rPr>
            </w:pPr>
            <w:r w:rsidRPr="00470E23">
              <w:rPr>
                <w:rFonts w:eastAsia="SimSun"/>
                <w:sz w:val="22"/>
              </w:rPr>
              <w:t>-</w:t>
            </w:r>
          </w:p>
        </w:tc>
        <w:tc>
          <w:tcPr>
            <w:tcW w:w="308" w:type="pct"/>
            <w:shd w:val="clear" w:color="auto" w:fill="D9D9D9"/>
            <w:vAlign w:val="center"/>
          </w:tcPr>
          <w:p w14:paraId="423B718D" w14:textId="77777777" w:rsidR="008143D9" w:rsidRPr="00470E23" w:rsidRDefault="008143D9" w:rsidP="005A428D">
            <w:pPr>
              <w:rPr>
                <w:rFonts w:eastAsia="SimSun"/>
                <w:sz w:val="22"/>
              </w:rPr>
            </w:pPr>
            <w:r w:rsidRPr="00470E23">
              <w:rPr>
                <w:rFonts w:eastAsia="SimSun"/>
                <w:sz w:val="22"/>
              </w:rPr>
              <w:t>-</w:t>
            </w:r>
          </w:p>
        </w:tc>
        <w:tc>
          <w:tcPr>
            <w:tcW w:w="428" w:type="pct"/>
            <w:shd w:val="clear" w:color="auto" w:fill="D9D9D9"/>
            <w:vAlign w:val="center"/>
          </w:tcPr>
          <w:p w14:paraId="7D7FF7F3" w14:textId="77777777" w:rsidR="008143D9" w:rsidRPr="00470E23" w:rsidRDefault="008143D9" w:rsidP="005A428D">
            <w:pPr>
              <w:rPr>
                <w:rFonts w:eastAsia="SimSun"/>
                <w:sz w:val="22"/>
              </w:rPr>
            </w:pPr>
            <w:r w:rsidRPr="00470E23">
              <w:rPr>
                <w:rFonts w:eastAsia="SimSun"/>
                <w:sz w:val="22"/>
              </w:rPr>
              <w:t>-</w:t>
            </w:r>
          </w:p>
        </w:tc>
        <w:tc>
          <w:tcPr>
            <w:tcW w:w="412" w:type="pct"/>
            <w:shd w:val="clear" w:color="auto" w:fill="auto"/>
            <w:vAlign w:val="center"/>
          </w:tcPr>
          <w:p w14:paraId="3158324B" w14:textId="77777777" w:rsidR="008143D9" w:rsidRPr="00470E23" w:rsidRDefault="008143D9" w:rsidP="005A428D">
            <w:pPr>
              <w:rPr>
                <w:rFonts w:eastAsia="SimSun"/>
                <w:sz w:val="22"/>
              </w:rPr>
            </w:pPr>
            <w:r w:rsidRPr="00470E23">
              <w:rPr>
                <w:rFonts w:eastAsia="SimSun"/>
                <w:sz w:val="22"/>
              </w:rPr>
              <w:t>5.2.2.16</w:t>
            </w:r>
          </w:p>
        </w:tc>
        <w:tc>
          <w:tcPr>
            <w:tcW w:w="361" w:type="pct"/>
            <w:tcBorders>
              <w:right w:val="single" w:sz="4" w:space="0" w:color="00000A"/>
            </w:tcBorders>
            <w:shd w:val="clear" w:color="auto" w:fill="auto"/>
            <w:vAlign w:val="center"/>
          </w:tcPr>
          <w:p w14:paraId="1F8E3B65" w14:textId="77777777" w:rsidR="008143D9" w:rsidRPr="00470E23" w:rsidRDefault="008143D9" w:rsidP="005A428D">
            <w:pPr>
              <w:rPr>
                <w:rFonts w:eastAsia="SimSun"/>
                <w:sz w:val="22"/>
              </w:rPr>
            </w:pPr>
          </w:p>
        </w:tc>
        <w:tc>
          <w:tcPr>
            <w:tcW w:w="443" w:type="pct"/>
            <w:tcBorders>
              <w:left w:val="single" w:sz="4" w:space="0" w:color="00000A"/>
            </w:tcBorders>
            <w:shd w:val="clear" w:color="auto" w:fill="auto"/>
            <w:vAlign w:val="center"/>
          </w:tcPr>
          <w:p w14:paraId="2E89447F" w14:textId="77777777" w:rsidR="008143D9" w:rsidRPr="00470E23" w:rsidRDefault="008143D9" w:rsidP="005A428D">
            <w:pPr>
              <w:rPr>
                <w:rFonts w:eastAsia="SimSun"/>
                <w:sz w:val="22"/>
              </w:rPr>
            </w:pPr>
          </w:p>
        </w:tc>
        <w:tc>
          <w:tcPr>
            <w:tcW w:w="430" w:type="pct"/>
            <w:tcBorders>
              <w:right w:val="single" w:sz="4" w:space="0" w:color="00000A"/>
            </w:tcBorders>
            <w:shd w:val="clear" w:color="auto" w:fill="auto"/>
            <w:vAlign w:val="center"/>
          </w:tcPr>
          <w:p w14:paraId="63157574" w14:textId="77777777" w:rsidR="008143D9" w:rsidRPr="00470E23" w:rsidRDefault="008143D9" w:rsidP="005A428D">
            <w:pPr>
              <w:rPr>
                <w:rFonts w:eastAsia="SimSun"/>
                <w:sz w:val="22"/>
              </w:rPr>
            </w:pPr>
          </w:p>
        </w:tc>
        <w:tc>
          <w:tcPr>
            <w:tcW w:w="316" w:type="pct"/>
            <w:tcBorders>
              <w:left w:val="single" w:sz="4" w:space="0" w:color="00000A"/>
            </w:tcBorders>
            <w:shd w:val="clear" w:color="auto" w:fill="auto"/>
            <w:vAlign w:val="center"/>
          </w:tcPr>
          <w:p w14:paraId="4947E19F" w14:textId="77777777" w:rsidR="008143D9" w:rsidRPr="00470E23" w:rsidRDefault="008143D9" w:rsidP="005A428D">
            <w:pPr>
              <w:rPr>
                <w:rFonts w:eastAsia="SimSun"/>
                <w:sz w:val="22"/>
              </w:rPr>
            </w:pPr>
            <w:r w:rsidRPr="00470E23">
              <w:rPr>
                <w:rFonts w:eastAsia="SimSun"/>
                <w:sz w:val="22"/>
              </w:rPr>
              <w:t>5.2.2.8</w:t>
            </w:r>
          </w:p>
        </w:tc>
        <w:tc>
          <w:tcPr>
            <w:tcW w:w="475" w:type="pct"/>
            <w:shd w:val="clear" w:color="auto" w:fill="auto"/>
            <w:vAlign w:val="center"/>
          </w:tcPr>
          <w:p w14:paraId="65A75B9D" w14:textId="77777777" w:rsidR="008143D9" w:rsidRPr="00470E23" w:rsidRDefault="008143D9" w:rsidP="005A428D">
            <w:pPr>
              <w:rPr>
                <w:rFonts w:eastAsia="SimSun"/>
                <w:sz w:val="22"/>
              </w:rPr>
            </w:pPr>
            <w:r w:rsidRPr="00470E23">
              <w:rPr>
                <w:rFonts w:eastAsia="SimSun"/>
                <w:sz w:val="22"/>
              </w:rPr>
              <w:t>5.2.2.12</w:t>
            </w:r>
          </w:p>
        </w:tc>
        <w:tc>
          <w:tcPr>
            <w:tcW w:w="382" w:type="pct"/>
            <w:shd w:val="clear" w:color="auto" w:fill="auto"/>
            <w:vAlign w:val="center"/>
          </w:tcPr>
          <w:p w14:paraId="6072817B" w14:textId="77777777" w:rsidR="008143D9" w:rsidRPr="00470E23" w:rsidRDefault="008143D9" w:rsidP="005A428D">
            <w:pPr>
              <w:rPr>
                <w:rFonts w:eastAsia="SimSun"/>
                <w:sz w:val="22"/>
              </w:rPr>
            </w:pPr>
          </w:p>
        </w:tc>
        <w:tc>
          <w:tcPr>
            <w:tcW w:w="400" w:type="pct"/>
            <w:shd w:val="clear" w:color="auto" w:fill="auto"/>
            <w:vAlign w:val="center"/>
          </w:tcPr>
          <w:p w14:paraId="23DE37A8" w14:textId="77777777" w:rsidR="008143D9" w:rsidRPr="00470E23" w:rsidRDefault="008143D9" w:rsidP="005A428D">
            <w:pPr>
              <w:rPr>
                <w:rFonts w:eastAsia="SimSun"/>
                <w:sz w:val="22"/>
              </w:rPr>
            </w:pPr>
          </w:p>
        </w:tc>
        <w:tc>
          <w:tcPr>
            <w:tcW w:w="394" w:type="pct"/>
            <w:vAlign w:val="center"/>
          </w:tcPr>
          <w:p w14:paraId="1F09F80F" w14:textId="77777777" w:rsidR="008143D9" w:rsidRPr="00470E23" w:rsidRDefault="008143D9" w:rsidP="005A428D">
            <w:pPr>
              <w:rPr>
                <w:rFonts w:eastAsia="SimSun"/>
                <w:sz w:val="22"/>
              </w:rPr>
            </w:pPr>
          </w:p>
        </w:tc>
      </w:tr>
      <w:tr w:rsidR="008143D9" w:rsidRPr="00470E23" w14:paraId="45CD6CB2" w14:textId="77777777" w:rsidTr="005A428D">
        <w:trPr>
          <w:cantSplit/>
          <w:trHeight w:val="606"/>
        </w:trPr>
        <w:tc>
          <w:tcPr>
            <w:tcW w:w="348" w:type="pct"/>
            <w:vMerge/>
            <w:shd w:val="clear" w:color="auto" w:fill="D9D9D9"/>
            <w:vAlign w:val="center"/>
          </w:tcPr>
          <w:p w14:paraId="6A6A7849" w14:textId="77777777" w:rsidR="008143D9" w:rsidRPr="00470E23" w:rsidRDefault="008143D9" w:rsidP="005A428D">
            <w:pPr>
              <w:rPr>
                <w:rFonts w:eastAsia="SimSun"/>
                <w:sz w:val="22"/>
              </w:rPr>
            </w:pPr>
          </w:p>
        </w:tc>
        <w:tc>
          <w:tcPr>
            <w:tcW w:w="303" w:type="pct"/>
            <w:vMerge w:val="restart"/>
            <w:shd w:val="clear" w:color="auto" w:fill="D9D9D9"/>
            <w:vAlign w:val="center"/>
          </w:tcPr>
          <w:p w14:paraId="11957265" w14:textId="77777777" w:rsidR="008143D9" w:rsidRPr="00470E23" w:rsidRDefault="008143D9" w:rsidP="005A428D">
            <w:pPr>
              <w:rPr>
                <w:rFonts w:eastAsia="SimSun"/>
                <w:sz w:val="22"/>
              </w:rPr>
            </w:pPr>
            <w:r w:rsidRPr="00470E23">
              <w:rPr>
                <w:rFonts w:eastAsia="SimSun"/>
                <w:sz w:val="22"/>
              </w:rPr>
              <w:t>CSA</w:t>
            </w:r>
          </w:p>
          <w:p w14:paraId="2D52596B" w14:textId="77777777" w:rsidR="008143D9" w:rsidRPr="00470E23" w:rsidRDefault="008143D9" w:rsidP="005A428D">
            <w:pPr>
              <w:rPr>
                <w:rFonts w:eastAsia="SimSun"/>
                <w:sz w:val="22"/>
              </w:rPr>
            </w:pPr>
          </w:p>
        </w:tc>
        <w:tc>
          <w:tcPr>
            <w:tcW w:w="308" w:type="pct"/>
            <w:shd w:val="clear" w:color="auto" w:fill="D9D9D9"/>
            <w:vAlign w:val="center"/>
          </w:tcPr>
          <w:p w14:paraId="4B3D37B6" w14:textId="77777777" w:rsidR="008143D9" w:rsidRPr="00470E23" w:rsidRDefault="008143D9" w:rsidP="005A428D">
            <w:pPr>
              <w:rPr>
                <w:rFonts w:eastAsia="SimSun"/>
                <w:sz w:val="22"/>
              </w:rPr>
            </w:pPr>
            <w:r w:rsidRPr="00470E23">
              <w:rPr>
                <w:rFonts w:eastAsia="SimSun"/>
                <w:sz w:val="22"/>
              </w:rPr>
              <w:t>-</w:t>
            </w:r>
          </w:p>
        </w:tc>
        <w:tc>
          <w:tcPr>
            <w:tcW w:w="428" w:type="pct"/>
            <w:shd w:val="clear" w:color="auto" w:fill="D9D9D9"/>
            <w:vAlign w:val="center"/>
          </w:tcPr>
          <w:p w14:paraId="068F12CB" w14:textId="77777777" w:rsidR="008143D9" w:rsidRPr="00470E23" w:rsidRDefault="008143D9" w:rsidP="005A428D">
            <w:pPr>
              <w:rPr>
                <w:rFonts w:eastAsia="SimSun"/>
                <w:sz w:val="22"/>
              </w:rPr>
            </w:pPr>
            <w:r w:rsidRPr="00470E23">
              <w:rPr>
                <w:rFonts w:eastAsia="SimSun"/>
                <w:sz w:val="22"/>
              </w:rPr>
              <w:t>MMF30</w:t>
            </w:r>
          </w:p>
        </w:tc>
        <w:tc>
          <w:tcPr>
            <w:tcW w:w="412" w:type="pct"/>
            <w:shd w:val="clear" w:color="auto" w:fill="auto"/>
            <w:vAlign w:val="center"/>
          </w:tcPr>
          <w:p w14:paraId="39D0A8C6" w14:textId="77777777" w:rsidR="008143D9" w:rsidRPr="00470E23" w:rsidRDefault="008143D9" w:rsidP="005A428D">
            <w:pPr>
              <w:rPr>
                <w:rFonts w:eastAsia="SimSun"/>
                <w:sz w:val="22"/>
              </w:rPr>
            </w:pPr>
          </w:p>
        </w:tc>
        <w:tc>
          <w:tcPr>
            <w:tcW w:w="361" w:type="pct"/>
            <w:tcBorders>
              <w:right w:val="single" w:sz="4" w:space="0" w:color="00000A"/>
            </w:tcBorders>
            <w:shd w:val="clear" w:color="auto" w:fill="auto"/>
            <w:vAlign w:val="center"/>
          </w:tcPr>
          <w:p w14:paraId="14E78228" w14:textId="77777777" w:rsidR="008143D9" w:rsidRPr="00470E23" w:rsidRDefault="008143D9" w:rsidP="005A428D">
            <w:pPr>
              <w:rPr>
                <w:rFonts w:eastAsia="SimSun"/>
                <w:sz w:val="22"/>
              </w:rPr>
            </w:pPr>
          </w:p>
        </w:tc>
        <w:tc>
          <w:tcPr>
            <w:tcW w:w="443" w:type="pct"/>
            <w:tcBorders>
              <w:left w:val="single" w:sz="4" w:space="0" w:color="00000A"/>
            </w:tcBorders>
            <w:shd w:val="clear" w:color="auto" w:fill="auto"/>
            <w:vAlign w:val="center"/>
          </w:tcPr>
          <w:p w14:paraId="10790449" w14:textId="77777777" w:rsidR="008143D9" w:rsidRPr="00470E23" w:rsidRDefault="008143D9" w:rsidP="005A428D">
            <w:pPr>
              <w:rPr>
                <w:rFonts w:eastAsia="SimSun"/>
                <w:sz w:val="22"/>
              </w:rPr>
            </w:pPr>
            <w:r w:rsidRPr="00470E23">
              <w:rPr>
                <w:rFonts w:eastAsia="SimSun"/>
                <w:sz w:val="22"/>
              </w:rPr>
              <w:t>5.2.2.3</w:t>
            </w:r>
          </w:p>
        </w:tc>
        <w:tc>
          <w:tcPr>
            <w:tcW w:w="430" w:type="pct"/>
            <w:tcBorders>
              <w:right w:val="single" w:sz="4" w:space="0" w:color="00000A"/>
            </w:tcBorders>
            <w:shd w:val="clear" w:color="auto" w:fill="auto"/>
            <w:vAlign w:val="center"/>
          </w:tcPr>
          <w:p w14:paraId="0DA63080" w14:textId="77777777" w:rsidR="008143D9" w:rsidRPr="00470E23" w:rsidRDefault="008143D9" w:rsidP="005A428D">
            <w:pPr>
              <w:rPr>
                <w:rFonts w:eastAsia="SimSun"/>
                <w:sz w:val="22"/>
              </w:rPr>
            </w:pPr>
            <w:r w:rsidRPr="00470E23">
              <w:rPr>
                <w:rFonts w:eastAsia="SimSun"/>
                <w:sz w:val="22"/>
              </w:rPr>
              <w:t>5.2.2.7/11</w:t>
            </w:r>
          </w:p>
        </w:tc>
        <w:tc>
          <w:tcPr>
            <w:tcW w:w="316" w:type="pct"/>
            <w:tcBorders>
              <w:left w:val="single" w:sz="4" w:space="0" w:color="00000A"/>
            </w:tcBorders>
            <w:shd w:val="clear" w:color="auto" w:fill="auto"/>
            <w:vAlign w:val="center"/>
          </w:tcPr>
          <w:p w14:paraId="3B9F5905" w14:textId="77777777" w:rsidR="008143D9" w:rsidRPr="00470E23" w:rsidRDefault="008143D9" w:rsidP="005A428D">
            <w:pPr>
              <w:rPr>
                <w:rFonts w:eastAsia="SimSun"/>
                <w:sz w:val="22"/>
              </w:rPr>
            </w:pPr>
          </w:p>
        </w:tc>
        <w:tc>
          <w:tcPr>
            <w:tcW w:w="475" w:type="pct"/>
            <w:shd w:val="clear" w:color="auto" w:fill="auto"/>
            <w:vAlign w:val="center"/>
          </w:tcPr>
          <w:p w14:paraId="6B26E955" w14:textId="77777777" w:rsidR="008143D9" w:rsidRPr="00470E23" w:rsidRDefault="008143D9" w:rsidP="005A428D">
            <w:pPr>
              <w:rPr>
                <w:rFonts w:eastAsia="SimSun"/>
                <w:sz w:val="22"/>
              </w:rPr>
            </w:pPr>
          </w:p>
        </w:tc>
        <w:tc>
          <w:tcPr>
            <w:tcW w:w="382" w:type="pct"/>
            <w:shd w:val="clear" w:color="auto" w:fill="auto"/>
            <w:vAlign w:val="center"/>
          </w:tcPr>
          <w:p w14:paraId="4ED25DE2" w14:textId="77777777" w:rsidR="008143D9" w:rsidRPr="00470E23" w:rsidRDefault="008143D9" w:rsidP="005A428D">
            <w:pPr>
              <w:rPr>
                <w:rFonts w:eastAsia="SimSun"/>
                <w:sz w:val="22"/>
              </w:rPr>
            </w:pPr>
            <w:r w:rsidRPr="00470E23">
              <w:rPr>
                <w:rFonts w:eastAsia="SimSun"/>
                <w:sz w:val="22"/>
              </w:rPr>
              <w:t>5.2.2.18</w:t>
            </w:r>
          </w:p>
        </w:tc>
        <w:tc>
          <w:tcPr>
            <w:tcW w:w="400" w:type="pct"/>
            <w:shd w:val="clear" w:color="auto" w:fill="auto"/>
            <w:vAlign w:val="center"/>
          </w:tcPr>
          <w:p w14:paraId="7768989D" w14:textId="77777777" w:rsidR="008143D9" w:rsidRPr="00470E23" w:rsidRDefault="008143D9" w:rsidP="005A428D">
            <w:pPr>
              <w:rPr>
                <w:rFonts w:eastAsia="SimSun"/>
                <w:sz w:val="22"/>
              </w:rPr>
            </w:pPr>
          </w:p>
        </w:tc>
        <w:tc>
          <w:tcPr>
            <w:tcW w:w="394" w:type="pct"/>
            <w:vAlign w:val="center"/>
          </w:tcPr>
          <w:p w14:paraId="02B3C65C" w14:textId="77777777" w:rsidR="008143D9" w:rsidRPr="00470E23" w:rsidRDefault="008143D9" w:rsidP="005A428D">
            <w:pPr>
              <w:rPr>
                <w:rFonts w:eastAsia="SimSun"/>
                <w:sz w:val="22"/>
              </w:rPr>
            </w:pPr>
          </w:p>
        </w:tc>
      </w:tr>
      <w:tr w:rsidR="008143D9" w:rsidRPr="00470E23" w14:paraId="70FE6224" w14:textId="77777777" w:rsidTr="005A428D">
        <w:trPr>
          <w:cantSplit/>
          <w:trHeight w:val="606"/>
        </w:trPr>
        <w:tc>
          <w:tcPr>
            <w:tcW w:w="348" w:type="pct"/>
            <w:vMerge/>
            <w:shd w:val="clear" w:color="auto" w:fill="D9D9D9"/>
            <w:vAlign w:val="center"/>
          </w:tcPr>
          <w:p w14:paraId="74CFC81F" w14:textId="77777777" w:rsidR="008143D9" w:rsidRPr="00470E23" w:rsidRDefault="008143D9" w:rsidP="005A428D">
            <w:pPr>
              <w:rPr>
                <w:rFonts w:eastAsia="SimSun"/>
                <w:sz w:val="22"/>
              </w:rPr>
            </w:pPr>
          </w:p>
        </w:tc>
        <w:tc>
          <w:tcPr>
            <w:tcW w:w="303" w:type="pct"/>
            <w:vMerge/>
            <w:shd w:val="clear" w:color="auto" w:fill="D9D9D9"/>
            <w:vAlign w:val="center"/>
          </w:tcPr>
          <w:p w14:paraId="623D4DD6" w14:textId="77777777" w:rsidR="008143D9" w:rsidRPr="00470E23" w:rsidRDefault="008143D9" w:rsidP="005A428D">
            <w:pPr>
              <w:rPr>
                <w:rFonts w:eastAsia="SimSun"/>
                <w:sz w:val="22"/>
              </w:rPr>
            </w:pPr>
          </w:p>
        </w:tc>
        <w:tc>
          <w:tcPr>
            <w:tcW w:w="308" w:type="pct"/>
            <w:shd w:val="clear" w:color="auto" w:fill="D9D9D9"/>
            <w:vAlign w:val="center"/>
          </w:tcPr>
          <w:p w14:paraId="64DFFF41" w14:textId="77777777" w:rsidR="008143D9" w:rsidRPr="00470E23" w:rsidRDefault="008143D9" w:rsidP="005A428D">
            <w:pPr>
              <w:rPr>
                <w:rFonts w:eastAsia="SimSun"/>
                <w:sz w:val="22"/>
              </w:rPr>
            </w:pPr>
            <w:r w:rsidRPr="00470E23">
              <w:rPr>
                <w:rFonts w:eastAsia="SimSun"/>
                <w:sz w:val="22"/>
              </w:rPr>
              <w:t>-</w:t>
            </w:r>
          </w:p>
        </w:tc>
        <w:tc>
          <w:tcPr>
            <w:tcW w:w="428" w:type="pct"/>
            <w:shd w:val="clear" w:color="auto" w:fill="D9D9D9"/>
            <w:vAlign w:val="center"/>
          </w:tcPr>
          <w:p w14:paraId="00504BC4" w14:textId="77777777" w:rsidR="008143D9" w:rsidRPr="00470E23" w:rsidRDefault="008143D9" w:rsidP="005A428D">
            <w:pPr>
              <w:rPr>
                <w:rFonts w:eastAsia="SimSun"/>
                <w:sz w:val="22"/>
              </w:rPr>
            </w:pPr>
            <w:r w:rsidRPr="00470E23">
              <w:rPr>
                <w:rFonts w:eastAsia="SimSun"/>
                <w:sz w:val="22"/>
              </w:rPr>
              <w:t>MMF45</w:t>
            </w:r>
          </w:p>
        </w:tc>
        <w:tc>
          <w:tcPr>
            <w:tcW w:w="412" w:type="pct"/>
            <w:shd w:val="clear" w:color="auto" w:fill="auto"/>
            <w:vAlign w:val="center"/>
          </w:tcPr>
          <w:p w14:paraId="237747F1" w14:textId="77777777" w:rsidR="008143D9" w:rsidRPr="00470E23" w:rsidRDefault="008143D9" w:rsidP="005A428D">
            <w:pPr>
              <w:rPr>
                <w:rFonts w:eastAsia="SimSun"/>
                <w:sz w:val="22"/>
              </w:rPr>
            </w:pPr>
          </w:p>
        </w:tc>
        <w:tc>
          <w:tcPr>
            <w:tcW w:w="361" w:type="pct"/>
            <w:tcBorders>
              <w:right w:val="single" w:sz="4" w:space="0" w:color="00000A"/>
            </w:tcBorders>
            <w:shd w:val="clear" w:color="auto" w:fill="auto"/>
            <w:vAlign w:val="center"/>
          </w:tcPr>
          <w:p w14:paraId="320FA2B3" w14:textId="77777777" w:rsidR="008143D9" w:rsidRPr="00470E23" w:rsidRDefault="008143D9" w:rsidP="005A428D">
            <w:pPr>
              <w:rPr>
                <w:rFonts w:eastAsia="SimSun"/>
                <w:sz w:val="22"/>
              </w:rPr>
            </w:pPr>
          </w:p>
        </w:tc>
        <w:tc>
          <w:tcPr>
            <w:tcW w:w="443" w:type="pct"/>
            <w:tcBorders>
              <w:left w:val="single" w:sz="4" w:space="0" w:color="00000A"/>
            </w:tcBorders>
            <w:shd w:val="clear" w:color="auto" w:fill="auto"/>
            <w:vAlign w:val="center"/>
          </w:tcPr>
          <w:p w14:paraId="1CE16D18" w14:textId="77777777" w:rsidR="008143D9" w:rsidRPr="00470E23" w:rsidRDefault="008143D9" w:rsidP="005A428D">
            <w:pPr>
              <w:rPr>
                <w:rFonts w:eastAsia="SimSun"/>
                <w:sz w:val="22"/>
              </w:rPr>
            </w:pPr>
            <w:r w:rsidRPr="00470E23">
              <w:rPr>
                <w:rFonts w:eastAsia="SimSun"/>
                <w:sz w:val="22"/>
              </w:rPr>
              <w:t>5.2.2.4</w:t>
            </w:r>
          </w:p>
        </w:tc>
        <w:tc>
          <w:tcPr>
            <w:tcW w:w="430" w:type="pct"/>
            <w:tcBorders>
              <w:right w:val="single" w:sz="4" w:space="0" w:color="00000A"/>
            </w:tcBorders>
            <w:shd w:val="clear" w:color="auto" w:fill="auto"/>
            <w:vAlign w:val="center"/>
          </w:tcPr>
          <w:p w14:paraId="0F22F0D0" w14:textId="77777777" w:rsidR="008143D9" w:rsidRPr="00470E23" w:rsidRDefault="008143D9" w:rsidP="005A428D">
            <w:pPr>
              <w:rPr>
                <w:rFonts w:eastAsia="SimSun"/>
                <w:sz w:val="22"/>
              </w:rPr>
            </w:pPr>
          </w:p>
        </w:tc>
        <w:tc>
          <w:tcPr>
            <w:tcW w:w="316" w:type="pct"/>
            <w:tcBorders>
              <w:left w:val="single" w:sz="4" w:space="0" w:color="00000A"/>
            </w:tcBorders>
            <w:shd w:val="clear" w:color="auto" w:fill="auto"/>
            <w:vAlign w:val="center"/>
          </w:tcPr>
          <w:p w14:paraId="4A7D0CCA" w14:textId="77777777" w:rsidR="008143D9" w:rsidRPr="00470E23" w:rsidRDefault="008143D9" w:rsidP="005A428D">
            <w:pPr>
              <w:rPr>
                <w:rFonts w:eastAsia="SimSun"/>
                <w:sz w:val="22"/>
              </w:rPr>
            </w:pPr>
          </w:p>
        </w:tc>
        <w:tc>
          <w:tcPr>
            <w:tcW w:w="475" w:type="pct"/>
            <w:shd w:val="clear" w:color="auto" w:fill="auto"/>
            <w:vAlign w:val="center"/>
          </w:tcPr>
          <w:p w14:paraId="3A60882F" w14:textId="77777777" w:rsidR="008143D9" w:rsidRPr="00470E23" w:rsidRDefault="008143D9" w:rsidP="005A428D">
            <w:pPr>
              <w:rPr>
                <w:rFonts w:eastAsia="SimSun"/>
                <w:sz w:val="22"/>
              </w:rPr>
            </w:pPr>
          </w:p>
        </w:tc>
        <w:tc>
          <w:tcPr>
            <w:tcW w:w="382" w:type="pct"/>
            <w:shd w:val="clear" w:color="auto" w:fill="auto"/>
            <w:vAlign w:val="center"/>
          </w:tcPr>
          <w:p w14:paraId="24555502" w14:textId="77777777" w:rsidR="008143D9" w:rsidRPr="00470E23" w:rsidRDefault="008143D9" w:rsidP="005A428D">
            <w:pPr>
              <w:rPr>
                <w:rFonts w:eastAsia="SimSun"/>
                <w:sz w:val="22"/>
              </w:rPr>
            </w:pPr>
          </w:p>
        </w:tc>
        <w:tc>
          <w:tcPr>
            <w:tcW w:w="400" w:type="pct"/>
            <w:shd w:val="clear" w:color="auto" w:fill="auto"/>
            <w:vAlign w:val="center"/>
          </w:tcPr>
          <w:p w14:paraId="78AAF0B6" w14:textId="77777777" w:rsidR="008143D9" w:rsidRPr="00470E23" w:rsidRDefault="008143D9" w:rsidP="005A428D">
            <w:pPr>
              <w:rPr>
                <w:rFonts w:eastAsia="SimSun"/>
                <w:sz w:val="22"/>
              </w:rPr>
            </w:pPr>
          </w:p>
        </w:tc>
        <w:tc>
          <w:tcPr>
            <w:tcW w:w="394" w:type="pct"/>
            <w:vAlign w:val="center"/>
          </w:tcPr>
          <w:p w14:paraId="50E15ECB" w14:textId="77777777" w:rsidR="008143D9" w:rsidRPr="00470E23" w:rsidRDefault="008143D9" w:rsidP="005A428D">
            <w:pPr>
              <w:rPr>
                <w:rFonts w:eastAsia="SimSun"/>
                <w:sz w:val="22"/>
              </w:rPr>
            </w:pPr>
          </w:p>
        </w:tc>
      </w:tr>
      <w:tr w:rsidR="008143D9" w:rsidRPr="00470E23" w14:paraId="68929361" w14:textId="77777777" w:rsidTr="005A428D">
        <w:trPr>
          <w:cantSplit/>
          <w:trHeight w:val="606"/>
        </w:trPr>
        <w:tc>
          <w:tcPr>
            <w:tcW w:w="348" w:type="pct"/>
            <w:vMerge/>
            <w:shd w:val="clear" w:color="auto" w:fill="D9D9D9"/>
            <w:vAlign w:val="center"/>
          </w:tcPr>
          <w:p w14:paraId="6A07FB75" w14:textId="77777777" w:rsidR="008143D9" w:rsidRPr="00470E23" w:rsidRDefault="008143D9" w:rsidP="005A428D">
            <w:pPr>
              <w:rPr>
                <w:rFonts w:eastAsia="SimSun"/>
                <w:sz w:val="22"/>
              </w:rPr>
            </w:pPr>
          </w:p>
        </w:tc>
        <w:tc>
          <w:tcPr>
            <w:tcW w:w="303" w:type="pct"/>
            <w:shd w:val="clear" w:color="auto" w:fill="D9D9D9"/>
            <w:vAlign w:val="center"/>
          </w:tcPr>
          <w:p w14:paraId="4F46A56C" w14:textId="77777777" w:rsidR="008143D9" w:rsidRPr="00470E23" w:rsidRDefault="008143D9" w:rsidP="005A428D">
            <w:pPr>
              <w:rPr>
                <w:rFonts w:eastAsia="SimSun"/>
                <w:sz w:val="22"/>
              </w:rPr>
            </w:pPr>
            <w:r w:rsidRPr="00470E23">
              <w:rPr>
                <w:rFonts w:eastAsia="SimSun"/>
                <w:sz w:val="22"/>
              </w:rPr>
              <w:t>Tx</w:t>
            </w:r>
          </w:p>
        </w:tc>
        <w:tc>
          <w:tcPr>
            <w:tcW w:w="308" w:type="pct"/>
            <w:shd w:val="clear" w:color="auto" w:fill="D9D9D9"/>
            <w:vAlign w:val="center"/>
          </w:tcPr>
          <w:p w14:paraId="64450BFB" w14:textId="77777777" w:rsidR="008143D9" w:rsidRPr="00470E23" w:rsidRDefault="008143D9" w:rsidP="005A428D">
            <w:pPr>
              <w:rPr>
                <w:rFonts w:eastAsia="SimSun"/>
                <w:sz w:val="22"/>
              </w:rPr>
            </w:pPr>
            <w:r w:rsidRPr="00470E23">
              <w:rPr>
                <w:rFonts w:eastAsia="SimSun"/>
                <w:sz w:val="22"/>
              </w:rPr>
              <w:t>-</w:t>
            </w:r>
          </w:p>
        </w:tc>
        <w:tc>
          <w:tcPr>
            <w:tcW w:w="428" w:type="pct"/>
            <w:shd w:val="clear" w:color="auto" w:fill="D9D9D9"/>
            <w:vAlign w:val="center"/>
          </w:tcPr>
          <w:p w14:paraId="47E97DAA" w14:textId="77777777" w:rsidR="008143D9" w:rsidRPr="00470E23" w:rsidRDefault="008143D9" w:rsidP="005A428D">
            <w:pPr>
              <w:rPr>
                <w:rFonts w:eastAsia="SimSun"/>
                <w:sz w:val="22"/>
              </w:rPr>
            </w:pPr>
            <w:r w:rsidRPr="00470E23">
              <w:rPr>
                <w:rFonts w:eastAsia="SimSun"/>
                <w:sz w:val="22"/>
              </w:rPr>
              <w:t>MMF30</w:t>
            </w:r>
          </w:p>
        </w:tc>
        <w:tc>
          <w:tcPr>
            <w:tcW w:w="412" w:type="pct"/>
            <w:shd w:val="clear" w:color="auto" w:fill="auto"/>
            <w:vAlign w:val="center"/>
          </w:tcPr>
          <w:p w14:paraId="6386C8A9" w14:textId="77777777" w:rsidR="008143D9" w:rsidRPr="00470E23" w:rsidRDefault="008143D9" w:rsidP="005A428D">
            <w:pPr>
              <w:rPr>
                <w:rFonts w:eastAsia="SimSun"/>
                <w:sz w:val="22"/>
              </w:rPr>
            </w:pPr>
            <w:r w:rsidRPr="00470E23">
              <w:rPr>
                <w:rFonts w:eastAsia="SimSun"/>
                <w:sz w:val="22"/>
              </w:rPr>
              <w:t>5.2.2.15</w:t>
            </w:r>
          </w:p>
        </w:tc>
        <w:tc>
          <w:tcPr>
            <w:tcW w:w="361" w:type="pct"/>
            <w:tcBorders>
              <w:right w:val="single" w:sz="4" w:space="0" w:color="00000A"/>
            </w:tcBorders>
            <w:shd w:val="clear" w:color="auto" w:fill="auto"/>
            <w:vAlign w:val="center"/>
          </w:tcPr>
          <w:p w14:paraId="44CCD66F" w14:textId="77777777" w:rsidR="008143D9" w:rsidRPr="00470E23" w:rsidRDefault="008143D9" w:rsidP="005A428D">
            <w:pPr>
              <w:rPr>
                <w:rFonts w:eastAsia="SimSun"/>
                <w:sz w:val="22"/>
              </w:rPr>
            </w:pPr>
          </w:p>
        </w:tc>
        <w:tc>
          <w:tcPr>
            <w:tcW w:w="443" w:type="pct"/>
            <w:tcBorders>
              <w:left w:val="single" w:sz="4" w:space="0" w:color="00000A"/>
            </w:tcBorders>
            <w:shd w:val="clear" w:color="auto" w:fill="auto"/>
            <w:vAlign w:val="center"/>
          </w:tcPr>
          <w:p w14:paraId="014B2E67" w14:textId="77777777" w:rsidR="008143D9" w:rsidRPr="00470E23" w:rsidRDefault="008143D9" w:rsidP="005A428D">
            <w:pPr>
              <w:rPr>
                <w:rFonts w:eastAsia="SimSun"/>
                <w:sz w:val="22"/>
              </w:rPr>
            </w:pPr>
          </w:p>
        </w:tc>
        <w:tc>
          <w:tcPr>
            <w:tcW w:w="430" w:type="pct"/>
            <w:tcBorders>
              <w:right w:val="single" w:sz="4" w:space="0" w:color="00000A"/>
            </w:tcBorders>
            <w:shd w:val="clear" w:color="auto" w:fill="auto"/>
            <w:vAlign w:val="center"/>
          </w:tcPr>
          <w:p w14:paraId="3C3FE33C" w14:textId="77777777" w:rsidR="008143D9" w:rsidRPr="00470E23" w:rsidRDefault="008143D9" w:rsidP="005A428D">
            <w:pPr>
              <w:rPr>
                <w:rFonts w:eastAsia="SimSun"/>
                <w:sz w:val="22"/>
              </w:rPr>
            </w:pPr>
            <w:r w:rsidRPr="00470E23">
              <w:rPr>
                <w:rFonts w:eastAsia="SimSun"/>
                <w:sz w:val="22"/>
              </w:rPr>
              <w:t>5.2.2.9</w:t>
            </w:r>
          </w:p>
        </w:tc>
        <w:tc>
          <w:tcPr>
            <w:tcW w:w="316" w:type="pct"/>
            <w:tcBorders>
              <w:left w:val="single" w:sz="4" w:space="0" w:color="00000A"/>
            </w:tcBorders>
            <w:shd w:val="clear" w:color="auto" w:fill="auto"/>
            <w:vAlign w:val="center"/>
          </w:tcPr>
          <w:p w14:paraId="79FD4904" w14:textId="77777777" w:rsidR="008143D9" w:rsidRPr="00470E23" w:rsidRDefault="008143D9" w:rsidP="005A428D">
            <w:pPr>
              <w:rPr>
                <w:rFonts w:eastAsia="SimSun"/>
                <w:sz w:val="22"/>
              </w:rPr>
            </w:pPr>
          </w:p>
        </w:tc>
        <w:tc>
          <w:tcPr>
            <w:tcW w:w="475" w:type="pct"/>
            <w:shd w:val="clear" w:color="auto" w:fill="auto"/>
            <w:vAlign w:val="center"/>
          </w:tcPr>
          <w:p w14:paraId="04E70A0E" w14:textId="77777777" w:rsidR="008143D9" w:rsidRPr="00470E23" w:rsidRDefault="008143D9" w:rsidP="005A428D">
            <w:pPr>
              <w:rPr>
                <w:rFonts w:eastAsia="SimSun"/>
                <w:sz w:val="22"/>
              </w:rPr>
            </w:pPr>
            <w:r w:rsidRPr="00470E23">
              <w:rPr>
                <w:rFonts w:eastAsia="SimSun"/>
                <w:sz w:val="22"/>
              </w:rPr>
              <w:t>5.2.2.13</w:t>
            </w:r>
          </w:p>
        </w:tc>
        <w:tc>
          <w:tcPr>
            <w:tcW w:w="382" w:type="pct"/>
            <w:shd w:val="clear" w:color="auto" w:fill="auto"/>
            <w:vAlign w:val="center"/>
          </w:tcPr>
          <w:p w14:paraId="2E796845" w14:textId="77777777" w:rsidR="008143D9" w:rsidRPr="00470E23" w:rsidRDefault="008143D9" w:rsidP="005A428D">
            <w:pPr>
              <w:rPr>
                <w:rFonts w:eastAsia="SimSun"/>
                <w:sz w:val="22"/>
              </w:rPr>
            </w:pPr>
          </w:p>
        </w:tc>
        <w:tc>
          <w:tcPr>
            <w:tcW w:w="400" w:type="pct"/>
            <w:shd w:val="clear" w:color="auto" w:fill="auto"/>
            <w:vAlign w:val="center"/>
          </w:tcPr>
          <w:p w14:paraId="02A1E6DA" w14:textId="77777777" w:rsidR="008143D9" w:rsidRPr="00470E23" w:rsidRDefault="008143D9" w:rsidP="005A428D">
            <w:pPr>
              <w:rPr>
                <w:rFonts w:eastAsia="SimSun"/>
                <w:sz w:val="22"/>
              </w:rPr>
            </w:pPr>
          </w:p>
        </w:tc>
        <w:tc>
          <w:tcPr>
            <w:tcW w:w="394" w:type="pct"/>
            <w:vAlign w:val="center"/>
          </w:tcPr>
          <w:p w14:paraId="1821ED20" w14:textId="77777777" w:rsidR="008143D9" w:rsidRPr="00470E23" w:rsidRDefault="008143D9" w:rsidP="005A428D">
            <w:pPr>
              <w:rPr>
                <w:rFonts w:eastAsia="SimSun"/>
                <w:sz w:val="22"/>
              </w:rPr>
            </w:pPr>
            <w:r w:rsidRPr="00470E23">
              <w:rPr>
                <w:rFonts w:eastAsia="SimSun"/>
                <w:sz w:val="22"/>
              </w:rPr>
              <w:t>5.2.2.21</w:t>
            </w:r>
          </w:p>
        </w:tc>
      </w:tr>
      <w:tr w:rsidR="008143D9" w:rsidRPr="00470E23" w14:paraId="1BF4231F" w14:textId="77777777" w:rsidTr="005A428D">
        <w:trPr>
          <w:cantSplit/>
          <w:trHeight w:val="606"/>
        </w:trPr>
        <w:tc>
          <w:tcPr>
            <w:tcW w:w="348" w:type="pct"/>
            <w:vMerge/>
            <w:shd w:val="clear" w:color="auto" w:fill="D9D9D9"/>
            <w:vAlign w:val="center"/>
          </w:tcPr>
          <w:p w14:paraId="5A2CEE44" w14:textId="77777777" w:rsidR="008143D9" w:rsidRPr="00470E23" w:rsidRDefault="008143D9" w:rsidP="005A428D">
            <w:pPr>
              <w:rPr>
                <w:rFonts w:eastAsia="SimSun"/>
                <w:sz w:val="22"/>
              </w:rPr>
            </w:pPr>
          </w:p>
        </w:tc>
        <w:tc>
          <w:tcPr>
            <w:tcW w:w="303" w:type="pct"/>
            <w:shd w:val="clear" w:color="auto" w:fill="D9D9D9"/>
            <w:vAlign w:val="center"/>
          </w:tcPr>
          <w:p w14:paraId="08BD947A" w14:textId="77777777" w:rsidR="008143D9" w:rsidRPr="00470E23" w:rsidRDefault="008143D9" w:rsidP="005A428D">
            <w:pPr>
              <w:rPr>
                <w:rFonts w:eastAsia="SimSun"/>
                <w:sz w:val="22"/>
              </w:rPr>
            </w:pPr>
            <w:r w:rsidRPr="00470E23">
              <w:rPr>
                <w:rFonts w:eastAsia="SimSun"/>
                <w:sz w:val="22"/>
              </w:rPr>
              <w:t>Ruxo</w:t>
            </w:r>
          </w:p>
        </w:tc>
        <w:tc>
          <w:tcPr>
            <w:tcW w:w="308" w:type="pct"/>
            <w:shd w:val="clear" w:color="auto" w:fill="D9D9D9"/>
            <w:vAlign w:val="center"/>
          </w:tcPr>
          <w:p w14:paraId="6BF5C3C4" w14:textId="77777777" w:rsidR="008143D9" w:rsidRPr="00470E23" w:rsidRDefault="008143D9" w:rsidP="005A428D">
            <w:pPr>
              <w:rPr>
                <w:rFonts w:eastAsia="SimSun"/>
                <w:sz w:val="22"/>
              </w:rPr>
            </w:pPr>
            <w:r w:rsidRPr="00470E23">
              <w:rPr>
                <w:rFonts w:eastAsia="SimSun"/>
                <w:sz w:val="22"/>
              </w:rPr>
              <w:t>-</w:t>
            </w:r>
          </w:p>
        </w:tc>
        <w:tc>
          <w:tcPr>
            <w:tcW w:w="428" w:type="pct"/>
            <w:shd w:val="clear" w:color="auto" w:fill="D9D9D9"/>
            <w:vAlign w:val="center"/>
          </w:tcPr>
          <w:p w14:paraId="4E641FED" w14:textId="77777777" w:rsidR="008143D9" w:rsidRPr="00470E23" w:rsidRDefault="008143D9" w:rsidP="005A428D">
            <w:pPr>
              <w:rPr>
                <w:rFonts w:eastAsia="SimSun"/>
                <w:sz w:val="22"/>
              </w:rPr>
            </w:pPr>
            <w:r w:rsidRPr="00470E23">
              <w:rPr>
                <w:rFonts w:eastAsia="SimSun"/>
                <w:sz w:val="22"/>
              </w:rPr>
              <w:t>-</w:t>
            </w:r>
          </w:p>
        </w:tc>
        <w:tc>
          <w:tcPr>
            <w:tcW w:w="412" w:type="pct"/>
            <w:shd w:val="clear" w:color="auto" w:fill="auto"/>
            <w:vAlign w:val="center"/>
          </w:tcPr>
          <w:p w14:paraId="7229AC53" w14:textId="77777777" w:rsidR="008143D9" w:rsidRPr="00470E23" w:rsidRDefault="008143D9" w:rsidP="005A428D">
            <w:pPr>
              <w:rPr>
                <w:rFonts w:eastAsia="SimSun"/>
                <w:sz w:val="22"/>
              </w:rPr>
            </w:pPr>
          </w:p>
        </w:tc>
        <w:tc>
          <w:tcPr>
            <w:tcW w:w="361" w:type="pct"/>
            <w:tcBorders>
              <w:right w:val="single" w:sz="4" w:space="0" w:color="00000A"/>
            </w:tcBorders>
            <w:shd w:val="clear" w:color="auto" w:fill="auto"/>
            <w:vAlign w:val="center"/>
          </w:tcPr>
          <w:p w14:paraId="43C4D534" w14:textId="77777777" w:rsidR="008143D9" w:rsidRPr="00470E23" w:rsidRDefault="008143D9" w:rsidP="005A428D">
            <w:pPr>
              <w:rPr>
                <w:rFonts w:eastAsia="SimSun"/>
                <w:sz w:val="22"/>
              </w:rPr>
            </w:pPr>
          </w:p>
        </w:tc>
        <w:tc>
          <w:tcPr>
            <w:tcW w:w="443" w:type="pct"/>
            <w:tcBorders>
              <w:left w:val="single" w:sz="4" w:space="0" w:color="00000A"/>
            </w:tcBorders>
            <w:shd w:val="clear" w:color="auto" w:fill="auto"/>
            <w:vAlign w:val="center"/>
          </w:tcPr>
          <w:p w14:paraId="7133F8D7" w14:textId="77777777" w:rsidR="008143D9" w:rsidRPr="00470E23" w:rsidRDefault="008143D9" w:rsidP="005A428D">
            <w:pPr>
              <w:rPr>
                <w:rFonts w:eastAsia="SimSun"/>
                <w:sz w:val="22"/>
              </w:rPr>
            </w:pPr>
          </w:p>
        </w:tc>
        <w:tc>
          <w:tcPr>
            <w:tcW w:w="430" w:type="pct"/>
            <w:tcBorders>
              <w:right w:val="single" w:sz="4" w:space="0" w:color="00000A"/>
            </w:tcBorders>
            <w:shd w:val="clear" w:color="auto" w:fill="auto"/>
            <w:vAlign w:val="center"/>
          </w:tcPr>
          <w:p w14:paraId="71DE3ED9" w14:textId="77777777" w:rsidR="008143D9" w:rsidRPr="00470E23" w:rsidRDefault="008143D9" w:rsidP="005A428D">
            <w:pPr>
              <w:rPr>
                <w:rFonts w:eastAsia="SimSun"/>
                <w:sz w:val="22"/>
              </w:rPr>
            </w:pPr>
          </w:p>
        </w:tc>
        <w:tc>
          <w:tcPr>
            <w:tcW w:w="316" w:type="pct"/>
            <w:tcBorders>
              <w:left w:val="single" w:sz="4" w:space="0" w:color="00000A"/>
            </w:tcBorders>
            <w:shd w:val="clear" w:color="auto" w:fill="auto"/>
            <w:vAlign w:val="center"/>
          </w:tcPr>
          <w:p w14:paraId="761DF6A7" w14:textId="77777777" w:rsidR="008143D9" w:rsidRPr="00470E23" w:rsidRDefault="008143D9" w:rsidP="005A428D">
            <w:pPr>
              <w:rPr>
                <w:rFonts w:eastAsia="SimSun"/>
                <w:sz w:val="22"/>
              </w:rPr>
            </w:pPr>
          </w:p>
        </w:tc>
        <w:tc>
          <w:tcPr>
            <w:tcW w:w="475" w:type="pct"/>
            <w:shd w:val="clear" w:color="auto" w:fill="auto"/>
            <w:vAlign w:val="center"/>
          </w:tcPr>
          <w:p w14:paraId="768C4D31" w14:textId="77777777" w:rsidR="008143D9" w:rsidRPr="00470E23" w:rsidRDefault="008143D9" w:rsidP="005A428D">
            <w:pPr>
              <w:rPr>
                <w:rFonts w:eastAsia="SimSun"/>
                <w:sz w:val="22"/>
              </w:rPr>
            </w:pPr>
            <w:r w:rsidRPr="00470E23">
              <w:rPr>
                <w:rFonts w:eastAsia="SimSun"/>
                <w:sz w:val="22"/>
              </w:rPr>
              <w:t>5.2.2.14</w:t>
            </w:r>
          </w:p>
        </w:tc>
        <w:tc>
          <w:tcPr>
            <w:tcW w:w="382" w:type="pct"/>
            <w:shd w:val="clear" w:color="auto" w:fill="auto"/>
            <w:vAlign w:val="center"/>
          </w:tcPr>
          <w:p w14:paraId="7F7A399F" w14:textId="77777777" w:rsidR="008143D9" w:rsidRPr="00470E23" w:rsidRDefault="008143D9" w:rsidP="005A428D">
            <w:pPr>
              <w:rPr>
                <w:rFonts w:eastAsia="SimSun"/>
                <w:sz w:val="22"/>
              </w:rPr>
            </w:pPr>
          </w:p>
        </w:tc>
        <w:tc>
          <w:tcPr>
            <w:tcW w:w="400" w:type="pct"/>
            <w:shd w:val="clear" w:color="auto" w:fill="auto"/>
            <w:vAlign w:val="center"/>
          </w:tcPr>
          <w:p w14:paraId="0F018D77" w14:textId="77777777" w:rsidR="008143D9" w:rsidRPr="00470E23" w:rsidRDefault="008143D9" w:rsidP="005A428D">
            <w:pPr>
              <w:rPr>
                <w:rFonts w:eastAsia="SimSun"/>
                <w:sz w:val="22"/>
              </w:rPr>
            </w:pPr>
          </w:p>
        </w:tc>
        <w:tc>
          <w:tcPr>
            <w:tcW w:w="394" w:type="pct"/>
            <w:vAlign w:val="center"/>
          </w:tcPr>
          <w:p w14:paraId="499CB5B8" w14:textId="77777777" w:rsidR="008143D9" w:rsidRPr="00470E23" w:rsidRDefault="008143D9" w:rsidP="005A428D">
            <w:pPr>
              <w:rPr>
                <w:rFonts w:eastAsia="SimSun"/>
                <w:sz w:val="22"/>
              </w:rPr>
            </w:pPr>
          </w:p>
        </w:tc>
      </w:tr>
      <w:tr w:rsidR="008143D9" w:rsidRPr="00470E23" w14:paraId="05D83D63" w14:textId="77777777" w:rsidTr="005A428D">
        <w:trPr>
          <w:cantSplit/>
          <w:trHeight w:val="606"/>
        </w:trPr>
        <w:tc>
          <w:tcPr>
            <w:tcW w:w="348" w:type="pct"/>
            <w:shd w:val="clear" w:color="auto" w:fill="D9D9D9"/>
            <w:vAlign w:val="center"/>
          </w:tcPr>
          <w:p w14:paraId="7FF4167A" w14:textId="77777777" w:rsidR="008143D9" w:rsidRPr="00470E23" w:rsidRDefault="008143D9" w:rsidP="005A428D">
            <w:pPr>
              <w:rPr>
                <w:rFonts w:eastAsia="SimSun"/>
                <w:sz w:val="22"/>
              </w:rPr>
            </w:pPr>
            <w:r w:rsidRPr="00470E23">
              <w:rPr>
                <w:rFonts w:eastAsia="SimSun"/>
                <w:sz w:val="22"/>
              </w:rPr>
              <w:t>-</w:t>
            </w:r>
          </w:p>
        </w:tc>
        <w:tc>
          <w:tcPr>
            <w:tcW w:w="303" w:type="pct"/>
            <w:shd w:val="clear" w:color="auto" w:fill="D9D9D9"/>
            <w:vAlign w:val="center"/>
          </w:tcPr>
          <w:p w14:paraId="520F4BB1" w14:textId="77777777" w:rsidR="008143D9" w:rsidRPr="00470E23" w:rsidRDefault="008143D9" w:rsidP="005A428D">
            <w:pPr>
              <w:rPr>
                <w:rFonts w:eastAsia="SimSun"/>
                <w:sz w:val="22"/>
              </w:rPr>
            </w:pPr>
            <w:r w:rsidRPr="00470E23">
              <w:rPr>
                <w:rFonts w:eastAsia="SimSun"/>
                <w:sz w:val="22"/>
              </w:rPr>
              <w:t>Tx</w:t>
            </w:r>
          </w:p>
        </w:tc>
        <w:tc>
          <w:tcPr>
            <w:tcW w:w="308" w:type="pct"/>
            <w:shd w:val="clear" w:color="auto" w:fill="D9D9D9"/>
            <w:vAlign w:val="center"/>
          </w:tcPr>
          <w:p w14:paraId="2FD7AB6E" w14:textId="77777777" w:rsidR="008143D9" w:rsidRPr="00470E23" w:rsidRDefault="008143D9" w:rsidP="005A428D">
            <w:pPr>
              <w:rPr>
                <w:rFonts w:eastAsia="SimSun"/>
                <w:sz w:val="22"/>
              </w:rPr>
            </w:pPr>
            <w:r w:rsidRPr="00470E23">
              <w:rPr>
                <w:rFonts w:eastAsia="SimSun"/>
                <w:sz w:val="22"/>
              </w:rPr>
              <w:t>-</w:t>
            </w:r>
          </w:p>
        </w:tc>
        <w:tc>
          <w:tcPr>
            <w:tcW w:w="428" w:type="pct"/>
            <w:shd w:val="clear" w:color="auto" w:fill="D9D9D9"/>
            <w:vAlign w:val="center"/>
          </w:tcPr>
          <w:p w14:paraId="7FD86489" w14:textId="77777777" w:rsidR="008143D9" w:rsidRPr="00470E23" w:rsidRDefault="008143D9" w:rsidP="005A428D">
            <w:pPr>
              <w:rPr>
                <w:rFonts w:eastAsia="SimSun"/>
                <w:sz w:val="22"/>
              </w:rPr>
            </w:pPr>
            <w:r w:rsidRPr="00470E23">
              <w:rPr>
                <w:rFonts w:eastAsia="SimSun"/>
                <w:sz w:val="22"/>
              </w:rPr>
              <w:t>MMF30</w:t>
            </w:r>
          </w:p>
        </w:tc>
        <w:tc>
          <w:tcPr>
            <w:tcW w:w="412" w:type="pct"/>
            <w:shd w:val="clear" w:color="auto" w:fill="auto"/>
            <w:vAlign w:val="center"/>
          </w:tcPr>
          <w:p w14:paraId="2B95EA36" w14:textId="77777777" w:rsidR="008143D9" w:rsidRPr="00470E23" w:rsidRDefault="008143D9" w:rsidP="005A428D">
            <w:pPr>
              <w:rPr>
                <w:rFonts w:eastAsia="SimSun"/>
                <w:sz w:val="22"/>
              </w:rPr>
            </w:pPr>
          </w:p>
        </w:tc>
        <w:tc>
          <w:tcPr>
            <w:tcW w:w="361" w:type="pct"/>
            <w:tcBorders>
              <w:right w:val="single" w:sz="4" w:space="0" w:color="00000A"/>
            </w:tcBorders>
            <w:shd w:val="clear" w:color="auto" w:fill="auto"/>
            <w:vAlign w:val="center"/>
          </w:tcPr>
          <w:p w14:paraId="3146D8A2" w14:textId="77777777" w:rsidR="008143D9" w:rsidRPr="00470E23" w:rsidRDefault="008143D9" w:rsidP="005A428D">
            <w:pPr>
              <w:rPr>
                <w:rFonts w:eastAsia="SimSun"/>
                <w:sz w:val="22"/>
              </w:rPr>
            </w:pPr>
          </w:p>
        </w:tc>
        <w:tc>
          <w:tcPr>
            <w:tcW w:w="443" w:type="pct"/>
            <w:tcBorders>
              <w:left w:val="single" w:sz="4" w:space="0" w:color="00000A"/>
            </w:tcBorders>
            <w:shd w:val="clear" w:color="auto" w:fill="auto"/>
            <w:vAlign w:val="center"/>
          </w:tcPr>
          <w:p w14:paraId="05F18F7A" w14:textId="77777777" w:rsidR="008143D9" w:rsidRPr="00470E23" w:rsidRDefault="008143D9" w:rsidP="005A428D">
            <w:pPr>
              <w:rPr>
                <w:rFonts w:eastAsia="SimSun"/>
                <w:sz w:val="22"/>
              </w:rPr>
            </w:pPr>
          </w:p>
        </w:tc>
        <w:tc>
          <w:tcPr>
            <w:tcW w:w="430" w:type="pct"/>
            <w:tcBorders>
              <w:right w:val="single" w:sz="4" w:space="0" w:color="00000A"/>
            </w:tcBorders>
            <w:shd w:val="clear" w:color="auto" w:fill="auto"/>
            <w:vAlign w:val="center"/>
          </w:tcPr>
          <w:p w14:paraId="1F19FFE2" w14:textId="77777777" w:rsidR="008143D9" w:rsidRPr="00470E23" w:rsidRDefault="008143D9" w:rsidP="005A428D">
            <w:pPr>
              <w:rPr>
                <w:rFonts w:eastAsia="SimSun"/>
                <w:sz w:val="22"/>
              </w:rPr>
            </w:pPr>
            <w:r w:rsidRPr="00470E23">
              <w:rPr>
                <w:rFonts w:eastAsia="SimSun"/>
                <w:sz w:val="22"/>
              </w:rPr>
              <w:t>5.2.2.10</w:t>
            </w:r>
          </w:p>
        </w:tc>
        <w:tc>
          <w:tcPr>
            <w:tcW w:w="316" w:type="pct"/>
            <w:tcBorders>
              <w:left w:val="single" w:sz="4" w:space="0" w:color="00000A"/>
            </w:tcBorders>
            <w:shd w:val="clear" w:color="auto" w:fill="auto"/>
            <w:vAlign w:val="center"/>
          </w:tcPr>
          <w:p w14:paraId="437A3C4C" w14:textId="77777777" w:rsidR="008143D9" w:rsidRPr="00470E23" w:rsidRDefault="008143D9" w:rsidP="005A428D">
            <w:pPr>
              <w:rPr>
                <w:rFonts w:eastAsia="SimSun"/>
                <w:sz w:val="22"/>
              </w:rPr>
            </w:pPr>
          </w:p>
        </w:tc>
        <w:tc>
          <w:tcPr>
            <w:tcW w:w="475" w:type="pct"/>
            <w:shd w:val="clear" w:color="auto" w:fill="auto"/>
            <w:vAlign w:val="center"/>
          </w:tcPr>
          <w:p w14:paraId="4367F61E" w14:textId="77777777" w:rsidR="008143D9" w:rsidRPr="00470E23" w:rsidRDefault="008143D9" w:rsidP="005A428D">
            <w:pPr>
              <w:rPr>
                <w:rFonts w:eastAsia="SimSun"/>
                <w:sz w:val="22"/>
              </w:rPr>
            </w:pPr>
            <w:r w:rsidRPr="00470E23">
              <w:rPr>
                <w:rFonts w:eastAsia="SimSun"/>
                <w:sz w:val="22"/>
              </w:rPr>
              <w:t>5.2.2</w:t>
            </w:r>
          </w:p>
        </w:tc>
        <w:tc>
          <w:tcPr>
            <w:tcW w:w="382" w:type="pct"/>
            <w:shd w:val="clear" w:color="auto" w:fill="auto"/>
            <w:vAlign w:val="center"/>
          </w:tcPr>
          <w:p w14:paraId="0659B3D2" w14:textId="77777777" w:rsidR="008143D9" w:rsidRPr="00470E23" w:rsidRDefault="008143D9" w:rsidP="005A428D">
            <w:pPr>
              <w:rPr>
                <w:rFonts w:eastAsia="SimSun"/>
                <w:sz w:val="22"/>
              </w:rPr>
            </w:pPr>
          </w:p>
        </w:tc>
        <w:tc>
          <w:tcPr>
            <w:tcW w:w="400" w:type="pct"/>
            <w:shd w:val="clear" w:color="auto" w:fill="auto"/>
            <w:vAlign w:val="center"/>
          </w:tcPr>
          <w:p w14:paraId="3A542760" w14:textId="77777777" w:rsidR="008143D9" w:rsidRPr="00470E23" w:rsidRDefault="008143D9" w:rsidP="005A428D">
            <w:pPr>
              <w:rPr>
                <w:rFonts w:eastAsia="SimSun"/>
                <w:sz w:val="22"/>
              </w:rPr>
            </w:pPr>
          </w:p>
        </w:tc>
        <w:tc>
          <w:tcPr>
            <w:tcW w:w="394" w:type="pct"/>
            <w:vAlign w:val="center"/>
          </w:tcPr>
          <w:p w14:paraId="49776E88" w14:textId="77777777" w:rsidR="008143D9" w:rsidRPr="00470E23" w:rsidRDefault="008143D9" w:rsidP="005A428D">
            <w:pPr>
              <w:rPr>
                <w:rFonts w:eastAsia="SimSun"/>
                <w:sz w:val="22"/>
              </w:rPr>
            </w:pPr>
          </w:p>
        </w:tc>
      </w:tr>
    </w:tbl>
    <w:p w14:paraId="53B7BA9B" w14:textId="77777777" w:rsidR="008143D9" w:rsidRPr="00C07B2E" w:rsidRDefault="008143D9" w:rsidP="008143D9">
      <w:pPr>
        <w:rPr>
          <w:rFonts w:eastAsia="SimSun"/>
        </w:rPr>
      </w:pPr>
    </w:p>
    <w:p w14:paraId="4A7EBCA0" w14:textId="77777777" w:rsidR="008143D9" w:rsidRPr="00C07B2E" w:rsidRDefault="008143D9" w:rsidP="008143D9">
      <w:pPr>
        <w:rPr>
          <w:rFonts w:eastAsia="SimSun"/>
        </w:rPr>
        <w:sectPr w:rsidR="008143D9" w:rsidRPr="00C07B2E" w:rsidSect="00980822">
          <w:type w:val="continuous"/>
          <w:pgSz w:w="16839" w:h="11907" w:orient="landscape" w:code="9"/>
          <w:pgMar w:top="1134" w:right="850" w:bottom="1134" w:left="1701" w:header="709" w:footer="567" w:gutter="0"/>
          <w:cols w:space="708"/>
          <w:docGrid w:linePitch="360"/>
        </w:sectPr>
      </w:pPr>
    </w:p>
    <w:p w14:paraId="7B172AAD" w14:textId="77777777" w:rsidR="008143D9" w:rsidRPr="00C07B2E" w:rsidRDefault="008143D9" w:rsidP="008143D9">
      <w:pPr>
        <w:rPr>
          <w:rFonts w:eastAsia="SimSun"/>
        </w:rPr>
      </w:pPr>
      <w:bookmarkStart w:id="160" w:name="_Toc44401201"/>
      <w:r w:rsidRPr="00042499">
        <w:rPr>
          <w:rFonts w:eastAsia="SimSun"/>
        </w:rPr>
        <w:t>Таблица</w:t>
      </w:r>
      <w:r w:rsidRPr="00C07B2E">
        <w:rPr>
          <w:rFonts w:eastAsia="SimSun"/>
        </w:rPr>
        <w:t xml:space="preserve"> </w:t>
      </w:r>
      <w:r>
        <w:rPr>
          <w:rFonts w:eastAsia="SimSun"/>
        </w:rPr>
        <w:t>5.</w:t>
      </w:r>
      <w:r w:rsidRPr="00C07B2E">
        <w:rPr>
          <w:rFonts w:eastAsia="SimSun"/>
        </w:rPr>
        <w:t>2.2.1  – Flu150+Bu8+Thio / hATG+ CSA+MTX+MMF45</w:t>
      </w:r>
      <w:bookmarkEnd w:id="160"/>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418"/>
        <w:gridCol w:w="1701"/>
        <w:gridCol w:w="2268"/>
      </w:tblGrid>
      <w:tr w:rsidR="008143D9" w:rsidRPr="00AC3044" w14:paraId="565AE094" w14:textId="77777777" w:rsidTr="005A428D">
        <w:trPr>
          <w:cantSplit/>
          <w:trHeight w:val="20"/>
          <w:tblHeader/>
        </w:trPr>
        <w:tc>
          <w:tcPr>
            <w:tcW w:w="993" w:type="dxa"/>
            <w:vAlign w:val="center"/>
          </w:tcPr>
          <w:p w14:paraId="42CD25E9" w14:textId="77777777" w:rsidR="008143D9" w:rsidRPr="00470D3D" w:rsidRDefault="008143D9" w:rsidP="005A428D">
            <w:pPr>
              <w:rPr>
                <w:rFonts w:eastAsia="SimSun"/>
              </w:rPr>
            </w:pPr>
          </w:p>
        </w:tc>
        <w:tc>
          <w:tcPr>
            <w:tcW w:w="1701" w:type="dxa"/>
            <w:vAlign w:val="center"/>
          </w:tcPr>
          <w:p w14:paraId="5334273F" w14:textId="77777777" w:rsidR="008143D9" w:rsidRPr="00AC3044" w:rsidRDefault="008143D9" w:rsidP="005A428D">
            <w:pPr>
              <w:rPr>
                <w:rFonts w:eastAsia="SimSun"/>
              </w:rPr>
            </w:pPr>
            <w:r w:rsidRPr="00AC3044">
              <w:rPr>
                <w:rFonts w:eastAsia="SimSun"/>
              </w:rPr>
              <w:t>Препарат</w:t>
            </w:r>
          </w:p>
        </w:tc>
        <w:tc>
          <w:tcPr>
            <w:tcW w:w="1559" w:type="dxa"/>
            <w:vAlign w:val="center"/>
          </w:tcPr>
          <w:p w14:paraId="12D2804B" w14:textId="77777777" w:rsidR="008143D9" w:rsidRPr="00AC3044" w:rsidRDefault="008143D9" w:rsidP="005A428D">
            <w:pPr>
              <w:rPr>
                <w:rFonts w:eastAsia="SimSun"/>
              </w:rPr>
            </w:pPr>
            <w:r w:rsidRPr="00AC3044">
              <w:rPr>
                <w:rFonts w:eastAsia="SimSun"/>
              </w:rPr>
              <w:t>Суточная доза</w:t>
            </w:r>
          </w:p>
        </w:tc>
        <w:tc>
          <w:tcPr>
            <w:tcW w:w="1418" w:type="dxa"/>
            <w:vAlign w:val="center"/>
          </w:tcPr>
          <w:p w14:paraId="30908002" w14:textId="77777777" w:rsidR="008143D9" w:rsidRPr="00AC3044" w:rsidRDefault="008143D9" w:rsidP="005A428D">
            <w:pPr>
              <w:rPr>
                <w:rFonts w:eastAsia="SimSun"/>
              </w:rPr>
            </w:pPr>
            <w:r w:rsidRPr="00AC3044">
              <w:rPr>
                <w:rFonts w:eastAsia="SimSun"/>
              </w:rPr>
              <w:t>Курсовая доза</w:t>
            </w:r>
          </w:p>
        </w:tc>
        <w:tc>
          <w:tcPr>
            <w:tcW w:w="1701" w:type="dxa"/>
            <w:vAlign w:val="center"/>
          </w:tcPr>
          <w:p w14:paraId="328BA07F" w14:textId="77777777" w:rsidR="008143D9" w:rsidRPr="00AC3044" w:rsidRDefault="008143D9" w:rsidP="005A428D">
            <w:pPr>
              <w:rPr>
                <w:rFonts w:eastAsia="SimSun"/>
              </w:rPr>
            </w:pPr>
            <w:r w:rsidRPr="00AC3044">
              <w:rPr>
                <w:rFonts w:eastAsia="SimSun"/>
              </w:rPr>
              <w:t>Дни введения</w:t>
            </w:r>
          </w:p>
        </w:tc>
        <w:tc>
          <w:tcPr>
            <w:tcW w:w="2268" w:type="dxa"/>
            <w:vAlign w:val="center"/>
          </w:tcPr>
          <w:p w14:paraId="319904D3"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59E5BDB4" w14:textId="77777777" w:rsidTr="005A428D">
        <w:trPr>
          <w:cantSplit/>
          <w:trHeight w:val="20"/>
        </w:trPr>
        <w:tc>
          <w:tcPr>
            <w:tcW w:w="993" w:type="dxa"/>
            <w:vMerge w:val="restart"/>
            <w:textDirection w:val="btLr"/>
            <w:vAlign w:val="center"/>
          </w:tcPr>
          <w:p w14:paraId="77666401" w14:textId="77777777" w:rsidR="008143D9" w:rsidRPr="00AC3044" w:rsidRDefault="008143D9" w:rsidP="005A428D">
            <w:pPr>
              <w:rPr>
                <w:rFonts w:eastAsia="SimSun"/>
              </w:rPr>
            </w:pPr>
            <w:r w:rsidRPr="00AC3044">
              <w:rPr>
                <w:rFonts w:eastAsia="SimSun"/>
              </w:rPr>
              <w:t>Кондиционирование</w:t>
            </w:r>
          </w:p>
        </w:tc>
        <w:tc>
          <w:tcPr>
            <w:tcW w:w="1701" w:type="dxa"/>
            <w:vAlign w:val="center"/>
          </w:tcPr>
          <w:p w14:paraId="2E177D31" w14:textId="77777777" w:rsidR="008143D9" w:rsidRPr="00AC3044" w:rsidRDefault="008143D9" w:rsidP="005A428D">
            <w:pPr>
              <w:rPr>
                <w:rFonts w:eastAsia="SimSun"/>
              </w:rPr>
            </w:pPr>
            <w:r w:rsidRPr="00AC3044">
              <w:rPr>
                <w:rFonts w:eastAsia="SimSun"/>
              </w:rPr>
              <w:t xml:space="preserve">Флударабин </w:t>
            </w:r>
          </w:p>
        </w:tc>
        <w:tc>
          <w:tcPr>
            <w:tcW w:w="1559" w:type="dxa"/>
            <w:vAlign w:val="center"/>
          </w:tcPr>
          <w:p w14:paraId="562A79F8" w14:textId="77777777" w:rsidR="008143D9" w:rsidRPr="00AC3044" w:rsidRDefault="008143D9" w:rsidP="005A428D">
            <w:pPr>
              <w:rPr>
                <w:rFonts w:eastAsia="SimSun"/>
              </w:rPr>
            </w:pPr>
            <w:r w:rsidRPr="00AC3044">
              <w:rPr>
                <w:rFonts w:eastAsia="SimSun"/>
              </w:rPr>
              <w:t>50 мг/м</w:t>
            </w:r>
            <w:r w:rsidRPr="00DB259E">
              <w:rPr>
                <w:rFonts w:eastAsia="SimSun"/>
                <w:vertAlign w:val="superscript"/>
              </w:rPr>
              <w:t>2</w:t>
            </w:r>
          </w:p>
        </w:tc>
        <w:tc>
          <w:tcPr>
            <w:tcW w:w="1418" w:type="dxa"/>
            <w:vAlign w:val="center"/>
          </w:tcPr>
          <w:p w14:paraId="36960FA3" w14:textId="77777777" w:rsidR="008143D9" w:rsidRPr="00AC3044" w:rsidRDefault="008143D9" w:rsidP="005A428D">
            <w:pPr>
              <w:rPr>
                <w:rFonts w:eastAsia="SimSun"/>
              </w:rPr>
            </w:pPr>
            <w:r w:rsidRPr="00AC3044">
              <w:rPr>
                <w:rFonts w:eastAsia="SimSun"/>
              </w:rPr>
              <w:t>150 мг/м</w:t>
            </w:r>
            <w:r w:rsidRPr="00DB259E">
              <w:rPr>
                <w:rFonts w:eastAsia="SimSun"/>
                <w:vertAlign w:val="superscript"/>
              </w:rPr>
              <w:t>2</w:t>
            </w:r>
          </w:p>
        </w:tc>
        <w:tc>
          <w:tcPr>
            <w:tcW w:w="1701" w:type="dxa"/>
            <w:vAlign w:val="center"/>
          </w:tcPr>
          <w:p w14:paraId="35E2B350" w14:textId="77777777" w:rsidR="008143D9" w:rsidRPr="00AC3044" w:rsidRDefault="008143D9" w:rsidP="005A428D">
            <w:pPr>
              <w:rPr>
                <w:rFonts w:eastAsia="SimSun"/>
              </w:rPr>
            </w:pPr>
            <w:r w:rsidRPr="00AC3044">
              <w:rPr>
                <w:rFonts w:eastAsia="SimSun"/>
              </w:rPr>
              <w:t>С –4 по –2 день</w:t>
            </w:r>
          </w:p>
        </w:tc>
        <w:tc>
          <w:tcPr>
            <w:tcW w:w="2268" w:type="dxa"/>
            <w:vAlign w:val="center"/>
          </w:tcPr>
          <w:p w14:paraId="5505C865"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281F9ABA" w14:textId="77777777" w:rsidTr="005A428D">
        <w:trPr>
          <w:cantSplit/>
          <w:trHeight w:val="20"/>
        </w:trPr>
        <w:tc>
          <w:tcPr>
            <w:tcW w:w="993" w:type="dxa"/>
            <w:vMerge/>
            <w:textDirection w:val="btLr"/>
            <w:vAlign w:val="center"/>
          </w:tcPr>
          <w:p w14:paraId="5DAB9BA0" w14:textId="77777777" w:rsidR="008143D9" w:rsidRPr="00AC3044" w:rsidRDefault="008143D9" w:rsidP="005A428D">
            <w:pPr>
              <w:rPr>
                <w:rFonts w:eastAsia="SimSun"/>
              </w:rPr>
            </w:pPr>
          </w:p>
        </w:tc>
        <w:tc>
          <w:tcPr>
            <w:tcW w:w="1701" w:type="dxa"/>
            <w:vAlign w:val="center"/>
          </w:tcPr>
          <w:p w14:paraId="1B7E1EEC" w14:textId="77777777" w:rsidR="008143D9" w:rsidRPr="00AC3044" w:rsidRDefault="008143D9" w:rsidP="005A428D">
            <w:pPr>
              <w:rPr>
                <w:rFonts w:eastAsia="SimSun"/>
              </w:rPr>
            </w:pPr>
            <w:r w:rsidRPr="00AC3044">
              <w:rPr>
                <w:rFonts w:eastAsia="SimSun"/>
              </w:rPr>
              <w:t>Бусульфан</w:t>
            </w:r>
          </w:p>
        </w:tc>
        <w:tc>
          <w:tcPr>
            <w:tcW w:w="1559" w:type="dxa"/>
            <w:vAlign w:val="center"/>
          </w:tcPr>
          <w:p w14:paraId="5074F663" w14:textId="77777777" w:rsidR="008143D9" w:rsidRPr="00AC3044" w:rsidRDefault="008143D9" w:rsidP="005A428D">
            <w:pPr>
              <w:rPr>
                <w:rFonts w:eastAsia="SimSun"/>
              </w:rPr>
            </w:pPr>
            <w:r w:rsidRPr="00AC3044">
              <w:rPr>
                <w:rFonts w:eastAsia="SimSun"/>
              </w:rPr>
              <w:t>4 мг/кг</w:t>
            </w:r>
          </w:p>
        </w:tc>
        <w:tc>
          <w:tcPr>
            <w:tcW w:w="1418" w:type="dxa"/>
            <w:vAlign w:val="center"/>
          </w:tcPr>
          <w:p w14:paraId="321D05B6" w14:textId="77777777" w:rsidR="008143D9" w:rsidRPr="00AC3044" w:rsidRDefault="008143D9" w:rsidP="005A428D">
            <w:pPr>
              <w:rPr>
                <w:rFonts w:eastAsia="SimSun"/>
              </w:rPr>
            </w:pPr>
            <w:r w:rsidRPr="00AC3044">
              <w:rPr>
                <w:rFonts w:eastAsia="SimSun"/>
              </w:rPr>
              <w:t>8 мг/кг</w:t>
            </w:r>
          </w:p>
        </w:tc>
        <w:tc>
          <w:tcPr>
            <w:tcW w:w="1701" w:type="dxa"/>
            <w:vAlign w:val="center"/>
          </w:tcPr>
          <w:p w14:paraId="1E70F77A" w14:textId="77777777" w:rsidR="008143D9" w:rsidRPr="00AC3044" w:rsidRDefault="008143D9" w:rsidP="005A428D">
            <w:pPr>
              <w:rPr>
                <w:rFonts w:eastAsia="SimSun"/>
              </w:rPr>
            </w:pPr>
            <w:r w:rsidRPr="00AC3044">
              <w:rPr>
                <w:rFonts w:eastAsia="SimSun"/>
              </w:rPr>
              <w:t>–3, –2 дни</w:t>
            </w:r>
          </w:p>
        </w:tc>
        <w:tc>
          <w:tcPr>
            <w:tcW w:w="2268" w:type="dxa"/>
            <w:vAlign w:val="center"/>
          </w:tcPr>
          <w:p w14:paraId="6ED2CD6C" w14:textId="77777777" w:rsidR="008143D9" w:rsidRPr="00AC3044" w:rsidRDefault="008143D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8143D9" w:rsidRPr="00AC3044" w14:paraId="694EF1D0" w14:textId="77777777" w:rsidTr="005A428D">
        <w:trPr>
          <w:cantSplit/>
          <w:trHeight w:val="20"/>
        </w:trPr>
        <w:tc>
          <w:tcPr>
            <w:tcW w:w="993" w:type="dxa"/>
            <w:vMerge/>
            <w:textDirection w:val="btLr"/>
            <w:vAlign w:val="center"/>
          </w:tcPr>
          <w:p w14:paraId="5F7F9A06" w14:textId="77777777" w:rsidR="008143D9" w:rsidRPr="00AC3044" w:rsidRDefault="008143D9" w:rsidP="005A428D">
            <w:pPr>
              <w:rPr>
                <w:rFonts w:eastAsia="SimSun"/>
              </w:rPr>
            </w:pPr>
          </w:p>
        </w:tc>
        <w:tc>
          <w:tcPr>
            <w:tcW w:w="1701" w:type="dxa"/>
            <w:vAlign w:val="center"/>
          </w:tcPr>
          <w:p w14:paraId="3D44CAD2" w14:textId="77777777" w:rsidR="008143D9" w:rsidRPr="00AC3044" w:rsidRDefault="008143D9" w:rsidP="005A428D">
            <w:pPr>
              <w:rPr>
                <w:rFonts w:eastAsia="SimSun"/>
              </w:rPr>
            </w:pPr>
            <w:r w:rsidRPr="00AC3044">
              <w:rPr>
                <w:rFonts w:eastAsia="SimSun"/>
              </w:rPr>
              <w:t>Тиотепа</w:t>
            </w:r>
          </w:p>
        </w:tc>
        <w:tc>
          <w:tcPr>
            <w:tcW w:w="1559" w:type="dxa"/>
            <w:vAlign w:val="center"/>
          </w:tcPr>
          <w:p w14:paraId="1325B0AF" w14:textId="77777777" w:rsidR="008143D9" w:rsidRPr="00AC3044" w:rsidRDefault="008143D9" w:rsidP="005A428D">
            <w:pPr>
              <w:rPr>
                <w:rFonts w:eastAsia="SimSun"/>
              </w:rPr>
            </w:pPr>
            <w:r w:rsidRPr="00AC3044">
              <w:rPr>
                <w:rFonts w:eastAsia="SimSun"/>
              </w:rPr>
              <w:t>5 мг/кг</w:t>
            </w:r>
          </w:p>
        </w:tc>
        <w:tc>
          <w:tcPr>
            <w:tcW w:w="1418" w:type="dxa"/>
            <w:vAlign w:val="center"/>
          </w:tcPr>
          <w:p w14:paraId="27F7ED9C" w14:textId="77777777" w:rsidR="008143D9" w:rsidRPr="00AC3044" w:rsidRDefault="008143D9" w:rsidP="005A428D">
            <w:pPr>
              <w:rPr>
                <w:rFonts w:eastAsia="SimSun"/>
              </w:rPr>
            </w:pPr>
            <w:r w:rsidRPr="00AC3044">
              <w:rPr>
                <w:rFonts w:eastAsia="SimSun"/>
              </w:rPr>
              <w:t>10 мг/кг</w:t>
            </w:r>
          </w:p>
        </w:tc>
        <w:tc>
          <w:tcPr>
            <w:tcW w:w="1701" w:type="dxa"/>
            <w:vAlign w:val="center"/>
          </w:tcPr>
          <w:p w14:paraId="6D6350D0" w14:textId="77777777" w:rsidR="008143D9" w:rsidRPr="00AC3044" w:rsidRDefault="008143D9" w:rsidP="005A428D">
            <w:pPr>
              <w:rPr>
                <w:rFonts w:eastAsia="SimSun"/>
              </w:rPr>
            </w:pPr>
            <w:r w:rsidRPr="00AC3044">
              <w:rPr>
                <w:rFonts w:eastAsia="SimSun"/>
              </w:rPr>
              <w:t>–6, –5 дни</w:t>
            </w:r>
          </w:p>
        </w:tc>
        <w:tc>
          <w:tcPr>
            <w:tcW w:w="2268" w:type="dxa"/>
            <w:vAlign w:val="center"/>
          </w:tcPr>
          <w:p w14:paraId="16201EEC" w14:textId="77777777" w:rsidR="008143D9" w:rsidRPr="00AC3044" w:rsidRDefault="008143D9" w:rsidP="005A428D">
            <w:pPr>
              <w:rPr>
                <w:rFonts w:eastAsia="SimSun"/>
              </w:rPr>
            </w:pPr>
            <w:r w:rsidRPr="00AC3044">
              <w:rPr>
                <w:rFonts w:eastAsia="SimSun"/>
              </w:rPr>
              <w:t>В/в, в течение 2 часов</w:t>
            </w:r>
          </w:p>
        </w:tc>
      </w:tr>
      <w:tr w:rsidR="008143D9" w:rsidRPr="00AC3044" w14:paraId="6E91E643" w14:textId="77777777" w:rsidTr="005A428D">
        <w:trPr>
          <w:cantSplit/>
          <w:trHeight w:val="20"/>
        </w:trPr>
        <w:tc>
          <w:tcPr>
            <w:tcW w:w="993" w:type="dxa"/>
            <w:vMerge w:val="restart"/>
            <w:textDirection w:val="btLr"/>
            <w:vAlign w:val="center"/>
          </w:tcPr>
          <w:p w14:paraId="149FAD9A" w14:textId="77777777" w:rsidR="008143D9" w:rsidRPr="00AC3044" w:rsidRDefault="008143D9" w:rsidP="005A428D">
            <w:pPr>
              <w:rPr>
                <w:rFonts w:eastAsia="SimSun"/>
              </w:rPr>
            </w:pPr>
            <w:r w:rsidRPr="00AC3044">
              <w:rPr>
                <w:rFonts w:eastAsia="SimSun"/>
              </w:rPr>
              <w:t>Профилактика РТПХ</w:t>
            </w:r>
          </w:p>
        </w:tc>
        <w:tc>
          <w:tcPr>
            <w:tcW w:w="1701" w:type="dxa"/>
            <w:vAlign w:val="center"/>
          </w:tcPr>
          <w:p w14:paraId="4CD3BC25" w14:textId="77777777" w:rsidR="008143D9" w:rsidRPr="00AC3044" w:rsidRDefault="008143D9" w:rsidP="005A428D">
            <w:pPr>
              <w:rPr>
                <w:rFonts w:eastAsia="SimSun"/>
              </w:rPr>
            </w:pPr>
            <w:r w:rsidRPr="00AC3044">
              <w:rPr>
                <w:rFonts w:eastAsia="SimSun"/>
              </w:rPr>
              <w:t>АТГ (лошадиный)</w:t>
            </w:r>
          </w:p>
        </w:tc>
        <w:tc>
          <w:tcPr>
            <w:tcW w:w="1559" w:type="dxa"/>
            <w:vAlign w:val="center"/>
          </w:tcPr>
          <w:p w14:paraId="71E5B10E" w14:textId="77777777" w:rsidR="008143D9" w:rsidRPr="00AC3044" w:rsidRDefault="008143D9" w:rsidP="005A428D">
            <w:pPr>
              <w:rPr>
                <w:rFonts w:eastAsia="SimSun"/>
              </w:rPr>
            </w:pPr>
            <w:r w:rsidRPr="00AC3044">
              <w:rPr>
                <w:rFonts w:eastAsia="SimSun"/>
              </w:rPr>
              <w:t>10-15 мг/кг</w:t>
            </w:r>
          </w:p>
        </w:tc>
        <w:tc>
          <w:tcPr>
            <w:tcW w:w="1418" w:type="dxa"/>
            <w:vAlign w:val="center"/>
          </w:tcPr>
          <w:p w14:paraId="13C64938" w14:textId="77777777" w:rsidR="008143D9" w:rsidRPr="00AC3044" w:rsidRDefault="008143D9" w:rsidP="005A428D">
            <w:pPr>
              <w:rPr>
                <w:rFonts w:eastAsia="SimSun"/>
              </w:rPr>
            </w:pPr>
            <w:r w:rsidRPr="00AC3044">
              <w:rPr>
                <w:rFonts w:eastAsia="SimSun"/>
              </w:rPr>
              <w:t>40-60 мг/кг</w:t>
            </w:r>
          </w:p>
        </w:tc>
        <w:tc>
          <w:tcPr>
            <w:tcW w:w="1701" w:type="dxa"/>
            <w:vAlign w:val="center"/>
          </w:tcPr>
          <w:p w14:paraId="38F3A8CF" w14:textId="77777777" w:rsidR="008143D9" w:rsidRPr="00AC3044" w:rsidRDefault="008143D9" w:rsidP="005A428D">
            <w:pPr>
              <w:rPr>
                <w:rFonts w:eastAsia="SimSun"/>
              </w:rPr>
            </w:pPr>
            <w:r w:rsidRPr="00AC3044">
              <w:rPr>
                <w:rFonts w:eastAsia="SimSun"/>
              </w:rPr>
              <w:t>С –4 по –1 день</w:t>
            </w:r>
          </w:p>
        </w:tc>
        <w:tc>
          <w:tcPr>
            <w:tcW w:w="2268" w:type="dxa"/>
            <w:vAlign w:val="center"/>
          </w:tcPr>
          <w:p w14:paraId="769FE144" w14:textId="77777777" w:rsidR="008143D9" w:rsidRPr="00AC3044" w:rsidRDefault="008143D9" w:rsidP="005A428D">
            <w:pPr>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8143D9" w:rsidRPr="00AC3044" w14:paraId="757C8DE9" w14:textId="77777777" w:rsidTr="005A428D">
        <w:trPr>
          <w:cantSplit/>
          <w:trHeight w:val="20"/>
        </w:trPr>
        <w:tc>
          <w:tcPr>
            <w:tcW w:w="993" w:type="dxa"/>
            <w:vMerge/>
            <w:textDirection w:val="btLr"/>
          </w:tcPr>
          <w:p w14:paraId="6E3B7C37" w14:textId="77777777" w:rsidR="008143D9" w:rsidRPr="00AC3044" w:rsidRDefault="008143D9" w:rsidP="005A428D">
            <w:pPr>
              <w:rPr>
                <w:rFonts w:eastAsia="SimSun"/>
              </w:rPr>
            </w:pPr>
          </w:p>
        </w:tc>
        <w:tc>
          <w:tcPr>
            <w:tcW w:w="1701" w:type="dxa"/>
            <w:vAlign w:val="center"/>
          </w:tcPr>
          <w:p w14:paraId="7B194F20" w14:textId="77777777" w:rsidR="008143D9" w:rsidRPr="00AC3044" w:rsidRDefault="008143D9" w:rsidP="005A428D">
            <w:pPr>
              <w:rPr>
                <w:rFonts w:eastAsia="SimSun"/>
              </w:rPr>
            </w:pPr>
            <w:r w:rsidRPr="00AC3044">
              <w:rPr>
                <w:rFonts w:eastAsia="SimSun"/>
              </w:rPr>
              <w:t>Циклоспорин</w:t>
            </w:r>
          </w:p>
        </w:tc>
        <w:tc>
          <w:tcPr>
            <w:tcW w:w="1559" w:type="dxa"/>
            <w:vAlign w:val="center"/>
          </w:tcPr>
          <w:p w14:paraId="14FD764A" w14:textId="77777777" w:rsidR="008143D9" w:rsidRPr="00AC3044" w:rsidRDefault="008143D9" w:rsidP="005A428D">
            <w:pPr>
              <w:rPr>
                <w:rFonts w:eastAsia="SimSun"/>
              </w:rPr>
            </w:pPr>
            <w:r w:rsidRPr="00AC3044">
              <w:rPr>
                <w:rFonts w:eastAsia="SimSun"/>
              </w:rPr>
              <w:t>3 мг/кг</w:t>
            </w:r>
          </w:p>
        </w:tc>
        <w:tc>
          <w:tcPr>
            <w:tcW w:w="1418" w:type="dxa"/>
            <w:vAlign w:val="center"/>
          </w:tcPr>
          <w:p w14:paraId="5AAFAB81" w14:textId="77777777" w:rsidR="008143D9" w:rsidRPr="00AC3044" w:rsidRDefault="008143D9" w:rsidP="005A428D">
            <w:pPr>
              <w:rPr>
                <w:rFonts w:eastAsia="SimSun"/>
              </w:rPr>
            </w:pPr>
            <w:r w:rsidRPr="00AC3044">
              <w:rPr>
                <w:rFonts w:eastAsia="SimSun"/>
              </w:rPr>
              <w:t>–</w:t>
            </w:r>
          </w:p>
        </w:tc>
        <w:tc>
          <w:tcPr>
            <w:tcW w:w="1701" w:type="dxa"/>
            <w:vAlign w:val="center"/>
          </w:tcPr>
          <w:p w14:paraId="20535DAA" w14:textId="77777777" w:rsidR="008143D9" w:rsidRPr="00AC3044" w:rsidRDefault="008143D9" w:rsidP="005A428D">
            <w:pPr>
              <w:rPr>
                <w:rFonts w:eastAsia="SimSun"/>
              </w:rPr>
            </w:pPr>
            <w:r w:rsidRPr="00AC3044">
              <w:rPr>
                <w:rFonts w:eastAsia="SimSun"/>
              </w:rPr>
              <w:t>С –1 по +90 день, затем постепенное снижение к +180 дню</w:t>
            </w:r>
          </w:p>
        </w:tc>
        <w:tc>
          <w:tcPr>
            <w:tcW w:w="2268" w:type="dxa"/>
            <w:vAlign w:val="center"/>
          </w:tcPr>
          <w:p w14:paraId="393D0884" w14:textId="77777777" w:rsidR="008143D9" w:rsidRPr="00AC3044" w:rsidRDefault="008143D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 xml:space="preserve">х </w:t>
            </w:r>
            <w:r w:rsidRPr="00AC3044">
              <w:rPr>
                <w:rFonts w:eastAsia="SimSun"/>
              </w:rPr>
              <w:t>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8143D9" w:rsidRPr="00AC3044" w14:paraId="3CF189BC" w14:textId="77777777" w:rsidTr="005A428D">
        <w:trPr>
          <w:cantSplit/>
          <w:trHeight w:val="20"/>
        </w:trPr>
        <w:tc>
          <w:tcPr>
            <w:tcW w:w="993" w:type="dxa"/>
            <w:vMerge/>
          </w:tcPr>
          <w:p w14:paraId="465D1B4E" w14:textId="77777777" w:rsidR="008143D9" w:rsidRPr="00AC3044" w:rsidRDefault="008143D9" w:rsidP="005A428D">
            <w:pPr>
              <w:rPr>
                <w:rFonts w:eastAsia="SimSun"/>
              </w:rPr>
            </w:pPr>
          </w:p>
        </w:tc>
        <w:tc>
          <w:tcPr>
            <w:tcW w:w="1701" w:type="dxa"/>
            <w:vMerge w:val="restart"/>
            <w:vAlign w:val="center"/>
          </w:tcPr>
          <w:p w14:paraId="7CED5C52" w14:textId="77777777" w:rsidR="008143D9" w:rsidRPr="00AC3044" w:rsidRDefault="008143D9" w:rsidP="005A428D">
            <w:pPr>
              <w:rPr>
                <w:rFonts w:eastAsia="SimSun"/>
              </w:rPr>
            </w:pPr>
            <w:r w:rsidRPr="00AC3044">
              <w:rPr>
                <w:rFonts w:eastAsia="SimSun"/>
              </w:rPr>
              <w:t>Метотрексат</w:t>
            </w:r>
          </w:p>
        </w:tc>
        <w:tc>
          <w:tcPr>
            <w:tcW w:w="1559" w:type="dxa"/>
            <w:vAlign w:val="center"/>
          </w:tcPr>
          <w:p w14:paraId="38FB9F97" w14:textId="77777777" w:rsidR="008143D9" w:rsidRPr="00AC3044" w:rsidRDefault="008143D9" w:rsidP="005A428D">
            <w:pPr>
              <w:rPr>
                <w:rFonts w:eastAsia="SimSun"/>
              </w:rPr>
            </w:pPr>
            <w:r w:rsidRPr="00AC3044">
              <w:rPr>
                <w:rFonts w:eastAsia="SimSun"/>
              </w:rPr>
              <w:t>15 мг/м</w:t>
            </w:r>
            <w:r w:rsidRPr="00DB259E">
              <w:rPr>
                <w:rFonts w:eastAsia="SimSun"/>
                <w:vertAlign w:val="superscript"/>
              </w:rPr>
              <w:t>2</w:t>
            </w:r>
          </w:p>
        </w:tc>
        <w:tc>
          <w:tcPr>
            <w:tcW w:w="1418" w:type="dxa"/>
            <w:vAlign w:val="center"/>
          </w:tcPr>
          <w:p w14:paraId="2826299E" w14:textId="77777777" w:rsidR="008143D9" w:rsidRPr="00AC3044" w:rsidRDefault="008143D9" w:rsidP="005A428D">
            <w:pPr>
              <w:rPr>
                <w:rFonts w:eastAsia="SimSun"/>
              </w:rPr>
            </w:pPr>
            <w:r w:rsidRPr="00AC3044">
              <w:rPr>
                <w:rFonts w:eastAsia="SimSun"/>
              </w:rPr>
              <w:t>–</w:t>
            </w:r>
          </w:p>
        </w:tc>
        <w:tc>
          <w:tcPr>
            <w:tcW w:w="1701" w:type="dxa"/>
            <w:vAlign w:val="center"/>
          </w:tcPr>
          <w:p w14:paraId="5B1749FE" w14:textId="77777777" w:rsidR="008143D9" w:rsidRPr="00AC3044" w:rsidRDefault="008143D9" w:rsidP="005A428D">
            <w:pPr>
              <w:rPr>
                <w:rFonts w:eastAsia="SimSun"/>
              </w:rPr>
            </w:pPr>
            <w:r w:rsidRPr="00AC3044">
              <w:rPr>
                <w:rFonts w:eastAsia="SimSun"/>
              </w:rPr>
              <w:t>+1 день</w:t>
            </w:r>
          </w:p>
        </w:tc>
        <w:tc>
          <w:tcPr>
            <w:tcW w:w="2268" w:type="dxa"/>
            <w:vAlign w:val="center"/>
          </w:tcPr>
          <w:p w14:paraId="277E8CF0" w14:textId="77777777" w:rsidR="008143D9" w:rsidRPr="00AC3044" w:rsidRDefault="008143D9" w:rsidP="005A428D">
            <w:pPr>
              <w:rPr>
                <w:rFonts w:eastAsia="SimSun"/>
              </w:rPr>
            </w:pPr>
            <w:r w:rsidRPr="00AC3044">
              <w:rPr>
                <w:rFonts w:eastAsia="SimSun"/>
              </w:rPr>
              <w:t>В/в, в 20 мл физ. р-ра</w:t>
            </w:r>
          </w:p>
        </w:tc>
      </w:tr>
      <w:tr w:rsidR="008143D9" w:rsidRPr="00AC3044" w14:paraId="7A1DB179" w14:textId="77777777" w:rsidTr="005A428D">
        <w:trPr>
          <w:cantSplit/>
          <w:trHeight w:val="464"/>
        </w:trPr>
        <w:tc>
          <w:tcPr>
            <w:tcW w:w="993" w:type="dxa"/>
            <w:vMerge/>
          </w:tcPr>
          <w:p w14:paraId="193DD421" w14:textId="77777777" w:rsidR="008143D9" w:rsidRPr="00AC3044" w:rsidRDefault="008143D9" w:rsidP="005A428D">
            <w:pPr>
              <w:rPr>
                <w:rFonts w:eastAsia="SimSun"/>
              </w:rPr>
            </w:pPr>
          </w:p>
        </w:tc>
        <w:tc>
          <w:tcPr>
            <w:tcW w:w="1701" w:type="dxa"/>
            <w:vMerge/>
            <w:vAlign w:val="center"/>
          </w:tcPr>
          <w:p w14:paraId="73FFBFDD" w14:textId="77777777" w:rsidR="008143D9" w:rsidRPr="00AC3044" w:rsidRDefault="008143D9" w:rsidP="005A428D">
            <w:pPr>
              <w:rPr>
                <w:rFonts w:eastAsia="SimSun"/>
              </w:rPr>
            </w:pPr>
          </w:p>
        </w:tc>
        <w:tc>
          <w:tcPr>
            <w:tcW w:w="1559" w:type="dxa"/>
            <w:vAlign w:val="center"/>
          </w:tcPr>
          <w:p w14:paraId="3570853C" w14:textId="77777777" w:rsidR="008143D9" w:rsidRPr="00AC3044" w:rsidRDefault="008143D9" w:rsidP="005A428D">
            <w:pPr>
              <w:rPr>
                <w:rFonts w:eastAsia="SimSun"/>
              </w:rPr>
            </w:pPr>
            <w:r w:rsidRPr="00AC3044">
              <w:rPr>
                <w:rFonts w:eastAsia="SimSun"/>
              </w:rPr>
              <w:t>10 мг/м</w:t>
            </w:r>
            <w:r w:rsidRPr="00DB259E">
              <w:rPr>
                <w:rFonts w:eastAsia="SimSun"/>
                <w:vertAlign w:val="superscript"/>
              </w:rPr>
              <w:t>2</w:t>
            </w:r>
          </w:p>
        </w:tc>
        <w:tc>
          <w:tcPr>
            <w:tcW w:w="1418" w:type="dxa"/>
            <w:vAlign w:val="center"/>
          </w:tcPr>
          <w:p w14:paraId="38B423B1" w14:textId="77777777" w:rsidR="008143D9" w:rsidRPr="00AC3044" w:rsidRDefault="008143D9" w:rsidP="005A428D">
            <w:pPr>
              <w:rPr>
                <w:rFonts w:eastAsia="SimSun"/>
              </w:rPr>
            </w:pPr>
            <w:r w:rsidRPr="00AC3044">
              <w:rPr>
                <w:rFonts w:eastAsia="SimSun"/>
              </w:rPr>
              <w:t>–</w:t>
            </w:r>
          </w:p>
        </w:tc>
        <w:tc>
          <w:tcPr>
            <w:tcW w:w="1701" w:type="dxa"/>
            <w:vAlign w:val="center"/>
          </w:tcPr>
          <w:p w14:paraId="71CA0F6B" w14:textId="77777777" w:rsidR="008143D9" w:rsidRPr="00AC3044" w:rsidRDefault="008143D9" w:rsidP="005A428D">
            <w:pPr>
              <w:rPr>
                <w:rFonts w:eastAsia="SimSun"/>
              </w:rPr>
            </w:pPr>
            <w:r w:rsidRPr="00AC3044">
              <w:rPr>
                <w:rFonts w:eastAsia="SimSun"/>
              </w:rPr>
              <w:t>+3, +6, +11 дни</w:t>
            </w:r>
          </w:p>
        </w:tc>
        <w:tc>
          <w:tcPr>
            <w:tcW w:w="2268" w:type="dxa"/>
            <w:vAlign w:val="center"/>
          </w:tcPr>
          <w:p w14:paraId="6FBE7F11" w14:textId="77777777" w:rsidR="008143D9" w:rsidRPr="00AC3044" w:rsidRDefault="008143D9" w:rsidP="005A428D">
            <w:pPr>
              <w:rPr>
                <w:rFonts w:eastAsia="SimSun"/>
              </w:rPr>
            </w:pPr>
            <w:r w:rsidRPr="00AC3044">
              <w:rPr>
                <w:rFonts w:eastAsia="SimSun"/>
              </w:rPr>
              <w:t>В/в, в 20 мл физ. р-ра</w:t>
            </w:r>
          </w:p>
        </w:tc>
      </w:tr>
      <w:tr w:rsidR="008143D9" w:rsidRPr="00AC3044" w14:paraId="40C90CAE" w14:textId="77777777" w:rsidTr="005A428D">
        <w:trPr>
          <w:cantSplit/>
          <w:trHeight w:val="464"/>
        </w:trPr>
        <w:tc>
          <w:tcPr>
            <w:tcW w:w="993" w:type="dxa"/>
            <w:vMerge/>
          </w:tcPr>
          <w:p w14:paraId="602E6A5D" w14:textId="77777777" w:rsidR="008143D9" w:rsidRPr="00AC3044" w:rsidRDefault="008143D9" w:rsidP="005A428D">
            <w:pPr>
              <w:rPr>
                <w:rFonts w:eastAsia="SimSun"/>
              </w:rPr>
            </w:pPr>
          </w:p>
        </w:tc>
        <w:tc>
          <w:tcPr>
            <w:tcW w:w="1701" w:type="dxa"/>
            <w:vAlign w:val="center"/>
          </w:tcPr>
          <w:p w14:paraId="6FB351EA" w14:textId="77777777" w:rsidR="008143D9" w:rsidRPr="00AC3044" w:rsidRDefault="008143D9" w:rsidP="005A428D">
            <w:pPr>
              <w:rPr>
                <w:rFonts w:eastAsia="SimSun"/>
              </w:rPr>
            </w:pPr>
            <w:r w:rsidRPr="00AC3044">
              <w:rPr>
                <w:rFonts w:eastAsia="SimSun"/>
              </w:rPr>
              <w:t>Микофенолата мофетил</w:t>
            </w:r>
          </w:p>
        </w:tc>
        <w:tc>
          <w:tcPr>
            <w:tcW w:w="1559" w:type="dxa"/>
            <w:vAlign w:val="center"/>
          </w:tcPr>
          <w:p w14:paraId="4D5A7FEF" w14:textId="77777777" w:rsidR="008143D9" w:rsidRPr="00AC3044" w:rsidRDefault="008143D9" w:rsidP="005A428D">
            <w:pPr>
              <w:rPr>
                <w:rFonts w:eastAsia="SimSun"/>
              </w:rPr>
            </w:pPr>
            <w:r w:rsidRPr="00AC3044">
              <w:rPr>
                <w:rFonts w:eastAsia="SimSun"/>
              </w:rPr>
              <w:t>45 мг/кг</w:t>
            </w:r>
          </w:p>
        </w:tc>
        <w:tc>
          <w:tcPr>
            <w:tcW w:w="1418" w:type="dxa"/>
            <w:vAlign w:val="center"/>
          </w:tcPr>
          <w:p w14:paraId="23EACC77" w14:textId="77777777" w:rsidR="008143D9" w:rsidRPr="00AC3044" w:rsidRDefault="008143D9" w:rsidP="005A428D">
            <w:pPr>
              <w:rPr>
                <w:rFonts w:eastAsia="SimSun"/>
              </w:rPr>
            </w:pPr>
            <w:r w:rsidRPr="00AC3044">
              <w:rPr>
                <w:rFonts w:eastAsia="SimSun"/>
              </w:rPr>
              <w:t>–</w:t>
            </w:r>
          </w:p>
        </w:tc>
        <w:tc>
          <w:tcPr>
            <w:tcW w:w="1701" w:type="dxa"/>
            <w:vAlign w:val="center"/>
          </w:tcPr>
          <w:p w14:paraId="01B2C681" w14:textId="77777777" w:rsidR="008143D9" w:rsidRPr="00AC3044" w:rsidRDefault="008143D9" w:rsidP="005A428D">
            <w:pPr>
              <w:rPr>
                <w:rFonts w:eastAsia="SimSun"/>
              </w:rPr>
            </w:pPr>
            <w:r w:rsidRPr="00AC3044">
              <w:rPr>
                <w:rFonts w:eastAsia="SimSun"/>
              </w:rPr>
              <w:t>С +1 по +90 день</w:t>
            </w:r>
          </w:p>
        </w:tc>
        <w:tc>
          <w:tcPr>
            <w:tcW w:w="2268" w:type="dxa"/>
            <w:vAlign w:val="center"/>
          </w:tcPr>
          <w:p w14:paraId="4275EB1A" w14:textId="77777777" w:rsidR="008143D9" w:rsidRPr="00AC3044" w:rsidRDefault="008143D9" w:rsidP="005A428D">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7BF83D95" w14:textId="77777777" w:rsidR="008143D9" w:rsidRDefault="008143D9" w:rsidP="008143D9">
      <w:pPr>
        <w:rPr>
          <w:rFonts w:eastAsia="SimSun"/>
        </w:rPr>
      </w:pPr>
      <w:bookmarkStart w:id="161" w:name="_Toc44401202"/>
    </w:p>
    <w:p w14:paraId="7D5F7D2E" w14:textId="77777777" w:rsidR="008143D9" w:rsidRPr="00C07B2E" w:rsidRDefault="008143D9" w:rsidP="008143D9">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2.2.2  – Flu150+Bu8+Thio / rATG+ CSA+MTX+MMF45</w:t>
      </w:r>
      <w:bookmarkEnd w:id="161"/>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418"/>
        <w:gridCol w:w="1701"/>
        <w:gridCol w:w="2268"/>
      </w:tblGrid>
      <w:tr w:rsidR="008143D9" w:rsidRPr="00AC3044" w14:paraId="0F4E5999" w14:textId="77777777" w:rsidTr="005A428D">
        <w:trPr>
          <w:cantSplit/>
          <w:trHeight w:val="20"/>
          <w:tblHeader/>
        </w:trPr>
        <w:tc>
          <w:tcPr>
            <w:tcW w:w="993" w:type="dxa"/>
          </w:tcPr>
          <w:p w14:paraId="535237E2" w14:textId="77777777" w:rsidR="008143D9" w:rsidRPr="00470D3D" w:rsidRDefault="008143D9" w:rsidP="005A428D">
            <w:pPr>
              <w:rPr>
                <w:rFonts w:eastAsia="SimSun"/>
              </w:rPr>
            </w:pPr>
          </w:p>
        </w:tc>
        <w:tc>
          <w:tcPr>
            <w:tcW w:w="1701" w:type="dxa"/>
            <w:vAlign w:val="center"/>
          </w:tcPr>
          <w:p w14:paraId="1436C1C8" w14:textId="77777777" w:rsidR="008143D9" w:rsidRPr="00AC3044" w:rsidRDefault="008143D9" w:rsidP="005A428D">
            <w:pPr>
              <w:rPr>
                <w:rFonts w:eastAsia="SimSun"/>
              </w:rPr>
            </w:pPr>
            <w:r w:rsidRPr="00AC3044">
              <w:rPr>
                <w:rFonts w:eastAsia="SimSun"/>
              </w:rPr>
              <w:t>Препарат</w:t>
            </w:r>
          </w:p>
        </w:tc>
        <w:tc>
          <w:tcPr>
            <w:tcW w:w="1559" w:type="dxa"/>
            <w:vAlign w:val="center"/>
          </w:tcPr>
          <w:p w14:paraId="13B4BF9E" w14:textId="77777777" w:rsidR="008143D9" w:rsidRPr="00AC3044" w:rsidRDefault="008143D9" w:rsidP="005A428D">
            <w:pPr>
              <w:rPr>
                <w:rFonts w:eastAsia="SimSun"/>
              </w:rPr>
            </w:pPr>
            <w:r w:rsidRPr="00AC3044">
              <w:rPr>
                <w:rFonts w:eastAsia="SimSun"/>
              </w:rPr>
              <w:t>Суточная доза</w:t>
            </w:r>
          </w:p>
        </w:tc>
        <w:tc>
          <w:tcPr>
            <w:tcW w:w="1418" w:type="dxa"/>
            <w:vAlign w:val="center"/>
          </w:tcPr>
          <w:p w14:paraId="1827DF73" w14:textId="77777777" w:rsidR="008143D9" w:rsidRPr="00AC3044" w:rsidRDefault="008143D9" w:rsidP="005A428D">
            <w:pPr>
              <w:rPr>
                <w:rFonts w:eastAsia="SimSun"/>
              </w:rPr>
            </w:pPr>
            <w:r w:rsidRPr="00AC3044">
              <w:rPr>
                <w:rFonts w:eastAsia="SimSun"/>
              </w:rPr>
              <w:t>Курсовая доза</w:t>
            </w:r>
          </w:p>
        </w:tc>
        <w:tc>
          <w:tcPr>
            <w:tcW w:w="1701" w:type="dxa"/>
            <w:vAlign w:val="center"/>
          </w:tcPr>
          <w:p w14:paraId="4CB40A74" w14:textId="77777777" w:rsidR="008143D9" w:rsidRPr="00AC3044" w:rsidRDefault="008143D9" w:rsidP="005A428D">
            <w:pPr>
              <w:rPr>
                <w:rFonts w:eastAsia="SimSun"/>
              </w:rPr>
            </w:pPr>
            <w:r w:rsidRPr="00AC3044">
              <w:rPr>
                <w:rFonts w:eastAsia="SimSun"/>
              </w:rPr>
              <w:t>Дни введения</w:t>
            </w:r>
          </w:p>
        </w:tc>
        <w:tc>
          <w:tcPr>
            <w:tcW w:w="2268" w:type="dxa"/>
            <w:vAlign w:val="center"/>
          </w:tcPr>
          <w:p w14:paraId="3201EF84"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7B574F37" w14:textId="77777777" w:rsidTr="005A428D">
        <w:trPr>
          <w:cantSplit/>
          <w:trHeight w:val="20"/>
        </w:trPr>
        <w:tc>
          <w:tcPr>
            <w:tcW w:w="993" w:type="dxa"/>
            <w:vMerge w:val="restart"/>
            <w:textDirection w:val="btLr"/>
            <w:vAlign w:val="center"/>
          </w:tcPr>
          <w:p w14:paraId="4BCFF05D" w14:textId="77777777" w:rsidR="008143D9" w:rsidRPr="00AC3044" w:rsidRDefault="008143D9" w:rsidP="005A428D">
            <w:pPr>
              <w:rPr>
                <w:rFonts w:eastAsia="SimSun"/>
              </w:rPr>
            </w:pPr>
            <w:r w:rsidRPr="00AC3044">
              <w:rPr>
                <w:rFonts w:eastAsia="SimSun"/>
              </w:rPr>
              <w:t>Кондиционирование</w:t>
            </w:r>
          </w:p>
        </w:tc>
        <w:tc>
          <w:tcPr>
            <w:tcW w:w="1701" w:type="dxa"/>
            <w:vAlign w:val="center"/>
          </w:tcPr>
          <w:p w14:paraId="0344F8F4" w14:textId="77777777" w:rsidR="008143D9" w:rsidRPr="00AC3044" w:rsidRDefault="008143D9" w:rsidP="005A428D">
            <w:pPr>
              <w:rPr>
                <w:rFonts w:eastAsia="SimSun"/>
              </w:rPr>
            </w:pPr>
            <w:r w:rsidRPr="00AC3044">
              <w:rPr>
                <w:rFonts w:eastAsia="SimSun"/>
              </w:rPr>
              <w:t xml:space="preserve">Флударабин </w:t>
            </w:r>
          </w:p>
        </w:tc>
        <w:tc>
          <w:tcPr>
            <w:tcW w:w="1559" w:type="dxa"/>
            <w:vAlign w:val="center"/>
          </w:tcPr>
          <w:p w14:paraId="080F61F7" w14:textId="77777777" w:rsidR="008143D9" w:rsidRPr="00AC3044" w:rsidRDefault="008143D9" w:rsidP="005A428D">
            <w:pPr>
              <w:rPr>
                <w:rFonts w:eastAsia="SimSun"/>
              </w:rPr>
            </w:pPr>
            <w:r w:rsidRPr="00AC3044">
              <w:rPr>
                <w:rFonts w:eastAsia="SimSun"/>
              </w:rPr>
              <w:t>50 мг/м</w:t>
            </w:r>
            <w:r w:rsidRPr="00DB259E">
              <w:rPr>
                <w:rFonts w:eastAsia="SimSun"/>
                <w:vertAlign w:val="superscript"/>
              </w:rPr>
              <w:t>2</w:t>
            </w:r>
          </w:p>
        </w:tc>
        <w:tc>
          <w:tcPr>
            <w:tcW w:w="1418" w:type="dxa"/>
            <w:vAlign w:val="center"/>
          </w:tcPr>
          <w:p w14:paraId="512DF27C" w14:textId="77777777" w:rsidR="008143D9" w:rsidRPr="00AC3044" w:rsidRDefault="008143D9" w:rsidP="005A428D">
            <w:pPr>
              <w:rPr>
                <w:rFonts w:eastAsia="SimSun"/>
              </w:rPr>
            </w:pPr>
            <w:r w:rsidRPr="00AC3044">
              <w:rPr>
                <w:rFonts w:eastAsia="SimSun"/>
              </w:rPr>
              <w:t>150 мг/м</w:t>
            </w:r>
            <w:r w:rsidRPr="00DB259E">
              <w:rPr>
                <w:rFonts w:eastAsia="SimSun"/>
                <w:vertAlign w:val="superscript"/>
              </w:rPr>
              <w:t>2</w:t>
            </w:r>
          </w:p>
        </w:tc>
        <w:tc>
          <w:tcPr>
            <w:tcW w:w="1701" w:type="dxa"/>
            <w:vAlign w:val="center"/>
          </w:tcPr>
          <w:p w14:paraId="6ABC60E4" w14:textId="77777777" w:rsidR="008143D9" w:rsidRPr="00AC3044" w:rsidRDefault="008143D9" w:rsidP="005A428D">
            <w:pPr>
              <w:rPr>
                <w:rFonts w:eastAsia="SimSun"/>
              </w:rPr>
            </w:pPr>
            <w:r w:rsidRPr="00AC3044">
              <w:rPr>
                <w:rFonts w:eastAsia="SimSun"/>
              </w:rPr>
              <w:t>С –4 по –2 день</w:t>
            </w:r>
          </w:p>
        </w:tc>
        <w:tc>
          <w:tcPr>
            <w:tcW w:w="2268" w:type="dxa"/>
            <w:vAlign w:val="center"/>
          </w:tcPr>
          <w:p w14:paraId="57DE0449"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0F83ED90" w14:textId="77777777" w:rsidTr="005A428D">
        <w:trPr>
          <w:cantSplit/>
          <w:trHeight w:val="20"/>
        </w:trPr>
        <w:tc>
          <w:tcPr>
            <w:tcW w:w="993" w:type="dxa"/>
            <w:vMerge/>
            <w:textDirection w:val="btLr"/>
            <w:vAlign w:val="center"/>
          </w:tcPr>
          <w:p w14:paraId="5F86E3FE" w14:textId="77777777" w:rsidR="008143D9" w:rsidRPr="00AC3044" w:rsidRDefault="008143D9" w:rsidP="005A428D">
            <w:pPr>
              <w:rPr>
                <w:rFonts w:eastAsia="SimSun"/>
              </w:rPr>
            </w:pPr>
          </w:p>
        </w:tc>
        <w:tc>
          <w:tcPr>
            <w:tcW w:w="1701" w:type="dxa"/>
            <w:vAlign w:val="center"/>
          </w:tcPr>
          <w:p w14:paraId="54E58095" w14:textId="77777777" w:rsidR="008143D9" w:rsidRPr="00AC3044" w:rsidRDefault="008143D9" w:rsidP="005A428D">
            <w:pPr>
              <w:rPr>
                <w:rFonts w:eastAsia="SimSun"/>
              </w:rPr>
            </w:pPr>
            <w:r w:rsidRPr="00AC3044">
              <w:rPr>
                <w:rFonts w:eastAsia="SimSun"/>
              </w:rPr>
              <w:t>Бусульфан</w:t>
            </w:r>
          </w:p>
        </w:tc>
        <w:tc>
          <w:tcPr>
            <w:tcW w:w="1559" w:type="dxa"/>
            <w:vAlign w:val="center"/>
          </w:tcPr>
          <w:p w14:paraId="0382B0E5" w14:textId="77777777" w:rsidR="008143D9" w:rsidRPr="00AC3044" w:rsidRDefault="008143D9" w:rsidP="005A428D">
            <w:pPr>
              <w:rPr>
                <w:rFonts w:eastAsia="SimSun"/>
              </w:rPr>
            </w:pPr>
            <w:r w:rsidRPr="00AC3044">
              <w:rPr>
                <w:rFonts w:eastAsia="SimSun"/>
              </w:rPr>
              <w:t>4 мг/кг</w:t>
            </w:r>
          </w:p>
        </w:tc>
        <w:tc>
          <w:tcPr>
            <w:tcW w:w="1418" w:type="dxa"/>
            <w:vAlign w:val="center"/>
          </w:tcPr>
          <w:p w14:paraId="47C8EFB9" w14:textId="77777777" w:rsidR="008143D9" w:rsidRPr="00AC3044" w:rsidRDefault="008143D9" w:rsidP="005A428D">
            <w:pPr>
              <w:rPr>
                <w:rFonts w:eastAsia="SimSun"/>
              </w:rPr>
            </w:pPr>
            <w:r w:rsidRPr="00AC3044">
              <w:rPr>
                <w:rFonts w:eastAsia="SimSun"/>
              </w:rPr>
              <w:t>8 мг/кг</w:t>
            </w:r>
          </w:p>
        </w:tc>
        <w:tc>
          <w:tcPr>
            <w:tcW w:w="1701" w:type="dxa"/>
            <w:vAlign w:val="center"/>
          </w:tcPr>
          <w:p w14:paraId="02A15E55" w14:textId="77777777" w:rsidR="008143D9" w:rsidRPr="00AC3044" w:rsidRDefault="008143D9" w:rsidP="005A428D">
            <w:pPr>
              <w:rPr>
                <w:rFonts w:eastAsia="SimSun"/>
              </w:rPr>
            </w:pPr>
            <w:r w:rsidRPr="00AC3044">
              <w:rPr>
                <w:rFonts w:eastAsia="SimSun"/>
              </w:rPr>
              <w:t>–3, –2 дни</w:t>
            </w:r>
          </w:p>
        </w:tc>
        <w:tc>
          <w:tcPr>
            <w:tcW w:w="2268" w:type="dxa"/>
            <w:vAlign w:val="center"/>
          </w:tcPr>
          <w:p w14:paraId="03AC995B" w14:textId="77777777" w:rsidR="008143D9" w:rsidRPr="00AC3044" w:rsidRDefault="008143D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8143D9" w:rsidRPr="00AC3044" w14:paraId="65D537A5" w14:textId="77777777" w:rsidTr="005A428D">
        <w:trPr>
          <w:cantSplit/>
          <w:trHeight w:val="20"/>
        </w:trPr>
        <w:tc>
          <w:tcPr>
            <w:tcW w:w="993" w:type="dxa"/>
            <w:vMerge/>
            <w:textDirection w:val="btLr"/>
            <w:vAlign w:val="center"/>
          </w:tcPr>
          <w:p w14:paraId="533D6BF1" w14:textId="77777777" w:rsidR="008143D9" w:rsidRPr="00AC3044" w:rsidRDefault="008143D9" w:rsidP="005A428D">
            <w:pPr>
              <w:rPr>
                <w:rFonts w:eastAsia="SimSun"/>
              </w:rPr>
            </w:pPr>
          </w:p>
        </w:tc>
        <w:tc>
          <w:tcPr>
            <w:tcW w:w="1701" w:type="dxa"/>
            <w:vAlign w:val="center"/>
          </w:tcPr>
          <w:p w14:paraId="7662E7CF" w14:textId="77777777" w:rsidR="008143D9" w:rsidRPr="00AC3044" w:rsidRDefault="008143D9" w:rsidP="005A428D">
            <w:pPr>
              <w:rPr>
                <w:rFonts w:eastAsia="SimSun"/>
              </w:rPr>
            </w:pPr>
            <w:r w:rsidRPr="00AC3044">
              <w:rPr>
                <w:rFonts w:eastAsia="SimSun"/>
              </w:rPr>
              <w:t>Тиотепа</w:t>
            </w:r>
          </w:p>
        </w:tc>
        <w:tc>
          <w:tcPr>
            <w:tcW w:w="1559" w:type="dxa"/>
            <w:vAlign w:val="center"/>
          </w:tcPr>
          <w:p w14:paraId="4B63DDE5" w14:textId="77777777" w:rsidR="008143D9" w:rsidRPr="00AC3044" w:rsidRDefault="008143D9" w:rsidP="005A428D">
            <w:pPr>
              <w:rPr>
                <w:rFonts w:eastAsia="SimSun"/>
              </w:rPr>
            </w:pPr>
            <w:r w:rsidRPr="00AC3044">
              <w:rPr>
                <w:rFonts w:eastAsia="SimSun"/>
              </w:rPr>
              <w:t>5 мг/кг</w:t>
            </w:r>
          </w:p>
        </w:tc>
        <w:tc>
          <w:tcPr>
            <w:tcW w:w="1418" w:type="dxa"/>
            <w:vAlign w:val="center"/>
          </w:tcPr>
          <w:p w14:paraId="51447108" w14:textId="77777777" w:rsidR="008143D9" w:rsidRPr="00AC3044" w:rsidRDefault="008143D9" w:rsidP="005A428D">
            <w:pPr>
              <w:rPr>
                <w:rFonts w:eastAsia="SimSun"/>
              </w:rPr>
            </w:pPr>
            <w:r w:rsidRPr="00AC3044">
              <w:rPr>
                <w:rFonts w:eastAsia="SimSun"/>
              </w:rPr>
              <w:t>10 мг/кг</w:t>
            </w:r>
          </w:p>
        </w:tc>
        <w:tc>
          <w:tcPr>
            <w:tcW w:w="1701" w:type="dxa"/>
            <w:vAlign w:val="center"/>
          </w:tcPr>
          <w:p w14:paraId="49B12DC0" w14:textId="77777777" w:rsidR="008143D9" w:rsidRPr="00AC3044" w:rsidRDefault="008143D9" w:rsidP="005A428D">
            <w:pPr>
              <w:rPr>
                <w:rFonts w:eastAsia="SimSun"/>
              </w:rPr>
            </w:pPr>
            <w:r w:rsidRPr="00AC3044">
              <w:rPr>
                <w:rFonts w:eastAsia="SimSun"/>
              </w:rPr>
              <w:t>–6,–5 дни</w:t>
            </w:r>
          </w:p>
        </w:tc>
        <w:tc>
          <w:tcPr>
            <w:tcW w:w="2268" w:type="dxa"/>
            <w:vAlign w:val="center"/>
          </w:tcPr>
          <w:p w14:paraId="2D350388" w14:textId="77777777" w:rsidR="008143D9" w:rsidRPr="00AC3044" w:rsidRDefault="008143D9" w:rsidP="005A428D">
            <w:pPr>
              <w:rPr>
                <w:rFonts w:eastAsia="SimSun"/>
              </w:rPr>
            </w:pPr>
            <w:r w:rsidRPr="00AC3044">
              <w:rPr>
                <w:rFonts w:eastAsia="SimSun"/>
              </w:rPr>
              <w:t>В/в, в течение 2 часов</w:t>
            </w:r>
          </w:p>
        </w:tc>
      </w:tr>
      <w:tr w:rsidR="008143D9" w:rsidRPr="00AC3044" w14:paraId="2BE0E214" w14:textId="77777777" w:rsidTr="005A428D">
        <w:trPr>
          <w:cantSplit/>
          <w:trHeight w:val="20"/>
        </w:trPr>
        <w:tc>
          <w:tcPr>
            <w:tcW w:w="993" w:type="dxa"/>
            <w:vMerge w:val="restart"/>
            <w:textDirection w:val="btLr"/>
            <w:vAlign w:val="center"/>
          </w:tcPr>
          <w:p w14:paraId="3FC49A78" w14:textId="77777777" w:rsidR="008143D9" w:rsidRPr="00AC3044" w:rsidRDefault="008143D9" w:rsidP="005A428D">
            <w:pPr>
              <w:rPr>
                <w:rFonts w:eastAsia="SimSun"/>
              </w:rPr>
            </w:pPr>
            <w:r w:rsidRPr="00AC3044">
              <w:rPr>
                <w:rFonts w:eastAsia="SimSun"/>
              </w:rPr>
              <w:t>Профилактика РТПХ</w:t>
            </w:r>
          </w:p>
        </w:tc>
        <w:tc>
          <w:tcPr>
            <w:tcW w:w="1701" w:type="dxa"/>
            <w:vAlign w:val="center"/>
          </w:tcPr>
          <w:p w14:paraId="7466CC26" w14:textId="77777777" w:rsidR="008143D9" w:rsidRPr="00AC3044" w:rsidRDefault="008143D9" w:rsidP="005A428D">
            <w:pPr>
              <w:rPr>
                <w:rFonts w:eastAsia="SimSun"/>
              </w:rPr>
            </w:pPr>
            <w:r w:rsidRPr="00AC3044">
              <w:rPr>
                <w:rFonts w:eastAsia="SimSun"/>
              </w:rPr>
              <w:t>АТГ (кроличий)</w:t>
            </w:r>
          </w:p>
        </w:tc>
        <w:tc>
          <w:tcPr>
            <w:tcW w:w="1559" w:type="dxa"/>
            <w:vAlign w:val="center"/>
          </w:tcPr>
          <w:p w14:paraId="26B2D6DA" w14:textId="77777777" w:rsidR="008143D9" w:rsidRPr="00AC3044" w:rsidRDefault="008143D9" w:rsidP="005A428D">
            <w:pPr>
              <w:rPr>
                <w:rFonts w:eastAsia="SimSun"/>
              </w:rPr>
            </w:pPr>
            <w:r w:rsidRPr="00AC3044">
              <w:rPr>
                <w:rFonts w:eastAsia="SimSun"/>
              </w:rPr>
              <w:t>2,5 мг/кг</w:t>
            </w:r>
          </w:p>
        </w:tc>
        <w:tc>
          <w:tcPr>
            <w:tcW w:w="1418" w:type="dxa"/>
            <w:vAlign w:val="center"/>
          </w:tcPr>
          <w:p w14:paraId="35E92537" w14:textId="77777777" w:rsidR="008143D9" w:rsidRPr="00AC3044" w:rsidRDefault="008143D9" w:rsidP="005A428D">
            <w:pPr>
              <w:rPr>
                <w:rFonts w:eastAsia="SimSun"/>
              </w:rPr>
            </w:pPr>
            <w:r w:rsidRPr="00AC3044">
              <w:rPr>
                <w:rFonts w:eastAsia="SimSun"/>
              </w:rPr>
              <w:t>5-7,5 мг/кг</w:t>
            </w:r>
          </w:p>
        </w:tc>
        <w:tc>
          <w:tcPr>
            <w:tcW w:w="1701" w:type="dxa"/>
            <w:vAlign w:val="center"/>
          </w:tcPr>
          <w:p w14:paraId="4C45756A" w14:textId="77777777" w:rsidR="008143D9" w:rsidRPr="00AC3044" w:rsidRDefault="008143D9" w:rsidP="005A428D">
            <w:pPr>
              <w:rPr>
                <w:rFonts w:eastAsia="SimSun"/>
              </w:rPr>
            </w:pPr>
            <w:r w:rsidRPr="00AC3044">
              <w:rPr>
                <w:rFonts w:eastAsia="SimSun"/>
              </w:rPr>
              <w:t>С –3 по –2 (-1) день</w:t>
            </w:r>
          </w:p>
        </w:tc>
        <w:tc>
          <w:tcPr>
            <w:tcW w:w="2268" w:type="dxa"/>
            <w:vAlign w:val="center"/>
          </w:tcPr>
          <w:p w14:paraId="1FB63375" w14:textId="77777777" w:rsidR="008143D9" w:rsidRPr="00AC3044" w:rsidRDefault="008143D9" w:rsidP="005A428D">
            <w:pPr>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8143D9" w:rsidRPr="00AC3044" w14:paraId="2E74F416" w14:textId="77777777" w:rsidTr="005A428D">
        <w:trPr>
          <w:cantSplit/>
          <w:trHeight w:val="20"/>
        </w:trPr>
        <w:tc>
          <w:tcPr>
            <w:tcW w:w="993" w:type="dxa"/>
            <w:vMerge/>
            <w:textDirection w:val="btLr"/>
          </w:tcPr>
          <w:p w14:paraId="6D4DD32F" w14:textId="77777777" w:rsidR="008143D9" w:rsidRPr="00AC3044" w:rsidRDefault="008143D9" w:rsidP="005A428D">
            <w:pPr>
              <w:rPr>
                <w:rFonts w:eastAsia="SimSun"/>
              </w:rPr>
            </w:pPr>
          </w:p>
        </w:tc>
        <w:tc>
          <w:tcPr>
            <w:tcW w:w="1701" w:type="dxa"/>
            <w:vAlign w:val="center"/>
          </w:tcPr>
          <w:p w14:paraId="5DAB9B92" w14:textId="77777777" w:rsidR="008143D9" w:rsidRPr="00AC3044" w:rsidRDefault="008143D9" w:rsidP="005A428D">
            <w:pPr>
              <w:rPr>
                <w:rFonts w:eastAsia="SimSun"/>
              </w:rPr>
            </w:pPr>
            <w:r w:rsidRPr="00AC3044">
              <w:rPr>
                <w:rFonts w:eastAsia="SimSun"/>
              </w:rPr>
              <w:t>Циклоспорин</w:t>
            </w:r>
          </w:p>
        </w:tc>
        <w:tc>
          <w:tcPr>
            <w:tcW w:w="1559" w:type="dxa"/>
            <w:vAlign w:val="center"/>
          </w:tcPr>
          <w:p w14:paraId="1B7C26A7" w14:textId="77777777" w:rsidR="008143D9" w:rsidRPr="00AC3044" w:rsidRDefault="008143D9" w:rsidP="005A428D">
            <w:pPr>
              <w:rPr>
                <w:rFonts w:eastAsia="SimSun"/>
              </w:rPr>
            </w:pPr>
            <w:r w:rsidRPr="00AC3044">
              <w:rPr>
                <w:rFonts w:eastAsia="SimSun"/>
              </w:rPr>
              <w:t>3 мг/кг</w:t>
            </w:r>
          </w:p>
        </w:tc>
        <w:tc>
          <w:tcPr>
            <w:tcW w:w="1418" w:type="dxa"/>
            <w:vAlign w:val="center"/>
          </w:tcPr>
          <w:p w14:paraId="04E39CC1" w14:textId="77777777" w:rsidR="008143D9" w:rsidRPr="00AC3044" w:rsidRDefault="008143D9" w:rsidP="005A428D">
            <w:pPr>
              <w:rPr>
                <w:rFonts w:eastAsia="SimSun"/>
              </w:rPr>
            </w:pPr>
            <w:r w:rsidRPr="00AC3044">
              <w:rPr>
                <w:rFonts w:eastAsia="SimSun"/>
              </w:rPr>
              <w:t>–</w:t>
            </w:r>
          </w:p>
        </w:tc>
        <w:tc>
          <w:tcPr>
            <w:tcW w:w="1701" w:type="dxa"/>
            <w:vAlign w:val="center"/>
          </w:tcPr>
          <w:p w14:paraId="2B01418D" w14:textId="77777777" w:rsidR="008143D9" w:rsidRPr="00AC3044" w:rsidRDefault="008143D9" w:rsidP="005A428D">
            <w:pPr>
              <w:rPr>
                <w:rFonts w:eastAsia="SimSun"/>
              </w:rPr>
            </w:pPr>
            <w:r w:rsidRPr="00AC3044">
              <w:rPr>
                <w:rFonts w:eastAsia="SimSun"/>
              </w:rPr>
              <w:t>С–1 по +90 день, затем постепенное снижение к +180 дню</w:t>
            </w:r>
          </w:p>
        </w:tc>
        <w:tc>
          <w:tcPr>
            <w:tcW w:w="2268" w:type="dxa"/>
            <w:vAlign w:val="center"/>
          </w:tcPr>
          <w:p w14:paraId="6A3C82DB" w14:textId="77777777" w:rsidR="008143D9" w:rsidRPr="00AC3044" w:rsidRDefault="008143D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8143D9" w:rsidRPr="00AC3044" w14:paraId="2B9847BE" w14:textId="77777777" w:rsidTr="005A428D">
        <w:trPr>
          <w:cantSplit/>
          <w:trHeight w:val="20"/>
        </w:trPr>
        <w:tc>
          <w:tcPr>
            <w:tcW w:w="993" w:type="dxa"/>
            <w:vMerge/>
          </w:tcPr>
          <w:p w14:paraId="57C4B261" w14:textId="77777777" w:rsidR="008143D9" w:rsidRPr="00AC3044" w:rsidRDefault="008143D9" w:rsidP="005A428D">
            <w:pPr>
              <w:rPr>
                <w:rFonts w:eastAsia="SimSun"/>
              </w:rPr>
            </w:pPr>
          </w:p>
        </w:tc>
        <w:tc>
          <w:tcPr>
            <w:tcW w:w="1701" w:type="dxa"/>
            <w:vMerge w:val="restart"/>
            <w:vAlign w:val="center"/>
          </w:tcPr>
          <w:p w14:paraId="2FFC0A88" w14:textId="77777777" w:rsidR="008143D9" w:rsidRPr="00AC3044" w:rsidRDefault="008143D9" w:rsidP="005A428D">
            <w:pPr>
              <w:rPr>
                <w:rFonts w:eastAsia="SimSun"/>
              </w:rPr>
            </w:pPr>
            <w:r w:rsidRPr="00AC3044">
              <w:rPr>
                <w:rFonts w:eastAsia="SimSun"/>
              </w:rPr>
              <w:t>Метотрексат</w:t>
            </w:r>
          </w:p>
        </w:tc>
        <w:tc>
          <w:tcPr>
            <w:tcW w:w="1559" w:type="dxa"/>
            <w:vAlign w:val="center"/>
          </w:tcPr>
          <w:p w14:paraId="732CCE55" w14:textId="77777777" w:rsidR="008143D9" w:rsidRPr="00AC3044" w:rsidRDefault="008143D9" w:rsidP="005A428D">
            <w:pPr>
              <w:rPr>
                <w:rFonts w:eastAsia="SimSun"/>
              </w:rPr>
            </w:pPr>
            <w:r w:rsidRPr="00AC3044">
              <w:rPr>
                <w:rFonts w:eastAsia="SimSun"/>
              </w:rPr>
              <w:t>15 мг/м</w:t>
            </w:r>
            <w:r w:rsidRPr="00DB259E">
              <w:rPr>
                <w:rFonts w:eastAsia="SimSun"/>
                <w:vertAlign w:val="superscript"/>
              </w:rPr>
              <w:t>2</w:t>
            </w:r>
          </w:p>
        </w:tc>
        <w:tc>
          <w:tcPr>
            <w:tcW w:w="1418" w:type="dxa"/>
            <w:vAlign w:val="center"/>
          </w:tcPr>
          <w:p w14:paraId="18F4854C" w14:textId="77777777" w:rsidR="008143D9" w:rsidRPr="00AC3044" w:rsidRDefault="008143D9" w:rsidP="005A428D">
            <w:pPr>
              <w:rPr>
                <w:rFonts w:eastAsia="SimSun"/>
              </w:rPr>
            </w:pPr>
            <w:r w:rsidRPr="00AC3044">
              <w:rPr>
                <w:rFonts w:eastAsia="SimSun"/>
              </w:rPr>
              <w:t>–</w:t>
            </w:r>
          </w:p>
        </w:tc>
        <w:tc>
          <w:tcPr>
            <w:tcW w:w="1701" w:type="dxa"/>
            <w:vAlign w:val="center"/>
          </w:tcPr>
          <w:p w14:paraId="77AA762B" w14:textId="77777777" w:rsidR="008143D9" w:rsidRPr="00AC3044" w:rsidRDefault="008143D9" w:rsidP="005A428D">
            <w:pPr>
              <w:rPr>
                <w:rFonts w:eastAsia="SimSun"/>
              </w:rPr>
            </w:pPr>
            <w:r w:rsidRPr="00AC3044">
              <w:rPr>
                <w:rFonts w:eastAsia="SimSun"/>
              </w:rPr>
              <w:t>+1 день</w:t>
            </w:r>
          </w:p>
        </w:tc>
        <w:tc>
          <w:tcPr>
            <w:tcW w:w="2268" w:type="dxa"/>
            <w:vAlign w:val="center"/>
          </w:tcPr>
          <w:p w14:paraId="61844D59" w14:textId="77777777" w:rsidR="008143D9" w:rsidRPr="00AC3044" w:rsidRDefault="008143D9" w:rsidP="005A428D">
            <w:pPr>
              <w:rPr>
                <w:rFonts w:eastAsia="SimSun"/>
              </w:rPr>
            </w:pPr>
            <w:r w:rsidRPr="00AC3044">
              <w:rPr>
                <w:rFonts w:eastAsia="SimSun"/>
              </w:rPr>
              <w:t xml:space="preserve">В/в, в 20 мл физ. р-ра </w:t>
            </w:r>
          </w:p>
        </w:tc>
      </w:tr>
      <w:tr w:rsidR="008143D9" w:rsidRPr="00AC3044" w14:paraId="251BBAA5" w14:textId="77777777" w:rsidTr="005A428D">
        <w:trPr>
          <w:cantSplit/>
          <w:trHeight w:val="464"/>
        </w:trPr>
        <w:tc>
          <w:tcPr>
            <w:tcW w:w="993" w:type="dxa"/>
            <w:vMerge/>
          </w:tcPr>
          <w:p w14:paraId="0C0519E5" w14:textId="77777777" w:rsidR="008143D9" w:rsidRPr="00AC3044" w:rsidRDefault="008143D9" w:rsidP="005A428D">
            <w:pPr>
              <w:rPr>
                <w:rFonts w:eastAsia="SimSun"/>
              </w:rPr>
            </w:pPr>
          </w:p>
        </w:tc>
        <w:tc>
          <w:tcPr>
            <w:tcW w:w="1701" w:type="dxa"/>
            <w:vMerge/>
            <w:vAlign w:val="center"/>
          </w:tcPr>
          <w:p w14:paraId="3ABF1FD0" w14:textId="77777777" w:rsidR="008143D9" w:rsidRPr="00AC3044" w:rsidRDefault="008143D9" w:rsidP="005A428D">
            <w:pPr>
              <w:rPr>
                <w:rFonts w:eastAsia="SimSun"/>
              </w:rPr>
            </w:pPr>
          </w:p>
        </w:tc>
        <w:tc>
          <w:tcPr>
            <w:tcW w:w="1559" w:type="dxa"/>
            <w:vAlign w:val="center"/>
          </w:tcPr>
          <w:p w14:paraId="51343C30" w14:textId="77777777" w:rsidR="008143D9" w:rsidRPr="00AC3044" w:rsidRDefault="008143D9" w:rsidP="005A428D">
            <w:pPr>
              <w:rPr>
                <w:rFonts w:eastAsia="SimSun"/>
              </w:rPr>
            </w:pPr>
            <w:r w:rsidRPr="00AC3044">
              <w:rPr>
                <w:rFonts w:eastAsia="SimSun"/>
              </w:rPr>
              <w:t>10 мг/м</w:t>
            </w:r>
            <w:r w:rsidRPr="00DB259E">
              <w:rPr>
                <w:rFonts w:eastAsia="SimSun"/>
                <w:vertAlign w:val="superscript"/>
              </w:rPr>
              <w:t>2</w:t>
            </w:r>
          </w:p>
        </w:tc>
        <w:tc>
          <w:tcPr>
            <w:tcW w:w="1418" w:type="dxa"/>
            <w:vAlign w:val="center"/>
          </w:tcPr>
          <w:p w14:paraId="5BF5DE2B" w14:textId="77777777" w:rsidR="008143D9" w:rsidRPr="00AC3044" w:rsidRDefault="008143D9" w:rsidP="005A428D">
            <w:pPr>
              <w:rPr>
                <w:rFonts w:eastAsia="SimSun"/>
              </w:rPr>
            </w:pPr>
            <w:r w:rsidRPr="00AC3044">
              <w:rPr>
                <w:rFonts w:eastAsia="SimSun"/>
              </w:rPr>
              <w:t>–</w:t>
            </w:r>
          </w:p>
        </w:tc>
        <w:tc>
          <w:tcPr>
            <w:tcW w:w="1701" w:type="dxa"/>
            <w:vAlign w:val="center"/>
          </w:tcPr>
          <w:p w14:paraId="02590492" w14:textId="77777777" w:rsidR="008143D9" w:rsidRPr="00AC3044" w:rsidRDefault="008143D9" w:rsidP="005A428D">
            <w:pPr>
              <w:rPr>
                <w:rFonts w:eastAsia="SimSun"/>
              </w:rPr>
            </w:pPr>
            <w:r w:rsidRPr="00AC3044">
              <w:rPr>
                <w:rFonts w:eastAsia="SimSun"/>
              </w:rPr>
              <w:t>+3, +6, +11 дни</w:t>
            </w:r>
          </w:p>
        </w:tc>
        <w:tc>
          <w:tcPr>
            <w:tcW w:w="2268" w:type="dxa"/>
            <w:vAlign w:val="center"/>
          </w:tcPr>
          <w:p w14:paraId="2C110C90" w14:textId="77777777" w:rsidR="008143D9" w:rsidRPr="00AC3044" w:rsidRDefault="008143D9" w:rsidP="005A428D">
            <w:pPr>
              <w:rPr>
                <w:rFonts w:eastAsia="SimSun"/>
              </w:rPr>
            </w:pPr>
            <w:r w:rsidRPr="00AC3044">
              <w:rPr>
                <w:rFonts w:eastAsia="SimSun"/>
              </w:rPr>
              <w:t xml:space="preserve">В/в, в 20 мл физ. р-ра </w:t>
            </w:r>
          </w:p>
        </w:tc>
      </w:tr>
      <w:tr w:rsidR="008143D9" w:rsidRPr="00AC3044" w14:paraId="334F67F1" w14:textId="77777777" w:rsidTr="005A428D">
        <w:trPr>
          <w:cantSplit/>
          <w:trHeight w:val="464"/>
        </w:trPr>
        <w:tc>
          <w:tcPr>
            <w:tcW w:w="993" w:type="dxa"/>
            <w:vMerge/>
          </w:tcPr>
          <w:p w14:paraId="33D41D9D" w14:textId="77777777" w:rsidR="008143D9" w:rsidRPr="00AC3044" w:rsidRDefault="008143D9" w:rsidP="005A428D">
            <w:pPr>
              <w:rPr>
                <w:rFonts w:eastAsia="SimSun"/>
              </w:rPr>
            </w:pPr>
          </w:p>
        </w:tc>
        <w:tc>
          <w:tcPr>
            <w:tcW w:w="1701" w:type="dxa"/>
            <w:vAlign w:val="center"/>
          </w:tcPr>
          <w:p w14:paraId="6B80E96C" w14:textId="77777777" w:rsidR="008143D9" w:rsidRPr="00AC3044" w:rsidRDefault="008143D9" w:rsidP="005A428D">
            <w:pPr>
              <w:rPr>
                <w:rFonts w:eastAsia="SimSun"/>
              </w:rPr>
            </w:pPr>
            <w:r w:rsidRPr="00AC3044">
              <w:rPr>
                <w:rFonts w:eastAsia="SimSun"/>
              </w:rPr>
              <w:t>Микофенолата мофетил</w:t>
            </w:r>
          </w:p>
        </w:tc>
        <w:tc>
          <w:tcPr>
            <w:tcW w:w="1559" w:type="dxa"/>
            <w:vAlign w:val="center"/>
          </w:tcPr>
          <w:p w14:paraId="4B87C8D3" w14:textId="77777777" w:rsidR="008143D9" w:rsidRPr="00AC3044" w:rsidRDefault="008143D9" w:rsidP="005A428D">
            <w:pPr>
              <w:rPr>
                <w:rFonts w:eastAsia="SimSun"/>
              </w:rPr>
            </w:pPr>
            <w:r w:rsidRPr="00AC3044">
              <w:rPr>
                <w:rFonts w:eastAsia="SimSun"/>
              </w:rPr>
              <w:t>45 мг/кг</w:t>
            </w:r>
          </w:p>
        </w:tc>
        <w:tc>
          <w:tcPr>
            <w:tcW w:w="1418" w:type="dxa"/>
            <w:vAlign w:val="center"/>
          </w:tcPr>
          <w:p w14:paraId="33301268" w14:textId="77777777" w:rsidR="008143D9" w:rsidRPr="00AC3044" w:rsidRDefault="008143D9" w:rsidP="005A428D">
            <w:pPr>
              <w:rPr>
                <w:rFonts w:eastAsia="SimSun"/>
              </w:rPr>
            </w:pPr>
            <w:r w:rsidRPr="00AC3044">
              <w:rPr>
                <w:rFonts w:eastAsia="SimSun"/>
              </w:rPr>
              <w:t>–</w:t>
            </w:r>
          </w:p>
        </w:tc>
        <w:tc>
          <w:tcPr>
            <w:tcW w:w="1701" w:type="dxa"/>
            <w:vAlign w:val="center"/>
          </w:tcPr>
          <w:p w14:paraId="563EEBC2" w14:textId="77777777" w:rsidR="008143D9" w:rsidRPr="00AC3044" w:rsidRDefault="008143D9" w:rsidP="005A428D">
            <w:pPr>
              <w:rPr>
                <w:rFonts w:eastAsia="SimSun"/>
              </w:rPr>
            </w:pPr>
            <w:r w:rsidRPr="00AC3044">
              <w:rPr>
                <w:rFonts w:eastAsia="SimSun"/>
              </w:rPr>
              <w:t>С +1 по +90 день</w:t>
            </w:r>
          </w:p>
        </w:tc>
        <w:tc>
          <w:tcPr>
            <w:tcW w:w="2268" w:type="dxa"/>
            <w:vAlign w:val="center"/>
          </w:tcPr>
          <w:p w14:paraId="46E7525C" w14:textId="77777777" w:rsidR="008143D9" w:rsidRPr="00AC3044" w:rsidRDefault="008143D9" w:rsidP="005A428D">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08535E33" w14:textId="77777777" w:rsidR="008143D9" w:rsidRDefault="008143D9" w:rsidP="008143D9">
      <w:pPr>
        <w:rPr>
          <w:rFonts w:eastAsia="SimSun"/>
        </w:rPr>
      </w:pPr>
      <w:bookmarkStart w:id="162" w:name="_Toc44401203"/>
    </w:p>
    <w:p w14:paraId="01516F3F" w14:textId="77777777" w:rsidR="008143D9" w:rsidRPr="00C07B2E" w:rsidRDefault="008143D9" w:rsidP="008143D9">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2.2.3  – Flu150+Bu8+Thio / PT-Cy+ CSA+MMF30</w:t>
      </w:r>
      <w:bookmarkEnd w:id="162"/>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418"/>
        <w:gridCol w:w="1701"/>
        <w:gridCol w:w="2268"/>
      </w:tblGrid>
      <w:tr w:rsidR="008143D9" w:rsidRPr="00AC3044" w14:paraId="443FAED5" w14:textId="77777777" w:rsidTr="005A428D">
        <w:trPr>
          <w:cantSplit/>
          <w:trHeight w:val="20"/>
          <w:tblHeader/>
        </w:trPr>
        <w:tc>
          <w:tcPr>
            <w:tcW w:w="993" w:type="dxa"/>
          </w:tcPr>
          <w:p w14:paraId="2C257784" w14:textId="77777777" w:rsidR="008143D9" w:rsidRPr="00470D3D" w:rsidRDefault="008143D9" w:rsidP="005A428D">
            <w:pPr>
              <w:rPr>
                <w:rFonts w:eastAsia="SimSun"/>
              </w:rPr>
            </w:pPr>
          </w:p>
        </w:tc>
        <w:tc>
          <w:tcPr>
            <w:tcW w:w="1701" w:type="dxa"/>
            <w:vAlign w:val="center"/>
          </w:tcPr>
          <w:p w14:paraId="3466BC33" w14:textId="77777777" w:rsidR="008143D9" w:rsidRPr="00AC3044" w:rsidRDefault="008143D9" w:rsidP="005A428D">
            <w:pPr>
              <w:rPr>
                <w:rFonts w:eastAsia="SimSun"/>
              </w:rPr>
            </w:pPr>
            <w:r w:rsidRPr="00AC3044">
              <w:rPr>
                <w:rFonts w:eastAsia="SimSun"/>
              </w:rPr>
              <w:t>Препарат</w:t>
            </w:r>
          </w:p>
        </w:tc>
        <w:tc>
          <w:tcPr>
            <w:tcW w:w="1559" w:type="dxa"/>
            <w:vAlign w:val="center"/>
          </w:tcPr>
          <w:p w14:paraId="644ECD2D" w14:textId="77777777" w:rsidR="008143D9" w:rsidRPr="00AC3044" w:rsidRDefault="008143D9" w:rsidP="005A428D">
            <w:pPr>
              <w:rPr>
                <w:rFonts w:eastAsia="SimSun"/>
              </w:rPr>
            </w:pPr>
            <w:r w:rsidRPr="00AC3044">
              <w:rPr>
                <w:rFonts w:eastAsia="SimSun"/>
              </w:rPr>
              <w:t>Суточная доза</w:t>
            </w:r>
          </w:p>
        </w:tc>
        <w:tc>
          <w:tcPr>
            <w:tcW w:w="1418" w:type="dxa"/>
            <w:vAlign w:val="center"/>
          </w:tcPr>
          <w:p w14:paraId="3E2214F9" w14:textId="77777777" w:rsidR="008143D9" w:rsidRPr="00AC3044" w:rsidRDefault="008143D9" w:rsidP="005A428D">
            <w:pPr>
              <w:rPr>
                <w:rFonts w:eastAsia="SimSun"/>
              </w:rPr>
            </w:pPr>
            <w:r w:rsidRPr="00AC3044">
              <w:rPr>
                <w:rFonts w:eastAsia="SimSun"/>
              </w:rPr>
              <w:t>Курсовая доза</w:t>
            </w:r>
          </w:p>
        </w:tc>
        <w:tc>
          <w:tcPr>
            <w:tcW w:w="1701" w:type="dxa"/>
            <w:vAlign w:val="center"/>
          </w:tcPr>
          <w:p w14:paraId="3C8B598B" w14:textId="77777777" w:rsidR="008143D9" w:rsidRPr="00AC3044" w:rsidRDefault="008143D9" w:rsidP="005A428D">
            <w:pPr>
              <w:rPr>
                <w:rFonts w:eastAsia="SimSun"/>
              </w:rPr>
            </w:pPr>
            <w:r w:rsidRPr="00AC3044">
              <w:rPr>
                <w:rFonts w:eastAsia="SimSun"/>
              </w:rPr>
              <w:t>Дни введения</w:t>
            </w:r>
          </w:p>
        </w:tc>
        <w:tc>
          <w:tcPr>
            <w:tcW w:w="2268" w:type="dxa"/>
            <w:vAlign w:val="center"/>
          </w:tcPr>
          <w:p w14:paraId="48F6EF1B"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1D201040" w14:textId="77777777" w:rsidTr="005A428D">
        <w:trPr>
          <w:cantSplit/>
          <w:trHeight w:val="20"/>
        </w:trPr>
        <w:tc>
          <w:tcPr>
            <w:tcW w:w="993" w:type="dxa"/>
            <w:vMerge w:val="restart"/>
            <w:textDirection w:val="btLr"/>
            <w:vAlign w:val="center"/>
          </w:tcPr>
          <w:p w14:paraId="5A22FAEB" w14:textId="77777777" w:rsidR="008143D9" w:rsidRPr="00AC3044" w:rsidRDefault="008143D9" w:rsidP="005A428D">
            <w:pPr>
              <w:rPr>
                <w:rFonts w:eastAsia="SimSun"/>
              </w:rPr>
            </w:pPr>
            <w:r w:rsidRPr="00AC3044">
              <w:rPr>
                <w:rFonts w:eastAsia="SimSun"/>
              </w:rPr>
              <w:t>Кондиционирование</w:t>
            </w:r>
          </w:p>
        </w:tc>
        <w:tc>
          <w:tcPr>
            <w:tcW w:w="1701" w:type="dxa"/>
            <w:vAlign w:val="center"/>
          </w:tcPr>
          <w:p w14:paraId="0B00E589" w14:textId="77777777" w:rsidR="008143D9" w:rsidRPr="00AC3044" w:rsidRDefault="008143D9" w:rsidP="005A428D">
            <w:pPr>
              <w:rPr>
                <w:rFonts w:eastAsia="SimSun"/>
              </w:rPr>
            </w:pPr>
            <w:r w:rsidRPr="00AC3044">
              <w:rPr>
                <w:rFonts w:eastAsia="SimSun"/>
              </w:rPr>
              <w:t xml:space="preserve">Флударабин </w:t>
            </w:r>
          </w:p>
        </w:tc>
        <w:tc>
          <w:tcPr>
            <w:tcW w:w="1559" w:type="dxa"/>
            <w:vAlign w:val="center"/>
          </w:tcPr>
          <w:p w14:paraId="3C727C48" w14:textId="77777777" w:rsidR="008143D9" w:rsidRPr="00AC3044" w:rsidRDefault="008143D9" w:rsidP="005A428D">
            <w:pPr>
              <w:rPr>
                <w:rFonts w:eastAsia="SimSun"/>
              </w:rPr>
            </w:pPr>
            <w:r w:rsidRPr="00AC3044">
              <w:rPr>
                <w:rFonts w:eastAsia="SimSun"/>
              </w:rPr>
              <w:t>50 мг/м</w:t>
            </w:r>
            <w:r w:rsidRPr="00DB259E">
              <w:rPr>
                <w:rFonts w:eastAsia="SimSun"/>
                <w:vertAlign w:val="superscript"/>
              </w:rPr>
              <w:t>2</w:t>
            </w:r>
          </w:p>
        </w:tc>
        <w:tc>
          <w:tcPr>
            <w:tcW w:w="1418" w:type="dxa"/>
            <w:vAlign w:val="center"/>
          </w:tcPr>
          <w:p w14:paraId="0F16A2E3" w14:textId="77777777" w:rsidR="008143D9" w:rsidRPr="00AC3044" w:rsidRDefault="008143D9" w:rsidP="005A428D">
            <w:pPr>
              <w:rPr>
                <w:rFonts w:eastAsia="SimSun"/>
              </w:rPr>
            </w:pPr>
            <w:r w:rsidRPr="00AC3044">
              <w:rPr>
                <w:rFonts w:eastAsia="SimSun"/>
              </w:rPr>
              <w:t>150 мг/м</w:t>
            </w:r>
            <w:r w:rsidRPr="00DB259E">
              <w:rPr>
                <w:rFonts w:eastAsia="SimSun"/>
                <w:vertAlign w:val="superscript"/>
              </w:rPr>
              <w:t>2</w:t>
            </w:r>
          </w:p>
        </w:tc>
        <w:tc>
          <w:tcPr>
            <w:tcW w:w="1701" w:type="dxa"/>
            <w:vAlign w:val="center"/>
          </w:tcPr>
          <w:p w14:paraId="727391F0" w14:textId="77777777" w:rsidR="008143D9" w:rsidRPr="00AC3044" w:rsidRDefault="008143D9" w:rsidP="005A428D">
            <w:pPr>
              <w:rPr>
                <w:rFonts w:eastAsia="SimSun"/>
              </w:rPr>
            </w:pPr>
            <w:r w:rsidRPr="00AC3044">
              <w:rPr>
                <w:rFonts w:eastAsia="SimSun"/>
              </w:rPr>
              <w:t>С –4 по –2 день</w:t>
            </w:r>
          </w:p>
        </w:tc>
        <w:tc>
          <w:tcPr>
            <w:tcW w:w="2268" w:type="dxa"/>
            <w:vAlign w:val="center"/>
          </w:tcPr>
          <w:p w14:paraId="56B29C39"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2F0EE0B8" w14:textId="77777777" w:rsidTr="005A428D">
        <w:trPr>
          <w:cantSplit/>
          <w:trHeight w:val="560"/>
        </w:trPr>
        <w:tc>
          <w:tcPr>
            <w:tcW w:w="993" w:type="dxa"/>
            <w:vMerge/>
            <w:textDirection w:val="btLr"/>
            <w:vAlign w:val="center"/>
          </w:tcPr>
          <w:p w14:paraId="721C1D0C" w14:textId="77777777" w:rsidR="008143D9" w:rsidRPr="00AC3044" w:rsidRDefault="008143D9" w:rsidP="005A428D">
            <w:pPr>
              <w:rPr>
                <w:rFonts w:eastAsia="SimSun"/>
              </w:rPr>
            </w:pPr>
          </w:p>
        </w:tc>
        <w:tc>
          <w:tcPr>
            <w:tcW w:w="1701" w:type="dxa"/>
            <w:vAlign w:val="center"/>
          </w:tcPr>
          <w:p w14:paraId="3B933F3C" w14:textId="77777777" w:rsidR="008143D9" w:rsidRPr="00AC3044" w:rsidRDefault="008143D9" w:rsidP="005A428D">
            <w:pPr>
              <w:rPr>
                <w:rFonts w:eastAsia="SimSun"/>
              </w:rPr>
            </w:pPr>
            <w:r w:rsidRPr="00AC3044">
              <w:rPr>
                <w:rFonts w:eastAsia="SimSun"/>
              </w:rPr>
              <w:t>Бусульфан</w:t>
            </w:r>
          </w:p>
        </w:tc>
        <w:tc>
          <w:tcPr>
            <w:tcW w:w="1559" w:type="dxa"/>
            <w:vAlign w:val="center"/>
          </w:tcPr>
          <w:p w14:paraId="1AEDAD9A" w14:textId="77777777" w:rsidR="008143D9" w:rsidRPr="00AC3044" w:rsidRDefault="008143D9" w:rsidP="005A428D">
            <w:pPr>
              <w:rPr>
                <w:rFonts w:eastAsia="SimSun"/>
              </w:rPr>
            </w:pPr>
            <w:r w:rsidRPr="00AC3044">
              <w:rPr>
                <w:rFonts w:eastAsia="SimSun"/>
              </w:rPr>
              <w:t>4 мг/кг</w:t>
            </w:r>
          </w:p>
        </w:tc>
        <w:tc>
          <w:tcPr>
            <w:tcW w:w="1418" w:type="dxa"/>
            <w:vAlign w:val="center"/>
          </w:tcPr>
          <w:p w14:paraId="2B29A764" w14:textId="77777777" w:rsidR="008143D9" w:rsidRPr="00AC3044" w:rsidRDefault="008143D9" w:rsidP="005A428D">
            <w:pPr>
              <w:rPr>
                <w:rFonts w:eastAsia="SimSun"/>
              </w:rPr>
            </w:pPr>
            <w:r w:rsidRPr="00AC3044">
              <w:rPr>
                <w:rFonts w:eastAsia="SimSun"/>
              </w:rPr>
              <w:t>8 мг/кг</w:t>
            </w:r>
          </w:p>
        </w:tc>
        <w:tc>
          <w:tcPr>
            <w:tcW w:w="1701" w:type="dxa"/>
            <w:vAlign w:val="center"/>
          </w:tcPr>
          <w:p w14:paraId="780774E0" w14:textId="77777777" w:rsidR="008143D9" w:rsidRPr="00AC3044" w:rsidRDefault="008143D9" w:rsidP="005A428D">
            <w:pPr>
              <w:rPr>
                <w:rFonts w:eastAsia="SimSun"/>
              </w:rPr>
            </w:pPr>
            <w:r w:rsidRPr="00AC3044">
              <w:rPr>
                <w:rFonts w:eastAsia="SimSun"/>
              </w:rPr>
              <w:t>–3, –2 дни</w:t>
            </w:r>
          </w:p>
        </w:tc>
        <w:tc>
          <w:tcPr>
            <w:tcW w:w="2268" w:type="dxa"/>
            <w:vAlign w:val="center"/>
          </w:tcPr>
          <w:p w14:paraId="511BB580" w14:textId="77777777" w:rsidR="008143D9" w:rsidRPr="00AC3044" w:rsidRDefault="008143D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8143D9" w:rsidRPr="00AC3044" w14:paraId="5BE34AA0" w14:textId="77777777" w:rsidTr="005A428D">
        <w:trPr>
          <w:cantSplit/>
          <w:trHeight w:val="809"/>
        </w:trPr>
        <w:tc>
          <w:tcPr>
            <w:tcW w:w="993" w:type="dxa"/>
            <w:vMerge/>
            <w:textDirection w:val="btLr"/>
            <w:vAlign w:val="center"/>
          </w:tcPr>
          <w:p w14:paraId="68CFB7ED" w14:textId="77777777" w:rsidR="008143D9" w:rsidRPr="00AC3044" w:rsidRDefault="008143D9" w:rsidP="005A428D">
            <w:pPr>
              <w:rPr>
                <w:rFonts w:eastAsia="SimSun"/>
              </w:rPr>
            </w:pPr>
          </w:p>
        </w:tc>
        <w:tc>
          <w:tcPr>
            <w:tcW w:w="1701" w:type="dxa"/>
            <w:vAlign w:val="center"/>
          </w:tcPr>
          <w:p w14:paraId="03CFEB13" w14:textId="77777777" w:rsidR="008143D9" w:rsidRPr="00AC3044" w:rsidRDefault="008143D9" w:rsidP="005A428D">
            <w:pPr>
              <w:rPr>
                <w:rFonts w:eastAsia="SimSun"/>
              </w:rPr>
            </w:pPr>
            <w:r w:rsidRPr="00AC3044">
              <w:rPr>
                <w:rFonts w:eastAsia="SimSun"/>
              </w:rPr>
              <w:t>Тиотепа</w:t>
            </w:r>
          </w:p>
        </w:tc>
        <w:tc>
          <w:tcPr>
            <w:tcW w:w="1559" w:type="dxa"/>
            <w:vAlign w:val="center"/>
          </w:tcPr>
          <w:p w14:paraId="5A79E190" w14:textId="77777777" w:rsidR="008143D9" w:rsidRPr="00AC3044" w:rsidRDefault="008143D9" w:rsidP="005A428D">
            <w:pPr>
              <w:rPr>
                <w:rFonts w:eastAsia="SimSun"/>
              </w:rPr>
            </w:pPr>
            <w:r w:rsidRPr="00AC3044">
              <w:rPr>
                <w:rFonts w:eastAsia="SimSun"/>
              </w:rPr>
              <w:t>5 мг/кг</w:t>
            </w:r>
          </w:p>
        </w:tc>
        <w:tc>
          <w:tcPr>
            <w:tcW w:w="1418" w:type="dxa"/>
            <w:vAlign w:val="center"/>
          </w:tcPr>
          <w:p w14:paraId="10CF2ADB" w14:textId="77777777" w:rsidR="008143D9" w:rsidRPr="00AC3044" w:rsidRDefault="008143D9" w:rsidP="005A428D">
            <w:pPr>
              <w:rPr>
                <w:rFonts w:eastAsia="SimSun"/>
              </w:rPr>
            </w:pPr>
            <w:r w:rsidRPr="00AC3044">
              <w:rPr>
                <w:rFonts w:eastAsia="SimSun"/>
              </w:rPr>
              <w:t>10 мг/кг</w:t>
            </w:r>
          </w:p>
        </w:tc>
        <w:tc>
          <w:tcPr>
            <w:tcW w:w="1701" w:type="dxa"/>
            <w:vAlign w:val="center"/>
          </w:tcPr>
          <w:p w14:paraId="76ABC95B" w14:textId="77777777" w:rsidR="008143D9" w:rsidRPr="00AC3044" w:rsidRDefault="008143D9" w:rsidP="005A428D">
            <w:pPr>
              <w:rPr>
                <w:rFonts w:eastAsia="SimSun"/>
              </w:rPr>
            </w:pPr>
            <w:r w:rsidRPr="00AC3044">
              <w:rPr>
                <w:rFonts w:eastAsia="SimSun"/>
              </w:rPr>
              <w:t>-6,-5 дни</w:t>
            </w:r>
          </w:p>
        </w:tc>
        <w:tc>
          <w:tcPr>
            <w:tcW w:w="2268" w:type="dxa"/>
            <w:vAlign w:val="center"/>
          </w:tcPr>
          <w:p w14:paraId="375891EF" w14:textId="77777777" w:rsidR="008143D9" w:rsidRPr="00AC3044" w:rsidRDefault="008143D9" w:rsidP="005A428D">
            <w:pPr>
              <w:rPr>
                <w:rFonts w:eastAsia="SimSun"/>
              </w:rPr>
            </w:pPr>
            <w:r w:rsidRPr="00AC3044">
              <w:rPr>
                <w:rFonts w:eastAsia="SimSun"/>
              </w:rPr>
              <w:t>В/в, в течение 2 часов</w:t>
            </w:r>
          </w:p>
        </w:tc>
      </w:tr>
      <w:tr w:rsidR="008143D9" w:rsidRPr="00AC3044" w14:paraId="15FC4BCF" w14:textId="77777777" w:rsidTr="005A428D">
        <w:trPr>
          <w:cantSplit/>
          <w:trHeight w:val="1133"/>
        </w:trPr>
        <w:tc>
          <w:tcPr>
            <w:tcW w:w="993" w:type="dxa"/>
            <w:vMerge w:val="restart"/>
            <w:textDirection w:val="btLr"/>
            <w:vAlign w:val="center"/>
          </w:tcPr>
          <w:p w14:paraId="39B2BCEF" w14:textId="77777777" w:rsidR="008143D9" w:rsidRPr="00AC3044" w:rsidRDefault="008143D9" w:rsidP="005A428D">
            <w:pPr>
              <w:rPr>
                <w:rFonts w:eastAsia="SimSun"/>
              </w:rPr>
            </w:pPr>
            <w:r w:rsidRPr="00AC3044">
              <w:rPr>
                <w:rFonts w:eastAsia="SimSun"/>
              </w:rPr>
              <w:t>Профилактика РТПХ</w:t>
            </w:r>
          </w:p>
        </w:tc>
        <w:tc>
          <w:tcPr>
            <w:tcW w:w="1701" w:type="dxa"/>
            <w:vAlign w:val="center"/>
          </w:tcPr>
          <w:p w14:paraId="1906EA61" w14:textId="77777777" w:rsidR="008143D9" w:rsidRPr="00AC3044" w:rsidRDefault="008143D9" w:rsidP="005A428D">
            <w:pPr>
              <w:rPr>
                <w:rFonts w:eastAsia="SimSun"/>
              </w:rPr>
            </w:pPr>
            <w:r w:rsidRPr="00AC3044">
              <w:rPr>
                <w:rFonts w:eastAsia="SimSun"/>
              </w:rPr>
              <w:t>Циклоспорин</w:t>
            </w:r>
          </w:p>
        </w:tc>
        <w:tc>
          <w:tcPr>
            <w:tcW w:w="1559" w:type="dxa"/>
            <w:vAlign w:val="center"/>
          </w:tcPr>
          <w:p w14:paraId="395A3EA4" w14:textId="77777777" w:rsidR="008143D9" w:rsidRPr="00AC3044" w:rsidRDefault="008143D9" w:rsidP="005A428D">
            <w:pPr>
              <w:rPr>
                <w:rFonts w:eastAsia="SimSun"/>
              </w:rPr>
            </w:pPr>
            <w:r w:rsidRPr="00AC3044">
              <w:rPr>
                <w:rFonts w:eastAsia="SimSun"/>
              </w:rPr>
              <w:t>3 мг/кг</w:t>
            </w:r>
          </w:p>
        </w:tc>
        <w:tc>
          <w:tcPr>
            <w:tcW w:w="1418" w:type="dxa"/>
            <w:vAlign w:val="center"/>
          </w:tcPr>
          <w:p w14:paraId="5621E448" w14:textId="77777777" w:rsidR="008143D9" w:rsidRPr="00AC3044" w:rsidRDefault="008143D9" w:rsidP="005A428D">
            <w:pPr>
              <w:rPr>
                <w:rFonts w:eastAsia="SimSun"/>
              </w:rPr>
            </w:pPr>
            <w:r w:rsidRPr="00AC3044">
              <w:rPr>
                <w:rFonts w:eastAsia="SimSun"/>
              </w:rPr>
              <w:t>–</w:t>
            </w:r>
          </w:p>
        </w:tc>
        <w:tc>
          <w:tcPr>
            <w:tcW w:w="1701" w:type="dxa"/>
            <w:vAlign w:val="center"/>
          </w:tcPr>
          <w:p w14:paraId="6D3F7BAA" w14:textId="77777777" w:rsidR="008143D9" w:rsidRPr="00AC3044" w:rsidRDefault="008143D9" w:rsidP="005A428D">
            <w:pPr>
              <w:rPr>
                <w:rFonts w:eastAsia="SimSun"/>
              </w:rPr>
            </w:pPr>
            <w:r w:rsidRPr="00AC3044">
              <w:rPr>
                <w:rFonts w:eastAsia="SimSun"/>
              </w:rPr>
              <w:t>С +5 дня по +90 день затем постепенное снижение к +180 дню</w:t>
            </w:r>
          </w:p>
        </w:tc>
        <w:tc>
          <w:tcPr>
            <w:tcW w:w="2268" w:type="dxa"/>
            <w:vAlign w:val="center"/>
          </w:tcPr>
          <w:p w14:paraId="37781CF9" w14:textId="77777777" w:rsidR="008143D9" w:rsidRPr="00AC3044" w:rsidRDefault="008143D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8143D9" w:rsidRPr="00AC3044" w14:paraId="4BB22468" w14:textId="77777777" w:rsidTr="005A428D">
        <w:trPr>
          <w:cantSplit/>
          <w:trHeight w:val="20"/>
        </w:trPr>
        <w:tc>
          <w:tcPr>
            <w:tcW w:w="993" w:type="dxa"/>
            <w:vMerge/>
            <w:textDirection w:val="btLr"/>
          </w:tcPr>
          <w:p w14:paraId="0AF50564" w14:textId="77777777" w:rsidR="008143D9" w:rsidRPr="00AC3044" w:rsidRDefault="008143D9" w:rsidP="005A428D">
            <w:pPr>
              <w:rPr>
                <w:rFonts w:eastAsia="SimSun"/>
              </w:rPr>
            </w:pPr>
          </w:p>
        </w:tc>
        <w:tc>
          <w:tcPr>
            <w:tcW w:w="1701" w:type="dxa"/>
            <w:vAlign w:val="center"/>
          </w:tcPr>
          <w:p w14:paraId="74DC81DA" w14:textId="77777777" w:rsidR="008143D9" w:rsidRPr="00AC3044" w:rsidRDefault="008143D9" w:rsidP="005A428D">
            <w:pPr>
              <w:rPr>
                <w:rFonts w:eastAsia="SimSun"/>
              </w:rPr>
            </w:pPr>
            <w:r w:rsidRPr="00AC3044">
              <w:rPr>
                <w:rFonts w:eastAsia="SimSun"/>
              </w:rPr>
              <w:t>Микофенолата мофетил</w:t>
            </w:r>
          </w:p>
        </w:tc>
        <w:tc>
          <w:tcPr>
            <w:tcW w:w="1559" w:type="dxa"/>
            <w:vAlign w:val="center"/>
          </w:tcPr>
          <w:p w14:paraId="4A6E6EB2" w14:textId="77777777" w:rsidR="008143D9" w:rsidRPr="00AC3044" w:rsidRDefault="008143D9" w:rsidP="005A428D">
            <w:pPr>
              <w:rPr>
                <w:rFonts w:eastAsia="SimSun"/>
              </w:rPr>
            </w:pPr>
            <w:r w:rsidRPr="00AC3044">
              <w:rPr>
                <w:rFonts w:eastAsia="SimSun"/>
              </w:rPr>
              <w:t>30 мг/кг</w:t>
            </w:r>
          </w:p>
        </w:tc>
        <w:tc>
          <w:tcPr>
            <w:tcW w:w="1418" w:type="dxa"/>
            <w:vAlign w:val="center"/>
          </w:tcPr>
          <w:p w14:paraId="09998F17" w14:textId="77777777" w:rsidR="008143D9" w:rsidRPr="00AC3044" w:rsidRDefault="008143D9" w:rsidP="005A428D">
            <w:pPr>
              <w:rPr>
                <w:rFonts w:eastAsia="SimSun"/>
              </w:rPr>
            </w:pPr>
            <w:r w:rsidRPr="00AC3044">
              <w:rPr>
                <w:rFonts w:eastAsia="SimSun"/>
              </w:rPr>
              <w:t>–</w:t>
            </w:r>
          </w:p>
        </w:tc>
        <w:tc>
          <w:tcPr>
            <w:tcW w:w="1701" w:type="dxa"/>
            <w:vAlign w:val="center"/>
          </w:tcPr>
          <w:p w14:paraId="63131276" w14:textId="77777777" w:rsidR="008143D9" w:rsidRPr="00AC3044" w:rsidRDefault="008143D9" w:rsidP="005A428D">
            <w:pPr>
              <w:rPr>
                <w:rFonts w:eastAsia="SimSun"/>
              </w:rPr>
            </w:pPr>
            <w:r w:rsidRPr="00AC3044">
              <w:rPr>
                <w:rFonts w:eastAsia="SimSun"/>
              </w:rPr>
              <w:t>С +5 по +90 день</w:t>
            </w:r>
          </w:p>
        </w:tc>
        <w:tc>
          <w:tcPr>
            <w:tcW w:w="2268" w:type="dxa"/>
            <w:vAlign w:val="center"/>
          </w:tcPr>
          <w:p w14:paraId="6DB8200A" w14:textId="77777777" w:rsidR="008143D9" w:rsidRPr="00AC3044" w:rsidRDefault="008143D9" w:rsidP="005A428D">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8143D9" w:rsidRPr="00AC3044" w14:paraId="1E68588D" w14:textId="77777777" w:rsidTr="005A428D">
        <w:trPr>
          <w:cantSplit/>
          <w:trHeight w:val="20"/>
        </w:trPr>
        <w:tc>
          <w:tcPr>
            <w:tcW w:w="993" w:type="dxa"/>
            <w:vMerge/>
            <w:textDirection w:val="btLr"/>
          </w:tcPr>
          <w:p w14:paraId="0C2B7E87" w14:textId="77777777" w:rsidR="008143D9" w:rsidRPr="00AC3044" w:rsidRDefault="008143D9" w:rsidP="005A428D">
            <w:pPr>
              <w:rPr>
                <w:rFonts w:eastAsia="SimSun"/>
              </w:rPr>
            </w:pPr>
          </w:p>
        </w:tc>
        <w:tc>
          <w:tcPr>
            <w:tcW w:w="1701" w:type="dxa"/>
            <w:vAlign w:val="center"/>
          </w:tcPr>
          <w:p w14:paraId="7BA1C539" w14:textId="77777777" w:rsidR="008143D9" w:rsidRPr="00AC3044" w:rsidRDefault="008143D9" w:rsidP="005A428D">
            <w:pPr>
              <w:rPr>
                <w:rFonts w:eastAsia="SimSun"/>
              </w:rPr>
            </w:pPr>
            <w:r w:rsidRPr="00AC3044">
              <w:rPr>
                <w:rFonts w:eastAsia="SimSun"/>
              </w:rPr>
              <w:t>Циклофосфамид</w:t>
            </w:r>
          </w:p>
        </w:tc>
        <w:tc>
          <w:tcPr>
            <w:tcW w:w="1559" w:type="dxa"/>
            <w:vAlign w:val="center"/>
          </w:tcPr>
          <w:p w14:paraId="08182727" w14:textId="77777777" w:rsidR="008143D9" w:rsidRPr="00AC3044" w:rsidRDefault="008143D9" w:rsidP="005A428D">
            <w:pPr>
              <w:rPr>
                <w:rFonts w:eastAsia="SimSun"/>
              </w:rPr>
            </w:pPr>
            <w:r w:rsidRPr="00AC3044">
              <w:rPr>
                <w:rFonts w:eastAsia="SimSun"/>
              </w:rPr>
              <w:t>50 мг/кг</w:t>
            </w:r>
          </w:p>
        </w:tc>
        <w:tc>
          <w:tcPr>
            <w:tcW w:w="1418" w:type="dxa"/>
            <w:vAlign w:val="center"/>
          </w:tcPr>
          <w:p w14:paraId="21A2B7FF" w14:textId="77777777" w:rsidR="008143D9" w:rsidRPr="00AC3044" w:rsidRDefault="008143D9" w:rsidP="005A428D">
            <w:pPr>
              <w:rPr>
                <w:rFonts w:eastAsia="SimSun"/>
              </w:rPr>
            </w:pPr>
            <w:r w:rsidRPr="00AC3044">
              <w:rPr>
                <w:rFonts w:eastAsia="SimSun"/>
              </w:rPr>
              <w:t>100 мг/кг</w:t>
            </w:r>
          </w:p>
        </w:tc>
        <w:tc>
          <w:tcPr>
            <w:tcW w:w="1701" w:type="dxa"/>
            <w:vAlign w:val="center"/>
          </w:tcPr>
          <w:p w14:paraId="7A796748" w14:textId="77777777" w:rsidR="008143D9" w:rsidRPr="00AC3044" w:rsidRDefault="008143D9" w:rsidP="005A428D">
            <w:pPr>
              <w:rPr>
                <w:rFonts w:eastAsia="SimSun"/>
              </w:rPr>
            </w:pPr>
            <w:r w:rsidRPr="00AC3044">
              <w:rPr>
                <w:rFonts w:eastAsia="SimSun"/>
              </w:rPr>
              <w:t xml:space="preserve">+3,+4 дни </w:t>
            </w:r>
          </w:p>
        </w:tc>
        <w:tc>
          <w:tcPr>
            <w:tcW w:w="2268" w:type="dxa"/>
            <w:vAlign w:val="center"/>
          </w:tcPr>
          <w:p w14:paraId="1E7C3775" w14:textId="77777777" w:rsidR="008143D9" w:rsidRPr="00AC3044" w:rsidRDefault="008143D9" w:rsidP="005A428D">
            <w:pPr>
              <w:rPr>
                <w:rFonts w:eastAsia="SimSun"/>
              </w:rPr>
            </w:pPr>
            <w:r w:rsidRPr="00AC3044">
              <w:rPr>
                <w:rFonts w:eastAsia="SimSun"/>
              </w:rPr>
              <w:t>В/в, в течение 2 часов</w:t>
            </w:r>
          </w:p>
        </w:tc>
      </w:tr>
    </w:tbl>
    <w:p w14:paraId="2419D2EB" w14:textId="77777777" w:rsidR="008143D9" w:rsidRPr="00C07B2E" w:rsidRDefault="008143D9" w:rsidP="008143D9">
      <w:pPr>
        <w:rPr>
          <w:rFonts w:eastAsia="SimSun"/>
        </w:rPr>
      </w:pPr>
    </w:p>
    <w:p w14:paraId="0DBD55F8" w14:textId="77777777" w:rsidR="008143D9" w:rsidRPr="00C07B2E" w:rsidRDefault="008143D9" w:rsidP="008143D9">
      <w:pPr>
        <w:rPr>
          <w:rFonts w:eastAsia="SimSun"/>
        </w:rPr>
      </w:pPr>
      <w:bookmarkStart w:id="163" w:name="_Toc44401204"/>
      <w:r w:rsidRPr="00042499">
        <w:rPr>
          <w:rFonts w:eastAsia="SimSun"/>
        </w:rPr>
        <w:t>Таблица</w:t>
      </w:r>
      <w:r w:rsidRPr="00C07B2E">
        <w:rPr>
          <w:rFonts w:eastAsia="SimSun"/>
        </w:rPr>
        <w:t xml:space="preserve"> </w:t>
      </w:r>
      <w:r>
        <w:rPr>
          <w:rFonts w:eastAsia="SimSun"/>
        </w:rPr>
        <w:t>5.</w:t>
      </w:r>
      <w:r w:rsidRPr="00C07B2E">
        <w:rPr>
          <w:rFonts w:eastAsia="SimSun"/>
        </w:rPr>
        <w:t>2.2.4  – Flu150+Bu8+Thio / PT-Cy+ CSA+MMF45</w:t>
      </w:r>
      <w:bookmarkEnd w:id="163"/>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8143D9" w:rsidRPr="00AC3044" w14:paraId="24550A38" w14:textId="77777777" w:rsidTr="005A428D">
        <w:trPr>
          <w:cantSplit/>
          <w:trHeight w:val="20"/>
          <w:tblHeader/>
        </w:trPr>
        <w:tc>
          <w:tcPr>
            <w:tcW w:w="851" w:type="dxa"/>
          </w:tcPr>
          <w:p w14:paraId="3397C158" w14:textId="77777777" w:rsidR="008143D9" w:rsidRPr="00470D3D" w:rsidRDefault="008143D9" w:rsidP="005A428D">
            <w:pPr>
              <w:rPr>
                <w:rFonts w:eastAsia="SimSun"/>
              </w:rPr>
            </w:pPr>
          </w:p>
        </w:tc>
        <w:tc>
          <w:tcPr>
            <w:tcW w:w="1701" w:type="dxa"/>
            <w:vAlign w:val="center"/>
          </w:tcPr>
          <w:p w14:paraId="5FE113ED" w14:textId="77777777" w:rsidR="008143D9" w:rsidRPr="00AC3044" w:rsidRDefault="008143D9" w:rsidP="005A428D">
            <w:pPr>
              <w:rPr>
                <w:rFonts w:eastAsia="SimSun"/>
              </w:rPr>
            </w:pPr>
            <w:r w:rsidRPr="00AC3044">
              <w:rPr>
                <w:rFonts w:eastAsia="SimSun"/>
              </w:rPr>
              <w:t>Препарат</w:t>
            </w:r>
          </w:p>
        </w:tc>
        <w:tc>
          <w:tcPr>
            <w:tcW w:w="1559" w:type="dxa"/>
            <w:vAlign w:val="center"/>
          </w:tcPr>
          <w:p w14:paraId="58C64576" w14:textId="77777777" w:rsidR="008143D9" w:rsidRPr="00AC3044" w:rsidRDefault="008143D9" w:rsidP="005A428D">
            <w:pPr>
              <w:rPr>
                <w:rFonts w:eastAsia="SimSun"/>
              </w:rPr>
            </w:pPr>
            <w:r w:rsidRPr="00AC3044">
              <w:rPr>
                <w:rFonts w:eastAsia="SimSun"/>
              </w:rPr>
              <w:t>Суточная доза</w:t>
            </w:r>
          </w:p>
        </w:tc>
        <w:tc>
          <w:tcPr>
            <w:tcW w:w="1418" w:type="dxa"/>
            <w:vAlign w:val="center"/>
          </w:tcPr>
          <w:p w14:paraId="49639BF4" w14:textId="77777777" w:rsidR="008143D9" w:rsidRPr="00AC3044" w:rsidRDefault="008143D9" w:rsidP="005A428D">
            <w:pPr>
              <w:rPr>
                <w:rFonts w:eastAsia="SimSun"/>
              </w:rPr>
            </w:pPr>
            <w:r w:rsidRPr="00AC3044">
              <w:rPr>
                <w:rFonts w:eastAsia="SimSun"/>
              </w:rPr>
              <w:t>Курсовая доза</w:t>
            </w:r>
          </w:p>
        </w:tc>
        <w:tc>
          <w:tcPr>
            <w:tcW w:w="1701" w:type="dxa"/>
            <w:vAlign w:val="center"/>
          </w:tcPr>
          <w:p w14:paraId="0D62C28D" w14:textId="77777777" w:rsidR="008143D9" w:rsidRPr="00AC3044" w:rsidRDefault="008143D9" w:rsidP="005A428D">
            <w:pPr>
              <w:rPr>
                <w:rFonts w:eastAsia="SimSun"/>
              </w:rPr>
            </w:pPr>
            <w:r w:rsidRPr="00AC3044">
              <w:rPr>
                <w:rFonts w:eastAsia="SimSun"/>
              </w:rPr>
              <w:t>Дни введения</w:t>
            </w:r>
          </w:p>
        </w:tc>
        <w:tc>
          <w:tcPr>
            <w:tcW w:w="2268" w:type="dxa"/>
            <w:vAlign w:val="center"/>
          </w:tcPr>
          <w:p w14:paraId="20CE45B6"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3FE09342" w14:textId="77777777" w:rsidTr="005A428D">
        <w:trPr>
          <w:cantSplit/>
          <w:trHeight w:val="20"/>
        </w:trPr>
        <w:tc>
          <w:tcPr>
            <w:tcW w:w="851" w:type="dxa"/>
            <w:vMerge w:val="restart"/>
            <w:textDirection w:val="btLr"/>
            <w:vAlign w:val="center"/>
          </w:tcPr>
          <w:p w14:paraId="6D75DB89" w14:textId="77777777" w:rsidR="008143D9" w:rsidRPr="00AC3044" w:rsidRDefault="008143D9" w:rsidP="005A428D">
            <w:pPr>
              <w:rPr>
                <w:rFonts w:eastAsia="SimSun"/>
              </w:rPr>
            </w:pPr>
            <w:r w:rsidRPr="00AC3044">
              <w:rPr>
                <w:rFonts w:eastAsia="SimSun"/>
              </w:rPr>
              <w:t>Кондиционирование</w:t>
            </w:r>
          </w:p>
        </w:tc>
        <w:tc>
          <w:tcPr>
            <w:tcW w:w="1701" w:type="dxa"/>
            <w:vAlign w:val="center"/>
          </w:tcPr>
          <w:p w14:paraId="5D7404C3" w14:textId="77777777" w:rsidR="008143D9" w:rsidRPr="00AC3044" w:rsidRDefault="008143D9" w:rsidP="005A428D">
            <w:pPr>
              <w:rPr>
                <w:rFonts w:eastAsia="SimSun"/>
              </w:rPr>
            </w:pPr>
            <w:r w:rsidRPr="00AC3044">
              <w:rPr>
                <w:rFonts w:eastAsia="SimSun"/>
              </w:rPr>
              <w:t xml:space="preserve">Флударабин </w:t>
            </w:r>
          </w:p>
        </w:tc>
        <w:tc>
          <w:tcPr>
            <w:tcW w:w="1559" w:type="dxa"/>
            <w:vAlign w:val="center"/>
          </w:tcPr>
          <w:p w14:paraId="46E79F8E" w14:textId="77777777" w:rsidR="008143D9" w:rsidRPr="00AC3044" w:rsidRDefault="008143D9" w:rsidP="005A428D">
            <w:pPr>
              <w:rPr>
                <w:rFonts w:eastAsia="SimSun"/>
              </w:rPr>
            </w:pPr>
            <w:r w:rsidRPr="00AC3044">
              <w:rPr>
                <w:rFonts w:eastAsia="SimSun"/>
              </w:rPr>
              <w:t>50 мг/м</w:t>
            </w:r>
            <w:r w:rsidRPr="00DB259E">
              <w:rPr>
                <w:rFonts w:eastAsia="SimSun"/>
                <w:vertAlign w:val="superscript"/>
              </w:rPr>
              <w:t>2</w:t>
            </w:r>
          </w:p>
        </w:tc>
        <w:tc>
          <w:tcPr>
            <w:tcW w:w="1418" w:type="dxa"/>
            <w:vAlign w:val="center"/>
          </w:tcPr>
          <w:p w14:paraId="3EE0E7F2" w14:textId="77777777" w:rsidR="008143D9" w:rsidRPr="00AC3044" w:rsidRDefault="008143D9" w:rsidP="005A428D">
            <w:pPr>
              <w:rPr>
                <w:rFonts w:eastAsia="SimSun"/>
              </w:rPr>
            </w:pPr>
            <w:r w:rsidRPr="00AC3044">
              <w:rPr>
                <w:rFonts w:eastAsia="SimSun"/>
              </w:rPr>
              <w:t>150 мг/м</w:t>
            </w:r>
            <w:r w:rsidRPr="00DB259E">
              <w:rPr>
                <w:rFonts w:eastAsia="SimSun"/>
                <w:vertAlign w:val="superscript"/>
              </w:rPr>
              <w:t>2</w:t>
            </w:r>
          </w:p>
        </w:tc>
        <w:tc>
          <w:tcPr>
            <w:tcW w:w="1701" w:type="dxa"/>
            <w:vAlign w:val="center"/>
          </w:tcPr>
          <w:p w14:paraId="552F1531" w14:textId="77777777" w:rsidR="008143D9" w:rsidRPr="00AC3044" w:rsidRDefault="008143D9" w:rsidP="005A428D">
            <w:pPr>
              <w:rPr>
                <w:rFonts w:eastAsia="SimSun"/>
              </w:rPr>
            </w:pPr>
            <w:r w:rsidRPr="00AC3044">
              <w:rPr>
                <w:rFonts w:eastAsia="SimSun"/>
              </w:rPr>
              <w:t>С –4 по –2 день</w:t>
            </w:r>
          </w:p>
        </w:tc>
        <w:tc>
          <w:tcPr>
            <w:tcW w:w="2268" w:type="dxa"/>
            <w:vAlign w:val="center"/>
          </w:tcPr>
          <w:p w14:paraId="0A4CD052"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5DD9C9D5" w14:textId="77777777" w:rsidTr="005A428D">
        <w:trPr>
          <w:cantSplit/>
          <w:trHeight w:val="1015"/>
        </w:trPr>
        <w:tc>
          <w:tcPr>
            <w:tcW w:w="851" w:type="dxa"/>
            <w:vMerge/>
            <w:textDirection w:val="btLr"/>
            <w:vAlign w:val="center"/>
          </w:tcPr>
          <w:p w14:paraId="257E3108" w14:textId="77777777" w:rsidR="008143D9" w:rsidRPr="00AC3044" w:rsidRDefault="008143D9" w:rsidP="005A428D">
            <w:pPr>
              <w:rPr>
                <w:rFonts w:eastAsia="SimSun"/>
              </w:rPr>
            </w:pPr>
          </w:p>
        </w:tc>
        <w:tc>
          <w:tcPr>
            <w:tcW w:w="1701" w:type="dxa"/>
            <w:vAlign w:val="center"/>
          </w:tcPr>
          <w:p w14:paraId="752BC284" w14:textId="77777777" w:rsidR="008143D9" w:rsidRPr="00AC3044" w:rsidRDefault="008143D9" w:rsidP="005A428D">
            <w:pPr>
              <w:rPr>
                <w:rFonts w:eastAsia="SimSun"/>
              </w:rPr>
            </w:pPr>
            <w:r w:rsidRPr="00AC3044">
              <w:rPr>
                <w:rFonts w:eastAsia="SimSun"/>
              </w:rPr>
              <w:t>Бусульфан</w:t>
            </w:r>
          </w:p>
        </w:tc>
        <w:tc>
          <w:tcPr>
            <w:tcW w:w="1559" w:type="dxa"/>
            <w:vAlign w:val="center"/>
          </w:tcPr>
          <w:p w14:paraId="2AD22E27" w14:textId="77777777" w:rsidR="008143D9" w:rsidRPr="00AC3044" w:rsidRDefault="008143D9" w:rsidP="005A428D">
            <w:pPr>
              <w:rPr>
                <w:rFonts w:eastAsia="SimSun"/>
              </w:rPr>
            </w:pPr>
            <w:r w:rsidRPr="00AC3044">
              <w:rPr>
                <w:rFonts w:eastAsia="SimSun"/>
              </w:rPr>
              <w:t>4 мг/кг</w:t>
            </w:r>
          </w:p>
        </w:tc>
        <w:tc>
          <w:tcPr>
            <w:tcW w:w="1418" w:type="dxa"/>
            <w:vAlign w:val="center"/>
          </w:tcPr>
          <w:p w14:paraId="5C414CBB" w14:textId="77777777" w:rsidR="008143D9" w:rsidRPr="00AC3044" w:rsidRDefault="008143D9" w:rsidP="005A428D">
            <w:pPr>
              <w:rPr>
                <w:rFonts w:eastAsia="SimSun"/>
              </w:rPr>
            </w:pPr>
            <w:r w:rsidRPr="00AC3044">
              <w:rPr>
                <w:rFonts w:eastAsia="SimSun"/>
              </w:rPr>
              <w:t>8 мг/кг</w:t>
            </w:r>
          </w:p>
        </w:tc>
        <w:tc>
          <w:tcPr>
            <w:tcW w:w="1701" w:type="dxa"/>
            <w:vAlign w:val="center"/>
          </w:tcPr>
          <w:p w14:paraId="50299579" w14:textId="77777777" w:rsidR="008143D9" w:rsidRPr="00AC3044" w:rsidRDefault="008143D9" w:rsidP="005A428D">
            <w:pPr>
              <w:rPr>
                <w:rFonts w:eastAsia="SimSun"/>
              </w:rPr>
            </w:pPr>
            <w:r w:rsidRPr="00AC3044">
              <w:rPr>
                <w:rFonts w:eastAsia="SimSun"/>
              </w:rPr>
              <w:t>–3, –2 дни</w:t>
            </w:r>
          </w:p>
        </w:tc>
        <w:tc>
          <w:tcPr>
            <w:tcW w:w="2268" w:type="dxa"/>
            <w:vAlign w:val="center"/>
          </w:tcPr>
          <w:p w14:paraId="6658203E" w14:textId="77777777" w:rsidR="008143D9" w:rsidRPr="00AC3044" w:rsidRDefault="008143D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8143D9" w:rsidRPr="00AC3044" w14:paraId="3B5E4B6C" w14:textId="77777777" w:rsidTr="005A428D">
        <w:trPr>
          <w:cantSplit/>
          <w:trHeight w:val="238"/>
        </w:trPr>
        <w:tc>
          <w:tcPr>
            <w:tcW w:w="851" w:type="dxa"/>
            <w:vMerge/>
            <w:textDirection w:val="btLr"/>
            <w:vAlign w:val="center"/>
          </w:tcPr>
          <w:p w14:paraId="0720CC05" w14:textId="77777777" w:rsidR="008143D9" w:rsidRPr="00AC3044" w:rsidRDefault="008143D9" w:rsidP="005A428D">
            <w:pPr>
              <w:rPr>
                <w:rFonts w:eastAsia="SimSun"/>
              </w:rPr>
            </w:pPr>
          </w:p>
        </w:tc>
        <w:tc>
          <w:tcPr>
            <w:tcW w:w="1701" w:type="dxa"/>
            <w:vAlign w:val="center"/>
          </w:tcPr>
          <w:p w14:paraId="103F94EA" w14:textId="77777777" w:rsidR="008143D9" w:rsidRPr="00AC3044" w:rsidRDefault="008143D9" w:rsidP="005A428D">
            <w:pPr>
              <w:rPr>
                <w:rFonts w:eastAsia="SimSun"/>
              </w:rPr>
            </w:pPr>
            <w:r w:rsidRPr="00AC3044">
              <w:rPr>
                <w:rFonts w:eastAsia="SimSun"/>
              </w:rPr>
              <w:t>Тиотепа</w:t>
            </w:r>
          </w:p>
        </w:tc>
        <w:tc>
          <w:tcPr>
            <w:tcW w:w="1559" w:type="dxa"/>
            <w:vAlign w:val="center"/>
          </w:tcPr>
          <w:p w14:paraId="72409837" w14:textId="77777777" w:rsidR="008143D9" w:rsidRPr="00AC3044" w:rsidRDefault="008143D9" w:rsidP="005A428D">
            <w:pPr>
              <w:rPr>
                <w:rFonts w:eastAsia="SimSun"/>
              </w:rPr>
            </w:pPr>
            <w:r w:rsidRPr="00AC3044">
              <w:rPr>
                <w:rFonts w:eastAsia="SimSun"/>
              </w:rPr>
              <w:t>5 мг/кг</w:t>
            </w:r>
          </w:p>
        </w:tc>
        <w:tc>
          <w:tcPr>
            <w:tcW w:w="1418" w:type="dxa"/>
            <w:vAlign w:val="center"/>
          </w:tcPr>
          <w:p w14:paraId="331C7390" w14:textId="77777777" w:rsidR="008143D9" w:rsidRPr="00AC3044" w:rsidRDefault="008143D9" w:rsidP="005A428D">
            <w:pPr>
              <w:rPr>
                <w:rFonts w:eastAsia="SimSun"/>
              </w:rPr>
            </w:pPr>
            <w:r w:rsidRPr="00AC3044">
              <w:rPr>
                <w:rFonts w:eastAsia="SimSun"/>
              </w:rPr>
              <w:t>10 мг/кг</w:t>
            </w:r>
          </w:p>
        </w:tc>
        <w:tc>
          <w:tcPr>
            <w:tcW w:w="1701" w:type="dxa"/>
            <w:vAlign w:val="center"/>
          </w:tcPr>
          <w:p w14:paraId="658A1F45" w14:textId="77777777" w:rsidR="008143D9" w:rsidRPr="00AC3044" w:rsidRDefault="008143D9" w:rsidP="005A428D">
            <w:pPr>
              <w:rPr>
                <w:rFonts w:eastAsia="SimSun"/>
              </w:rPr>
            </w:pPr>
            <w:r w:rsidRPr="00AC3044">
              <w:rPr>
                <w:rFonts w:eastAsia="SimSun"/>
              </w:rPr>
              <w:t>-6,-5 дни</w:t>
            </w:r>
          </w:p>
        </w:tc>
        <w:tc>
          <w:tcPr>
            <w:tcW w:w="2268" w:type="dxa"/>
            <w:vAlign w:val="center"/>
          </w:tcPr>
          <w:p w14:paraId="7EDE9099" w14:textId="77777777" w:rsidR="008143D9" w:rsidRPr="00AC3044" w:rsidRDefault="008143D9" w:rsidP="005A428D">
            <w:pPr>
              <w:rPr>
                <w:rFonts w:eastAsia="SimSun"/>
              </w:rPr>
            </w:pPr>
            <w:r w:rsidRPr="00AC3044">
              <w:rPr>
                <w:rFonts w:eastAsia="SimSun"/>
              </w:rPr>
              <w:t>В/в, в течение 2 часов</w:t>
            </w:r>
          </w:p>
        </w:tc>
      </w:tr>
      <w:tr w:rsidR="008143D9" w:rsidRPr="00AC3044" w14:paraId="3EC24642" w14:textId="77777777" w:rsidTr="005A428D">
        <w:trPr>
          <w:cantSplit/>
          <w:trHeight w:val="2464"/>
        </w:trPr>
        <w:tc>
          <w:tcPr>
            <w:tcW w:w="851" w:type="dxa"/>
            <w:vMerge w:val="restart"/>
            <w:textDirection w:val="btLr"/>
            <w:vAlign w:val="center"/>
          </w:tcPr>
          <w:p w14:paraId="2B80423B" w14:textId="77777777" w:rsidR="008143D9" w:rsidRPr="00AC3044" w:rsidRDefault="008143D9" w:rsidP="005A428D">
            <w:pPr>
              <w:rPr>
                <w:rFonts w:eastAsia="SimSun"/>
              </w:rPr>
            </w:pPr>
            <w:r w:rsidRPr="00AC3044">
              <w:rPr>
                <w:rFonts w:eastAsia="SimSun"/>
              </w:rPr>
              <w:t>Профилактика РТПХ</w:t>
            </w:r>
          </w:p>
        </w:tc>
        <w:tc>
          <w:tcPr>
            <w:tcW w:w="1701" w:type="dxa"/>
            <w:vAlign w:val="center"/>
          </w:tcPr>
          <w:p w14:paraId="72799CA9" w14:textId="77777777" w:rsidR="008143D9" w:rsidRPr="00AC3044" w:rsidRDefault="008143D9" w:rsidP="005A428D">
            <w:pPr>
              <w:rPr>
                <w:rFonts w:eastAsia="SimSun"/>
              </w:rPr>
            </w:pPr>
            <w:r w:rsidRPr="00AC3044">
              <w:rPr>
                <w:rFonts w:eastAsia="SimSun"/>
              </w:rPr>
              <w:t>Циклоспорин</w:t>
            </w:r>
          </w:p>
        </w:tc>
        <w:tc>
          <w:tcPr>
            <w:tcW w:w="1559" w:type="dxa"/>
            <w:vAlign w:val="center"/>
          </w:tcPr>
          <w:p w14:paraId="3E7BE752" w14:textId="77777777" w:rsidR="008143D9" w:rsidRPr="00AC3044" w:rsidRDefault="008143D9" w:rsidP="005A428D">
            <w:pPr>
              <w:rPr>
                <w:rFonts w:eastAsia="SimSun"/>
              </w:rPr>
            </w:pPr>
            <w:r w:rsidRPr="00AC3044">
              <w:rPr>
                <w:rFonts w:eastAsia="SimSun"/>
              </w:rPr>
              <w:t>3 мг/кг</w:t>
            </w:r>
          </w:p>
        </w:tc>
        <w:tc>
          <w:tcPr>
            <w:tcW w:w="1418" w:type="dxa"/>
            <w:vAlign w:val="center"/>
          </w:tcPr>
          <w:p w14:paraId="32660C3B" w14:textId="77777777" w:rsidR="008143D9" w:rsidRPr="00AC3044" w:rsidRDefault="008143D9" w:rsidP="005A428D">
            <w:pPr>
              <w:rPr>
                <w:rFonts w:eastAsia="SimSun"/>
              </w:rPr>
            </w:pPr>
            <w:r w:rsidRPr="00AC3044">
              <w:rPr>
                <w:rFonts w:eastAsia="SimSun"/>
              </w:rPr>
              <w:t>–</w:t>
            </w:r>
          </w:p>
        </w:tc>
        <w:tc>
          <w:tcPr>
            <w:tcW w:w="1701" w:type="dxa"/>
            <w:vAlign w:val="center"/>
          </w:tcPr>
          <w:p w14:paraId="0FF00C4D" w14:textId="77777777" w:rsidR="008143D9" w:rsidRPr="00AC3044" w:rsidRDefault="008143D9" w:rsidP="005A428D">
            <w:pPr>
              <w:rPr>
                <w:rFonts w:eastAsia="SimSun"/>
              </w:rPr>
            </w:pPr>
            <w:r w:rsidRPr="00AC3044">
              <w:rPr>
                <w:rFonts w:eastAsia="SimSun"/>
              </w:rPr>
              <w:t>С +5 дня по +90 день затем постепенное снижение к +180 дню</w:t>
            </w:r>
          </w:p>
        </w:tc>
        <w:tc>
          <w:tcPr>
            <w:tcW w:w="2268" w:type="dxa"/>
            <w:vAlign w:val="center"/>
          </w:tcPr>
          <w:p w14:paraId="0714A9C9" w14:textId="77777777" w:rsidR="008143D9" w:rsidRPr="00AC3044" w:rsidRDefault="008143D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8143D9" w:rsidRPr="00AC3044" w14:paraId="488EFDAD" w14:textId="77777777" w:rsidTr="005A428D">
        <w:trPr>
          <w:cantSplit/>
          <w:trHeight w:val="20"/>
        </w:trPr>
        <w:tc>
          <w:tcPr>
            <w:tcW w:w="851" w:type="dxa"/>
            <w:vMerge/>
            <w:textDirection w:val="btLr"/>
          </w:tcPr>
          <w:p w14:paraId="3E0E1B55" w14:textId="77777777" w:rsidR="008143D9" w:rsidRPr="00AC3044" w:rsidRDefault="008143D9" w:rsidP="005A428D">
            <w:pPr>
              <w:rPr>
                <w:rFonts w:eastAsia="SimSun"/>
              </w:rPr>
            </w:pPr>
          </w:p>
        </w:tc>
        <w:tc>
          <w:tcPr>
            <w:tcW w:w="1701" w:type="dxa"/>
            <w:vAlign w:val="center"/>
          </w:tcPr>
          <w:p w14:paraId="3E3B5F0D" w14:textId="77777777" w:rsidR="008143D9" w:rsidRPr="00AC3044" w:rsidRDefault="008143D9" w:rsidP="005A428D">
            <w:pPr>
              <w:rPr>
                <w:rFonts w:eastAsia="SimSun"/>
              </w:rPr>
            </w:pPr>
            <w:r w:rsidRPr="00AC3044">
              <w:rPr>
                <w:rFonts w:eastAsia="SimSun"/>
              </w:rPr>
              <w:t>Микофенолата мофетил</w:t>
            </w:r>
          </w:p>
        </w:tc>
        <w:tc>
          <w:tcPr>
            <w:tcW w:w="1559" w:type="dxa"/>
            <w:vAlign w:val="center"/>
          </w:tcPr>
          <w:p w14:paraId="06BA4108" w14:textId="77777777" w:rsidR="008143D9" w:rsidRPr="00AC3044" w:rsidRDefault="008143D9" w:rsidP="005A428D">
            <w:pPr>
              <w:rPr>
                <w:rFonts w:eastAsia="SimSun"/>
              </w:rPr>
            </w:pPr>
            <w:r w:rsidRPr="00AC3044">
              <w:rPr>
                <w:rFonts w:eastAsia="SimSun"/>
              </w:rPr>
              <w:t>45 мг/кг</w:t>
            </w:r>
          </w:p>
        </w:tc>
        <w:tc>
          <w:tcPr>
            <w:tcW w:w="1418" w:type="dxa"/>
            <w:vAlign w:val="center"/>
          </w:tcPr>
          <w:p w14:paraId="325D7213" w14:textId="77777777" w:rsidR="008143D9" w:rsidRPr="00AC3044" w:rsidRDefault="008143D9" w:rsidP="005A428D">
            <w:pPr>
              <w:rPr>
                <w:rFonts w:eastAsia="SimSun"/>
              </w:rPr>
            </w:pPr>
            <w:r w:rsidRPr="00AC3044">
              <w:rPr>
                <w:rFonts w:eastAsia="SimSun"/>
              </w:rPr>
              <w:t>–</w:t>
            </w:r>
          </w:p>
        </w:tc>
        <w:tc>
          <w:tcPr>
            <w:tcW w:w="1701" w:type="dxa"/>
            <w:vAlign w:val="center"/>
          </w:tcPr>
          <w:p w14:paraId="45EE1626" w14:textId="77777777" w:rsidR="008143D9" w:rsidRPr="00AC3044" w:rsidRDefault="008143D9" w:rsidP="005A428D">
            <w:pPr>
              <w:rPr>
                <w:rFonts w:eastAsia="SimSun"/>
              </w:rPr>
            </w:pPr>
            <w:r w:rsidRPr="00AC3044">
              <w:rPr>
                <w:rFonts w:eastAsia="SimSun"/>
              </w:rPr>
              <w:t>С +5 по +90 день</w:t>
            </w:r>
          </w:p>
        </w:tc>
        <w:tc>
          <w:tcPr>
            <w:tcW w:w="2268" w:type="dxa"/>
            <w:vAlign w:val="center"/>
          </w:tcPr>
          <w:p w14:paraId="59D48213" w14:textId="77777777" w:rsidR="008143D9" w:rsidRPr="00AC3044" w:rsidRDefault="008143D9" w:rsidP="005A428D">
            <w:pPr>
              <w:rPr>
                <w:rFonts w:eastAsia="SimSun"/>
              </w:rPr>
            </w:pPr>
            <w:r w:rsidRPr="00AC3044">
              <w:rPr>
                <w:rFonts w:eastAsia="SimSun"/>
              </w:rPr>
              <w:t xml:space="preserve">Внутрь, суммарная суточная доза разделяется на 2- 4 приема (не более 3г/сут).  </w:t>
            </w:r>
          </w:p>
        </w:tc>
      </w:tr>
      <w:tr w:rsidR="008143D9" w:rsidRPr="00AC3044" w14:paraId="798EE39C" w14:textId="77777777" w:rsidTr="005A428D">
        <w:trPr>
          <w:cantSplit/>
          <w:trHeight w:val="20"/>
        </w:trPr>
        <w:tc>
          <w:tcPr>
            <w:tcW w:w="851" w:type="dxa"/>
            <w:vMerge/>
            <w:textDirection w:val="btLr"/>
          </w:tcPr>
          <w:p w14:paraId="30A6A978" w14:textId="77777777" w:rsidR="008143D9" w:rsidRPr="00AC3044" w:rsidRDefault="008143D9" w:rsidP="005A428D">
            <w:pPr>
              <w:rPr>
                <w:rFonts w:eastAsia="SimSun"/>
              </w:rPr>
            </w:pPr>
          </w:p>
        </w:tc>
        <w:tc>
          <w:tcPr>
            <w:tcW w:w="1701" w:type="dxa"/>
            <w:vAlign w:val="center"/>
          </w:tcPr>
          <w:p w14:paraId="04C02F59" w14:textId="77777777" w:rsidR="008143D9" w:rsidRPr="00AC3044" w:rsidRDefault="008143D9" w:rsidP="005A428D">
            <w:pPr>
              <w:rPr>
                <w:rFonts w:eastAsia="SimSun"/>
              </w:rPr>
            </w:pPr>
            <w:r w:rsidRPr="00AC3044">
              <w:rPr>
                <w:rFonts w:eastAsia="SimSun"/>
              </w:rPr>
              <w:t>Циклофосфамид</w:t>
            </w:r>
          </w:p>
        </w:tc>
        <w:tc>
          <w:tcPr>
            <w:tcW w:w="1559" w:type="dxa"/>
            <w:vAlign w:val="center"/>
          </w:tcPr>
          <w:p w14:paraId="5BE51923" w14:textId="77777777" w:rsidR="008143D9" w:rsidRPr="00AC3044" w:rsidRDefault="008143D9" w:rsidP="005A428D">
            <w:pPr>
              <w:rPr>
                <w:rFonts w:eastAsia="SimSun"/>
              </w:rPr>
            </w:pPr>
            <w:r w:rsidRPr="00AC3044">
              <w:rPr>
                <w:rFonts w:eastAsia="SimSun"/>
              </w:rPr>
              <w:t>50 мг/кг</w:t>
            </w:r>
          </w:p>
        </w:tc>
        <w:tc>
          <w:tcPr>
            <w:tcW w:w="1418" w:type="dxa"/>
            <w:vAlign w:val="center"/>
          </w:tcPr>
          <w:p w14:paraId="7F022934" w14:textId="77777777" w:rsidR="008143D9" w:rsidRPr="00AC3044" w:rsidRDefault="008143D9" w:rsidP="005A428D">
            <w:pPr>
              <w:rPr>
                <w:rFonts w:eastAsia="SimSun"/>
              </w:rPr>
            </w:pPr>
            <w:r w:rsidRPr="00AC3044">
              <w:rPr>
                <w:rFonts w:eastAsia="SimSun"/>
              </w:rPr>
              <w:t>100 мг/кг</w:t>
            </w:r>
          </w:p>
        </w:tc>
        <w:tc>
          <w:tcPr>
            <w:tcW w:w="1701" w:type="dxa"/>
            <w:vAlign w:val="center"/>
          </w:tcPr>
          <w:p w14:paraId="10F3B9C3" w14:textId="77777777" w:rsidR="008143D9" w:rsidRPr="00AC3044" w:rsidRDefault="008143D9" w:rsidP="005A428D">
            <w:pPr>
              <w:rPr>
                <w:rFonts w:eastAsia="SimSun"/>
              </w:rPr>
            </w:pPr>
            <w:r w:rsidRPr="00AC3044">
              <w:rPr>
                <w:rFonts w:eastAsia="SimSun"/>
              </w:rPr>
              <w:t xml:space="preserve">+3,+4 дни </w:t>
            </w:r>
          </w:p>
        </w:tc>
        <w:tc>
          <w:tcPr>
            <w:tcW w:w="2268" w:type="dxa"/>
            <w:vAlign w:val="center"/>
          </w:tcPr>
          <w:p w14:paraId="712A29B4" w14:textId="77777777" w:rsidR="008143D9" w:rsidRPr="00AC3044" w:rsidRDefault="008143D9" w:rsidP="005A428D">
            <w:pPr>
              <w:rPr>
                <w:rFonts w:eastAsia="SimSun"/>
              </w:rPr>
            </w:pPr>
            <w:r w:rsidRPr="00AC3044">
              <w:rPr>
                <w:rFonts w:eastAsia="SimSun"/>
              </w:rPr>
              <w:t>В/в, в течение 2 часов</w:t>
            </w:r>
          </w:p>
        </w:tc>
      </w:tr>
    </w:tbl>
    <w:p w14:paraId="79BED65F" w14:textId="77777777" w:rsidR="008143D9" w:rsidRPr="00C07B2E" w:rsidRDefault="008143D9" w:rsidP="008143D9">
      <w:pPr>
        <w:rPr>
          <w:rFonts w:eastAsia="SimSun"/>
        </w:rPr>
      </w:pPr>
    </w:p>
    <w:p w14:paraId="293300B6" w14:textId="77777777" w:rsidR="008143D9" w:rsidRPr="00C07B2E" w:rsidRDefault="008143D9" w:rsidP="008143D9">
      <w:pPr>
        <w:rPr>
          <w:rFonts w:eastAsia="SimSun"/>
        </w:rPr>
      </w:pPr>
      <w:bookmarkStart w:id="164" w:name="_Toc44401205"/>
      <w:r w:rsidRPr="00042499">
        <w:rPr>
          <w:rFonts w:eastAsia="SimSun"/>
        </w:rPr>
        <w:t>Таблица</w:t>
      </w:r>
      <w:r w:rsidRPr="00C07B2E">
        <w:rPr>
          <w:rFonts w:eastAsia="SimSun"/>
        </w:rPr>
        <w:t xml:space="preserve"> </w:t>
      </w:r>
      <w:r>
        <w:rPr>
          <w:rFonts w:eastAsia="SimSun"/>
        </w:rPr>
        <w:t>5.</w:t>
      </w:r>
      <w:r w:rsidRPr="00C07B2E">
        <w:rPr>
          <w:rFonts w:eastAsia="SimSun"/>
        </w:rPr>
        <w:t>2.2.5  – Flu180+Bu8 / hATG+CSA+MTX+MMF45</w:t>
      </w:r>
      <w:bookmarkEnd w:id="164"/>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8143D9" w:rsidRPr="00AC3044" w14:paraId="10F80193" w14:textId="77777777" w:rsidTr="005A428D">
        <w:trPr>
          <w:cantSplit/>
          <w:trHeight w:val="20"/>
          <w:tblHeader/>
        </w:trPr>
        <w:tc>
          <w:tcPr>
            <w:tcW w:w="851" w:type="dxa"/>
            <w:vAlign w:val="center"/>
          </w:tcPr>
          <w:p w14:paraId="24AF05E2" w14:textId="77777777" w:rsidR="008143D9" w:rsidRPr="00470D3D" w:rsidRDefault="008143D9" w:rsidP="005A428D">
            <w:pPr>
              <w:rPr>
                <w:rFonts w:eastAsia="SimSun"/>
              </w:rPr>
            </w:pPr>
          </w:p>
        </w:tc>
        <w:tc>
          <w:tcPr>
            <w:tcW w:w="1701" w:type="dxa"/>
            <w:vAlign w:val="center"/>
          </w:tcPr>
          <w:p w14:paraId="698178AE" w14:textId="77777777" w:rsidR="008143D9" w:rsidRPr="00AC3044" w:rsidRDefault="008143D9" w:rsidP="005A428D">
            <w:pPr>
              <w:rPr>
                <w:rFonts w:eastAsia="SimSun"/>
              </w:rPr>
            </w:pPr>
            <w:r w:rsidRPr="00AC3044">
              <w:rPr>
                <w:rFonts w:eastAsia="SimSun"/>
              </w:rPr>
              <w:t>Препарат</w:t>
            </w:r>
          </w:p>
        </w:tc>
        <w:tc>
          <w:tcPr>
            <w:tcW w:w="1559" w:type="dxa"/>
            <w:vAlign w:val="center"/>
          </w:tcPr>
          <w:p w14:paraId="26FF934A" w14:textId="77777777" w:rsidR="008143D9" w:rsidRPr="00AC3044" w:rsidRDefault="008143D9" w:rsidP="005A428D">
            <w:pPr>
              <w:rPr>
                <w:rFonts w:eastAsia="SimSun"/>
              </w:rPr>
            </w:pPr>
            <w:r w:rsidRPr="00AC3044">
              <w:rPr>
                <w:rFonts w:eastAsia="SimSun"/>
              </w:rPr>
              <w:t>Суточная доза</w:t>
            </w:r>
          </w:p>
        </w:tc>
        <w:tc>
          <w:tcPr>
            <w:tcW w:w="1418" w:type="dxa"/>
            <w:vAlign w:val="center"/>
          </w:tcPr>
          <w:p w14:paraId="35C23CD3" w14:textId="77777777" w:rsidR="008143D9" w:rsidRPr="00AC3044" w:rsidRDefault="008143D9" w:rsidP="005A428D">
            <w:pPr>
              <w:rPr>
                <w:rFonts w:eastAsia="SimSun"/>
              </w:rPr>
            </w:pPr>
            <w:r w:rsidRPr="00AC3044">
              <w:rPr>
                <w:rFonts w:eastAsia="SimSun"/>
              </w:rPr>
              <w:t>Курсовая доза</w:t>
            </w:r>
          </w:p>
        </w:tc>
        <w:tc>
          <w:tcPr>
            <w:tcW w:w="1701" w:type="dxa"/>
            <w:vAlign w:val="center"/>
          </w:tcPr>
          <w:p w14:paraId="77A4344E" w14:textId="77777777" w:rsidR="008143D9" w:rsidRPr="00AC3044" w:rsidRDefault="008143D9" w:rsidP="005A428D">
            <w:pPr>
              <w:rPr>
                <w:rFonts w:eastAsia="SimSun"/>
              </w:rPr>
            </w:pPr>
            <w:r w:rsidRPr="00AC3044">
              <w:rPr>
                <w:rFonts w:eastAsia="SimSun"/>
              </w:rPr>
              <w:t>Дни введения</w:t>
            </w:r>
          </w:p>
        </w:tc>
        <w:tc>
          <w:tcPr>
            <w:tcW w:w="2268" w:type="dxa"/>
            <w:vAlign w:val="center"/>
          </w:tcPr>
          <w:p w14:paraId="71778361"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4FA82983" w14:textId="77777777" w:rsidTr="005A428D">
        <w:trPr>
          <w:cantSplit/>
          <w:trHeight w:val="20"/>
        </w:trPr>
        <w:tc>
          <w:tcPr>
            <w:tcW w:w="851" w:type="dxa"/>
            <w:vMerge w:val="restart"/>
            <w:textDirection w:val="btLr"/>
            <w:vAlign w:val="center"/>
          </w:tcPr>
          <w:p w14:paraId="15611615" w14:textId="77777777" w:rsidR="008143D9" w:rsidRPr="00AC3044" w:rsidRDefault="008143D9" w:rsidP="005A428D">
            <w:pPr>
              <w:rPr>
                <w:rFonts w:eastAsia="SimSun"/>
              </w:rPr>
            </w:pPr>
            <w:r w:rsidRPr="00AC3044">
              <w:rPr>
                <w:rFonts w:eastAsia="SimSun"/>
              </w:rPr>
              <w:t>Кондиционирование</w:t>
            </w:r>
          </w:p>
        </w:tc>
        <w:tc>
          <w:tcPr>
            <w:tcW w:w="1701" w:type="dxa"/>
            <w:vAlign w:val="center"/>
          </w:tcPr>
          <w:p w14:paraId="4898E784" w14:textId="77777777" w:rsidR="008143D9" w:rsidRPr="00AC3044" w:rsidRDefault="008143D9" w:rsidP="005A428D">
            <w:pPr>
              <w:rPr>
                <w:rFonts w:eastAsia="SimSun"/>
              </w:rPr>
            </w:pPr>
            <w:r w:rsidRPr="00AC3044">
              <w:rPr>
                <w:rFonts w:eastAsia="SimSun"/>
              </w:rPr>
              <w:t xml:space="preserve">Флударабин </w:t>
            </w:r>
          </w:p>
        </w:tc>
        <w:tc>
          <w:tcPr>
            <w:tcW w:w="1559" w:type="dxa"/>
            <w:vAlign w:val="center"/>
          </w:tcPr>
          <w:p w14:paraId="2CF67C29" w14:textId="77777777" w:rsidR="008143D9" w:rsidRPr="00AC3044" w:rsidRDefault="008143D9" w:rsidP="005A428D">
            <w:pPr>
              <w:rPr>
                <w:rFonts w:eastAsia="SimSun"/>
              </w:rPr>
            </w:pPr>
            <w:r w:rsidRPr="00AC3044">
              <w:rPr>
                <w:rFonts w:eastAsia="SimSun"/>
              </w:rPr>
              <w:t>30 мг/м</w:t>
            </w:r>
            <w:r w:rsidRPr="00DB259E">
              <w:rPr>
                <w:rFonts w:eastAsia="SimSun"/>
                <w:vertAlign w:val="superscript"/>
              </w:rPr>
              <w:t>2</w:t>
            </w:r>
          </w:p>
        </w:tc>
        <w:tc>
          <w:tcPr>
            <w:tcW w:w="1418" w:type="dxa"/>
            <w:vAlign w:val="center"/>
          </w:tcPr>
          <w:p w14:paraId="0705F622" w14:textId="77777777" w:rsidR="008143D9" w:rsidRPr="00AC3044" w:rsidRDefault="008143D9" w:rsidP="005A428D">
            <w:pPr>
              <w:rPr>
                <w:rFonts w:eastAsia="SimSun"/>
              </w:rPr>
            </w:pPr>
            <w:r w:rsidRPr="00AC3044">
              <w:rPr>
                <w:rFonts w:eastAsia="SimSun"/>
              </w:rPr>
              <w:t>180 мг/м</w:t>
            </w:r>
            <w:r w:rsidRPr="00DB259E">
              <w:rPr>
                <w:rFonts w:eastAsia="SimSun"/>
                <w:vertAlign w:val="superscript"/>
              </w:rPr>
              <w:t>2</w:t>
            </w:r>
          </w:p>
        </w:tc>
        <w:tc>
          <w:tcPr>
            <w:tcW w:w="1701" w:type="dxa"/>
            <w:vAlign w:val="center"/>
          </w:tcPr>
          <w:p w14:paraId="0AC02389" w14:textId="77777777" w:rsidR="008143D9" w:rsidRPr="00AC3044" w:rsidRDefault="008143D9" w:rsidP="005A428D">
            <w:pPr>
              <w:rPr>
                <w:rFonts w:eastAsia="SimSun"/>
              </w:rPr>
            </w:pPr>
            <w:r w:rsidRPr="00AC3044">
              <w:rPr>
                <w:rFonts w:eastAsia="SimSun"/>
              </w:rPr>
              <w:t>С –10 по –5 день</w:t>
            </w:r>
          </w:p>
        </w:tc>
        <w:tc>
          <w:tcPr>
            <w:tcW w:w="2268" w:type="dxa"/>
            <w:vAlign w:val="center"/>
          </w:tcPr>
          <w:p w14:paraId="0820068E"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01713F39" w14:textId="77777777" w:rsidTr="005A428D">
        <w:trPr>
          <w:cantSplit/>
          <w:trHeight w:val="20"/>
        </w:trPr>
        <w:tc>
          <w:tcPr>
            <w:tcW w:w="851" w:type="dxa"/>
            <w:vMerge/>
            <w:textDirection w:val="btLr"/>
            <w:vAlign w:val="center"/>
          </w:tcPr>
          <w:p w14:paraId="014D5BB6" w14:textId="77777777" w:rsidR="008143D9" w:rsidRPr="00AC3044" w:rsidRDefault="008143D9" w:rsidP="005A428D">
            <w:pPr>
              <w:rPr>
                <w:rFonts w:eastAsia="SimSun"/>
              </w:rPr>
            </w:pPr>
          </w:p>
        </w:tc>
        <w:tc>
          <w:tcPr>
            <w:tcW w:w="1701" w:type="dxa"/>
            <w:vAlign w:val="center"/>
          </w:tcPr>
          <w:p w14:paraId="0FC415C9" w14:textId="77777777" w:rsidR="008143D9" w:rsidRPr="00AC3044" w:rsidRDefault="008143D9" w:rsidP="005A428D">
            <w:pPr>
              <w:rPr>
                <w:rFonts w:eastAsia="SimSun"/>
              </w:rPr>
            </w:pPr>
            <w:r w:rsidRPr="00AC3044">
              <w:rPr>
                <w:rFonts w:eastAsia="SimSun"/>
              </w:rPr>
              <w:t>Бусульфан</w:t>
            </w:r>
          </w:p>
        </w:tc>
        <w:tc>
          <w:tcPr>
            <w:tcW w:w="1559" w:type="dxa"/>
            <w:vAlign w:val="center"/>
          </w:tcPr>
          <w:p w14:paraId="70846A21" w14:textId="77777777" w:rsidR="008143D9" w:rsidRPr="00AC3044" w:rsidRDefault="008143D9" w:rsidP="005A428D">
            <w:pPr>
              <w:rPr>
                <w:rFonts w:eastAsia="SimSun"/>
              </w:rPr>
            </w:pPr>
            <w:r w:rsidRPr="00AC3044">
              <w:rPr>
                <w:rFonts w:eastAsia="SimSun"/>
              </w:rPr>
              <w:t>4 мг/кг</w:t>
            </w:r>
          </w:p>
        </w:tc>
        <w:tc>
          <w:tcPr>
            <w:tcW w:w="1418" w:type="dxa"/>
            <w:vAlign w:val="center"/>
          </w:tcPr>
          <w:p w14:paraId="22E85C7A" w14:textId="77777777" w:rsidR="008143D9" w:rsidRPr="00AC3044" w:rsidRDefault="008143D9" w:rsidP="005A428D">
            <w:pPr>
              <w:rPr>
                <w:rFonts w:eastAsia="SimSun"/>
              </w:rPr>
            </w:pPr>
            <w:r w:rsidRPr="00AC3044">
              <w:rPr>
                <w:rFonts w:eastAsia="SimSun"/>
              </w:rPr>
              <w:t>8 мг/кг</w:t>
            </w:r>
          </w:p>
        </w:tc>
        <w:tc>
          <w:tcPr>
            <w:tcW w:w="1701" w:type="dxa"/>
            <w:vAlign w:val="center"/>
          </w:tcPr>
          <w:p w14:paraId="47308684" w14:textId="77777777" w:rsidR="008143D9" w:rsidRPr="00AC3044" w:rsidRDefault="008143D9" w:rsidP="005A428D">
            <w:pPr>
              <w:rPr>
                <w:rFonts w:eastAsia="SimSun"/>
              </w:rPr>
            </w:pPr>
            <w:r w:rsidRPr="00AC3044">
              <w:rPr>
                <w:rFonts w:eastAsia="SimSun"/>
              </w:rPr>
              <w:t>С –6 по –5 день</w:t>
            </w:r>
          </w:p>
        </w:tc>
        <w:tc>
          <w:tcPr>
            <w:tcW w:w="2268" w:type="dxa"/>
            <w:vAlign w:val="center"/>
          </w:tcPr>
          <w:p w14:paraId="2BA559C2" w14:textId="77777777" w:rsidR="008143D9" w:rsidRPr="00AC3044" w:rsidRDefault="008143D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8143D9" w:rsidRPr="00AC3044" w14:paraId="5A8E0466" w14:textId="77777777" w:rsidTr="005A428D">
        <w:trPr>
          <w:cantSplit/>
          <w:trHeight w:val="20"/>
        </w:trPr>
        <w:tc>
          <w:tcPr>
            <w:tcW w:w="851" w:type="dxa"/>
            <w:vMerge w:val="restart"/>
            <w:textDirection w:val="btLr"/>
            <w:vAlign w:val="center"/>
          </w:tcPr>
          <w:p w14:paraId="709315B7" w14:textId="77777777" w:rsidR="008143D9" w:rsidRPr="00AC3044" w:rsidRDefault="008143D9" w:rsidP="005A428D">
            <w:pPr>
              <w:rPr>
                <w:rFonts w:eastAsia="SimSun"/>
              </w:rPr>
            </w:pPr>
            <w:r w:rsidRPr="00AC3044">
              <w:rPr>
                <w:rFonts w:eastAsia="SimSun"/>
              </w:rPr>
              <w:t>Профилактика РТПХ</w:t>
            </w:r>
          </w:p>
        </w:tc>
        <w:tc>
          <w:tcPr>
            <w:tcW w:w="1701" w:type="dxa"/>
            <w:vAlign w:val="center"/>
          </w:tcPr>
          <w:p w14:paraId="55B50D88" w14:textId="77777777" w:rsidR="008143D9" w:rsidRPr="00AC3044" w:rsidRDefault="008143D9" w:rsidP="005A428D">
            <w:pPr>
              <w:rPr>
                <w:rFonts w:eastAsia="SimSun"/>
              </w:rPr>
            </w:pPr>
            <w:r w:rsidRPr="00AC3044">
              <w:rPr>
                <w:rFonts w:eastAsia="SimSun"/>
              </w:rPr>
              <w:t>АТГ (лошадиный)</w:t>
            </w:r>
          </w:p>
        </w:tc>
        <w:tc>
          <w:tcPr>
            <w:tcW w:w="1559" w:type="dxa"/>
            <w:vAlign w:val="center"/>
          </w:tcPr>
          <w:p w14:paraId="1DD5101F" w14:textId="77777777" w:rsidR="008143D9" w:rsidRPr="00AC3044" w:rsidRDefault="008143D9" w:rsidP="005A428D">
            <w:pPr>
              <w:rPr>
                <w:rFonts w:eastAsia="SimSun"/>
              </w:rPr>
            </w:pPr>
            <w:r w:rsidRPr="00AC3044">
              <w:rPr>
                <w:rFonts w:eastAsia="SimSun"/>
              </w:rPr>
              <w:t>10-15 мг/кг</w:t>
            </w:r>
          </w:p>
        </w:tc>
        <w:tc>
          <w:tcPr>
            <w:tcW w:w="1418" w:type="dxa"/>
            <w:vAlign w:val="center"/>
          </w:tcPr>
          <w:p w14:paraId="11D83674" w14:textId="77777777" w:rsidR="008143D9" w:rsidRPr="00AC3044" w:rsidRDefault="008143D9" w:rsidP="005A428D">
            <w:pPr>
              <w:rPr>
                <w:rFonts w:eastAsia="SimSun"/>
              </w:rPr>
            </w:pPr>
            <w:r w:rsidRPr="00AC3044">
              <w:rPr>
                <w:rFonts w:eastAsia="SimSun"/>
              </w:rPr>
              <w:t>40-60 мг/кг</w:t>
            </w:r>
          </w:p>
        </w:tc>
        <w:tc>
          <w:tcPr>
            <w:tcW w:w="1701" w:type="dxa"/>
            <w:vAlign w:val="center"/>
          </w:tcPr>
          <w:p w14:paraId="2EADB4AB" w14:textId="77777777" w:rsidR="008143D9" w:rsidRPr="00AC3044" w:rsidRDefault="008143D9" w:rsidP="005A428D">
            <w:pPr>
              <w:rPr>
                <w:rFonts w:eastAsia="SimSun"/>
              </w:rPr>
            </w:pPr>
            <w:r w:rsidRPr="00AC3044">
              <w:rPr>
                <w:rFonts w:eastAsia="SimSun"/>
              </w:rPr>
              <w:t>С –4 по –1 день</w:t>
            </w:r>
          </w:p>
        </w:tc>
        <w:tc>
          <w:tcPr>
            <w:tcW w:w="2268" w:type="dxa"/>
            <w:vAlign w:val="center"/>
          </w:tcPr>
          <w:p w14:paraId="58F8C442" w14:textId="77777777" w:rsidR="008143D9" w:rsidRPr="00AC3044" w:rsidRDefault="008143D9" w:rsidP="005A428D">
            <w:pPr>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8143D9" w:rsidRPr="00AC3044" w14:paraId="2DE4077C" w14:textId="77777777" w:rsidTr="005A428D">
        <w:trPr>
          <w:cantSplit/>
          <w:trHeight w:val="20"/>
        </w:trPr>
        <w:tc>
          <w:tcPr>
            <w:tcW w:w="851" w:type="dxa"/>
            <w:vMerge/>
            <w:textDirection w:val="btLr"/>
          </w:tcPr>
          <w:p w14:paraId="154B9087" w14:textId="77777777" w:rsidR="008143D9" w:rsidRPr="00AC3044" w:rsidRDefault="008143D9" w:rsidP="005A428D">
            <w:pPr>
              <w:rPr>
                <w:rFonts w:eastAsia="SimSun"/>
              </w:rPr>
            </w:pPr>
          </w:p>
        </w:tc>
        <w:tc>
          <w:tcPr>
            <w:tcW w:w="1701" w:type="dxa"/>
            <w:vAlign w:val="center"/>
          </w:tcPr>
          <w:p w14:paraId="0EF44BDC" w14:textId="77777777" w:rsidR="008143D9" w:rsidRPr="00AC3044" w:rsidRDefault="008143D9" w:rsidP="005A428D">
            <w:pPr>
              <w:rPr>
                <w:rFonts w:eastAsia="SimSun"/>
              </w:rPr>
            </w:pPr>
            <w:r w:rsidRPr="00AC3044">
              <w:rPr>
                <w:rFonts w:eastAsia="SimSun"/>
              </w:rPr>
              <w:t>Циклоспорин</w:t>
            </w:r>
          </w:p>
        </w:tc>
        <w:tc>
          <w:tcPr>
            <w:tcW w:w="1559" w:type="dxa"/>
            <w:vAlign w:val="center"/>
          </w:tcPr>
          <w:p w14:paraId="4D0EEEF8" w14:textId="77777777" w:rsidR="008143D9" w:rsidRPr="00AC3044" w:rsidRDefault="008143D9" w:rsidP="005A428D">
            <w:pPr>
              <w:rPr>
                <w:rFonts w:eastAsia="SimSun"/>
              </w:rPr>
            </w:pPr>
            <w:r w:rsidRPr="00AC3044">
              <w:rPr>
                <w:rFonts w:eastAsia="SimSun"/>
              </w:rPr>
              <w:t>3 мг/кг</w:t>
            </w:r>
          </w:p>
        </w:tc>
        <w:tc>
          <w:tcPr>
            <w:tcW w:w="1418" w:type="dxa"/>
            <w:vAlign w:val="center"/>
          </w:tcPr>
          <w:p w14:paraId="50F274D6" w14:textId="77777777" w:rsidR="008143D9" w:rsidRPr="00AC3044" w:rsidRDefault="008143D9" w:rsidP="005A428D">
            <w:pPr>
              <w:rPr>
                <w:rFonts w:eastAsia="SimSun"/>
              </w:rPr>
            </w:pPr>
            <w:r w:rsidRPr="00AC3044">
              <w:rPr>
                <w:rFonts w:eastAsia="SimSun"/>
              </w:rPr>
              <w:t>–</w:t>
            </w:r>
          </w:p>
        </w:tc>
        <w:tc>
          <w:tcPr>
            <w:tcW w:w="1701" w:type="dxa"/>
            <w:vAlign w:val="center"/>
          </w:tcPr>
          <w:p w14:paraId="0079204B" w14:textId="77777777" w:rsidR="008143D9" w:rsidRPr="00AC3044" w:rsidRDefault="008143D9" w:rsidP="005A428D">
            <w:pPr>
              <w:rPr>
                <w:rFonts w:eastAsia="SimSun"/>
              </w:rPr>
            </w:pPr>
            <w:r w:rsidRPr="00AC3044">
              <w:rPr>
                <w:rFonts w:eastAsia="SimSun"/>
              </w:rPr>
              <w:t>С –1 по +90 день, затем постепенное снижение к +180 дню</w:t>
            </w:r>
          </w:p>
        </w:tc>
        <w:tc>
          <w:tcPr>
            <w:tcW w:w="2268" w:type="dxa"/>
            <w:vAlign w:val="center"/>
          </w:tcPr>
          <w:p w14:paraId="41D89BF6" w14:textId="77777777" w:rsidR="008143D9" w:rsidRPr="00AC3044" w:rsidRDefault="008143D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sidRPr="00DB259E">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8143D9" w:rsidRPr="00AC3044" w14:paraId="1E805E15" w14:textId="77777777" w:rsidTr="005A428D">
        <w:trPr>
          <w:cantSplit/>
          <w:trHeight w:val="20"/>
        </w:trPr>
        <w:tc>
          <w:tcPr>
            <w:tcW w:w="851" w:type="dxa"/>
            <w:vMerge/>
          </w:tcPr>
          <w:p w14:paraId="1FFFDA32" w14:textId="77777777" w:rsidR="008143D9" w:rsidRPr="00AC3044" w:rsidRDefault="008143D9" w:rsidP="005A428D">
            <w:pPr>
              <w:rPr>
                <w:rFonts w:eastAsia="SimSun"/>
              </w:rPr>
            </w:pPr>
          </w:p>
        </w:tc>
        <w:tc>
          <w:tcPr>
            <w:tcW w:w="1701" w:type="dxa"/>
            <w:vMerge w:val="restart"/>
            <w:vAlign w:val="center"/>
          </w:tcPr>
          <w:p w14:paraId="356261D8" w14:textId="77777777" w:rsidR="008143D9" w:rsidRPr="00AC3044" w:rsidRDefault="008143D9" w:rsidP="005A428D">
            <w:pPr>
              <w:rPr>
                <w:rFonts w:eastAsia="SimSun"/>
              </w:rPr>
            </w:pPr>
            <w:r w:rsidRPr="00AC3044">
              <w:rPr>
                <w:rFonts w:eastAsia="SimSun"/>
              </w:rPr>
              <w:t>Метотрексат</w:t>
            </w:r>
          </w:p>
        </w:tc>
        <w:tc>
          <w:tcPr>
            <w:tcW w:w="1559" w:type="dxa"/>
            <w:vAlign w:val="center"/>
          </w:tcPr>
          <w:p w14:paraId="1A505F5B" w14:textId="77777777" w:rsidR="008143D9" w:rsidRPr="00AC3044" w:rsidRDefault="008143D9" w:rsidP="005A428D">
            <w:pPr>
              <w:rPr>
                <w:rFonts w:eastAsia="SimSun"/>
              </w:rPr>
            </w:pPr>
            <w:r w:rsidRPr="00AC3044">
              <w:rPr>
                <w:rFonts w:eastAsia="SimSun"/>
              </w:rPr>
              <w:t>15 мг/м</w:t>
            </w:r>
            <w:r w:rsidRPr="00DB259E">
              <w:rPr>
                <w:rFonts w:eastAsia="SimSun"/>
                <w:vertAlign w:val="superscript"/>
              </w:rPr>
              <w:t>2</w:t>
            </w:r>
          </w:p>
        </w:tc>
        <w:tc>
          <w:tcPr>
            <w:tcW w:w="1418" w:type="dxa"/>
            <w:vAlign w:val="center"/>
          </w:tcPr>
          <w:p w14:paraId="1866EF44" w14:textId="77777777" w:rsidR="008143D9" w:rsidRPr="00AC3044" w:rsidRDefault="008143D9" w:rsidP="005A428D">
            <w:pPr>
              <w:rPr>
                <w:rFonts w:eastAsia="SimSun"/>
              </w:rPr>
            </w:pPr>
            <w:r w:rsidRPr="00AC3044">
              <w:rPr>
                <w:rFonts w:eastAsia="SimSun"/>
              </w:rPr>
              <w:t>–</w:t>
            </w:r>
          </w:p>
        </w:tc>
        <w:tc>
          <w:tcPr>
            <w:tcW w:w="1701" w:type="dxa"/>
            <w:vAlign w:val="center"/>
          </w:tcPr>
          <w:p w14:paraId="3FF5C8F0" w14:textId="77777777" w:rsidR="008143D9" w:rsidRPr="00AC3044" w:rsidRDefault="008143D9" w:rsidP="005A428D">
            <w:pPr>
              <w:rPr>
                <w:rFonts w:eastAsia="SimSun"/>
              </w:rPr>
            </w:pPr>
            <w:r w:rsidRPr="00AC3044">
              <w:rPr>
                <w:rFonts w:eastAsia="SimSun"/>
              </w:rPr>
              <w:t>+1 день</w:t>
            </w:r>
          </w:p>
        </w:tc>
        <w:tc>
          <w:tcPr>
            <w:tcW w:w="2268" w:type="dxa"/>
            <w:vAlign w:val="center"/>
          </w:tcPr>
          <w:p w14:paraId="532A72BB" w14:textId="77777777" w:rsidR="008143D9" w:rsidRPr="00AC3044" w:rsidRDefault="008143D9" w:rsidP="005A428D">
            <w:pPr>
              <w:rPr>
                <w:rFonts w:eastAsia="SimSun"/>
              </w:rPr>
            </w:pPr>
            <w:r w:rsidRPr="00AC3044">
              <w:rPr>
                <w:rFonts w:eastAsia="SimSun"/>
              </w:rPr>
              <w:t xml:space="preserve">В/в, в 20 мл физ. р-ра </w:t>
            </w:r>
          </w:p>
        </w:tc>
      </w:tr>
      <w:tr w:rsidR="008143D9" w:rsidRPr="00AC3044" w14:paraId="7FD262CE" w14:textId="77777777" w:rsidTr="005A428D">
        <w:trPr>
          <w:cantSplit/>
          <w:trHeight w:val="464"/>
        </w:trPr>
        <w:tc>
          <w:tcPr>
            <w:tcW w:w="851" w:type="dxa"/>
            <w:vMerge/>
          </w:tcPr>
          <w:p w14:paraId="3DA5FF8E" w14:textId="77777777" w:rsidR="008143D9" w:rsidRPr="00AC3044" w:rsidRDefault="008143D9" w:rsidP="005A428D">
            <w:pPr>
              <w:rPr>
                <w:rFonts w:eastAsia="SimSun"/>
              </w:rPr>
            </w:pPr>
          </w:p>
        </w:tc>
        <w:tc>
          <w:tcPr>
            <w:tcW w:w="1701" w:type="dxa"/>
            <w:vMerge/>
            <w:vAlign w:val="center"/>
          </w:tcPr>
          <w:p w14:paraId="2449BFB5" w14:textId="77777777" w:rsidR="008143D9" w:rsidRPr="00AC3044" w:rsidRDefault="008143D9" w:rsidP="005A428D">
            <w:pPr>
              <w:rPr>
                <w:rFonts w:eastAsia="SimSun"/>
              </w:rPr>
            </w:pPr>
          </w:p>
        </w:tc>
        <w:tc>
          <w:tcPr>
            <w:tcW w:w="1559" w:type="dxa"/>
            <w:vAlign w:val="center"/>
          </w:tcPr>
          <w:p w14:paraId="3C4C436B" w14:textId="77777777" w:rsidR="008143D9" w:rsidRPr="00AC3044" w:rsidRDefault="008143D9" w:rsidP="005A428D">
            <w:pPr>
              <w:rPr>
                <w:rFonts w:eastAsia="SimSun"/>
              </w:rPr>
            </w:pPr>
            <w:r w:rsidRPr="00AC3044">
              <w:rPr>
                <w:rFonts w:eastAsia="SimSun"/>
              </w:rPr>
              <w:t>10 мг/м</w:t>
            </w:r>
            <w:r w:rsidRPr="00DB259E">
              <w:rPr>
                <w:rFonts w:eastAsia="SimSun"/>
                <w:vertAlign w:val="superscript"/>
              </w:rPr>
              <w:t>2</w:t>
            </w:r>
          </w:p>
        </w:tc>
        <w:tc>
          <w:tcPr>
            <w:tcW w:w="1418" w:type="dxa"/>
            <w:vAlign w:val="center"/>
          </w:tcPr>
          <w:p w14:paraId="54C33058" w14:textId="77777777" w:rsidR="008143D9" w:rsidRPr="00AC3044" w:rsidRDefault="008143D9" w:rsidP="005A428D">
            <w:pPr>
              <w:rPr>
                <w:rFonts w:eastAsia="SimSun"/>
              </w:rPr>
            </w:pPr>
            <w:r w:rsidRPr="00AC3044">
              <w:rPr>
                <w:rFonts w:eastAsia="SimSun"/>
              </w:rPr>
              <w:t>–</w:t>
            </w:r>
          </w:p>
        </w:tc>
        <w:tc>
          <w:tcPr>
            <w:tcW w:w="1701" w:type="dxa"/>
            <w:vAlign w:val="center"/>
          </w:tcPr>
          <w:p w14:paraId="5F227CF4" w14:textId="77777777" w:rsidR="008143D9" w:rsidRPr="00AC3044" w:rsidRDefault="008143D9" w:rsidP="005A428D">
            <w:pPr>
              <w:rPr>
                <w:rFonts w:eastAsia="SimSun"/>
              </w:rPr>
            </w:pPr>
            <w:r w:rsidRPr="00AC3044">
              <w:rPr>
                <w:rFonts w:eastAsia="SimSun"/>
              </w:rPr>
              <w:t>+3, +6, +11 дни</w:t>
            </w:r>
          </w:p>
        </w:tc>
        <w:tc>
          <w:tcPr>
            <w:tcW w:w="2268" w:type="dxa"/>
            <w:vAlign w:val="center"/>
          </w:tcPr>
          <w:p w14:paraId="49208670" w14:textId="77777777" w:rsidR="008143D9" w:rsidRPr="00AC3044" w:rsidRDefault="008143D9" w:rsidP="005A428D">
            <w:pPr>
              <w:rPr>
                <w:rFonts w:eastAsia="SimSun"/>
              </w:rPr>
            </w:pPr>
            <w:r w:rsidRPr="00AC3044">
              <w:rPr>
                <w:rFonts w:eastAsia="SimSun"/>
              </w:rPr>
              <w:t>В/в, в 20 мл физ. р-ра</w:t>
            </w:r>
          </w:p>
        </w:tc>
      </w:tr>
      <w:tr w:rsidR="008143D9" w:rsidRPr="00AC3044" w14:paraId="298E326C" w14:textId="77777777" w:rsidTr="005A428D">
        <w:trPr>
          <w:cantSplit/>
          <w:trHeight w:val="464"/>
        </w:trPr>
        <w:tc>
          <w:tcPr>
            <w:tcW w:w="851" w:type="dxa"/>
            <w:vMerge/>
          </w:tcPr>
          <w:p w14:paraId="45257D29" w14:textId="77777777" w:rsidR="008143D9" w:rsidRPr="00AC3044" w:rsidRDefault="008143D9" w:rsidP="005A428D">
            <w:pPr>
              <w:rPr>
                <w:rFonts w:eastAsia="SimSun"/>
              </w:rPr>
            </w:pPr>
          </w:p>
        </w:tc>
        <w:tc>
          <w:tcPr>
            <w:tcW w:w="1701" w:type="dxa"/>
            <w:vAlign w:val="center"/>
          </w:tcPr>
          <w:p w14:paraId="4A3F5F57" w14:textId="77777777" w:rsidR="008143D9" w:rsidRPr="00AC3044" w:rsidRDefault="008143D9" w:rsidP="005A428D">
            <w:pPr>
              <w:rPr>
                <w:rFonts w:eastAsia="SimSun"/>
              </w:rPr>
            </w:pPr>
            <w:r w:rsidRPr="00AC3044">
              <w:rPr>
                <w:rFonts w:eastAsia="SimSun"/>
              </w:rPr>
              <w:t>Микофенолата мофетил</w:t>
            </w:r>
          </w:p>
        </w:tc>
        <w:tc>
          <w:tcPr>
            <w:tcW w:w="1559" w:type="dxa"/>
            <w:vAlign w:val="center"/>
          </w:tcPr>
          <w:p w14:paraId="7C397773" w14:textId="77777777" w:rsidR="008143D9" w:rsidRPr="00AC3044" w:rsidRDefault="008143D9" w:rsidP="005A428D">
            <w:pPr>
              <w:rPr>
                <w:rFonts w:eastAsia="SimSun"/>
              </w:rPr>
            </w:pPr>
            <w:r w:rsidRPr="00AC3044">
              <w:rPr>
                <w:rFonts w:eastAsia="SimSun"/>
              </w:rPr>
              <w:t>45 мг/кг</w:t>
            </w:r>
          </w:p>
        </w:tc>
        <w:tc>
          <w:tcPr>
            <w:tcW w:w="1418" w:type="dxa"/>
            <w:vAlign w:val="center"/>
          </w:tcPr>
          <w:p w14:paraId="43A877BB" w14:textId="77777777" w:rsidR="008143D9" w:rsidRPr="00AC3044" w:rsidRDefault="008143D9" w:rsidP="005A428D">
            <w:pPr>
              <w:rPr>
                <w:rFonts w:eastAsia="SimSun"/>
              </w:rPr>
            </w:pPr>
            <w:r w:rsidRPr="00AC3044">
              <w:rPr>
                <w:rFonts w:eastAsia="SimSun"/>
              </w:rPr>
              <w:t>–</w:t>
            </w:r>
          </w:p>
        </w:tc>
        <w:tc>
          <w:tcPr>
            <w:tcW w:w="1701" w:type="dxa"/>
            <w:vAlign w:val="center"/>
          </w:tcPr>
          <w:p w14:paraId="31060BA3" w14:textId="77777777" w:rsidR="008143D9" w:rsidRPr="00AC3044" w:rsidRDefault="008143D9" w:rsidP="005A428D">
            <w:pPr>
              <w:rPr>
                <w:rFonts w:eastAsia="SimSun"/>
              </w:rPr>
            </w:pPr>
            <w:r w:rsidRPr="00AC3044">
              <w:rPr>
                <w:rFonts w:eastAsia="SimSun"/>
              </w:rPr>
              <w:t>С +1 по +90 день</w:t>
            </w:r>
          </w:p>
        </w:tc>
        <w:tc>
          <w:tcPr>
            <w:tcW w:w="2268" w:type="dxa"/>
            <w:vAlign w:val="center"/>
          </w:tcPr>
          <w:p w14:paraId="4FF949BA" w14:textId="77777777" w:rsidR="008143D9" w:rsidRPr="00AC3044" w:rsidRDefault="008143D9" w:rsidP="005A428D">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4F312882" w14:textId="77777777" w:rsidR="008143D9" w:rsidRDefault="008143D9" w:rsidP="008143D9">
      <w:pPr>
        <w:rPr>
          <w:rFonts w:eastAsia="SimSun"/>
        </w:rPr>
      </w:pPr>
      <w:bookmarkStart w:id="165" w:name="_Toc44401206"/>
    </w:p>
    <w:p w14:paraId="2BEBE3D0" w14:textId="77777777" w:rsidR="008143D9" w:rsidRPr="00C07B2E" w:rsidRDefault="008143D9" w:rsidP="008143D9">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2.2.6  – Flu180+Bu8 / rATG+CSA+MTX+MMF45</w:t>
      </w:r>
      <w:bookmarkEnd w:id="165"/>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8143D9" w:rsidRPr="00AC3044" w14:paraId="6922BA06" w14:textId="77777777" w:rsidTr="005A428D">
        <w:trPr>
          <w:cantSplit/>
          <w:trHeight w:val="20"/>
          <w:tblHeader/>
        </w:trPr>
        <w:tc>
          <w:tcPr>
            <w:tcW w:w="851" w:type="dxa"/>
          </w:tcPr>
          <w:p w14:paraId="138F5B36" w14:textId="77777777" w:rsidR="008143D9" w:rsidRPr="00470D3D" w:rsidRDefault="008143D9" w:rsidP="005A428D">
            <w:pPr>
              <w:rPr>
                <w:rFonts w:eastAsia="SimSun"/>
              </w:rPr>
            </w:pPr>
          </w:p>
        </w:tc>
        <w:tc>
          <w:tcPr>
            <w:tcW w:w="1701" w:type="dxa"/>
            <w:vAlign w:val="center"/>
          </w:tcPr>
          <w:p w14:paraId="7DAAE661" w14:textId="77777777" w:rsidR="008143D9" w:rsidRPr="00AC3044" w:rsidRDefault="008143D9" w:rsidP="005A428D">
            <w:pPr>
              <w:rPr>
                <w:rFonts w:eastAsia="SimSun"/>
              </w:rPr>
            </w:pPr>
            <w:r w:rsidRPr="00AC3044">
              <w:rPr>
                <w:rFonts w:eastAsia="SimSun"/>
              </w:rPr>
              <w:t>Препарат</w:t>
            </w:r>
          </w:p>
        </w:tc>
        <w:tc>
          <w:tcPr>
            <w:tcW w:w="1559" w:type="dxa"/>
            <w:vAlign w:val="center"/>
          </w:tcPr>
          <w:p w14:paraId="2055072F" w14:textId="77777777" w:rsidR="008143D9" w:rsidRPr="00AC3044" w:rsidRDefault="008143D9" w:rsidP="005A428D">
            <w:pPr>
              <w:rPr>
                <w:rFonts w:eastAsia="SimSun"/>
              </w:rPr>
            </w:pPr>
            <w:r w:rsidRPr="00AC3044">
              <w:rPr>
                <w:rFonts w:eastAsia="SimSun"/>
              </w:rPr>
              <w:t>Суточная доза</w:t>
            </w:r>
          </w:p>
        </w:tc>
        <w:tc>
          <w:tcPr>
            <w:tcW w:w="1418" w:type="dxa"/>
            <w:vAlign w:val="center"/>
          </w:tcPr>
          <w:p w14:paraId="790157EF" w14:textId="77777777" w:rsidR="008143D9" w:rsidRPr="00AC3044" w:rsidRDefault="008143D9" w:rsidP="005A428D">
            <w:pPr>
              <w:rPr>
                <w:rFonts w:eastAsia="SimSun"/>
              </w:rPr>
            </w:pPr>
            <w:r w:rsidRPr="00AC3044">
              <w:rPr>
                <w:rFonts w:eastAsia="SimSun"/>
              </w:rPr>
              <w:t>Курсовая доза</w:t>
            </w:r>
          </w:p>
        </w:tc>
        <w:tc>
          <w:tcPr>
            <w:tcW w:w="1701" w:type="dxa"/>
            <w:vAlign w:val="center"/>
          </w:tcPr>
          <w:p w14:paraId="43975F10" w14:textId="77777777" w:rsidR="008143D9" w:rsidRPr="00AC3044" w:rsidRDefault="008143D9" w:rsidP="005A428D">
            <w:pPr>
              <w:rPr>
                <w:rFonts w:eastAsia="SimSun"/>
              </w:rPr>
            </w:pPr>
            <w:r w:rsidRPr="00AC3044">
              <w:rPr>
                <w:rFonts w:eastAsia="SimSun"/>
              </w:rPr>
              <w:t>Дни введения</w:t>
            </w:r>
          </w:p>
        </w:tc>
        <w:tc>
          <w:tcPr>
            <w:tcW w:w="2268" w:type="dxa"/>
            <w:vAlign w:val="center"/>
          </w:tcPr>
          <w:p w14:paraId="2126D0BE"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368293B0" w14:textId="77777777" w:rsidTr="005A428D">
        <w:trPr>
          <w:cantSplit/>
          <w:trHeight w:val="20"/>
        </w:trPr>
        <w:tc>
          <w:tcPr>
            <w:tcW w:w="851" w:type="dxa"/>
            <w:vMerge w:val="restart"/>
            <w:textDirection w:val="btLr"/>
            <w:vAlign w:val="center"/>
          </w:tcPr>
          <w:p w14:paraId="74477070" w14:textId="77777777" w:rsidR="008143D9" w:rsidRPr="00AC3044" w:rsidRDefault="008143D9" w:rsidP="005A428D">
            <w:pPr>
              <w:rPr>
                <w:rFonts w:eastAsia="SimSun"/>
              </w:rPr>
            </w:pPr>
            <w:r w:rsidRPr="00AC3044">
              <w:rPr>
                <w:rFonts w:eastAsia="SimSun"/>
              </w:rPr>
              <w:t>Кондиционирование</w:t>
            </w:r>
          </w:p>
        </w:tc>
        <w:tc>
          <w:tcPr>
            <w:tcW w:w="1701" w:type="dxa"/>
            <w:vAlign w:val="center"/>
          </w:tcPr>
          <w:p w14:paraId="73B166FB" w14:textId="77777777" w:rsidR="008143D9" w:rsidRPr="00AC3044" w:rsidRDefault="008143D9" w:rsidP="005A428D">
            <w:pPr>
              <w:rPr>
                <w:rFonts w:eastAsia="SimSun"/>
              </w:rPr>
            </w:pPr>
            <w:r w:rsidRPr="00AC3044">
              <w:rPr>
                <w:rFonts w:eastAsia="SimSun"/>
              </w:rPr>
              <w:t xml:space="preserve">Флударабин </w:t>
            </w:r>
          </w:p>
        </w:tc>
        <w:tc>
          <w:tcPr>
            <w:tcW w:w="1559" w:type="dxa"/>
            <w:vAlign w:val="center"/>
          </w:tcPr>
          <w:p w14:paraId="77C89368" w14:textId="77777777" w:rsidR="008143D9" w:rsidRPr="00AC3044" w:rsidRDefault="008143D9" w:rsidP="005A428D">
            <w:pPr>
              <w:rPr>
                <w:rFonts w:eastAsia="SimSun"/>
              </w:rPr>
            </w:pPr>
            <w:r w:rsidRPr="00AC3044">
              <w:rPr>
                <w:rFonts w:eastAsia="SimSun"/>
              </w:rPr>
              <w:t>30 мг/м</w:t>
            </w:r>
            <w:r w:rsidRPr="00DB259E">
              <w:rPr>
                <w:rFonts w:eastAsia="SimSun"/>
                <w:vertAlign w:val="superscript"/>
              </w:rPr>
              <w:t>2</w:t>
            </w:r>
          </w:p>
        </w:tc>
        <w:tc>
          <w:tcPr>
            <w:tcW w:w="1418" w:type="dxa"/>
            <w:vAlign w:val="center"/>
          </w:tcPr>
          <w:p w14:paraId="64CBF018" w14:textId="77777777" w:rsidR="008143D9" w:rsidRPr="00AC3044" w:rsidRDefault="008143D9" w:rsidP="005A428D">
            <w:pPr>
              <w:rPr>
                <w:rFonts w:eastAsia="SimSun"/>
              </w:rPr>
            </w:pPr>
            <w:r w:rsidRPr="00AC3044">
              <w:rPr>
                <w:rFonts w:eastAsia="SimSun"/>
              </w:rPr>
              <w:t>180 мг/м</w:t>
            </w:r>
            <w:r w:rsidRPr="00DB259E">
              <w:rPr>
                <w:rFonts w:eastAsia="SimSun"/>
                <w:vertAlign w:val="superscript"/>
              </w:rPr>
              <w:t>2</w:t>
            </w:r>
          </w:p>
        </w:tc>
        <w:tc>
          <w:tcPr>
            <w:tcW w:w="1701" w:type="dxa"/>
            <w:vAlign w:val="center"/>
          </w:tcPr>
          <w:p w14:paraId="7EC6B789" w14:textId="77777777" w:rsidR="008143D9" w:rsidRPr="00AC3044" w:rsidRDefault="008143D9" w:rsidP="005A428D">
            <w:pPr>
              <w:rPr>
                <w:rFonts w:eastAsia="SimSun"/>
              </w:rPr>
            </w:pPr>
            <w:r w:rsidRPr="00AC3044">
              <w:rPr>
                <w:rFonts w:eastAsia="SimSun"/>
              </w:rPr>
              <w:t>С –9 по –4 день</w:t>
            </w:r>
          </w:p>
        </w:tc>
        <w:tc>
          <w:tcPr>
            <w:tcW w:w="2268" w:type="dxa"/>
            <w:vAlign w:val="center"/>
          </w:tcPr>
          <w:p w14:paraId="287BF569"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128C9B77" w14:textId="77777777" w:rsidTr="005A428D">
        <w:trPr>
          <w:cantSplit/>
          <w:trHeight w:val="20"/>
        </w:trPr>
        <w:tc>
          <w:tcPr>
            <w:tcW w:w="851" w:type="dxa"/>
            <w:vMerge/>
            <w:textDirection w:val="btLr"/>
            <w:vAlign w:val="center"/>
          </w:tcPr>
          <w:p w14:paraId="4A6898E9" w14:textId="77777777" w:rsidR="008143D9" w:rsidRPr="00AC3044" w:rsidRDefault="008143D9" w:rsidP="005A428D">
            <w:pPr>
              <w:rPr>
                <w:rFonts w:eastAsia="SimSun"/>
              </w:rPr>
            </w:pPr>
          </w:p>
        </w:tc>
        <w:tc>
          <w:tcPr>
            <w:tcW w:w="1701" w:type="dxa"/>
            <w:vAlign w:val="center"/>
          </w:tcPr>
          <w:p w14:paraId="29BEF18C" w14:textId="77777777" w:rsidR="008143D9" w:rsidRPr="00AC3044" w:rsidRDefault="008143D9" w:rsidP="005A428D">
            <w:pPr>
              <w:rPr>
                <w:rFonts w:eastAsia="SimSun"/>
              </w:rPr>
            </w:pPr>
            <w:r w:rsidRPr="00AC3044">
              <w:rPr>
                <w:rFonts w:eastAsia="SimSun"/>
              </w:rPr>
              <w:t>Бусульфан</w:t>
            </w:r>
          </w:p>
        </w:tc>
        <w:tc>
          <w:tcPr>
            <w:tcW w:w="1559" w:type="dxa"/>
            <w:vAlign w:val="center"/>
          </w:tcPr>
          <w:p w14:paraId="1D45459A" w14:textId="77777777" w:rsidR="008143D9" w:rsidRPr="00AC3044" w:rsidRDefault="008143D9" w:rsidP="005A428D">
            <w:pPr>
              <w:rPr>
                <w:rFonts w:eastAsia="SimSun"/>
              </w:rPr>
            </w:pPr>
            <w:r w:rsidRPr="00AC3044">
              <w:rPr>
                <w:rFonts w:eastAsia="SimSun"/>
              </w:rPr>
              <w:t>4 мг/кг</w:t>
            </w:r>
          </w:p>
        </w:tc>
        <w:tc>
          <w:tcPr>
            <w:tcW w:w="1418" w:type="dxa"/>
            <w:vAlign w:val="center"/>
          </w:tcPr>
          <w:p w14:paraId="058BF233" w14:textId="77777777" w:rsidR="008143D9" w:rsidRPr="00AC3044" w:rsidRDefault="008143D9" w:rsidP="005A428D">
            <w:pPr>
              <w:rPr>
                <w:rFonts w:eastAsia="SimSun"/>
              </w:rPr>
            </w:pPr>
            <w:r w:rsidRPr="00AC3044">
              <w:rPr>
                <w:rFonts w:eastAsia="SimSun"/>
              </w:rPr>
              <w:t>8 мг/кг</w:t>
            </w:r>
          </w:p>
        </w:tc>
        <w:tc>
          <w:tcPr>
            <w:tcW w:w="1701" w:type="dxa"/>
            <w:vAlign w:val="center"/>
          </w:tcPr>
          <w:p w14:paraId="64D74C6B" w14:textId="77777777" w:rsidR="008143D9" w:rsidRPr="00AC3044" w:rsidRDefault="008143D9" w:rsidP="005A428D">
            <w:pPr>
              <w:rPr>
                <w:rFonts w:eastAsia="SimSun"/>
              </w:rPr>
            </w:pPr>
            <w:r w:rsidRPr="00AC3044">
              <w:rPr>
                <w:rFonts w:eastAsia="SimSun"/>
              </w:rPr>
              <w:t>С –5 по –4 день</w:t>
            </w:r>
          </w:p>
        </w:tc>
        <w:tc>
          <w:tcPr>
            <w:tcW w:w="2268" w:type="dxa"/>
            <w:vAlign w:val="center"/>
          </w:tcPr>
          <w:p w14:paraId="329B800F" w14:textId="77777777" w:rsidR="008143D9" w:rsidRPr="00AC3044" w:rsidRDefault="008143D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8143D9" w:rsidRPr="00AC3044" w14:paraId="2AA27698" w14:textId="77777777" w:rsidTr="005A428D">
        <w:trPr>
          <w:cantSplit/>
          <w:trHeight w:val="20"/>
        </w:trPr>
        <w:tc>
          <w:tcPr>
            <w:tcW w:w="851" w:type="dxa"/>
            <w:vMerge w:val="restart"/>
            <w:textDirection w:val="btLr"/>
            <w:vAlign w:val="center"/>
          </w:tcPr>
          <w:p w14:paraId="3734D9CE" w14:textId="77777777" w:rsidR="008143D9" w:rsidRPr="00AC3044" w:rsidRDefault="008143D9" w:rsidP="005A428D">
            <w:pPr>
              <w:rPr>
                <w:rFonts w:eastAsia="SimSun"/>
              </w:rPr>
            </w:pPr>
            <w:r w:rsidRPr="00AC3044">
              <w:rPr>
                <w:rFonts w:eastAsia="SimSun"/>
              </w:rPr>
              <w:t>Профилактика РТПХ</w:t>
            </w:r>
          </w:p>
        </w:tc>
        <w:tc>
          <w:tcPr>
            <w:tcW w:w="1701" w:type="dxa"/>
            <w:vAlign w:val="center"/>
          </w:tcPr>
          <w:p w14:paraId="019488CF" w14:textId="77777777" w:rsidR="008143D9" w:rsidRPr="00AC3044" w:rsidRDefault="008143D9" w:rsidP="005A428D">
            <w:pPr>
              <w:rPr>
                <w:rFonts w:eastAsia="SimSun"/>
              </w:rPr>
            </w:pPr>
            <w:r w:rsidRPr="00AC3044">
              <w:rPr>
                <w:rFonts w:eastAsia="SimSun"/>
              </w:rPr>
              <w:t>АТГ (кроличий)</w:t>
            </w:r>
          </w:p>
        </w:tc>
        <w:tc>
          <w:tcPr>
            <w:tcW w:w="1559" w:type="dxa"/>
            <w:vAlign w:val="center"/>
          </w:tcPr>
          <w:p w14:paraId="3A511FED" w14:textId="77777777" w:rsidR="008143D9" w:rsidRPr="00AC3044" w:rsidRDefault="008143D9" w:rsidP="005A428D">
            <w:pPr>
              <w:rPr>
                <w:rFonts w:eastAsia="SimSun"/>
              </w:rPr>
            </w:pPr>
            <w:r w:rsidRPr="00AC3044">
              <w:rPr>
                <w:rFonts w:eastAsia="SimSun"/>
              </w:rPr>
              <w:t>2,5 мг/кг</w:t>
            </w:r>
          </w:p>
        </w:tc>
        <w:tc>
          <w:tcPr>
            <w:tcW w:w="1418" w:type="dxa"/>
            <w:vAlign w:val="center"/>
          </w:tcPr>
          <w:p w14:paraId="55429FD0" w14:textId="77777777" w:rsidR="008143D9" w:rsidRPr="00AC3044" w:rsidRDefault="008143D9" w:rsidP="005A428D">
            <w:pPr>
              <w:rPr>
                <w:rFonts w:eastAsia="SimSun"/>
              </w:rPr>
            </w:pPr>
            <w:r w:rsidRPr="00AC3044">
              <w:rPr>
                <w:rFonts w:eastAsia="SimSun"/>
              </w:rPr>
              <w:t>5- 7,5 мг/кг2</w:t>
            </w:r>
          </w:p>
        </w:tc>
        <w:tc>
          <w:tcPr>
            <w:tcW w:w="1701" w:type="dxa"/>
            <w:vAlign w:val="center"/>
          </w:tcPr>
          <w:p w14:paraId="77F9D643" w14:textId="77777777" w:rsidR="008143D9" w:rsidRPr="00AC3044" w:rsidRDefault="008143D9" w:rsidP="005A428D">
            <w:pPr>
              <w:rPr>
                <w:rFonts w:eastAsia="SimSun"/>
              </w:rPr>
            </w:pPr>
            <w:r w:rsidRPr="00AC3044">
              <w:rPr>
                <w:rFonts w:eastAsia="SimSun"/>
              </w:rPr>
              <w:t>С –3 по –2 (-1) день</w:t>
            </w:r>
          </w:p>
        </w:tc>
        <w:tc>
          <w:tcPr>
            <w:tcW w:w="2268" w:type="dxa"/>
            <w:vAlign w:val="center"/>
          </w:tcPr>
          <w:p w14:paraId="469DB12A" w14:textId="77777777" w:rsidR="008143D9" w:rsidRPr="00AC3044" w:rsidRDefault="008143D9" w:rsidP="005A428D">
            <w:pPr>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8143D9" w:rsidRPr="00AC3044" w14:paraId="1FA5D64E" w14:textId="77777777" w:rsidTr="005A428D">
        <w:trPr>
          <w:cantSplit/>
          <w:trHeight w:val="20"/>
        </w:trPr>
        <w:tc>
          <w:tcPr>
            <w:tcW w:w="851" w:type="dxa"/>
            <w:vMerge/>
            <w:textDirection w:val="btLr"/>
          </w:tcPr>
          <w:p w14:paraId="35AC72FF" w14:textId="77777777" w:rsidR="008143D9" w:rsidRPr="00AC3044" w:rsidRDefault="008143D9" w:rsidP="005A428D">
            <w:pPr>
              <w:rPr>
                <w:rFonts w:eastAsia="SimSun"/>
              </w:rPr>
            </w:pPr>
          </w:p>
        </w:tc>
        <w:tc>
          <w:tcPr>
            <w:tcW w:w="1701" w:type="dxa"/>
            <w:vAlign w:val="center"/>
          </w:tcPr>
          <w:p w14:paraId="33C468F2" w14:textId="77777777" w:rsidR="008143D9" w:rsidRPr="00AC3044" w:rsidRDefault="008143D9" w:rsidP="005A428D">
            <w:pPr>
              <w:rPr>
                <w:rFonts w:eastAsia="SimSun"/>
              </w:rPr>
            </w:pPr>
            <w:r w:rsidRPr="00AC3044">
              <w:rPr>
                <w:rFonts w:eastAsia="SimSun"/>
              </w:rPr>
              <w:t>Циклоспорин</w:t>
            </w:r>
          </w:p>
        </w:tc>
        <w:tc>
          <w:tcPr>
            <w:tcW w:w="1559" w:type="dxa"/>
            <w:vAlign w:val="center"/>
          </w:tcPr>
          <w:p w14:paraId="10FACA42" w14:textId="77777777" w:rsidR="008143D9" w:rsidRPr="00AC3044" w:rsidRDefault="008143D9" w:rsidP="005A428D">
            <w:pPr>
              <w:rPr>
                <w:rFonts w:eastAsia="SimSun"/>
              </w:rPr>
            </w:pPr>
            <w:r w:rsidRPr="00AC3044">
              <w:rPr>
                <w:rFonts w:eastAsia="SimSun"/>
              </w:rPr>
              <w:t>3 мг/кг</w:t>
            </w:r>
          </w:p>
        </w:tc>
        <w:tc>
          <w:tcPr>
            <w:tcW w:w="1418" w:type="dxa"/>
            <w:vAlign w:val="center"/>
          </w:tcPr>
          <w:p w14:paraId="002DFE40" w14:textId="77777777" w:rsidR="008143D9" w:rsidRPr="00AC3044" w:rsidRDefault="008143D9" w:rsidP="005A428D">
            <w:pPr>
              <w:rPr>
                <w:rFonts w:eastAsia="SimSun"/>
              </w:rPr>
            </w:pPr>
            <w:r w:rsidRPr="00AC3044">
              <w:rPr>
                <w:rFonts w:eastAsia="SimSun"/>
              </w:rPr>
              <w:t>–</w:t>
            </w:r>
          </w:p>
        </w:tc>
        <w:tc>
          <w:tcPr>
            <w:tcW w:w="1701" w:type="dxa"/>
            <w:vAlign w:val="center"/>
          </w:tcPr>
          <w:p w14:paraId="7F7FA088" w14:textId="77777777" w:rsidR="008143D9" w:rsidRPr="00AC3044" w:rsidRDefault="008143D9" w:rsidP="005A428D">
            <w:pPr>
              <w:rPr>
                <w:rFonts w:eastAsia="SimSun"/>
              </w:rPr>
            </w:pPr>
            <w:r w:rsidRPr="00AC3044">
              <w:rPr>
                <w:rFonts w:eastAsia="SimSun"/>
              </w:rPr>
              <w:t>С–1 по +90 день, затем постепенное снижение к +180 дню</w:t>
            </w:r>
          </w:p>
        </w:tc>
        <w:tc>
          <w:tcPr>
            <w:tcW w:w="2268" w:type="dxa"/>
            <w:vAlign w:val="center"/>
          </w:tcPr>
          <w:p w14:paraId="5E3E85F4" w14:textId="77777777" w:rsidR="008143D9" w:rsidRPr="00AC3044" w:rsidRDefault="008143D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sidRPr="00AC3044">
              <w:rPr>
                <w:rFonts w:eastAsia="SimSun"/>
              </w:rPr>
              <w:t> 109/л, при отсутствии тошноты, рвоты, диареи и возможности приема внутрь. Концентрация 150-350 нг/мл</w:t>
            </w:r>
          </w:p>
        </w:tc>
      </w:tr>
      <w:tr w:rsidR="008143D9" w:rsidRPr="00AC3044" w14:paraId="7FCF55F7" w14:textId="77777777" w:rsidTr="005A428D">
        <w:trPr>
          <w:cantSplit/>
          <w:trHeight w:val="20"/>
        </w:trPr>
        <w:tc>
          <w:tcPr>
            <w:tcW w:w="851" w:type="dxa"/>
            <w:vMerge/>
          </w:tcPr>
          <w:p w14:paraId="381B410F" w14:textId="77777777" w:rsidR="008143D9" w:rsidRPr="00AC3044" w:rsidRDefault="008143D9" w:rsidP="005A428D">
            <w:pPr>
              <w:rPr>
                <w:rFonts w:eastAsia="SimSun"/>
              </w:rPr>
            </w:pPr>
          </w:p>
        </w:tc>
        <w:tc>
          <w:tcPr>
            <w:tcW w:w="1701" w:type="dxa"/>
            <w:vMerge w:val="restart"/>
            <w:vAlign w:val="center"/>
          </w:tcPr>
          <w:p w14:paraId="089BA44F" w14:textId="77777777" w:rsidR="008143D9" w:rsidRPr="00AC3044" w:rsidRDefault="008143D9" w:rsidP="005A428D">
            <w:pPr>
              <w:rPr>
                <w:rFonts w:eastAsia="SimSun"/>
              </w:rPr>
            </w:pPr>
            <w:r w:rsidRPr="00AC3044">
              <w:rPr>
                <w:rFonts w:eastAsia="SimSun"/>
              </w:rPr>
              <w:t>Метотрексат</w:t>
            </w:r>
          </w:p>
        </w:tc>
        <w:tc>
          <w:tcPr>
            <w:tcW w:w="1559" w:type="dxa"/>
            <w:vAlign w:val="center"/>
          </w:tcPr>
          <w:p w14:paraId="55FB2598" w14:textId="77777777" w:rsidR="008143D9" w:rsidRPr="00AC3044" w:rsidRDefault="008143D9" w:rsidP="005A428D">
            <w:pPr>
              <w:rPr>
                <w:rFonts w:eastAsia="SimSun"/>
              </w:rPr>
            </w:pPr>
            <w:r w:rsidRPr="00AC3044">
              <w:rPr>
                <w:rFonts w:eastAsia="SimSun"/>
              </w:rPr>
              <w:t>15 мг/м</w:t>
            </w:r>
            <w:r w:rsidRPr="00DB259E">
              <w:rPr>
                <w:rFonts w:eastAsia="SimSun"/>
                <w:vertAlign w:val="superscript"/>
              </w:rPr>
              <w:t>2</w:t>
            </w:r>
          </w:p>
        </w:tc>
        <w:tc>
          <w:tcPr>
            <w:tcW w:w="1418" w:type="dxa"/>
            <w:vAlign w:val="center"/>
          </w:tcPr>
          <w:p w14:paraId="1EDE0938" w14:textId="77777777" w:rsidR="008143D9" w:rsidRPr="00AC3044" w:rsidRDefault="008143D9" w:rsidP="005A428D">
            <w:pPr>
              <w:rPr>
                <w:rFonts w:eastAsia="SimSun"/>
              </w:rPr>
            </w:pPr>
            <w:r w:rsidRPr="00AC3044">
              <w:rPr>
                <w:rFonts w:eastAsia="SimSun"/>
              </w:rPr>
              <w:t>–</w:t>
            </w:r>
          </w:p>
        </w:tc>
        <w:tc>
          <w:tcPr>
            <w:tcW w:w="1701" w:type="dxa"/>
            <w:vAlign w:val="center"/>
          </w:tcPr>
          <w:p w14:paraId="47146A62" w14:textId="77777777" w:rsidR="008143D9" w:rsidRPr="00AC3044" w:rsidRDefault="008143D9" w:rsidP="005A428D">
            <w:pPr>
              <w:rPr>
                <w:rFonts w:eastAsia="SimSun"/>
              </w:rPr>
            </w:pPr>
            <w:r w:rsidRPr="00AC3044">
              <w:rPr>
                <w:rFonts w:eastAsia="SimSun"/>
              </w:rPr>
              <w:t>+1 день</w:t>
            </w:r>
          </w:p>
        </w:tc>
        <w:tc>
          <w:tcPr>
            <w:tcW w:w="2268" w:type="dxa"/>
            <w:vAlign w:val="center"/>
          </w:tcPr>
          <w:p w14:paraId="7541FE8D" w14:textId="77777777" w:rsidR="008143D9" w:rsidRPr="00AC3044" w:rsidRDefault="008143D9" w:rsidP="005A428D">
            <w:pPr>
              <w:rPr>
                <w:rFonts w:eastAsia="SimSun"/>
              </w:rPr>
            </w:pPr>
            <w:r w:rsidRPr="00AC3044">
              <w:rPr>
                <w:rFonts w:eastAsia="SimSun"/>
              </w:rPr>
              <w:t xml:space="preserve">В/в, в 20 мл физ. р-ра </w:t>
            </w:r>
          </w:p>
        </w:tc>
      </w:tr>
      <w:tr w:rsidR="008143D9" w:rsidRPr="00AC3044" w14:paraId="6FA9AC7A" w14:textId="77777777" w:rsidTr="005A428D">
        <w:trPr>
          <w:cantSplit/>
          <w:trHeight w:val="464"/>
        </w:trPr>
        <w:tc>
          <w:tcPr>
            <w:tcW w:w="851" w:type="dxa"/>
            <w:vMerge/>
          </w:tcPr>
          <w:p w14:paraId="5021D08D" w14:textId="77777777" w:rsidR="008143D9" w:rsidRPr="00AC3044" w:rsidRDefault="008143D9" w:rsidP="005A428D">
            <w:pPr>
              <w:rPr>
                <w:rFonts w:eastAsia="SimSun"/>
              </w:rPr>
            </w:pPr>
          </w:p>
        </w:tc>
        <w:tc>
          <w:tcPr>
            <w:tcW w:w="1701" w:type="dxa"/>
            <w:vMerge/>
            <w:vAlign w:val="center"/>
          </w:tcPr>
          <w:p w14:paraId="3C4A99C0" w14:textId="77777777" w:rsidR="008143D9" w:rsidRPr="00AC3044" w:rsidRDefault="008143D9" w:rsidP="005A428D">
            <w:pPr>
              <w:rPr>
                <w:rFonts w:eastAsia="SimSun"/>
              </w:rPr>
            </w:pPr>
          </w:p>
        </w:tc>
        <w:tc>
          <w:tcPr>
            <w:tcW w:w="1559" w:type="dxa"/>
            <w:vAlign w:val="center"/>
          </w:tcPr>
          <w:p w14:paraId="14F91D24" w14:textId="77777777" w:rsidR="008143D9" w:rsidRPr="00AC3044" w:rsidRDefault="008143D9" w:rsidP="005A428D">
            <w:pPr>
              <w:rPr>
                <w:rFonts w:eastAsia="SimSun"/>
              </w:rPr>
            </w:pPr>
            <w:r w:rsidRPr="00AC3044">
              <w:rPr>
                <w:rFonts w:eastAsia="SimSun"/>
              </w:rPr>
              <w:t>10 мг/м</w:t>
            </w:r>
            <w:r w:rsidRPr="00DB259E">
              <w:rPr>
                <w:rFonts w:eastAsia="SimSun"/>
                <w:vertAlign w:val="superscript"/>
              </w:rPr>
              <w:t>2</w:t>
            </w:r>
          </w:p>
        </w:tc>
        <w:tc>
          <w:tcPr>
            <w:tcW w:w="1418" w:type="dxa"/>
            <w:vAlign w:val="center"/>
          </w:tcPr>
          <w:p w14:paraId="33DF9F02" w14:textId="77777777" w:rsidR="008143D9" w:rsidRPr="00AC3044" w:rsidRDefault="008143D9" w:rsidP="005A428D">
            <w:pPr>
              <w:rPr>
                <w:rFonts w:eastAsia="SimSun"/>
              </w:rPr>
            </w:pPr>
            <w:r w:rsidRPr="00AC3044">
              <w:rPr>
                <w:rFonts w:eastAsia="SimSun"/>
              </w:rPr>
              <w:t>–</w:t>
            </w:r>
          </w:p>
        </w:tc>
        <w:tc>
          <w:tcPr>
            <w:tcW w:w="1701" w:type="dxa"/>
            <w:vAlign w:val="center"/>
          </w:tcPr>
          <w:p w14:paraId="24E3DAA8" w14:textId="77777777" w:rsidR="008143D9" w:rsidRPr="00AC3044" w:rsidRDefault="008143D9" w:rsidP="005A428D">
            <w:pPr>
              <w:rPr>
                <w:rFonts w:eastAsia="SimSun"/>
              </w:rPr>
            </w:pPr>
            <w:r w:rsidRPr="00AC3044">
              <w:rPr>
                <w:rFonts w:eastAsia="SimSun"/>
              </w:rPr>
              <w:t>+3, +6, +11 дни</w:t>
            </w:r>
          </w:p>
        </w:tc>
        <w:tc>
          <w:tcPr>
            <w:tcW w:w="2268" w:type="dxa"/>
            <w:vAlign w:val="center"/>
          </w:tcPr>
          <w:p w14:paraId="54482B15" w14:textId="77777777" w:rsidR="008143D9" w:rsidRPr="00AC3044" w:rsidRDefault="008143D9" w:rsidP="005A428D">
            <w:pPr>
              <w:rPr>
                <w:rFonts w:eastAsia="SimSun"/>
              </w:rPr>
            </w:pPr>
            <w:r w:rsidRPr="00AC3044">
              <w:rPr>
                <w:rFonts w:eastAsia="SimSun"/>
              </w:rPr>
              <w:t xml:space="preserve">В/в, в 20 мл физ. р-ра </w:t>
            </w:r>
          </w:p>
        </w:tc>
      </w:tr>
      <w:tr w:rsidR="008143D9" w:rsidRPr="00AC3044" w14:paraId="6B9AC8C6" w14:textId="77777777" w:rsidTr="005A428D">
        <w:trPr>
          <w:cantSplit/>
          <w:trHeight w:val="464"/>
        </w:trPr>
        <w:tc>
          <w:tcPr>
            <w:tcW w:w="851" w:type="dxa"/>
            <w:vMerge/>
          </w:tcPr>
          <w:p w14:paraId="5B4ABB15" w14:textId="77777777" w:rsidR="008143D9" w:rsidRPr="00AC3044" w:rsidRDefault="008143D9" w:rsidP="005A428D">
            <w:pPr>
              <w:rPr>
                <w:rFonts w:eastAsia="SimSun"/>
              </w:rPr>
            </w:pPr>
          </w:p>
        </w:tc>
        <w:tc>
          <w:tcPr>
            <w:tcW w:w="1701" w:type="dxa"/>
            <w:vAlign w:val="center"/>
          </w:tcPr>
          <w:p w14:paraId="5CF7EAB8" w14:textId="77777777" w:rsidR="008143D9" w:rsidRPr="00AC3044" w:rsidRDefault="008143D9" w:rsidP="005A428D">
            <w:pPr>
              <w:rPr>
                <w:rFonts w:eastAsia="SimSun"/>
              </w:rPr>
            </w:pPr>
            <w:r w:rsidRPr="00AC3044">
              <w:rPr>
                <w:rFonts w:eastAsia="SimSun"/>
              </w:rPr>
              <w:t>Микофенолата мофетил</w:t>
            </w:r>
          </w:p>
        </w:tc>
        <w:tc>
          <w:tcPr>
            <w:tcW w:w="1559" w:type="dxa"/>
            <w:vAlign w:val="center"/>
          </w:tcPr>
          <w:p w14:paraId="2DF489BC" w14:textId="77777777" w:rsidR="008143D9" w:rsidRPr="00AC3044" w:rsidRDefault="008143D9" w:rsidP="005A428D">
            <w:pPr>
              <w:rPr>
                <w:rFonts w:eastAsia="SimSun"/>
              </w:rPr>
            </w:pPr>
            <w:r w:rsidRPr="00AC3044">
              <w:rPr>
                <w:rFonts w:eastAsia="SimSun"/>
              </w:rPr>
              <w:t>45 мг/кг</w:t>
            </w:r>
          </w:p>
        </w:tc>
        <w:tc>
          <w:tcPr>
            <w:tcW w:w="1418" w:type="dxa"/>
            <w:vAlign w:val="center"/>
          </w:tcPr>
          <w:p w14:paraId="1954B290" w14:textId="77777777" w:rsidR="008143D9" w:rsidRPr="00AC3044" w:rsidRDefault="008143D9" w:rsidP="005A428D">
            <w:pPr>
              <w:rPr>
                <w:rFonts w:eastAsia="SimSun"/>
              </w:rPr>
            </w:pPr>
            <w:r w:rsidRPr="00AC3044">
              <w:rPr>
                <w:rFonts w:eastAsia="SimSun"/>
              </w:rPr>
              <w:t>–</w:t>
            </w:r>
          </w:p>
        </w:tc>
        <w:tc>
          <w:tcPr>
            <w:tcW w:w="1701" w:type="dxa"/>
            <w:vAlign w:val="center"/>
          </w:tcPr>
          <w:p w14:paraId="6152F9CE" w14:textId="77777777" w:rsidR="008143D9" w:rsidRPr="00AC3044" w:rsidRDefault="008143D9" w:rsidP="005A428D">
            <w:pPr>
              <w:rPr>
                <w:rFonts w:eastAsia="SimSun"/>
              </w:rPr>
            </w:pPr>
            <w:r w:rsidRPr="00AC3044">
              <w:rPr>
                <w:rFonts w:eastAsia="SimSun"/>
              </w:rPr>
              <w:t>С +1 по +90 день</w:t>
            </w:r>
          </w:p>
        </w:tc>
        <w:tc>
          <w:tcPr>
            <w:tcW w:w="2268" w:type="dxa"/>
            <w:vAlign w:val="center"/>
          </w:tcPr>
          <w:p w14:paraId="47463637" w14:textId="77777777" w:rsidR="008143D9" w:rsidRPr="00AC3044" w:rsidRDefault="008143D9" w:rsidP="005A428D">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2C154A3E" w14:textId="77777777" w:rsidR="008143D9" w:rsidRDefault="008143D9" w:rsidP="008143D9">
      <w:pPr>
        <w:rPr>
          <w:rFonts w:eastAsia="SimSun"/>
        </w:rPr>
      </w:pPr>
      <w:bookmarkStart w:id="166" w:name="_Toc44401207"/>
    </w:p>
    <w:p w14:paraId="47CDFF2B" w14:textId="77777777" w:rsidR="008143D9" w:rsidRPr="00C07B2E" w:rsidRDefault="008143D9" w:rsidP="008143D9">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2.2.7  – Flu180+Bu8 / PT-Cy+CSA+MMF30</w:t>
      </w:r>
      <w:bookmarkEnd w:id="166"/>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8143D9" w:rsidRPr="00AC3044" w14:paraId="3F6C8D7E" w14:textId="77777777" w:rsidTr="005A428D">
        <w:trPr>
          <w:cantSplit/>
          <w:trHeight w:val="20"/>
          <w:tblHeader/>
        </w:trPr>
        <w:tc>
          <w:tcPr>
            <w:tcW w:w="851" w:type="dxa"/>
          </w:tcPr>
          <w:p w14:paraId="44C2FBDF" w14:textId="77777777" w:rsidR="008143D9" w:rsidRPr="00470D3D" w:rsidRDefault="008143D9" w:rsidP="005A428D">
            <w:pPr>
              <w:rPr>
                <w:rFonts w:eastAsia="SimSun"/>
              </w:rPr>
            </w:pPr>
          </w:p>
        </w:tc>
        <w:tc>
          <w:tcPr>
            <w:tcW w:w="1701" w:type="dxa"/>
            <w:vAlign w:val="center"/>
          </w:tcPr>
          <w:p w14:paraId="07457F65" w14:textId="77777777" w:rsidR="008143D9" w:rsidRPr="00AC3044" w:rsidRDefault="008143D9" w:rsidP="005A428D">
            <w:pPr>
              <w:rPr>
                <w:rFonts w:eastAsia="SimSun"/>
              </w:rPr>
            </w:pPr>
            <w:r w:rsidRPr="00AC3044">
              <w:rPr>
                <w:rFonts w:eastAsia="SimSun"/>
              </w:rPr>
              <w:t>Препарат</w:t>
            </w:r>
          </w:p>
        </w:tc>
        <w:tc>
          <w:tcPr>
            <w:tcW w:w="1559" w:type="dxa"/>
            <w:vAlign w:val="center"/>
          </w:tcPr>
          <w:p w14:paraId="1034EFF4" w14:textId="77777777" w:rsidR="008143D9" w:rsidRPr="00AC3044" w:rsidRDefault="008143D9" w:rsidP="005A428D">
            <w:pPr>
              <w:rPr>
                <w:rFonts w:eastAsia="SimSun"/>
              </w:rPr>
            </w:pPr>
            <w:r w:rsidRPr="00AC3044">
              <w:rPr>
                <w:rFonts w:eastAsia="SimSun"/>
              </w:rPr>
              <w:t>Суточная доза</w:t>
            </w:r>
          </w:p>
        </w:tc>
        <w:tc>
          <w:tcPr>
            <w:tcW w:w="1418" w:type="dxa"/>
            <w:vAlign w:val="center"/>
          </w:tcPr>
          <w:p w14:paraId="59E62833" w14:textId="77777777" w:rsidR="008143D9" w:rsidRPr="00AC3044" w:rsidRDefault="008143D9" w:rsidP="005A428D">
            <w:pPr>
              <w:rPr>
                <w:rFonts w:eastAsia="SimSun"/>
              </w:rPr>
            </w:pPr>
            <w:r w:rsidRPr="00AC3044">
              <w:rPr>
                <w:rFonts w:eastAsia="SimSun"/>
              </w:rPr>
              <w:t>Курсовая доза</w:t>
            </w:r>
          </w:p>
        </w:tc>
        <w:tc>
          <w:tcPr>
            <w:tcW w:w="1701" w:type="dxa"/>
            <w:vAlign w:val="center"/>
          </w:tcPr>
          <w:p w14:paraId="6DA10E15" w14:textId="77777777" w:rsidR="008143D9" w:rsidRPr="00AC3044" w:rsidRDefault="008143D9" w:rsidP="005A428D">
            <w:pPr>
              <w:rPr>
                <w:rFonts w:eastAsia="SimSun"/>
              </w:rPr>
            </w:pPr>
            <w:r w:rsidRPr="00AC3044">
              <w:rPr>
                <w:rFonts w:eastAsia="SimSun"/>
              </w:rPr>
              <w:t>Дни введения</w:t>
            </w:r>
          </w:p>
        </w:tc>
        <w:tc>
          <w:tcPr>
            <w:tcW w:w="2268" w:type="dxa"/>
            <w:vAlign w:val="center"/>
          </w:tcPr>
          <w:p w14:paraId="56A62880"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72D87C39" w14:textId="77777777" w:rsidTr="005A428D">
        <w:trPr>
          <w:cantSplit/>
          <w:trHeight w:val="20"/>
        </w:trPr>
        <w:tc>
          <w:tcPr>
            <w:tcW w:w="851" w:type="dxa"/>
            <w:vMerge w:val="restart"/>
            <w:textDirection w:val="btLr"/>
            <w:vAlign w:val="center"/>
          </w:tcPr>
          <w:p w14:paraId="427CF031" w14:textId="77777777" w:rsidR="008143D9" w:rsidRPr="00AC3044" w:rsidRDefault="008143D9" w:rsidP="005A428D">
            <w:pPr>
              <w:rPr>
                <w:rFonts w:eastAsia="SimSun"/>
              </w:rPr>
            </w:pPr>
            <w:r w:rsidRPr="00AC3044">
              <w:rPr>
                <w:rFonts w:eastAsia="SimSun"/>
              </w:rPr>
              <w:t>Кондиционирование</w:t>
            </w:r>
          </w:p>
        </w:tc>
        <w:tc>
          <w:tcPr>
            <w:tcW w:w="1701" w:type="dxa"/>
            <w:vAlign w:val="center"/>
          </w:tcPr>
          <w:p w14:paraId="4E176456" w14:textId="77777777" w:rsidR="008143D9" w:rsidRPr="00AC3044" w:rsidRDefault="008143D9" w:rsidP="005A428D">
            <w:pPr>
              <w:rPr>
                <w:rFonts w:eastAsia="SimSun"/>
              </w:rPr>
            </w:pPr>
            <w:r w:rsidRPr="00AC3044">
              <w:rPr>
                <w:rFonts w:eastAsia="SimSun"/>
              </w:rPr>
              <w:t xml:space="preserve">Флударабин </w:t>
            </w:r>
          </w:p>
        </w:tc>
        <w:tc>
          <w:tcPr>
            <w:tcW w:w="1559" w:type="dxa"/>
            <w:vAlign w:val="center"/>
          </w:tcPr>
          <w:p w14:paraId="72711D97" w14:textId="77777777" w:rsidR="008143D9" w:rsidRPr="00AC3044" w:rsidRDefault="008143D9" w:rsidP="005A428D">
            <w:pPr>
              <w:rPr>
                <w:rFonts w:eastAsia="SimSun"/>
              </w:rPr>
            </w:pPr>
            <w:r w:rsidRPr="00AC3044">
              <w:rPr>
                <w:rFonts w:eastAsia="SimSun"/>
              </w:rPr>
              <w:t>30 мг/м</w:t>
            </w:r>
            <w:r w:rsidRPr="00DB259E">
              <w:rPr>
                <w:rFonts w:eastAsia="SimSun"/>
                <w:vertAlign w:val="superscript"/>
              </w:rPr>
              <w:t>2</w:t>
            </w:r>
          </w:p>
        </w:tc>
        <w:tc>
          <w:tcPr>
            <w:tcW w:w="1418" w:type="dxa"/>
            <w:vAlign w:val="center"/>
          </w:tcPr>
          <w:p w14:paraId="78892EB3" w14:textId="77777777" w:rsidR="008143D9" w:rsidRPr="00AC3044" w:rsidRDefault="008143D9" w:rsidP="005A428D">
            <w:pPr>
              <w:rPr>
                <w:rFonts w:eastAsia="SimSun"/>
              </w:rPr>
            </w:pPr>
            <w:r w:rsidRPr="00AC3044">
              <w:rPr>
                <w:rFonts w:eastAsia="SimSun"/>
              </w:rPr>
              <w:t>150 мг/м</w:t>
            </w:r>
            <w:r w:rsidRPr="00DB259E">
              <w:rPr>
                <w:rFonts w:eastAsia="SimSun"/>
                <w:vertAlign w:val="superscript"/>
              </w:rPr>
              <w:t>2</w:t>
            </w:r>
          </w:p>
        </w:tc>
        <w:tc>
          <w:tcPr>
            <w:tcW w:w="1701" w:type="dxa"/>
            <w:vAlign w:val="center"/>
          </w:tcPr>
          <w:p w14:paraId="41D18B2E" w14:textId="77777777" w:rsidR="008143D9" w:rsidRPr="00AC3044" w:rsidRDefault="008143D9" w:rsidP="005A428D">
            <w:pPr>
              <w:rPr>
                <w:rFonts w:eastAsia="SimSun"/>
              </w:rPr>
            </w:pPr>
            <w:r w:rsidRPr="00AC3044">
              <w:rPr>
                <w:rFonts w:eastAsia="SimSun"/>
              </w:rPr>
              <w:t>С –6 по –2 день</w:t>
            </w:r>
          </w:p>
        </w:tc>
        <w:tc>
          <w:tcPr>
            <w:tcW w:w="2268" w:type="dxa"/>
            <w:vAlign w:val="center"/>
          </w:tcPr>
          <w:p w14:paraId="1ED52AD2"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3B6922EB" w14:textId="77777777" w:rsidTr="005A428D">
        <w:trPr>
          <w:cantSplit/>
          <w:trHeight w:val="772"/>
        </w:trPr>
        <w:tc>
          <w:tcPr>
            <w:tcW w:w="851" w:type="dxa"/>
            <w:vMerge/>
            <w:textDirection w:val="btLr"/>
            <w:vAlign w:val="center"/>
          </w:tcPr>
          <w:p w14:paraId="762290E9" w14:textId="77777777" w:rsidR="008143D9" w:rsidRPr="00AC3044" w:rsidRDefault="008143D9" w:rsidP="005A428D">
            <w:pPr>
              <w:rPr>
                <w:rFonts w:eastAsia="SimSun"/>
              </w:rPr>
            </w:pPr>
          </w:p>
        </w:tc>
        <w:tc>
          <w:tcPr>
            <w:tcW w:w="1701" w:type="dxa"/>
            <w:vAlign w:val="center"/>
          </w:tcPr>
          <w:p w14:paraId="271E44BD" w14:textId="77777777" w:rsidR="008143D9" w:rsidRPr="00AC3044" w:rsidRDefault="008143D9" w:rsidP="005A428D">
            <w:pPr>
              <w:rPr>
                <w:rFonts w:eastAsia="SimSun"/>
              </w:rPr>
            </w:pPr>
            <w:r w:rsidRPr="00AC3044">
              <w:rPr>
                <w:rFonts w:eastAsia="SimSun"/>
              </w:rPr>
              <w:t>Бусульфан</w:t>
            </w:r>
          </w:p>
        </w:tc>
        <w:tc>
          <w:tcPr>
            <w:tcW w:w="1559" w:type="dxa"/>
            <w:vAlign w:val="center"/>
          </w:tcPr>
          <w:p w14:paraId="4F3FD782" w14:textId="77777777" w:rsidR="008143D9" w:rsidRPr="00AC3044" w:rsidRDefault="008143D9" w:rsidP="005A428D">
            <w:pPr>
              <w:rPr>
                <w:rFonts w:eastAsia="SimSun"/>
              </w:rPr>
            </w:pPr>
            <w:r w:rsidRPr="00AC3044">
              <w:rPr>
                <w:rFonts w:eastAsia="SimSun"/>
              </w:rPr>
              <w:t>4 мг/кг</w:t>
            </w:r>
          </w:p>
        </w:tc>
        <w:tc>
          <w:tcPr>
            <w:tcW w:w="1418" w:type="dxa"/>
            <w:vAlign w:val="center"/>
          </w:tcPr>
          <w:p w14:paraId="5F3B6FB0" w14:textId="77777777" w:rsidR="008143D9" w:rsidRPr="00AC3044" w:rsidRDefault="008143D9" w:rsidP="005A428D">
            <w:pPr>
              <w:rPr>
                <w:rFonts w:eastAsia="SimSun"/>
              </w:rPr>
            </w:pPr>
            <w:r w:rsidRPr="00AC3044">
              <w:rPr>
                <w:rFonts w:eastAsia="SimSun"/>
              </w:rPr>
              <w:t>8 мг/кг</w:t>
            </w:r>
          </w:p>
        </w:tc>
        <w:tc>
          <w:tcPr>
            <w:tcW w:w="1701" w:type="dxa"/>
            <w:vAlign w:val="center"/>
          </w:tcPr>
          <w:p w14:paraId="0638AE80" w14:textId="77777777" w:rsidR="008143D9" w:rsidRPr="00AC3044" w:rsidRDefault="008143D9" w:rsidP="005A428D">
            <w:pPr>
              <w:rPr>
                <w:rFonts w:eastAsia="SimSun"/>
              </w:rPr>
            </w:pPr>
            <w:r w:rsidRPr="00AC3044">
              <w:rPr>
                <w:rFonts w:eastAsia="SimSun"/>
              </w:rPr>
              <w:t>С –5 по –4 день</w:t>
            </w:r>
          </w:p>
        </w:tc>
        <w:tc>
          <w:tcPr>
            <w:tcW w:w="2268" w:type="dxa"/>
            <w:vAlign w:val="center"/>
          </w:tcPr>
          <w:p w14:paraId="478B05C5" w14:textId="77777777" w:rsidR="008143D9" w:rsidRPr="00AC3044" w:rsidRDefault="008143D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8143D9" w:rsidRPr="00AC3044" w14:paraId="447BA7C7" w14:textId="77777777" w:rsidTr="005A428D">
        <w:trPr>
          <w:cantSplit/>
          <w:trHeight w:val="1337"/>
        </w:trPr>
        <w:tc>
          <w:tcPr>
            <w:tcW w:w="851" w:type="dxa"/>
            <w:vMerge w:val="restart"/>
            <w:textDirection w:val="btLr"/>
            <w:vAlign w:val="center"/>
          </w:tcPr>
          <w:p w14:paraId="4B6D6EBB" w14:textId="77777777" w:rsidR="008143D9" w:rsidRPr="00AC3044" w:rsidRDefault="008143D9" w:rsidP="005A428D">
            <w:pPr>
              <w:rPr>
                <w:rFonts w:eastAsia="SimSun"/>
              </w:rPr>
            </w:pPr>
            <w:r w:rsidRPr="00AC3044">
              <w:rPr>
                <w:rFonts w:eastAsia="SimSun"/>
              </w:rPr>
              <w:t>Профилактика РТПХ</w:t>
            </w:r>
          </w:p>
        </w:tc>
        <w:tc>
          <w:tcPr>
            <w:tcW w:w="1701" w:type="dxa"/>
            <w:vAlign w:val="center"/>
          </w:tcPr>
          <w:p w14:paraId="403DE236" w14:textId="77777777" w:rsidR="008143D9" w:rsidRPr="00AC3044" w:rsidRDefault="008143D9" w:rsidP="005A428D">
            <w:pPr>
              <w:rPr>
                <w:rFonts w:eastAsia="SimSun"/>
              </w:rPr>
            </w:pPr>
            <w:r w:rsidRPr="00AC3044">
              <w:rPr>
                <w:rFonts w:eastAsia="SimSun"/>
              </w:rPr>
              <w:t>Циклоспорин</w:t>
            </w:r>
          </w:p>
        </w:tc>
        <w:tc>
          <w:tcPr>
            <w:tcW w:w="1559" w:type="dxa"/>
            <w:vAlign w:val="center"/>
          </w:tcPr>
          <w:p w14:paraId="211C0923" w14:textId="77777777" w:rsidR="008143D9" w:rsidRPr="00AC3044" w:rsidRDefault="008143D9" w:rsidP="005A428D">
            <w:pPr>
              <w:rPr>
                <w:rFonts w:eastAsia="SimSun"/>
              </w:rPr>
            </w:pPr>
            <w:r w:rsidRPr="00AC3044">
              <w:rPr>
                <w:rFonts w:eastAsia="SimSun"/>
              </w:rPr>
              <w:t>3 мг/кг</w:t>
            </w:r>
          </w:p>
        </w:tc>
        <w:tc>
          <w:tcPr>
            <w:tcW w:w="1418" w:type="dxa"/>
            <w:vAlign w:val="center"/>
          </w:tcPr>
          <w:p w14:paraId="4B973D2F" w14:textId="77777777" w:rsidR="008143D9" w:rsidRPr="00AC3044" w:rsidRDefault="008143D9" w:rsidP="005A428D">
            <w:pPr>
              <w:rPr>
                <w:rFonts w:eastAsia="SimSun"/>
              </w:rPr>
            </w:pPr>
            <w:r w:rsidRPr="00AC3044">
              <w:rPr>
                <w:rFonts w:eastAsia="SimSun"/>
              </w:rPr>
              <w:t>–</w:t>
            </w:r>
          </w:p>
        </w:tc>
        <w:tc>
          <w:tcPr>
            <w:tcW w:w="1701" w:type="dxa"/>
            <w:vAlign w:val="center"/>
          </w:tcPr>
          <w:p w14:paraId="04131A21" w14:textId="77777777" w:rsidR="008143D9" w:rsidRPr="00AC3044" w:rsidRDefault="008143D9" w:rsidP="005A428D">
            <w:pPr>
              <w:rPr>
                <w:rFonts w:eastAsia="SimSun"/>
              </w:rPr>
            </w:pPr>
            <w:r w:rsidRPr="00AC3044">
              <w:rPr>
                <w:rFonts w:eastAsia="SimSun"/>
              </w:rPr>
              <w:t>С +5 дня по +90 день затем постепенное снижение к +180 дню</w:t>
            </w:r>
          </w:p>
        </w:tc>
        <w:tc>
          <w:tcPr>
            <w:tcW w:w="2268" w:type="dxa"/>
            <w:vAlign w:val="center"/>
          </w:tcPr>
          <w:p w14:paraId="6BDE2699" w14:textId="77777777" w:rsidR="008143D9" w:rsidRPr="00AC3044" w:rsidRDefault="008143D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8143D9" w:rsidRPr="00AC3044" w14:paraId="767C91A0" w14:textId="77777777" w:rsidTr="005A428D">
        <w:trPr>
          <w:cantSplit/>
          <w:trHeight w:val="308"/>
        </w:trPr>
        <w:tc>
          <w:tcPr>
            <w:tcW w:w="851" w:type="dxa"/>
            <w:vMerge/>
            <w:textDirection w:val="btLr"/>
          </w:tcPr>
          <w:p w14:paraId="56E06238" w14:textId="77777777" w:rsidR="008143D9" w:rsidRPr="00AC3044" w:rsidRDefault="008143D9" w:rsidP="005A428D">
            <w:pPr>
              <w:rPr>
                <w:rFonts w:eastAsia="SimSun"/>
              </w:rPr>
            </w:pPr>
          </w:p>
        </w:tc>
        <w:tc>
          <w:tcPr>
            <w:tcW w:w="1701" w:type="dxa"/>
            <w:vAlign w:val="center"/>
          </w:tcPr>
          <w:p w14:paraId="7924F1E1" w14:textId="77777777" w:rsidR="008143D9" w:rsidRPr="00AC3044" w:rsidRDefault="008143D9" w:rsidP="005A428D">
            <w:pPr>
              <w:rPr>
                <w:rFonts w:eastAsia="SimSun"/>
              </w:rPr>
            </w:pPr>
            <w:r w:rsidRPr="00AC3044">
              <w:rPr>
                <w:rFonts w:eastAsia="SimSun"/>
              </w:rPr>
              <w:t>Микофенолата мофетил</w:t>
            </w:r>
          </w:p>
        </w:tc>
        <w:tc>
          <w:tcPr>
            <w:tcW w:w="1559" w:type="dxa"/>
            <w:vAlign w:val="center"/>
          </w:tcPr>
          <w:p w14:paraId="19604864" w14:textId="77777777" w:rsidR="008143D9" w:rsidRPr="00AC3044" w:rsidRDefault="008143D9" w:rsidP="005A428D">
            <w:pPr>
              <w:rPr>
                <w:rFonts w:eastAsia="SimSun"/>
              </w:rPr>
            </w:pPr>
            <w:r w:rsidRPr="00AC3044">
              <w:rPr>
                <w:rFonts w:eastAsia="SimSun"/>
              </w:rPr>
              <w:t>30 мг/кг</w:t>
            </w:r>
          </w:p>
        </w:tc>
        <w:tc>
          <w:tcPr>
            <w:tcW w:w="1418" w:type="dxa"/>
            <w:vAlign w:val="center"/>
          </w:tcPr>
          <w:p w14:paraId="1DC5DD5A" w14:textId="77777777" w:rsidR="008143D9" w:rsidRPr="00AC3044" w:rsidRDefault="008143D9" w:rsidP="005A428D">
            <w:pPr>
              <w:rPr>
                <w:rFonts w:eastAsia="SimSun"/>
              </w:rPr>
            </w:pPr>
            <w:r w:rsidRPr="00AC3044">
              <w:rPr>
                <w:rFonts w:eastAsia="SimSun"/>
              </w:rPr>
              <w:t>–</w:t>
            </w:r>
          </w:p>
        </w:tc>
        <w:tc>
          <w:tcPr>
            <w:tcW w:w="1701" w:type="dxa"/>
            <w:vAlign w:val="center"/>
          </w:tcPr>
          <w:p w14:paraId="4AC981F0" w14:textId="77777777" w:rsidR="008143D9" w:rsidRPr="00AC3044" w:rsidRDefault="008143D9" w:rsidP="005A428D">
            <w:pPr>
              <w:rPr>
                <w:rFonts w:eastAsia="SimSun"/>
              </w:rPr>
            </w:pPr>
            <w:r w:rsidRPr="00AC3044">
              <w:rPr>
                <w:rFonts w:eastAsia="SimSun"/>
              </w:rPr>
              <w:t>С +5 по +90 день</w:t>
            </w:r>
          </w:p>
        </w:tc>
        <w:tc>
          <w:tcPr>
            <w:tcW w:w="2268" w:type="dxa"/>
            <w:vAlign w:val="center"/>
          </w:tcPr>
          <w:p w14:paraId="2F8AAF87" w14:textId="77777777" w:rsidR="008143D9" w:rsidRPr="00AC3044" w:rsidRDefault="008143D9" w:rsidP="005A428D">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8143D9" w:rsidRPr="00AC3044" w14:paraId="602F55B0" w14:textId="77777777" w:rsidTr="005A428D">
        <w:trPr>
          <w:cantSplit/>
          <w:trHeight w:val="20"/>
        </w:trPr>
        <w:tc>
          <w:tcPr>
            <w:tcW w:w="851" w:type="dxa"/>
            <w:vMerge/>
            <w:textDirection w:val="btLr"/>
          </w:tcPr>
          <w:p w14:paraId="23EBA12F" w14:textId="77777777" w:rsidR="008143D9" w:rsidRPr="00AC3044" w:rsidRDefault="008143D9" w:rsidP="005A428D">
            <w:pPr>
              <w:rPr>
                <w:rFonts w:eastAsia="SimSun"/>
              </w:rPr>
            </w:pPr>
          </w:p>
        </w:tc>
        <w:tc>
          <w:tcPr>
            <w:tcW w:w="1701" w:type="dxa"/>
            <w:vAlign w:val="center"/>
          </w:tcPr>
          <w:p w14:paraId="21935DDF" w14:textId="77777777" w:rsidR="008143D9" w:rsidRPr="00AC3044" w:rsidRDefault="008143D9" w:rsidP="005A428D">
            <w:pPr>
              <w:rPr>
                <w:rFonts w:eastAsia="SimSun"/>
              </w:rPr>
            </w:pPr>
            <w:r w:rsidRPr="00AC3044">
              <w:rPr>
                <w:rFonts w:eastAsia="SimSun"/>
              </w:rPr>
              <w:t>Циклофосфамид</w:t>
            </w:r>
          </w:p>
        </w:tc>
        <w:tc>
          <w:tcPr>
            <w:tcW w:w="1559" w:type="dxa"/>
            <w:vAlign w:val="center"/>
          </w:tcPr>
          <w:p w14:paraId="2D84E6AA" w14:textId="77777777" w:rsidR="008143D9" w:rsidRPr="00AC3044" w:rsidRDefault="008143D9" w:rsidP="005A428D">
            <w:pPr>
              <w:rPr>
                <w:rFonts w:eastAsia="SimSun"/>
              </w:rPr>
            </w:pPr>
            <w:r w:rsidRPr="00AC3044">
              <w:rPr>
                <w:rFonts w:eastAsia="SimSun"/>
              </w:rPr>
              <w:t>50 мг/кг</w:t>
            </w:r>
          </w:p>
        </w:tc>
        <w:tc>
          <w:tcPr>
            <w:tcW w:w="1418" w:type="dxa"/>
            <w:vAlign w:val="center"/>
          </w:tcPr>
          <w:p w14:paraId="5E91D981" w14:textId="77777777" w:rsidR="008143D9" w:rsidRPr="00AC3044" w:rsidRDefault="008143D9" w:rsidP="005A428D">
            <w:pPr>
              <w:rPr>
                <w:rFonts w:eastAsia="SimSun"/>
              </w:rPr>
            </w:pPr>
            <w:r w:rsidRPr="00AC3044">
              <w:rPr>
                <w:rFonts w:eastAsia="SimSun"/>
              </w:rPr>
              <w:t>100 мг/кг</w:t>
            </w:r>
          </w:p>
        </w:tc>
        <w:tc>
          <w:tcPr>
            <w:tcW w:w="1701" w:type="dxa"/>
            <w:vAlign w:val="center"/>
          </w:tcPr>
          <w:p w14:paraId="1C520A39" w14:textId="77777777" w:rsidR="008143D9" w:rsidRPr="00AC3044" w:rsidRDefault="008143D9" w:rsidP="005A428D">
            <w:pPr>
              <w:rPr>
                <w:rFonts w:eastAsia="SimSun"/>
              </w:rPr>
            </w:pPr>
            <w:r w:rsidRPr="00AC3044">
              <w:rPr>
                <w:rFonts w:eastAsia="SimSun"/>
              </w:rPr>
              <w:t xml:space="preserve">+3,+4 дни </w:t>
            </w:r>
          </w:p>
        </w:tc>
        <w:tc>
          <w:tcPr>
            <w:tcW w:w="2268" w:type="dxa"/>
            <w:vAlign w:val="center"/>
          </w:tcPr>
          <w:p w14:paraId="125EF6D0" w14:textId="77777777" w:rsidR="008143D9" w:rsidRPr="00AC3044" w:rsidRDefault="008143D9" w:rsidP="005A428D">
            <w:pPr>
              <w:rPr>
                <w:rFonts w:eastAsia="SimSun"/>
              </w:rPr>
            </w:pPr>
            <w:r w:rsidRPr="00AC3044">
              <w:rPr>
                <w:rFonts w:eastAsia="SimSun"/>
              </w:rPr>
              <w:t>В/в, в течение 2 часов</w:t>
            </w:r>
          </w:p>
        </w:tc>
      </w:tr>
    </w:tbl>
    <w:p w14:paraId="12F72FC2" w14:textId="77777777" w:rsidR="008143D9" w:rsidRDefault="008143D9" w:rsidP="008143D9">
      <w:pPr>
        <w:rPr>
          <w:rFonts w:eastAsia="SimSun"/>
        </w:rPr>
      </w:pPr>
      <w:bookmarkStart w:id="167" w:name="_Toc44401208"/>
    </w:p>
    <w:p w14:paraId="2FEFF1C1" w14:textId="77777777" w:rsidR="008143D9" w:rsidRPr="00042499" w:rsidRDefault="008143D9" w:rsidP="008143D9">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2.2.8  – </w:t>
      </w:r>
      <w:r w:rsidRPr="00C07B2E">
        <w:rPr>
          <w:rFonts w:eastAsia="SimSun"/>
        </w:rPr>
        <w:t>Flu</w:t>
      </w:r>
      <w:r w:rsidRPr="00042499">
        <w:rPr>
          <w:rFonts w:eastAsia="SimSun"/>
          <w:lang w:val="en-US"/>
        </w:rPr>
        <w:t>180+</w:t>
      </w:r>
      <w:r w:rsidRPr="00C07B2E">
        <w:rPr>
          <w:rFonts w:eastAsia="SimSun"/>
        </w:rPr>
        <w:t>Bu</w:t>
      </w:r>
      <w:r w:rsidRPr="00042499">
        <w:rPr>
          <w:rFonts w:eastAsia="SimSun"/>
          <w:lang w:val="en-US"/>
        </w:rPr>
        <w:t>8+</w:t>
      </w:r>
      <w:r w:rsidRPr="00C07B2E">
        <w:rPr>
          <w:rFonts w:eastAsia="SimSun"/>
        </w:rPr>
        <w:t>Thio</w:t>
      </w:r>
      <w:r w:rsidRPr="00042499">
        <w:rPr>
          <w:rFonts w:eastAsia="SimSun"/>
          <w:lang w:val="en-US"/>
        </w:rPr>
        <w:t xml:space="preserve"> / </w:t>
      </w:r>
      <w:r w:rsidRPr="00C07B2E">
        <w:rPr>
          <w:rFonts w:eastAsia="SimSun"/>
        </w:rPr>
        <w:t>PT</w:t>
      </w:r>
      <w:r w:rsidRPr="00042499">
        <w:rPr>
          <w:rFonts w:eastAsia="SimSun"/>
          <w:lang w:val="en-US"/>
        </w:rPr>
        <w:t>-</w:t>
      </w:r>
      <w:r w:rsidRPr="00C07B2E">
        <w:rPr>
          <w:rFonts w:eastAsia="SimSun"/>
        </w:rPr>
        <w:t>Cy</w:t>
      </w:r>
      <w:bookmarkEnd w:id="167"/>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8143D9" w:rsidRPr="00AC3044" w14:paraId="67D4DAF7" w14:textId="77777777" w:rsidTr="005A428D">
        <w:trPr>
          <w:cantSplit/>
          <w:trHeight w:val="20"/>
          <w:tblHeader/>
        </w:trPr>
        <w:tc>
          <w:tcPr>
            <w:tcW w:w="851" w:type="dxa"/>
            <w:vAlign w:val="center"/>
          </w:tcPr>
          <w:p w14:paraId="231A4F82" w14:textId="77777777" w:rsidR="008143D9" w:rsidRPr="00723FEA" w:rsidRDefault="008143D9" w:rsidP="005A428D">
            <w:pPr>
              <w:rPr>
                <w:rFonts w:eastAsia="SimSun"/>
                <w:lang w:val="en-US"/>
              </w:rPr>
            </w:pPr>
          </w:p>
        </w:tc>
        <w:tc>
          <w:tcPr>
            <w:tcW w:w="1701" w:type="dxa"/>
            <w:vAlign w:val="center"/>
          </w:tcPr>
          <w:p w14:paraId="4368F243" w14:textId="77777777" w:rsidR="008143D9" w:rsidRPr="00AC3044" w:rsidRDefault="008143D9" w:rsidP="005A428D">
            <w:pPr>
              <w:rPr>
                <w:rFonts w:eastAsia="SimSun"/>
              </w:rPr>
            </w:pPr>
            <w:r w:rsidRPr="00AC3044">
              <w:rPr>
                <w:rFonts w:eastAsia="SimSun"/>
              </w:rPr>
              <w:t>Препарат</w:t>
            </w:r>
          </w:p>
        </w:tc>
        <w:tc>
          <w:tcPr>
            <w:tcW w:w="1559" w:type="dxa"/>
            <w:vAlign w:val="center"/>
          </w:tcPr>
          <w:p w14:paraId="2C22CB7C" w14:textId="77777777" w:rsidR="008143D9" w:rsidRPr="00AC3044" w:rsidRDefault="008143D9" w:rsidP="005A428D">
            <w:pPr>
              <w:rPr>
                <w:rFonts w:eastAsia="SimSun"/>
              </w:rPr>
            </w:pPr>
            <w:r w:rsidRPr="00AC3044">
              <w:rPr>
                <w:rFonts w:eastAsia="SimSun"/>
              </w:rPr>
              <w:t>Суточная доза</w:t>
            </w:r>
          </w:p>
        </w:tc>
        <w:tc>
          <w:tcPr>
            <w:tcW w:w="1418" w:type="dxa"/>
            <w:vAlign w:val="center"/>
          </w:tcPr>
          <w:p w14:paraId="4DE5110A" w14:textId="77777777" w:rsidR="008143D9" w:rsidRPr="00AC3044" w:rsidRDefault="008143D9" w:rsidP="005A428D">
            <w:pPr>
              <w:rPr>
                <w:rFonts w:eastAsia="SimSun"/>
              </w:rPr>
            </w:pPr>
            <w:r w:rsidRPr="00AC3044">
              <w:rPr>
                <w:rFonts w:eastAsia="SimSun"/>
              </w:rPr>
              <w:t>Курсовая доза</w:t>
            </w:r>
          </w:p>
        </w:tc>
        <w:tc>
          <w:tcPr>
            <w:tcW w:w="1701" w:type="dxa"/>
            <w:vAlign w:val="center"/>
          </w:tcPr>
          <w:p w14:paraId="67CB80ED" w14:textId="77777777" w:rsidR="008143D9" w:rsidRPr="00AC3044" w:rsidRDefault="008143D9" w:rsidP="005A428D">
            <w:pPr>
              <w:rPr>
                <w:rFonts w:eastAsia="SimSun"/>
              </w:rPr>
            </w:pPr>
            <w:r w:rsidRPr="00AC3044">
              <w:rPr>
                <w:rFonts w:eastAsia="SimSun"/>
              </w:rPr>
              <w:t>Дни введения</w:t>
            </w:r>
          </w:p>
        </w:tc>
        <w:tc>
          <w:tcPr>
            <w:tcW w:w="2268" w:type="dxa"/>
            <w:vAlign w:val="center"/>
          </w:tcPr>
          <w:p w14:paraId="051DEB34"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706191F2" w14:textId="77777777" w:rsidTr="005A428D">
        <w:trPr>
          <w:cantSplit/>
          <w:trHeight w:val="20"/>
        </w:trPr>
        <w:tc>
          <w:tcPr>
            <w:tcW w:w="851" w:type="dxa"/>
            <w:vMerge w:val="restart"/>
            <w:textDirection w:val="btLr"/>
            <w:vAlign w:val="center"/>
          </w:tcPr>
          <w:p w14:paraId="6BE134F5" w14:textId="77777777" w:rsidR="008143D9" w:rsidRPr="00AC3044" w:rsidRDefault="008143D9" w:rsidP="005A428D">
            <w:pPr>
              <w:rPr>
                <w:rFonts w:eastAsia="SimSun"/>
              </w:rPr>
            </w:pPr>
            <w:r w:rsidRPr="00AC3044">
              <w:rPr>
                <w:rFonts w:eastAsia="SimSun"/>
              </w:rPr>
              <w:t>Кондиционирование</w:t>
            </w:r>
          </w:p>
        </w:tc>
        <w:tc>
          <w:tcPr>
            <w:tcW w:w="1701" w:type="dxa"/>
            <w:vAlign w:val="center"/>
          </w:tcPr>
          <w:p w14:paraId="39B9852E" w14:textId="77777777" w:rsidR="008143D9" w:rsidRPr="00AC3044" w:rsidRDefault="008143D9" w:rsidP="005A428D">
            <w:pPr>
              <w:rPr>
                <w:rFonts w:eastAsia="SimSun"/>
              </w:rPr>
            </w:pPr>
            <w:r w:rsidRPr="00AC3044">
              <w:rPr>
                <w:rFonts w:eastAsia="SimSun"/>
              </w:rPr>
              <w:t xml:space="preserve">Флударабин </w:t>
            </w:r>
          </w:p>
        </w:tc>
        <w:tc>
          <w:tcPr>
            <w:tcW w:w="1559" w:type="dxa"/>
            <w:vAlign w:val="center"/>
          </w:tcPr>
          <w:p w14:paraId="1D36F806" w14:textId="77777777" w:rsidR="008143D9" w:rsidRPr="00AC3044" w:rsidRDefault="008143D9" w:rsidP="005A428D">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60D5CE80" w14:textId="77777777" w:rsidR="008143D9" w:rsidRPr="00AC3044" w:rsidRDefault="008143D9" w:rsidP="005A428D">
            <w:pPr>
              <w:rPr>
                <w:rFonts w:eastAsia="SimSun"/>
              </w:rPr>
            </w:pPr>
            <w:r w:rsidRPr="00AC3044">
              <w:rPr>
                <w:rFonts w:eastAsia="SimSun"/>
              </w:rPr>
              <w:t>180 мг/м2</w:t>
            </w:r>
          </w:p>
        </w:tc>
        <w:tc>
          <w:tcPr>
            <w:tcW w:w="1701" w:type="dxa"/>
            <w:vAlign w:val="center"/>
          </w:tcPr>
          <w:p w14:paraId="055FF9EB" w14:textId="77777777" w:rsidR="008143D9" w:rsidRPr="00AC3044" w:rsidRDefault="008143D9" w:rsidP="005A428D">
            <w:pPr>
              <w:rPr>
                <w:rFonts w:eastAsia="SimSun"/>
              </w:rPr>
            </w:pPr>
            <w:r w:rsidRPr="00AC3044">
              <w:rPr>
                <w:rFonts w:eastAsia="SimSun"/>
              </w:rPr>
              <w:t>С -7 дня по -2 день</w:t>
            </w:r>
          </w:p>
        </w:tc>
        <w:tc>
          <w:tcPr>
            <w:tcW w:w="2268" w:type="dxa"/>
            <w:vAlign w:val="center"/>
          </w:tcPr>
          <w:p w14:paraId="4E0351AF"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73E47C1B" w14:textId="77777777" w:rsidTr="005A428D">
        <w:trPr>
          <w:cantSplit/>
          <w:trHeight w:val="687"/>
        </w:trPr>
        <w:tc>
          <w:tcPr>
            <w:tcW w:w="851" w:type="dxa"/>
            <w:vMerge/>
            <w:vAlign w:val="center"/>
          </w:tcPr>
          <w:p w14:paraId="6A28D5EA" w14:textId="77777777" w:rsidR="008143D9" w:rsidRPr="00AC3044" w:rsidRDefault="008143D9" w:rsidP="005A428D">
            <w:pPr>
              <w:rPr>
                <w:rFonts w:eastAsia="SimSun"/>
              </w:rPr>
            </w:pPr>
          </w:p>
        </w:tc>
        <w:tc>
          <w:tcPr>
            <w:tcW w:w="1701" w:type="dxa"/>
            <w:vAlign w:val="center"/>
          </w:tcPr>
          <w:p w14:paraId="3BA36C84" w14:textId="77777777" w:rsidR="008143D9" w:rsidRPr="00AC3044" w:rsidRDefault="008143D9" w:rsidP="005A428D">
            <w:pPr>
              <w:rPr>
                <w:rFonts w:eastAsia="SimSun"/>
              </w:rPr>
            </w:pPr>
            <w:r w:rsidRPr="00AC3044">
              <w:rPr>
                <w:rFonts w:eastAsia="SimSun"/>
              </w:rPr>
              <w:t>Бусульфан</w:t>
            </w:r>
          </w:p>
        </w:tc>
        <w:tc>
          <w:tcPr>
            <w:tcW w:w="1559" w:type="dxa"/>
            <w:vAlign w:val="center"/>
          </w:tcPr>
          <w:p w14:paraId="0786DD1F" w14:textId="77777777" w:rsidR="008143D9" w:rsidRPr="00AC3044" w:rsidRDefault="008143D9" w:rsidP="005A428D">
            <w:pPr>
              <w:rPr>
                <w:rFonts w:eastAsia="SimSun"/>
              </w:rPr>
            </w:pPr>
            <w:r w:rsidRPr="00AC3044">
              <w:rPr>
                <w:rFonts w:eastAsia="SimSun"/>
              </w:rPr>
              <w:t xml:space="preserve">4 мг/кг </w:t>
            </w:r>
          </w:p>
        </w:tc>
        <w:tc>
          <w:tcPr>
            <w:tcW w:w="1418" w:type="dxa"/>
            <w:vAlign w:val="center"/>
          </w:tcPr>
          <w:p w14:paraId="5BDDA795" w14:textId="77777777" w:rsidR="008143D9" w:rsidRPr="00AC3044" w:rsidRDefault="008143D9" w:rsidP="005A428D">
            <w:pPr>
              <w:rPr>
                <w:rFonts w:eastAsia="SimSun"/>
              </w:rPr>
            </w:pPr>
            <w:r w:rsidRPr="00AC3044">
              <w:rPr>
                <w:rFonts w:eastAsia="SimSun"/>
              </w:rPr>
              <w:t xml:space="preserve">8 мг/кг </w:t>
            </w:r>
          </w:p>
        </w:tc>
        <w:tc>
          <w:tcPr>
            <w:tcW w:w="1701" w:type="dxa"/>
            <w:vAlign w:val="center"/>
          </w:tcPr>
          <w:p w14:paraId="6172D73E" w14:textId="77777777" w:rsidR="008143D9" w:rsidRPr="00AC3044" w:rsidRDefault="008143D9" w:rsidP="005A428D">
            <w:pPr>
              <w:rPr>
                <w:rFonts w:eastAsia="SimSun"/>
              </w:rPr>
            </w:pPr>
            <w:r w:rsidRPr="00AC3044">
              <w:rPr>
                <w:rFonts w:eastAsia="SimSun"/>
              </w:rPr>
              <w:t>С -4 дня по -3 день</w:t>
            </w:r>
          </w:p>
        </w:tc>
        <w:tc>
          <w:tcPr>
            <w:tcW w:w="2268" w:type="dxa"/>
            <w:vAlign w:val="center"/>
          </w:tcPr>
          <w:p w14:paraId="0DB856BE" w14:textId="77777777" w:rsidR="008143D9" w:rsidRPr="00AC3044" w:rsidRDefault="008143D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8143D9" w:rsidRPr="00AC3044" w14:paraId="485469BE" w14:textId="77777777" w:rsidTr="005A428D">
        <w:trPr>
          <w:cantSplit/>
          <w:trHeight w:val="555"/>
        </w:trPr>
        <w:tc>
          <w:tcPr>
            <w:tcW w:w="851" w:type="dxa"/>
            <w:vMerge/>
            <w:vAlign w:val="center"/>
          </w:tcPr>
          <w:p w14:paraId="1F7A03C8" w14:textId="77777777" w:rsidR="008143D9" w:rsidRPr="00AC3044" w:rsidRDefault="008143D9" w:rsidP="005A428D">
            <w:pPr>
              <w:rPr>
                <w:rFonts w:eastAsia="SimSun"/>
              </w:rPr>
            </w:pPr>
          </w:p>
        </w:tc>
        <w:tc>
          <w:tcPr>
            <w:tcW w:w="1701" w:type="dxa"/>
            <w:vAlign w:val="center"/>
          </w:tcPr>
          <w:p w14:paraId="26EFDFC2" w14:textId="77777777" w:rsidR="008143D9" w:rsidRPr="00AC3044" w:rsidRDefault="008143D9" w:rsidP="005A428D">
            <w:pPr>
              <w:rPr>
                <w:rFonts w:eastAsia="SimSun"/>
              </w:rPr>
            </w:pPr>
            <w:r w:rsidRPr="00AC3044">
              <w:rPr>
                <w:rFonts w:eastAsia="SimSun"/>
              </w:rPr>
              <w:t>Тиотепа</w:t>
            </w:r>
          </w:p>
        </w:tc>
        <w:tc>
          <w:tcPr>
            <w:tcW w:w="1559" w:type="dxa"/>
            <w:vAlign w:val="center"/>
          </w:tcPr>
          <w:p w14:paraId="5B67CF9F" w14:textId="77777777" w:rsidR="008143D9" w:rsidRPr="00AC3044" w:rsidRDefault="008143D9" w:rsidP="005A428D">
            <w:pPr>
              <w:rPr>
                <w:rFonts w:eastAsia="SimSun"/>
              </w:rPr>
            </w:pPr>
            <w:r w:rsidRPr="00AC3044">
              <w:rPr>
                <w:rFonts w:eastAsia="SimSun"/>
              </w:rPr>
              <w:t>5 мг/кг</w:t>
            </w:r>
          </w:p>
        </w:tc>
        <w:tc>
          <w:tcPr>
            <w:tcW w:w="1418" w:type="dxa"/>
            <w:vAlign w:val="center"/>
          </w:tcPr>
          <w:p w14:paraId="3894DECE" w14:textId="77777777" w:rsidR="008143D9" w:rsidRPr="00AC3044" w:rsidRDefault="008143D9" w:rsidP="005A428D">
            <w:pPr>
              <w:rPr>
                <w:rFonts w:eastAsia="SimSun"/>
              </w:rPr>
            </w:pPr>
            <w:r w:rsidRPr="00AC3044">
              <w:rPr>
                <w:rFonts w:eastAsia="SimSun"/>
              </w:rPr>
              <w:t>10 мг/кг</w:t>
            </w:r>
          </w:p>
        </w:tc>
        <w:tc>
          <w:tcPr>
            <w:tcW w:w="1701" w:type="dxa"/>
            <w:vAlign w:val="center"/>
          </w:tcPr>
          <w:p w14:paraId="423448B9" w14:textId="77777777" w:rsidR="008143D9" w:rsidRPr="00AC3044" w:rsidRDefault="008143D9" w:rsidP="005A428D">
            <w:pPr>
              <w:rPr>
                <w:rFonts w:eastAsia="SimSun"/>
              </w:rPr>
            </w:pPr>
            <w:r w:rsidRPr="00AC3044">
              <w:rPr>
                <w:rFonts w:eastAsia="SimSun"/>
              </w:rPr>
              <w:t>-6,-5 дни</w:t>
            </w:r>
          </w:p>
        </w:tc>
        <w:tc>
          <w:tcPr>
            <w:tcW w:w="2268" w:type="dxa"/>
            <w:vAlign w:val="center"/>
          </w:tcPr>
          <w:p w14:paraId="6AD6AA69" w14:textId="77777777" w:rsidR="008143D9" w:rsidRPr="00AC3044" w:rsidRDefault="008143D9" w:rsidP="005A428D">
            <w:pPr>
              <w:rPr>
                <w:rFonts w:eastAsia="SimSun"/>
              </w:rPr>
            </w:pPr>
            <w:r w:rsidRPr="00AC3044">
              <w:rPr>
                <w:rFonts w:eastAsia="SimSun"/>
              </w:rPr>
              <w:t>В/в, в течение 2 часов</w:t>
            </w:r>
          </w:p>
        </w:tc>
      </w:tr>
      <w:tr w:rsidR="008143D9" w:rsidRPr="00AC3044" w14:paraId="27853FDB" w14:textId="77777777" w:rsidTr="005A428D">
        <w:trPr>
          <w:cantSplit/>
          <w:trHeight w:val="1498"/>
        </w:trPr>
        <w:tc>
          <w:tcPr>
            <w:tcW w:w="851" w:type="dxa"/>
            <w:textDirection w:val="btLr"/>
            <w:vAlign w:val="center"/>
          </w:tcPr>
          <w:p w14:paraId="69697191" w14:textId="77777777" w:rsidR="008143D9" w:rsidRPr="00AC3044" w:rsidRDefault="008143D9" w:rsidP="005A428D">
            <w:pPr>
              <w:rPr>
                <w:rFonts w:eastAsia="SimSun"/>
              </w:rPr>
            </w:pPr>
            <w:r w:rsidRPr="00AC3044">
              <w:rPr>
                <w:rFonts w:eastAsia="SimSun"/>
              </w:rPr>
              <w:t>Профилактика РТПХ</w:t>
            </w:r>
          </w:p>
        </w:tc>
        <w:tc>
          <w:tcPr>
            <w:tcW w:w="1701" w:type="dxa"/>
            <w:vAlign w:val="center"/>
          </w:tcPr>
          <w:p w14:paraId="0D36B5D3" w14:textId="77777777" w:rsidR="008143D9" w:rsidRPr="00AC3044" w:rsidRDefault="008143D9" w:rsidP="005A428D">
            <w:pPr>
              <w:rPr>
                <w:rFonts w:eastAsia="SimSun"/>
              </w:rPr>
            </w:pPr>
            <w:r w:rsidRPr="00AC3044">
              <w:rPr>
                <w:rFonts w:eastAsia="SimSun"/>
              </w:rPr>
              <w:t>Циклофосфамид</w:t>
            </w:r>
          </w:p>
        </w:tc>
        <w:tc>
          <w:tcPr>
            <w:tcW w:w="1559" w:type="dxa"/>
            <w:vAlign w:val="center"/>
          </w:tcPr>
          <w:p w14:paraId="06EA1395" w14:textId="77777777" w:rsidR="008143D9" w:rsidRPr="00AC3044" w:rsidRDefault="008143D9" w:rsidP="005A428D">
            <w:pPr>
              <w:rPr>
                <w:rFonts w:eastAsia="SimSun"/>
              </w:rPr>
            </w:pPr>
            <w:r w:rsidRPr="00AC3044">
              <w:rPr>
                <w:rFonts w:eastAsia="SimSun"/>
              </w:rPr>
              <w:t>50 мг/кг</w:t>
            </w:r>
          </w:p>
        </w:tc>
        <w:tc>
          <w:tcPr>
            <w:tcW w:w="1418" w:type="dxa"/>
            <w:vAlign w:val="center"/>
          </w:tcPr>
          <w:p w14:paraId="5CFDE9E2" w14:textId="77777777" w:rsidR="008143D9" w:rsidRPr="00AC3044" w:rsidRDefault="008143D9" w:rsidP="005A428D">
            <w:pPr>
              <w:rPr>
                <w:rFonts w:eastAsia="SimSun"/>
              </w:rPr>
            </w:pPr>
            <w:r w:rsidRPr="00AC3044">
              <w:rPr>
                <w:rFonts w:eastAsia="SimSun"/>
              </w:rPr>
              <w:t>100 мг/кг</w:t>
            </w:r>
          </w:p>
        </w:tc>
        <w:tc>
          <w:tcPr>
            <w:tcW w:w="1701" w:type="dxa"/>
            <w:vAlign w:val="center"/>
          </w:tcPr>
          <w:p w14:paraId="14026A22" w14:textId="77777777" w:rsidR="008143D9" w:rsidRPr="00AC3044" w:rsidRDefault="008143D9" w:rsidP="005A428D">
            <w:pPr>
              <w:rPr>
                <w:rFonts w:eastAsia="SimSun"/>
              </w:rPr>
            </w:pPr>
            <w:r w:rsidRPr="00AC3044">
              <w:rPr>
                <w:rFonts w:eastAsia="SimSun"/>
              </w:rPr>
              <w:t>С +3 дня по +4 день</w:t>
            </w:r>
          </w:p>
        </w:tc>
        <w:tc>
          <w:tcPr>
            <w:tcW w:w="2268" w:type="dxa"/>
            <w:vAlign w:val="center"/>
          </w:tcPr>
          <w:p w14:paraId="3BAE4476" w14:textId="77777777" w:rsidR="008143D9" w:rsidRPr="00AC3044" w:rsidRDefault="008143D9" w:rsidP="005A428D">
            <w:pPr>
              <w:rPr>
                <w:rFonts w:eastAsia="SimSun"/>
              </w:rPr>
            </w:pPr>
            <w:r w:rsidRPr="00AC3044">
              <w:rPr>
                <w:rFonts w:eastAsia="SimSun"/>
              </w:rPr>
              <w:t>В/в, в течение 2 часов</w:t>
            </w:r>
          </w:p>
        </w:tc>
      </w:tr>
    </w:tbl>
    <w:p w14:paraId="3DEF77FF" w14:textId="77777777" w:rsidR="008143D9" w:rsidRDefault="008143D9" w:rsidP="008143D9">
      <w:pPr>
        <w:rPr>
          <w:rFonts w:eastAsia="SimSun"/>
        </w:rPr>
      </w:pPr>
      <w:bookmarkStart w:id="168" w:name="_Toc44401209"/>
    </w:p>
    <w:p w14:paraId="26DB3766" w14:textId="77777777" w:rsidR="008143D9" w:rsidRPr="00C07B2E" w:rsidRDefault="008143D9" w:rsidP="008143D9">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2.2.9 – Flu180+Bu8 / PT-Cy+Tx+MMF30</w:t>
      </w:r>
      <w:bookmarkEnd w:id="168"/>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8143D9" w:rsidRPr="00AC3044" w14:paraId="68CEFD05" w14:textId="77777777" w:rsidTr="005A428D">
        <w:trPr>
          <w:cantSplit/>
          <w:trHeight w:val="20"/>
          <w:tblHeader/>
        </w:trPr>
        <w:tc>
          <w:tcPr>
            <w:tcW w:w="817" w:type="dxa"/>
            <w:vAlign w:val="center"/>
          </w:tcPr>
          <w:p w14:paraId="42E8FBA7" w14:textId="77777777" w:rsidR="008143D9" w:rsidRPr="00470D3D" w:rsidRDefault="008143D9" w:rsidP="005A428D">
            <w:pPr>
              <w:rPr>
                <w:rFonts w:eastAsia="SimSun"/>
              </w:rPr>
            </w:pPr>
          </w:p>
        </w:tc>
        <w:tc>
          <w:tcPr>
            <w:tcW w:w="1701" w:type="dxa"/>
            <w:vAlign w:val="center"/>
          </w:tcPr>
          <w:p w14:paraId="7F0B06F6" w14:textId="77777777" w:rsidR="008143D9" w:rsidRPr="00AC3044" w:rsidRDefault="008143D9" w:rsidP="005A428D">
            <w:pPr>
              <w:rPr>
                <w:rFonts w:eastAsia="SimSun"/>
              </w:rPr>
            </w:pPr>
            <w:r w:rsidRPr="00AC3044">
              <w:rPr>
                <w:rFonts w:eastAsia="SimSun"/>
              </w:rPr>
              <w:t>Препарат</w:t>
            </w:r>
          </w:p>
        </w:tc>
        <w:tc>
          <w:tcPr>
            <w:tcW w:w="1559" w:type="dxa"/>
            <w:vAlign w:val="center"/>
          </w:tcPr>
          <w:p w14:paraId="65170EA4" w14:textId="77777777" w:rsidR="008143D9" w:rsidRPr="00AC3044" w:rsidRDefault="008143D9" w:rsidP="005A428D">
            <w:pPr>
              <w:rPr>
                <w:rFonts w:eastAsia="SimSun"/>
              </w:rPr>
            </w:pPr>
            <w:r w:rsidRPr="00AC3044">
              <w:rPr>
                <w:rFonts w:eastAsia="SimSun"/>
              </w:rPr>
              <w:t>Суточная доза</w:t>
            </w:r>
          </w:p>
        </w:tc>
        <w:tc>
          <w:tcPr>
            <w:tcW w:w="1418" w:type="dxa"/>
            <w:vAlign w:val="center"/>
          </w:tcPr>
          <w:p w14:paraId="40998C69" w14:textId="77777777" w:rsidR="008143D9" w:rsidRPr="00AC3044" w:rsidRDefault="008143D9" w:rsidP="005A428D">
            <w:pPr>
              <w:rPr>
                <w:rFonts w:eastAsia="SimSun"/>
              </w:rPr>
            </w:pPr>
            <w:r w:rsidRPr="00AC3044">
              <w:rPr>
                <w:rFonts w:eastAsia="SimSun"/>
              </w:rPr>
              <w:t>Курсовая доза</w:t>
            </w:r>
          </w:p>
        </w:tc>
        <w:tc>
          <w:tcPr>
            <w:tcW w:w="1701" w:type="dxa"/>
            <w:vAlign w:val="center"/>
          </w:tcPr>
          <w:p w14:paraId="5DAC6206" w14:textId="77777777" w:rsidR="008143D9" w:rsidRPr="00AC3044" w:rsidRDefault="008143D9" w:rsidP="005A428D">
            <w:pPr>
              <w:rPr>
                <w:rFonts w:eastAsia="SimSun"/>
              </w:rPr>
            </w:pPr>
            <w:r w:rsidRPr="00AC3044">
              <w:rPr>
                <w:rFonts w:eastAsia="SimSun"/>
              </w:rPr>
              <w:t>Дни введения</w:t>
            </w:r>
          </w:p>
        </w:tc>
        <w:tc>
          <w:tcPr>
            <w:tcW w:w="2268" w:type="dxa"/>
            <w:vAlign w:val="center"/>
          </w:tcPr>
          <w:p w14:paraId="39395DC4"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77F27B75" w14:textId="77777777" w:rsidTr="005A428D">
        <w:trPr>
          <w:cantSplit/>
          <w:trHeight w:val="20"/>
        </w:trPr>
        <w:tc>
          <w:tcPr>
            <w:tcW w:w="817" w:type="dxa"/>
            <w:vMerge w:val="restart"/>
            <w:textDirection w:val="btLr"/>
            <w:vAlign w:val="center"/>
          </w:tcPr>
          <w:p w14:paraId="67CD9A55" w14:textId="77777777" w:rsidR="008143D9" w:rsidRPr="00AC3044" w:rsidRDefault="008143D9" w:rsidP="005A428D">
            <w:pPr>
              <w:rPr>
                <w:rFonts w:eastAsia="SimSun"/>
              </w:rPr>
            </w:pPr>
            <w:r w:rsidRPr="00AC3044">
              <w:rPr>
                <w:rFonts w:eastAsia="SimSun"/>
              </w:rPr>
              <w:t>Кондиционирование</w:t>
            </w:r>
          </w:p>
        </w:tc>
        <w:tc>
          <w:tcPr>
            <w:tcW w:w="1701" w:type="dxa"/>
            <w:vAlign w:val="center"/>
          </w:tcPr>
          <w:p w14:paraId="55A68FD6" w14:textId="77777777" w:rsidR="008143D9" w:rsidRPr="00AC3044" w:rsidRDefault="008143D9" w:rsidP="005A428D">
            <w:pPr>
              <w:rPr>
                <w:rFonts w:eastAsia="SimSun"/>
              </w:rPr>
            </w:pPr>
            <w:r w:rsidRPr="00AC3044">
              <w:rPr>
                <w:rFonts w:eastAsia="SimSun"/>
              </w:rPr>
              <w:t xml:space="preserve">Флударабин </w:t>
            </w:r>
          </w:p>
        </w:tc>
        <w:tc>
          <w:tcPr>
            <w:tcW w:w="1559" w:type="dxa"/>
            <w:vAlign w:val="center"/>
          </w:tcPr>
          <w:p w14:paraId="71E8E03A" w14:textId="77777777" w:rsidR="008143D9" w:rsidRPr="00AC3044" w:rsidRDefault="008143D9" w:rsidP="005A428D">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0DEF08F5" w14:textId="77777777" w:rsidR="008143D9" w:rsidRPr="00AC3044" w:rsidRDefault="008143D9" w:rsidP="005A428D">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26376A75" w14:textId="77777777" w:rsidR="008143D9" w:rsidRPr="00AC3044" w:rsidRDefault="008143D9" w:rsidP="005A428D">
            <w:pPr>
              <w:rPr>
                <w:rFonts w:eastAsia="SimSun"/>
              </w:rPr>
            </w:pPr>
            <w:r w:rsidRPr="00AC3044">
              <w:rPr>
                <w:rFonts w:eastAsia="SimSun"/>
              </w:rPr>
              <w:t>С -7 дня по -2 день</w:t>
            </w:r>
          </w:p>
        </w:tc>
        <w:tc>
          <w:tcPr>
            <w:tcW w:w="2268" w:type="dxa"/>
            <w:vAlign w:val="center"/>
          </w:tcPr>
          <w:p w14:paraId="36FBE0F9"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53FBDB45" w14:textId="77777777" w:rsidTr="005A428D">
        <w:trPr>
          <w:cantSplit/>
          <w:trHeight w:val="889"/>
        </w:trPr>
        <w:tc>
          <w:tcPr>
            <w:tcW w:w="817" w:type="dxa"/>
            <w:vMerge/>
            <w:vAlign w:val="center"/>
          </w:tcPr>
          <w:p w14:paraId="2C7730E4" w14:textId="77777777" w:rsidR="008143D9" w:rsidRPr="00AC3044" w:rsidRDefault="008143D9" w:rsidP="005A428D">
            <w:pPr>
              <w:rPr>
                <w:rFonts w:eastAsia="SimSun"/>
              </w:rPr>
            </w:pPr>
          </w:p>
        </w:tc>
        <w:tc>
          <w:tcPr>
            <w:tcW w:w="1701" w:type="dxa"/>
            <w:vAlign w:val="center"/>
          </w:tcPr>
          <w:p w14:paraId="739B5831" w14:textId="77777777" w:rsidR="008143D9" w:rsidRPr="00AC3044" w:rsidRDefault="008143D9" w:rsidP="005A428D">
            <w:pPr>
              <w:rPr>
                <w:rFonts w:eastAsia="SimSun"/>
              </w:rPr>
            </w:pPr>
            <w:r w:rsidRPr="00AC3044">
              <w:rPr>
                <w:rFonts w:eastAsia="SimSun"/>
              </w:rPr>
              <w:t>Бусульфан</w:t>
            </w:r>
          </w:p>
        </w:tc>
        <w:tc>
          <w:tcPr>
            <w:tcW w:w="1559" w:type="dxa"/>
            <w:vAlign w:val="center"/>
          </w:tcPr>
          <w:p w14:paraId="299346F0" w14:textId="77777777" w:rsidR="008143D9" w:rsidRPr="00AC3044" w:rsidRDefault="008143D9" w:rsidP="005A428D">
            <w:pPr>
              <w:rPr>
                <w:rFonts w:eastAsia="SimSun"/>
              </w:rPr>
            </w:pPr>
            <w:r w:rsidRPr="00AC3044">
              <w:rPr>
                <w:rFonts w:eastAsia="SimSun"/>
              </w:rPr>
              <w:t xml:space="preserve">4 мг/кг </w:t>
            </w:r>
          </w:p>
        </w:tc>
        <w:tc>
          <w:tcPr>
            <w:tcW w:w="1418" w:type="dxa"/>
            <w:vAlign w:val="center"/>
          </w:tcPr>
          <w:p w14:paraId="121537D6" w14:textId="77777777" w:rsidR="008143D9" w:rsidRPr="00AC3044" w:rsidRDefault="008143D9" w:rsidP="005A428D">
            <w:pPr>
              <w:rPr>
                <w:rFonts w:eastAsia="SimSun"/>
              </w:rPr>
            </w:pPr>
            <w:r w:rsidRPr="00AC3044">
              <w:rPr>
                <w:rFonts w:eastAsia="SimSun"/>
              </w:rPr>
              <w:t xml:space="preserve">8 мг/кг </w:t>
            </w:r>
          </w:p>
        </w:tc>
        <w:tc>
          <w:tcPr>
            <w:tcW w:w="1701" w:type="dxa"/>
            <w:vAlign w:val="center"/>
          </w:tcPr>
          <w:p w14:paraId="530BCDA1" w14:textId="77777777" w:rsidR="008143D9" w:rsidRPr="00AC3044" w:rsidRDefault="008143D9" w:rsidP="005A428D">
            <w:pPr>
              <w:rPr>
                <w:rFonts w:eastAsia="SimSun"/>
              </w:rPr>
            </w:pPr>
            <w:r w:rsidRPr="00AC3044">
              <w:rPr>
                <w:rFonts w:eastAsia="SimSun"/>
              </w:rPr>
              <w:t>С -4 дня по -3 день</w:t>
            </w:r>
          </w:p>
        </w:tc>
        <w:tc>
          <w:tcPr>
            <w:tcW w:w="2268" w:type="dxa"/>
            <w:vAlign w:val="center"/>
          </w:tcPr>
          <w:p w14:paraId="06DC7EDF" w14:textId="77777777" w:rsidR="008143D9" w:rsidRPr="00AC3044" w:rsidRDefault="008143D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8143D9" w:rsidRPr="00AC3044" w14:paraId="04556E07" w14:textId="77777777" w:rsidTr="005A428D">
        <w:trPr>
          <w:cantSplit/>
          <w:trHeight w:val="548"/>
        </w:trPr>
        <w:tc>
          <w:tcPr>
            <w:tcW w:w="817" w:type="dxa"/>
            <w:vMerge w:val="restart"/>
            <w:textDirection w:val="btLr"/>
            <w:vAlign w:val="center"/>
          </w:tcPr>
          <w:p w14:paraId="0017D0FE" w14:textId="77777777" w:rsidR="008143D9" w:rsidRPr="00AC3044" w:rsidRDefault="008143D9" w:rsidP="005A428D">
            <w:pPr>
              <w:rPr>
                <w:rFonts w:eastAsia="SimSun"/>
              </w:rPr>
            </w:pPr>
            <w:r w:rsidRPr="00AC3044">
              <w:rPr>
                <w:rFonts w:eastAsia="SimSun"/>
              </w:rPr>
              <w:t>Профилактика РТПХ</w:t>
            </w:r>
          </w:p>
        </w:tc>
        <w:tc>
          <w:tcPr>
            <w:tcW w:w="1701" w:type="dxa"/>
            <w:vAlign w:val="center"/>
          </w:tcPr>
          <w:p w14:paraId="2CB95B78" w14:textId="77777777" w:rsidR="008143D9" w:rsidRPr="00AC3044" w:rsidRDefault="008143D9" w:rsidP="005A428D">
            <w:pPr>
              <w:rPr>
                <w:rFonts w:eastAsia="SimSun"/>
              </w:rPr>
            </w:pPr>
            <w:r w:rsidRPr="00AC3044">
              <w:rPr>
                <w:rFonts w:eastAsia="SimSun"/>
              </w:rPr>
              <w:t>Циклофосфамид</w:t>
            </w:r>
          </w:p>
        </w:tc>
        <w:tc>
          <w:tcPr>
            <w:tcW w:w="1559" w:type="dxa"/>
            <w:vAlign w:val="center"/>
          </w:tcPr>
          <w:p w14:paraId="5DF6D11A" w14:textId="77777777" w:rsidR="008143D9" w:rsidRPr="00AC3044" w:rsidRDefault="008143D9" w:rsidP="005A428D">
            <w:pPr>
              <w:rPr>
                <w:rFonts w:eastAsia="SimSun"/>
              </w:rPr>
            </w:pPr>
            <w:r w:rsidRPr="00AC3044">
              <w:rPr>
                <w:rFonts w:eastAsia="SimSun"/>
              </w:rPr>
              <w:t>50 мг/кг</w:t>
            </w:r>
          </w:p>
        </w:tc>
        <w:tc>
          <w:tcPr>
            <w:tcW w:w="1418" w:type="dxa"/>
            <w:vAlign w:val="center"/>
          </w:tcPr>
          <w:p w14:paraId="60C0B6FF" w14:textId="77777777" w:rsidR="008143D9" w:rsidRPr="00AC3044" w:rsidRDefault="008143D9" w:rsidP="005A428D">
            <w:pPr>
              <w:rPr>
                <w:rFonts w:eastAsia="SimSun"/>
              </w:rPr>
            </w:pPr>
            <w:r w:rsidRPr="00AC3044">
              <w:rPr>
                <w:rFonts w:eastAsia="SimSun"/>
              </w:rPr>
              <w:t>100 мг/кг</w:t>
            </w:r>
          </w:p>
        </w:tc>
        <w:tc>
          <w:tcPr>
            <w:tcW w:w="1701" w:type="dxa"/>
            <w:vAlign w:val="center"/>
          </w:tcPr>
          <w:p w14:paraId="5C394BB2" w14:textId="77777777" w:rsidR="008143D9" w:rsidRPr="00AC3044" w:rsidRDefault="008143D9" w:rsidP="005A428D">
            <w:pPr>
              <w:rPr>
                <w:rFonts w:eastAsia="SimSun"/>
              </w:rPr>
            </w:pPr>
            <w:r w:rsidRPr="00AC3044">
              <w:rPr>
                <w:rFonts w:eastAsia="SimSun"/>
              </w:rPr>
              <w:t>С +3 дня по +4 день</w:t>
            </w:r>
          </w:p>
        </w:tc>
        <w:tc>
          <w:tcPr>
            <w:tcW w:w="2268" w:type="dxa"/>
            <w:vAlign w:val="center"/>
          </w:tcPr>
          <w:p w14:paraId="1D19DD8F" w14:textId="77777777" w:rsidR="008143D9" w:rsidRPr="00AC3044" w:rsidRDefault="008143D9" w:rsidP="005A428D">
            <w:pPr>
              <w:rPr>
                <w:rFonts w:eastAsia="SimSun"/>
              </w:rPr>
            </w:pPr>
            <w:r w:rsidRPr="00AC3044">
              <w:rPr>
                <w:rFonts w:eastAsia="SimSun"/>
              </w:rPr>
              <w:t>В/в, в течение 2 часов</w:t>
            </w:r>
          </w:p>
        </w:tc>
      </w:tr>
      <w:tr w:rsidR="008143D9" w:rsidRPr="00AC3044" w14:paraId="0DAB0B19" w14:textId="77777777" w:rsidTr="005A428D">
        <w:trPr>
          <w:cantSplit/>
          <w:trHeight w:val="958"/>
        </w:trPr>
        <w:tc>
          <w:tcPr>
            <w:tcW w:w="817" w:type="dxa"/>
            <w:vMerge/>
            <w:textDirection w:val="btLr"/>
            <w:vAlign w:val="center"/>
          </w:tcPr>
          <w:p w14:paraId="5C6AA30F" w14:textId="77777777" w:rsidR="008143D9" w:rsidRPr="00AC3044" w:rsidRDefault="008143D9" w:rsidP="005A428D">
            <w:pPr>
              <w:rPr>
                <w:rFonts w:eastAsia="SimSun"/>
              </w:rPr>
            </w:pPr>
          </w:p>
        </w:tc>
        <w:tc>
          <w:tcPr>
            <w:tcW w:w="1701" w:type="dxa"/>
            <w:vAlign w:val="center"/>
          </w:tcPr>
          <w:p w14:paraId="01FE7036" w14:textId="77777777" w:rsidR="008143D9" w:rsidRPr="00AC3044" w:rsidRDefault="008143D9" w:rsidP="005A428D">
            <w:pPr>
              <w:rPr>
                <w:rFonts w:eastAsia="SimSun"/>
              </w:rPr>
            </w:pPr>
            <w:r w:rsidRPr="00AC3044">
              <w:rPr>
                <w:rFonts w:eastAsia="SimSun"/>
              </w:rPr>
              <w:t xml:space="preserve">Такролимус </w:t>
            </w:r>
          </w:p>
        </w:tc>
        <w:tc>
          <w:tcPr>
            <w:tcW w:w="1559" w:type="dxa"/>
            <w:vAlign w:val="center"/>
          </w:tcPr>
          <w:p w14:paraId="19238177" w14:textId="77777777" w:rsidR="008143D9" w:rsidRPr="00AC3044" w:rsidRDefault="008143D9" w:rsidP="005A428D">
            <w:pPr>
              <w:rPr>
                <w:rFonts w:eastAsia="SimSun"/>
              </w:rPr>
            </w:pPr>
            <w:r w:rsidRPr="00AC3044">
              <w:rPr>
                <w:rFonts w:eastAsia="SimSun"/>
              </w:rPr>
              <w:t>0,03 мг/кг</w:t>
            </w:r>
          </w:p>
        </w:tc>
        <w:tc>
          <w:tcPr>
            <w:tcW w:w="1418" w:type="dxa"/>
            <w:vAlign w:val="center"/>
          </w:tcPr>
          <w:p w14:paraId="022A6E68" w14:textId="77777777" w:rsidR="008143D9" w:rsidRPr="00AC3044" w:rsidRDefault="008143D9" w:rsidP="005A428D">
            <w:pPr>
              <w:rPr>
                <w:rFonts w:eastAsia="SimSun"/>
              </w:rPr>
            </w:pPr>
            <w:r w:rsidRPr="00AC3044">
              <w:rPr>
                <w:rFonts w:eastAsia="SimSun"/>
              </w:rPr>
              <w:t>–</w:t>
            </w:r>
          </w:p>
        </w:tc>
        <w:tc>
          <w:tcPr>
            <w:tcW w:w="1701" w:type="dxa"/>
            <w:vAlign w:val="center"/>
          </w:tcPr>
          <w:p w14:paraId="30DA2A6E" w14:textId="77777777" w:rsidR="008143D9" w:rsidRPr="00AC3044" w:rsidRDefault="008143D9" w:rsidP="005A428D">
            <w:pPr>
              <w:rPr>
                <w:rFonts w:eastAsia="SimSun"/>
              </w:rPr>
            </w:pPr>
            <w:r w:rsidRPr="00AC3044">
              <w:rPr>
                <w:rFonts w:eastAsia="SimSun"/>
              </w:rPr>
              <w:t xml:space="preserve">С +5 дня длительно </w:t>
            </w:r>
          </w:p>
        </w:tc>
        <w:tc>
          <w:tcPr>
            <w:tcW w:w="2268" w:type="dxa"/>
            <w:vAlign w:val="center"/>
          </w:tcPr>
          <w:p w14:paraId="3C9A7C9B" w14:textId="77777777" w:rsidR="008143D9" w:rsidRPr="00AC3044" w:rsidRDefault="008143D9" w:rsidP="005A428D">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109/л, при отсутствии тошноты, рвоты, диареи и возможности приема внутрь. Концентрация Tx 5-15 нг/мл.    </w:t>
            </w:r>
          </w:p>
        </w:tc>
      </w:tr>
      <w:tr w:rsidR="008143D9" w:rsidRPr="00AC3044" w14:paraId="693D8EE9" w14:textId="77777777" w:rsidTr="005A428D">
        <w:trPr>
          <w:cantSplit/>
          <w:trHeight w:val="214"/>
        </w:trPr>
        <w:tc>
          <w:tcPr>
            <w:tcW w:w="817" w:type="dxa"/>
            <w:vMerge/>
            <w:textDirection w:val="btLr"/>
            <w:vAlign w:val="center"/>
          </w:tcPr>
          <w:p w14:paraId="75D567D0" w14:textId="77777777" w:rsidR="008143D9" w:rsidRPr="00AC3044" w:rsidRDefault="008143D9" w:rsidP="005A428D">
            <w:pPr>
              <w:rPr>
                <w:rFonts w:eastAsia="SimSun"/>
              </w:rPr>
            </w:pPr>
          </w:p>
        </w:tc>
        <w:tc>
          <w:tcPr>
            <w:tcW w:w="1701" w:type="dxa"/>
            <w:vAlign w:val="center"/>
          </w:tcPr>
          <w:p w14:paraId="16FC9D70" w14:textId="77777777" w:rsidR="008143D9" w:rsidRPr="00AC3044" w:rsidRDefault="008143D9" w:rsidP="005A428D">
            <w:pPr>
              <w:rPr>
                <w:rFonts w:eastAsia="SimSun"/>
              </w:rPr>
            </w:pPr>
            <w:r w:rsidRPr="00AC3044">
              <w:rPr>
                <w:rFonts w:eastAsia="SimSun"/>
              </w:rPr>
              <w:t>Микофенолата мофетил</w:t>
            </w:r>
          </w:p>
        </w:tc>
        <w:tc>
          <w:tcPr>
            <w:tcW w:w="1559" w:type="dxa"/>
            <w:vAlign w:val="center"/>
          </w:tcPr>
          <w:p w14:paraId="7430835D" w14:textId="77777777" w:rsidR="008143D9" w:rsidRPr="00AC3044" w:rsidRDefault="008143D9" w:rsidP="005A428D">
            <w:pPr>
              <w:rPr>
                <w:rFonts w:eastAsia="SimSun"/>
              </w:rPr>
            </w:pPr>
            <w:r w:rsidRPr="00AC3044">
              <w:rPr>
                <w:rFonts w:eastAsia="SimSun"/>
              </w:rPr>
              <w:t xml:space="preserve">30 мг/кг </w:t>
            </w:r>
          </w:p>
        </w:tc>
        <w:tc>
          <w:tcPr>
            <w:tcW w:w="1418" w:type="dxa"/>
            <w:vAlign w:val="center"/>
          </w:tcPr>
          <w:p w14:paraId="042C710A" w14:textId="77777777" w:rsidR="008143D9" w:rsidRPr="00AC3044" w:rsidRDefault="008143D9" w:rsidP="005A428D">
            <w:pPr>
              <w:rPr>
                <w:rFonts w:eastAsia="SimSun"/>
              </w:rPr>
            </w:pPr>
            <w:r w:rsidRPr="00AC3044">
              <w:rPr>
                <w:rFonts w:eastAsia="SimSun"/>
              </w:rPr>
              <w:t>–</w:t>
            </w:r>
          </w:p>
        </w:tc>
        <w:tc>
          <w:tcPr>
            <w:tcW w:w="1701" w:type="dxa"/>
            <w:vAlign w:val="center"/>
          </w:tcPr>
          <w:p w14:paraId="37F92FA0" w14:textId="77777777" w:rsidR="008143D9" w:rsidRPr="00AC3044" w:rsidRDefault="008143D9" w:rsidP="005A428D">
            <w:pPr>
              <w:rPr>
                <w:rFonts w:eastAsia="SimSun"/>
              </w:rPr>
            </w:pPr>
            <w:r w:rsidRPr="00AC3044">
              <w:rPr>
                <w:rFonts w:eastAsia="SimSun"/>
              </w:rPr>
              <w:t xml:space="preserve">С +5 дня по +35 день </w:t>
            </w:r>
          </w:p>
        </w:tc>
        <w:tc>
          <w:tcPr>
            <w:tcW w:w="2268" w:type="dxa"/>
            <w:vAlign w:val="center"/>
          </w:tcPr>
          <w:p w14:paraId="6DA4E04B" w14:textId="77777777" w:rsidR="008143D9" w:rsidRPr="00AC3044" w:rsidRDefault="008143D9" w:rsidP="005A428D">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79A06F9C" w14:textId="77777777" w:rsidR="008143D9" w:rsidRDefault="008143D9" w:rsidP="008143D9">
      <w:pPr>
        <w:rPr>
          <w:rFonts w:eastAsia="SimSun"/>
        </w:rPr>
      </w:pPr>
      <w:bookmarkStart w:id="169" w:name="_Toc44401210"/>
    </w:p>
    <w:p w14:paraId="1AE6B440" w14:textId="77777777" w:rsidR="008143D9" w:rsidRPr="00C07B2E" w:rsidRDefault="008143D9" w:rsidP="008143D9">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2.2.10  – Flu180+Bu8 / Tx+MMF30</w:t>
      </w:r>
      <w:bookmarkEnd w:id="169"/>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8143D9" w:rsidRPr="00AC3044" w14:paraId="3467B598" w14:textId="77777777" w:rsidTr="005A428D">
        <w:trPr>
          <w:cantSplit/>
          <w:trHeight w:val="20"/>
          <w:tblHeader/>
        </w:trPr>
        <w:tc>
          <w:tcPr>
            <w:tcW w:w="817" w:type="dxa"/>
            <w:vAlign w:val="center"/>
          </w:tcPr>
          <w:p w14:paraId="1F9DC967" w14:textId="77777777" w:rsidR="008143D9" w:rsidRPr="00AC3044" w:rsidRDefault="008143D9" w:rsidP="005A428D">
            <w:pPr>
              <w:rPr>
                <w:rFonts w:eastAsia="SimSun"/>
              </w:rPr>
            </w:pPr>
          </w:p>
        </w:tc>
        <w:tc>
          <w:tcPr>
            <w:tcW w:w="1701" w:type="dxa"/>
            <w:vAlign w:val="center"/>
          </w:tcPr>
          <w:p w14:paraId="03443935" w14:textId="77777777" w:rsidR="008143D9" w:rsidRPr="00AC3044" w:rsidRDefault="008143D9" w:rsidP="005A428D">
            <w:pPr>
              <w:rPr>
                <w:rFonts w:eastAsia="SimSun"/>
              </w:rPr>
            </w:pPr>
            <w:r w:rsidRPr="00AC3044">
              <w:rPr>
                <w:rFonts w:eastAsia="SimSun"/>
              </w:rPr>
              <w:t>Препарат</w:t>
            </w:r>
          </w:p>
        </w:tc>
        <w:tc>
          <w:tcPr>
            <w:tcW w:w="1559" w:type="dxa"/>
            <w:vAlign w:val="center"/>
          </w:tcPr>
          <w:p w14:paraId="6B534FFD" w14:textId="77777777" w:rsidR="008143D9" w:rsidRPr="00AC3044" w:rsidRDefault="008143D9" w:rsidP="005A428D">
            <w:pPr>
              <w:rPr>
                <w:rFonts w:eastAsia="SimSun"/>
              </w:rPr>
            </w:pPr>
            <w:r w:rsidRPr="00AC3044">
              <w:rPr>
                <w:rFonts w:eastAsia="SimSun"/>
              </w:rPr>
              <w:t>Суточная доза</w:t>
            </w:r>
          </w:p>
        </w:tc>
        <w:tc>
          <w:tcPr>
            <w:tcW w:w="1418" w:type="dxa"/>
            <w:vAlign w:val="center"/>
          </w:tcPr>
          <w:p w14:paraId="76307D6B" w14:textId="77777777" w:rsidR="008143D9" w:rsidRPr="00AC3044" w:rsidRDefault="008143D9" w:rsidP="005A428D">
            <w:pPr>
              <w:rPr>
                <w:rFonts w:eastAsia="SimSun"/>
              </w:rPr>
            </w:pPr>
            <w:r w:rsidRPr="00AC3044">
              <w:rPr>
                <w:rFonts w:eastAsia="SimSun"/>
              </w:rPr>
              <w:t>Курсовая доза</w:t>
            </w:r>
          </w:p>
        </w:tc>
        <w:tc>
          <w:tcPr>
            <w:tcW w:w="1701" w:type="dxa"/>
            <w:vAlign w:val="center"/>
          </w:tcPr>
          <w:p w14:paraId="3D4860FE" w14:textId="77777777" w:rsidR="008143D9" w:rsidRPr="00AC3044" w:rsidRDefault="008143D9" w:rsidP="005A428D">
            <w:pPr>
              <w:rPr>
                <w:rFonts w:eastAsia="SimSun"/>
              </w:rPr>
            </w:pPr>
            <w:r w:rsidRPr="00AC3044">
              <w:rPr>
                <w:rFonts w:eastAsia="SimSun"/>
              </w:rPr>
              <w:t>Дни введения</w:t>
            </w:r>
          </w:p>
        </w:tc>
        <w:tc>
          <w:tcPr>
            <w:tcW w:w="2268" w:type="dxa"/>
            <w:vAlign w:val="center"/>
          </w:tcPr>
          <w:p w14:paraId="1CBDB223"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7A3169A2" w14:textId="77777777" w:rsidTr="005A428D">
        <w:trPr>
          <w:cantSplit/>
          <w:trHeight w:val="20"/>
        </w:trPr>
        <w:tc>
          <w:tcPr>
            <w:tcW w:w="817" w:type="dxa"/>
            <w:vMerge w:val="restart"/>
            <w:textDirection w:val="btLr"/>
            <w:vAlign w:val="center"/>
          </w:tcPr>
          <w:p w14:paraId="09AE49A3" w14:textId="77777777" w:rsidR="008143D9" w:rsidRPr="00AC3044" w:rsidRDefault="008143D9" w:rsidP="005A428D">
            <w:pPr>
              <w:rPr>
                <w:rFonts w:eastAsia="SimSun"/>
              </w:rPr>
            </w:pPr>
            <w:r w:rsidRPr="00AC3044">
              <w:rPr>
                <w:rFonts w:eastAsia="SimSun"/>
              </w:rPr>
              <w:t>Кондиционирование</w:t>
            </w:r>
          </w:p>
        </w:tc>
        <w:tc>
          <w:tcPr>
            <w:tcW w:w="1701" w:type="dxa"/>
            <w:vAlign w:val="center"/>
          </w:tcPr>
          <w:p w14:paraId="7E4B9547" w14:textId="77777777" w:rsidR="008143D9" w:rsidRPr="00AC3044" w:rsidRDefault="008143D9" w:rsidP="005A428D">
            <w:pPr>
              <w:rPr>
                <w:rFonts w:eastAsia="SimSun"/>
              </w:rPr>
            </w:pPr>
            <w:r w:rsidRPr="00AC3044">
              <w:rPr>
                <w:rFonts w:eastAsia="SimSun"/>
              </w:rPr>
              <w:t xml:space="preserve">Флударабин </w:t>
            </w:r>
          </w:p>
        </w:tc>
        <w:tc>
          <w:tcPr>
            <w:tcW w:w="1559" w:type="dxa"/>
            <w:vAlign w:val="center"/>
          </w:tcPr>
          <w:p w14:paraId="34AAC54C" w14:textId="77777777" w:rsidR="008143D9" w:rsidRPr="00AC3044" w:rsidRDefault="008143D9" w:rsidP="005A428D">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165FBBDE" w14:textId="77777777" w:rsidR="008143D9" w:rsidRPr="00AC3044" w:rsidRDefault="008143D9" w:rsidP="005A428D">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71B70385" w14:textId="77777777" w:rsidR="008143D9" w:rsidRPr="00AC3044" w:rsidRDefault="008143D9" w:rsidP="005A428D">
            <w:pPr>
              <w:rPr>
                <w:rFonts w:eastAsia="SimSun"/>
              </w:rPr>
            </w:pPr>
            <w:r w:rsidRPr="00AC3044">
              <w:rPr>
                <w:rFonts w:eastAsia="SimSun"/>
              </w:rPr>
              <w:t>С -7 дня по -2 день</w:t>
            </w:r>
          </w:p>
        </w:tc>
        <w:tc>
          <w:tcPr>
            <w:tcW w:w="2268" w:type="dxa"/>
            <w:vAlign w:val="center"/>
          </w:tcPr>
          <w:p w14:paraId="150EF749"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157F9468" w14:textId="77777777" w:rsidTr="005A428D">
        <w:trPr>
          <w:cantSplit/>
          <w:trHeight w:val="1207"/>
        </w:trPr>
        <w:tc>
          <w:tcPr>
            <w:tcW w:w="817" w:type="dxa"/>
            <w:vMerge/>
            <w:vAlign w:val="center"/>
          </w:tcPr>
          <w:p w14:paraId="54AE5BF1" w14:textId="77777777" w:rsidR="008143D9" w:rsidRPr="00AC3044" w:rsidRDefault="008143D9" w:rsidP="005A428D">
            <w:pPr>
              <w:rPr>
                <w:rFonts w:eastAsia="SimSun"/>
              </w:rPr>
            </w:pPr>
          </w:p>
        </w:tc>
        <w:tc>
          <w:tcPr>
            <w:tcW w:w="1701" w:type="dxa"/>
            <w:vAlign w:val="center"/>
          </w:tcPr>
          <w:p w14:paraId="400A2290" w14:textId="77777777" w:rsidR="008143D9" w:rsidRPr="00AC3044" w:rsidRDefault="008143D9" w:rsidP="005A428D">
            <w:pPr>
              <w:rPr>
                <w:rFonts w:eastAsia="SimSun"/>
              </w:rPr>
            </w:pPr>
            <w:r w:rsidRPr="00AC3044">
              <w:rPr>
                <w:rFonts w:eastAsia="SimSun"/>
              </w:rPr>
              <w:t>Бусульфан</w:t>
            </w:r>
          </w:p>
        </w:tc>
        <w:tc>
          <w:tcPr>
            <w:tcW w:w="1559" w:type="dxa"/>
            <w:vAlign w:val="center"/>
          </w:tcPr>
          <w:p w14:paraId="5FDCCB5F" w14:textId="77777777" w:rsidR="008143D9" w:rsidRPr="00AC3044" w:rsidRDefault="008143D9" w:rsidP="005A428D">
            <w:pPr>
              <w:rPr>
                <w:rFonts w:eastAsia="SimSun"/>
              </w:rPr>
            </w:pPr>
            <w:r w:rsidRPr="00AC3044">
              <w:rPr>
                <w:rFonts w:eastAsia="SimSun"/>
              </w:rPr>
              <w:t xml:space="preserve">4 мг/кг </w:t>
            </w:r>
          </w:p>
        </w:tc>
        <w:tc>
          <w:tcPr>
            <w:tcW w:w="1418" w:type="dxa"/>
            <w:vAlign w:val="center"/>
          </w:tcPr>
          <w:p w14:paraId="3472EC48" w14:textId="77777777" w:rsidR="008143D9" w:rsidRPr="00AC3044" w:rsidRDefault="008143D9" w:rsidP="005A428D">
            <w:pPr>
              <w:rPr>
                <w:rFonts w:eastAsia="SimSun"/>
              </w:rPr>
            </w:pPr>
            <w:r w:rsidRPr="00AC3044">
              <w:rPr>
                <w:rFonts w:eastAsia="SimSun"/>
              </w:rPr>
              <w:t xml:space="preserve">8 мг/кг </w:t>
            </w:r>
          </w:p>
        </w:tc>
        <w:tc>
          <w:tcPr>
            <w:tcW w:w="1701" w:type="dxa"/>
            <w:vAlign w:val="center"/>
          </w:tcPr>
          <w:p w14:paraId="37DF47CB" w14:textId="77777777" w:rsidR="008143D9" w:rsidRPr="00AC3044" w:rsidRDefault="008143D9" w:rsidP="005A428D">
            <w:pPr>
              <w:rPr>
                <w:rFonts w:eastAsia="SimSun"/>
              </w:rPr>
            </w:pPr>
            <w:r w:rsidRPr="00AC3044">
              <w:rPr>
                <w:rFonts w:eastAsia="SimSun"/>
              </w:rPr>
              <w:t>С -4 дня по -3 день</w:t>
            </w:r>
          </w:p>
        </w:tc>
        <w:tc>
          <w:tcPr>
            <w:tcW w:w="2268" w:type="dxa"/>
            <w:vAlign w:val="center"/>
          </w:tcPr>
          <w:p w14:paraId="0BD21516" w14:textId="77777777" w:rsidR="008143D9" w:rsidRPr="00AC3044" w:rsidRDefault="008143D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8143D9" w:rsidRPr="00AC3044" w14:paraId="3F119EA1" w14:textId="77777777" w:rsidTr="005A428D">
        <w:trPr>
          <w:cantSplit/>
          <w:trHeight w:val="1498"/>
        </w:trPr>
        <w:tc>
          <w:tcPr>
            <w:tcW w:w="817" w:type="dxa"/>
            <w:vMerge w:val="restart"/>
            <w:textDirection w:val="btLr"/>
            <w:vAlign w:val="center"/>
          </w:tcPr>
          <w:p w14:paraId="5A6D2216" w14:textId="77777777" w:rsidR="008143D9" w:rsidRPr="00AC3044" w:rsidRDefault="008143D9" w:rsidP="005A428D">
            <w:pPr>
              <w:rPr>
                <w:rFonts w:eastAsia="SimSun"/>
              </w:rPr>
            </w:pPr>
            <w:r w:rsidRPr="00AC3044">
              <w:rPr>
                <w:rFonts w:eastAsia="SimSun"/>
              </w:rPr>
              <w:t>Профилактика РТПХ</w:t>
            </w:r>
          </w:p>
        </w:tc>
        <w:tc>
          <w:tcPr>
            <w:tcW w:w="1701" w:type="dxa"/>
            <w:vAlign w:val="center"/>
          </w:tcPr>
          <w:p w14:paraId="27C18AB3" w14:textId="77777777" w:rsidR="008143D9" w:rsidRPr="00AC3044" w:rsidRDefault="008143D9" w:rsidP="005A428D">
            <w:pPr>
              <w:rPr>
                <w:rFonts w:eastAsia="SimSun"/>
              </w:rPr>
            </w:pPr>
            <w:r w:rsidRPr="00AC3044">
              <w:rPr>
                <w:rFonts w:eastAsia="SimSun"/>
              </w:rPr>
              <w:t xml:space="preserve">Такролимус </w:t>
            </w:r>
          </w:p>
        </w:tc>
        <w:tc>
          <w:tcPr>
            <w:tcW w:w="1559" w:type="dxa"/>
            <w:vAlign w:val="center"/>
          </w:tcPr>
          <w:p w14:paraId="46F2AD4C" w14:textId="77777777" w:rsidR="008143D9" w:rsidRPr="00AC3044" w:rsidRDefault="008143D9" w:rsidP="005A428D">
            <w:pPr>
              <w:rPr>
                <w:rFonts w:eastAsia="SimSun"/>
              </w:rPr>
            </w:pPr>
            <w:r w:rsidRPr="00AC3044">
              <w:rPr>
                <w:rFonts w:eastAsia="SimSun"/>
              </w:rPr>
              <w:t>0,03 мг/кг</w:t>
            </w:r>
          </w:p>
        </w:tc>
        <w:tc>
          <w:tcPr>
            <w:tcW w:w="1418" w:type="dxa"/>
            <w:vAlign w:val="center"/>
          </w:tcPr>
          <w:p w14:paraId="66EF2642" w14:textId="77777777" w:rsidR="008143D9" w:rsidRPr="00AC3044" w:rsidRDefault="008143D9" w:rsidP="005A428D">
            <w:pPr>
              <w:rPr>
                <w:rFonts w:eastAsia="SimSun"/>
              </w:rPr>
            </w:pPr>
            <w:r w:rsidRPr="00AC3044">
              <w:rPr>
                <w:rFonts w:eastAsia="SimSun"/>
              </w:rPr>
              <w:t>–</w:t>
            </w:r>
          </w:p>
        </w:tc>
        <w:tc>
          <w:tcPr>
            <w:tcW w:w="1701" w:type="dxa"/>
            <w:vAlign w:val="center"/>
          </w:tcPr>
          <w:p w14:paraId="7F9B9028" w14:textId="77777777" w:rsidR="008143D9" w:rsidRPr="00AC3044" w:rsidRDefault="008143D9" w:rsidP="005A428D">
            <w:pPr>
              <w:rPr>
                <w:rFonts w:eastAsia="SimSun"/>
              </w:rPr>
            </w:pPr>
            <w:r w:rsidRPr="00AC3044">
              <w:rPr>
                <w:rFonts w:eastAsia="SimSun"/>
              </w:rPr>
              <w:t xml:space="preserve">С +5 дня длительно </w:t>
            </w:r>
          </w:p>
        </w:tc>
        <w:tc>
          <w:tcPr>
            <w:tcW w:w="2268" w:type="dxa"/>
            <w:vAlign w:val="center"/>
          </w:tcPr>
          <w:p w14:paraId="0DF65B1A" w14:textId="77777777" w:rsidR="008143D9" w:rsidRPr="00AC3044" w:rsidRDefault="008143D9" w:rsidP="005A428D">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8143D9" w:rsidRPr="00AC3044" w14:paraId="5F9D054C" w14:textId="77777777" w:rsidTr="005A428D">
        <w:trPr>
          <w:cantSplit/>
          <w:trHeight w:val="570"/>
        </w:trPr>
        <w:tc>
          <w:tcPr>
            <w:tcW w:w="817" w:type="dxa"/>
            <w:vMerge/>
            <w:textDirection w:val="btLr"/>
            <w:vAlign w:val="center"/>
          </w:tcPr>
          <w:p w14:paraId="21FF6A72" w14:textId="77777777" w:rsidR="008143D9" w:rsidRPr="00AC3044" w:rsidRDefault="008143D9" w:rsidP="005A428D">
            <w:pPr>
              <w:rPr>
                <w:rFonts w:eastAsia="SimSun"/>
              </w:rPr>
            </w:pPr>
          </w:p>
        </w:tc>
        <w:tc>
          <w:tcPr>
            <w:tcW w:w="1701" w:type="dxa"/>
            <w:vAlign w:val="center"/>
          </w:tcPr>
          <w:p w14:paraId="5EA356BA" w14:textId="77777777" w:rsidR="008143D9" w:rsidRPr="00AC3044" w:rsidRDefault="008143D9" w:rsidP="005A428D">
            <w:pPr>
              <w:rPr>
                <w:rFonts w:eastAsia="SimSun"/>
              </w:rPr>
            </w:pPr>
            <w:r w:rsidRPr="00AC3044">
              <w:rPr>
                <w:rFonts w:eastAsia="SimSun"/>
              </w:rPr>
              <w:t>Микофенолата мофетил</w:t>
            </w:r>
          </w:p>
        </w:tc>
        <w:tc>
          <w:tcPr>
            <w:tcW w:w="1559" w:type="dxa"/>
            <w:vAlign w:val="center"/>
          </w:tcPr>
          <w:p w14:paraId="3B430A11" w14:textId="77777777" w:rsidR="008143D9" w:rsidRPr="00AC3044" w:rsidRDefault="008143D9" w:rsidP="005A428D">
            <w:pPr>
              <w:rPr>
                <w:rFonts w:eastAsia="SimSun"/>
              </w:rPr>
            </w:pPr>
            <w:r w:rsidRPr="00AC3044">
              <w:rPr>
                <w:rFonts w:eastAsia="SimSun"/>
              </w:rPr>
              <w:t xml:space="preserve">30 мг/кг </w:t>
            </w:r>
          </w:p>
        </w:tc>
        <w:tc>
          <w:tcPr>
            <w:tcW w:w="1418" w:type="dxa"/>
            <w:vAlign w:val="center"/>
          </w:tcPr>
          <w:p w14:paraId="15E6089E" w14:textId="77777777" w:rsidR="008143D9" w:rsidRPr="00AC3044" w:rsidRDefault="008143D9" w:rsidP="005A428D">
            <w:pPr>
              <w:rPr>
                <w:rFonts w:eastAsia="SimSun"/>
              </w:rPr>
            </w:pPr>
            <w:r w:rsidRPr="00AC3044">
              <w:rPr>
                <w:rFonts w:eastAsia="SimSun"/>
              </w:rPr>
              <w:t>–</w:t>
            </w:r>
          </w:p>
        </w:tc>
        <w:tc>
          <w:tcPr>
            <w:tcW w:w="1701" w:type="dxa"/>
            <w:vAlign w:val="center"/>
          </w:tcPr>
          <w:p w14:paraId="34E55217" w14:textId="77777777" w:rsidR="008143D9" w:rsidRPr="00AC3044" w:rsidRDefault="008143D9" w:rsidP="005A428D">
            <w:pPr>
              <w:rPr>
                <w:rFonts w:eastAsia="SimSun"/>
              </w:rPr>
            </w:pPr>
            <w:r w:rsidRPr="00AC3044">
              <w:rPr>
                <w:rFonts w:eastAsia="SimSun"/>
              </w:rPr>
              <w:t xml:space="preserve">С +5 дня по +35 день </w:t>
            </w:r>
          </w:p>
        </w:tc>
        <w:tc>
          <w:tcPr>
            <w:tcW w:w="2268" w:type="dxa"/>
            <w:vAlign w:val="center"/>
          </w:tcPr>
          <w:p w14:paraId="5C8B1B23" w14:textId="77777777" w:rsidR="008143D9" w:rsidRPr="00AC3044" w:rsidRDefault="008143D9" w:rsidP="005A428D">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25E130EB" w14:textId="77777777" w:rsidR="008143D9" w:rsidRPr="00C07B2E" w:rsidRDefault="008143D9" w:rsidP="008143D9">
      <w:pPr>
        <w:rPr>
          <w:rFonts w:eastAsia="SimSun"/>
        </w:rPr>
      </w:pPr>
    </w:p>
    <w:p w14:paraId="4B1E67F5" w14:textId="77777777" w:rsidR="008143D9" w:rsidRPr="00C07B2E" w:rsidRDefault="008143D9" w:rsidP="008143D9">
      <w:pPr>
        <w:rPr>
          <w:rFonts w:eastAsia="SimSun"/>
        </w:rPr>
      </w:pPr>
      <w:bookmarkStart w:id="170" w:name="_Toc44401211"/>
      <w:r w:rsidRPr="00042499">
        <w:rPr>
          <w:rFonts w:eastAsia="SimSun"/>
        </w:rPr>
        <w:t>Таблица</w:t>
      </w:r>
      <w:r w:rsidRPr="00C07B2E">
        <w:rPr>
          <w:rFonts w:eastAsia="SimSun"/>
        </w:rPr>
        <w:t xml:space="preserve"> </w:t>
      </w:r>
      <w:r>
        <w:rPr>
          <w:rFonts w:eastAsia="SimSun"/>
        </w:rPr>
        <w:t>5.</w:t>
      </w:r>
      <w:r w:rsidRPr="00C07B2E">
        <w:rPr>
          <w:rFonts w:eastAsia="SimSun"/>
        </w:rPr>
        <w:t>2.2.11 – Flu180+Bu8 / PT-Cy+CSA+MMF30</w:t>
      </w:r>
      <w:bookmarkEnd w:id="170"/>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8143D9" w:rsidRPr="00AC3044" w14:paraId="5EADCDC0" w14:textId="77777777" w:rsidTr="005A428D">
        <w:trPr>
          <w:cantSplit/>
          <w:trHeight w:val="20"/>
          <w:tblHeader/>
        </w:trPr>
        <w:tc>
          <w:tcPr>
            <w:tcW w:w="817" w:type="dxa"/>
            <w:vAlign w:val="center"/>
          </w:tcPr>
          <w:p w14:paraId="688711DF" w14:textId="77777777" w:rsidR="008143D9" w:rsidRPr="00470D3D" w:rsidRDefault="008143D9" w:rsidP="005A428D">
            <w:pPr>
              <w:rPr>
                <w:rFonts w:eastAsia="SimSun"/>
              </w:rPr>
            </w:pPr>
          </w:p>
        </w:tc>
        <w:tc>
          <w:tcPr>
            <w:tcW w:w="1701" w:type="dxa"/>
            <w:vAlign w:val="center"/>
          </w:tcPr>
          <w:p w14:paraId="20C5791F" w14:textId="77777777" w:rsidR="008143D9" w:rsidRPr="00AC3044" w:rsidRDefault="008143D9" w:rsidP="005A428D">
            <w:pPr>
              <w:rPr>
                <w:rFonts w:eastAsia="SimSun"/>
              </w:rPr>
            </w:pPr>
            <w:r w:rsidRPr="00AC3044">
              <w:rPr>
                <w:rFonts w:eastAsia="SimSun"/>
              </w:rPr>
              <w:t>Препарат</w:t>
            </w:r>
          </w:p>
        </w:tc>
        <w:tc>
          <w:tcPr>
            <w:tcW w:w="1559" w:type="dxa"/>
            <w:vAlign w:val="center"/>
          </w:tcPr>
          <w:p w14:paraId="52C45D52" w14:textId="77777777" w:rsidR="008143D9" w:rsidRPr="00AC3044" w:rsidRDefault="008143D9" w:rsidP="005A428D">
            <w:pPr>
              <w:rPr>
                <w:rFonts w:eastAsia="SimSun"/>
              </w:rPr>
            </w:pPr>
            <w:r w:rsidRPr="00AC3044">
              <w:rPr>
                <w:rFonts w:eastAsia="SimSun"/>
              </w:rPr>
              <w:t>Суточная доза</w:t>
            </w:r>
          </w:p>
        </w:tc>
        <w:tc>
          <w:tcPr>
            <w:tcW w:w="1418" w:type="dxa"/>
            <w:vAlign w:val="center"/>
          </w:tcPr>
          <w:p w14:paraId="523D026E" w14:textId="77777777" w:rsidR="008143D9" w:rsidRPr="00AC3044" w:rsidRDefault="008143D9" w:rsidP="005A428D">
            <w:pPr>
              <w:rPr>
                <w:rFonts w:eastAsia="SimSun"/>
              </w:rPr>
            </w:pPr>
            <w:r w:rsidRPr="00AC3044">
              <w:rPr>
                <w:rFonts w:eastAsia="SimSun"/>
              </w:rPr>
              <w:t>Курсовая доза</w:t>
            </w:r>
          </w:p>
        </w:tc>
        <w:tc>
          <w:tcPr>
            <w:tcW w:w="1701" w:type="dxa"/>
            <w:vAlign w:val="center"/>
          </w:tcPr>
          <w:p w14:paraId="09932888" w14:textId="77777777" w:rsidR="008143D9" w:rsidRPr="00AC3044" w:rsidRDefault="008143D9" w:rsidP="005A428D">
            <w:pPr>
              <w:rPr>
                <w:rFonts w:eastAsia="SimSun"/>
              </w:rPr>
            </w:pPr>
            <w:r w:rsidRPr="00AC3044">
              <w:rPr>
                <w:rFonts w:eastAsia="SimSun"/>
              </w:rPr>
              <w:t>Дни введения</w:t>
            </w:r>
          </w:p>
        </w:tc>
        <w:tc>
          <w:tcPr>
            <w:tcW w:w="2268" w:type="dxa"/>
            <w:vAlign w:val="center"/>
          </w:tcPr>
          <w:p w14:paraId="6D869277"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0D4818D1" w14:textId="77777777" w:rsidTr="005A428D">
        <w:trPr>
          <w:cantSplit/>
          <w:trHeight w:val="20"/>
        </w:trPr>
        <w:tc>
          <w:tcPr>
            <w:tcW w:w="817" w:type="dxa"/>
            <w:vMerge w:val="restart"/>
            <w:textDirection w:val="btLr"/>
            <w:vAlign w:val="center"/>
          </w:tcPr>
          <w:p w14:paraId="4CBB1597" w14:textId="77777777" w:rsidR="008143D9" w:rsidRPr="00AC3044" w:rsidRDefault="008143D9" w:rsidP="005A428D">
            <w:pPr>
              <w:rPr>
                <w:rFonts w:eastAsia="SimSun"/>
              </w:rPr>
            </w:pPr>
            <w:r w:rsidRPr="00AC3044">
              <w:rPr>
                <w:rFonts w:eastAsia="SimSun"/>
              </w:rPr>
              <w:t>Кондиционирование</w:t>
            </w:r>
          </w:p>
        </w:tc>
        <w:tc>
          <w:tcPr>
            <w:tcW w:w="1701" w:type="dxa"/>
            <w:vAlign w:val="center"/>
          </w:tcPr>
          <w:p w14:paraId="40382FB3" w14:textId="77777777" w:rsidR="008143D9" w:rsidRPr="00AC3044" w:rsidRDefault="008143D9" w:rsidP="005A428D">
            <w:pPr>
              <w:rPr>
                <w:rFonts w:eastAsia="SimSun"/>
              </w:rPr>
            </w:pPr>
            <w:r w:rsidRPr="00AC3044">
              <w:rPr>
                <w:rFonts w:eastAsia="SimSun"/>
              </w:rPr>
              <w:t xml:space="preserve">Флударабин </w:t>
            </w:r>
          </w:p>
        </w:tc>
        <w:tc>
          <w:tcPr>
            <w:tcW w:w="1559" w:type="dxa"/>
            <w:vAlign w:val="center"/>
          </w:tcPr>
          <w:p w14:paraId="468ACACE" w14:textId="77777777" w:rsidR="008143D9" w:rsidRPr="00AC3044" w:rsidRDefault="008143D9" w:rsidP="005A428D">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55932670" w14:textId="77777777" w:rsidR="008143D9" w:rsidRPr="00AC3044" w:rsidRDefault="008143D9" w:rsidP="005A428D">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09367C38" w14:textId="77777777" w:rsidR="008143D9" w:rsidRPr="00AC3044" w:rsidRDefault="008143D9" w:rsidP="005A428D">
            <w:pPr>
              <w:rPr>
                <w:rFonts w:eastAsia="SimSun"/>
              </w:rPr>
            </w:pPr>
            <w:r w:rsidRPr="00AC3044">
              <w:rPr>
                <w:rFonts w:eastAsia="SimSun"/>
              </w:rPr>
              <w:t>С -7 дня по -2 день</w:t>
            </w:r>
          </w:p>
        </w:tc>
        <w:tc>
          <w:tcPr>
            <w:tcW w:w="2268" w:type="dxa"/>
            <w:vAlign w:val="center"/>
          </w:tcPr>
          <w:p w14:paraId="0A48288B"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248108C3" w14:textId="77777777" w:rsidTr="005A428D">
        <w:trPr>
          <w:cantSplit/>
          <w:trHeight w:val="1207"/>
        </w:trPr>
        <w:tc>
          <w:tcPr>
            <w:tcW w:w="817" w:type="dxa"/>
            <w:vMerge/>
            <w:vAlign w:val="center"/>
          </w:tcPr>
          <w:p w14:paraId="21ECC5DF" w14:textId="77777777" w:rsidR="008143D9" w:rsidRPr="00AC3044" w:rsidRDefault="008143D9" w:rsidP="005A428D">
            <w:pPr>
              <w:rPr>
                <w:rFonts w:eastAsia="SimSun"/>
              </w:rPr>
            </w:pPr>
          </w:p>
        </w:tc>
        <w:tc>
          <w:tcPr>
            <w:tcW w:w="1701" w:type="dxa"/>
            <w:vAlign w:val="center"/>
          </w:tcPr>
          <w:p w14:paraId="136FBB7B" w14:textId="77777777" w:rsidR="008143D9" w:rsidRPr="00AC3044" w:rsidRDefault="008143D9" w:rsidP="005A428D">
            <w:pPr>
              <w:rPr>
                <w:rFonts w:eastAsia="SimSun"/>
              </w:rPr>
            </w:pPr>
            <w:r w:rsidRPr="00AC3044">
              <w:rPr>
                <w:rFonts w:eastAsia="SimSun"/>
              </w:rPr>
              <w:t>Бусульфан</w:t>
            </w:r>
          </w:p>
        </w:tc>
        <w:tc>
          <w:tcPr>
            <w:tcW w:w="1559" w:type="dxa"/>
            <w:vAlign w:val="center"/>
          </w:tcPr>
          <w:p w14:paraId="40780B64" w14:textId="77777777" w:rsidR="008143D9" w:rsidRPr="00AC3044" w:rsidRDefault="008143D9" w:rsidP="005A428D">
            <w:pPr>
              <w:rPr>
                <w:rFonts w:eastAsia="SimSun"/>
              </w:rPr>
            </w:pPr>
            <w:r w:rsidRPr="00AC3044">
              <w:rPr>
                <w:rFonts w:eastAsia="SimSun"/>
              </w:rPr>
              <w:t xml:space="preserve">4 мг/кг </w:t>
            </w:r>
          </w:p>
        </w:tc>
        <w:tc>
          <w:tcPr>
            <w:tcW w:w="1418" w:type="dxa"/>
            <w:vAlign w:val="center"/>
          </w:tcPr>
          <w:p w14:paraId="5859CD86" w14:textId="77777777" w:rsidR="008143D9" w:rsidRPr="00AC3044" w:rsidRDefault="008143D9" w:rsidP="005A428D">
            <w:pPr>
              <w:rPr>
                <w:rFonts w:eastAsia="SimSun"/>
              </w:rPr>
            </w:pPr>
            <w:r w:rsidRPr="00AC3044">
              <w:rPr>
                <w:rFonts w:eastAsia="SimSun"/>
              </w:rPr>
              <w:t xml:space="preserve">8 мг/кг </w:t>
            </w:r>
          </w:p>
        </w:tc>
        <w:tc>
          <w:tcPr>
            <w:tcW w:w="1701" w:type="dxa"/>
            <w:vAlign w:val="center"/>
          </w:tcPr>
          <w:p w14:paraId="082E717D" w14:textId="77777777" w:rsidR="008143D9" w:rsidRPr="00AC3044" w:rsidRDefault="008143D9" w:rsidP="005A428D">
            <w:pPr>
              <w:rPr>
                <w:rFonts w:eastAsia="SimSun"/>
              </w:rPr>
            </w:pPr>
            <w:r w:rsidRPr="00AC3044">
              <w:rPr>
                <w:rFonts w:eastAsia="SimSun"/>
              </w:rPr>
              <w:t>С -4 дня по -3 день</w:t>
            </w:r>
          </w:p>
        </w:tc>
        <w:tc>
          <w:tcPr>
            <w:tcW w:w="2268" w:type="dxa"/>
            <w:vAlign w:val="center"/>
          </w:tcPr>
          <w:p w14:paraId="78C479C9" w14:textId="77777777" w:rsidR="008143D9" w:rsidRPr="00AC3044" w:rsidRDefault="008143D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8143D9" w:rsidRPr="00AC3044" w14:paraId="050F944F" w14:textId="77777777" w:rsidTr="005A428D">
        <w:trPr>
          <w:cantSplit/>
          <w:trHeight w:val="520"/>
        </w:trPr>
        <w:tc>
          <w:tcPr>
            <w:tcW w:w="817" w:type="dxa"/>
            <w:vMerge w:val="restart"/>
            <w:textDirection w:val="btLr"/>
            <w:vAlign w:val="center"/>
          </w:tcPr>
          <w:p w14:paraId="0539D452" w14:textId="77777777" w:rsidR="008143D9" w:rsidRPr="00AC3044" w:rsidRDefault="008143D9" w:rsidP="005A428D">
            <w:pPr>
              <w:rPr>
                <w:rFonts w:eastAsia="SimSun"/>
              </w:rPr>
            </w:pPr>
            <w:r w:rsidRPr="00AC3044">
              <w:rPr>
                <w:rFonts w:eastAsia="SimSun"/>
              </w:rPr>
              <w:t>Профилактика РТПХ</w:t>
            </w:r>
          </w:p>
        </w:tc>
        <w:tc>
          <w:tcPr>
            <w:tcW w:w="1701" w:type="dxa"/>
            <w:vAlign w:val="center"/>
          </w:tcPr>
          <w:p w14:paraId="1692F91A" w14:textId="77777777" w:rsidR="008143D9" w:rsidRPr="00AC3044" w:rsidRDefault="008143D9" w:rsidP="005A428D">
            <w:pPr>
              <w:rPr>
                <w:rFonts w:eastAsia="SimSun"/>
              </w:rPr>
            </w:pPr>
            <w:r w:rsidRPr="00AC3044">
              <w:rPr>
                <w:rFonts w:eastAsia="SimSun"/>
              </w:rPr>
              <w:t>Циклофосфамид</w:t>
            </w:r>
          </w:p>
        </w:tc>
        <w:tc>
          <w:tcPr>
            <w:tcW w:w="1559" w:type="dxa"/>
            <w:vAlign w:val="center"/>
          </w:tcPr>
          <w:p w14:paraId="1F6B0D79" w14:textId="77777777" w:rsidR="008143D9" w:rsidRPr="00AC3044" w:rsidRDefault="008143D9" w:rsidP="005A428D">
            <w:pPr>
              <w:rPr>
                <w:rFonts w:eastAsia="SimSun"/>
              </w:rPr>
            </w:pPr>
            <w:r w:rsidRPr="00AC3044">
              <w:rPr>
                <w:rFonts w:eastAsia="SimSun"/>
              </w:rPr>
              <w:t>50 мг/кг</w:t>
            </w:r>
          </w:p>
        </w:tc>
        <w:tc>
          <w:tcPr>
            <w:tcW w:w="1418" w:type="dxa"/>
            <w:vAlign w:val="center"/>
          </w:tcPr>
          <w:p w14:paraId="68F0A92E" w14:textId="77777777" w:rsidR="008143D9" w:rsidRPr="00AC3044" w:rsidRDefault="008143D9" w:rsidP="005A428D">
            <w:pPr>
              <w:rPr>
                <w:rFonts w:eastAsia="SimSun"/>
              </w:rPr>
            </w:pPr>
            <w:r w:rsidRPr="00AC3044">
              <w:rPr>
                <w:rFonts w:eastAsia="SimSun"/>
              </w:rPr>
              <w:t>100 мг/кг</w:t>
            </w:r>
          </w:p>
        </w:tc>
        <w:tc>
          <w:tcPr>
            <w:tcW w:w="1701" w:type="dxa"/>
            <w:vAlign w:val="center"/>
          </w:tcPr>
          <w:p w14:paraId="73973BD3" w14:textId="77777777" w:rsidR="008143D9" w:rsidRPr="00AC3044" w:rsidRDefault="008143D9" w:rsidP="005A428D">
            <w:pPr>
              <w:rPr>
                <w:rFonts w:eastAsia="SimSun"/>
              </w:rPr>
            </w:pPr>
            <w:r w:rsidRPr="00AC3044">
              <w:rPr>
                <w:rFonts w:eastAsia="SimSun"/>
              </w:rPr>
              <w:t>В +3 день  и +5 день</w:t>
            </w:r>
          </w:p>
        </w:tc>
        <w:tc>
          <w:tcPr>
            <w:tcW w:w="2268" w:type="dxa"/>
            <w:vAlign w:val="center"/>
          </w:tcPr>
          <w:p w14:paraId="0BDEFFFF" w14:textId="77777777" w:rsidR="008143D9" w:rsidRPr="00AC3044" w:rsidRDefault="008143D9" w:rsidP="005A428D">
            <w:pPr>
              <w:rPr>
                <w:rFonts w:eastAsia="SimSun"/>
              </w:rPr>
            </w:pPr>
            <w:r w:rsidRPr="00AC3044">
              <w:rPr>
                <w:rFonts w:eastAsia="SimSun"/>
              </w:rPr>
              <w:t>В/в, в течение 2 часов</w:t>
            </w:r>
          </w:p>
        </w:tc>
      </w:tr>
      <w:tr w:rsidR="008143D9" w:rsidRPr="00AC3044" w14:paraId="5869F64B" w14:textId="77777777" w:rsidTr="005A428D">
        <w:trPr>
          <w:cantSplit/>
          <w:trHeight w:val="486"/>
        </w:trPr>
        <w:tc>
          <w:tcPr>
            <w:tcW w:w="817" w:type="dxa"/>
            <w:vMerge/>
            <w:textDirection w:val="btLr"/>
            <w:vAlign w:val="center"/>
          </w:tcPr>
          <w:p w14:paraId="41B956CB" w14:textId="77777777" w:rsidR="008143D9" w:rsidRPr="00AC3044" w:rsidRDefault="008143D9" w:rsidP="005A428D">
            <w:pPr>
              <w:rPr>
                <w:rFonts w:eastAsia="SimSun"/>
              </w:rPr>
            </w:pPr>
          </w:p>
        </w:tc>
        <w:tc>
          <w:tcPr>
            <w:tcW w:w="1701" w:type="dxa"/>
            <w:vAlign w:val="center"/>
          </w:tcPr>
          <w:p w14:paraId="7E437725" w14:textId="77777777" w:rsidR="008143D9" w:rsidRPr="00AC3044" w:rsidRDefault="008143D9" w:rsidP="005A428D">
            <w:pPr>
              <w:rPr>
                <w:rFonts w:eastAsia="SimSun"/>
              </w:rPr>
            </w:pPr>
            <w:r w:rsidRPr="00AC3044">
              <w:rPr>
                <w:rFonts w:eastAsia="SimSun"/>
              </w:rPr>
              <w:t>Микофенолата мофетил</w:t>
            </w:r>
          </w:p>
        </w:tc>
        <w:tc>
          <w:tcPr>
            <w:tcW w:w="1559" w:type="dxa"/>
            <w:vAlign w:val="center"/>
          </w:tcPr>
          <w:p w14:paraId="7D3EB8A1" w14:textId="77777777" w:rsidR="008143D9" w:rsidRPr="00AC3044" w:rsidRDefault="008143D9" w:rsidP="005A428D">
            <w:pPr>
              <w:rPr>
                <w:rFonts w:eastAsia="SimSun"/>
              </w:rPr>
            </w:pPr>
            <w:r w:rsidRPr="00AC3044">
              <w:rPr>
                <w:rFonts w:eastAsia="SimSun"/>
              </w:rPr>
              <w:t xml:space="preserve">30 мг/кг </w:t>
            </w:r>
          </w:p>
        </w:tc>
        <w:tc>
          <w:tcPr>
            <w:tcW w:w="1418" w:type="dxa"/>
            <w:vAlign w:val="center"/>
          </w:tcPr>
          <w:p w14:paraId="6A3DF1CC" w14:textId="77777777" w:rsidR="008143D9" w:rsidRPr="00AC3044" w:rsidRDefault="008143D9" w:rsidP="005A428D">
            <w:pPr>
              <w:rPr>
                <w:rFonts w:eastAsia="SimSun"/>
              </w:rPr>
            </w:pPr>
            <w:r w:rsidRPr="00AC3044">
              <w:rPr>
                <w:rFonts w:eastAsia="SimSun"/>
              </w:rPr>
              <w:t>–</w:t>
            </w:r>
          </w:p>
        </w:tc>
        <w:tc>
          <w:tcPr>
            <w:tcW w:w="1701" w:type="dxa"/>
            <w:vAlign w:val="center"/>
          </w:tcPr>
          <w:p w14:paraId="6571FBF2" w14:textId="77777777" w:rsidR="008143D9" w:rsidRPr="00AC3044" w:rsidRDefault="008143D9" w:rsidP="005A428D">
            <w:pPr>
              <w:rPr>
                <w:rFonts w:eastAsia="SimSun"/>
              </w:rPr>
            </w:pPr>
            <w:r w:rsidRPr="00AC3044">
              <w:rPr>
                <w:rFonts w:eastAsia="SimSun"/>
              </w:rPr>
              <w:t xml:space="preserve">С +1 дня по +28 день </w:t>
            </w:r>
          </w:p>
        </w:tc>
        <w:tc>
          <w:tcPr>
            <w:tcW w:w="2268" w:type="dxa"/>
            <w:vAlign w:val="center"/>
          </w:tcPr>
          <w:p w14:paraId="60DB4EC6" w14:textId="77777777" w:rsidR="008143D9" w:rsidRPr="00AC3044" w:rsidRDefault="008143D9" w:rsidP="005A428D">
            <w:pPr>
              <w:rPr>
                <w:rFonts w:eastAsia="SimSun"/>
              </w:rPr>
            </w:pPr>
            <w:r w:rsidRPr="00AC3044">
              <w:rPr>
                <w:rFonts w:eastAsia="SimSun"/>
              </w:rPr>
              <w:t xml:space="preserve">Внутрь, суммарная суточная доза разделяется на 2- 4 приема (не более 3г/сут).  </w:t>
            </w:r>
          </w:p>
        </w:tc>
      </w:tr>
      <w:tr w:rsidR="008143D9" w:rsidRPr="00AC3044" w14:paraId="073EF5B8" w14:textId="77777777" w:rsidTr="005A428D">
        <w:trPr>
          <w:cantSplit/>
          <w:trHeight w:val="958"/>
        </w:trPr>
        <w:tc>
          <w:tcPr>
            <w:tcW w:w="817" w:type="dxa"/>
            <w:vMerge/>
            <w:textDirection w:val="btLr"/>
            <w:vAlign w:val="center"/>
          </w:tcPr>
          <w:p w14:paraId="741A7874" w14:textId="77777777" w:rsidR="008143D9" w:rsidRPr="00AC3044" w:rsidRDefault="008143D9" w:rsidP="005A428D">
            <w:pPr>
              <w:rPr>
                <w:rFonts w:eastAsia="SimSun"/>
              </w:rPr>
            </w:pPr>
          </w:p>
        </w:tc>
        <w:tc>
          <w:tcPr>
            <w:tcW w:w="1701" w:type="dxa"/>
            <w:vAlign w:val="center"/>
          </w:tcPr>
          <w:p w14:paraId="368BF8D8" w14:textId="77777777" w:rsidR="008143D9" w:rsidRPr="00AC3044" w:rsidRDefault="008143D9" w:rsidP="005A428D">
            <w:pPr>
              <w:rPr>
                <w:rFonts w:eastAsia="SimSun"/>
              </w:rPr>
            </w:pPr>
            <w:r w:rsidRPr="00AC3044">
              <w:rPr>
                <w:rFonts w:eastAsia="SimSun"/>
              </w:rPr>
              <w:t>Циклоспорин А</w:t>
            </w:r>
          </w:p>
        </w:tc>
        <w:tc>
          <w:tcPr>
            <w:tcW w:w="1559" w:type="dxa"/>
            <w:vAlign w:val="center"/>
          </w:tcPr>
          <w:p w14:paraId="32D6564E" w14:textId="77777777" w:rsidR="008143D9" w:rsidRPr="00AC3044" w:rsidRDefault="008143D9" w:rsidP="005A428D">
            <w:pPr>
              <w:rPr>
                <w:rFonts w:eastAsia="SimSun"/>
              </w:rPr>
            </w:pPr>
            <w:r w:rsidRPr="00AC3044">
              <w:rPr>
                <w:rFonts w:eastAsia="SimSun"/>
              </w:rPr>
              <w:t>3  мг/кг</w:t>
            </w:r>
          </w:p>
        </w:tc>
        <w:tc>
          <w:tcPr>
            <w:tcW w:w="1418" w:type="dxa"/>
            <w:vAlign w:val="center"/>
          </w:tcPr>
          <w:p w14:paraId="63B9AE06" w14:textId="77777777" w:rsidR="008143D9" w:rsidRPr="00AC3044" w:rsidRDefault="008143D9" w:rsidP="005A428D">
            <w:pPr>
              <w:rPr>
                <w:rFonts w:eastAsia="SimSun"/>
              </w:rPr>
            </w:pPr>
            <w:r w:rsidRPr="00AC3044">
              <w:rPr>
                <w:rFonts w:eastAsia="SimSun"/>
              </w:rPr>
              <w:t>-</w:t>
            </w:r>
          </w:p>
        </w:tc>
        <w:tc>
          <w:tcPr>
            <w:tcW w:w="1701" w:type="dxa"/>
            <w:vAlign w:val="center"/>
          </w:tcPr>
          <w:p w14:paraId="65560527" w14:textId="77777777" w:rsidR="008143D9" w:rsidRPr="00AC3044" w:rsidRDefault="008143D9" w:rsidP="005A428D">
            <w:pPr>
              <w:rPr>
                <w:rFonts w:eastAsia="SimSun"/>
              </w:rPr>
            </w:pPr>
            <w:r w:rsidRPr="00AC3044">
              <w:rPr>
                <w:rFonts w:eastAsia="SimSun"/>
              </w:rPr>
              <w:t xml:space="preserve">С -1 дня по +100 день </w:t>
            </w:r>
          </w:p>
        </w:tc>
        <w:tc>
          <w:tcPr>
            <w:tcW w:w="2268" w:type="dxa"/>
            <w:vAlign w:val="center"/>
          </w:tcPr>
          <w:p w14:paraId="3010955E" w14:textId="77777777" w:rsidR="008143D9" w:rsidRPr="00AC3044" w:rsidRDefault="008143D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14:paraId="15653AA9" w14:textId="77777777" w:rsidR="008143D9" w:rsidRPr="00C07B2E" w:rsidRDefault="008143D9" w:rsidP="008143D9">
      <w:pPr>
        <w:rPr>
          <w:rFonts w:eastAsia="SimSun"/>
        </w:rPr>
      </w:pPr>
    </w:p>
    <w:p w14:paraId="67881C51" w14:textId="77777777" w:rsidR="008143D9" w:rsidRPr="00C07B2E" w:rsidRDefault="008143D9" w:rsidP="008143D9">
      <w:pPr>
        <w:rPr>
          <w:rFonts w:eastAsia="SimSun"/>
        </w:rPr>
      </w:pPr>
      <w:bookmarkStart w:id="171" w:name="_Toc44401212"/>
      <w:r w:rsidRPr="00042499">
        <w:rPr>
          <w:rFonts w:eastAsia="SimSun"/>
        </w:rPr>
        <w:t>Таблица</w:t>
      </w:r>
      <w:r w:rsidRPr="00C07B2E">
        <w:rPr>
          <w:rFonts w:eastAsia="SimSun"/>
        </w:rPr>
        <w:t xml:space="preserve"> </w:t>
      </w:r>
      <w:r>
        <w:rPr>
          <w:rFonts w:eastAsia="SimSun"/>
        </w:rPr>
        <w:t>5.</w:t>
      </w:r>
      <w:r w:rsidRPr="00C07B2E">
        <w:rPr>
          <w:rFonts w:eastAsia="SimSun"/>
        </w:rPr>
        <w:t>2.2.12  – Flu180+Bu10 / PT-Cy</w:t>
      </w:r>
      <w:bookmarkEnd w:id="171"/>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8143D9" w:rsidRPr="00AC3044" w14:paraId="01B8F289" w14:textId="77777777" w:rsidTr="005A428D">
        <w:trPr>
          <w:cantSplit/>
          <w:trHeight w:val="20"/>
          <w:tblHeader/>
        </w:trPr>
        <w:tc>
          <w:tcPr>
            <w:tcW w:w="817" w:type="dxa"/>
            <w:vAlign w:val="center"/>
          </w:tcPr>
          <w:p w14:paraId="6BB32EBB" w14:textId="77777777" w:rsidR="008143D9" w:rsidRPr="00AC3044" w:rsidRDefault="008143D9" w:rsidP="005A428D">
            <w:pPr>
              <w:rPr>
                <w:rFonts w:eastAsia="SimSun"/>
              </w:rPr>
            </w:pPr>
          </w:p>
        </w:tc>
        <w:tc>
          <w:tcPr>
            <w:tcW w:w="1701" w:type="dxa"/>
            <w:vAlign w:val="center"/>
          </w:tcPr>
          <w:p w14:paraId="5414BDEF" w14:textId="77777777" w:rsidR="008143D9" w:rsidRPr="00AC3044" w:rsidRDefault="008143D9" w:rsidP="005A428D">
            <w:pPr>
              <w:rPr>
                <w:rFonts w:eastAsia="SimSun"/>
              </w:rPr>
            </w:pPr>
            <w:r w:rsidRPr="00AC3044">
              <w:rPr>
                <w:rFonts w:eastAsia="SimSun"/>
              </w:rPr>
              <w:t>Препарат</w:t>
            </w:r>
          </w:p>
        </w:tc>
        <w:tc>
          <w:tcPr>
            <w:tcW w:w="1559" w:type="dxa"/>
            <w:vAlign w:val="center"/>
          </w:tcPr>
          <w:p w14:paraId="3AC7595C" w14:textId="77777777" w:rsidR="008143D9" w:rsidRPr="00AC3044" w:rsidRDefault="008143D9" w:rsidP="005A428D">
            <w:pPr>
              <w:rPr>
                <w:rFonts w:eastAsia="SimSun"/>
              </w:rPr>
            </w:pPr>
            <w:r w:rsidRPr="00AC3044">
              <w:rPr>
                <w:rFonts w:eastAsia="SimSun"/>
              </w:rPr>
              <w:t>Суточная доза</w:t>
            </w:r>
          </w:p>
        </w:tc>
        <w:tc>
          <w:tcPr>
            <w:tcW w:w="1418" w:type="dxa"/>
            <w:vAlign w:val="center"/>
          </w:tcPr>
          <w:p w14:paraId="0CBBE89B" w14:textId="77777777" w:rsidR="008143D9" w:rsidRPr="00AC3044" w:rsidRDefault="008143D9" w:rsidP="005A428D">
            <w:pPr>
              <w:rPr>
                <w:rFonts w:eastAsia="SimSun"/>
              </w:rPr>
            </w:pPr>
            <w:r w:rsidRPr="00AC3044">
              <w:rPr>
                <w:rFonts w:eastAsia="SimSun"/>
              </w:rPr>
              <w:t>Курсовая доза</w:t>
            </w:r>
          </w:p>
        </w:tc>
        <w:tc>
          <w:tcPr>
            <w:tcW w:w="1701" w:type="dxa"/>
            <w:vAlign w:val="center"/>
          </w:tcPr>
          <w:p w14:paraId="1FD72F0B" w14:textId="77777777" w:rsidR="008143D9" w:rsidRPr="00AC3044" w:rsidRDefault="008143D9" w:rsidP="005A428D">
            <w:pPr>
              <w:rPr>
                <w:rFonts w:eastAsia="SimSun"/>
              </w:rPr>
            </w:pPr>
            <w:r w:rsidRPr="00AC3044">
              <w:rPr>
                <w:rFonts w:eastAsia="SimSun"/>
              </w:rPr>
              <w:t>Дни введения</w:t>
            </w:r>
          </w:p>
        </w:tc>
        <w:tc>
          <w:tcPr>
            <w:tcW w:w="2268" w:type="dxa"/>
            <w:vAlign w:val="center"/>
          </w:tcPr>
          <w:p w14:paraId="1D347D55"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41253330" w14:textId="77777777" w:rsidTr="005A428D">
        <w:trPr>
          <w:cantSplit/>
          <w:trHeight w:val="20"/>
        </w:trPr>
        <w:tc>
          <w:tcPr>
            <w:tcW w:w="817" w:type="dxa"/>
            <w:vMerge w:val="restart"/>
            <w:textDirection w:val="btLr"/>
            <w:vAlign w:val="center"/>
          </w:tcPr>
          <w:p w14:paraId="2F3D1E47" w14:textId="77777777" w:rsidR="008143D9" w:rsidRPr="00AC3044" w:rsidRDefault="008143D9" w:rsidP="005A428D">
            <w:pPr>
              <w:rPr>
                <w:rFonts w:eastAsia="SimSun"/>
              </w:rPr>
            </w:pPr>
            <w:r w:rsidRPr="00AC3044">
              <w:rPr>
                <w:rFonts w:eastAsia="SimSun"/>
              </w:rPr>
              <w:t>Кондиционирование</w:t>
            </w:r>
          </w:p>
        </w:tc>
        <w:tc>
          <w:tcPr>
            <w:tcW w:w="1701" w:type="dxa"/>
            <w:vAlign w:val="center"/>
          </w:tcPr>
          <w:p w14:paraId="56BF5F96" w14:textId="77777777" w:rsidR="008143D9" w:rsidRPr="00AC3044" w:rsidRDefault="008143D9" w:rsidP="005A428D">
            <w:pPr>
              <w:rPr>
                <w:rFonts w:eastAsia="SimSun"/>
              </w:rPr>
            </w:pPr>
            <w:r w:rsidRPr="00AC3044">
              <w:rPr>
                <w:rFonts w:eastAsia="SimSun"/>
              </w:rPr>
              <w:t xml:space="preserve">Флударабин </w:t>
            </w:r>
          </w:p>
        </w:tc>
        <w:tc>
          <w:tcPr>
            <w:tcW w:w="1559" w:type="dxa"/>
            <w:vAlign w:val="center"/>
          </w:tcPr>
          <w:p w14:paraId="06C2ED84" w14:textId="77777777" w:rsidR="008143D9" w:rsidRPr="00AC3044" w:rsidRDefault="008143D9" w:rsidP="005A428D">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7F1E8344" w14:textId="77777777" w:rsidR="008143D9" w:rsidRPr="00AC3044" w:rsidRDefault="008143D9" w:rsidP="005A428D">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509ECF3F" w14:textId="77777777" w:rsidR="008143D9" w:rsidRPr="00AC3044" w:rsidRDefault="008143D9" w:rsidP="005A428D">
            <w:pPr>
              <w:rPr>
                <w:rFonts w:eastAsia="SimSun"/>
              </w:rPr>
            </w:pPr>
            <w:r w:rsidRPr="00AC3044">
              <w:rPr>
                <w:rFonts w:eastAsia="SimSun"/>
              </w:rPr>
              <w:t>С -7 дня по -2 день</w:t>
            </w:r>
          </w:p>
        </w:tc>
        <w:tc>
          <w:tcPr>
            <w:tcW w:w="2268" w:type="dxa"/>
            <w:vAlign w:val="center"/>
          </w:tcPr>
          <w:p w14:paraId="7781945A"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51D0DD58" w14:textId="77777777" w:rsidTr="005A428D">
        <w:trPr>
          <w:cantSplit/>
          <w:trHeight w:val="1207"/>
        </w:trPr>
        <w:tc>
          <w:tcPr>
            <w:tcW w:w="817" w:type="dxa"/>
            <w:vMerge/>
            <w:vAlign w:val="center"/>
          </w:tcPr>
          <w:p w14:paraId="4B2980E5" w14:textId="77777777" w:rsidR="008143D9" w:rsidRPr="00AC3044" w:rsidRDefault="008143D9" w:rsidP="005A428D">
            <w:pPr>
              <w:rPr>
                <w:rFonts w:eastAsia="SimSun"/>
              </w:rPr>
            </w:pPr>
          </w:p>
        </w:tc>
        <w:tc>
          <w:tcPr>
            <w:tcW w:w="1701" w:type="dxa"/>
            <w:vAlign w:val="center"/>
          </w:tcPr>
          <w:p w14:paraId="12429D79" w14:textId="77777777" w:rsidR="008143D9" w:rsidRPr="00AC3044" w:rsidRDefault="008143D9" w:rsidP="005A428D">
            <w:pPr>
              <w:rPr>
                <w:rFonts w:eastAsia="SimSun"/>
              </w:rPr>
            </w:pPr>
            <w:r w:rsidRPr="00AC3044">
              <w:rPr>
                <w:rFonts w:eastAsia="SimSun"/>
              </w:rPr>
              <w:t>Бусульфан</w:t>
            </w:r>
          </w:p>
        </w:tc>
        <w:tc>
          <w:tcPr>
            <w:tcW w:w="1559" w:type="dxa"/>
            <w:vAlign w:val="center"/>
          </w:tcPr>
          <w:p w14:paraId="209FDAFD" w14:textId="77777777" w:rsidR="008143D9" w:rsidRPr="00AC3044" w:rsidRDefault="008143D9" w:rsidP="005A428D">
            <w:pPr>
              <w:rPr>
                <w:rFonts w:eastAsia="SimSun"/>
              </w:rPr>
            </w:pPr>
            <w:r w:rsidRPr="00AC3044">
              <w:rPr>
                <w:rFonts w:eastAsia="SimSun"/>
              </w:rPr>
              <w:t xml:space="preserve">4 мг/кг </w:t>
            </w:r>
          </w:p>
        </w:tc>
        <w:tc>
          <w:tcPr>
            <w:tcW w:w="1418" w:type="dxa"/>
            <w:vAlign w:val="center"/>
          </w:tcPr>
          <w:p w14:paraId="2FA0DFF2" w14:textId="77777777" w:rsidR="008143D9" w:rsidRPr="00AC3044" w:rsidRDefault="008143D9" w:rsidP="005A428D">
            <w:pPr>
              <w:rPr>
                <w:rFonts w:eastAsia="SimSun"/>
              </w:rPr>
            </w:pPr>
            <w:r w:rsidRPr="00AC3044">
              <w:rPr>
                <w:rFonts w:eastAsia="SimSun"/>
              </w:rPr>
              <w:t xml:space="preserve">10 мг/кг </w:t>
            </w:r>
          </w:p>
        </w:tc>
        <w:tc>
          <w:tcPr>
            <w:tcW w:w="1701" w:type="dxa"/>
            <w:vAlign w:val="center"/>
          </w:tcPr>
          <w:p w14:paraId="49BC1E0E" w14:textId="77777777" w:rsidR="008143D9" w:rsidRPr="00AC3044" w:rsidRDefault="008143D9" w:rsidP="005A428D">
            <w:pPr>
              <w:rPr>
                <w:rFonts w:eastAsia="SimSun"/>
              </w:rPr>
            </w:pPr>
            <w:r w:rsidRPr="00AC3044">
              <w:rPr>
                <w:rFonts w:eastAsia="SimSun"/>
              </w:rPr>
              <w:t>С -5 дня по -3 день</w:t>
            </w:r>
          </w:p>
        </w:tc>
        <w:tc>
          <w:tcPr>
            <w:tcW w:w="2268" w:type="dxa"/>
            <w:vAlign w:val="center"/>
          </w:tcPr>
          <w:p w14:paraId="50D9E271" w14:textId="77777777" w:rsidR="008143D9" w:rsidRPr="00AC3044" w:rsidRDefault="008143D9" w:rsidP="005A428D">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8143D9" w:rsidRPr="00AC3044" w14:paraId="498F29CD" w14:textId="77777777" w:rsidTr="005A428D">
        <w:trPr>
          <w:cantSplit/>
          <w:trHeight w:val="1498"/>
        </w:trPr>
        <w:tc>
          <w:tcPr>
            <w:tcW w:w="817" w:type="dxa"/>
            <w:textDirection w:val="btLr"/>
            <w:vAlign w:val="center"/>
          </w:tcPr>
          <w:p w14:paraId="54C86012" w14:textId="77777777" w:rsidR="008143D9" w:rsidRPr="00AC3044" w:rsidRDefault="008143D9" w:rsidP="005A428D">
            <w:pPr>
              <w:rPr>
                <w:rFonts w:eastAsia="SimSun"/>
              </w:rPr>
            </w:pPr>
            <w:r w:rsidRPr="00AC3044">
              <w:rPr>
                <w:rFonts w:eastAsia="SimSun"/>
              </w:rPr>
              <w:t>Профилактика РТПХ</w:t>
            </w:r>
          </w:p>
        </w:tc>
        <w:tc>
          <w:tcPr>
            <w:tcW w:w="1701" w:type="dxa"/>
            <w:vAlign w:val="center"/>
          </w:tcPr>
          <w:p w14:paraId="261A69FB" w14:textId="77777777" w:rsidR="008143D9" w:rsidRPr="00AC3044" w:rsidRDefault="008143D9" w:rsidP="005A428D">
            <w:pPr>
              <w:rPr>
                <w:rFonts w:eastAsia="SimSun"/>
              </w:rPr>
            </w:pPr>
            <w:r w:rsidRPr="00AC3044">
              <w:rPr>
                <w:rFonts w:eastAsia="SimSun"/>
              </w:rPr>
              <w:t>Циклофосфамид</w:t>
            </w:r>
          </w:p>
        </w:tc>
        <w:tc>
          <w:tcPr>
            <w:tcW w:w="1559" w:type="dxa"/>
            <w:vAlign w:val="center"/>
          </w:tcPr>
          <w:p w14:paraId="5E609B0C" w14:textId="77777777" w:rsidR="008143D9" w:rsidRPr="00AC3044" w:rsidRDefault="008143D9" w:rsidP="005A428D">
            <w:pPr>
              <w:rPr>
                <w:rFonts w:eastAsia="SimSun"/>
              </w:rPr>
            </w:pPr>
            <w:r w:rsidRPr="00AC3044">
              <w:rPr>
                <w:rFonts w:eastAsia="SimSun"/>
              </w:rPr>
              <w:t>50 мг/кг</w:t>
            </w:r>
          </w:p>
        </w:tc>
        <w:tc>
          <w:tcPr>
            <w:tcW w:w="1418" w:type="dxa"/>
            <w:vAlign w:val="center"/>
          </w:tcPr>
          <w:p w14:paraId="3B290589" w14:textId="77777777" w:rsidR="008143D9" w:rsidRPr="00AC3044" w:rsidRDefault="008143D9" w:rsidP="005A428D">
            <w:pPr>
              <w:rPr>
                <w:rFonts w:eastAsia="SimSun"/>
              </w:rPr>
            </w:pPr>
            <w:r w:rsidRPr="00AC3044">
              <w:rPr>
                <w:rFonts w:eastAsia="SimSun"/>
              </w:rPr>
              <w:t>100 мг/кг</w:t>
            </w:r>
          </w:p>
        </w:tc>
        <w:tc>
          <w:tcPr>
            <w:tcW w:w="1701" w:type="dxa"/>
            <w:vAlign w:val="center"/>
          </w:tcPr>
          <w:p w14:paraId="2FC61B02" w14:textId="77777777" w:rsidR="008143D9" w:rsidRPr="00AC3044" w:rsidRDefault="008143D9" w:rsidP="005A428D">
            <w:pPr>
              <w:rPr>
                <w:rFonts w:eastAsia="SimSun"/>
              </w:rPr>
            </w:pPr>
            <w:r w:rsidRPr="00AC3044">
              <w:rPr>
                <w:rFonts w:eastAsia="SimSun"/>
              </w:rPr>
              <w:t>С +3 дня по +4 день</w:t>
            </w:r>
          </w:p>
        </w:tc>
        <w:tc>
          <w:tcPr>
            <w:tcW w:w="2268" w:type="dxa"/>
            <w:vAlign w:val="center"/>
          </w:tcPr>
          <w:p w14:paraId="5E06E514" w14:textId="77777777" w:rsidR="008143D9" w:rsidRPr="00AC3044" w:rsidRDefault="008143D9" w:rsidP="005A428D">
            <w:pPr>
              <w:rPr>
                <w:rFonts w:eastAsia="SimSun"/>
              </w:rPr>
            </w:pPr>
            <w:r w:rsidRPr="00AC3044">
              <w:rPr>
                <w:rFonts w:eastAsia="SimSun"/>
              </w:rPr>
              <w:t>В/в, в течение 2 часов</w:t>
            </w:r>
          </w:p>
        </w:tc>
      </w:tr>
    </w:tbl>
    <w:p w14:paraId="144368C7" w14:textId="77777777" w:rsidR="008143D9" w:rsidRDefault="008143D9" w:rsidP="008143D9">
      <w:pPr>
        <w:rPr>
          <w:rFonts w:eastAsia="SimSun"/>
        </w:rPr>
      </w:pPr>
      <w:bookmarkStart w:id="172" w:name="_Toc44401213"/>
    </w:p>
    <w:p w14:paraId="791762D2" w14:textId="77777777" w:rsidR="008143D9" w:rsidRPr="00C07B2E" w:rsidRDefault="008143D9" w:rsidP="008143D9">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2.2.13  – Flu180+Bu10 / PT-Cy+Tx+MMF30</w:t>
      </w:r>
      <w:bookmarkEnd w:id="172"/>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8143D9" w:rsidRPr="00AC3044" w14:paraId="15F46BF1" w14:textId="77777777" w:rsidTr="005A428D">
        <w:trPr>
          <w:cantSplit/>
          <w:trHeight w:val="20"/>
          <w:tblHeader/>
        </w:trPr>
        <w:tc>
          <w:tcPr>
            <w:tcW w:w="817" w:type="dxa"/>
            <w:vAlign w:val="center"/>
          </w:tcPr>
          <w:p w14:paraId="11370BE7" w14:textId="77777777" w:rsidR="008143D9" w:rsidRPr="00470D3D" w:rsidRDefault="008143D9" w:rsidP="005A428D">
            <w:pPr>
              <w:rPr>
                <w:rFonts w:eastAsia="SimSun"/>
              </w:rPr>
            </w:pPr>
          </w:p>
        </w:tc>
        <w:tc>
          <w:tcPr>
            <w:tcW w:w="1701" w:type="dxa"/>
            <w:vAlign w:val="center"/>
          </w:tcPr>
          <w:p w14:paraId="07D048E8" w14:textId="77777777" w:rsidR="008143D9" w:rsidRPr="00AC3044" w:rsidRDefault="008143D9" w:rsidP="005A428D">
            <w:pPr>
              <w:rPr>
                <w:rFonts w:eastAsia="SimSun"/>
              </w:rPr>
            </w:pPr>
            <w:r w:rsidRPr="00AC3044">
              <w:rPr>
                <w:rFonts w:eastAsia="SimSun"/>
              </w:rPr>
              <w:t>Препарат</w:t>
            </w:r>
          </w:p>
        </w:tc>
        <w:tc>
          <w:tcPr>
            <w:tcW w:w="1559" w:type="dxa"/>
            <w:vAlign w:val="center"/>
          </w:tcPr>
          <w:p w14:paraId="5C89914B" w14:textId="77777777" w:rsidR="008143D9" w:rsidRPr="00AC3044" w:rsidRDefault="008143D9" w:rsidP="005A428D">
            <w:pPr>
              <w:rPr>
                <w:rFonts w:eastAsia="SimSun"/>
              </w:rPr>
            </w:pPr>
            <w:r w:rsidRPr="00AC3044">
              <w:rPr>
                <w:rFonts w:eastAsia="SimSun"/>
              </w:rPr>
              <w:t>Суточная доза</w:t>
            </w:r>
          </w:p>
        </w:tc>
        <w:tc>
          <w:tcPr>
            <w:tcW w:w="1418" w:type="dxa"/>
            <w:vAlign w:val="center"/>
          </w:tcPr>
          <w:p w14:paraId="2497E01C" w14:textId="77777777" w:rsidR="008143D9" w:rsidRPr="00AC3044" w:rsidRDefault="008143D9" w:rsidP="005A428D">
            <w:pPr>
              <w:rPr>
                <w:rFonts w:eastAsia="SimSun"/>
              </w:rPr>
            </w:pPr>
            <w:r w:rsidRPr="00AC3044">
              <w:rPr>
                <w:rFonts w:eastAsia="SimSun"/>
              </w:rPr>
              <w:t>Курсовая доза</w:t>
            </w:r>
          </w:p>
        </w:tc>
        <w:tc>
          <w:tcPr>
            <w:tcW w:w="1701" w:type="dxa"/>
            <w:vAlign w:val="center"/>
          </w:tcPr>
          <w:p w14:paraId="717D614B" w14:textId="77777777" w:rsidR="008143D9" w:rsidRPr="00AC3044" w:rsidRDefault="008143D9" w:rsidP="005A428D">
            <w:pPr>
              <w:rPr>
                <w:rFonts w:eastAsia="SimSun"/>
              </w:rPr>
            </w:pPr>
            <w:r w:rsidRPr="00AC3044">
              <w:rPr>
                <w:rFonts w:eastAsia="SimSun"/>
              </w:rPr>
              <w:t>Дни введения</w:t>
            </w:r>
          </w:p>
        </w:tc>
        <w:tc>
          <w:tcPr>
            <w:tcW w:w="2268" w:type="dxa"/>
            <w:vAlign w:val="center"/>
          </w:tcPr>
          <w:p w14:paraId="720A7341"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203EEF1C" w14:textId="77777777" w:rsidTr="005A428D">
        <w:trPr>
          <w:cantSplit/>
          <w:trHeight w:val="20"/>
        </w:trPr>
        <w:tc>
          <w:tcPr>
            <w:tcW w:w="817" w:type="dxa"/>
            <w:vMerge w:val="restart"/>
            <w:textDirection w:val="btLr"/>
            <w:vAlign w:val="center"/>
          </w:tcPr>
          <w:p w14:paraId="5CDDC29B" w14:textId="77777777" w:rsidR="008143D9" w:rsidRPr="00AC3044" w:rsidRDefault="008143D9" w:rsidP="005A428D">
            <w:pPr>
              <w:rPr>
                <w:rFonts w:eastAsia="SimSun"/>
              </w:rPr>
            </w:pPr>
            <w:r w:rsidRPr="00AC3044">
              <w:rPr>
                <w:rFonts w:eastAsia="SimSun"/>
              </w:rPr>
              <w:t>Кондиционирование</w:t>
            </w:r>
          </w:p>
        </w:tc>
        <w:tc>
          <w:tcPr>
            <w:tcW w:w="1701" w:type="dxa"/>
            <w:vAlign w:val="center"/>
          </w:tcPr>
          <w:p w14:paraId="427FAE24" w14:textId="77777777" w:rsidR="008143D9" w:rsidRPr="00AC3044" w:rsidRDefault="008143D9" w:rsidP="005A428D">
            <w:pPr>
              <w:rPr>
                <w:rFonts w:eastAsia="SimSun"/>
              </w:rPr>
            </w:pPr>
            <w:r w:rsidRPr="00AC3044">
              <w:rPr>
                <w:rFonts w:eastAsia="SimSun"/>
              </w:rPr>
              <w:t xml:space="preserve">Флударабин </w:t>
            </w:r>
          </w:p>
        </w:tc>
        <w:tc>
          <w:tcPr>
            <w:tcW w:w="1559" w:type="dxa"/>
            <w:vAlign w:val="center"/>
          </w:tcPr>
          <w:p w14:paraId="37488241" w14:textId="77777777" w:rsidR="008143D9" w:rsidRPr="00AC3044" w:rsidRDefault="008143D9" w:rsidP="005A428D">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73B9D605" w14:textId="77777777" w:rsidR="008143D9" w:rsidRPr="00AC3044" w:rsidRDefault="008143D9" w:rsidP="005A428D">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3B5478ED" w14:textId="77777777" w:rsidR="008143D9" w:rsidRPr="00AC3044" w:rsidRDefault="008143D9" w:rsidP="005A428D">
            <w:pPr>
              <w:rPr>
                <w:rFonts w:eastAsia="SimSun"/>
              </w:rPr>
            </w:pPr>
            <w:r w:rsidRPr="00AC3044">
              <w:rPr>
                <w:rFonts w:eastAsia="SimSun"/>
              </w:rPr>
              <w:t>С -7 дня по -2 день</w:t>
            </w:r>
          </w:p>
        </w:tc>
        <w:tc>
          <w:tcPr>
            <w:tcW w:w="2268" w:type="dxa"/>
            <w:vAlign w:val="center"/>
          </w:tcPr>
          <w:p w14:paraId="32AFE05C"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6E246A96" w14:textId="77777777" w:rsidTr="005A428D">
        <w:trPr>
          <w:cantSplit/>
          <w:trHeight w:val="1207"/>
        </w:trPr>
        <w:tc>
          <w:tcPr>
            <w:tcW w:w="817" w:type="dxa"/>
            <w:vMerge/>
            <w:vAlign w:val="center"/>
          </w:tcPr>
          <w:p w14:paraId="2967B5CD" w14:textId="77777777" w:rsidR="008143D9" w:rsidRPr="00AC3044" w:rsidRDefault="008143D9" w:rsidP="005A428D">
            <w:pPr>
              <w:rPr>
                <w:rFonts w:eastAsia="SimSun"/>
              </w:rPr>
            </w:pPr>
          </w:p>
        </w:tc>
        <w:tc>
          <w:tcPr>
            <w:tcW w:w="1701" w:type="dxa"/>
            <w:vAlign w:val="center"/>
          </w:tcPr>
          <w:p w14:paraId="0AB64EE5" w14:textId="77777777" w:rsidR="008143D9" w:rsidRPr="00AC3044" w:rsidRDefault="008143D9" w:rsidP="005A428D">
            <w:pPr>
              <w:rPr>
                <w:rFonts w:eastAsia="SimSun"/>
              </w:rPr>
            </w:pPr>
            <w:r w:rsidRPr="00AC3044">
              <w:rPr>
                <w:rFonts w:eastAsia="SimSun"/>
              </w:rPr>
              <w:t>Бусульфан</w:t>
            </w:r>
          </w:p>
        </w:tc>
        <w:tc>
          <w:tcPr>
            <w:tcW w:w="1559" w:type="dxa"/>
            <w:vAlign w:val="center"/>
          </w:tcPr>
          <w:p w14:paraId="0EFD5D5E" w14:textId="77777777" w:rsidR="008143D9" w:rsidRPr="00AC3044" w:rsidRDefault="008143D9" w:rsidP="005A428D">
            <w:pPr>
              <w:rPr>
                <w:rFonts w:eastAsia="SimSun"/>
              </w:rPr>
            </w:pPr>
            <w:r w:rsidRPr="00AC3044">
              <w:rPr>
                <w:rFonts w:eastAsia="SimSun"/>
              </w:rPr>
              <w:t xml:space="preserve">4 мг/кг </w:t>
            </w:r>
          </w:p>
        </w:tc>
        <w:tc>
          <w:tcPr>
            <w:tcW w:w="1418" w:type="dxa"/>
            <w:vAlign w:val="center"/>
          </w:tcPr>
          <w:p w14:paraId="28F39F24" w14:textId="77777777" w:rsidR="008143D9" w:rsidRPr="00AC3044" w:rsidRDefault="008143D9" w:rsidP="005A428D">
            <w:pPr>
              <w:rPr>
                <w:rFonts w:eastAsia="SimSun"/>
              </w:rPr>
            </w:pPr>
            <w:r w:rsidRPr="00AC3044">
              <w:rPr>
                <w:rFonts w:eastAsia="SimSun"/>
              </w:rPr>
              <w:t xml:space="preserve">10 мг/кг </w:t>
            </w:r>
          </w:p>
        </w:tc>
        <w:tc>
          <w:tcPr>
            <w:tcW w:w="1701" w:type="dxa"/>
            <w:vAlign w:val="center"/>
          </w:tcPr>
          <w:p w14:paraId="252CE034" w14:textId="77777777" w:rsidR="008143D9" w:rsidRPr="00AC3044" w:rsidRDefault="008143D9" w:rsidP="005A428D">
            <w:pPr>
              <w:rPr>
                <w:rFonts w:eastAsia="SimSun"/>
              </w:rPr>
            </w:pPr>
            <w:r w:rsidRPr="00AC3044">
              <w:rPr>
                <w:rFonts w:eastAsia="SimSun"/>
              </w:rPr>
              <w:t>С -5 дня по -3 день</w:t>
            </w:r>
          </w:p>
        </w:tc>
        <w:tc>
          <w:tcPr>
            <w:tcW w:w="2268" w:type="dxa"/>
            <w:vAlign w:val="center"/>
          </w:tcPr>
          <w:p w14:paraId="45A1E03D" w14:textId="77777777" w:rsidR="008143D9" w:rsidRPr="00AC3044" w:rsidRDefault="008143D9" w:rsidP="005A428D">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8143D9" w:rsidRPr="00AC3044" w14:paraId="6F03E45F" w14:textId="77777777" w:rsidTr="005A428D">
        <w:trPr>
          <w:cantSplit/>
          <w:trHeight w:val="368"/>
        </w:trPr>
        <w:tc>
          <w:tcPr>
            <w:tcW w:w="817" w:type="dxa"/>
            <w:vMerge w:val="restart"/>
            <w:textDirection w:val="btLr"/>
            <w:vAlign w:val="center"/>
          </w:tcPr>
          <w:p w14:paraId="0619E1F3" w14:textId="77777777" w:rsidR="008143D9" w:rsidRPr="00AC3044" w:rsidRDefault="008143D9" w:rsidP="005A428D">
            <w:pPr>
              <w:rPr>
                <w:rFonts w:eastAsia="SimSun"/>
              </w:rPr>
            </w:pPr>
            <w:r w:rsidRPr="00AC3044">
              <w:rPr>
                <w:rFonts w:eastAsia="SimSun"/>
              </w:rPr>
              <w:t>Профилактика РТПХ</w:t>
            </w:r>
          </w:p>
        </w:tc>
        <w:tc>
          <w:tcPr>
            <w:tcW w:w="1701" w:type="dxa"/>
            <w:vAlign w:val="center"/>
          </w:tcPr>
          <w:p w14:paraId="29FDD8A8" w14:textId="77777777" w:rsidR="008143D9" w:rsidRPr="00AC3044" w:rsidRDefault="008143D9" w:rsidP="005A428D">
            <w:pPr>
              <w:rPr>
                <w:rFonts w:eastAsia="SimSun"/>
              </w:rPr>
            </w:pPr>
            <w:r w:rsidRPr="00AC3044">
              <w:rPr>
                <w:rFonts w:eastAsia="SimSun"/>
              </w:rPr>
              <w:t>Циклофосфамид</w:t>
            </w:r>
          </w:p>
        </w:tc>
        <w:tc>
          <w:tcPr>
            <w:tcW w:w="1559" w:type="dxa"/>
            <w:vAlign w:val="center"/>
          </w:tcPr>
          <w:p w14:paraId="0A6D7369" w14:textId="77777777" w:rsidR="008143D9" w:rsidRPr="00AC3044" w:rsidRDefault="008143D9" w:rsidP="005A428D">
            <w:pPr>
              <w:rPr>
                <w:rFonts w:eastAsia="SimSun"/>
              </w:rPr>
            </w:pPr>
            <w:r w:rsidRPr="00AC3044">
              <w:rPr>
                <w:rFonts w:eastAsia="SimSun"/>
              </w:rPr>
              <w:t>50 мг/кг</w:t>
            </w:r>
          </w:p>
        </w:tc>
        <w:tc>
          <w:tcPr>
            <w:tcW w:w="1418" w:type="dxa"/>
            <w:vAlign w:val="center"/>
          </w:tcPr>
          <w:p w14:paraId="23F13679" w14:textId="77777777" w:rsidR="008143D9" w:rsidRPr="00AC3044" w:rsidRDefault="008143D9" w:rsidP="005A428D">
            <w:pPr>
              <w:rPr>
                <w:rFonts w:eastAsia="SimSun"/>
              </w:rPr>
            </w:pPr>
            <w:r w:rsidRPr="00AC3044">
              <w:rPr>
                <w:rFonts w:eastAsia="SimSun"/>
              </w:rPr>
              <w:t>100 мг/кг</w:t>
            </w:r>
          </w:p>
        </w:tc>
        <w:tc>
          <w:tcPr>
            <w:tcW w:w="1701" w:type="dxa"/>
            <w:vAlign w:val="center"/>
          </w:tcPr>
          <w:p w14:paraId="77C383B0" w14:textId="77777777" w:rsidR="008143D9" w:rsidRPr="00AC3044" w:rsidRDefault="008143D9" w:rsidP="005A428D">
            <w:pPr>
              <w:rPr>
                <w:rFonts w:eastAsia="SimSun"/>
              </w:rPr>
            </w:pPr>
            <w:r w:rsidRPr="00AC3044">
              <w:rPr>
                <w:rFonts w:eastAsia="SimSun"/>
              </w:rPr>
              <w:t>С +3 дня по +4 день</w:t>
            </w:r>
          </w:p>
        </w:tc>
        <w:tc>
          <w:tcPr>
            <w:tcW w:w="2268" w:type="dxa"/>
            <w:vAlign w:val="center"/>
          </w:tcPr>
          <w:p w14:paraId="229FFEEF" w14:textId="77777777" w:rsidR="008143D9" w:rsidRPr="00AC3044" w:rsidRDefault="008143D9" w:rsidP="005A428D">
            <w:pPr>
              <w:rPr>
                <w:rFonts w:eastAsia="SimSun"/>
              </w:rPr>
            </w:pPr>
            <w:r w:rsidRPr="00AC3044">
              <w:rPr>
                <w:rFonts w:eastAsia="SimSun"/>
              </w:rPr>
              <w:t>В/в, в течение 2 часов</w:t>
            </w:r>
          </w:p>
        </w:tc>
      </w:tr>
      <w:tr w:rsidR="008143D9" w:rsidRPr="00AC3044" w14:paraId="36491FDA" w14:textId="77777777" w:rsidTr="005A428D">
        <w:trPr>
          <w:cantSplit/>
          <w:trHeight w:val="958"/>
        </w:trPr>
        <w:tc>
          <w:tcPr>
            <w:tcW w:w="817" w:type="dxa"/>
            <w:vMerge/>
            <w:textDirection w:val="btLr"/>
            <w:vAlign w:val="center"/>
          </w:tcPr>
          <w:p w14:paraId="035D10A5" w14:textId="77777777" w:rsidR="008143D9" w:rsidRPr="00AC3044" w:rsidRDefault="008143D9" w:rsidP="005A428D">
            <w:pPr>
              <w:rPr>
                <w:rFonts w:eastAsia="SimSun"/>
              </w:rPr>
            </w:pPr>
          </w:p>
        </w:tc>
        <w:tc>
          <w:tcPr>
            <w:tcW w:w="1701" w:type="dxa"/>
            <w:vAlign w:val="center"/>
          </w:tcPr>
          <w:p w14:paraId="24542E6F" w14:textId="77777777" w:rsidR="008143D9" w:rsidRPr="00AC3044" w:rsidRDefault="008143D9" w:rsidP="005A428D">
            <w:pPr>
              <w:rPr>
                <w:rFonts w:eastAsia="SimSun"/>
              </w:rPr>
            </w:pPr>
            <w:r w:rsidRPr="00AC3044">
              <w:rPr>
                <w:rFonts w:eastAsia="SimSun"/>
              </w:rPr>
              <w:t xml:space="preserve">Такролимус </w:t>
            </w:r>
          </w:p>
        </w:tc>
        <w:tc>
          <w:tcPr>
            <w:tcW w:w="1559" w:type="dxa"/>
            <w:vAlign w:val="center"/>
          </w:tcPr>
          <w:p w14:paraId="4C861D68" w14:textId="77777777" w:rsidR="008143D9" w:rsidRPr="00AC3044" w:rsidRDefault="008143D9" w:rsidP="005A428D">
            <w:pPr>
              <w:rPr>
                <w:rFonts w:eastAsia="SimSun"/>
              </w:rPr>
            </w:pPr>
            <w:r w:rsidRPr="00AC3044">
              <w:rPr>
                <w:rFonts w:eastAsia="SimSun"/>
              </w:rPr>
              <w:t>0,03 мг/кг</w:t>
            </w:r>
          </w:p>
        </w:tc>
        <w:tc>
          <w:tcPr>
            <w:tcW w:w="1418" w:type="dxa"/>
            <w:vAlign w:val="center"/>
          </w:tcPr>
          <w:p w14:paraId="50230AC1" w14:textId="77777777" w:rsidR="008143D9" w:rsidRPr="00AC3044" w:rsidRDefault="008143D9" w:rsidP="005A428D">
            <w:pPr>
              <w:rPr>
                <w:rFonts w:eastAsia="SimSun"/>
              </w:rPr>
            </w:pPr>
            <w:r w:rsidRPr="00AC3044">
              <w:rPr>
                <w:rFonts w:eastAsia="SimSun"/>
              </w:rPr>
              <w:t>–</w:t>
            </w:r>
          </w:p>
        </w:tc>
        <w:tc>
          <w:tcPr>
            <w:tcW w:w="1701" w:type="dxa"/>
            <w:vAlign w:val="center"/>
          </w:tcPr>
          <w:p w14:paraId="6B605E22" w14:textId="77777777" w:rsidR="008143D9" w:rsidRPr="00AC3044" w:rsidRDefault="008143D9" w:rsidP="005A428D">
            <w:pPr>
              <w:rPr>
                <w:rFonts w:eastAsia="SimSun"/>
              </w:rPr>
            </w:pPr>
            <w:r w:rsidRPr="00AC3044">
              <w:rPr>
                <w:rFonts w:eastAsia="SimSun"/>
              </w:rPr>
              <w:t xml:space="preserve">С +5 дня длительно </w:t>
            </w:r>
          </w:p>
        </w:tc>
        <w:tc>
          <w:tcPr>
            <w:tcW w:w="2268" w:type="dxa"/>
            <w:vAlign w:val="center"/>
          </w:tcPr>
          <w:p w14:paraId="6B083E40" w14:textId="77777777" w:rsidR="008143D9" w:rsidRPr="00AC3044" w:rsidRDefault="008143D9" w:rsidP="005A428D">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8143D9" w:rsidRPr="00AC3044" w14:paraId="0C5D11D2" w14:textId="77777777" w:rsidTr="005A428D">
        <w:trPr>
          <w:cantSplit/>
          <w:trHeight w:val="446"/>
        </w:trPr>
        <w:tc>
          <w:tcPr>
            <w:tcW w:w="817" w:type="dxa"/>
            <w:vMerge/>
            <w:textDirection w:val="btLr"/>
            <w:vAlign w:val="center"/>
          </w:tcPr>
          <w:p w14:paraId="2E57B8C0" w14:textId="77777777" w:rsidR="008143D9" w:rsidRPr="00AC3044" w:rsidRDefault="008143D9" w:rsidP="005A428D">
            <w:pPr>
              <w:rPr>
                <w:rFonts w:eastAsia="SimSun"/>
              </w:rPr>
            </w:pPr>
          </w:p>
        </w:tc>
        <w:tc>
          <w:tcPr>
            <w:tcW w:w="1701" w:type="dxa"/>
            <w:vAlign w:val="center"/>
          </w:tcPr>
          <w:p w14:paraId="76576D52" w14:textId="77777777" w:rsidR="008143D9" w:rsidRPr="00AC3044" w:rsidRDefault="008143D9" w:rsidP="005A428D">
            <w:pPr>
              <w:rPr>
                <w:rFonts w:eastAsia="SimSun"/>
              </w:rPr>
            </w:pPr>
            <w:r w:rsidRPr="00AC3044">
              <w:rPr>
                <w:rFonts w:eastAsia="SimSun"/>
              </w:rPr>
              <w:t>Микофенолата мофетил</w:t>
            </w:r>
          </w:p>
        </w:tc>
        <w:tc>
          <w:tcPr>
            <w:tcW w:w="1559" w:type="dxa"/>
            <w:vAlign w:val="center"/>
          </w:tcPr>
          <w:p w14:paraId="1309DF3F" w14:textId="77777777" w:rsidR="008143D9" w:rsidRPr="00AC3044" w:rsidRDefault="008143D9" w:rsidP="005A428D">
            <w:pPr>
              <w:rPr>
                <w:rFonts w:eastAsia="SimSun"/>
              </w:rPr>
            </w:pPr>
            <w:r w:rsidRPr="00AC3044">
              <w:rPr>
                <w:rFonts w:eastAsia="SimSun"/>
              </w:rPr>
              <w:t xml:space="preserve">30 мг/кг </w:t>
            </w:r>
          </w:p>
        </w:tc>
        <w:tc>
          <w:tcPr>
            <w:tcW w:w="1418" w:type="dxa"/>
            <w:vAlign w:val="center"/>
          </w:tcPr>
          <w:p w14:paraId="7CC6427C" w14:textId="77777777" w:rsidR="008143D9" w:rsidRPr="00AC3044" w:rsidRDefault="008143D9" w:rsidP="005A428D">
            <w:pPr>
              <w:rPr>
                <w:rFonts w:eastAsia="SimSun"/>
              </w:rPr>
            </w:pPr>
            <w:r w:rsidRPr="00AC3044">
              <w:rPr>
                <w:rFonts w:eastAsia="SimSun"/>
              </w:rPr>
              <w:t>–</w:t>
            </w:r>
          </w:p>
        </w:tc>
        <w:tc>
          <w:tcPr>
            <w:tcW w:w="1701" w:type="dxa"/>
            <w:vAlign w:val="center"/>
          </w:tcPr>
          <w:p w14:paraId="5CF17DA4" w14:textId="77777777" w:rsidR="008143D9" w:rsidRPr="00AC3044" w:rsidRDefault="008143D9" w:rsidP="005A428D">
            <w:pPr>
              <w:rPr>
                <w:rFonts w:eastAsia="SimSun"/>
              </w:rPr>
            </w:pPr>
            <w:r w:rsidRPr="00AC3044">
              <w:rPr>
                <w:rFonts w:eastAsia="SimSun"/>
              </w:rPr>
              <w:t xml:space="preserve">С +5 дня по +35 день </w:t>
            </w:r>
          </w:p>
        </w:tc>
        <w:tc>
          <w:tcPr>
            <w:tcW w:w="2268" w:type="dxa"/>
            <w:vAlign w:val="center"/>
          </w:tcPr>
          <w:p w14:paraId="376DDA50" w14:textId="77777777" w:rsidR="008143D9" w:rsidRPr="00AC3044" w:rsidRDefault="008143D9" w:rsidP="005A428D">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69816833" w14:textId="77777777" w:rsidR="008143D9" w:rsidRDefault="008143D9" w:rsidP="008143D9">
      <w:pPr>
        <w:rPr>
          <w:rFonts w:eastAsia="SimSun"/>
        </w:rPr>
      </w:pPr>
      <w:bookmarkStart w:id="173" w:name="_Toc44401214"/>
    </w:p>
    <w:p w14:paraId="24874E3C" w14:textId="77777777" w:rsidR="008143D9" w:rsidRPr="00C07B2E" w:rsidRDefault="008143D9" w:rsidP="008143D9">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2.2.14  – Flu180+Bu10 / PT-Cy+Ruxo</w:t>
      </w:r>
      <w:bookmarkEnd w:id="173"/>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8143D9" w:rsidRPr="00AC3044" w14:paraId="1D024AE0" w14:textId="77777777" w:rsidTr="005A428D">
        <w:trPr>
          <w:cantSplit/>
          <w:trHeight w:val="20"/>
          <w:tblHeader/>
        </w:trPr>
        <w:tc>
          <w:tcPr>
            <w:tcW w:w="817" w:type="dxa"/>
            <w:vAlign w:val="center"/>
          </w:tcPr>
          <w:p w14:paraId="75D1283D" w14:textId="77777777" w:rsidR="008143D9" w:rsidRPr="00470D3D" w:rsidRDefault="008143D9" w:rsidP="005A428D">
            <w:pPr>
              <w:rPr>
                <w:rFonts w:eastAsia="SimSun"/>
              </w:rPr>
            </w:pPr>
          </w:p>
        </w:tc>
        <w:tc>
          <w:tcPr>
            <w:tcW w:w="1701" w:type="dxa"/>
            <w:vAlign w:val="center"/>
          </w:tcPr>
          <w:p w14:paraId="7401A132" w14:textId="77777777" w:rsidR="008143D9" w:rsidRPr="00AC3044" w:rsidRDefault="008143D9" w:rsidP="005A428D">
            <w:pPr>
              <w:rPr>
                <w:rFonts w:eastAsia="SimSun"/>
              </w:rPr>
            </w:pPr>
            <w:r w:rsidRPr="00AC3044">
              <w:rPr>
                <w:rFonts w:eastAsia="SimSun"/>
              </w:rPr>
              <w:t>Препарат</w:t>
            </w:r>
          </w:p>
        </w:tc>
        <w:tc>
          <w:tcPr>
            <w:tcW w:w="1559" w:type="dxa"/>
            <w:vAlign w:val="center"/>
          </w:tcPr>
          <w:p w14:paraId="7D91F0DF" w14:textId="77777777" w:rsidR="008143D9" w:rsidRPr="00AC3044" w:rsidRDefault="008143D9" w:rsidP="005A428D">
            <w:pPr>
              <w:rPr>
                <w:rFonts w:eastAsia="SimSun"/>
              </w:rPr>
            </w:pPr>
            <w:r w:rsidRPr="00AC3044">
              <w:rPr>
                <w:rFonts w:eastAsia="SimSun"/>
              </w:rPr>
              <w:t>Суточная доза</w:t>
            </w:r>
          </w:p>
        </w:tc>
        <w:tc>
          <w:tcPr>
            <w:tcW w:w="1418" w:type="dxa"/>
            <w:vAlign w:val="center"/>
          </w:tcPr>
          <w:p w14:paraId="62D2A900" w14:textId="77777777" w:rsidR="008143D9" w:rsidRPr="00AC3044" w:rsidRDefault="008143D9" w:rsidP="005A428D">
            <w:pPr>
              <w:rPr>
                <w:rFonts w:eastAsia="SimSun"/>
              </w:rPr>
            </w:pPr>
            <w:r w:rsidRPr="00AC3044">
              <w:rPr>
                <w:rFonts w:eastAsia="SimSun"/>
              </w:rPr>
              <w:t>Курсовая доза</w:t>
            </w:r>
          </w:p>
        </w:tc>
        <w:tc>
          <w:tcPr>
            <w:tcW w:w="1701" w:type="dxa"/>
            <w:vAlign w:val="center"/>
          </w:tcPr>
          <w:p w14:paraId="46AA46EE" w14:textId="77777777" w:rsidR="008143D9" w:rsidRPr="00AC3044" w:rsidRDefault="008143D9" w:rsidP="005A428D">
            <w:pPr>
              <w:rPr>
                <w:rFonts w:eastAsia="SimSun"/>
              </w:rPr>
            </w:pPr>
            <w:r w:rsidRPr="00AC3044">
              <w:rPr>
                <w:rFonts w:eastAsia="SimSun"/>
              </w:rPr>
              <w:t>Дни введения</w:t>
            </w:r>
          </w:p>
        </w:tc>
        <w:tc>
          <w:tcPr>
            <w:tcW w:w="2268" w:type="dxa"/>
            <w:vAlign w:val="center"/>
          </w:tcPr>
          <w:p w14:paraId="0D7001D0"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1F66C65F" w14:textId="77777777" w:rsidTr="005A428D">
        <w:trPr>
          <w:cantSplit/>
          <w:trHeight w:val="20"/>
        </w:trPr>
        <w:tc>
          <w:tcPr>
            <w:tcW w:w="817" w:type="dxa"/>
            <w:vMerge w:val="restart"/>
            <w:textDirection w:val="btLr"/>
            <w:vAlign w:val="center"/>
          </w:tcPr>
          <w:p w14:paraId="7BFF43B2" w14:textId="77777777" w:rsidR="008143D9" w:rsidRPr="00AC3044" w:rsidRDefault="008143D9" w:rsidP="005A428D">
            <w:pPr>
              <w:rPr>
                <w:rFonts w:eastAsia="SimSun"/>
              </w:rPr>
            </w:pPr>
            <w:r w:rsidRPr="00AC3044">
              <w:rPr>
                <w:rFonts w:eastAsia="SimSun"/>
              </w:rPr>
              <w:t>Кондиционирование</w:t>
            </w:r>
          </w:p>
        </w:tc>
        <w:tc>
          <w:tcPr>
            <w:tcW w:w="1701" w:type="dxa"/>
            <w:vAlign w:val="center"/>
          </w:tcPr>
          <w:p w14:paraId="0AD4F915" w14:textId="77777777" w:rsidR="008143D9" w:rsidRPr="00AC3044" w:rsidRDefault="008143D9" w:rsidP="005A428D">
            <w:pPr>
              <w:rPr>
                <w:rFonts w:eastAsia="SimSun"/>
              </w:rPr>
            </w:pPr>
            <w:r w:rsidRPr="00AC3044">
              <w:rPr>
                <w:rFonts w:eastAsia="SimSun"/>
              </w:rPr>
              <w:t xml:space="preserve">Флударабин </w:t>
            </w:r>
          </w:p>
        </w:tc>
        <w:tc>
          <w:tcPr>
            <w:tcW w:w="1559" w:type="dxa"/>
            <w:vAlign w:val="center"/>
          </w:tcPr>
          <w:p w14:paraId="27644005" w14:textId="77777777" w:rsidR="008143D9" w:rsidRPr="00AC3044" w:rsidRDefault="008143D9" w:rsidP="005A428D">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4BF8CBCB" w14:textId="77777777" w:rsidR="008143D9" w:rsidRPr="00AC3044" w:rsidRDefault="008143D9" w:rsidP="005A428D">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22AF0BA1" w14:textId="77777777" w:rsidR="008143D9" w:rsidRPr="00AC3044" w:rsidRDefault="008143D9" w:rsidP="005A428D">
            <w:pPr>
              <w:rPr>
                <w:rFonts w:eastAsia="SimSun"/>
              </w:rPr>
            </w:pPr>
            <w:r w:rsidRPr="00AC3044">
              <w:rPr>
                <w:rFonts w:eastAsia="SimSun"/>
              </w:rPr>
              <w:t>С -7 дня по -2 день</w:t>
            </w:r>
          </w:p>
        </w:tc>
        <w:tc>
          <w:tcPr>
            <w:tcW w:w="2268" w:type="dxa"/>
            <w:vAlign w:val="center"/>
          </w:tcPr>
          <w:p w14:paraId="305DF402"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3BF3B69B" w14:textId="77777777" w:rsidTr="005A428D">
        <w:trPr>
          <w:cantSplit/>
          <w:trHeight w:val="1207"/>
        </w:trPr>
        <w:tc>
          <w:tcPr>
            <w:tcW w:w="817" w:type="dxa"/>
            <w:vMerge/>
            <w:vAlign w:val="center"/>
          </w:tcPr>
          <w:p w14:paraId="44D4F597" w14:textId="77777777" w:rsidR="008143D9" w:rsidRPr="00AC3044" w:rsidRDefault="008143D9" w:rsidP="005A428D">
            <w:pPr>
              <w:rPr>
                <w:rFonts w:eastAsia="SimSun"/>
              </w:rPr>
            </w:pPr>
          </w:p>
        </w:tc>
        <w:tc>
          <w:tcPr>
            <w:tcW w:w="1701" w:type="dxa"/>
            <w:vAlign w:val="center"/>
          </w:tcPr>
          <w:p w14:paraId="38DE7BD8" w14:textId="77777777" w:rsidR="008143D9" w:rsidRPr="00AC3044" w:rsidRDefault="008143D9" w:rsidP="005A428D">
            <w:pPr>
              <w:rPr>
                <w:rFonts w:eastAsia="SimSun"/>
              </w:rPr>
            </w:pPr>
            <w:r w:rsidRPr="00AC3044">
              <w:rPr>
                <w:rFonts w:eastAsia="SimSun"/>
              </w:rPr>
              <w:t>Бусульфан</w:t>
            </w:r>
          </w:p>
        </w:tc>
        <w:tc>
          <w:tcPr>
            <w:tcW w:w="1559" w:type="dxa"/>
            <w:vAlign w:val="center"/>
          </w:tcPr>
          <w:p w14:paraId="4A41ED14" w14:textId="77777777" w:rsidR="008143D9" w:rsidRPr="00AC3044" w:rsidRDefault="008143D9" w:rsidP="005A428D">
            <w:pPr>
              <w:rPr>
                <w:rFonts w:eastAsia="SimSun"/>
              </w:rPr>
            </w:pPr>
            <w:r w:rsidRPr="00AC3044">
              <w:rPr>
                <w:rFonts w:eastAsia="SimSun"/>
              </w:rPr>
              <w:t xml:space="preserve">4 мг/кг </w:t>
            </w:r>
          </w:p>
        </w:tc>
        <w:tc>
          <w:tcPr>
            <w:tcW w:w="1418" w:type="dxa"/>
            <w:vAlign w:val="center"/>
          </w:tcPr>
          <w:p w14:paraId="5E30E969" w14:textId="77777777" w:rsidR="008143D9" w:rsidRPr="00AC3044" w:rsidRDefault="008143D9" w:rsidP="005A428D">
            <w:pPr>
              <w:rPr>
                <w:rFonts w:eastAsia="SimSun"/>
              </w:rPr>
            </w:pPr>
            <w:r w:rsidRPr="00AC3044">
              <w:rPr>
                <w:rFonts w:eastAsia="SimSun"/>
              </w:rPr>
              <w:t xml:space="preserve">10 мг/кг </w:t>
            </w:r>
          </w:p>
        </w:tc>
        <w:tc>
          <w:tcPr>
            <w:tcW w:w="1701" w:type="dxa"/>
            <w:vAlign w:val="center"/>
          </w:tcPr>
          <w:p w14:paraId="1577567C" w14:textId="77777777" w:rsidR="008143D9" w:rsidRPr="00AC3044" w:rsidRDefault="008143D9" w:rsidP="005A428D">
            <w:pPr>
              <w:rPr>
                <w:rFonts w:eastAsia="SimSun"/>
              </w:rPr>
            </w:pPr>
            <w:r w:rsidRPr="00AC3044">
              <w:rPr>
                <w:rFonts w:eastAsia="SimSun"/>
              </w:rPr>
              <w:t>С -5 дня по -3 день</w:t>
            </w:r>
          </w:p>
        </w:tc>
        <w:tc>
          <w:tcPr>
            <w:tcW w:w="2268" w:type="dxa"/>
            <w:vAlign w:val="center"/>
          </w:tcPr>
          <w:p w14:paraId="1E3D97C2" w14:textId="77777777" w:rsidR="008143D9" w:rsidRPr="00AC3044" w:rsidRDefault="008143D9" w:rsidP="005A428D">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8143D9" w:rsidRPr="00AC3044" w14:paraId="3E49E433" w14:textId="77777777" w:rsidTr="005A428D">
        <w:trPr>
          <w:cantSplit/>
          <w:trHeight w:val="716"/>
        </w:trPr>
        <w:tc>
          <w:tcPr>
            <w:tcW w:w="817" w:type="dxa"/>
            <w:vMerge w:val="restart"/>
            <w:textDirection w:val="btLr"/>
            <w:vAlign w:val="center"/>
          </w:tcPr>
          <w:p w14:paraId="0FB13CF1" w14:textId="77777777" w:rsidR="008143D9" w:rsidRPr="00AC3044" w:rsidRDefault="008143D9" w:rsidP="005A428D">
            <w:pPr>
              <w:rPr>
                <w:rFonts w:eastAsia="SimSun"/>
              </w:rPr>
            </w:pPr>
            <w:r w:rsidRPr="00AC3044">
              <w:rPr>
                <w:rFonts w:eastAsia="SimSun"/>
              </w:rPr>
              <w:t>Профилактика РТПХ</w:t>
            </w:r>
          </w:p>
        </w:tc>
        <w:tc>
          <w:tcPr>
            <w:tcW w:w="1701" w:type="dxa"/>
            <w:vAlign w:val="center"/>
          </w:tcPr>
          <w:p w14:paraId="1D7B9ADB" w14:textId="77777777" w:rsidR="008143D9" w:rsidRPr="00AC3044" w:rsidRDefault="008143D9" w:rsidP="005A428D">
            <w:pPr>
              <w:rPr>
                <w:rFonts w:eastAsia="SimSun"/>
              </w:rPr>
            </w:pPr>
            <w:r w:rsidRPr="00AC3044">
              <w:rPr>
                <w:rFonts w:eastAsia="SimSun"/>
              </w:rPr>
              <w:t>Циклофосфамид</w:t>
            </w:r>
          </w:p>
        </w:tc>
        <w:tc>
          <w:tcPr>
            <w:tcW w:w="1559" w:type="dxa"/>
            <w:vAlign w:val="center"/>
          </w:tcPr>
          <w:p w14:paraId="29F08AF8" w14:textId="77777777" w:rsidR="008143D9" w:rsidRPr="00AC3044" w:rsidRDefault="008143D9" w:rsidP="005A428D">
            <w:pPr>
              <w:rPr>
                <w:rFonts w:eastAsia="SimSun"/>
              </w:rPr>
            </w:pPr>
            <w:r w:rsidRPr="00AC3044">
              <w:rPr>
                <w:rFonts w:eastAsia="SimSun"/>
              </w:rPr>
              <w:t>50 мг/кг</w:t>
            </w:r>
          </w:p>
        </w:tc>
        <w:tc>
          <w:tcPr>
            <w:tcW w:w="1418" w:type="dxa"/>
            <w:vAlign w:val="center"/>
          </w:tcPr>
          <w:p w14:paraId="0C10038B" w14:textId="77777777" w:rsidR="008143D9" w:rsidRPr="00AC3044" w:rsidRDefault="008143D9" w:rsidP="005A428D">
            <w:pPr>
              <w:rPr>
                <w:rFonts w:eastAsia="SimSun"/>
              </w:rPr>
            </w:pPr>
            <w:r w:rsidRPr="00AC3044">
              <w:rPr>
                <w:rFonts w:eastAsia="SimSun"/>
              </w:rPr>
              <w:t>100 мг/кг</w:t>
            </w:r>
          </w:p>
        </w:tc>
        <w:tc>
          <w:tcPr>
            <w:tcW w:w="1701" w:type="dxa"/>
            <w:vAlign w:val="center"/>
          </w:tcPr>
          <w:p w14:paraId="5D64AEDB" w14:textId="77777777" w:rsidR="008143D9" w:rsidRPr="00AC3044" w:rsidRDefault="008143D9" w:rsidP="005A428D">
            <w:pPr>
              <w:rPr>
                <w:rFonts w:eastAsia="SimSun"/>
              </w:rPr>
            </w:pPr>
            <w:r w:rsidRPr="00AC3044">
              <w:rPr>
                <w:rFonts w:eastAsia="SimSun"/>
              </w:rPr>
              <w:t>С +3 дня по +4 день</w:t>
            </w:r>
          </w:p>
        </w:tc>
        <w:tc>
          <w:tcPr>
            <w:tcW w:w="2268" w:type="dxa"/>
            <w:vAlign w:val="center"/>
          </w:tcPr>
          <w:p w14:paraId="7A94ECB5" w14:textId="77777777" w:rsidR="008143D9" w:rsidRPr="00AC3044" w:rsidRDefault="008143D9" w:rsidP="005A428D">
            <w:pPr>
              <w:rPr>
                <w:rFonts w:eastAsia="SimSun"/>
              </w:rPr>
            </w:pPr>
            <w:r w:rsidRPr="00AC3044">
              <w:rPr>
                <w:rFonts w:eastAsia="SimSun"/>
              </w:rPr>
              <w:t>В/в, в течение 2 часов</w:t>
            </w:r>
          </w:p>
        </w:tc>
      </w:tr>
      <w:tr w:rsidR="008143D9" w:rsidRPr="00AC3044" w14:paraId="4082A615" w14:textId="77777777" w:rsidTr="005A428D">
        <w:trPr>
          <w:cantSplit/>
          <w:trHeight w:val="574"/>
        </w:trPr>
        <w:tc>
          <w:tcPr>
            <w:tcW w:w="817" w:type="dxa"/>
            <w:vMerge/>
            <w:textDirection w:val="btLr"/>
            <w:vAlign w:val="center"/>
          </w:tcPr>
          <w:p w14:paraId="33C44987" w14:textId="77777777" w:rsidR="008143D9" w:rsidRPr="00AC3044" w:rsidRDefault="008143D9" w:rsidP="005A428D">
            <w:pPr>
              <w:rPr>
                <w:rFonts w:eastAsia="SimSun"/>
              </w:rPr>
            </w:pPr>
          </w:p>
        </w:tc>
        <w:tc>
          <w:tcPr>
            <w:tcW w:w="1701" w:type="dxa"/>
            <w:vAlign w:val="center"/>
          </w:tcPr>
          <w:p w14:paraId="0C458116" w14:textId="77777777" w:rsidR="008143D9" w:rsidRPr="00AC3044" w:rsidRDefault="008143D9" w:rsidP="005A428D">
            <w:pPr>
              <w:rPr>
                <w:rFonts w:eastAsia="SimSun"/>
              </w:rPr>
            </w:pPr>
            <w:r w:rsidRPr="00AC3044">
              <w:rPr>
                <w:rFonts w:eastAsia="SimSun"/>
              </w:rPr>
              <w:t>Руксолитиниб</w:t>
            </w:r>
          </w:p>
        </w:tc>
        <w:tc>
          <w:tcPr>
            <w:tcW w:w="1559" w:type="dxa"/>
            <w:vAlign w:val="center"/>
          </w:tcPr>
          <w:p w14:paraId="6175CF94" w14:textId="77777777" w:rsidR="008143D9" w:rsidRPr="00AC3044" w:rsidRDefault="008143D9" w:rsidP="005A428D">
            <w:pPr>
              <w:rPr>
                <w:rFonts w:eastAsia="SimSun"/>
              </w:rPr>
            </w:pPr>
            <w:r w:rsidRPr="00AC3044">
              <w:rPr>
                <w:rFonts w:eastAsia="SimSun"/>
              </w:rPr>
              <w:t>45 мг</w:t>
            </w:r>
          </w:p>
        </w:tc>
        <w:tc>
          <w:tcPr>
            <w:tcW w:w="1418" w:type="dxa"/>
            <w:vAlign w:val="center"/>
          </w:tcPr>
          <w:p w14:paraId="7FA94F82" w14:textId="77777777" w:rsidR="008143D9" w:rsidRPr="00AC3044" w:rsidRDefault="008143D9" w:rsidP="005A428D">
            <w:pPr>
              <w:rPr>
                <w:rFonts w:eastAsia="SimSun"/>
              </w:rPr>
            </w:pPr>
            <w:r w:rsidRPr="00AC3044">
              <w:rPr>
                <w:rFonts w:eastAsia="SimSun"/>
              </w:rPr>
              <w:t>270 мг</w:t>
            </w:r>
          </w:p>
        </w:tc>
        <w:tc>
          <w:tcPr>
            <w:tcW w:w="1701" w:type="dxa"/>
            <w:vAlign w:val="center"/>
          </w:tcPr>
          <w:p w14:paraId="1D5C19E7" w14:textId="77777777" w:rsidR="008143D9" w:rsidRPr="00AC3044" w:rsidRDefault="008143D9" w:rsidP="005A428D">
            <w:pPr>
              <w:rPr>
                <w:rFonts w:eastAsia="SimSun"/>
              </w:rPr>
            </w:pPr>
            <w:r w:rsidRPr="00AC3044">
              <w:rPr>
                <w:rFonts w:eastAsia="SimSun"/>
              </w:rPr>
              <w:t xml:space="preserve">С -7 дня по -2 день </w:t>
            </w:r>
          </w:p>
        </w:tc>
        <w:tc>
          <w:tcPr>
            <w:tcW w:w="2268" w:type="dxa"/>
            <w:vAlign w:val="center"/>
          </w:tcPr>
          <w:p w14:paraId="715A6724" w14:textId="77777777" w:rsidR="008143D9" w:rsidRPr="00AC3044" w:rsidRDefault="008143D9" w:rsidP="005A428D">
            <w:pPr>
              <w:rPr>
                <w:rFonts w:eastAsia="SimSun"/>
              </w:rPr>
            </w:pPr>
            <w:r w:rsidRPr="00AC3044">
              <w:rPr>
                <w:rFonts w:eastAsia="SimSun"/>
              </w:rPr>
              <w:t xml:space="preserve">Внутрь суточную дозу </w:t>
            </w:r>
          </w:p>
          <w:p w14:paraId="3433C112" w14:textId="77777777" w:rsidR="008143D9" w:rsidRPr="00AC3044" w:rsidRDefault="008143D9" w:rsidP="005A428D">
            <w:pPr>
              <w:rPr>
                <w:rFonts w:eastAsia="SimSun"/>
              </w:rPr>
            </w:pPr>
            <w:r w:rsidRPr="00AC3044">
              <w:rPr>
                <w:rFonts w:eastAsia="SimSun"/>
              </w:rPr>
              <w:t>за 3 приема</w:t>
            </w:r>
          </w:p>
        </w:tc>
      </w:tr>
      <w:tr w:rsidR="008143D9" w:rsidRPr="00AC3044" w14:paraId="7948E63A" w14:textId="77777777" w:rsidTr="005A428D">
        <w:trPr>
          <w:cantSplit/>
          <w:trHeight w:val="498"/>
        </w:trPr>
        <w:tc>
          <w:tcPr>
            <w:tcW w:w="817" w:type="dxa"/>
            <w:vMerge/>
            <w:textDirection w:val="btLr"/>
            <w:vAlign w:val="center"/>
          </w:tcPr>
          <w:p w14:paraId="6F2A4599" w14:textId="77777777" w:rsidR="008143D9" w:rsidRPr="00AC3044" w:rsidRDefault="008143D9" w:rsidP="005A428D">
            <w:pPr>
              <w:rPr>
                <w:rFonts w:eastAsia="SimSun"/>
              </w:rPr>
            </w:pPr>
          </w:p>
        </w:tc>
        <w:tc>
          <w:tcPr>
            <w:tcW w:w="1701" w:type="dxa"/>
            <w:vAlign w:val="center"/>
          </w:tcPr>
          <w:p w14:paraId="43BCF3D8" w14:textId="77777777" w:rsidR="008143D9" w:rsidRPr="00AC3044" w:rsidRDefault="008143D9" w:rsidP="005A428D">
            <w:pPr>
              <w:rPr>
                <w:rFonts w:eastAsia="SimSun"/>
              </w:rPr>
            </w:pPr>
            <w:r w:rsidRPr="00AC3044">
              <w:rPr>
                <w:rFonts w:eastAsia="SimSun"/>
              </w:rPr>
              <w:t xml:space="preserve">Руксолитиниб </w:t>
            </w:r>
          </w:p>
        </w:tc>
        <w:tc>
          <w:tcPr>
            <w:tcW w:w="1559" w:type="dxa"/>
            <w:vAlign w:val="center"/>
          </w:tcPr>
          <w:p w14:paraId="42E389A6" w14:textId="77777777" w:rsidR="008143D9" w:rsidRPr="00AC3044" w:rsidRDefault="008143D9" w:rsidP="005A428D">
            <w:pPr>
              <w:rPr>
                <w:rFonts w:eastAsia="SimSun"/>
              </w:rPr>
            </w:pPr>
            <w:r w:rsidRPr="00AC3044">
              <w:rPr>
                <w:rFonts w:eastAsia="SimSun"/>
              </w:rPr>
              <w:t>15 мг</w:t>
            </w:r>
          </w:p>
        </w:tc>
        <w:tc>
          <w:tcPr>
            <w:tcW w:w="1418" w:type="dxa"/>
            <w:vAlign w:val="center"/>
          </w:tcPr>
          <w:p w14:paraId="2E247987" w14:textId="77777777" w:rsidR="008143D9" w:rsidRPr="00AC3044" w:rsidRDefault="008143D9" w:rsidP="005A428D">
            <w:pPr>
              <w:rPr>
                <w:rFonts w:eastAsia="SimSun"/>
              </w:rPr>
            </w:pPr>
            <w:r w:rsidRPr="00AC3044">
              <w:rPr>
                <w:rFonts w:eastAsia="SimSun"/>
              </w:rPr>
              <w:t>-</w:t>
            </w:r>
          </w:p>
        </w:tc>
        <w:tc>
          <w:tcPr>
            <w:tcW w:w="1701" w:type="dxa"/>
            <w:vAlign w:val="center"/>
          </w:tcPr>
          <w:p w14:paraId="4856E9D0" w14:textId="77777777" w:rsidR="008143D9" w:rsidRPr="00AC3044" w:rsidRDefault="008143D9" w:rsidP="005A428D">
            <w:pPr>
              <w:rPr>
                <w:rFonts w:eastAsia="SimSun"/>
              </w:rPr>
            </w:pPr>
            <w:r w:rsidRPr="00AC3044">
              <w:rPr>
                <w:rFonts w:eastAsia="SimSun"/>
              </w:rPr>
              <w:t>С +5 дня по +100 день</w:t>
            </w:r>
          </w:p>
        </w:tc>
        <w:tc>
          <w:tcPr>
            <w:tcW w:w="2268" w:type="dxa"/>
            <w:vAlign w:val="center"/>
          </w:tcPr>
          <w:p w14:paraId="4954AC20" w14:textId="77777777" w:rsidR="008143D9" w:rsidRPr="00AC3044" w:rsidRDefault="008143D9" w:rsidP="005A428D">
            <w:pPr>
              <w:rPr>
                <w:rFonts w:eastAsia="SimSun"/>
              </w:rPr>
            </w:pPr>
            <w:r w:rsidRPr="00AC3044">
              <w:rPr>
                <w:rFonts w:eastAsia="SimSun"/>
              </w:rPr>
              <w:t xml:space="preserve">Внутрь суточную дозу </w:t>
            </w:r>
          </w:p>
          <w:p w14:paraId="505C201D" w14:textId="77777777" w:rsidR="008143D9" w:rsidRPr="00AC3044" w:rsidRDefault="008143D9" w:rsidP="005A428D">
            <w:pPr>
              <w:rPr>
                <w:rFonts w:eastAsia="SimSun"/>
              </w:rPr>
            </w:pPr>
            <w:r w:rsidRPr="00AC3044">
              <w:rPr>
                <w:rFonts w:eastAsia="SimSun"/>
              </w:rPr>
              <w:t>за 2 приема</w:t>
            </w:r>
          </w:p>
        </w:tc>
      </w:tr>
    </w:tbl>
    <w:p w14:paraId="7CB53C46" w14:textId="77777777" w:rsidR="008143D9" w:rsidRDefault="008143D9" w:rsidP="008143D9">
      <w:pPr>
        <w:rPr>
          <w:rFonts w:eastAsia="SimSun"/>
        </w:rPr>
      </w:pPr>
      <w:bookmarkStart w:id="174" w:name="_Toc44401215"/>
    </w:p>
    <w:p w14:paraId="4FD63759" w14:textId="77777777" w:rsidR="008143D9" w:rsidRPr="00C07B2E" w:rsidRDefault="008143D9" w:rsidP="008143D9">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2.2.15  – Flu90+Benda / PT-Cy+Tx+MMF30</w:t>
      </w:r>
      <w:bookmarkEnd w:id="174"/>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8143D9" w:rsidRPr="00AC3044" w14:paraId="3A64047C" w14:textId="77777777" w:rsidTr="005A428D">
        <w:trPr>
          <w:cantSplit/>
          <w:trHeight w:val="20"/>
          <w:tblHeader/>
        </w:trPr>
        <w:tc>
          <w:tcPr>
            <w:tcW w:w="817" w:type="dxa"/>
            <w:vAlign w:val="center"/>
          </w:tcPr>
          <w:p w14:paraId="68163D27" w14:textId="77777777" w:rsidR="008143D9" w:rsidRPr="00AC3044" w:rsidRDefault="008143D9" w:rsidP="005A428D">
            <w:pPr>
              <w:rPr>
                <w:rFonts w:eastAsia="SimSun"/>
              </w:rPr>
            </w:pPr>
          </w:p>
        </w:tc>
        <w:tc>
          <w:tcPr>
            <w:tcW w:w="1701" w:type="dxa"/>
            <w:vAlign w:val="center"/>
          </w:tcPr>
          <w:p w14:paraId="3834E99E" w14:textId="77777777" w:rsidR="008143D9" w:rsidRPr="00AC3044" w:rsidRDefault="008143D9" w:rsidP="005A428D">
            <w:pPr>
              <w:rPr>
                <w:rFonts w:eastAsia="SimSun"/>
              </w:rPr>
            </w:pPr>
            <w:r w:rsidRPr="00AC3044">
              <w:rPr>
                <w:rFonts w:eastAsia="SimSun"/>
              </w:rPr>
              <w:t>Препарат</w:t>
            </w:r>
          </w:p>
        </w:tc>
        <w:tc>
          <w:tcPr>
            <w:tcW w:w="1559" w:type="dxa"/>
            <w:vAlign w:val="center"/>
          </w:tcPr>
          <w:p w14:paraId="60F3342E" w14:textId="77777777" w:rsidR="008143D9" w:rsidRPr="00AC3044" w:rsidRDefault="008143D9" w:rsidP="005A428D">
            <w:pPr>
              <w:rPr>
                <w:rFonts w:eastAsia="SimSun"/>
              </w:rPr>
            </w:pPr>
            <w:r w:rsidRPr="00AC3044">
              <w:rPr>
                <w:rFonts w:eastAsia="SimSun"/>
              </w:rPr>
              <w:t>Суточная доза</w:t>
            </w:r>
          </w:p>
        </w:tc>
        <w:tc>
          <w:tcPr>
            <w:tcW w:w="1418" w:type="dxa"/>
            <w:vAlign w:val="center"/>
          </w:tcPr>
          <w:p w14:paraId="6D25A41F" w14:textId="77777777" w:rsidR="008143D9" w:rsidRPr="00AC3044" w:rsidRDefault="008143D9" w:rsidP="005A428D">
            <w:pPr>
              <w:rPr>
                <w:rFonts w:eastAsia="SimSun"/>
              </w:rPr>
            </w:pPr>
            <w:r w:rsidRPr="00AC3044">
              <w:rPr>
                <w:rFonts w:eastAsia="SimSun"/>
              </w:rPr>
              <w:t>Курсовая доза</w:t>
            </w:r>
          </w:p>
        </w:tc>
        <w:tc>
          <w:tcPr>
            <w:tcW w:w="1701" w:type="dxa"/>
            <w:vAlign w:val="center"/>
          </w:tcPr>
          <w:p w14:paraId="58162A2D" w14:textId="77777777" w:rsidR="008143D9" w:rsidRPr="00AC3044" w:rsidRDefault="008143D9" w:rsidP="005A428D">
            <w:pPr>
              <w:rPr>
                <w:rFonts w:eastAsia="SimSun"/>
              </w:rPr>
            </w:pPr>
            <w:r w:rsidRPr="00AC3044">
              <w:rPr>
                <w:rFonts w:eastAsia="SimSun"/>
              </w:rPr>
              <w:t>Дни введения</w:t>
            </w:r>
          </w:p>
        </w:tc>
        <w:tc>
          <w:tcPr>
            <w:tcW w:w="2268" w:type="dxa"/>
            <w:vAlign w:val="center"/>
          </w:tcPr>
          <w:p w14:paraId="655CF65C"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78AA0098" w14:textId="77777777" w:rsidTr="005A428D">
        <w:trPr>
          <w:cantSplit/>
          <w:trHeight w:val="20"/>
        </w:trPr>
        <w:tc>
          <w:tcPr>
            <w:tcW w:w="817" w:type="dxa"/>
            <w:vMerge w:val="restart"/>
            <w:textDirection w:val="btLr"/>
            <w:vAlign w:val="center"/>
          </w:tcPr>
          <w:p w14:paraId="2A0CD374" w14:textId="77777777" w:rsidR="008143D9" w:rsidRPr="00AC3044" w:rsidRDefault="008143D9" w:rsidP="005A428D">
            <w:pPr>
              <w:rPr>
                <w:rFonts w:eastAsia="SimSun"/>
              </w:rPr>
            </w:pPr>
            <w:r w:rsidRPr="00AC3044">
              <w:rPr>
                <w:rFonts w:eastAsia="SimSun"/>
              </w:rPr>
              <w:t>Кондиционирование</w:t>
            </w:r>
          </w:p>
        </w:tc>
        <w:tc>
          <w:tcPr>
            <w:tcW w:w="1701" w:type="dxa"/>
            <w:vAlign w:val="center"/>
          </w:tcPr>
          <w:p w14:paraId="4918CAC7" w14:textId="77777777" w:rsidR="008143D9" w:rsidRPr="00AC3044" w:rsidRDefault="008143D9" w:rsidP="005A428D">
            <w:pPr>
              <w:rPr>
                <w:rFonts w:eastAsia="SimSun"/>
              </w:rPr>
            </w:pPr>
            <w:r w:rsidRPr="00AC3044">
              <w:rPr>
                <w:rFonts w:eastAsia="SimSun"/>
              </w:rPr>
              <w:t xml:space="preserve">Флударабин </w:t>
            </w:r>
          </w:p>
        </w:tc>
        <w:tc>
          <w:tcPr>
            <w:tcW w:w="1559" w:type="dxa"/>
            <w:vAlign w:val="center"/>
          </w:tcPr>
          <w:p w14:paraId="572812A0" w14:textId="77777777" w:rsidR="008143D9" w:rsidRPr="00AC3044" w:rsidRDefault="008143D9" w:rsidP="005A428D">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375F7844" w14:textId="77777777" w:rsidR="008143D9" w:rsidRPr="00AC3044" w:rsidRDefault="008143D9" w:rsidP="005A428D">
            <w:pPr>
              <w:rPr>
                <w:rFonts w:eastAsia="SimSun"/>
              </w:rPr>
            </w:pPr>
            <w:r w:rsidRPr="00AC3044">
              <w:rPr>
                <w:rFonts w:eastAsia="SimSun"/>
              </w:rPr>
              <w:t>90 мг/м</w:t>
            </w:r>
            <w:r w:rsidRPr="0074195F">
              <w:rPr>
                <w:rFonts w:eastAsia="SimSun"/>
                <w:vertAlign w:val="superscript"/>
              </w:rPr>
              <w:t>2</w:t>
            </w:r>
          </w:p>
        </w:tc>
        <w:tc>
          <w:tcPr>
            <w:tcW w:w="1701" w:type="dxa"/>
            <w:vAlign w:val="center"/>
          </w:tcPr>
          <w:p w14:paraId="64959102" w14:textId="77777777" w:rsidR="008143D9" w:rsidRPr="00AC3044" w:rsidRDefault="008143D9" w:rsidP="005A428D">
            <w:pPr>
              <w:rPr>
                <w:rFonts w:eastAsia="SimSun"/>
              </w:rPr>
            </w:pPr>
            <w:r w:rsidRPr="00AC3044">
              <w:rPr>
                <w:rFonts w:eastAsia="SimSun"/>
              </w:rPr>
              <w:t>С -4 дня по -2 день</w:t>
            </w:r>
          </w:p>
        </w:tc>
        <w:tc>
          <w:tcPr>
            <w:tcW w:w="2268" w:type="dxa"/>
            <w:vAlign w:val="center"/>
          </w:tcPr>
          <w:p w14:paraId="58E8DE6E"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033ED58D" w14:textId="77777777" w:rsidTr="005A428D">
        <w:trPr>
          <w:cantSplit/>
          <w:trHeight w:val="704"/>
        </w:trPr>
        <w:tc>
          <w:tcPr>
            <w:tcW w:w="817" w:type="dxa"/>
            <w:vMerge/>
            <w:vAlign w:val="center"/>
          </w:tcPr>
          <w:p w14:paraId="2CE5B0DF" w14:textId="77777777" w:rsidR="008143D9" w:rsidRPr="00AC3044" w:rsidRDefault="008143D9" w:rsidP="005A428D">
            <w:pPr>
              <w:rPr>
                <w:rFonts w:eastAsia="SimSun"/>
              </w:rPr>
            </w:pPr>
          </w:p>
        </w:tc>
        <w:tc>
          <w:tcPr>
            <w:tcW w:w="1701" w:type="dxa"/>
            <w:vAlign w:val="center"/>
          </w:tcPr>
          <w:p w14:paraId="02BF12FD" w14:textId="77777777" w:rsidR="008143D9" w:rsidRPr="00AC3044" w:rsidRDefault="008143D9" w:rsidP="005A428D">
            <w:pPr>
              <w:rPr>
                <w:rFonts w:eastAsia="SimSun"/>
              </w:rPr>
            </w:pPr>
            <w:r w:rsidRPr="00AC3044">
              <w:rPr>
                <w:rFonts w:eastAsia="SimSun"/>
              </w:rPr>
              <w:t>Бендамустин</w:t>
            </w:r>
          </w:p>
        </w:tc>
        <w:tc>
          <w:tcPr>
            <w:tcW w:w="1559" w:type="dxa"/>
            <w:vAlign w:val="center"/>
          </w:tcPr>
          <w:p w14:paraId="77481B52" w14:textId="77777777" w:rsidR="008143D9" w:rsidRPr="00AC3044" w:rsidRDefault="008143D9" w:rsidP="005A428D">
            <w:pPr>
              <w:rPr>
                <w:rFonts w:eastAsia="SimSun"/>
              </w:rPr>
            </w:pPr>
            <w:r w:rsidRPr="00AC3044">
              <w:rPr>
                <w:rFonts w:eastAsia="SimSun"/>
              </w:rPr>
              <w:t>130 мг/м</w:t>
            </w:r>
            <w:r w:rsidRPr="0074195F">
              <w:rPr>
                <w:rFonts w:eastAsia="SimSun"/>
                <w:vertAlign w:val="superscript"/>
              </w:rPr>
              <w:t>2</w:t>
            </w:r>
            <w:r w:rsidRPr="00AC3044">
              <w:rPr>
                <w:rFonts w:eastAsia="SimSun"/>
              </w:rPr>
              <w:t xml:space="preserve"> </w:t>
            </w:r>
          </w:p>
        </w:tc>
        <w:tc>
          <w:tcPr>
            <w:tcW w:w="1418" w:type="dxa"/>
            <w:vAlign w:val="center"/>
          </w:tcPr>
          <w:p w14:paraId="244D0776" w14:textId="77777777" w:rsidR="008143D9" w:rsidRPr="00AC3044" w:rsidRDefault="008143D9" w:rsidP="005A428D">
            <w:pPr>
              <w:rPr>
                <w:rFonts w:eastAsia="SimSun"/>
              </w:rPr>
            </w:pPr>
            <w:r w:rsidRPr="00AC3044">
              <w:rPr>
                <w:rFonts w:eastAsia="SimSun"/>
              </w:rPr>
              <w:t>10 мг/м</w:t>
            </w:r>
            <w:r w:rsidRPr="0074195F">
              <w:rPr>
                <w:rFonts w:eastAsia="SimSun"/>
                <w:vertAlign w:val="superscript"/>
              </w:rPr>
              <w:t>2</w:t>
            </w:r>
          </w:p>
        </w:tc>
        <w:tc>
          <w:tcPr>
            <w:tcW w:w="1701" w:type="dxa"/>
            <w:vAlign w:val="center"/>
          </w:tcPr>
          <w:p w14:paraId="3A240F36" w14:textId="77777777" w:rsidR="008143D9" w:rsidRPr="00AC3044" w:rsidRDefault="008143D9" w:rsidP="005A428D">
            <w:pPr>
              <w:rPr>
                <w:rFonts w:eastAsia="SimSun"/>
              </w:rPr>
            </w:pPr>
            <w:r w:rsidRPr="00AC3044">
              <w:rPr>
                <w:rFonts w:eastAsia="SimSun"/>
              </w:rPr>
              <w:t xml:space="preserve">  С -4 дня по -2 день</w:t>
            </w:r>
          </w:p>
        </w:tc>
        <w:tc>
          <w:tcPr>
            <w:tcW w:w="2268" w:type="dxa"/>
            <w:vAlign w:val="center"/>
          </w:tcPr>
          <w:p w14:paraId="14686030" w14:textId="77777777" w:rsidR="008143D9" w:rsidRPr="00AC3044" w:rsidRDefault="008143D9" w:rsidP="005A428D">
            <w:pPr>
              <w:rPr>
                <w:rFonts w:eastAsia="SimSun"/>
              </w:rPr>
            </w:pPr>
            <w:r w:rsidRPr="00AC3044">
              <w:rPr>
                <w:rFonts w:eastAsia="SimSun"/>
              </w:rPr>
              <w:t>В/в, в течение 1 часа</w:t>
            </w:r>
          </w:p>
        </w:tc>
      </w:tr>
      <w:tr w:rsidR="008143D9" w:rsidRPr="00AC3044" w14:paraId="7654C5CF" w14:textId="77777777" w:rsidTr="005A428D">
        <w:trPr>
          <w:cantSplit/>
          <w:trHeight w:val="958"/>
        </w:trPr>
        <w:tc>
          <w:tcPr>
            <w:tcW w:w="817" w:type="dxa"/>
            <w:vMerge w:val="restart"/>
            <w:textDirection w:val="btLr"/>
            <w:vAlign w:val="center"/>
          </w:tcPr>
          <w:p w14:paraId="1C9339F9" w14:textId="77777777" w:rsidR="008143D9" w:rsidRPr="00AC3044" w:rsidRDefault="008143D9" w:rsidP="005A428D">
            <w:pPr>
              <w:rPr>
                <w:rFonts w:eastAsia="SimSun"/>
              </w:rPr>
            </w:pPr>
            <w:r w:rsidRPr="00AC3044">
              <w:rPr>
                <w:rFonts w:eastAsia="SimSun"/>
              </w:rPr>
              <w:t>Профилактика РТПХ</w:t>
            </w:r>
          </w:p>
        </w:tc>
        <w:tc>
          <w:tcPr>
            <w:tcW w:w="1701" w:type="dxa"/>
            <w:vAlign w:val="center"/>
          </w:tcPr>
          <w:p w14:paraId="5723BE54" w14:textId="77777777" w:rsidR="008143D9" w:rsidRPr="00AC3044" w:rsidRDefault="008143D9" w:rsidP="005A428D">
            <w:pPr>
              <w:rPr>
                <w:rFonts w:eastAsia="SimSun"/>
              </w:rPr>
            </w:pPr>
            <w:r w:rsidRPr="00AC3044">
              <w:rPr>
                <w:rFonts w:eastAsia="SimSun"/>
              </w:rPr>
              <w:t xml:space="preserve">Такролимус </w:t>
            </w:r>
          </w:p>
        </w:tc>
        <w:tc>
          <w:tcPr>
            <w:tcW w:w="1559" w:type="dxa"/>
            <w:vAlign w:val="center"/>
          </w:tcPr>
          <w:p w14:paraId="11498831" w14:textId="77777777" w:rsidR="008143D9" w:rsidRPr="00AC3044" w:rsidRDefault="008143D9" w:rsidP="005A428D">
            <w:pPr>
              <w:rPr>
                <w:rFonts w:eastAsia="SimSun"/>
              </w:rPr>
            </w:pPr>
            <w:r w:rsidRPr="00AC3044">
              <w:rPr>
                <w:rFonts w:eastAsia="SimSun"/>
              </w:rPr>
              <w:t>0,03 мг/кг</w:t>
            </w:r>
          </w:p>
        </w:tc>
        <w:tc>
          <w:tcPr>
            <w:tcW w:w="1418" w:type="dxa"/>
            <w:vAlign w:val="center"/>
          </w:tcPr>
          <w:p w14:paraId="4CFA73F3" w14:textId="77777777" w:rsidR="008143D9" w:rsidRPr="00AC3044" w:rsidRDefault="008143D9" w:rsidP="005A428D">
            <w:pPr>
              <w:rPr>
                <w:rFonts w:eastAsia="SimSun"/>
              </w:rPr>
            </w:pPr>
            <w:r w:rsidRPr="00AC3044">
              <w:rPr>
                <w:rFonts w:eastAsia="SimSun"/>
              </w:rPr>
              <w:t>–</w:t>
            </w:r>
          </w:p>
        </w:tc>
        <w:tc>
          <w:tcPr>
            <w:tcW w:w="1701" w:type="dxa"/>
            <w:vAlign w:val="center"/>
          </w:tcPr>
          <w:p w14:paraId="3F3F1B4D" w14:textId="77777777" w:rsidR="008143D9" w:rsidRPr="00AC3044" w:rsidRDefault="008143D9" w:rsidP="005A428D">
            <w:pPr>
              <w:rPr>
                <w:rFonts w:eastAsia="SimSun"/>
              </w:rPr>
            </w:pPr>
            <w:r w:rsidRPr="00AC3044">
              <w:rPr>
                <w:rFonts w:eastAsia="SimSun"/>
              </w:rPr>
              <w:t xml:space="preserve">С +5 дня длительно </w:t>
            </w:r>
          </w:p>
        </w:tc>
        <w:tc>
          <w:tcPr>
            <w:tcW w:w="2268" w:type="dxa"/>
            <w:vAlign w:val="center"/>
          </w:tcPr>
          <w:p w14:paraId="730733A2" w14:textId="77777777" w:rsidR="008143D9" w:rsidRPr="00AC3044" w:rsidRDefault="008143D9" w:rsidP="005A428D">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8143D9" w:rsidRPr="00AC3044" w14:paraId="023A1C14" w14:textId="77777777" w:rsidTr="005A428D">
        <w:trPr>
          <w:cantSplit/>
          <w:trHeight w:val="542"/>
        </w:trPr>
        <w:tc>
          <w:tcPr>
            <w:tcW w:w="817" w:type="dxa"/>
            <w:vMerge/>
            <w:textDirection w:val="btLr"/>
            <w:vAlign w:val="center"/>
          </w:tcPr>
          <w:p w14:paraId="2D358F0F" w14:textId="77777777" w:rsidR="008143D9" w:rsidRPr="00AC3044" w:rsidRDefault="008143D9" w:rsidP="005A428D">
            <w:pPr>
              <w:rPr>
                <w:rFonts w:eastAsia="SimSun"/>
              </w:rPr>
            </w:pPr>
          </w:p>
        </w:tc>
        <w:tc>
          <w:tcPr>
            <w:tcW w:w="1701" w:type="dxa"/>
            <w:vAlign w:val="center"/>
          </w:tcPr>
          <w:p w14:paraId="7ABE0BD6" w14:textId="77777777" w:rsidR="008143D9" w:rsidRPr="00AC3044" w:rsidRDefault="008143D9" w:rsidP="005A428D">
            <w:pPr>
              <w:rPr>
                <w:rFonts w:eastAsia="SimSun"/>
              </w:rPr>
            </w:pPr>
            <w:r w:rsidRPr="00AC3044">
              <w:rPr>
                <w:rFonts w:eastAsia="SimSun"/>
              </w:rPr>
              <w:t>Циклофосфамид</w:t>
            </w:r>
          </w:p>
        </w:tc>
        <w:tc>
          <w:tcPr>
            <w:tcW w:w="1559" w:type="dxa"/>
            <w:vAlign w:val="center"/>
          </w:tcPr>
          <w:p w14:paraId="67D90554" w14:textId="77777777" w:rsidR="008143D9" w:rsidRPr="00AC3044" w:rsidRDefault="008143D9" w:rsidP="005A428D">
            <w:pPr>
              <w:rPr>
                <w:rFonts w:eastAsia="SimSun"/>
              </w:rPr>
            </w:pPr>
            <w:r w:rsidRPr="00AC3044">
              <w:rPr>
                <w:rFonts w:eastAsia="SimSun"/>
              </w:rPr>
              <w:t>50 мг/кг</w:t>
            </w:r>
          </w:p>
        </w:tc>
        <w:tc>
          <w:tcPr>
            <w:tcW w:w="1418" w:type="dxa"/>
            <w:vAlign w:val="center"/>
          </w:tcPr>
          <w:p w14:paraId="0BAE59A3" w14:textId="77777777" w:rsidR="008143D9" w:rsidRPr="00AC3044" w:rsidRDefault="008143D9" w:rsidP="005A428D">
            <w:pPr>
              <w:rPr>
                <w:rFonts w:eastAsia="SimSun"/>
              </w:rPr>
            </w:pPr>
            <w:r w:rsidRPr="00AC3044">
              <w:rPr>
                <w:rFonts w:eastAsia="SimSun"/>
              </w:rPr>
              <w:t>100 мг/кг</w:t>
            </w:r>
          </w:p>
        </w:tc>
        <w:tc>
          <w:tcPr>
            <w:tcW w:w="1701" w:type="dxa"/>
            <w:vAlign w:val="center"/>
          </w:tcPr>
          <w:p w14:paraId="3AB167D4" w14:textId="77777777" w:rsidR="008143D9" w:rsidRPr="00AC3044" w:rsidRDefault="008143D9" w:rsidP="005A428D">
            <w:pPr>
              <w:rPr>
                <w:rFonts w:eastAsia="SimSun"/>
              </w:rPr>
            </w:pPr>
            <w:r w:rsidRPr="00AC3044">
              <w:rPr>
                <w:rFonts w:eastAsia="SimSun"/>
              </w:rPr>
              <w:t xml:space="preserve">В дни +3, +4 </w:t>
            </w:r>
          </w:p>
        </w:tc>
        <w:tc>
          <w:tcPr>
            <w:tcW w:w="2268" w:type="dxa"/>
            <w:vAlign w:val="center"/>
          </w:tcPr>
          <w:p w14:paraId="42E910E6" w14:textId="77777777" w:rsidR="008143D9" w:rsidRPr="00AC3044" w:rsidRDefault="008143D9" w:rsidP="005A428D">
            <w:pPr>
              <w:rPr>
                <w:rFonts w:eastAsia="SimSun"/>
              </w:rPr>
            </w:pPr>
            <w:r w:rsidRPr="00AC3044">
              <w:rPr>
                <w:rFonts w:eastAsia="SimSun"/>
              </w:rPr>
              <w:t>В/в, в течение 2 часов</w:t>
            </w:r>
          </w:p>
        </w:tc>
      </w:tr>
      <w:tr w:rsidR="008143D9" w:rsidRPr="00AC3044" w14:paraId="27FBAD70" w14:textId="77777777" w:rsidTr="005A428D">
        <w:trPr>
          <w:cantSplit/>
          <w:trHeight w:val="550"/>
        </w:trPr>
        <w:tc>
          <w:tcPr>
            <w:tcW w:w="817" w:type="dxa"/>
            <w:vMerge/>
            <w:textDirection w:val="btLr"/>
            <w:vAlign w:val="center"/>
          </w:tcPr>
          <w:p w14:paraId="0A53DA8D" w14:textId="77777777" w:rsidR="008143D9" w:rsidRPr="00AC3044" w:rsidRDefault="008143D9" w:rsidP="005A428D">
            <w:pPr>
              <w:rPr>
                <w:rFonts w:eastAsia="SimSun"/>
              </w:rPr>
            </w:pPr>
          </w:p>
        </w:tc>
        <w:tc>
          <w:tcPr>
            <w:tcW w:w="1701" w:type="dxa"/>
            <w:vAlign w:val="center"/>
          </w:tcPr>
          <w:p w14:paraId="4DF3F7F0" w14:textId="77777777" w:rsidR="008143D9" w:rsidRPr="00AC3044" w:rsidRDefault="008143D9" w:rsidP="005A428D">
            <w:pPr>
              <w:rPr>
                <w:rFonts w:eastAsia="SimSun"/>
              </w:rPr>
            </w:pPr>
            <w:r w:rsidRPr="00AC3044">
              <w:rPr>
                <w:rFonts w:eastAsia="SimSun"/>
              </w:rPr>
              <w:t>Микофенолата мофетил</w:t>
            </w:r>
          </w:p>
        </w:tc>
        <w:tc>
          <w:tcPr>
            <w:tcW w:w="1559" w:type="dxa"/>
            <w:vAlign w:val="center"/>
          </w:tcPr>
          <w:p w14:paraId="237BA32C" w14:textId="77777777" w:rsidR="008143D9" w:rsidRPr="00AC3044" w:rsidRDefault="008143D9" w:rsidP="005A428D">
            <w:pPr>
              <w:rPr>
                <w:rFonts w:eastAsia="SimSun"/>
              </w:rPr>
            </w:pPr>
            <w:r w:rsidRPr="00AC3044">
              <w:rPr>
                <w:rFonts w:eastAsia="SimSun"/>
              </w:rPr>
              <w:t xml:space="preserve">30 мг/кг </w:t>
            </w:r>
          </w:p>
        </w:tc>
        <w:tc>
          <w:tcPr>
            <w:tcW w:w="1418" w:type="dxa"/>
            <w:vAlign w:val="center"/>
          </w:tcPr>
          <w:p w14:paraId="592F963D" w14:textId="77777777" w:rsidR="008143D9" w:rsidRPr="00AC3044" w:rsidRDefault="008143D9" w:rsidP="005A428D">
            <w:pPr>
              <w:rPr>
                <w:rFonts w:eastAsia="SimSun"/>
              </w:rPr>
            </w:pPr>
            <w:r w:rsidRPr="00AC3044">
              <w:rPr>
                <w:rFonts w:eastAsia="SimSun"/>
              </w:rPr>
              <w:t>–</w:t>
            </w:r>
          </w:p>
        </w:tc>
        <w:tc>
          <w:tcPr>
            <w:tcW w:w="1701" w:type="dxa"/>
            <w:vAlign w:val="center"/>
          </w:tcPr>
          <w:p w14:paraId="11A39866" w14:textId="77777777" w:rsidR="008143D9" w:rsidRPr="00AC3044" w:rsidRDefault="008143D9" w:rsidP="005A428D">
            <w:pPr>
              <w:rPr>
                <w:rFonts w:eastAsia="SimSun"/>
              </w:rPr>
            </w:pPr>
            <w:r w:rsidRPr="00AC3044">
              <w:rPr>
                <w:rFonts w:eastAsia="SimSun"/>
              </w:rPr>
              <w:t xml:space="preserve">С +5 дня по +35 день </w:t>
            </w:r>
          </w:p>
        </w:tc>
        <w:tc>
          <w:tcPr>
            <w:tcW w:w="2268" w:type="dxa"/>
            <w:vAlign w:val="center"/>
          </w:tcPr>
          <w:p w14:paraId="4C1A4CA8" w14:textId="77777777" w:rsidR="008143D9" w:rsidRPr="00AC3044" w:rsidRDefault="008143D9" w:rsidP="005A428D">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7D396472" w14:textId="77777777" w:rsidR="008143D9" w:rsidRPr="0074195F" w:rsidRDefault="008143D9" w:rsidP="008143D9">
      <w:pPr>
        <w:rPr>
          <w:rFonts w:eastAsia="SimSun"/>
        </w:rPr>
      </w:pPr>
      <w:bookmarkStart w:id="175" w:name="_Toc44401216"/>
    </w:p>
    <w:p w14:paraId="1DCF638D" w14:textId="77777777" w:rsidR="008143D9" w:rsidRPr="00042499" w:rsidRDefault="008143D9" w:rsidP="008143D9">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2.2.16  – </w:t>
      </w:r>
      <w:r w:rsidRPr="00C07B2E">
        <w:rPr>
          <w:rFonts w:eastAsia="SimSun"/>
        </w:rPr>
        <w:t>Flu</w:t>
      </w:r>
      <w:r w:rsidRPr="00042499">
        <w:rPr>
          <w:rFonts w:eastAsia="SimSun"/>
          <w:lang w:val="en-US"/>
        </w:rPr>
        <w:t>90+</w:t>
      </w:r>
      <w:r w:rsidRPr="00C07B2E">
        <w:rPr>
          <w:rFonts w:eastAsia="SimSun"/>
        </w:rPr>
        <w:t>Benda</w:t>
      </w:r>
      <w:r w:rsidRPr="00042499">
        <w:rPr>
          <w:rFonts w:eastAsia="SimSun"/>
          <w:lang w:val="en-US"/>
        </w:rPr>
        <w:t xml:space="preserve"> / </w:t>
      </w:r>
      <w:r w:rsidRPr="00C07B2E">
        <w:rPr>
          <w:rFonts w:eastAsia="SimSun"/>
        </w:rPr>
        <w:t>PT</w:t>
      </w:r>
      <w:r w:rsidRPr="00042499">
        <w:rPr>
          <w:rFonts w:eastAsia="SimSun"/>
          <w:lang w:val="en-US"/>
        </w:rPr>
        <w:t>-</w:t>
      </w:r>
      <w:r w:rsidRPr="00C07B2E">
        <w:rPr>
          <w:rFonts w:eastAsia="SimSun"/>
        </w:rPr>
        <w:t>Cy</w:t>
      </w:r>
      <w:bookmarkEnd w:id="175"/>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8143D9" w:rsidRPr="00AC3044" w14:paraId="20BF62E8" w14:textId="77777777" w:rsidTr="005A428D">
        <w:trPr>
          <w:cantSplit/>
          <w:trHeight w:val="20"/>
          <w:tblHeader/>
        </w:trPr>
        <w:tc>
          <w:tcPr>
            <w:tcW w:w="817" w:type="dxa"/>
            <w:vAlign w:val="center"/>
          </w:tcPr>
          <w:p w14:paraId="382ACEB2" w14:textId="77777777" w:rsidR="008143D9" w:rsidRPr="00942A16" w:rsidRDefault="008143D9" w:rsidP="005A428D">
            <w:pPr>
              <w:rPr>
                <w:rFonts w:eastAsia="SimSun"/>
                <w:lang w:val="en-US"/>
              </w:rPr>
            </w:pPr>
          </w:p>
        </w:tc>
        <w:tc>
          <w:tcPr>
            <w:tcW w:w="1701" w:type="dxa"/>
            <w:vAlign w:val="center"/>
          </w:tcPr>
          <w:p w14:paraId="5D485E86" w14:textId="77777777" w:rsidR="008143D9" w:rsidRPr="00AC3044" w:rsidRDefault="008143D9" w:rsidP="005A428D">
            <w:pPr>
              <w:rPr>
                <w:rFonts w:eastAsia="SimSun"/>
              </w:rPr>
            </w:pPr>
            <w:r w:rsidRPr="00AC3044">
              <w:rPr>
                <w:rFonts w:eastAsia="SimSun"/>
              </w:rPr>
              <w:t>Препарат</w:t>
            </w:r>
          </w:p>
        </w:tc>
        <w:tc>
          <w:tcPr>
            <w:tcW w:w="1559" w:type="dxa"/>
            <w:vAlign w:val="center"/>
          </w:tcPr>
          <w:p w14:paraId="3C5F2F0B" w14:textId="77777777" w:rsidR="008143D9" w:rsidRPr="00AC3044" w:rsidRDefault="008143D9" w:rsidP="005A428D">
            <w:pPr>
              <w:rPr>
                <w:rFonts w:eastAsia="SimSun"/>
              </w:rPr>
            </w:pPr>
            <w:r w:rsidRPr="00AC3044">
              <w:rPr>
                <w:rFonts w:eastAsia="SimSun"/>
              </w:rPr>
              <w:t>Суточная доза</w:t>
            </w:r>
          </w:p>
        </w:tc>
        <w:tc>
          <w:tcPr>
            <w:tcW w:w="1418" w:type="dxa"/>
            <w:vAlign w:val="center"/>
          </w:tcPr>
          <w:p w14:paraId="2A9C9635" w14:textId="77777777" w:rsidR="008143D9" w:rsidRPr="00AC3044" w:rsidRDefault="008143D9" w:rsidP="005A428D">
            <w:pPr>
              <w:rPr>
                <w:rFonts w:eastAsia="SimSun"/>
              </w:rPr>
            </w:pPr>
            <w:r w:rsidRPr="00AC3044">
              <w:rPr>
                <w:rFonts w:eastAsia="SimSun"/>
              </w:rPr>
              <w:t>Курсовая доза</w:t>
            </w:r>
          </w:p>
        </w:tc>
        <w:tc>
          <w:tcPr>
            <w:tcW w:w="1701" w:type="dxa"/>
            <w:vAlign w:val="center"/>
          </w:tcPr>
          <w:p w14:paraId="543B4798" w14:textId="77777777" w:rsidR="008143D9" w:rsidRPr="00AC3044" w:rsidRDefault="008143D9" w:rsidP="005A428D">
            <w:pPr>
              <w:rPr>
                <w:rFonts w:eastAsia="SimSun"/>
              </w:rPr>
            </w:pPr>
            <w:r w:rsidRPr="00AC3044">
              <w:rPr>
                <w:rFonts w:eastAsia="SimSun"/>
              </w:rPr>
              <w:t>Дни введения</w:t>
            </w:r>
          </w:p>
        </w:tc>
        <w:tc>
          <w:tcPr>
            <w:tcW w:w="2268" w:type="dxa"/>
            <w:vAlign w:val="center"/>
          </w:tcPr>
          <w:p w14:paraId="013671FB"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73674E01" w14:textId="77777777" w:rsidTr="005A428D">
        <w:trPr>
          <w:cantSplit/>
          <w:trHeight w:val="20"/>
        </w:trPr>
        <w:tc>
          <w:tcPr>
            <w:tcW w:w="817" w:type="dxa"/>
            <w:vMerge w:val="restart"/>
            <w:textDirection w:val="btLr"/>
            <w:vAlign w:val="center"/>
          </w:tcPr>
          <w:p w14:paraId="69422503" w14:textId="77777777" w:rsidR="008143D9" w:rsidRPr="00AC3044" w:rsidRDefault="008143D9" w:rsidP="005A428D">
            <w:pPr>
              <w:rPr>
                <w:rFonts w:eastAsia="SimSun"/>
              </w:rPr>
            </w:pPr>
            <w:r w:rsidRPr="00AC3044">
              <w:rPr>
                <w:rFonts w:eastAsia="SimSun"/>
              </w:rPr>
              <w:t>Кондиционирование</w:t>
            </w:r>
          </w:p>
        </w:tc>
        <w:tc>
          <w:tcPr>
            <w:tcW w:w="1701" w:type="dxa"/>
            <w:vAlign w:val="center"/>
          </w:tcPr>
          <w:p w14:paraId="2992DB6A" w14:textId="77777777" w:rsidR="008143D9" w:rsidRPr="00AC3044" w:rsidRDefault="008143D9" w:rsidP="005A428D">
            <w:pPr>
              <w:rPr>
                <w:rFonts w:eastAsia="SimSun"/>
              </w:rPr>
            </w:pPr>
            <w:r w:rsidRPr="00AC3044">
              <w:rPr>
                <w:rFonts w:eastAsia="SimSun"/>
              </w:rPr>
              <w:t xml:space="preserve">Флударабин </w:t>
            </w:r>
          </w:p>
        </w:tc>
        <w:tc>
          <w:tcPr>
            <w:tcW w:w="1559" w:type="dxa"/>
            <w:vAlign w:val="center"/>
          </w:tcPr>
          <w:p w14:paraId="01F84249" w14:textId="77777777" w:rsidR="008143D9" w:rsidRPr="00AC3044" w:rsidRDefault="008143D9" w:rsidP="005A428D">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2C1396A7" w14:textId="77777777" w:rsidR="008143D9" w:rsidRPr="00AC3044" w:rsidRDefault="008143D9" w:rsidP="005A428D">
            <w:pPr>
              <w:rPr>
                <w:rFonts w:eastAsia="SimSun"/>
              </w:rPr>
            </w:pPr>
            <w:r w:rsidRPr="00AC3044">
              <w:rPr>
                <w:rFonts w:eastAsia="SimSun"/>
              </w:rPr>
              <w:t>90 мг/м</w:t>
            </w:r>
            <w:r w:rsidRPr="0074195F">
              <w:rPr>
                <w:rFonts w:eastAsia="SimSun"/>
                <w:vertAlign w:val="superscript"/>
              </w:rPr>
              <w:t>2</w:t>
            </w:r>
          </w:p>
        </w:tc>
        <w:tc>
          <w:tcPr>
            <w:tcW w:w="1701" w:type="dxa"/>
            <w:vAlign w:val="center"/>
          </w:tcPr>
          <w:p w14:paraId="06875DFD" w14:textId="77777777" w:rsidR="008143D9" w:rsidRPr="00AC3044" w:rsidRDefault="008143D9" w:rsidP="005A428D">
            <w:pPr>
              <w:rPr>
                <w:rFonts w:eastAsia="SimSun"/>
              </w:rPr>
            </w:pPr>
            <w:r w:rsidRPr="00AC3044">
              <w:rPr>
                <w:rFonts w:eastAsia="SimSun"/>
              </w:rPr>
              <w:t>С -4 дня по -2 день</w:t>
            </w:r>
          </w:p>
        </w:tc>
        <w:tc>
          <w:tcPr>
            <w:tcW w:w="2268" w:type="dxa"/>
            <w:vAlign w:val="center"/>
          </w:tcPr>
          <w:p w14:paraId="122D6ACF"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646E06E7" w14:textId="77777777" w:rsidTr="005A428D">
        <w:trPr>
          <w:cantSplit/>
          <w:trHeight w:val="1207"/>
        </w:trPr>
        <w:tc>
          <w:tcPr>
            <w:tcW w:w="817" w:type="dxa"/>
            <w:vMerge/>
            <w:vAlign w:val="center"/>
          </w:tcPr>
          <w:p w14:paraId="5D286F27" w14:textId="77777777" w:rsidR="008143D9" w:rsidRPr="00AC3044" w:rsidRDefault="008143D9" w:rsidP="005A428D">
            <w:pPr>
              <w:rPr>
                <w:rFonts w:eastAsia="SimSun"/>
              </w:rPr>
            </w:pPr>
          </w:p>
        </w:tc>
        <w:tc>
          <w:tcPr>
            <w:tcW w:w="1701" w:type="dxa"/>
            <w:vAlign w:val="center"/>
          </w:tcPr>
          <w:p w14:paraId="733D0F7F" w14:textId="77777777" w:rsidR="008143D9" w:rsidRPr="00AC3044" w:rsidRDefault="008143D9" w:rsidP="005A428D">
            <w:pPr>
              <w:rPr>
                <w:rFonts w:eastAsia="SimSun"/>
              </w:rPr>
            </w:pPr>
            <w:r w:rsidRPr="00AC3044">
              <w:rPr>
                <w:rFonts w:eastAsia="SimSun"/>
              </w:rPr>
              <w:t>Бендамустин</w:t>
            </w:r>
          </w:p>
        </w:tc>
        <w:tc>
          <w:tcPr>
            <w:tcW w:w="1559" w:type="dxa"/>
            <w:vAlign w:val="center"/>
          </w:tcPr>
          <w:p w14:paraId="08885D4C" w14:textId="77777777" w:rsidR="008143D9" w:rsidRPr="00AC3044" w:rsidRDefault="008143D9" w:rsidP="005A428D">
            <w:pPr>
              <w:rPr>
                <w:rFonts w:eastAsia="SimSun"/>
              </w:rPr>
            </w:pPr>
            <w:r w:rsidRPr="00AC3044">
              <w:rPr>
                <w:rFonts w:eastAsia="SimSun"/>
              </w:rPr>
              <w:t>130 мг/м</w:t>
            </w:r>
            <w:r w:rsidRPr="0074195F">
              <w:rPr>
                <w:rFonts w:eastAsia="SimSun"/>
                <w:vertAlign w:val="superscript"/>
              </w:rPr>
              <w:t>2</w:t>
            </w:r>
            <w:r w:rsidRPr="00AC3044">
              <w:rPr>
                <w:rFonts w:eastAsia="SimSun"/>
              </w:rPr>
              <w:t xml:space="preserve"> </w:t>
            </w:r>
          </w:p>
        </w:tc>
        <w:tc>
          <w:tcPr>
            <w:tcW w:w="1418" w:type="dxa"/>
            <w:vAlign w:val="center"/>
          </w:tcPr>
          <w:p w14:paraId="726FDE49" w14:textId="77777777" w:rsidR="008143D9" w:rsidRPr="00AC3044" w:rsidRDefault="008143D9" w:rsidP="005A428D">
            <w:pPr>
              <w:rPr>
                <w:rFonts w:eastAsia="SimSun"/>
              </w:rPr>
            </w:pPr>
            <w:r w:rsidRPr="00AC3044">
              <w:rPr>
                <w:rFonts w:eastAsia="SimSun"/>
              </w:rPr>
              <w:t>10 мг/м</w:t>
            </w:r>
            <w:r w:rsidRPr="0074195F">
              <w:rPr>
                <w:rFonts w:eastAsia="SimSun"/>
                <w:vertAlign w:val="superscript"/>
              </w:rPr>
              <w:t>2</w:t>
            </w:r>
          </w:p>
        </w:tc>
        <w:tc>
          <w:tcPr>
            <w:tcW w:w="1701" w:type="dxa"/>
            <w:vAlign w:val="center"/>
          </w:tcPr>
          <w:p w14:paraId="48AF80C5" w14:textId="77777777" w:rsidR="008143D9" w:rsidRPr="00AC3044" w:rsidRDefault="008143D9" w:rsidP="005A428D">
            <w:pPr>
              <w:rPr>
                <w:rFonts w:eastAsia="SimSun"/>
              </w:rPr>
            </w:pPr>
            <w:r w:rsidRPr="00AC3044">
              <w:rPr>
                <w:rFonts w:eastAsia="SimSun"/>
              </w:rPr>
              <w:t xml:space="preserve">  С -4 дня по -2 день</w:t>
            </w:r>
          </w:p>
        </w:tc>
        <w:tc>
          <w:tcPr>
            <w:tcW w:w="2268" w:type="dxa"/>
            <w:vAlign w:val="center"/>
          </w:tcPr>
          <w:p w14:paraId="0FEBCEED" w14:textId="77777777" w:rsidR="008143D9" w:rsidRPr="00AC3044" w:rsidRDefault="008143D9" w:rsidP="005A428D">
            <w:pPr>
              <w:rPr>
                <w:rFonts w:eastAsia="SimSun"/>
              </w:rPr>
            </w:pPr>
            <w:r w:rsidRPr="00AC3044">
              <w:rPr>
                <w:rFonts w:eastAsia="SimSun"/>
              </w:rPr>
              <w:t>В/в, в течение 1 часа</w:t>
            </w:r>
          </w:p>
        </w:tc>
      </w:tr>
      <w:tr w:rsidR="008143D9" w:rsidRPr="00AC3044" w14:paraId="4934894F" w14:textId="77777777" w:rsidTr="005A428D">
        <w:trPr>
          <w:cantSplit/>
          <w:trHeight w:val="958"/>
        </w:trPr>
        <w:tc>
          <w:tcPr>
            <w:tcW w:w="817" w:type="dxa"/>
            <w:textDirection w:val="btLr"/>
            <w:vAlign w:val="center"/>
          </w:tcPr>
          <w:p w14:paraId="6C0BBD95" w14:textId="77777777" w:rsidR="008143D9" w:rsidRPr="00AC3044" w:rsidRDefault="008143D9" w:rsidP="005A428D">
            <w:pPr>
              <w:rPr>
                <w:rFonts w:eastAsia="SimSun"/>
              </w:rPr>
            </w:pPr>
            <w:r w:rsidRPr="00AC3044">
              <w:rPr>
                <w:rFonts w:eastAsia="SimSun"/>
              </w:rPr>
              <w:t>Профилактика РТПХ</w:t>
            </w:r>
          </w:p>
        </w:tc>
        <w:tc>
          <w:tcPr>
            <w:tcW w:w="1701" w:type="dxa"/>
            <w:vAlign w:val="center"/>
          </w:tcPr>
          <w:p w14:paraId="1974EC07" w14:textId="77777777" w:rsidR="008143D9" w:rsidRPr="00AC3044" w:rsidRDefault="008143D9" w:rsidP="005A428D">
            <w:pPr>
              <w:rPr>
                <w:rFonts w:eastAsia="SimSun"/>
              </w:rPr>
            </w:pPr>
            <w:r w:rsidRPr="00AC3044">
              <w:rPr>
                <w:rFonts w:eastAsia="SimSun"/>
              </w:rPr>
              <w:t>Циклофосфамид</w:t>
            </w:r>
          </w:p>
        </w:tc>
        <w:tc>
          <w:tcPr>
            <w:tcW w:w="1559" w:type="dxa"/>
            <w:vAlign w:val="center"/>
          </w:tcPr>
          <w:p w14:paraId="358F756D" w14:textId="77777777" w:rsidR="008143D9" w:rsidRPr="00AC3044" w:rsidRDefault="008143D9" w:rsidP="005A428D">
            <w:pPr>
              <w:rPr>
                <w:rFonts w:eastAsia="SimSun"/>
              </w:rPr>
            </w:pPr>
            <w:r w:rsidRPr="00AC3044">
              <w:rPr>
                <w:rFonts w:eastAsia="SimSun"/>
              </w:rPr>
              <w:t>50 мг/кг</w:t>
            </w:r>
          </w:p>
        </w:tc>
        <w:tc>
          <w:tcPr>
            <w:tcW w:w="1418" w:type="dxa"/>
            <w:vAlign w:val="center"/>
          </w:tcPr>
          <w:p w14:paraId="5B98A8DE" w14:textId="77777777" w:rsidR="008143D9" w:rsidRPr="00AC3044" w:rsidRDefault="008143D9" w:rsidP="005A428D">
            <w:pPr>
              <w:rPr>
                <w:rFonts w:eastAsia="SimSun"/>
              </w:rPr>
            </w:pPr>
            <w:r w:rsidRPr="00AC3044">
              <w:rPr>
                <w:rFonts w:eastAsia="SimSun"/>
              </w:rPr>
              <w:t>100 мг/кг</w:t>
            </w:r>
          </w:p>
        </w:tc>
        <w:tc>
          <w:tcPr>
            <w:tcW w:w="1701" w:type="dxa"/>
            <w:vAlign w:val="center"/>
          </w:tcPr>
          <w:p w14:paraId="0A93376D" w14:textId="77777777" w:rsidR="008143D9" w:rsidRPr="00AC3044" w:rsidRDefault="008143D9" w:rsidP="005A428D">
            <w:pPr>
              <w:rPr>
                <w:rFonts w:eastAsia="SimSun"/>
              </w:rPr>
            </w:pPr>
            <w:r w:rsidRPr="00AC3044">
              <w:rPr>
                <w:rFonts w:eastAsia="SimSun"/>
              </w:rPr>
              <w:t xml:space="preserve">В дни +3, +4 </w:t>
            </w:r>
          </w:p>
        </w:tc>
        <w:tc>
          <w:tcPr>
            <w:tcW w:w="2268" w:type="dxa"/>
            <w:vAlign w:val="center"/>
          </w:tcPr>
          <w:p w14:paraId="4CC1FDDB" w14:textId="77777777" w:rsidR="008143D9" w:rsidRPr="00AC3044" w:rsidRDefault="008143D9" w:rsidP="005A428D">
            <w:pPr>
              <w:rPr>
                <w:rFonts w:eastAsia="SimSun"/>
              </w:rPr>
            </w:pPr>
            <w:r w:rsidRPr="00AC3044">
              <w:rPr>
                <w:rFonts w:eastAsia="SimSun"/>
              </w:rPr>
              <w:t>В/в, в течение 2 часов</w:t>
            </w:r>
          </w:p>
        </w:tc>
      </w:tr>
    </w:tbl>
    <w:p w14:paraId="7F8471DD" w14:textId="77777777" w:rsidR="008143D9" w:rsidRDefault="008143D9" w:rsidP="008143D9">
      <w:pPr>
        <w:rPr>
          <w:rFonts w:eastAsia="SimSun"/>
        </w:rPr>
      </w:pPr>
      <w:bookmarkStart w:id="176" w:name="_Toc44401217"/>
    </w:p>
    <w:p w14:paraId="17112725" w14:textId="77777777" w:rsidR="008143D9" w:rsidRPr="00042499" w:rsidRDefault="008143D9" w:rsidP="008143D9">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2.2.17  – </w:t>
      </w:r>
      <w:r w:rsidRPr="00C07B2E">
        <w:rPr>
          <w:rFonts w:eastAsia="SimSun"/>
        </w:rPr>
        <w:t>Flu</w:t>
      </w:r>
      <w:r w:rsidRPr="00042499">
        <w:rPr>
          <w:rFonts w:eastAsia="SimSun"/>
          <w:lang w:val="en-US"/>
        </w:rPr>
        <w:t>150+</w:t>
      </w:r>
      <w:r w:rsidRPr="00C07B2E">
        <w:rPr>
          <w:rFonts w:eastAsia="SimSun"/>
        </w:rPr>
        <w:t>Thio</w:t>
      </w:r>
      <w:r w:rsidRPr="00042499">
        <w:rPr>
          <w:rFonts w:eastAsia="SimSun"/>
          <w:lang w:val="en-US"/>
        </w:rPr>
        <w:t xml:space="preserve"> / </w:t>
      </w:r>
      <w:r w:rsidRPr="00C07B2E">
        <w:rPr>
          <w:rFonts w:eastAsia="SimSun"/>
        </w:rPr>
        <w:t>hATG</w:t>
      </w:r>
      <w:r w:rsidRPr="00042499">
        <w:rPr>
          <w:rFonts w:eastAsia="SimSun"/>
          <w:lang w:val="en-US"/>
        </w:rPr>
        <w:t>+</w:t>
      </w:r>
      <w:r w:rsidRPr="00C07B2E">
        <w:rPr>
          <w:rFonts w:eastAsia="SimSun"/>
        </w:rPr>
        <w:t>Tx</w:t>
      </w:r>
      <w:r w:rsidRPr="00042499">
        <w:rPr>
          <w:rFonts w:eastAsia="SimSun"/>
          <w:lang w:val="en-US"/>
        </w:rPr>
        <w:t>+</w:t>
      </w:r>
      <w:r w:rsidRPr="00C07B2E">
        <w:rPr>
          <w:rFonts w:eastAsia="SimSun"/>
        </w:rPr>
        <w:t>MMF</w:t>
      </w:r>
      <w:r w:rsidRPr="00042499">
        <w:rPr>
          <w:rFonts w:eastAsia="SimSun"/>
          <w:lang w:val="en-US"/>
        </w:rPr>
        <w:t>30</w:t>
      </w:r>
      <w:bookmarkEnd w:id="176"/>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8143D9" w:rsidRPr="00AC3044" w14:paraId="47CBE446" w14:textId="77777777" w:rsidTr="005A428D">
        <w:trPr>
          <w:cantSplit/>
          <w:trHeight w:val="20"/>
          <w:tblHeader/>
        </w:trPr>
        <w:tc>
          <w:tcPr>
            <w:tcW w:w="817" w:type="dxa"/>
            <w:vAlign w:val="center"/>
          </w:tcPr>
          <w:p w14:paraId="081773A9" w14:textId="77777777" w:rsidR="008143D9" w:rsidRPr="00942A16" w:rsidRDefault="008143D9" w:rsidP="005A428D">
            <w:pPr>
              <w:rPr>
                <w:rFonts w:eastAsia="SimSun"/>
                <w:lang w:val="en-US"/>
              </w:rPr>
            </w:pPr>
          </w:p>
        </w:tc>
        <w:tc>
          <w:tcPr>
            <w:tcW w:w="1701" w:type="dxa"/>
            <w:vAlign w:val="center"/>
          </w:tcPr>
          <w:p w14:paraId="06BCDD3C" w14:textId="77777777" w:rsidR="008143D9" w:rsidRPr="00AC3044" w:rsidRDefault="008143D9" w:rsidP="005A428D">
            <w:pPr>
              <w:rPr>
                <w:rFonts w:eastAsia="SimSun"/>
              </w:rPr>
            </w:pPr>
            <w:r w:rsidRPr="00AC3044">
              <w:rPr>
                <w:rFonts w:eastAsia="SimSun"/>
              </w:rPr>
              <w:t>Препарат</w:t>
            </w:r>
          </w:p>
        </w:tc>
        <w:tc>
          <w:tcPr>
            <w:tcW w:w="1559" w:type="dxa"/>
            <w:vAlign w:val="center"/>
          </w:tcPr>
          <w:p w14:paraId="167FFB2D" w14:textId="77777777" w:rsidR="008143D9" w:rsidRPr="00AC3044" w:rsidRDefault="008143D9" w:rsidP="005A428D">
            <w:pPr>
              <w:rPr>
                <w:rFonts w:eastAsia="SimSun"/>
              </w:rPr>
            </w:pPr>
            <w:r w:rsidRPr="00AC3044">
              <w:rPr>
                <w:rFonts w:eastAsia="SimSun"/>
              </w:rPr>
              <w:t>Суточная доза</w:t>
            </w:r>
          </w:p>
        </w:tc>
        <w:tc>
          <w:tcPr>
            <w:tcW w:w="1418" w:type="dxa"/>
            <w:vAlign w:val="center"/>
          </w:tcPr>
          <w:p w14:paraId="46D39F8D" w14:textId="77777777" w:rsidR="008143D9" w:rsidRPr="00AC3044" w:rsidRDefault="008143D9" w:rsidP="005A428D">
            <w:pPr>
              <w:rPr>
                <w:rFonts w:eastAsia="SimSun"/>
              </w:rPr>
            </w:pPr>
            <w:r w:rsidRPr="00AC3044">
              <w:rPr>
                <w:rFonts w:eastAsia="SimSun"/>
              </w:rPr>
              <w:t>Курсовая доза</w:t>
            </w:r>
          </w:p>
        </w:tc>
        <w:tc>
          <w:tcPr>
            <w:tcW w:w="1701" w:type="dxa"/>
            <w:vAlign w:val="center"/>
          </w:tcPr>
          <w:p w14:paraId="3F9CB286" w14:textId="77777777" w:rsidR="008143D9" w:rsidRPr="00AC3044" w:rsidRDefault="008143D9" w:rsidP="005A428D">
            <w:pPr>
              <w:rPr>
                <w:rFonts w:eastAsia="SimSun"/>
              </w:rPr>
            </w:pPr>
            <w:r w:rsidRPr="00AC3044">
              <w:rPr>
                <w:rFonts w:eastAsia="SimSun"/>
              </w:rPr>
              <w:t>Дни введения</w:t>
            </w:r>
          </w:p>
        </w:tc>
        <w:tc>
          <w:tcPr>
            <w:tcW w:w="2268" w:type="dxa"/>
            <w:vAlign w:val="center"/>
          </w:tcPr>
          <w:p w14:paraId="79799166"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7CE0CA42" w14:textId="77777777" w:rsidTr="005A428D">
        <w:trPr>
          <w:cantSplit/>
          <w:trHeight w:val="20"/>
        </w:trPr>
        <w:tc>
          <w:tcPr>
            <w:tcW w:w="817" w:type="dxa"/>
            <w:vMerge w:val="restart"/>
            <w:textDirection w:val="btLr"/>
            <w:vAlign w:val="center"/>
          </w:tcPr>
          <w:p w14:paraId="740132C2" w14:textId="77777777" w:rsidR="008143D9" w:rsidRPr="00AC3044" w:rsidRDefault="008143D9" w:rsidP="005A428D">
            <w:pPr>
              <w:rPr>
                <w:rFonts w:eastAsia="SimSun"/>
              </w:rPr>
            </w:pPr>
            <w:r w:rsidRPr="00AC3044">
              <w:rPr>
                <w:rFonts w:eastAsia="SimSun"/>
              </w:rPr>
              <w:t>Кондиционирование</w:t>
            </w:r>
          </w:p>
        </w:tc>
        <w:tc>
          <w:tcPr>
            <w:tcW w:w="1701" w:type="dxa"/>
            <w:vAlign w:val="center"/>
          </w:tcPr>
          <w:p w14:paraId="6D053ACE" w14:textId="77777777" w:rsidR="008143D9" w:rsidRPr="00AC3044" w:rsidRDefault="008143D9" w:rsidP="005A428D">
            <w:pPr>
              <w:rPr>
                <w:rFonts w:eastAsia="SimSun"/>
              </w:rPr>
            </w:pPr>
            <w:r w:rsidRPr="00AC3044">
              <w:rPr>
                <w:rFonts w:eastAsia="SimSun"/>
              </w:rPr>
              <w:t xml:space="preserve">Флударабин </w:t>
            </w:r>
          </w:p>
        </w:tc>
        <w:tc>
          <w:tcPr>
            <w:tcW w:w="1559" w:type="dxa"/>
            <w:vAlign w:val="center"/>
          </w:tcPr>
          <w:p w14:paraId="7CADD443" w14:textId="77777777" w:rsidR="008143D9" w:rsidRPr="00AC3044" w:rsidRDefault="008143D9" w:rsidP="005A428D">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33B5100B" w14:textId="77777777" w:rsidR="008143D9" w:rsidRPr="00AC3044" w:rsidRDefault="008143D9" w:rsidP="005A428D">
            <w:pPr>
              <w:rPr>
                <w:rFonts w:eastAsia="SimSun"/>
              </w:rPr>
            </w:pPr>
            <w:r w:rsidRPr="00AC3044">
              <w:rPr>
                <w:rFonts w:eastAsia="SimSun"/>
              </w:rPr>
              <w:t>150 мг/м</w:t>
            </w:r>
            <w:r w:rsidRPr="0074195F">
              <w:rPr>
                <w:rFonts w:eastAsia="SimSun"/>
                <w:vertAlign w:val="superscript"/>
              </w:rPr>
              <w:t>2</w:t>
            </w:r>
          </w:p>
        </w:tc>
        <w:tc>
          <w:tcPr>
            <w:tcW w:w="1701" w:type="dxa"/>
            <w:vAlign w:val="center"/>
          </w:tcPr>
          <w:p w14:paraId="443539A8" w14:textId="77777777" w:rsidR="008143D9" w:rsidRPr="00AC3044" w:rsidRDefault="008143D9" w:rsidP="005A428D">
            <w:pPr>
              <w:rPr>
                <w:rFonts w:eastAsia="SimSun"/>
              </w:rPr>
            </w:pPr>
            <w:r w:rsidRPr="00AC3044">
              <w:rPr>
                <w:rFonts w:eastAsia="SimSun"/>
              </w:rPr>
              <w:t>С -6 дня по -2 день</w:t>
            </w:r>
          </w:p>
        </w:tc>
        <w:tc>
          <w:tcPr>
            <w:tcW w:w="2268" w:type="dxa"/>
            <w:vAlign w:val="center"/>
          </w:tcPr>
          <w:p w14:paraId="48F1BCB2"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221AF373" w14:textId="77777777" w:rsidTr="005A428D">
        <w:trPr>
          <w:cantSplit/>
          <w:trHeight w:val="510"/>
        </w:trPr>
        <w:tc>
          <w:tcPr>
            <w:tcW w:w="817" w:type="dxa"/>
            <w:vMerge/>
            <w:vAlign w:val="center"/>
          </w:tcPr>
          <w:p w14:paraId="56BC3EC3" w14:textId="77777777" w:rsidR="008143D9" w:rsidRPr="00AC3044" w:rsidRDefault="008143D9" w:rsidP="005A428D">
            <w:pPr>
              <w:rPr>
                <w:rFonts w:eastAsia="SimSun"/>
              </w:rPr>
            </w:pPr>
          </w:p>
        </w:tc>
        <w:tc>
          <w:tcPr>
            <w:tcW w:w="1701" w:type="dxa"/>
            <w:vAlign w:val="center"/>
          </w:tcPr>
          <w:p w14:paraId="0EC09130" w14:textId="77777777" w:rsidR="008143D9" w:rsidRPr="00AC3044" w:rsidRDefault="008143D9" w:rsidP="005A428D">
            <w:pPr>
              <w:rPr>
                <w:rFonts w:eastAsia="SimSun"/>
              </w:rPr>
            </w:pPr>
            <w:r w:rsidRPr="00AC3044">
              <w:rPr>
                <w:rFonts w:eastAsia="SimSun"/>
              </w:rPr>
              <w:t>Тиотепа</w:t>
            </w:r>
          </w:p>
        </w:tc>
        <w:tc>
          <w:tcPr>
            <w:tcW w:w="1559" w:type="dxa"/>
            <w:vAlign w:val="center"/>
          </w:tcPr>
          <w:p w14:paraId="0C8EA9D2" w14:textId="77777777" w:rsidR="008143D9" w:rsidRPr="00AC3044" w:rsidRDefault="008143D9" w:rsidP="005A428D">
            <w:pPr>
              <w:rPr>
                <w:rFonts w:eastAsia="SimSun"/>
              </w:rPr>
            </w:pPr>
            <w:r w:rsidRPr="00AC3044">
              <w:rPr>
                <w:rFonts w:eastAsia="SimSun"/>
              </w:rPr>
              <w:t>5 мг/м</w:t>
            </w:r>
            <w:r w:rsidRPr="0074195F">
              <w:rPr>
                <w:rFonts w:eastAsia="SimSun"/>
                <w:vertAlign w:val="superscript"/>
              </w:rPr>
              <w:t>2</w:t>
            </w:r>
            <w:r w:rsidRPr="00AC3044">
              <w:rPr>
                <w:rFonts w:eastAsia="SimSun"/>
              </w:rPr>
              <w:t xml:space="preserve"> </w:t>
            </w:r>
          </w:p>
        </w:tc>
        <w:tc>
          <w:tcPr>
            <w:tcW w:w="1418" w:type="dxa"/>
            <w:vAlign w:val="center"/>
          </w:tcPr>
          <w:p w14:paraId="5815866C" w14:textId="77777777" w:rsidR="008143D9" w:rsidRPr="00AC3044" w:rsidRDefault="008143D9" w:rsidP="005A428D">
            <w:pPr>
              <w:rPr>
                <w:rFonts w:eastAsia="SimSun"/>
              </w:rPr>
            </w:pPr>
            <w:r w:rsidRPr="00AC3044">
              <w:rPr>
                <w:rFonts w:eastAsia="SimSun"/>
              </w:rPr>
              <w:t>10 мг/м</w:t>
            </w:r>
            <w:r w:rsidRPr="0074195F">
              <w:rPr>
                <w:rFonts w:eastAsia="SimSun"/>
                <w:vertAlign w:val="superscript"/>
              </w:rPr>
              <w:t>2</w:t>
            </w:r>
          </w:p>
        </w:tc>
        <w:tc>
          <w:tcPr>
            <w:tcW w:w="1701" w:type="dxa"/>
            <w:vAlign w:val="center"/>
          </w:tcPr>
          <w:p w14:paraId="4CD2D2B9" w14:textId="77777777" w:rsidR="008143D9" w:rsidRPr="00AC3044" w:rsidRDefault="008143D9" w:rsidP="005A428D">
            <w:pPr>
              <w:rPr>
                <w:rFonts w:eastAsia="SimSun"/>
              </w:rPr>
            </w:pPr>
            <w:r w:rsidRPr="00AC3044">
              <w:rPr>
                <w:rFonts w:eastAsia="SimSun"/>
              </w:rPr>
              <w:t xml:space="preserve"> Дни -5; -4  </w:t>
            </w:r>
          </w:p>
        </w:tc>
        <w:tc>
          <w:tcPr>
            <w:tcW w:w="2268" w:type="dxa"/>
            <w:vAlign w:val="center"/>
          </w:tcPr>
          <w:p w14:paraId="4EEAD5DA" w14:textId="77777777" w:rsidR="008143D9" w:rsidRPr="00AC3044" w:rsidRDefault="008143D9" w:rsidP="005A428D">
            <w:pPr>
              <w:rPr>
                <w:rFonts w:eastAsia="SimSun"/>
              </w:rPr>
            </w:pPr>
            <w:r w:rsidRPr="00AC3044">
              <w:rPr>
                <w:rFonts w:eastAsia="SimSun"/>
              </w:rPr>
              <w:t>В/в, в течение 2 часов</w:t>
            </w:r>
          </w:p>
        </w:tc>
      </w:tr>
      <w:tr w:rsidR="008143D9" w:rsidRPr="00AC3044" w14:paraId="6497BC61" w14:textId="77777777" w:rsidTr="005A428D">
        <w:trPr>
          <w:cantSplit/>
          <w:trHeight w:val="712"/>
        </w:trPr>
        <w:tc>
          <w:tcPr>
            <w:tcW w:w="817" w:type="dxa"/>
            <w:vMerge w:val="restart"/>
            <w:textDirection w:val="btLr"/>
            <w:vAlign w:val="center"/>
          </w:tcPr>
          <w:p w14:paraId="7EFA41CA" w14:textId="77777777" w:rsidR="008143D9" w:rsidRPr="00AC3044" w:rsidRDefault="008143D9" w:rsidP="005A428D">
            <w:pPr>
              <w:rPr>
                <w:rFonts w:eastAsia="SimSun"/>
              </w:rPr>
            </w:pPr>
            <w:r w:rsidRPr="00AC3044">
              <w:rPr>
                <w:rFonts w:eastAsia="SimSun"/>
              </w:rPr>
              <w:t>Профилактика РТПХ</w:t>
            </w:r>
          </w:p>
        </w:tc>
        <w:tc>
          <w:tcPr>
            <w:tcW w:w="1701" w:type="dxa"/>
            <w:vAlign w:val="center"/>
          </w:tcPr>
          <w:p w14:paraId="61BAD95E" w14:textId="77777777" w:rsidR="008143D9" w:rsidRPr="00AC3044" w:rsidRDefault="008143D9" w:rsidP="005A428D">
            <w:pPr>
              <w:rPr>
                <w:rFonts w:eastAsia="SimSun"/>
              </w:rPr>
            </w:pPr>
            <w:r w:rsidRPr="00AC3044">
              <w:rPr>
                <w:rFonts w:eastAsia="SimSun"/>
              </w:rPr>
              <w:t>АТГ (лошадиный)</w:t>
            </w:r>
          </w:p>
        </w:tc>
        <w:tc>
          <w:tcPr>
            <w:tcW w:w="1559" w:type="dxa"/>
            <w:vAlign w:val="center"/>
          </w:tcPr>
          <w:p w14:paraId="5831D612" w14:textId="77777777" w:rsidR="008143D9" w:rsidRPr="00AC3044" w:rsidRDefault="008143D9" w:rsidP="005A428D">
            <w:pPr>
              <w:rPr>
                <w:rFonts w:eastAsia="SimSun"/>
              </w:rPr>
            </w:pPr>
            <w:r w:rsidRPr="00AC3044">
              <w:rPr>
                <w:rFonts w:eastAsia="SimSun"/>
              </w:rPr>
              <w:t>20 мг/кг</w:t>
            </w:r>
          </w:p>
        </w:tc>
        <w:tc>
          <w:tcPr>
            <w:tcW w:w="1418" w:type="dxa"/>
            <w:vAlign w:val="center"/>
          </w:tcPr>
          <w:p w14:paraId="0AEE5219" w14:textId="77777777" w:rsidR="008143D9" w:rsidRPr="00AC3044" w:rsidRDefault="008143D9" w:rsidP="005A428D">
            <w:pPr>
              <w:rPr>
                <w:rFonts w:eastAsia="SimSun"/>
              </w:rPr>
            </w:pPr>
            <w:r w:rsidRPr="00AC3044">
              <w:rPr>
                <w:rFonts w:eastAsia="SimSun"/>
              </w:rPr>
              <w:t>60 мг/кг</w:t>
            </w:r>
          </w:p>
        </w:tc>
        <w:tc>
          <w:tcPr>
            <w:tcW w:w="1701" w:type="dxa"/>
            <w:vAlign w:val="center"/>
          </w:tcPr>
          <w:p w14:paraId="73D04F96" w14:textId="77777777" w:rsidR="008143D9" w:rsidRPr="00AC3044" w:rsidRDefault="008143D9" w:rsidP="005A428D">
            <w:pPr>
              <w:rPr>
                <w:rFonts w:eastAsia="SimSun"/>
              </w:rPr>
            </w:pPr>
            <w:r w:rsidRPr="00AC3044">
              <w:rPr>
                <w:rFonts w:eastAsia="SimSun"/>
              </w:rPr>
              <w:t>В дни -3, -2, -1</w:t>
            </w:r>
          </w:p>
        </w:tc>
        <w:tc>
          <w:tcPr>
            <w:tcW w:w="2268" w:type="dxa"/>
            <w:vAlign w:val="center"/>
          </w:tcPr>
          <w:p w14:paraId="198A2AC6" w14:textId="77777777" w:rsidR="008143D9" w:rsidRPr="00AC3044" w:rsidRDefault="008143D9" w:rsidP="005A428D">
            <w:pPr>
              <w:rPr>
                <w:rFonts w:eastAsia="SimSun"/>
              </w:rPr>
            </w:pPr>
            <w:r w:rsidRPr="00AC3044">
              <w:rPr>
                <w:rFonts w:eastAsia="SimSun"/>
              </w:rPr>
              <w:t xml:space="preserve"> В/в. Суточная доза разделяется на 2 введения (см. «Инфузия АТГ»)</w:t>
            </w:r>
          </w:p>
        </w:tc>
      </w:tr>
      <w:tr w:rsidR="008143D9" w:rsidRPr="00AC3044" w14:paraId="4F3AAF41" w14:textId="77777777" w:rsidTr="005A428D">
        <w:trPr>
          <w:cantSplit/>
          <w:trHeight w:val="958"/>
        </w:trPr>
        <w:tc>
          <w:tcPr>
            <w:tcW w:w="817" w:type="dxa"/>
            <w:vMerge/>
            <w:textDirection w:val="btLr"/>
            <w:vAlign w:val="center"/>
          </w:tcPr>
          <w:p w14:paraId="2C22B5E6" w14:textId="77777777" w:rsidR="008143D9" w:rsidRPr="00AC3044" w:rsidRDefault="008143D9" w:rsidP="005A428D">
            <w:pPr>
              <w:rPr>
                <w:rFonts w:eastAsia="SimSun"/>
              </w:rPr>
            </w:pPr>
          </w:p>
        </w:tc>
        <w:tc>
          <w:tcPr>
            <w:tcW w:w="1701" w:type="dxa"/>
            <w:vAlign w:val="center"/>
          </w:tcPr>
          <w:p w14:paraId="4AA8F82B" w14:textId="77777777" w:rsidR="008143D9" w:rsidRPr="00AC3044" w:rsidRDefault="008143D9" w:rsidP="005A428D">
            <w:pPr>
              <w:rPr>
                <w:rFonts w:eastAsia="SimSun"/>
              </w:rPr>
            </w:pPr>
            <w:r w:rsidRPr="00AC3044">
              <w:rPr>
                <w:rFonts w:eastAsia="SimSun"/>
              </w:rPr>
              <w:t xml:space="preserve">Такролимус </w:t>
            </w:r>
          </w:p>
        </w:tc>
        <w:tc>
          <w:tcPr>
            <w:tcW w:w="1559" w:type="dxa"/>
            <w:vAlign w:val="center"/>
          </w:tcPr>
          <w:p w14:paraId="4F456BA0" w14:textId="77777777" w:rsidR="008143D9" w:rsidRPr="00AC3044" w:rsidRDefault="008143D9" w:rsidP="005A428D">
            <w:pPr>
              <w:rPr>
                <w:rFonts w:eastAsia="SimSun"/>
              </w:rPr>
            </w:pPr>
            <w:r w:rsidRPr="00AC3044">
              <w:rPr>
                <w:rFonts w:eastAsia="SimSun"/>
              </w:rPr>
              <w:t>0,03 мг/кг</w:t>
            </w:r>
          </w:p>
        </w:tc>
        <w:tc>
          <w:tcPr>
            <w:tcW w:w="1418" w:type="dxa"/>
            <w:vAlign w:val="center"/>
          </w:tcPr>
          <w:p w14:paraId="353EC972" w14:textId="77777777" w:rsidR="008143D9" w:rsidRPr="00AC3044" w:rsidRDefault="008143D9" w:rsidP="005A428D">
            <w:pPr>
              <w:rPr>
                <w:rFonts w:eastAsia="SimSun"/>
              </w:rPr>
            </w:pPr>
            <w:r w:rsidRPr="00AC3044">
              <w:rPr>
                <w:rFonts w:eastAsia="SimSun"/>
              </w:rPr>
              <w:t>–</w:t>
            </w:r>
          </w:p>
        </w:tc>
        <w:tc>
          <w:tcPr>
            <w:tcW w:w="1701" w:type="dxa"/>
            <w:vAlign w:val="center"/>
          </w:tcPr>
          <w:p w14:paraId="44C2D89B" w14:textId="77777777" w:rsidR="008143D9" w:rsidRPr="00AC3044" w:rsidRDefault="008143D9" w:rsidP="005A428D">
            <w:pPr>
              <w:rPr>
                <w:rFonts w:eastAsia="SimSun"/>
              </w:rPr>
            </w:pPr>
            <w:r w:rsidRPr="00AC3044">
              <w:rPr>
                <w:rFonts w:eastAsia="SimSun"/>
              </w:rPr>
              <w:t xml:space="preserve">С -1 дня длительно </w:t>
            </w:r>
          </w:p>
        </w:tc>
        <w:tc>
          <w:tcPr>
            <w:tcW w:w="2268" w:type="dxa"/>
            <w:vAlign w:val="center"/>
          </w:tcPr>
          <w:p w14:paraId="01FC8303" w14:textId="77777777" w:rsidR="008143D9" w:rsidRPr="00AC3044" w:rsidRDefault="008143D9" w:rsidP="005A428D">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8143D9" w:rsidRPr="00AC3044" w14:paraId="4DB1B157" w14:textId="77777777" w:rsidTr="005A428D">
        <w:trPr>
          <w:cantSplit/>
          <w:trHeight w:val="362"/>
        </w:trPr>
        <w:tc>
          <w:tcPr>
            <w:tcW w:w="817" w:type="dxa"/>
            <w:vMerge/>
            <w:textDirection w:val="btLr"/>
            <w:vAlign w:val="center"/>
          </w:tcPr>
          <w:p w14:paraId="19622E0E" w14:textId="77777777" w:rsidR="008143D9" w:rsidRPr="00AC3044" w:rsidRDefault="008143D9" w:rsidP="005A428D">
            <w:pPr>
              <w:rPr>
                <w:rFonts w:eastAsia="SimSun"/>
              </w:rPr>
            </w:pPr>
          </w:p>
        </w:tc>
        <w:tc>
          <w:tcPr>
            <w:tcW w:w="1701" w:type="dxa"/>
            <w:vAlign w:val="center"/>
          </w:tcPr>
          <w:p w14:paraId="668D869B" w14:textId="77777777" w:rsidR="008143D9" w:rsidRPr="00AC3044" w:rsidRDefault="008143D9" w:rsidP="005A428D">
            <w:pPr>
              <w:rPr>
                <w:rFonts w:eastAsia="SimSun"/>
              </w:rPr>
            </w:pPr>
            <w:r w:rsidRPr="00AC3044">
              <w:rPr>
                <w:rFonts w:eastAsia="SimSun"/>
              </w:rPr>
              <w:t>Микофенолата мофетил</w:t>
            </w:r>
          </w:p>
        </w:tc>
        <w:tc>
          <w:tcPr>
            <w:tcW w:w="1559" w:type="dxa"/>
            <w:vAlign w:val="center"/>
          </w:tcPr>
          <w:p w14:paraId="5E71D900" w14:textId="77777777" w:rsidR="008143D9" w:rsidRPr="00AC3044" w:rsidRDefault="008143D9" w:rsidP="005A428D">
            <w:pPr>
              <w:rPr>
                <w:rFonts w:eastAsia="SimSun"/>
              </w:rPr>
            </w:pPr>
            <w:r w:rsidRPr="00AC3044">
              <w:rPr>
                <w:rFonts w:eastAsia="SimSun"/>
              </w:rPr>
              <w:t xml:space="preserve">30 мг/кг </w:t>
            </w:r>
          </w:p>
        </w:tc>
        <w:tc>
          <w:tcPr>
            <w:tcW w:w="1418" w:type="dxa"/>
            <w:vAlign w:val="center"/>
          </w:tcPr>
          <w:p w14:paraId="509EB608" w14:textId="77777777" w:rsidR="008143D9" w:rsidRPr="00AC3044" w:rsidRDefault="008143D9" w:rsidP="005A428D">
            <w:pPr>
              <w:rPr>
                <w:rFonts w:eastAsia="SimSun"/>
              </w:rPr>
            </w:pPr>
            <w:r w:rsidRPr="00AC3044">
              <w:rPr>
                <w:rFonts w:eastAsia="SimSun"/>
              </w:rPr>
              <w:t>–</w:t>
            </w:r>
          </w:p>
        </w:tc>
        <w:tc>
          <w:tcPr>
            <w:tcW w:w="1701" w:type="dxa"/>
            <w:vAlign w:val="center"/>
          </w:tcPr>
          <w:p w14:paraId="73BA335C" w14:textId="77777777" w:rsidR="008143D9" w:rsidRPr="00AC3044" w:rsidRDefault="008143D9" w:rsidP="005A428D">
            <w:pPr>
              <w:rPr>
                <w:rFonts w:eastAsia="SimSun"/>
              </w:rPr>
            </w:pPr>
            <w:r w:rsidRPr="00AC3044">
              <w:rPr>
                <w:rFonts w:eastAsia="SimSun"/>
              </w:rPr>
              <w:t xml:space="preserve">С -1 дня по +30 день </w:t>
            </w:r>
          </w:p>
        </w:tc>
        <w:tc>
          <w:tcPr>
            <w:tcW w:w="2268" w:type="dxa"/>
            <w:vAlign w:val="center"/>
          </w:tcPr>
          <w:p w14:paraId="49514430" w14:textId="77777777" w:rsidR="008143D9" w:rsidRPr="00AC3044" w:rsidRDefault="008143D9" w:rsidP="005A428D">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34ED3085" w14:textId="77777777" w:rsidR="008143D9" w:rsidRDefault="008143D9" w:rsidP="008143D9">
      <w:pPr>
        <w:rPr>
          <w:rFonts w:eastAsia="SimSun"/>
        </w:rPr>
      </w:pPr>
      <w:bookmarkStart w:id="177" w:name="_Toc44401218"/>
    </w:p>
    <w:p w14:paraId="0A6B36F6" w14:textId="77777777" w:rsidR="008143D9" w:rsidRPr="00C07B2E" w:rsidRDefault="008143D9" w:rsidP="008143D9">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2.2.18  – Flu180+Treo36 / PT-Cy+CSA+MMF30</w:t>
      </w:r>
      <w:bookmarkEnd w:id="177"/>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701"/>
        <w:gridCol w:w="1559"/>
        <w:gridCol w:w="1418"/>
        <w:gridCol w:w="1701"/>
        <w:gridCol w:w="2268"/>
      </w:tblGrid>
      <w:tr w:rsidR="008143D9" w:rsidRPr="00AC3044" w14:paraId="161551EC" w14:textId="77777777" w:rsidTr="005A428D">
        <w:trPr>
          <w:cantSplit/>
          <w:trHeight w:val="20"/>
          <w:tblHeader/>
        </w:trPr>
        <w:tc>
          <w:tcPr>
            <w:tcW w:w="709" w:type="dxa"/>
          </w:tcPr>
          <w:p w14:paraId="4E282A46" w14:textId="77777777" w:rsidR="008143D9" w:rsidRPr="00470D3D" w:rsidRDefault="008143D9" w:rsidP="005A428D">
            <w:pPr>
              <w:rPr>
                <w:rFonts w:eastAsia="SimSun"/>
              </w:rPr>
            </w:pPr>
          </w:p>
        </w:tc>
        <w:tc>
          <w:tcPr>
            <w:tcW w:w="1701" w:type="dxa"/>
            <w:vAlign w:val="center"/>
          </w:tcPr>
          <w:p w14:paraId="75EA8E07" w14:textId="77777777" w:rsidR="008143D9" w:rsidRPr="00AC3044" w:rsidRDefault="008143D9" w:rsidP="005A428D">
            <w:pPr>
              <w:rPr>
                <w:rFonts w:eastAsia="SimSun"/>
              </w:rPr>
            </w:pPr>
            <w:r w:rsidRPr="00AC3044">
              <w:rPr>
                <w:rFonts w:eastAsia="SimSun"/>
              </w:rPr>
              <w:t>Препарат</w:t>
            </w:r>
          </w:p>
        </w:tc>
        <w:tc>
          <w:tcPr>
            <w:tcW w:w="1559" w:type="dxa"/>
            <w:vAlign w:val="center"/>
          </w:tcPr>
          <w:p w14:paraId="42579123" w14:textId="77777777" w:rsidR="008143D9" w:rsidRPr="00AC3044" w:rsidRDefault="008143D9" w:rsidP="005A428D">
            <w:pPr>
              <w:rPr>
                <w:rFonts w:eastAsia="SimSun"/>
              </w:rPr>
            </w:pPr>
            <w:r w:rsidRPr="00AC3044">
              <w:rPr>
                <w:rFonts w:eastAsia="SimSun"/>
              </w:rPr>
              <w:t>Суточная доза</w:t>
            </w:r>
          </w:p>
        </w:tc>
        <w:tc>
          <w:tcPr>
            <w:tcW w:w="1418" w:type="dxa"/>
            <w:vAlign w:val="center"/>
          </w:tcPr>
          <w:p w14:paraId="3467C973" w14:textId="77777777" w:rsidR="008143D9" w:rsidRPr="00AC3044" w:rsidRDefault="008143D9" w:rsidP="005A428D">
            <w:pPr>
              <w:rPr>
                <w:rFonts w:eastAsia="SimSun"/>
              </w:rPr>
            </w:pPr>
            <w:r w:rsidRPr="00AC3044">
              <w:rPr>
                <w:rFonts w:eastAsia="SimSun"/>
              </w:rPr>
              <w:t>Курсовая доза</w:t>
            </w:r>
          </w:p>
        </w:tc>
        <w:tc>
          <w:tcPr>
            <w:tcW w:w="1701" w:type="dxa"/>
            <w:vAlign w:val="center"/>
          </w:tcPr>
          <w:p w14:paraId="0CA82389" w14:textId="77777777" w:rsidR="008143D9" w:rsidRPr="00AC3044" w:rsidRDefault="008143D9" w:rsidP="005A428D">
            <w:pPr>
              <w:rPr>
                <w:rFonts w:eastAsia="SimSun"/>
              </w:rPr>
            </w:pPr>
            <w:r w:rsidRPr="00AC3044">
              <w:rPr>
                <w:rFonts w:eastAsia="SimSun"/>
              </w:rPr>
              <w:t>Дни введения</w:t>
            </w:r>
          </w:p>
        </w:tc>
        <w:tc>
          <w:tcPr>
            <w:tcW w:w="2268" w:type="dxa"/>
            <w:vAlign w:val="center"/>
          </w:tcPr>
          <w:p w14:paraId="296801AF"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207A1045" w14:textId="77777777" w:rsidTr="005A428D">
        <w:trPr>
          <w:cantSplit/>
          <w:trHeight w:val="20"/>
        </w:trPr>
        <w:tc>
          <w:tcPr>
            <w:tcW w:w="709" w:type="dxa"/>
            <w:vMerge w:val="restart"/>
            <w:textDirection w:val="btLr"/>
            <w:vAlign w:val="center"/>
          </w:tcPr>
          <w:p w14:paraId="4AF478D1" w14:textId="77777777" w:rsidR="008143D9" w:rsidRPr="00AC3044" w:rsidRDefault="008143D9" w:rsidP="005A428D">
            <w:pPr>
              <w:rPr>
                <w:rFonts w:eastAsia="SimSun"/>
              </w:rPr>
            </w:pPr>
            <w:r w:rsidRPr="00AC3044">
              <w:rPr>
                <w:rFonts w:eastAsia="SimSun"/>
              </w:rPr>
              <w:t>Кондиционирование</w:t>
            </w:r>
          </w:p>
        </w:tc>
        <w:tc>
          <w:tcPr>
            <w:tcW w:w="1701" w:type="dxa"/>
            <w:vAlign w:val="center"/>
          </w:tcPr>
          <w:p w14:paraId="1FCBB89A" w14:textId="77777777" w:rsidR="008143D9" w:rsidRPr="00AC3044" w:rsidRDefault="008143D9" w:rsidP="005A428D">
            <w:pPr>
              <w:rPr>
                <w:rFonts w:eastAsia="SimSun"/>
              </w:rPr>
            </w:pPr>
            <w:r w:rsidRPr="00AC3044">
              <w:rPr>
                <w:rFonts w:eastAsia="SimSun"/>
              </w:rPr>
              <w:t xml:space="preserve">Флударабин </w:t>
            </w:r>
          </w:p>
        </w:tc>
        <w:tc>
          <w:tcPr>
            <w:tcW w:w="1559" w:type="dxa"/>
            <w:vAlign w:val="center"/>
          </w:tcPr>
          <w:p w14:paraId="6575BB24" w14:textId="77777777" w:rsidR="008143D9" w:rsidRPr="00AC3044" w:rsidRDefault="008143D9" w:rsidP="005A428D">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7099540E" w14:textId="77777777" w:rsidR="008143D9" w:rsidRPr="00AC3044" w:rsidRDefault="008143D9" w:rsidP="005A428D">
            <w:pPr>
              <w:rPr>
                <w:rFonts w:eastAsia="SimSun"/>
              </w:rPr>
            </w:pPr>
            <w:r w:rsidRPr="00AC3044">
              <w:rPr>
                <w:rFonts w:eastAsia="SimSun"/>
              </w:rPr>
              <w:t>150 мг/м</w:t>
            </w:r>
            <w:r w:rsidRPr="0074195F">
              <w:rPr>
                <w:rFonts w:eastAsia="SimSun"/>
                <w:vertAlign w:val="superscript"/>
              </w:rPr>
              <w:t>2</w:t>
            </w:r>
          </w:p>
        </w:tc>
        <w:tc>
          <w:tcPr>
            <w:tcW w:w="1701" w:type="dxa"/>
            <w:vAlign w:val="center"/>
          </w:tcPr>
          <w:p w14:paraId="453A8037" w14:textId="77777777" w:rsidR="008143D9" w:rsidRPr="00AC3044" w:rsidRDefault="008143D9" w:rsidP="005A428D">
            <w:pPr>
              <w:rPr>
                <w:rFonts w:eastAsia="SimSun"/>
              </w:rPr>
            </w:pPr>
            <w:r w:rsidRPr="00AC3044">
              <w:rPr>
                <w:rFonts w:eastAsia="SimSun"/>
              </w:rPr>
              <w:t>С –6 по –2 день</w:t>
            </w:r>
          </w:p>
        </w:tc>
        <w:tc>
          <w:tcPr>
            <w:tcW w:w="2268" w:type="dxa"/>
            <w:vAlign w:val="center"/>
          </w:tcPr>
          <w:p w14:paraId="7055A3CE"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357FEB20" w14:textId="77777777" w:rsidTr="005A428D">
        <w:trPr>
          <w:cantSplit/>
          <w:trHeight w:val="899"/>
        </w:trPr>
        <w:tc>
          <w:tcPr>
            <w:tcW w:w="709" w:type="dxa"/>
            <w:vMerge/>
            <w:textDirection w:val="btLr"/>
            <w:vAlign w:val="center"/>
          </w:tcPr>
          <w:p w14:paraId="05CEF96B" w14:textId="77777777" w:rsidR="008143D9" w:rsidRPr="00AC3044" w:rsidRDefault="008143D9" w:rsidP="005A428D">
            <w:pPr>
              <w:rPr>
                <w:rFonts w:eastAsia="SimSun"/>
              </w:rPr>
            </w:pPr>
          </w:p>
        </w:tc>
        <w:tc>
          <w:tcPr>
            <w:tcW w:w="1701" w:type="dxa"/>
            <w:vAlign w:val="center"/>
          </w:tcPr>
          <w:p w14:paraId="704322E2" w14:textId="77777777" w:rsidR="008143D9" w:rsidRPr="00AC3044" w:rsidRDefault="008143D9" w:rsidP="005A428D">
            <w:pPr>
              <w:rPr>
                <w:rFonts w:eastAsia="SimSun"/>
              </w:rPr>
            </w:pPr>
            <w:r w:rsidRPr="00AC3044">
              <w:rPr>
                <w:rFonts w:eastAsia="SimSun"/>
              </w:rPr>
              <w:t>Треосульфан</w:t>
            </w:r>
          </w:p>
        </w:tc>
        <w:tc>
          <w:tcPr>
            <w:tcW w:w="1559" w:type="dxa"/>
            <w:vAlign w:val="center"/>
          </w:tcPr>
          <w:p w14:paraId="5A9E2DF6" w14:textId="77777777" w:rsidR="008143D9" w:rsidRPr="00AC3044" w:rsidRDefault="008143D9" w:rsidP="005A428D">
            <w:pPr>
              <w:rPr>
                <w:rFonts w:eastAsia="SimSun"/>
              </w:rPr>
            </w:pPr>
            <w:r w:rsidRPr="00AC3044">
              <w:rPr>
                <w:rFonts w:eastAsia="SimSun"/>
              </w:rPr>
              <w:t>12 г/м</w:t>
            </w:r>
            <w:r w:rsidRPr="0074195F">
              <w:rPr>
                <w:rFonts w:eastAsia="SimSun"/>
                <w:vertAlign w:val="superscript"/>
              </w:rPr>
              <w:t>2</w:t>
            </w:r>
          </w:p>
        </w:tc>
        <w:tc>
          <w:tcPr>
            <w:tcW w:w="1418" w:type="dxa"/>
            <w:vAlign w:val="center"/>
          </w:tcPr>
          <w:p w14:paraId="01562BEF" w14:textId="77777777" w:rsidR="008143D9" w:rsidRPr="00AC3044" w:rsidRDefault="008143D9" w:rsidP="005A428D">
            <w:pPr>
              <w:rPr>
                <w:rFonts w:eastAsia="SimSun"/>
              </w:rPr>
            </w:pPr>
            <w:r w:rsidRPr="00AC3044">
              <w:rPr>
                <w:rFonts w:eastAsia="SimSun"/>
              </w:rPr>
              <w:t>36 г/м</w:t>
            </w:r>
            <w:r w:rsidRPr="0074195F">
              <w:rPr>
                <w:rFonts w:eastAsia="SimSun"/>
                <w:vertAlign w:val="superscript"/>
              </w:rPr>
              <w:t>2</w:t>
            </w:r>
          </w:p>
        </w:tc>
        <w:tc>
          <w:tcPr>
            <w:tcW w:w="1701" w:type="dxa"/>
            <w:vAlign w:val="center"/>
          </w:tcPr>
          <w:p w14:paraId="61E02313" w14:textId="77777777" w:rsidR="008143D9" w:rsidRPr="00AC3044" w:rsidRDefault="008143D9" w:rsidP="005A428D">
            <w:pPr>
              <w:rPr>
                <w:rFonts w:eastAsia="SimSun"/>
              </w:rPr>
            </w:pPr>
            <w:r w:rsidRPr="00AC3044">
              <w:rPr>
                <w:rFonts w:eastAsia="SimSun"/>
              </w:rPr>
              <w:t>С –6 по –4 день</w:t>
            </w:r>
          </w:p>
        </w:tc>
        <w:tc>
          <w:tcPr>
            <w:tcW w:w="2268" w:type="dxa"/>
            <w:vAlign w:val="center"/>
          </w:tcPr>
          <w:p w14:paraId="6EAE7308" w14:textId="77777777" w:rsidR="008143D9" w:rsidRPr="00AC3044" w:rsidRDefault="008143D9" w:rsidP="005A428D">
            <w:pPr>
              <w:rPr>
                <w:rFonts w:eastAsia="SimSun"/>
              </w:rPr>
            </w:pPr>
            <w:r w:rsidRPr="00AC3044">
              <w:rPr>
                <w:rFonts w:eastAsia="SimSun"/>
              </w:rPr>
              <w:t>В/в, в течение 2 часов</w:t>
            </w:r>
          </w:p>
        </w:tc>
      </w:tr>
      <w:tr w:rsidR="008143D9" w:rsidRPr="00AC3044" w14:paraId="1C73FD64" w14:textId="77777777" w:rsidTr="005A428D">
        <w:trPr>
          <w:cantSplit/>
          <w:trHeight w:val="1394"/>
        </w:trPr>
        <w:tc>
          <w:tcPr>
            <w:tcW w:w="709" w:type="dxa"/>
            <w:vMerge w:val="restart"/>
            <w:textDirection w:val="btLr"/>
            <w:vAlign w:val="center"/>
          </w:tcPr>
          <w:p w14:paraId="076BEFCA" w14:textId="77777777" w:rsidR="008143D9" w:rsidRPr="00AC3044" w:rsidRDefault="008143D9" w:rsidP="005A428D">
            <w:pPr>
              <w:rPr>
                <w:rFonts w:eastAsia="SimSun"/>
              </w:rPr>
            </w:pPr>
            <w:r w:rsidRPr="00AC3044">
              <w:rPr>
                <w:rFonts w:eastAsia="SimSun"/>
              </w:rPr>
              <w:t>Профилактика РТПХ</w:t>
            </w:r>
          </w:p>
        </w:tc>
        <w:tc>
          <w:tcPr>
            <w:tcW w:w="1701" w:type="dxa"/>
            <w:vAlign w:val="center"/>
          </w:tcPr>
          <w:p w14:paraId="52DABE98" w14:textId="77777777" w:rsidR="008143D9" w:rsidRPr="00AC3044" w:rsidRDefault="008143D9" w:rsidP="005A428D">
            <w:pPr>
              <w:rPr>
                <w:rFonts w:eastAsia="SimSun"/>
              </w:rPr>
            </w:pPr>
            <w:r w:rsidRPr="00AC3044">
              <w:rPr>
                <w:rFonts w:eastAsia="SimSun"/>
              </w:rPr>
              <w:t>Циклоспорин</w:t>
            </w:r>
          </w:p>
        </w:tc>
        <w:tc>
          <w:tcPr>
            <w:tcW w:w="1559" w:type="dxa"/>
            <w:vAlign w:val="center"/>
          </w:tcPr>
          <w:p w14:paraId="2CCEBF7C" w14:textId="77777777" w:rsidR="008143D9" w:rsidRPr="00AC3044" w:rsidRDefault="008143D9" w:rsidP="005A428D">
            <w:pPr>
              <w:rPr>
                <w:rFonts w:eastAsia="SimSun"/>
              </w:rPr>
            </w:pPr>
            <w:r w:rsidRPr="00AC3044">
              <w:rPr>
                <w:rFonts w:eastAsia="SimSun"/>
              </w:rPr>
              <w:t>3 мг/кг</w:t>
            </w:r>
          </w:p>
        </w:tc>
        <w:tc>
          <w:tcPr>
            <w:tcW w:w="1418" w:type="dxa"/>
            <w:vAlign w:val="center"/>
          </w:tcPr>
          <w:p w14:paraId="1294D1F7" w14:textId="77777777" w:rsidR="008143D9" w:rsidRPr="00AC3044" w:rsidRDefault="008143D9" w:rsidP="005A428D">
            <w:pPr>
              <w:rPr>
                <w:rFonts w:eastAsia="SimSun"/>
              </w:rPr>
            </w:pPr>
            <w:r w:rsidRPr="00AC3044">
              <w:rPr>
                <w:rFonts w:eastAsia="SimSun"/>
              </w:rPr>
              <w:t>–</w:t>
            </w:r>
          </w:p>
        </w:tc>
        <w:tc>
          <w:tcPr>
            <w:tcW w:w="1701" w:type="dxa"/>
            <w:vAlign w:val="center"/>
          </w:tcPr>
          <w:p w14:paraId="7247A301" w14:textId="77777777" w:rsidR="008143D9" w:rsidRPr="00AC3044" w:rsidRDefault="008143D9" w:rsidP="005A428D">
            <w:pPr>
              <w:rPr>
                <w:rFonts w:eastAsia="SimSun"/>
              </w:rPr>
            </w:pPr>
            <w:r w:rsidRPr="00AC3044">
              <w:rPr>
                <w:rFonts w:eastAsia="SimSun"/>
              </w:rPr>
              <w:t>С +5 дня по +90 день затем постепенное снижение к +180 дню</w:t>
            </w:r>
          </w:p>
        </w:tc>
        <w:tc>
          <w:tcPr>
            <w:tcW w:w="2268" w:type="dxa"/>
            <w:vAlign w:val="center"/>
          </w:tcPr>
          <w:p w14:paraId="414558FF" w14:textId="77777777" w:rsidR="008143D9" w:rsidRPr="00AC3044" w:rsidRDefault="008143D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74195F">
              <w:rPr>
                <w:rFonts w:eastAsia="SimSun"/>
              </w:rPr>
              <w:t>/</w:t>
            </w:r>
            <w:r w:rsidRPr="00AC3044">
              <w:rPr>
                <w:rFonts w:eastAsia="SimSun"/>
              </w:rPr>
              <w:t>л, при отсутствии тошноты, рвоты, диареи и возможности приема внутрь. Концентрация 150-350 нг/мл</w:t>
            </w:r>
          </w:p>
        </w:tc>
      </w:tr>
      <w:tr w:rsidR="008143D9" w:rsidRPr="00AC3044" w14:paraId="60084C89" w14:textId="77777777" w:rsidTr="005A428D">
        <w:trPr>
          <w:cantSplit/>
          <w:trHeight w:val="20"/>
        </w:trPr>
        <w:tc>
          <w:tcPr>
            <w:tcW w:w="709" w:type="dxa"/>
            <w:vMerge/>
            <w:textDirection w:val="btLr"/>
          </w:tcPr>
          <w:p w14:paraId="28CC9522" w14:textId="77777777" w:rsidR="008143D9" w:rsidRPr="00AC3044" w:rsidRDefault="008143D9" w:rsidP="005A428D">
            <w:pPr>
              <w:rPr>
                <w:rFonts w:eastAsia="SimSun"/>
              </w:rPr>
            </w:pPr>
          </w:p>
        </w:tc>
        <w:tc>
          <w:tcPr>
            <w:tcW w:w="1701" w:type="dxa"/>
            <w:vAlign w:val="center"/>
          </w:tcPr>
          <w:p w14:paraId="4B820ED8" w14:textId="77777777" w:rsidR="008143D9" w:rsidRPr="00AC3044" w:rsidRDefault="008143D9" w:rsidP="005A428D">
            <w:pPr>
              <w:rPr>
                <w:rFonts w:eastAsia="SimSun"/>
              </w:rPr>
            </w:pPr>
            <w:r w:rsidRPr="00AC3044">
              <w:rPr>
                <w:rFonts w:eastAsia="SimSun"/>
              </w:rPr>
              <w:t>Микофенолата мофетил</w:t>
            </w:r>
          </w:p>
        </w:tc>
        <w:tc>
          <w:tcPr>
            <w:tcW w:w="1559" w:type="dxa"/>
            <w:vAlign w:val="center"/>
          </w:tcPr>
          <w:p w14:paraId="578057F9" w14:textId="77777777" w:rsidR="008143D9" w:rsidRPr="00AC3044" w:rsidRDefault="008143D9" w:rsidP="005A428D">
            <w:pPr>
              <w:rPr>
                <w:rFonts w:eastAsia="SimSun"/>
              </w:rPr>
            </w:pPr>
            <w:r w:rsidRPr="00AC3044">
              <w:rPr>
                <w:rFonts w:eastAsia="SimSun"/>
              </w:rPr>
              <w:t>30 мг/кг</w:t>
            </w:r>
          </w:p>
        </w:tc>
        <w:tc>
          <w:tcPr>
            <w:tcW w:w="1418" w:type="dxa"/>
            <w:vAlign w:val="center"/>
          </w:tcPr>
          <w:p w14:paraId="71BBCDAF" w14:textId="77777777" w:rsidR="008143D9" w:rsidRPr="00AC3044" w:rsidRDefault="008143D9" w:rsidP="005A428D">
            <w:pPr>
              <w:rPr>
                <w:rFonts w:eastAsia="SimSun"/>
              </w:rPr>
            </w:pPr>
            <w:r w:rsidRPr="00AC3044">
              <w:rPr>
                <w:rFonts w:eastAsia="SimSun"/>
              </w:rPr>
              <w:t>–</w:t>
            </w:r>
          </w:p>
        </w:tc>
        <w:tc>
          <w:tcPr>
            <w:tcW w:w="1701" w:type="dxa"/>
            <w:vAlign w:val="center"/>
          </w:tcPr>
          <w:p w14:paraId="4CCEB7CC" w14:textId="77777777" w:rsidR="008143D9" w:rsidRPr="00AC3044" w:rsidRDefault="008143D9" w:rsidP="005A428D">
            <w:pPr>
              <w:rPr>
                <w:rFonts w:eastAsia="SimSun"/>
              </w:rPr>
            </w:pPr>
            <w:r w:rsidRPr="00AC3044">
              <w:rPr>
                <w:rFonts w:eastAsia="SimSun"/>
              </w:rPr>
              <w:t>С +5 по +90 день</w:t>
            </w:r>
          </w:p>
        </w:tc>
        <w:tc>
          <w:tcPr>
            <w:tcW w:w="2268" w:type="dxa"/>
            <w:vAlign w:val="center"/>
          </w:tcPr>
          <w:p w14:paraId="316DE573" w14:textId="77777777" w:rsidR="008143D9" w:rsidRPr="00AC3044" w:rsidRDefault="008143D9" w:rsidP="005A428D">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8143D9" w:rsidRPr="00AC3044" w14:paraId="0F3F174C" w14:textId="77777777" w:rsidTr="005A428D">
        <w:trPr>
          <w:cantSplit/>
          <w:trHeight w:val="20"/>
        </w:trPr>
        <w:tc>
          <w:tcPr>
            <w:tcW w:w="709" w:type="dxa"/>
            <w:vMerge/>
            <w:textDirection w:val="btLr"/>
          </w:tcPr>
          <w:p w14:paraId="396D02DB" w14:textId="77777777" w:rsidR="008143D9" w:rsidRPr="00AC3044" w:rsidRDefault="008143D9" w:rsidP="005A428D">
            <w:pPr>
              <w:rPr>
                <w:rFonts w:eastAsia="SimSun"/>
              </w:rPr>
            </w:pPr>
          </w:p>
        </w:tc>
        <w:tc>
          <w:tcPr>
            <w:tcW w:w="1701" w:type="dxa"/>
            <w:vAlign w:val="center"/>
          </w:tcPr>
          <w:p w14:paraId="2613524B" w14:textId="77777777" w:rsidR="008143D9" w:rsidRPr="00AC3044" w:rsidRDefault="008143D9" w:rsidP="005A428D">
            <w:pPr>
              <w:rPr>
                <w:rFonts w:eastAsia="SimSun"/>
              </w:rPr>
            </w:pPr>
            <w:r w:rsidRPr="00AC3044">
              <w:rPr>
                <w:rFonts w:eastAsia="SimSun"/>
              </w:rPr>
              <w:t>Циклофосфамид</w:t>
            </w:r>
          </w:p>
        </w:tc>
        <w:tc>
          <w:tcPr>
            <w:tcW w:w="1559" w:type="dxa"/>
            <w:vAlign w:val="center"/>
          </w:tcPr>
          <w:p w14:paraId="4E48CCB4" w14:textId="77777777" w:rsidR="008143D9" w:rsidRPr="00AC3044" w:rsidRDefault="008143D9" w:rsidP="005A428D">
            <w:pPr>
              <w:rPr>
                <w:rFonts w:eastAsia="SimSun"/>
              </w:rPr>
            </w:pPr>
            <w:r w:rsidRPr="00AC3044">
              <w:rPr>
                <w:rFonts w:eastAsia="SimSun"/>
              </w:rPr>
              <w:t>50 мг/кг</w:t>
            </w:r>
          </w:p>
        </w:tc>
        <w:tc>
          <w:tcPr>
            <w:tcW w:w="1418" w:type="dxa"/>
            <w:vAlign w:val="center"/>
          </w:tcPr>
          <w:p w14:paraId="59E1FDD7" w14:textId="77777777" w:rsidR="008143D9" w:rsidRPr="00AC3044" w:rsidRDefault="008143D9" w:rsidP="005A428D">
            <w:pPr>
              <w:rPr>
                <w:rFonts w:eastAsia="SimSun"/>
              </w:rPr>
            </w:pPr>
            <w:r w:rsidRPr="00AC3044">
              <w:rPr>
                <w:rFonts w:eastAsia="SimSun"/>
              </w:rPr>
              <w:t>100 мг/кг</w:t>
            </w:r>
          </w:p>
        </w:tc>
        <w:tc>
          <w:tcPr>
            <w:tcW w:w="1701" w:type="dxa"/>
            <w:vAlign w:val="center"/>
          </w:tcPr>
          <w:p w14:paraId="4DD402E3" w14:textId="77777777" w:rsidR="008143D9" w:rsidRPr="00AC3044" w:rsidRDefault="008143D9" w:rsidP="005A428D">
            <w:pPr>
              <w:rPr>
                <w:rFonts w:eastAsia="SimSun"/>
              </w:rPr>
            </w:pPr>
            <w:r w:rsidRPr="00AC3044">
              <w:rPr>
                <w:rFonts w:eastAsia="SimSun"/>
              </w:rPr>
              <w:t xml:space="preserve">+3,+4 дни </w:t>
            </w:r>
          </w:p>
        </w:tc>
        <w:tc>
          <w:tcPr>
            <w:tcW w:w="2268" w:type="dxa"/>
            <w:vAlign w:val="center"/>
          </w:tcPr>
          <w:p w14:paraId="597F99E0" w14:textId="77777777" w:rsidR="008143D9" w:rsidRPr="00AC3044" w:rsidRDefault="008143D9" w:rsidP="005A428D">
            <w:pPr>
              <w:rPr>
                <w:rFonts w:eastAsia="SimSun"/>
              </w:rPr>
            </w:pPr>
            <w:r w:rsidRPr="00AC3044">
              <w:rPr>
                <w:rFonts w:eastAsia="SimSun"/>
              </w:rPr>
              <w:t>В/в, в течение 2 часов</w:t>
            </w:r>
          </w:p>
        </w:tc>
      </w:tr>
    </w:tbl>
    <w:p w14:paraId="026D67D3" w14:textId="77777777" w:rsidR="008143D9" w:rsidRDefault="008143D9" w:rsidP="008143D9">
      <w:pPr>
        <w:rPr>
          <w:rFonts w:eastAsia="SimSun"/>
        </w:rPr>
      </w:pPr>
      <w:bookmarkStart w:id="178" w:name="_Toc44401219"/>
    </w:p>
    <w:p w14:paraId="3A34B962" w14:textId="77777777" w:rsidR="008143D9" w:rsidRPr="00C07B2E" w:rsidRDefault="008143D9" w:rsidP="008143D9">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2.2.19  – Flu180+Cy1200 / hATG+Tx+MMF30</w:t>
      </w:r>
      <w:bookmarkEnd w:id="178"/>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8143D9" w:rsidRPr="00AC3044" w14:paraId="69B3563C" w14:textId="77777777" w:rsidTr="005A428D">
        <w:trPr>
          <w:cantSplit/>
          <w:trHeight w:val="20"/>
          <w:tblHeader/>
        </w:trPr>
        <w:tc>
          <w:tcPr>
            <w:tcW w:w="817" w:type="dxa"/>
            <w:vAlign w:val="center"/>
          </w:tcPr>
          <w:p w14:paraId="13B8B322" w14:textId="77777777" w:rsidR="008143D9" w:rsidRPr="00AC3044" w:rsidRDefault="008143D9" w:rsidP="005A428D">
            <w:pPr>
              <w:rPr>
                <w:rFonts w:eastAsia="SimSun"/>
              </w:rPr>
            </w:pPr>
          </w:p>
        </w:tc>
        <w:tc>
          <w:tcPr>
            <w:tcW w:w="1701" w:type="dxa"/>
            <w:vAlign w:val="center"/>
          </w:tcPr>
          <w:p w14:paraId="2FBCD141" w14:textId="77777777" w:rsidR="008143D9" w:rsidRPr="00AC3044" w:rsidRDefault="008143D9" w:rsidP="005A428D">
            <w:pPr>
              <w:rPr>
                <w:rFonts w:eastAsia="SimSun"/>
              </w:rPr>
            </w:pPr>
            <w:r w:rsidRPr="00AC3044">
              <w:rPr>
                <w:rFonts w:eastAsia="SimSun"/>
              </w:rPr>
              <w:t>Препарат</w:t>
            </w:r>
          </w:p>
        </w:tc>
        <w:tc>
          <w:tcPr>
            <w:tcW w:w="1559" w:type="dxa"/>
            <w:vAlign w:val="center"/>
          </w:tcPr>
          <w:p w14:paraId="79B48366" w14:textId="77777777" w:rsidR="008143D9" w:rsidRPr="00AC3044" w:rsidRDefault="008143D9" w:rsidP="005A428D">
            <w:pPr>
              <w:rPr>
                <w:rFonts w:eastAsia="SimSun"/>
              </w:rPr>
            </w:pPr>
            <w:r w:rsidRPr="00AC3044">
              <w:rPr>
                <w:rFonts w:eastAsia="SimSun"/>
              </w:rPr>
              <w:t>Суточная доза</w:t>
            </w:r>
          </w:p>
        </w:tc>
        <w:tc>
          <w:tcPr>
            <w:tcW w:w="1418" w:type="dxa"/>
            <w:vAlign w:val="center"/>
          </w:tcPr>
          <w:p w14:paraId="1D21E9A0" w14:textId="77777777" w:rsidR="008143D9" w:rsidRPr="00AC3044" w:rsidRDefault="008143D9" w:rsidP="005A428D">
            <w:pPr>
              <w:rPr>
                <w:rFonts w:eastAsia="SimSun"/>
              </w:rPr>
            </w:pPr>
            <w:r w:rsidRPr="00AC3044">
              <w:rPr>
                <w:rFonts w:eastAsia="SimSun"/>
              </w:rPr>
              <w:t>Курсовая доза</w:t>
            </w:r>
          </w:p>
        </w:tc>
        <w:tc>
          <w:tcPr>
            <w:tcW w:w="1701" w:type="dxa"/>
            <w:vAlign w:val="center"/>
          </w:tcPr>
          <w:p w14:paraId="390C657C" w14:textId="77777777" w:rsidR="008143D9" w:rsidRPr="00AC3044" w:rsidRDefault="008143D9" w:rsidP="005A428D">
            <w:pPr>
              <w:rPr>
                <w:rFonts w:eastAsia="SimSun"/>
              </w:rPr>
            </w:pPr>
            <w:r w:rsidRPr="00AC3044">
              <w:rPr>
                <w:rFonts w:eastAsia="SimSun"/>
              </w:rPr>
              <w:t>Дни введения</w:t>
            </w:r>
          </w:p>
        </w:tc>
        <w:tc>
          <w:tcPr>
            <w:tcW w:w="2268" w:type="dxa"/>
            <w:vAlign w:val="center"/>
          </w:tcPr>
          <w:p w14:paraId="2B9E0F07"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70A961AC" w14:textId="77777777" w:rsidTr="005A428D">
        <w:trPr>
          <w:cantSplit/>
          <w:trHeight w:val="20"/>
        </w:trPr>
        <w:tc>
          <w:tcPr>
            <w:tcW w:w="817" w:type="dxa"/>
            <w:vMerge w:val="restart"/>
            <w:textDirection w:val="btLr"/>
            <w:vAlign w:val="center"/>
          </w:tcPr>
          <w:p w14:paraId="20001BB5" w14:textId="77777777" w:rsidR="008143D9" w:rsidRPr="00AC3044" w:rsidRDefault="008143D9" w:rsidP="005A428D">
            <w:pPr>
              <w:rPr>
                <w:rFonts w:eastAsia="SimSun"/>
              </w:rPr>
            </w:pPr>
            <w:r w:rsidRPr="00AC3044">
              <w:rPr>
                <w:rFonts w:eastAsia="SimSun"/>
              </w:rPr>
              <w:t>Кондиционирование</w:t>
            </w:r>
          </w:p>
        </w:tc>
        <w:tc>
          <w:tcPr>
            <w:tcW w:w="1701" w:type="dxa"/>
            <w:vAlign w:val="center"/>
          </w:tcPr>
          <w:p w14:paraId="3F33B569" w14:textId="77777777" w:rsidR="008143D9" w:rsidRPr="00AC3044" w:rsidRDefault="008143D9" w:rsidP="005A428D">
            <w:pPr>
              <w:rPr>
                <w:rFonts w:eastAsia="SimSun"/>
              </w:rPr>
            </w:pPr>
            <w:r w:rsidRPr="00AC3044">
              <w:rPr>
                <w:rFonts w:eastAsia="SimSun"/>
              </w:rPr>
              <w:t xml:space="preserve">Флударабин </w:t>
            </w:r>
          </w:p>
        </w:tc>
        <w:tc>
          <w:tcPr>
            <w:tcW w:w="1559" w:type="dxa"/>
            <w:vAlign w:val="center"/>
          </w:tcPr>
          <w:p w14:paraId="3DC36200" w14:textId="77777777" w:rsidR="008143D9" w:rsidRPr="00AC3044" w:rsidRDefault="008143D9" w:rsidP="005A428D">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0B936036" w14:textId="77777777" w:rsidR="008143D9" w:rsidRPr="00AC3044" w:rsidRDefault="008143D9" w:rsidP="005A428D">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2FDEB2A9" w14:textId="77777777" w:rsidR="008143D9" w:rsidRPr="00AC3044" w:rsidRDefault="008143D9" w:rsidP="005A428D">
            <w:pPr>
              <w:rPr>
                <w:rFonts w:eastAsia="SimSun"/>
              </w:rPr>
            </w:pPr>
            <w:r w:rsidRPr="00AC3044">
              <w:rPr>
                <w:rFonts w:eastAsia="SimSun"/>
              </w:rPr>
              <w:t>С -7 дня по -2 день</w:t>
            </w:r>
          </w:p>
        </w:tc>
        <w:tc>
          <w:tcPr>
            <w:tcW w:w="2268" w:type="dxa"/>
            <w:vAlign w:val="center"/>
          </w:tcPr>
          <w:p w14:paraId="0D78DC55"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35940E52" w14:textId="77777777" w:rsidTr="005A428D">
        <w:trPr>
          <w:cantSplit/>
          <w:trHeight w:val="736"/>
        </w:trPr>
        <w:tc>
          <w:tcPr>
            <w:tcW w:w="817" w:type="dxa"/>
            <w:vMerge/>
            <w:vAlign w:val="center"/>
          </w:tcPr>
          <w:p w14:paraId="2D14F78D" w14:textId="77777777" w:rsidR="008143D9" w:rsidRPr="00AC3044" w:rsidRDefault="008143D9" w:rsidP="005A428D">
            <w:pPr>
              <w:rPr>
                <w:rFonts w:eastAsia="SimSun"/>
              </w:rPr>
            </w:pPr>
          </w:p>
        </w:tc>
        <w:tc>
          <w:tcPr>
            <w:tcW w:w="1701" w:type="dxa"/>
            <w:vAlign w:val="center"/>
          </w:tcPr>
          <w:p w14:paraId="18699DA3" w14:textId="77777777" w:rsidR="008143D9" w:rsidRPr="00AC3044" w:rsidRDefault="008143D9" w:rsidP="005A428D">
            <w:pPr>
              <w:rPr>
                <w:rFonts w:eastAsia="SimSun"/>
              </w:rPr>
            </w:pPr>
            <w:r w:rsidRPr="00AC3044">
              <w:rPr>
                <w:rFonts w:eastAsia="SimSun"/>
              </w:rPr>
              <w:t>Циклофосфамид</w:t>
            </w:r>
          </w:p>
        </w:tc>
        <w:tc>
          <w:tcPr>
            <w:tcW w:w="1559" w:type="dxa"/>
            <w:vAlign w:val="center"/>
          </w:tcPr>
          <w:p w14:paraId="26D13FA5" w14:textId="77777777" w:rsidR="008143D9" w:rsidRPr="00AC3044" w:rsidRDefault="008143D9" w:rsidP="005A428D">
            <w:pPr>
              <w:rPr>
                <w:rFonts w:eastAsia="SimSun"/>
              </w:rPr>
            </w:pPr>
            <w:r w:rsidRPr="00AC3044">
              <w:rPr>
                <w:rFonts w:eastAsia="SimSun"/>
              </w:rPr>
              <w:t>300 мг/м</w:t>
            </w:r>
            <w:r w:rsidRPr="0074195F">
              <w:rPr>
                <w:rFonts w:eastAsia="SimSun"/>
                <w:vertAlign w:val="superscript"/>
              </w:rPr>
              <w:t>2</w:t>
            </w:r>
            <w:r w:rsidRPr="00AC3044">
              <w:rPr>
                <w:rFonts w:eastAsia="SimSun"/>
              </w:rPr>
              <w:t xml:space="preserve"> </w:t>
            </w:r>
          </w:p>
        </w:tc>
        <w:tc>
          <w:tcPr>
            <w:tcW w:w="1418" w:type="dxa"/>
            <w:vAlign w:val="center"/>
          </w:tcPr>
          <w:p w14:paraId="44837715" w14:textId="77777777" w:rsidR="008143D9" w:rsidRPr="00AC3044" w:rsidRDefault="008143D9" w:rsidP="005A428D">
            <w:pPr>
              <w:rPr>
                <w:rFonts w:eastAsia="SimSun"/>
              </w:rPr>
            </w:pPr>
            <w:r w:rsidRPr="00AC3044">
              <w:rPr>
                <w:rFonts w:eastAsia="SimSun"/>
              </w:rPr>
              <w:t>1200 мг/м</w:t>
            </w:r>
            <w:r w:rsidRPr="0074195F">
              <w:rPr>
                <w:rFonts w:eastAsia="SimSun"/>
                <w:vertAlign w:val="superscript"/>
              </w:rPr>
              <w:t>2</w:t>
            </w:r>
          </w:p>
        </w:tc>
        <w:tc>
          <w:tcPr>
            <w:tcW w:w="1701" w:type="dxa"/>
            <w:vAlign w:val="center"/>
          </w:tcPr>
          <w:p w14:paraId="027C27D1" w14:textId="77777777" w:rsidR="008143D9" w:rsidRPr="00AC3044" w:rsidRDefault="008143D9" w:rsidP="005A428D">
            <w:pPr>
              <w:rPr>
                <w:rFonts w:eastAsia="SimSun"/>
              </w:rPr>
            </w:pPr>
            <w:r w:rsidRPr="00AC3044">
              <w:rPr>
                <w:rFonts w:eastAsia="SimSun"/>
              </w:rPr>
              <w:t xml:space="preserve"> С -5 дня по -2 день </w:t>
            </w:r>
          </w:p>
        </w:tc>
        <w:tc>
          <w:tcPr>
            <w:tcW w:w="2268" w:type="dxa"/>
            <w:vAlign w:val="center"/>
          </w:tcPr>
          <w:p w14:paraId="70101F77" w14:textId="77777777" w:rsidR="008143D9" w:rsidRPr="00AC3044" w:rsidRDefault="008143D9" w:rsidP="005A428D">
            <w:pPr>
              <w:rPr>
                <w:rFonts w:eastAsia="SimSun"/>
              </w:rPr>
            </w:pPr>
            <w:r w:rsidRPr="00AC3044">
              <w:rPr>
                <w:rFonts w:eastAsia="SimSun"/>
              </w:rPr>
              <w:t>В/в, в течение 2 часов</w:t>
            </w:r>
          </w:p>
        </w:tc>
      </w:tr>
      <w:tr w:rsidR="008143D9" w:rsidRPr="00AC3044" w14:paraId="741FBEAA" w14:textId="77777777" w:rsidTr="005A428D">
        <w:trPr>
          <w:cantSplit/>
          <w:trHeight w:val="654"/>
        </w:trPr>
        <w:tc>
          <w:tcPr>
            <w:tcW w:w="817" w:type="dxa"/>
            <w:vMerge w:val="restart"/>
            <w:textDirection w:val="btLr"/>
            <w:vAlign w:val="center"/>
          </w:tcPr>
          <w:p w14:paraId="0BF63489" w14:textId="77777777" w:rsidR="008143D9" w:rsidRPr="00AC3044" w:rsidRDefault="008143D9" w:rsidP="005A428D">
            <w:pPr>
              <w:rPr>
                <w:rFonts w:eastAsia="SimSun"/>
              </w:rPr>
            </w:pPr>
            <w:r w:rsidRPr="00AC3044">
              <w:rPr>
                <w:rFonts w:eastAsia="SimSun"/>
              </w:rPr>
              <w:t>Профилактика РТПХ</w:t>
            </w:r>
          </w:p>
        </w:tc>
        <w:tc>
          <w:tcPr>
            <w:tcW w:w="1701" w:type="dxa"/>
            <w:vAlign w:val="center"/>
          </w:tcPr>
          <w:p w14:paraId="7F4A2FF3" w14:textId="77777777" w:rsidR="008143D9" w:rsidRPr="00AC3044" w:rsidRDefault="008143D9" w:rsidP="005A428D">
            <w:pPr>
              <w:rPr>
                <w:rFonts w:eastAsia="SimSun"/>
              </w:rPr>
            </w:pPr>
            <w:r w:rsidRPr="00AC3044">
              <w:rPr>
                <w:rFonts w:eastAsia="SimSun"/>
              </w:rPr>
              <w:t xml:space="preserve">АТГ (лошадиный) </w:t>
            </w:r>
          </w:p>
        </w:tc>
        <w:tc>
          <w:tcPr>
            <w:tcW w:w="1559" w:type="dxa"/>
            <w:vAlign w:val="center"/>
          </w:tcPr>
          <w:p w14:paraId="5C1E88B8" w14:textId="77777777" w:rsidR="008143D9" w:rsidRPr="00AC3044" w:rsidRDefault="008143D9" w:rsidP="005A428D">
            <w:pPr>
              <w:rPr>
                <w:rFonts w:eastAsia="SimSun"/>
              </w:rPr>
            </w:pPr>
            <w:r w:rsidRPr="00AC3044">
              <w:rPr>
                <w:rFonts w:eastAsia="SimSun"/>
              </w:rPr>
              <w:t>20 мг/кг</w:t>
            </w:r>
          </w:p>
        </w:tc>
        <w:tc>
          <w:tcPr>
            <w:tcW w:w="1418" w:type="dxa"/>
            <w:vAlign w:val="center"/>
          </w:tcPr>
          <w:p w14:paraId="1A6FD609" w14:textId="77777777" w:rsidR="008143D9" w:rsidRPr="00AC3044" w:rsidRDefault="008143D9" w:rsidP="005A428D">
            <w:pPr>
              <w:rPr>
                <w:rFonts w:eastAsia="SimSun"/>
              </w:rPr>
            </w:pPr>
            <w:r w:rsidRPr="00AC3044">
              <w:rPr>
                <w:rFonts w:eastAsia="SimSun"/>
              </w:rPr>
              <w:t>60 мг/кг</w:t>
            </w:r>
          </w:p>
        </w:tc>
        <w:tc>
          <w:tcPr>
            <w:tcW w:w="1701" w:type="dxa"/>
            <w:vAlign w:val="center"/>
          </w:tcPr>
          <w:p w14:paraId="4F72CCEB" w14:textId="77777777" w:rsidR="008143D9" w:rsidRPr="00AC3044" w:rsidRDefault="008143D9" w:rsidP="005A428D">
            <w:pPr>
              <w:rPr>
                <w:rFonts w:eastAsia="SimSun"/>
              </w:rPr>
            </w:pPr>
            <w:r w:rsidRPr="00AC3044">
              <w:rPr>
                <w:rFonts w:eastAsia="SimSun"/>
              </w:rPr>
              <w:t>В дни -3, -2, -1</w:t>
            </w:r>
          </w:p>
        </w:tc>
        <w:tc>
          <w:tcPr>
            <w:tcW w:w="2268" w:type="dxa"/>
            <w:vAlign w:val="center"/>
          </w:tcPr>
          <w:p w14:paraId="022C2F50" w14:textId="77777777" w:rsidR="008143D9" w:rsidRPr="00AC3044" w:rsidRDefault="008143D9" w:rsidP="005A428D">
            <w:pPr>
              <w:rPr>
                <w:rFonts w:eastAsia="SimSun"/>
              </w:rPr>
            </w:pPr>
            <w:r w:rsidRPr="00AC3044">
              <w:rPr>
                <w:rFonts w:eastAsia="SimSun"/>
              </w:rPr>
              <w:t>В/в. Суточная доза разделяется на 2 введения (см. «Инфузия АТГ»)</w:t>
            </w:r>
          </w:p>
        </w:tc>
      </w:tr>
      <w:tr w:rsidR="008143D9" w:rsidRPr="00AC3044" w14:paraId="41EF6E12" w14:textId="77777777" w:rsidTr="005A428D">
        <w:trPr>
          <w:cantSplit/>
          <w:trHeight w:val="958"/>
        </w:trPr>
        <w:tc>
          <w:tcPr>
            <w:tcW w:w="817" w:type="dxa"/>
            <w:vMerge/>
            <w:textDirection w:val="btLr"/>
            <w:vAlign w:val="center"/>
          </w:tcPr>
          <w:p w14:paraId="00E27F38" w14:textId="77777777" w:rsidR="008143D9" w:rsidRPr="00AC3044" w:rsidRDefault="008143D9" w:rsidP="005A428D">
            <w:pPr>
              <w:rPr>
                <w:rFonts w:eastAsia="SimSun"/>
              </w:rPr>
            </w:pPr>
          </w:p>
        </w:tc>
        <w:tc>
          <w:tcPr>
            <w:tcW w:w="1701" w:type="dxa"/>
            <w:vAlign w:val="center"/>
          </w:tcPr>
          <w:p w14:paraId="0C372A57" w14:textId="77777777" w:rsidR="008143D9" w:rsidRPr="00AC3044" w:rsidRDefault="008143D9" w:rsidP="005A428D">
            <w:pPr>
              <w:rPr>
                <w:rFonts w:eastAsia="SimSun"/>
              </w:rPr>
            </w:pPr>
            <w:r w:rsidRPr="00AC3044">
              <w:rPr>
                <w:rFonts w:eastAsia="SimSun"/>
              </w:rPr>
              <w:t xml:space="preserve">Такролимус </w:t>
            </w:r>
          </w:p>
        </w:tc>
        <w:tc>
          <w:tcPr>
            <w:tcW w:w="1559" w:type="dxa"/>
            <w:vAlign w:val="center"/>
          </w:tcPr>
          <w:p w14:paraId="3B5FF86A" w14:textId="77777777" w:rsidR="008143D9" w:rsidRPr="00AC3044" w:rsidRDefault="008143D9" w:rsidP="005A428D">
            <w:pPr>
              <w:rPr>
                <w:rFonts w:eastAsia="SimSun"/>
              </w:rPr>
            </w:pPr>
            <w:r w:rsidRPr="00AC3044">
              <w:rPr>
                <w:rFonts w:eastAsia="SimSun"/>
              </w:rPr>
              <w:t>0,03 мг/кг</w:t>
            </w:r>
          </w:p>
        </w:tc>
        <w:tc>
          <w:tcPr>
            <w:tcW w:w="1418" w:type="dxa"/>
            <w:vAlign w:val="center"/>
          </w:tcPr>
          <w:p w14:paraId="6BC9D14F" w14:textId="77777777" w:rsidR="008143D9" w:rsidRPr="00AC3044" w:rsidRDefault="008143D9" w:rsidP="005A428D">
            <w:pPr>
              <w:rPr>
                <w:rFonts w:eastAsia="SimSun"/>
              </w:rPr>
            </w:pPr>
            <w:r w:rsidRPr="00AC3044">
              <w:rPr>
                <w:rFonts w:eastAsia="SimSun"/>
              </w:rPr>
              <w:t>–</w:t>
            </w:r>
          </w:p>
        </w:tc>
        <w:tc>
          <w:tcPr>
            <w:tcW w:w="1701" w:type="dxa"/>
            <w:vAlign w:val="center"/>
          </w:tcPr>
          <w:p w14:paraId="386FC148" w14:textId="77777777" w:rsidR="008143D9" w:rsidRPr="00AC3044" w:rsidRDefault="008143D9" w:rsidP="005A428D">
            <w:pPr>
              <w:rPr>
                <w:rFonts w:eastAsia="SimSun"/>
              </w:rPr>
            </w:pPr>
            <w:r w:rsidRPr="00AC3044">
              <w:rPr>
                <w:rFonts w:eastAsia="SimSun"/>
              </w:rPr>
              <w:t xml:space="preserve">С -1 дня длительно </w:t>
            </w:r>
          </w:p>
        </w:tc>
        <w:tc>
          <w:tcPr>
            <w:tcW w:w="2268" w:type="dxa"/>
            <w:vAlign w:val="center"/>
          </w:tcPr>
          <w:p w14:paraId="3256AB1E" w14:textId="77777777" w:rsidR="008143D9" w:rsidRPr="00AC3044" w:rsidRDefault="008143D9" w:rsidP="005A428D">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8143D9" w:rsidRPr="00AC3044" w14:paraId="79222FD4" w14:textId="77777777" w:rsidTr="005A428D">
        <w:trPr>
          <w:cantSplit/>
          <w:trHeight w:val="392"/>
        </w:trPr>
        <w:tc>
          <w:tcPr>
            <w:tcW w:w="817" w:type="dxa"/>
            <w:vMerge/>
            <w:textDirection w:val="btLr"/>
            <w:vAlign w:val="center"/>
          </w:tcPr>
          <w:p w14:paraId="195E9005" w14:textId="77777777" w:rsidR="008143D9" w:rsidRPr="00AC3044" w:rsidRDefault="008143D9" w:rsidP="005A428D">
            <w:pPr>
              <w:rPr>
                <w:rFonts w:eastAsia="SimSun"/>
              </w:rPr>
            </w:pPr>
          </w:p>
        </w:tc>
        <w:tc>
          <w:tcPr>
            <w:tcW w:w="1701" w:type="dxa"/>
            <w:vAlign w:val="center"/>
          </w:tcPr>
          <w:p w14:paraId="5BC7BD5F" w14:textId="77777777" w:rsidR="008143D9" w:rsidRPr="00AC3044" w:rsidRDefault="008143D9" w:rsidP="005A428D">
            <w:pPr>
              <w:rPr>
                <w:rFonts w:eastAsia="SimSun"/>
              </w:rPr>
            </w:pPr>
            <w:r w:rsidRPr="00AC3044">
              <w:rPr>
                <w:rFonts w:eastAsia="SimSun"/>
              </w:rPr>
              <w:t>Микофенолата мофетил</w:t>
            </w:r>
          </w:p>
        </w:tc>
        <w:tc>
          <w:tcPr>
            <w:tcW w:w="1559" w:type="dxa"/>
            <w:vAlign w:val="center"/>
          </w:tcPr>
          <w:p w14:paraId="18B8D023" w14:textId="77777777" w:rsidR="008143D9" w:rsidRPr="00AC3044" w:rsidRDefault="008143D9" w:rsidP="005A428D">
            <w:pPr>
              <w:rPr>
                <w:rFonts w:eastAsia="SimSun"/>
              </w:rPr>
            </w:pPr>
            <w:r w:rsidRPr="00AC3044">
              <w:rPr>
                <w:rFonts w:eastAsia="SimSun"/>
              </w:rPr>
              <w:t xml:space="preserve">30 мг/кг </w:t>
            </w:r>
          </w:p>
        </w:tc>
        <w:tc>
          <w:tcPr>
            <w:tcW w:w="1418" w:type="dxa"/>
            <w:vAlign w:val="center"/>
          </w:tcPr>
          <w:p w14:paraId="05159467" w14:textId="77777777" w:rsidR="008143D9" w:rsidRPr="00AC3044" w:rsidRDefault="008143D9" w:rsidP="005A428D">
            <w:pPr>
              <w:rPr>
                <w:rFonts w:eastAsia="SimSun"/>
              </w:rPr>
            </w:pPr>
            <w:r w:rsidRPr="00AC3044">
              <w:rPr>
                <w:rFonts w:eastAsia="SimSun"/>
              </w:rPr>
              <w:t>–</w:t>
            </w:r>
          </w:p>
        </w:tc>
        <w:tc>
          <w:tcPr>
            <w:tcW w:w="1701" w:type="dxa"/>
            <w:vAlign w:val="center"/>
          </w:tcPr>
          <w:p w14:paraId="27EAE40C" w14:textId="77777777" w:rsidR="008143D9" w:rsidRPr="00AC3044" w:rsidRDefault="008143D9" w:rsidP="005A428D">
            <w:pPr>
              <w:rPr>
                <w:rFonts w:eastAsia="SimSun"/>
              </w:rPr>
            </w:pPr>
            <w:r w:rsidRPr="00AC3044">
              <w:rPr>
                <w:rFonts w:eastAsia="SimSun"/>
              </w:rPr>
              <w:t xml:space="preserve">С -1 дня по +30 день </w:t>
            </w:r>
          </w:p>
        </w:tc>
        <w:tc>
          <w:tcPr>
            <w:tcW w:w="2268" w:type="dxa"/>
            <w:vAlign w:val="center"/>
          </w:tcPr>
          <w:p w14:paraId="793B75C6" w14:textId="77777777" w:rsidR="008143D9" w:rsidRPr="00AC3044" w:rsidRDefault="008143D9" w:rsidP="005A428D">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2F91BE72" w14:textId="77777777" w:rsidR="008143D9" w:rsidRPr="0074195F" w:rsidRDefault="008143D9" w:rsidP="008143D9">
      <w:pPr>
        <w:rPr>
          <w:rFonts w:eastAsia="SimSun"/>
        </w:rPr>
      </w:pPr>
      <w:bookmarkStart w:id="179" w:name="_Toc44401220"/>
    </w:p>
    <w:p w14:paraId="0543DA95" w14:textId="77777777" w:rsidR="008143D9" w:rsidRPr="00EE51B1" w:rsidRDefault="008143D9" w:rsidP="008143D9">
      <w:pPr>
        <w:rPr>
          <w:rFonts w:eastAsia="SimSun"/>
          <w:lang w:val="en-US"/>
        </w:rPr>
      </w:pPr>
      <w:r>
        <w:rPr>
          <w:rFonts w:eastAsia="SimSun"/>
        </w:rPr>
        <w:t>Таблица</w:t>
      </w:r>
      <w:r w:rsidRPr="00EE51B1">
        <w:rPr>
          <w:rFonts w:eastAsia="SimSun"/>
          <w:lang w:val="en-US"/>
        </w:rPr>
        <w:t xml:space="preserve"> </w:t>
      </w:r>
      <w:r>
        <w:rPr>
          <w:rFonts w:eastAsia="SimSun"/>
          <w:lang w:val="en-US"/>
        </w:rPr>
        <w:t>5.</w:t>
      </w:r>
      <w:r w:rsidRPr="00EE51B1">
        <w:rPr>
          <w:rFonts w:eastAsia="SimSun"/>
          <w:lang w:val="en-US"/>
        </w:rPr>
        <w:t xml:space="preserve">2.2.20  – </w:t>
      </w:r>
      <w:r w:rsidRPr="00C07B2E">
        <w:rPr>
          <w:rFonts w:eastAsia="SimSun"/>
        </w:rPr>
        <w:t>Flu</w:t>
      </w:r>
      <w:r w:rsidRPr="00EE51B1">
        <w:rPr>
          <w:rFonts w:eastAsia="SimSun"/>
          <w:lang w:val="en-US"/>
        </w:rPr>
        <w:t>180+</w:t>
      </w:r>
      <w:r w:rsidRPr="00C07B2E">
        <w:rPr>
          <w:rFonts w:eastAsia="SimSun"/>
        </w:rPr>
        <w:t>Cy</w:t>
      </w:r>
      <w:r w:rsidRPr="00EE51B1">
        <w:rPr>
          <w:rFonts w:eastAsia="SimSun"/>
          <w:lang w:val="en-US"/>
        </w:rPr>
        <w:t xml:space="preserve">1200 / </w:t>
      </w:r>
      <w:r w:rsidRPr="00C07B2E">
        <w:rPr>
          <w:rFonts w:eastAsia="SimSun"/>
        </w:rPr>
        <w:t>rATG</w:t>
      </w:r>
      <w:r w:rsidRPr="00EE51B1">
        <w:rPr>
          <w:rFonts w:eastAsia="SimSun"/>
          <w:lang w:val="en-US"/>
        </w:rPr>
        <w:t>+</w:t>
      </w:r>
      <w:r w:rsidRPr="00C07B2E">
        <w:rPr>
          <w:rFonts w:eastAsia="SimSun"/>
        </w:rPr>
        <w:t>Tx</w:t>
      </w:r>
      <w:r w:rsidRPr="00EE51B1">
        <w:rPr>
          <w:rFonts w:eastAsia="SimSun"/>
          <w:lang w:val="en-US"/>
        </w:rPr>
        <w:t>+</w:t>
      </w:r>
      <w:r w:rsidRPr="00C07B2E">
        <w:rPr>
          <w:rFonts w:eastAsia="SimSun"/>
        </w:rPr>
        <w:t>MMF</w:t>
      </w:r>
      <w:r w:rsidRPr="00EE51B1">
        <w:rPr>
          <w:rFonts w:eastAsia="SimSun"/>
          <w:lang w:val="en-US"/>
        </w:rPr>
        <w:t>30</w:t>
      </w:r>
      <w:bookmarkEnd w:id="179"/>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8143D9" w:rsidRPr="00AC3044" w14:paraId="68EBA1DA" w14:textId="77777777" w:rsidTr="005A428D">
        <w:trPr>
          <w:cantSplit/>
          <w:trHeight w:val="20"/>
          <w:tblHeader/>
        </w:trPr>
        <w:tc>
          <w:tcPr>
            <w:tcW w:w="817" w:type="dxa"/>
            <w:vAlign w:val="center"/>
          </w:tcPr>
          <w:p w14:paraId="17253E54" w14:textId="77777777" w:rsidR="008143D9" w:rsidRPr="00AC3044" w:rsidRDefault="008143D9" w:rsidP="005A428D">
            <w:pPr>
              <w:rPr>
                <w:rFonts w:eastAsia="SimSun"/>
                <w:lang w:val="en-US"/>
              </w:rPr>
            </w:pPr>
          </w:p>
        </w:tc>
        <w:tc>
          <w:tcPr>
            <w:tcW w:w="1701" w:type="dxa"/>
            <w:vAlign w:val="center"/>
          </w:tcPr>
          <w:p w14:paraId="0AD4D8D6" w14:textId="77777777" w:rsidR="008143D9" w:rsidRPr="00AC3044" w:rsidRDefault="008143D9" w:rsidP="005A428D">
            <w:pPr>
              <w:rPr>
                <w:rFonts w:eastAsia="SimSun"/>
              </w:rPr>
            </w:pPr>
            <w:r w:rsidRPr="00AC3044">
              <w:rPr>
                <w:rFonts w:eastAsia="SimSun"/>
              </w:rPr>
              <w:t>Препарат</w:t>
            </w:r>
          </w:p>
        </w:tc>
        <w:tc>
          <w:tcPr>
            <w:tcW w:w="1559" w:type="dxa"/>
            <w:vAlign w:val="center"/>
          </w:tcPr>
          <w:p w14:paraId="228F45B0" w14:textId="77777777" w:rsidR="008143D9" w:rsidRPr="00AC3044" w:rsidRDefault="008143D9" w:rsidP="005A428D">
            <w:pPr>
              <w:rPr>
                <w:rFonts w:eastAsia="SimSun"/>
              </w:rPr>
            </w:pPr>
            <w:r w:rsidRPr="00AC3044">
              <w:rPr>
                <w:rFonts w:eastAsia="SimSun"/>
              </w:rPr>
              <w:t>Суточная доза</w:t>
            </w:r>
          </w:p>
        </w:tc>
        <w:tc>
          <w:tcPr>
            <w:tcW w:w="1418" w:type="dxa"/>
            <w:vAlign w:val="center"/>
          </w:tcPr>
          <w:p w14:paraId="6D713066" w14:textId="77777777" w:rsidR="008143D9" w:rsidRPr="00AC3044" w:rsidRDefault="008143D9" w:rsidP="005A428D">
            <w:pPr>
              <w:rPr>
                <w:rFonts w:eastAsia="SimSun"/>
              </w:rPr>
            </w:pPr>
            <w:r w:rsidRPr="00AC3044">
              <w:rPr>
                <w:rFonts w:eastAsia="SimSun"/>
              </w:rPr>
              <w:t>Курсовая доза</w:t>
            </w:r>
          </w:p>
        </w:tc>
        <w:tc>
          <w:tcPr>
            <w:tcW w:w="1701" w:type="dxa"/>
            <w:vAlign w:val="center"/>
          </w:tcPr>
          <w:p w14:paraId="2A5AB37D" w14:textId="77777777" w:rsidR="008143D9" w:rsidRPr="00AC3044" w:rsidRDefault="008143D9" w:rsidP="005A428D">
            <w:pPr>
              <w:rPr>
                <w:rFonts w:eastAsia="SimSun"/>
              </w:rPr>
            </w:pPr>
            <w:r w:rsidRPr="00AC3044">
              <w:rPr>
                <w:rFonts w:eastAsia="SimSun"/>
              </w:rPr>
              <w:t>Дни введения</w:t>
            </w:r>
          </w:p>
        </w:tc>
        <w:tc>
          <w:tcPr>
            <w:tcW w:w="2268" w:type="dxa"/>
            <w:vAlign w:val="center"/>
          </w:tcPr>
          <w:p w14:paraId="74A494C1"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34F93D93" w14:textId="77777777" w:rsidTr="005A428D">
        <w:trPr>
          <w:cantSplit/>
          <w:trHeight w:val="20"/>
        </w:trPr>
        <w:tc>
          <w:tcPr>
            <w:tcW w:w="817" w:type="dxa"/>
            <w:vMerge w:val="restart"/>
            <w:textDirection w:val="btLr"/>
            <w:vAlign w:val="center"/>
          </w:tcPr>
          <w:p w14:paraId="32AD1E35" w14:textId="77777777" w:rsidR="008143D9" w:rsidRPr="00AC3044" w:rsidRDefault="008143D9" w:rsidP="005A428D">
            <w:pPr>
              <w:rPr>
                <w:rFonts w:eastAsia="SimSun"/>
              </w:rPr>
            </w:pPr>
            <w:r w:rsidRPr="00AC3044">
              <w:rPr>
                <w:rFonts w:eastAsia="SimSun"/>
              </w:rPr>
              <w:t>Кондиционирование</w:t>
            </w:r>
          </w:p>
        </w:tc>
        <w:tc>
          <w:tcPr>
            <w:tcW w:w="1701" w:type="dxa"/>
            <w:vAlign w:val="center"/>
          </w:tcPr>
          <w:p w14:paraId="366CB451" w14:textId="77777777" w:rsidR="008143D9" w:rsidRPr="00AC3044" w:rsidRDefault="008143D9" w:rsidP="005A428D">
            <w:pPr>
              <w:rPr>
                <w:rFonts w:eastAsia="SimSun"/>
              </w:rPr>
            </w:pPr>
            <w:r w:rsidRPr="00AC3044">
              <w:rPr>
                <w:rFonts w:eastAsia="SimSun"/>
              </w:rPr>
              <w:t xml:space="preserve">Флударабин </w:t>
            </w:r>
          </w:p>
        </w:tc>
        <w:tc>
          <w:tcPr>
            <w:tcW w:w="1559" w:type="dxa"/>
            <w:vAlign w:val="center"/>
          </w:tcPr>
          <w:p w14:paraId="034E51D5" w14:textId="77777777" w:rsidR="008143D9" w:rsidRPr="0074195F" w:rsidRDefault="008143D9" w:rsidP="005A428D">
            <w:pPr>
              <w:rPr>
                <w:rFonts w:eastAsia="SimSun"/>
                <w:vertAlign w:val="superscript"/>
              </w:rPr>
            </w:pPr>
            <w:r w:rsidRPr="00AC3044">
              <w:rPr>
                <w:rFonts w:eastAsia="SimSun"/>
              </w:rPr>
              <w:t>30 мг/м</w:t>
            </w:r>
            <w:r w:rsidRPr="0074195F">
              <w:rPr>
                <w:rFonts w:eastAsia="SimSun"/>
                <w:vertAlign w:val="superscript"/>
              </w:rPr>
              <w:t>2</w:t>
            </w:r>
          </w:p>
        </w:tc>
        <w:tc>
          <w:tcPr>
            <w:tcW w:w="1418" w:type="dxa"/>
            <w:vAlign w:val="center"/>
          </w:tcPr>
          <w:p w14:paraId="6EA61A03" w14:textId="77777777" w:rsidR="008143D9" w:rsidRPr="00AC3044" w:rsidRDefault="008143D9" w:rsidP="005A428D">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7540E9CA" w14:textId="77777777" w:rsidR="008143D9" w:rsidRPr="00AC3044" w:rsidRDefault="008143D9" w:rsidP="005A428D">
            <w:pPr>
              <w:rPr>
                <w:rFonts w:eastAsia="SimSun"/>
              </w:rPr>
            </w:pPr>
            <w:r w:rsidRPr="00AC3044">
              <w:rPr>
                <w:rFonts w:eastAsia="SimSun"/>
              </w:rPr>
              <w:t>С -7 дня по -2 день</w:t>
            </w:r>
          </w:p>
        </w:tc>
        <w:tc>
          <w:tcPr>
            <w:tcW w:w="2268" w:type="dxa"/>
            <w:vAlign w:val="center"/>
          </w:tcPr>
          <w:p w14:paraId="5655CF29"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6666FFAD" w14:textId="77777777" w:rsidTr="005A428D">
        <w:trPr>
          <w:cantSplit/>
          <w:trHeight w:val="721"/>
        </w:trPr>
        <w:tc>
          <w:tcPr>
            <w:tcW w:w="817" w:type="dxa"/>
            <w:vMerge/>
            <w:vAlign w:val="center"/>
          </w:tcPr>
          <w:p w14:paraId="58BBF689" w14:textId="77777777" w:rsidR="008143D9" w:rsidRPr="00AC3044" w:rsidRDefault="008143D9" w:rsidP="005A428D">
            <w:pPr>
              <w:rPr>
                <w:rFonts w:eastAsia="SimSun"/>
              </w:rPr>
            </w:pPr>
          </w:p>
        </w:tc>
        <w:tc>
          <w:tcPr>
            <w:tcW w:w="1701" w:type="dxa"/>
            <w:vAlign w:val="center"/>
          </w:tcPr>
          <w:p w14:paraId="3DEDC035" w14:textId="77777777" w:rsidR="008143D9" w:rsidRPr="00AC3044" w:rsidRDefault="008143D9" w:rsidP="005A428D">
            <w:pPr>
              <w:rPr>
                <w:rFonts w:eastAsia="SimSun"/>
              </w:rPr>
            </w:pPr>
            <w:r w:rsidRPr="00AC3044">
              <w:rPr>
                <w:rFonts w:eastAsia="SimSun"/>
              </w:rPr>
              <w:t>Циклофосфамид</w:t>
            </w:r>
          </w:p>
        </w:tc>
        <w:tc>
          <w:tcPr>
            <w:tcW w:w="1559" w:type="dxa"/>
            <w:vAlign w:val="center"/>
          </w:tcPr>
          <w:p w14:paraId="64F3944F" w14:textId="77777777" w:rsidR="008143D9" w:rsidRPr="00AC3044" w:rsidRDefault="008143D9" w:rsidP="005A428D">
            <w:pPr>
              <w:rPr>
                <w:rFonts w:eastAsia="SimSun"/>
              </w:rPr>
            </w:pPr>
            <w:r w:rsidRPr="00AC3044">
              <w:rPr>
                <w:rFonts w:eastAsia="SimSun"/>
              </w:rPr>
              <w:t>300 мг/м</w:t>
            </w:r>
            <w:r w:rsidRPr="0074195F">
              <w:rPr>
                <w:rFonts w:eastAsia="SimSun"/>
                <w:vertAlign w:val="superscript"/>
              </w:rPr>
              <w:t>2</w:t>
            </w:r>
            <w:r w:rsidRPr="00AC3044">
              <w:rPr>
                <w:rFonts w:eastAsia="SimSun"/>
              </w:rPr>
              <w:t xml:space="preserve"> </w:t>
            </w:r>
          </w:p>
        </w:tc>
        <w:tc>
          <w:tcPr>
            <w:tcW w:w="1418" w:type="dxa"/>
            <w:vAlign w:val="center"/>
          </w:tcPr>
          <w:p w14:paraId="6F8D797B" w14:textId="77777777" w:rsidR="008143D9" w:rsidRPr="00AC3044" w:rsidRDefault="008143D9" w:rsidP="005A428D">
            <w:pPr>
              <w:rPr>
                <w:rFonts w:eastAsia="SimSun"/>
              </w:rPr>
            </w:pPr>
            <w:r w:rsidRPr="00AC3044">
              <w:rPr>
                <w:rFonts w:eastAsia="SimSun"/>
              </w:rPr>
              <w:t>1200 мг/м</w:t>
            </w:r>
            <w:r w:rsidRPr="0074195F">
              <w:rPr>
                <w:rFonts w:eastAsia="SimSun"/>
                <w:vertAlign w:val="superscript"/>
              </w:rPr>
              <w:t>2</w:t>
            </w:r>
          </w:p>
        </w:tc>
        <w:tc>
          <w:tcPr>
            <w:tcW w:w="1701" w:type="dxa"/>
            <w:vAlign w:val="center"/>
          </w:tcPr>
          <w:p w14:paraId="217A5B45" w14:textId="77777777" w:rsidR="008143D9" w:rsidRPr="00AC3044" w:rsidRDefault="008143D9" w:rsidP="005A428D">
            <w:pPr>
              <w:rPr>
                <w:rFonts w:eastAsia="SimSun"/>
              </w:rPr>
            </w:pPr>
            <w:r w:rsidRPr="00AC3044">
              <w:rPr>
                <w:rFonts w:eastAsia="SimSun"/>
              </w:rPr>
              <w:t xml:space="preserve"> С -5 дня по -2 день </w:t>
            </w:r>
          </w:p>
        </w:tc>
        <w:tc>
          <w:tcPr>
            <w:tcW w:w="2268" w:type="dxa"/>
            <w:vAlign w:val="center"/>
          </w:tcPr>
          <w:p w14:paraId="6E0C3C02" w14:textId="77777777" w:rsidR="008143D9" w:rsidRPr="00AC3044" w:rsidRDefault="008143D9" w:rsidP="005A428D">
            <w:pPr>
              <w:rPr>
                <w:rFonts w:eastAsia="SimSun"/>
              </w:rPr>
            </w:pPr>
            <w:r w:rsidRPr="00AC3044">
              <w:rPr>
                <w:rFonts w:eastAsia="SimSun"/>
              </w:rPr>
              <w:t>В/в, в течение 2 часов</w:t>
            </w:r>
          </w:p>
        </w:tc>
      </w:tr>
      <w:tr w:rsidR="008143D9" w:rsidRPr="00AC3044" w14:paraId="4FE9D86E" w14:textId="77777777" w:rsidTr="005A428D">
        <w:trPr>
          <w:cantSplit/>
          <w:trHeight w:val="547"/>
        </w:trPr>
        <w:tc>
          <w:tcPr>
            <w:tcW w:w="817" w:type="dxa"/>
            <w:vMerge w:val="restart"/>
            <w:textDirection w:val="btLr"/>
            <w:vAlign w:val="center"/>
          </w:tcPr>
          <w:p w14:paraId="186B7FDE" w14:textId="77777777" w:rsidR="008143D9" w:rsidRPr="00AC3044" w:rsidRDefault="008143D9" w:rsidP="005A428D">
            <w:pPr>
              <w:rPr>
                <w:rFonts w:eastAsia="SimSun"/>
              </w:rPr>
            </w:pPr>
            <w:r w:rsidRPr="00AC3044">
              <w:rPr>
                <w:rFonts w:eastAsia="SimSun"/>
              </w:rPr>
              <w:t>Профилактика РТПХ</w:t>
            </w:r>
          </w:p>
        </w:tc>
        <w:tc>
          <w:tcPr>
            <w:tcW w:w="1701" w:type="dxa"/>
            <w:vAlign w:val="center"/>
          </w:tcPr>
          <w:p w14:paraId="6F153054" w14:textId="77777777" w:rsidR="008143D9" w:rsidRPr="00AC3044" w:rsidRDefault="008143D9" w:rsidP="005A428D">
            <w:pPr>
              <w:rPr>
                <w:rFonts w:eastAsia="SimSun"/>
              </w:rPr>
            </w:pPr>
            <w:r w:rsidRPr="00AC3044">
              <w:rPr>
                <w:rFonts w:eastAsia="SimSun"/>
              </w:rPr>
              <w:t>АТГ (кроличий)</w:t>
            </w:r>
          </w:p>
        </w:tc>
        <w:tc>
          <w:tcPr>
            <w:tcW w:w="1559" w:type="dxa"/>
            <w:vAlign w:val="center"/>
          </w:tcPr>
          <w:p w14:paraId="1AEBE7B3" w14:textId="77777777" w:rsidR="008143D9" w:rsidRPr="00AC3044" w:rsidRDefault="008143D9" w:rsidP="005A428D">
            <w:pPr>
              <w:rPr>
                <w:rFonts w:eastAsia="SimSun"/>
              </w:rPr>
            </w:pPr>
            <w:r w:rsidRPr="00AC3044">
              <w:rPr>
                <w:rFonts w:eastAsia="SimSun"/>
              </w:rPr>
              <w:t>5 мг/кг</w:t>
            </w:r>
          </w:p>
        </w:tc>
        <w:tc>
          <w:tcPr>
            <w:tcW w:w="1418" w:type="dxa"/>
            <w:vAlign w:val="center"/>
          </w:tcPr>
          <w:p w14:paraId="67248821" w14:textId="77777777" w:rsidR="008143D9" w:rsidRPr="00AC3044" w:rsidRDefault="008143D9" w:rsidP="005A428D">
            <w:pPr>
              <w:rPr>
                <w:rFonts w:eastAsia="SimSun"/>
              </w:rPr>
            </w:pPr>
            <w:r w:rsidRPr="00AC3044">
              <w:rPr>
                <w:rFonts w:eastAsia="SimSun"/>
              </w:rPr>
              <w:t>10 мг/кг</w:t>
            </w:r>
          </w:p>
        </w:tc>
        <w:tc>
          <w:tcPr>
            <w:tcW w:w="1701" w:type="dxa"/>
            <w:vAlign w:val="center"/>
          </w:tcPr>
          <w:p w14:paraId="7F874C7A" w14:textId="77777777" w:rsidR="008143D9" w:rsidRPr="00AC3044" w:rsidRDefault="008143D9" w:rsidP="005A428D">
            <w:pPr>
              <w:rPr>
                <w:rFonts w:eastAsia="SimSun"/>
              </w:rPr>
            </w:pPr>
            <w:r w:rsidRPr="00AC3044">
              <w:rPr>
                <w:rFonts w:eastAsia="SimSun"/>
              </w:rPr>
              <w:t>В дни -2, -1</w:t>
            </w:r>
          </w:p>
        </w:tc>
        <w:tc>
          <w:tcPr>
            <w:tcW w:w="2268" w:type="dxa"/>
            <w:vAlign w:val="center"/>
          </w:tcPr>
          <w:p w14:paraId="048DD325" w14:textId="77777777" w:rsidR="008143D9" w:rsidRPr="00AC3044" w:rsidRDefault="008143D9" w:rsidP="005A428D">
            <w:pPr>
              <w:rPr>
                <w:rFonts w:eastAsia="SimSun"/>
              </w:rPr>
            </w:pPr>
            <w:r w:rsidRPr="00AC3044">
              <w:rPr>
                <w:rFonts w:eastAsia="SimSun"/>
              </w:rPr>
              <w:t>В/в. Суточная доза разделяется на 2 введения (см.</w:t>
            </w:r>
            <w:r>
              <w:rPr>
                <w:rFonts w:eastAsia="SimSun"/>
              </w:rPr>
              <w:t xml:space="preserve"> </w:t>
            </w:r>
            <w:r w:rsidRPr="00AC3044">
              <w:rPr>
                <w:rFonts w:eastAsia="SimSun"/>
              </w:rPr>
              <w:t>«Инфузия АТГ»)</w:t>
            </w:r>
          </w:p>
        </w:tc>
      </w:tr>
      <w:tr w:rsidR="008143D9" w:rsidRPr="00AC3044" w14:paraId="678DF886" w14:textId="77777777" w:rsidTr="005A428D">
        <w:trPr>
          <w:cantSplit/>
          <w:trHeight w:val="958"/>
        </w:trPr>
        <w:tc>
          <w:tcPr>
            <w:tcW w:w="817" w:type="dxa"/>
            <w:vMerge/>
            <w:textDirection w:val="btLr"/>
            <w:vAlign w:val="center"/>
          </w:tcPr>
          <w:p w14:paraId="5920D152" w14:textId="77777777" w:rsidR="008143D9" w:rsidRPr="00AC3044" w:rsidRDefault="008143D9" w:rsidP="005A428D">
            <w:pPr>
              <w:rPr>
                <w:rFonts w:eastAsia="SimSun"/>
              </w:rPr>
            </w:pPr>
          </w:p>
        </w:tc>
        <w:tc>
          <w:tcPr>
            <w:tcW w:w="1701" w:type="dxa"/>
            <w:vAlign w:val="center"/>
          </w:tcPr>
          <w:p w14:paraId="5B0B1D11" w14:textId="77777777" w:rsidR="008143D9" w:rsidRPr="00AC3044" w:rsidRDefault="008143D9" w:rsidP="005A428D">
            <w:pPr>
              <w:rPr>
                <w:rFonts w:eastAsia="SimSun"/>
              </w:rPr>
            </w:pPr>
            <w:r w:rsidRPr="00AC3044">
              <w:rPr>
                <w:rFonts w:eastAsia="SimSun"/>
              </w:rPr>
              <w:t xml:space="preserve">Такролимус </w:t>
            </w:r>
          </w:p>
        </w:tc>
        <w:tc>
          <w:tcPr>
            <w:tcW w:w="1559" w:type="dxa"/>
            <w:vAlign w:val="center"/>
          </w:tcPr>
          <w:p w14:paraId="5466ECB1" w14:textId="77777777" w:rsidR="008143D9" w:rsidRPr="00AC3044" w:rsidRDefault="008143D9" w:rsidP="005A428D">
            <w:pPr>
              <w:rPr>
                <w:rFonts w:eastAsia="SimSun"/>
              </w:rPr>
            </w:pPr>
            <w:r w:rsidRPr="00AC3044">
              <w:rPr>
                <w:rFonts w:eastAsia="SimSun"/>
              </w:rPr>
              <w:t>0,03 мг/кг</w:t>
            </w:r>
          </w:p>
        </w:tc>
        <w:tc>
          <w:tcPr>
            <w:tcW w:w="1418" w:type="dxa"/>
            <w:vAlign w:val="center"/>
          </w:tcPr>
          <w:p w14:paraId="0B932223" w14:textId="77777777" w:rsidR="008143D9" w:rsidRPr="00AC3044" w:rsidRDefault="008143D9" w:rsidP="005A428D">
            <w:pPr>
              <w:rPr>
                <w:rFonts w:eastAsia="SimSun"/>
              </w:rPr>
            </w:pPr>
            <w:r w:rsidRPr="00AC3044">
              <w:rPr>
                <w:rFonts w:eastAsia="SimSun"/>
              </w:rPr>
              <w:t>–</w:t>
            </w:r>
          </w:p>
        </w:tc>
        <w:tc>
          <w:tcPr>
            <w:tcW w:w="1701" w:type="dxa"/>
            <w:vAlign w:val="center"/>
          </w:tcPr>
          <w:p w14:paraId="26915868" w14:textId="77777777" w:rsidR="008143D9" w:rsidRPr="00AC3044" w:rsidRDefault="008143D9" w:rsidP="005A428D">
            <w:pPr>
              <w:rPr>
                <w:rFonts w:eastAsia="SimSun"/>
              </w:rPr>
            </w:pPr>
            <w:r w:rsidRPr="00AC3044">
              <w:rPr>
                <w:rFonts w:eastAsia="SimSun"/>
              </w:rPr>
              <w:t xml:space="preserve">С -1 дня длительно </w:t>
            </w:r>
          </w:p>
        </w:tc>
        <w:tc>
          <w:tcPr>
            <w:tcW w:w="2268" w:type="dxa"/>
            <w:vAlign w:val="center"/>
          </w:tcPr>
          <w:p w14:paraId="30F95065" w14:textId="77777777" w:rsidR="008143D9" w:rsidRPr="00AC3044" w:rsidRDefault="008143D9" w:rsidP="005A428D">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8143D9" w:rsidRPr="00AC3044" w14:paraId="1058A01F" w14:textId="77777777" w:rsidTr="005A428D">
        <w:trPr>
          <w:cantSplit/>
          <w:trHeight w:val="654"/>
        </w:trPr>
        <w:tc>
          <w:tcPr>
            <w:tcW w:w="817" w:type="dxa"/>
            <w:vMerge/>
            <w:textDirection w:val="btLr"/>
            <w:vAlign w:val="center"/>
          </w:tcPr>
          <w:p w14:paraId="4C84119C" w14:textId="77777777" w:rsidR="008143D9" w:rsidRPr="00AC3044" w:rsidRDefault="008143D9" w:rsidP="005A428D">
            <w:pPr>
              <w:rPr>
                <w:rFonts w:eastAsia="SimSun"/>
              </w:rPr>
            </w:pPr>
          </w:p>
        </w:tc>
        <w:tc>
          <w:tcPr>
            <w:tcW w:w="1701" w:type="dxa"/>
            <w:vAlign w:val="center"/>
          </w:tcPr>
          <w:p w14:paraId="01A45ADA" w14:textId="77777777" w:rsidR="008143D9" w:rsidRPr="00AC3044" w:rsidRDefault="008143D9" w:rsidP="005A428D">
            <w:pPr>
              <w:rPr>
                <w:rFonts w:eastAsia="SimSun"/>
              </w:rPr>
            </w:pPr>
            <w:r w:rsidRPr="00AC3044">
              <w:rPr>
                <w:rFonts w:eastAsia="SimSun"/>
              </w:rPr>
              <w:t>Микофенолата мофетил</w:t>
            </w:r>
          </w:p>
        </w:tc>
        <w:tc>
          <w:tcPr>
            <w:tcW w:w="1559" w:type="dxa"/>
            <w:vAlign w:val="center"/>
          </w:tcPr>
          <w:p w14:paraId="193E141F" w14:textId="77777777" w:rsidR="008143D9" w:rsidRPr="00AC3044" w:rsidRDefault="008143D9" w:rsidP="005A428D">
            <w:pPr>
              <w:rPr>
                <w:rFonts w:eastAsia="SimSun"/>
              </w:rPr>
            </w:pPr>
            <w:r w:rsidRPr="00AC3044">
              <w:rPr>
                <w:rFonts w:eastAsia="SimSun"/>
              </w:rPr>
              <w:t xml:space="preserve">30 мг/кг </w:t>
            </w:r>
          </w:p>
        </w:tc>
        <w:tc>
          <w:tcPr>
            <w:tcW w:w="1418" w:type="dxa"/>
            <w:vAlign w:val="center"/>
          </w:tcPr>
          <w:p w14:paraId="7D96A234" w14:textId="77777777" w:rsidR="008143D9" w:rsidRPr="00AC3044" w:rsidRDefault="008143D9" w:rsidP="005A428D">
            <w:pPr>
              <w:rPr>
                <w:rFonts w:eastAsia="SimSun"/>
              </w:rPr>
            </w:pPr>
            <w:r w:rsidRPr="00AC3044">
              <w:rPr>
                <w:rFonts w:eastAsia="SimSun"/>
              </w:rPr>
              <w:t>–</w:t>
            </w:r>
          </w:p>
        </w:tc>
        <w:tc>
          <w:tcPr>
            <w:tcW w:w="1701" w:type="dxa"/>
            <w:vAlign w:val="center"/>
          </w:tcPr>
          <w:p w14:paraId="16D9B265" w14:textId="77777777" w:rsidR="008143D9" w:rsidRPr="00AC3044" w:rsidRDefault="008143D9" w:rsidP="005A428D">
            <w:pPr>
              <w:rPr>
                <w:rFonts w:eastAsia="SimSun"/>
              </w:rPr>
            </w:pPr>
            <w:r w:rsidRPr="00AC3044">
              <w:rPr>
                <w:rFonts w:eastAsia="SimSun"/>
              </w:rPr>
              <w:t xml:space="preserve">С -1 дня по +30 день </w:t>
            </w:r>
          </w:p>
        </w:tc>
        <w:tc>
          <w:tcPr>
            <w:tcW w:w="2268" w:type="dxa"/>
            <w:vAlign w:val="center"/>
          </w:tcPr>
          <w:p w14:paraId="389D948C" w14:textId="77777777" w:rsidR="008143D9" w:rsidRPr="00AC3044" w:rsidRDefault="008143D9" w:rsidP="005A428D">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33036FE6" w14:textId="77777777" w:rsidR="008143D9" w:rsidRPr="00C07B2E" w:rsidRDefault="008143D9" w:rsidP="008143D9">
      <w:pPr>
        <w:rPr>
          <w:rFonts w:eastAsia="SimSun"/>
        </w:rPr>
      </w:pPr>
    </w:p>
    <w:p w14:paraId="25E88B98" w14:textId="77777777" w:rsidR="008143D9" w:rsidRPr="00C07B2E" w:rsidRDefault="008143D9" w:rsidP="008143D9">
      <w:pPr>
        <w:rPr>
          <w:rFonts w:eastAsia="SimSun"/>
        </w:rPr>
      </w:pPr>
      <w:bookmarkStart w:id="180" w:name="_Toc44401221"/>
      <w:r w:rsidRPr="00EE51B1">
        <w:rPr>
          <w:rFonts w:eastAsia="SimSun"/>
        </w:rPr>
        <w:t>Таблица</w:t>
      </w:r>
      <w:r w:rsidRPr="00C07B2E">
        <w:rPr>
          <w:rFonts w:eastAsia="SimSun"/>
        </w:rPr>
        <w:t xml:space="preserve"> </w:t>
      </w:r>
      <w:r>
        <w:rPr>
          <w:rFonts w:eastAsia="SimSun"/>
        </w:rPr>
        <w:t>5.</w:t>
      </w:r>
      <w:r w:rsidRPr="00C07B2E">
        <w:rPr>
          <w:rFonts w:eastAsia="SimSun"/>
        </w:rPr>
        <w:t>2.2.21 – Flu180+Mel100/ PT-Cy+Tx+MMF30</w:t>
      </w:r>
      <w:bookmarkEnd w:id="180"/>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8143D9" w:rsidRPr="00AC3044" w14:paraId="12FC3F26" w14:textId="77777777" w:rsidTr="005A428D">
        <w:trPr>
          <w:cantSplit/>
          <w:trHeight w:val="20"/>
          <w:tblHeader/>
        </w:trPr>
        <w:tc>
          <w:tcPr>
            <w:tcW w:w="817" w:type="dxa"/>
            <w:vAlign w:val="center"/>
          </w:tcPr>
          <w:p w14:paraId="6540132B" w14:textId="77777777" w:rsidR="008143D9" w:rsidRPr="00AC3044" w:rsidRDefault="008143D9" w:rsidP="005A428D">
            <w:pPr>
              <w:rPr>
                <w:rFonts w:eastAsia="SimSun"/>
              </w:rPr>
            </w:pPr>
          </w:p>
        </w:tc>
        <w:tc>
          <w:tcPr>
            <w:tcW w:w="1701" w:type="dxa"/>
            <w:vAlign w:val="center"/>
          </w:tcPr>
          <w:p w14:paraId="662C475D" w14:textId="77777777" w:rsidR="008143D9" w:rsidRPr="00AC3044" w:rsidRDefault="008143D9" w:rsidP="005A428D">
            <w:pPr>
              <w:rPr>
                <w:rFonts w:eastAsia="SimSun"/>
              </w:rPr>
            </w:pPr>
            <w:r w:rsidRPr="00AC3044">
              <w:rPr>
                <w:rFonts w:eastAsia="SimSun"/>
              </w:rPr>
              <w:t>Препарат</w:t>
            </w:r>
          </w:p>
        </w:tc>
        <w:tc>
          <w:tcPr>
            <w:tcW w:w="1559" w:type="dxa"/>
            <w:vAlign w:val="center"/>
          </w:tcPr>
          <w:p w14:paraId="4BBAA675" w14:textId="77777777" w:rsidR="008143D9" w:rsidRPr="00AC3044" w:rsidRDefault="008143D9" w:rsidP="005A428D">
            <w:pPr>
              <w:rPr>
                <w:rFonts w:eastAsia="SimSun"/>
              </w:rPr>
            </w:pPr>
            <w:r w:rsidRPr="00AC3044">
              <w:rPr>
                <w:rFonts w:eastAsia="SimSun"/>
              </w:rPr>
              <w:t>Суточная доза</w:t>
            </w:r>
          </w:p>
        </w:tc>
        <w:tc>
          <w:tcPr>
            <w:tcW w:w="1418" w:type="dxa"/>
            <w:vAlign w:val="center"/>
          </w:tcPr>
          <w:p w14:paraId="5290B104" w14:textId="77777777" w:rsidR="008143D9" w:rsidRPr="00AC3044" w:rsidRDefault="008143D9" w:rsidP="005A428D">
            <w:pPr>
              <w:rPr>
                <w:rFonts w:eastAsia="SimSun"/>
              </w:rPr>
            </w:pPr>
            <w:r w:rsidRPr="00AC3044">
              <w:rPr>
                <w:rFonts w:eastAsia="SimSun"/>
              </w:rPr>
              <w:t>Курсовая доза</w:t>
            </w:r>
          </w:p>
        </w:tc>
        <w:tc>
          <w:tcPr>
            <w:tcW w:w="1701" w:type="dxa"/>
            <w:vAlign w:val="center"/>
          </w:tcPr>
          <w:p w14:paraId="13E3D07B" w14:textId="77777777" w:rsidR="008143D9" w:rsidRPr="00AC3044" w:rsidRDefault="008143D9" w:rsidP="005A428D">
            <w:pPr>
              <w:rPr>
                <w:rFonts w:eastAsia="SimSun"/>
              </w:rPr>
            </w:pPr>
            <w:r w:rsidRPr="00AC3044">
              <w:rPr>
                <w:rFonts w:eastAsia="SimSun"/>
              </w:rPr>
              <w:t>Дни введения</w:t>
            </w:r>
          </w:p>
        </w:tc>
        <w:tc>
          <w:tcPr>
            <w:tcW w:w="2268" w:type="dxa"/>
            <w:vAlign w:val="center"/>
          </w:tcPr>
          <w:p w14:paraId="25C1B2FC"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150E1F5C" w14:textId="77777777" w:rsidTr="005A428D">
        <w:trPr>
          <w:cantSplit/>
          <w:trHeight w:val="20"/>
        </w:trPr>
        <w:tc>
          <w:tcPr>
            <w:tcW w:w="817" w:type="dxa"/>
            <w:vMerge w:val="restart"/>
            <w:textDirection w:val="btLr"/>
            <w:vAlign w:val="center"/>
          </w:tcPr>
          <w:p w14:paraId="720F40DC" w14:textId="77777777" w:rsidR="008143D9" w:rsidRPr="00AC3044" w:rsidRDefault="008143D9" w:rsidP="005A428D">
            <w:pPr>
              <w:rPr>
                <w:rFonts w:eastAsia="SimSun"/>
              </w:rPr>
            </w:pPr>
            <w:r w:rsidRPr="00AC3044">
              <w:rPr>
                <w:rFonts w:eastAsia="SimSun"/>
              </w:rPr>
              <w:t>Кондиционирование</w:t>
            </w:r>
          </w:p>
        </w:tc>
        <w:tc>
          <w:tcPr>
            <w:tcW w:w="1701" w:type="dxa"/>
            <w:vAlign w:val="center"/>
          </w:tcPr>
          <w:p w14:paraId="4E3830A1" w14:textId="77777777" w:rsidR="008143D9" w:rsidRPr="00AC3044" w:rsidRDefault="008143D9" w:rsidP="005A428D">
            <w:pPr>
              <w:rPr>
                <w:rFonts w:eastAsia="SimSun"/>
              </w:rPr>
            </w:pPr>
            <w:r w:rsidRPr="00AC3044">
              <w:rPr>
                <w:rFonts w:eastAsia="SimSun"/>
              </w:rPr>
              <w:t xml:space="preserve">Флударабин </w:t>
            </w:r>
          </w:p>
        </w:tc>
        <w:tc>
          <w:tcPr>
            <w:tcW w:w="1559" w:type="dxa"/>
            <w:vAlign w:val="center"/>
          </w:tcPr>
          <w:p w14:paraId="5CAE824E" w14:textId="77777777" w:rsidR="008143D9" w:rsidRPr="00AC3044" w:rsidRDefault="008143D9" w:rsidP="005A428D">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2DC9C0CE" w14:textId="77777777" w:rsidR="008143D9" w:rsidRPr="00AC3044" w:rsidRDefault="008143D9" w:rsidP="005A428D">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2FF669D7" w14:textId="77777777" w:rsidR="008143D9" w:rsidRPr="00AC3044" w:rsidRDefault="008143D9" w:rsidP="005A428D">
            <w:pPr>
              <w:rPr>
                <w:rFonts w:eastAsia="SimSun"/>
              </w:rPr>
            </w:pPr>
            <w:r w:rsidRPr="00AC3044">
              <w:rPr>
                <w:rFonts w:eastAsia="SimSun"/>
              </w:rPr>
              <w:t>С -7 дня по -2 день</w:t>
            </w:r>
          </w:p>
        </w:tc>
        <w:tc>
          <w:tcPr>
            <w:tcW w:w="2268" w:type="dxa"/>
            <w:vAlign w:val="center"/>
          </w:tcPr>
          <w:p w14:paraId="1B473021"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6B5292C2" w14:textId="77777777" w:rsidTr="005A428D">
        <w:trPr>
          <w:cantSplit/>
          <w:trHeight w:val="450"/>
        </w:trPr>
        <w:tc>
          <w:tcPr>
            <w:tcW w:w="817" w:type="dxa"/>
            <w:vMerge/>
            <w:vAlign w:val="center"/>
          </w:tcPr>
          <w:p w14:paraId="59D5B6D4" w14:textId="77777777" w:rsidR="008143D9" w:rsidRPr="00AC3044" w:rsidRDefault="008143D9" w:rsidP="005A428D">
            <w:pPr>
              <w:rPr>
                <w:rFonts w:eastAsia="SimSun"/>
              </w:rPr>
            </w:pPr>
          </w:p>
        </w:tc>
        <w:tc>
          <w:tcPr>
            <w:tcW w:w="1701" w:type="dxa"/>
            <w:vAlign w:val="center"/>
          </w:tcPr>
          <w:p w14:paraId="76D3DBDF" w14:textId="77777777" w:rsidR="008143D9" w:rsidRPr="00AC3044" w:rsidRDefault="008143D9" w:rsidP="005A428D">
            <w:pPr>
              <w:rPr>
                <w:rFonts w:eastAsia="SimSun"/>
              </w:rPr>
            </w:pPr>
            <w:r w:rsidRPr="00AC3044">
              <w:rPr>
                <w:rFonts w:eastAsia="SimSun"/>
              </w:rPr>
              <w:t>Мелфалан</w:t>
            </w:r>
          </w:p>
        </w:tc>
        <w:tc>
          <w:tcPr>
            <w:tcW w:w="1559" w:type="dxa"/>
            <w:vAlign w:val="center"/>
          </w:tcPr>
          <w:p w14:paraId="38A6F9B1" w14:textId="77777777" w:rsidR="008143D9" w:rsidRPr="00AC3044" w:rsidRDefault="008143D9" w:rsidP="005A428D">
            <w:pPr>
              <w:rPr>
                <w:rFonts w:eastAsia="SimSun"/>
              </w:rPr>
            </w:pPr>
            <w:r w:rsidRPr="00AC3044">
              <w:rPr>
                <w:rFonts w:eastAsia="SimSun"/>
              </w:rPr>
              <w:t>100 мг/м</w:t>
            </w:r>
            <w:r w:rsidRPr="0074195F">
              <w:rPr>
                <w:rFonts w:eastAsia="SimSun"/>
                <w:vertAlign w:val="superscript"/>
              </w:rPr>
              <w:t>2</w:t>
            </w:r>
            <w:r w:rsidRPr="00AC3044">
              <w:rPr>
                <w:rFonts w:eastAsia="SimSun"/>
              </w:rPr>
              <w:t xml:space="preserve"> </w:t>
            </w:r>
          </w:p>
        </w:tc>
        <w:tc>
          <w:tcPr>
            <w:tcW w:w="1418" w:type="dxa"/>
            <w:vAlign w:val="center"/>
          </w:tcPr>
          <w:p w14:paraId="78C5C28E" w14:textId="77777777" w:rsidR="008143D9" w:rsidRPr="00AC3044" w:rsidRDefault="008143D9" w:rsidP="005A428D">
            <w:pPr>
              <w:rPr>
                <w:rFonts w:eastAsia="SimSun"/>
              </w:rPr>
            </w:pPr>
            <w:r w:rsidRPr="00AC3044">
              <w:rPr>
                <w:rFonts w:eastAsia="SimSun"/>
              </w:rPr>
              <w:t>100 мг/м</w:t>
            </w:r>
            <w:r w:rsidRPr="0074195F">
              <w:rPr>
                <w:rFonts w:eastAsia="SimSun"/>
                <w:vertAlign w:val="superscript"/>
              </w:rPr>
              <w:t>2</w:t>
            </w:r>
          </w:p>
        </w:tc>
        <w:tc>
          <w:tcPr>
            <w:tcW w:w="1701" w:type="dxa"/>
            <w:vAlign w:val="center"/>
          </w:tcPr>
          <w:p w14:paraId="55C5B7D2" w14:textId="77777777" w:rsidR="008143D9" w:rsidRPr="00AC3044" w:rsidRDefault="008143D9" w:rsidP="005A428D">
            <w:pPr>
              <w:rPr>
                <w:rFonts w:eastAsia="SimSun"/>
              </w:rPr>
            </w:pPr>
            <w:r w:rsidRPr="00AC3044">
              <w:rPr>
                <w:rFonts w:eastAsia="SimSun"/>
              </w:rPr>
              <w:t xml:space="preserve">В -2 день </w:t>
            </w:r>
          </w:p>
        </w:tc>
        <w:tc>
          <w:tcPr>
            <w:tcW w:w="2268" w:type="dxa"/>
            <w:vAlign w:val="center"/>
          </w:tcPr>
          <w:p w14:paraId="1D29E568" w14:textId="77777777" w:rsidR="008143D9" w:rsidRPr="00AC3044" w:rsidRDefault="008143D9" w:rsidP="005A428D">
            <w:pPr>
              <w:rPr>
                <w:rFonts w:eastAsia="SimSun"/>
              </w:rPr>
            </w:pPr>
            <w:r w:rsidRPr="00AC3044">
              <w:rPr>
                <w:rFonts w:eastAsia="SimSun"/>
              </w:rPr>
              <w:t>В/в, в течение 1 часа</w:t>
            </w:r>
          </w:p>
        </w:tc>
      </w:tr>
      <w:tr w:rsidR="008143D9" w:rsidRPr="00AC3044" w14:paraId="66240157" w14:textId="77777777" w:rsidTr="005A428D">
        <w:trPr>
          <w:cantSplit/>
          <w:trHeight w:val="450"/>
        </w:trPr>
        <w:tc>
          <w:tcPr>
            <w:tcW w:w="817" w:type="dxa"/>
            <w:vMerge w:val="restart"/>
            <w:textDirection w:val="btLr"/>
            <w:vAlign w:val="center"/>
          </w:tcPr>
          <w:p w14:paraId="59D4FD5C" w14:textId="77777777" w:rsidR="008143D9" w:rsidRPr="00AC3044" w:rsidRDefault="008143D9" w:rsidP="005A428D">
            <w:pPr>
              <w:rPr>
                <w:rFonts w:eastAsia="SimSun"/>
              </w:rPr>
            </w:pPr>
            <w:r w:rsidRPr="00AC3044">
              <w:rPr>
                <w:rFonts w:eastAsia="SimSun"/>
              </w:rPr>
              <w:t>Профилактика РТПХ</w:t>
            </w:r>
          </w:p>
        </w:tc>
        <w:tc>
          <w:tcPr>
            <w:tcW w:w="1701" w:type="dxa"/>
            <w:vAlign w:val="center"/>
          </w:tcPr>
          <w:p w14:paraId="5B088704" w14:textId="77777777" w:rsidR="008143D9" w:rsidRPr="00AC3044" w:rsidRDefault="008143D9" w:rsidP="005A428D">
            <w:pPr>
              <w:rPr>
                <w:rFonts w:eastAsia="SimSun"/>
              </w:rPr>
            </w:pPr>
            <w:r w:rsidRPr="00AC3044">
              <w:rPr>
                <w:rFonts w:eastAsia="SimSun"/>
              </w:rPr>
              <w:t>Циклофосфамид</w:t>
            </w:r>
          </w:p>
        </w:tc>
        <w:tc>
          <w:tcPr>
            <w:tcW w:w="1559" w:type="dxa"/>
            <w:vAlign w:val="center"/>
          </w:tcPr>
          <w:p w14:paraId="71308110" w14:textId="77777777" w:rsidR="008143D9" w:rsidRPr="00AC3044" w:rsidRDefault="008143D9" w:rsidP="005A428D">
            <w:pPr>
              <w:rPr>
                <w:rFonts w:eastAsia="SimSun"/>
              </w:rPr>
            </w:pPr>
            <w:r w:rsidRPr="00AC3044">
              <w:rPr>
                <w:rFonts w:eastAsia="SimSun"/>
              </w:rPr>
              <w:t>50 мг/кг</w:t>
            </w:r>
          </w:p>
        </w:tc>
        <w:tc>
          <w:tcPr>
            <w:tcW w:w="1418" w:type="dxa"/>
            <w:vAlign w:val="center"/>
          </w:tcPr>
          <w:p w14:paraId="6CD43021" w14:textId="77777777" w:rsidR="008143D9" w:rsidRPr="00AC3044" w:rsidRDefault="008143D9" w:rsidP="005A428D">
            <w:pPr>
              <w:rPr>
                <w:rFonts w:eastAsia="SimSun"/>
              </w:rPr>
            </w:pPr>
            <w:r w:rsidRPr="00AC3044">
              <w:rPr>
                <w:rFonts w:eastAsia="SimSun"/>
              </w:rPr>
              <w:t>100 мг/кг</w:t>
            </w:r>
          </w:p>
        </w:tc>
        <w:tc>
          <w:tcPr>
            <w:tcW w:w="1701" w:type="dxa"/>
            <w:vAlign w:val="center"/>
          </w:tcPr>
          <w:p w14:paraId="234762CB" w14:textId="77777777" w:rsidR="008143D9" w:rsidRPr="00AC3044" w:rsidRDefault="008143D9" w:rsidP="005A428D">
            <w:pPr>
              <w:rPr>
                <w:rFonts w:eastAsia="SimSun"/>
              </w:rPr>
            </w:pPr>
            <w:r w:rsidRPr="00AC3044">
              <w:rPr>
                <w:rFonts w:eastAsia="SimSun"/>
              </w:rPr>
              <w:t xml:space="preserve">+3,+4 дни </w:t>
            </w:r>
          </w:p>
        </w:tc>
        <w:tc>
          <w:tcPr>
            <w:tcW w:w="2268" w:type="dxa"/>
            <w:vAlign w:val="center"/>
          </w:tcPr>
          <w:p w14:paraId="04A5C284" w14:textId="77777777" w:rsidR="008143D9" w:rsidRPr="00AC3044" w:rsidRDefault="008143D9" w:rsidP="005A428D">
            <w:pPr>
              <w:rPr>
                <w:rFonts w:eastAsia="SimSun"/>
              </w:rPr>
            </w:pPr>
            <w:r w:rsidRPr="00AC3044">
              <w:rPr>
                <w:rFonts w:eastAsia="SimSun"/>
              </w:rPr>
              <w:t>В/в, в течение 2 часов</w:t>
            </w:r>
          </w:p>
        </w:tc>
      </w:tr>
      <w:tr w:rsidR="008143D9" w:rsidRPr="00AC3044" w14:paraId="475CA834" w14:textId="77777777" w:rsidTr="005A428D">
        <w:trPr>
          <w:cantSplit/>
          <w:trHeight w:val="958"/>
        </w:trPr>
        <w:tc>
          <w:tcPr>
            <w:tcW w:w="817" w:type="dxa"/>
            <w:vMerge/>
            <w:textDirection w:val="btLr"/>
            <w:vAlign w:val="center"/>
          </w:tcPr>
          <w:p w14:paraId="0E545A13" w14:textId="77777777" w:rsidR="008143D9" w:rsidRPr="00AC3044" w:rsidRDefault="008143D9" w:rsidP="005A428D">
            <w:pPr>
              <w:rPr>
                <w:rFonts w:eastAsia="SimSun"/>
              </w:rPr>
            </w:pPr>
          </w:p>
        </w:tc>
        <w:tc>
          <w:tcPr>
            <w:tcW w:w="1701" w:type="dxa"/>
            <w:vAlign w:val="center"/>
          </w:tcPr>
          <w:p w14:paraId="55103ADB" w14:textId="77777777" w:rsidR="008143D9" w:rsidRPr="00AC3044" w:rsidRDefault="008143D9" w:rsidP="005A428D">
            <w:pPr>
              <w:rPr>
                <w:rFonts w:eastAsia="SimSun"/>
              </w:rPr>
            </w:pPr>
            <w:r w:rsidRPr="00AC3044">
              <w:rPr>
                <w:rFonts w:eastAsia="SimSun"/>
              </w:rPr>
              <w:t xml:space="preserve">Такролимус </w:t>
            </w:r>
          </w:p>
        </w:tc>
        <w:tc>
          <w:tcPr>
            <w:tcW w:w="1559" w:type="dxa"/>
            <w:vAlign w:val="center"/>
          </w:tcPr>
          <w:p w14:paraId="6AAEC6FC" w14:textId="77777777" w:rsidR="008143D9" w:rsidRPr="00AC3044" w:rsidRDefault="008143D9" w:rsidP="005A428D">
            <w:pPr>
              <w:rPr>
                <w:rFonts w:eastAsia="SimSun"/>
              </w:rPr>
            </w:pPr>
            <w:r w:rsidRPr="00AC3044">
              <w:rPr>
                <w:rFonts w:eastAsia="SimSun"/>
              </w:rPr>
              <w:t>0,03 мг/кг</w:t>
            </w:r>
          </w:p>
        </w:tc>
        <w:tc>
          <w:tcPr>
            <w:tcW w:w="1418" w:type="dxa"/>
            <w:vAlign w:val="center"/>
          </w:tcPr>
          <w:p w14:paraId="4E14B32C" w14:textId="77777777" w:rsidR="008143D9" w:rsidRPr="00AC3044" w:rsidRDefault="008143D9" w:rsidP="005A428D">
            <w:pPr>
              <w:rPr>
                <w:rFonts w:eastAsia="SimSun"/>
              </w:rPr>
            </w:pPr>
            <w:r w:rsidRPr="00AC3044">
              <w:rPr>
                <w:rFonts w:eastAsia="SimSun"/>
              </w:rPr>
              <w:t>–</w:t>
            </w:r>
          </w:p>
        </w:tc>
        <w:tc>
          <w:tcPr>
            <w:tcW w:w="1701" w:type="dxa"/>
            <w:vAlign w:val="center"/>
          </w:tcPr>
          <w:p w14:paraId="0B2A81F8" w14:textId="77777777" w:rsidR="008143D9" w:rsidRPr="00AC3044" w:rsidRDefault="008143D9" w:rsidP="005A428D">
            <w:pPr>
              <w:rPr>
                <w:rFonts w:eastAsia="SimSun"/>
              </w:rPr>
            </w:pPr>
            <w:r w:rsidRPr="00AC3044">
              <w:rPr>
                <w:rFonts w:eastAsia="SimSun"/>
              </w:rPr>
              <w:t xml:space="preserve">С -1 дня длительно </w:t>
            </w:r>
          </w:p>
        </w:tc>
        <w:tc>
          <w:tcPr>
            <w:tcW w:w="2268" w:type="dxa"/>
            <w:vAlign w:val="center"/>
          </w:tcPr>
          <w:p w14:paraId="78C8B88B" w14:textId="77777777" w:rsidR="008143D9" w:rsidRPr="00AC3044" w:rsidRDefault="008143D9" w:rsidP="005A428D">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8143D9" w:rsidRPr="00AC3044" w14:paraId="35BDCDDC" w14:textId="77777777" w:rsidTr="005A428D">
        <w:trPr>
          <w:cantSplit/>
          <w:trHeight w:val="528"/>
        </w:trPr>
        <w:tc>
          <w:tcPr>
            <w:tcW w:w="817" w:type="dxa"/>
            <w:vMerge/>
            <w:textDirection w:val="btLr"/>
            <w:vAlign w:val="center"/>
          </w:tcPr>
          <w:p w14:paraId="48ADA889" w14:textId="77777777" w:rsidR="008143D9" w:rsidRPr="00AC3044" w:rsidRDefault="008143D9" w:rsidP="005A428D">
            <w:pPr>
              <w:rPr>
                <w:rFonts w:eastAsia="SimSun"/>
              </w:rPr>
            </w:pPr>
          </w:p>
        </w:tc>
        <w:tc>
          <w:tcPr>
            <w:tcW w:w="1701" w:type="dxa"/>
            <w:vAlign w:val="center"/>
          </w:tcPr>
          <w:p w14:paraId="49275AD9" w14:textId="77777777" w:rsidR="008143D9" w:rsidRPr="00AC3044" w:rsidRDefault="008143D9" w:rsidP="005A428D">
            <w:pPr>
              <w:rPr>
                <w:rFonts w:eastAsia="SimSun"/>
              </w:rPr>
            </w:pPr>
            <w:r w:rsidRPr="00AC3044">
              <w:rPr>
                <w:rFonts w:eastAsia="SimSun"/>
              </w:rPr>
              <w:t>Микофенолата мофетил</w:t>
            </w:r>
          </w:p>
        </w:tc>
        <w:tc>
          <w:tcPr>
            <w:tcW w:w="1559" w:type="dxa"/>
            <w:vAlign w:val="center"/>
          </w:tcPr>
          <w:p w14:paraId="05D510D3" w14:textId="77777777" w:rsidR="008143D9" w:rsidRPr="00AC3044" w:rsidRDefault="008143D9" w:rsidP="005A428D">
            <w:pPr>
              <w:rPr>
                <w:rFonts w:eastAsia="SimSun"/>
              </w:rPr>
            </w:pPr>
            <w:r w:rsidRPr="00AC3044">
              <w:rPr>
                <w:rFonts w:eastAsia="SimSun"/>
              </w:rPr>
              <w:t xml:space="preserve">30 мг/кг </w:t>
            </w:r>
          </w:p>
        </w:tc>
        <w:tc>
          <w:tcPr>
            <w:tcW w:w="1418" w:type="dxa"/>
            <w:vAlign w:val="center"/>
          </w:tcPr>
          <w:p w14:paraId="59F327E5" w14:textId="77777777" w:rsidR="008143D9" w:rsidRPr="00AC3044" w:rsidRDefault="008143D9" w:rsidP="005A428D">
            <w:pPr>
              <w:rPr>
                <w:rFonts w:eastAsia="SimSun"/>
              </w:rPr>
            </w:pPr>
            <w:r w:rsidRPr="00AC3044">
              <w:rPr>
                <w:rFonts w:eastAsia="SimSun"/>
              </w:rPr>
              <w:t>–</w:t>
            </w:r>
          </w:p>
        </w:tc>
        <w:tc>
          <w:tcPr>
            <w:tcW w:w="1701" w:type="dxa"/>
            <w:vAlign w:val="center"/>
          </w:tcPr>
          <w:p w14:paraId="604E73B3" w14:textId="77777777" w:rsidR="008143D9" w:rsidRPr="00AC3044" w:rsidRDefault="008143D9" w:rsidP="005A428D">
            <w:pPr>
              <w:rPr>
                <w:rFonts w:eastAsia="SimSun"/>
              </w:rPr>
            </w:pPr>
            <w:r w:rsidRPr="00AC3044">
              <w:rPr>
                <w:rFonts w:eastAsia="SimSun"/>
              </w:rPr>
              <w:t xml:space="preserve">С -1 дня по +30 день </w:t>
            </w:r>
          </w:p>
        </w:tc>
        <w:tc>
          <w:tcPr>
            <w:tcW w:w="2268" w:type="dxa"/>
            <w:vAlign w:val="center"/>
          </w:tcPr>
          <w:p w14:paraId="3CB98F5E" w14:textId="77777777" w:rsidR="008143D9" w:rsidRPr="00AC3044" w:rsidRDefault="008143D9" w:rsidP="005A428D">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4D8F3A0D" w14:textId="77777777" w:rsidR="008143D9" w:rsidRPr="00C07B2E" w:rsidRDefault="008143D9" w:rsidP="008143D9">
      <w:pPr>
        <w:rPr>
          <w:rFonts w:eastAsia="SimSun"/>
        </w:rPr>
        <w:sectPr w:rsidR="008143D9" w:rsidRPr="00C07B2E" w:rsidSect="00980822">
          <w:footerReference w:type="default" r:id="rId16"/>
          <w:type w:val="continuous"/>
          <w:pgSz w:w="11907" w:h="16839" w:code="9"/>
          <w:pgMar w:top="1134" w:right="850" w:bottom="1134" w:left="1701" w:header="709" w:footer="567" w:gutter="0"/>
          <w:cols w:space="708"/>
          <w:docGrid w:linePitch="360"/>
        </w:sectPr>
      </w:pPr>
    </w:p>
    <w:p w14:paraId="0AB2E95B" w14:textId="77777777" w:rsidR="008143D9" w:rsidRPr="0074195F" w:rsidRDefault="008143D9" w:rsidP="008143D9">
      <w:pPr>
        <w:rPr>
          <w:rFonts w:eastAsia="SimSun"/>
        </w:rPr>
      </w:pPr>
      <w:bookmarkStart w:id="181" w:name="_Toc44401222"/>
    </w:p>
    <w:p w14:paraId="0CAEF95D" w14:textId="77777777" w:rsidR="008143D9" w:rsidRPr="00030511" w:rsidRDefault="008143D9" w:rsidP="008143D9">
      <w:pPr>
        <w:rPr>
          <w:rFonts w:eastAsia="SimSun"/>
          <w:i/>
          <w:u w:val="single"/>
        </w:rPr>
      </w:pPr>
      <w:r w:rsidRPr="00030511">
        <w:rPr>
          <w:rFonts w:eastAsia="SimSun"/>
          <w:i/>
          <w:u w:val="single"/>
        </w:rPr>
        <w:t>3. Неродственный частично совместимый или родственный гаплоидентичный донор</w:t>
      </w:r>
      <w:bookmarkEnd w:id="181"/>
    </w:p>
    <w:p w14:paraId="2FA12C31" w14:textId="77777777" w:rsidR="008143D9" w:rsidRDefault="008143D9" w:rsidP="008143D9">
      <w:pPr>
        <w:rPr>
          <w:rFonts w:eastAsia="SimSun"/>
        </w:rPr>
      </w:pPr>
      <w:bookmarkStart w:id="182" w:name="_Toc44401223"/>
    </w:p>
    <w:bookmarkEnd w:id="182"/>
    <w:p w14:paraId="5529319C" w14:textId="77777777" w:rsidR="008143D9" w:rsidRDefault="008143D9" w:rsidP="008143D9">
      <w:pPr>
        <w:rPr>
          <w:rFonts w:eastAsia="SimSun"/>
        </w:rPr>
      </w:pPr>
      <w:r w:rsidRPr="00C07B2E">
        <w:rPr>
          <w:rFonts w:eastAsia="SimSun"/>
        </w:rPr>
        <w:t>Схемы и режимы применения препаратов для кондиционирования</w:t>
      </w:r>
      <w:r>
        <w:rPr>
          <w:rFonts w:eastAsia="SimSun"/>
        </w:rPr>
        <w:t xml:space="preserve"> </w:t>
      </w:r>
      <w:r w:rsidRPr="00030511">
        <w:rPr>
          <w:rFonts w:eastAsia="SimSun"/>
        </w:rPr>
        <w:t>в миелоаблативном режиме и режиме пониженной интенсивности</w:t>
      </w:r>
      <w:r w:rsidRPr="00C07B2E">
        <w:rPr>
          <w:rFonts w:eastAsia="SimSun"/>
        </w:rPr>
        <w:t xml:space="preserve"> и профилактики РТПХ со ссылками на приложения указаны в Таблице </w:t>
      </w:r>
      <w:r>
        <w:rPr>
          <w:rFonts w:eastAsia="SimSun"/>
        </w:rPr>
        <w:t>5.</w:t>
      </w:r>
      <w:r w:rsidRPr="00C07B2E">
        <w:rPr>
          <w:rFonts w:eastAsia="SimSun"/>
        </w:rPr>
        <w:t>3.1</w:t>
      </w:r>
    </w:p>
    <w:p w14:paraId="28611766" w14:textId="77777777" w:rsidR="008143D9" w:rsidRPr="00C07B2E" w:rsidRDefault="008143D9" w:rsidP="008143D9">
      <w:pPr>
        <w:rPr>
          <w:rFonts w:eastAsia="SimSun"/>
        </w:rPr>
        <w:sectPr w:rsidR="008143D9" w:rsidRPr="00C07B2E" w:rsidSect="00980822">
          <w:footerReference w:type="default" r:id="rId17"/>
          <w:type w:val="continuous"/>
          <w:pgSz w:w="11907" w:h="16839" w:code="9"/>
          <w:pgMar w:top="1134" w:right="850" w:bottom="1134" w:left="1701" w:header="709" w:footer="567" w:gutter="0"/>
          <w:cols w:space="708"/>
          <w:docGrid w:linePitch="360"/>
        </w:sectPr>
      </w:pPr>
    </w:p>
    <w:p w14:paraId="2FCB62D9" w14:textId="77777777" w:rsidR="008143D9" w:rsidRPr="00C07B2E" w:rsidRDefault="008143D9" w:rsidP="008143D9">
      <w:pPr>
        <w:rPr>
          <w:rFonts w:eastAsia="SimSun"/>
        </w:rPr>
      </w:pPr>
      <w:r w:rsidRPr="00C07B2E">
        <w:rPr>
          <w:rFonts w:eastAsia="SimSun"/>
        </w:rPr>
        <w:t xml:space="preserve">Таблица </w:t>
      </w:r>
      <w:r>
        <w:rPr>
          <w:rFonts w:eastAsia="SimSun"/>
        </w:rPr>
        <w:t>5.</w:t>
      </w:r>
      <w:r w:rsidRPr="00C07B2E">
        <w:rPr>
          <w:rFonts w:eastAsia="SimSun"/>
        </w:rPr>
        <w:t>3.1 Схемы и режимы применения препаратов для кондиционирования и профилактики РТПХ со ссылками на приложения</w:t>
      </w:r>
    </w:p>
    <w:p w14:paraId="289BDA8D" w14:textId="77777777" w:rsidR="008143D9" w:rsidRPr="00C07B2E" w:rsidRDefault="008143D9" w:rsidP="008143D9">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1053"/>
        <w:gridCol w:w="917"/>
        <w:gridCol w:w="1302"/>
        <w:gridCol w:w="1268"/>
        <w:gridCol w:w="1154"/>
        <w:gridCol w:w="1331"/>
        <w:gridCol w:w="1268"/>
        <w:gridCol w:w="954"/>
        <w:gridCol w:w="954"/>
        <w:gridCol w:w="954"/>
        <w:gridCol w:w="1214"/>
        <w:gridCol w:w="1202"/>
      </w:tblGrid>
      <w:tr w:rsidR="008143D9" w:rsidRPr="00470E23" w14:paraId="536D8585" w14:textId="77777777" w:rsidTr="005A428D">
        <w:trPr>
          <w:cantSplit/>
          <w:trHeight w:val="1020"/>
        </w:trPr>
        <w:tc>
          <w:tcPr>
            <w:tcW w:w="1394" w:type="pct"/>
            <w:gridSpan w:val="4"/>
            <w:vMerge w:val="restart"/>
            <w:tcBorders>
              <w:right w:val="single" w:sz="4" w:space="0" w:color="00000A"/>
            </w:tcBorders>
            <w:shd w:val="clear" w:color="auto" w:fill="auto"/>
            <w:vAlign w:val="center"/>
          </w:tcPr>
          <w:p w14:paraId="7E1C2424" w14:textId="77777777" w:rsidR="008143D9" w:rsidRPr="00470E23" w:rsidRDefault="008143D9" w:rsidP="005A428D">
            <w:pPr>
              <w:rPr>
                <w:rFonts w:eastAsia="SimSun"/>
                <w:sz w:val="22"/>
              </w:rPr>
            </w:pPr>
            <w:r w:rsidRPr="00470E23">
              <w:rPr>
                <w:rFonts w:eastAsia="SimSun"/>
                <w:sz w:val="22"/>
              </w:rPr>
              <w:t>Профилактика РТПХ</w:t>
            </w:r>
          </w:p>
        </w:tc>
        <w:tc>
          <w:tcPr>
            <w:tcW w:w="3606" w:type="pct"/>
            <w:gridSpan w:val="9"/>
            <w:tcBorders>
              <w:left w:val="single" w:sz="4" w:space="0" w:color="00000A"/>
              <w:right w:val="single" w:sz="4" w:space="0" w:color="00000A"/>
            </w:tcBorders>
            <w:shd w:val="clear" w:color="auto" w:fill="auto"/>
            <w:vAlign w:val="center"/>
          </w:tcPr>
          <w:p w14:paraId="18A37FE0" w14:textId="77777777" w:rsidR="008143D9" w:rsidRPr="00470E23" w:rsidRDefault="008143D9" w:rsidP="005A428D">
            <w:pPr>
              <w:rPr>
                <w:rFonts w:eastAsia="SimSun"/>
                <w:sz w:val="22"/>
              </w:rPr>
            </w:pPr>
            <w:r w:rsidRPr="00470E23">
              <w:rPr>
                <w:rFonts w:eastAsia="SimSun"/>
                <w:sz w:val="22"/>
              </w:rPr>
              <w:t>Режим кондиционирования</w:t>
            </w:r>
          </w:p>
        </w:tc>
      </w:tr>
      <w:tr w:rsidR="008143D9" w:rsidRPr="00470E23" w14:paraId="5A7BF3CC" w14:textId="77777777" w:rsidTr="005A428D">
        <w:trPr>
          <w:cantSplit/>
          <w:trHeight w:val="1020"/>
        </w:trPr>
        <w:tc>
          <w:tcPr>
            <w:tcW w:w="1394" w:type="pct"/>
            <w:gridSpan w:val="4"/>
            <w:vMerge/>
            <w:tcBorders>
              <w:right w:val="single" w:sz="4" w:space="0" w:color="00000A"/>
            </w:tcBorders>
            <w:shd w:val="clear" w:color="auto" w:fill="auto"/>
            <w:vAlign w:val="center"/>
          </w:tcPr>
          <w:p w14:paraId="2BA834A8" w14:textId="77777777" w:rsidR="008143D9" w:rsidRPr="00470E23" w:rsidRDefault="008143D9" w:rsidP="005A428D">
            <w:pPr>
              <w:rPr>
                <w:rFonts w:eastAsia="SimSun"/>
                <w:sz w:val="22"/>
              </w:rPr>
            </w:pPr>
          </w:p>
        </w:tc>
        <w:tc>
          <w:tcPr>
            <w:tcW w:w="1314" w:type="pct"/>
            <w:gridSpan w:val="3"/>
            <w:tcBorders>
              <w:left w:val="single" w:sz="4" w:space="0" w:color="00000A"/>
              <w:right w:val="single" w:sz="4" w:space="0" w:color="00000A"/>
            </w:tcBorders>
            <w:shd w:val="clear" w:color="auto" w:fill="D9D9D9"/>
            <w:vAlign w:val="center"/>
          </w:tcPr>
          <w:p w14:paraId="6EF8D5BD" w14:textId="77777777" w:rsidR="008143D9" w:rsidRPr="00470E23" w:rsidRDefault="008143D9" w:rsidP="005A428D">
            <w:pPr>
              <w:rPr>
                <w:rFonts w:eastAsia="SimSun"/>
                <w:sz w:val="22"/>
              </w:rPr>
            </w:pPr>
            <w:r w:rsidRPr="00470E23">
              <w:rPr>
                <w:rFonts w:eastAsia="SimSun"/>
                <w:sz w:val="22"/>
              </w:rPr>
              <w:t>Flu150</w:t>
            </w:r>
          </w:p>
        </w:tc>
        <w:tc>
          <w:tcPr>
            <w:tcW w:w="2293" w:type="pct"/>
            <w:gridSpan w:val="6"/>
            <w:tcBorders>
              <w:left w:val="single" w:sz="4" w:space="0" w:color="00000A"/>
              <w:right w:val="single" w:sz="4" w:space="0" w:color="00000A"/>
            </w:tcBorders>
            <w:shd w:val="clear" w:color="auto" w:fill="D9D9D9"/>
            <w:vAlign w:val="center"/>
          </w:tcPr>
          <w:p w14:paraId="5B2CA327" w14:textId="77777777" w:rsidR="008143D9" w:rsidRPr="00470E23" w:rsidRDefault="008143D9" w:rsidP="005A428D">
            <w:pPr>
              <w:rPr>
                <w:rFonts w:eastAsia="SimSun"/>
                <w:sz w:val="22"/>
              </w:rPr>
            </w:pPr>
            <w:r w:rsidRPr="00470E23">
              <w:rPr>
                <w:rFonts w:eastAsia="SimSun"/>
                <w:sz w:val="22"/>
              </w:rPr>
              <w:t>Flu180</w:t>
            </w:r>
          </w:p>
        </w:tc>
      </w:tr>
      <w:tr w:rsidR="008143D9" w:rsidRPr="00470E23" w14:paraId="13244454" w14:textId="77777777" w:rsidTr="005A428D">
        <w:trPr>
          <w:cantSplit/>
          <w:trHeight w:val="1020"/>
        </w:trPr>
        <w:tc>
          <w:tcPr>
            <w:tcW w:w="1394" w:type="pct"/>
            <w:gridSpan w:val="4"/>
            <w:vMerge/>
            <w:tcBorders>
              <w:right w:val="single" w:sz="4" w:space="0" w:color="00000A"/>
            </w:tcBorders>
            <w:shd w:val="clear" w:color="auto" w:fill="auto"/>
            <w:vAlign w:val="center"/>
          </w:tcPr>
          <w:p w14:paraId="6044B0C6" w14:textId="77777777" w:rsidR="008143D9" w:rsidRPr="00470E23" w:rsidRDefault="008143D9" w:rsidP="005A428D">
            <w:pPr>
              <w:rPr>
                <w:rFonts w:eastAsia="SimSun"/>
                <w:sz w:val="22"/>
              </w:rPr>
            </w:pPr>
          </w:p>
        </w:tc>
        <w:tc>
          <w:tcPr>
            <w:tcW w:w="444" w:type="pct"/>
            <w:tcBorders>
              <w:left w:val="single" w:sz="4" w:space="0" w:color="00000A"/>
              <w:right w:val="single" w:sz="4" w:space="0" w:color="00000A"/>
            </w:tcBorders>
            <w:shd w:val="clear" w:color="auto" w:fill="D9D9D9"/>
            <w:vAlign w:val="center"/>
          </w:tcPr>
          <w:p w14:paraId="463E89B3" w14:textId="77777777" w:rsidR="008143D9" w:rsidRPr="00470E23" w:rsidRDefault="008143D9" w:rsidP="005A428D">
            <w:pPr>
              <w:rPr>
                <w:rFonts w:eastAsia="SimSun"/>
                <w:sz w:val="22"/>
              </w:rPr>
            </w:pPr>
            <w:r w:rsidRPr="00470E23">
              <w:rPr>
                <w:rFonts w:eastAsia="SimSun"/>
                <w:sz w:val="22"/>
              </w:rPr>
              <w:t>Bu8</w:t>
            </w:r>
          </w:p>
        </w:tc>
        <w:tc>
          <w:tcPr>
            <w:tcW w:w="404" w:type="pct"/>
            <w:shd w:val="clear" w:color="auto" w:fill="D9D9D9"/>
            <w:vAlign w:val="center"/>
          </w:tcPr>
          <w:p w14:paraId="683575D6" w14:textId="77777777" w:rsidR="008143D9" w:rsidRPr="00470E23" w:rsidRDefault="008143D9" w:rsidP="005A428D">
            <w:pPr>
              <w:rPr>
                <w:rFonts w:eastAsia="SimSun"/>
                <w:sz w:val="22"/>
              </w:rPr>
            </w:pPr>
            <w:r w:rsidRPr="00470E23">
              <w:rPr>
                <w:rFonts w:eastAsia="SimSun"/>
                <w:sz w:val="22"/>
              </w:rPr>
              <w:t>Treo36</w:t>
            </w:r>
          </w:p>
        </w:tc>
        <w:tc>
          <w:tcPr>
            <w:tcW w:w="466" w:type="pct"/>
            <w:shd w:val="clear" w:color="auto" w:fill="D9D9D9"/>
            <w:vAlign w:val="center"/>
          </w:tcPr>
          <w:p w14:paraId="65F67C77" w14:textId="77777777" w:rsidR="008143D9" w:rsidRPr="00470E23" w:rsidRDefault="008143D9" w:rsidP="005A428D">
            <w:pPr>
              <w:rPr>
                <w:rFonts w:eastAsia="SimSun"/>
                <w:sz w:val="22"/>
              </w:rPr>
            </w:pPr>
            <w:r w:rsidRPr="00470E23">
              <w:rPr>
                <w:rFonts w:eastAsia="SimSun"/>
                <w:sz w:val="22"/>
              </w:rPr>
              <w:t>Cy14</w:t>
            </w:r>
          </w:p>
        </w:tc>
        <w:tc>
          <w:tcPr>
            <w:tcW w:w="444" w:type="pct"/>
            <w:shd w:val="clear" w:color="auto" w:fill="D9D9D9"/>
            <w:vAlign w:val="center"/>
          </w:tcPr>
          <w:p w14:paraId="3C11C662" w14:textId="77777777" w:rsidR="008143D9" w:rsidRPr="00470E23" w:rsidRDefault="008143D9" w:rsidP="005A428D">
            <w:pPr>
              <w:rPr>
                <w:rFonts w:eastAsia="SimSun"/>
                <w:sz w:val="22"/>
              </w:rPr>
            </w:pPr>
            <w:r w:rsidRPr="00470E23">
              <w:rPr>
                <w:rFonts w:eastAsia="SimSun"/>
                <w:sz w:val="22"/>
              </w:rPr>
              <w:t>Bu8</w:t>
            </w:r>
          </w:p>
        </w:tc>
        <w:tc>
          <w:tcPr>
            <w:tcW w:w="334" w:type="pct"/>
            <w:shd w:val="clear" w:color="auto" w:fill="D9D9D9"/>
            <w:vAlign w:val="center"/>
          </w:tcPr>
          <w:p w14:paraId="10F47FB0" w14:textId="77777777" w:rsidR="008143D9" w:rsidRPr="00470E23" w:rsidRDefault="008143D9" w:rsidP="005A428D">
            <w:pPr>
              <w:rPr>
                <w:rFonts w:eastAsia="SimSun"/>
                <w:sz w:val="22"/>
              </w:rPr>
            </w:pPr>
            <w:r w:rsidRPr="00470E23">
              <w:rPr>
                <w:rFonts w:eastAsia="SimSun"/>
                <w:sz w:val="22"/>
              </w:rPr>
              <w:t>Bu10</w:t>
            </w:r>
          </w:p>
        </w:tc>
        <w:tc>
          <w:tcPr>
            <w:tcW w:w="334" w:type="pct"/>
            <w:shd w:val="clear" w:color="auto" w:fill="D9D9D9"/>
            <w:vAlign w:val="center"/>
          </w:tcPr>
          <w:p w14:paraId="0ED32D80" w14:textId="77777777" w:rsidR="008143D9" w:rsidRPr="00470E23" w:rsidRDefault="008143D9" w:rsidP="005A428D">
            <w:pPr>
              <w:rPr>
                <w:rFonts w:eastAsia="SimSun"/>
                <w:sz w:val="22"/>
              </w:rPr>
            </w:pPr>
            <w:r w:rsidRPr="00470E23">
              <w:rPr>
                <w:rFonts w:eastAsia="SimSun"/>
                <w:sz w:val="22"/>
              </w:rPr>
              <w:t>Bu12</w:t>
            </w:r>
          </w:p>
        </w:tc>
        <w:tc>
          <w:tcPr>
            <w:tcW w:w="334" w:type="pct"/>
            <w:shd w:val="clear" w:color="auto" w:fill="D9D9D9"/>
            <w:vAlign w:val="center"/>
          </w:tcPr>
          <w:p w14:paraId="56854192" w14:textId="77777777" w:rsidR="008143D9" w:rsidRPr="00470E23" w:rsidRDefault="008143D9" w:rsidP="005A428D">
            <w:pPr>
              <w:rPr>
                <w:rFonts w:eastAsia="SimSun"/>
                <w:sz w:val="22"/>
              </w:rPr>
            </w:pPr>
            <w:r w:rsidRPr="00470E23">
              <w:rPr>
                <w:rFonts w:eastAsia="SimSun"/>
                <w:sz w:val="22"/>
              </w:rPr>
              <w:t>Bu14</w:t>
            </w:r>
          </w:p>
        </w:tc>
        <w:tc>
          <w:tcPr>
            <w:tcW w:w="425" w:type="pct"/>
            <w:shd w:val="clear" w:color="auto" w:fill="D9D9D9"/>
            <w:vAlign w:val="center"/>
          </w:tcPr>
          <w:p w14:paraId="51314F1C" w14:textId="77777777" w:rsidR="008143D9" w:rsidRPr="00470E23" w:rsidRDefault="008143D9" w:rsidP="005A428D">
            <w:pPr>
              <w:rPr>
                <w:rFonts w:eastAsia="SimSun"/>
                <w:sz w:val="22"/>
              </w:rPr>
            </w:pPr>
            <w:r w:rsidRPr="00470E23">
              <w:rPr>
                <w:rFonts w:eastAsia="SimSun"/>
                <w:sz w:val="22"/>
              </w:rPr>
              <w:t>Cy1200</w:t>
            </w:r>
          </w:p>
        </w:tc>
        <w:tc>
          <w:tcPr>
            <w:tcW w:w="422" w:type="pct"/>
            <w:shd w:val="clear" w:color="auto" w:fill="D9D9D9"/>
            <w:vAlign w:val="center"/>
          </w:tcPr>
          <w:p w14:paraId="6BB4D38A" w14:textId="77777777" w:rsidR="008143D9" w:rsidRPr="00470E23" w:rsidRDefault="008143D9" w:rsidP="005A428D">
            <w:pPr>
              <w:rPr>
                <w:rFonts w:eastAsia="SimSun"/>
                <w:sz w:val="22"/>
              </w:rPr>
            </w:pPr>
            <w:r w:rsidRPr="00470E23">
              <w:rPr>
                <w:rFonts w:eastAsia="SimSun"/>
                <w:sz w:val="22"/>
              </w:rPr>
              <w:t>Mel100</w:t>
            </w:r>
          </w:p>
        </w:tc>
      </w:tr>
      <w:tr w:rsidR="008143D9" w:rsidRPr="00470E23" w14:paraId="182B521F" w14:textId="77777777" w:rsidTr="005A428D">
        <w:trPr>
          <w:cantSplit/>
          <w:trHeight w:val="1020"/>
        </w:trPr>
        <w:tc>
          <w:tcPr>
            <w:tcW w:w="1394" w:type="pct"/>
            <w:gridSpan w:val="4"/>
            <w:vMerge/>
            <w:tcBorders>
              <w:right w:val="single" w:sz="4" w:space="0" w:color="00000A"/>
            </w:tcBorders>
            <w:shd w:val="clear" w:color="auto" w:fill="auto"/>
            <w:vAlign w:val="center"/>
          </w:tcPr>
          <w:p w14:paraId="715E1345" w14:textId="77777777" w:rsidR="008143D9" w:rsidRPr="00470E23" w:rsidRDefault="008143D9" w:rsidP="005A428D">
            <w:pPr>
              <w:rPr>
                <w:rFonts w:eastAsia="SimSun"/>
                <w:sz w:val="22"/>
              </w:rPr>
            </w:pPr>
          </w:p>
        </w:tc>
        <w:tc>
          <w:tcPr>
            <w:tcW w:w="444" w:type="pct"/>
            <w:tcBorders>
              <w:left w:val="single" w:sz="4" w:space="0" w:color="00000A"/>
            </w:tcBorders>
            <w:shd w:val="clear" w:color="auto" w:fill="D9D9D9"/>
            <w:vAlign w:val="center"/>
          </w:tcPr>
          <w:p w14:paraId="41162638" w14:textId="77777777" w:rsidR="008143D9" w:rsidRPr="00470E23" w:rsidRDefault="008143D9" w:rsidP="005A428D">
            <w:pPr>
              <w:rPr>
                <w:rFonts w:eastAsia="SimSun"/>
                <w:sz w:val="22"/>
              </w:rPr>
            </w:pPr>
          </w:p>
          <w:p w14:paraId="09C4F868" w14:textId="77777777" w:rsidR="008143D9" w:rsidRPr="00470E23" w:rsidRDefault="008143D9" w:rsidP="005A428D">
            <w:pPr>
              <w:rPr>
                <w:rFonts w:eastAsia="SimSun"/>
                <w:sz w:val="22"/>
              </w:rPr>
            </w:pPr>
            <w:r w:rsidRPr="00470E23">
              <w:rPr>
                <w:rFonts w:eastAsia="SimSun"/>
                <w:sz w:val="22"/>
              </w:rPr>
              <w:t>Thio</w:t>
            </w:r>
          </w:p>
        </w:tc>
        <w:tc>
          <w:tcPr>
            <w:tcW w:w="404" w:type="pct"/>
            <w:shd w:val="clear" w:color="auto" w:fill="D9D9D9"/>
            <w:vAlign w:val="center"/>
          </w:tcPr>
          <w:p w14:paraId="647A5AE3" w14:textId="77777777" w:rsidR="008143D9" w:rsidRPr="00470E23" w:rsidRDefault="008143D9" w:rsidP="005A428D">
            <w:pPr>
              <w:rPr>
                <w:rFonts w:eastAsia="SimSun"/>
                <w:sz w:val="22"/>
              </w:rPr>
            </w:pPr>
            <w:r w:rsidRPr="00470E23">
              <w:rPr>
                <w:rFonts w:eastAsia="SimSun"/>
                <w:sz w:val="22"/>
              </w:rPr>
              <w:t>-</w:t>
            </w:r>
          </w:p>
        </w:tc>
        <w:tc>
          <w:tcPr>
            <w:tcW w:w="466" w:type="pct"/>
            <w:shd w:val="clear" w:color="auto" w:fill="D9D9D9"/>
            <w:vAlign w:val="center"/>
          </w:tcPr>
          <w:p w14:paraId="44FD9DA4" w14:textId="77777777" w:rsidR="008143D9" w:rsidRPr="00470E23" w:rsidRDefault="008143D9" w:rsidP="005A428D">
            <w:pPr>
              <w:rPr>
                <w:rFonts w:eastAsia="SimSun"/>
                <w:sz w:val="22"/>
              </w:rPr>
            </w:pPr>
            <w:r w:rsidRPr="00470E23">
              <w:rPr>
                <w:rFonts w:eastAsia="SimSun"/>
                <w:sz w:val="22"/>
              </w:rPr>
              <w:t>TBI</w:t>
            </w:r>
          </w:p>
        </w:tc>
        <w:tc>
          <w:tcPr>
            <w:tcW w:w="444" w:type="pct"/>
            <w:shd w:val="clear" w:color="auto" w:fill="D9D9D9"/>
            <w:vAlign w:val="center"/>
          </w:tcPr>
          <w:p w14:paraId="50957AFD" w14:textId="77777777" w:rsidR="008143D9" w:rsidRPr="00470E23" w:rsidRDefault="008143D9" w:rsidP="005A428D">
            <w:pPr>
              <w:rPr>
                <w:rFonts w:eastAsia="SimSun"/>
                <w:sz w:val="22"/>
              </w:rPr>
            </w:pPr>
            <w:r w:rsidRPr="00470E23">
              <w:rPr>
                <w:rFonts w:eastAsia="SimSun"/>
                <w:sz w:val="22"/>
              </w:rPr>
              <w:t>-</w:t>
            </w:r>
          </w:p>
        </w:tc>
        <w:tc>
          <w:tcPr>
            <w:tcW w:w="334" w:type="pct"/>
            <w:shd w:val="clear" w:color="auto" w:fill="D9D9D9"/>
            <w:vAlign w:val="center"/>
          </w:tcPr>
          <w:p w14:paraId="119C10A8" w14:textId="77777777" w:rsidR="008143D9" w:rsidRPr="00470E23" w:rsidRDefault="008143D9" w:rsidP="005A428D">
            <w:pPr>
              <w:rPr>
                <w:rFonts w:eastAsia="SimSun"/>
                <w:sz w:val="22"/>
              </w:rPr>
            </w:pPr>
            <w:r w:rsidRPr="00470E23">
              <w:rPr>
                <w:rFonts w:eastAsia="SimSun"/>
                <w:sz w:val="22"/>
              </w:rPr>
              <w:t>-</w:t>
            </w:r>
          </w:p>
        </w:tc>
        <w:tc>
          <w:tcPr>
            <w:tcW w:w="334" w:type="pct"/>
            <w:shd w:val="clear" w:color="auto" w:fill="D9D9D9"/>
            <w:vAlign w:val="center"/>
          </w:tcPr>
          <w:p w14:paraId="2B37C138" w14:textId="77777777" w:rsidR="008143D9" w:rsidRPr="00470E23" w:rsidRDefault="008143D9" w:rsidP="005A428D">
            <w:pPr>
              <w:rPr>
                <w:rFonts w:eastAsia="SimSun"/>
                <w:sz w:val="22"/>
              </w:rPr>
            </w:pPr>
            <w:r w:rsidRPr="00470E23">
              <w:rPr>
                <w:rFonts w:eastAsia="SimSun"/>
                <w:sz w:val="22"/>
              </w:rPr>
              <w:t>-</w:t>
            </w:r>
          </w:p>
        </w:tc>
        <w:tc>
          <w:tcPr>
            <w:tcW w:w="334" w:type="pct"/>
            <w:shd w:val="clear" w:color="auto" w:fill="D9D9D9"/>
            <w:vAlign w:val="center"/>
          </w:tcPr>
          <w:p w14:paraId="14FC4010" w14:textId="77777777" w:rsidR="008143D9" w:rsidRPr="00470E23" w:rsidRDefault="008143D9" w:rsidP="005A428D">
            <w:pPr>
              <w:rPr>
                <w:rFonts w:eastAsia="SimSun"/>
                <w:sz w:val="22"/>
              </w:rPr>
            </w:pPr>
            <w:r w:rsidRPr="00470E23">
              <w:rPr>
                <w:rFonts w:eastAsia="SimSun"/>
                <w:sz w:val="22"/>
              </w:rPr>
              <w:t>-</w:t>
            </w:r>
          </w:p>
        </w:tc>
        <w:tc>
          <w:tcPr>
            <w:tcW w:w="425" w:type="pct"/>
            <w:shd w:val="clear" w:color="auto" w:fill="D9D9D9"/>
            <w:vAlign w:val="center"/>
          </w:tcPr>
          <w:p w14:paraId="2C325A90" w14:textId="77777777" w:rsidR="008143D9" w:rsidRPr="00470E23" w:rsidRDefault="008143D9" w:rsidP="005A428D">
            <w:pPr>
              <w:rPr>
                <w:rFonts w:eastAsia="SimSun"/>
                <w:sz w:val="22"/>
              </w:rPr>
            </w:pPr>
            <w:r w:rsidRPr="00470E23">
              <w:rPr>
                <w:rFonts w:eastAsia="SimSun"/>
                <w:sz w:val="22"/>
              </w:rPr>
              <w:t>-</w:t>
            </w:r>
          </w:p>
        </w:tc>
        <w:tc>
          <w:tcPr>
            <w:tcW w:w="422" w:type="pct"/>
            <w:shd w:val="clear" w:color="auto" w:fill="D9D9D9"/>
            <w:vAlign w:val="center"/>
          </w:tcPr>
          <w:p w14:paraId="22C91B5C" w14:textId="77777777" w:rsidR="008143D9" w:rsidRPr="00470E23" w:rsidRDefault="008143D9" w:rsidP="005A428D">
            <w:pPr>
              <w:rPr>
                <w:rFonts w:eastAsia="SimSun"/>
                <w:sz w:val="22"/>
              </w:rPr>
            </w:pPr>
            <w:r w:rsidRPr="00470E23">
              <w:rPr>
                <w:rFonts w:eastAsia="SimSun"/>
                <w:sz w:val="22"/>
              </w:rPr>
              <w:t>-</w:t>
            </w:r>
          </w:p>
        </w:tc>
      </w:tr>
      <w:tr w:rsidR="008143D9" w:rsidRPr="00470E23" w14:paraId="5DCF83F8" w14:textId="77777777" w:rsidTr="005A428D">
        <w:trPr>
          <w:cantSplit/>
          <w:trHeight w:val="1020"/>
        </w:trPr>
        <w:tc>
          <w:tcPr>
            <w:tcW w:w="248" w:type="pct"/>
            <w:vMerge w:val="restart"/>
            <w:tcBorders>
              <w:top w:val="single" w:sz="4" w:space="0" w:color="00000A"/>
            </w:tcBorders>
            <w:shd w:val="clear" w:color="auto" w:fill="D9D9D9"/>
            <w:vAlign w:val="center"/>
          </w:tcPr>
          <w:p w14:paraId="50FA1D7E" w14:textId="77777777" w:rsidR="008143D9" w:rsidRPr="00470E23" w:rsidRDefault="008143D9" w:rsidP="005A428D">
            <w:pPr>
              <w:rPr>
                <w:rFonts w:eastAsia="SimSun"/>
                <w:sz w:val="22"/>
              </w:rPr>
            </w:pPr>
            <w:r w:rsidRPr="00470E23">
              <w:rPr>
                <w:rFonts w:eastAsia="SimSun"/>
                <w:sz w:val="22"/>
              </w:rPr>
              <w:t>PT-Cy</w:t>
            </w:r>
          </w:p>
        </w:tc>
        <w:tc>
          <w:tcPr>
            <w:tcW w:w="369" w:type="pct"/>
            <w:shd w:val="clear" w:color="auto" w:fill="D9D9D9"/>
            <w:vAlign w:val="center"/>
          </w:tcPr>
          <w:p w14:paraId="264A4763" w14:textId="77777777" w:rsidR="008143D9" w:rsidRPr="00470E23" w:rsidRDefault="008143D9" w:rsidP="005A428D">
            <w:pPr>
              <w:rPr>
                <w:rFonts w:eastAsia="SimSun"/>
                <w:sz w:val="22"/>
              </w:rPr>
            </w:pPr>
            <w:r w:rsidRPr="00470E23">
              <w:rPr>
                <w:rFonts w:eastAsia="SimSun"/>
                <w:sz w:val="22"/>
              </w:rPr>
              <w:t>-</w:t>
            </w:r>
          </w:p>
        </w:tc>
        <w:tc>
          <w:tcPr>
            <w:tcW w:w="321" w:type="pct"/>
            <w:shd w:val="clear" w:color="auto" w:fill="D9D9D9"/>
            <w:vAlign w:val="center"/>
          </w:tcPr>
          <w:p w14:paraId="0AA167ED" w14:textId="77777777" w:rsidR="008143D9" w:rsidRPr="00470E23" w:rsidRDefault="008143D9" w:rsidP="005A428D">
            <w:pPr>
              <w:rPr>
                <w:rFonts w:eastAsia="SimSun"/>
                <w:sz w:val="22"/>
              </w:rPr>
            </w:pPr>
            <w:r w:rsidRPr="00470E23">
              <w:rPr>
                <w:rFonts w:eastAsia="SimSun"/>
                <w:sz w:val="22"/>
              </w:rPr>
              <w:t>CSA</w:t>
            </w:r>
          </w:p>
        </w:tc>
        <w:tc>
          <w:tcPr>
            <w:tcW w:w="455" w:type="pct"/>
            <w:shd w:val="clear" w:color="auto" w:fill="D9D9D9"/>
            <w:vAlign w:val="center"/>
          </w:tcPr>
          <w:p w14:paraId="6D1CA318" w14:textId="77777777" w:rsidR="008143D9" w:rsidRPr="00470E23" w:rsidRDefault="008143D9" w:rsidP="005A428D">
            <w:pPr>
              <w:rPr>
                <w:rFonts w:eastAsia="SimSun"/>
                <w:sz w:val="22"/>
              </w:rPr>
            </w:pPr>
            <w:r w:rsidRPr="00470E23">
              <w:rPr>
                <w:rFonts w:eastAsia="SimSun"/>
                <w:sz w:val="22"/>
              </w:rPr>
              <w:t>MMF30</w:t>
            </w:r>
          </w:p>
        </w:tc>
        <w:tc>
          <w:tcPr>
            <w:tcW w:w="444" w:type="pct"/>
            <w:tcBorders>
              <w:left w:val="single" w:sz="4" w:space="0" w:color="00000A"/>
            </w:tcBorders>
            <w:shd w:val="clear" w:color="auto" w:fill="auto"/>
            <w:vAlign w:val="center"/>
          </w:tcPr>
          <w:p w14:paraId="7EA9D22A" w14:textId="77777777" w:rsidR="008143D9" w:rsidRPr="00470E23" w:rsidRDefault="008143D9" w:rsidP="005A428D">
            <w:pPr>
              <w:rPr>
                <w:rFonts w:eastAsia="SimSun"/>
                <w:sz w:val="22"/>
              </w:rPr>
            </w:pPr>
            <w:r w:rsidRPr="00470E23">
              <w:rPr>
                <w:rFonts w:eastAsia="SimSun"/>
                <w:sz w:val="22"/>
              </w:rPr>
              <w:t>5.3.1.1</w:t>
            </w:r>
          </w:p>
        </w:tc>
        <w:tc>
          <w:tcPr>
            <w:tcW w:w="404" w:type="pct"/>
            <w:shd w:val="clear" w:color="auto" w:fill="auto"/>
            <w:vAlign w:val="center"/>
          </w:tcPr>
          <w:p w14:paraId="53F09E9A" w14:textId="77777777" w:rsidR="008143D9" w:rsidRPr="00470E23" w:rsidRDefault="008143D9" w:rsidP="005A428D">
            <w:pPr>
              <w:rPr>
                <w:rFonts w:eastAsia="SimSun"/>
                <w:sz w:val="22"/>
              </w:rPr>
            </w:pPr>
            <w:r w:rsidRPr="00470E23">
              <w:rPr>
                <w:rFonts w:eastAsia="SimSun"/>
                <w:sz w:val="22"/>
              </w:rPr>
              <w:t>5.3.1.10</w:t>
            </w:r>
          </w:p>
        </w:tc>
        <w:tc>
          <w:tcPr>
            <w:tcW w:w="466" w:type="pct"/>
            <w:shd w:val="clear" w:color="auto" w:fill="auto"/>
            <w:vAlign w:val="center"/>
          </w:tcPr>
          <w:p w14:paraId="510151D6" w14:textId="77777777" w:rsidR="008143D9" w:rsidRPr="00470E23" w:rsidRDefault="008143D9" w:rsidP="005A428D">
            <w:pPr>
              <w:rPr>
                <w:rFonts w:eastAsia="SimSun"/>
                <w:sz w:val="22"/>
              </w:rPr>
            </w:pPr>
            <w:r w:rsidRPr="00470E23">
              <w:rPr>
                <w:rFonts w:eastAsia="SimSun"/>
                <w:sz w:val="22"/>
              </w:rPr>
              <w:t>-</w:t>
            </w:r>
          </w:p>
        </w:tc>
        <w:tc>
          <w:tcPr>
            <w:tcW w:w="444" w:type="pct"/>
            <w:shd w:val="clear" w:color="auto" w:fill="auto"/>
            <w:vAlign w:val="center"/>
          </w:tcPr>
          <w:p w14:paraId="3AAD5B0E" w14:textId="77777777" w:rsidR="008143D9" w:rsidRPr="00470E23" w:rsidRDefault="008143D9" w:rsidP="005A428D">
            <w:pPr>
              <w:rPr>
                <w:rFonts w:eastAsia="SimSun"/>
                <w:sz w:val="22"/>
              </w:rPr>
            </w:pPr>
            <w:r w:rsidRPr="00470E23">
              <w:rPr>
                <w:rFonts w:eastAsia="SimSun"/>
                <w:sz w:val="22"/>
              </w:rPr>
              <w:t>5.3.1.4</w:t>
            </w:r>
          </w:p>
        </w:tc>
        <w:tc>
          <w:tcPr>
            <w:tcW w:w="334" w:type="pct"/>
            <w:shd w:val="clear" w:color="auto" w:fill="auto"/>
            <w:vAlign w:val="center"/>
          </w:tcPr>
          <w:p w14:paraId="278AF989" w14:textId="77777777" w:rsidR="008143D9" w:rsidRPr="00470E23" w:rsidRDefault="008143D9" w:rsidP="005A428D">
            <w:pPr>
              <w:rPr>
                <w:rFonts w:eastAsia="SimSun"/>
                <w:sz w:val="22"/>
              </w:rPr>
            </w:pPr>
            <w:r w:rsidRPr="00470E23">
              <w:rPr>
                <w:rFonts w:eastAsia="SimSun"/>
                <w:sz w:val="22"/>
              </w:rPr>
              <w:t>-</w:t>
            </w:r>
          </w:p>
        </w:tc>
        <w:tc>
          <w:tcPr>
            <w:tcW w:w="334" w:type="pct"/>
            <w:shd w:val="clear" w:color="auto" w:fill="auto"/>
            <w:vAlign w:val="center"/>
          </w:tcPr>
          <w:p w14:paraId="1993C142" w14:textId="77777777" w:rsidR="008143D9" w:rsidRPr="00470E23" w:rsidRDefault="008143D9" w:rsidP="005A428D">
            <w:pPr>
              <w:rPr>
                <w:rFonts w:eastAsia="SimSun"/>
                <w:sz w:val="22"/>
              </w:rPr>
            </w:pPr>
            <w:r w:rsidRPr="00470E23">
              <w:rPr>
                <w:rFonts w:eastAsia="SimSun"/>
                <w:sz w:val="22"/>
              </w:rPr>
              <w:t>-</w:t>
            </w:r>
          </w:p>
        </w:tc>
        <w:tc>
          <w:tcPr>
            <w:tcW w:w="334" w:type="pct"/>
            <w:shd w:val="clear" w:color="auto" w:fill="auto"/>
            <w:vAlign w:val="center"/>
          </w:tcPr>
          <w:p w14:paraId="5469B533" w14:textId="77777777" w:rsidR="008143D9" w:rsidRPr="00470E23" w:rsidRDefault="008143D9" w:rsidP="005A428D">
            <w:pPr>
              <w:rPr>
                <w:rFonts w:eastAsia="SimSun"/>
                <w:sz w:val="22"/>
              </w:rPr>
            </w:pPr>
            <w:r w:rsidRPr="00470E23">
              <w:rPr>
                <w:rFonts w:eastAsia="SimSun"/>
                <w:sz w:val="22"/>
              </w:rPr>
              <w:t>-</w:t>
            </w:r>
          </w:p>
        </w:tc>
        <w:tc>
          <w:tcPr>
            <w:tcW w:w="425" w:type="pct"/>
            <w:shd w:val="clear" w:color="auto" w:fill="auto"/>
            <w:vAlign w:val="center"/>
          </w:tcPr>
          <w:p w14:paraId="76595684" w14:textId="77777777" w:rsidR="008143D9" w:rsidRPr="00470E23" w:rsidRDefault="008143D9" w:rsidP="005A428D">
            <w:pPr>
              <w:rPr>
                <w:rFonts w:eastAsia="SimSun"/>
                <w:sz w:val="22"/>
              </w:rPr>
            </w:pPr>
            <w:r w:rsidRPr="00470E23">
              <w:rPr>
                <w:rFonts w:eastAsia="SimSun"/>
                <w:sz w:val="22"/>
              </w:rPr>
              <w:t>-</w:t>
            </w:r>
          </w:p>
        </w:tc>
        <w:tc>
          <w:tcPr>
            <w:tcW w:w="422" w:type="pct"/>
            <w:vAlign w:val="center"/>
          </w:tcPr>
          <w:p w14:paraId="5C5902DB" w14:textId="77777777" w:rsidR="008143D9" w:rsidRPr="00470E23" w:rsidRDefault="008143D9" w:rsidP="005A428D">
            <w:pPr>
              <w:rPr>
                <w:rFonts w:eastAsia="SimSun"/>
                <w:sz w:val="22"/>
              </w:rPr>
            </w:pPr>
          </w:p>
        </w:tc>
      </w:tr>
      <w:tr w:rsidR="008143D9" w:rsidRPr="00470E23" w14:paraId="6A89BAF3" w14:textId="77777777" w:rsidTr="005A428D">
        <w:trPr>
          <w:cantSplit/>
          <w:trHeight w:val="1020"/>
        </w:trPr>
        <w:tc>
          <w:tcPr>
            <w:tcW w:w="248" w:type="pct"/>
            <w:vMerge/>
            <w:shd w:val="clear" w:color="auto" w:fill="D9D9D9"/>
            <w:vAlign w:val="center"/>
          </w:tcPr>
          <w:p w14:paraId="7D0696F5" w14:textId="77777777" w:rsidR="008143D9" w:rsidRPr="00470E23" w:rsidRDefault="008143D9" w:rsidP="005A428D">
            <w:pPr>
              <w:rPr>
                <w:rFonts w:eastAsia="SimSun"/>
                <w:sz w:val="22"/>
              </w:rPr>
            </w:pPr>
          </w:p>
        </w:tc>
        <w:tc>
          <w:tcPr>
            <w:tcW w:w="369" w:type="pct"/>
            <w:tcBorders>
              <w:bottom w:val="single" w:sz="4" w:space="0" w:color="00000A"/>
            </w:tcBorders>
            <w:shd w:val="clear" w:color="auto" w:fill="D9D9D9"/>
            <w:vAlign w:val="center"/>
          </w:tcPr>
          <w:p w14:paraId="00DA3B5B" w14:textId="77777777" w:rsidR="008143D9" w:rsidRPr="00470E23" w:rsidRDefault="008143D9" w:rsidP="005A428D">
            <w:pPr>
              <w:rPr>
                <w:rFonts w:eastAsia="SimSun"/>
                <w:sz w:val="22"/>
              </w:rPr>
            </w:pPr>
            <w:r w:rsidRPr="00470E23">
              <w:rPr>
                <w:rFonts w:eastAsia="SimSun"/>
                <w:sz w:val="22"/>
              </w:rPr>
              <w:t>hATG</w:t>
            </w:r>
          </w:p>
        </w:tc>
        <w:tc>
          <w:tcPr>
            <w:tcW w:w="321" w:type="pct"/>
            <w:tcBorders>
              <w:bottom w:val="single" w:sz="4" w:space="0" w:color="00000A"/>
            </w:tcBorders>
            <w:shd w:val="clear" w:color="auto" w:fill="D9D9D9"/>
            <w:vAlign w:val="center"/>
          </w:tcPr>
          <w:p w14:paraId="4F23B965" w14:textId="77777777" w:rsidR="008143D9" w:rsidRPr="00470E23" w:rsidRDefault="008143D9" w:rsidP="005A428D">
            <w:pPr>
              <w:rPr>
                <w:rFonts w:eastAsia="SimSun"/>
                <w:sz w:val="22"/>
              </w:rPr>
            </w:pPr>
            <w:r w:rsidRPr="00470E23">
              <w:rPr>
                <w:rFonts w:eastAsia="SimSun"/>
                <w:sz w:val="22"/>
              </w:rPr>
              <w:t>CSA</w:t>
            </w:r>
          </w:p>
        </w:tc>
        <w:tc>
          <w:tcPr>
            <w:tcW w:w="455" w:type="pct"/>
            <w:shd w:val="clear" w:color="auto" w:fill="D9D9D9"/>
            <w:vAlign w:val="center"/>
          </w:tcPr>
          <w:p w14:paraId="288C3F65" w14:textId="77777777" w:rsidR="008143D9" w:rsidRPr="00470E23" w:rsidRDefault="008143D9" w:rsidP="005A428D">
            <w:pPr>
              <w:rPr>
                <w:rFonts w:eastAsia="SimSun"/>
                <w:sz w:val="22"/>
              </w:rPr>
            </w:pPr>
            <w:r w:rsidRPr="00470E23">
              <w:rPr>
                <w:rFonts w:eastAsia="SimSun"/>
                <w:sz w:val="22"/>
              </w:rPr>
              <w:t>MMF45</w:t>
            </w:r>
          </w:p>
        </w:tc>
        <w:tc>
          <w:tcPr>
            <w:tcW w:w="444" w:type="pct"/>
            <w:tcBorders>
              <w:left w:val="single" w:sz="4" w:space="0" w:color="00000A"/>
            </w:tcBorders>
            <w:shd w:val="clear" w:color="auto" w:fill="auto"/>
            <w:vAlign w:val="center"/>
          </w:tcPr>
          <w:p w14:paraId="2768D39E" w14:textId="77777777" w:rsidR="008143D9" w:rsidRPr="00470E23" w:rsidRDefault="008143D9" w:rsidP="005A428D">
            <w:pPr>
              <w:rPr>
                <w:rFonts w:eastAsia="SimSun"/>
                <w:sz w:val="22"/>
              </w:rPr>
            </w:pPr>
            <w:r w:rsidRPr="00470E23">
              <w:rPr>
                <w:rFonts w:eastAsia="SimSun"/>
                <w:sz w:val="22"/>
              </w:rPr>
              <w:t>-</w:t>
            </w:r>
          </w:p>
        </w:tc>
        <w:tc>
          <w:tcPr>
            <w:tcW w:w="404" w:type="pct"/>
            <w:shd w:val="clear" w:color="auto" w:fill="auto"/>
            <w:vAlign w:val="center"/>
          </w:tcPr>
          <w:p w14:paraId="7B8B2AA3" w14:textId="77777777" w:rsidR="008143D9" w:rsidRPr="00470E23" w:rsidRDefault="008143D9" w:rsidP="005A428D">
            <w:pPr>
              <w:rPr>
                <w:rFonts w:eastAsia="SimSun"/>
                <w:sz w:val="22"/>
              </w:rPr>
            </w:pPr>
            <w:r w:rsidRPr="00470E23">
              <w:rPr>
                <w:rFonts w:eastAsia="SimSun"/>
                <w:sz w:val="22"/>
              </w:rPr>
              <w:t>-</w:t>
            </w:r>
          </w:p>
        </w:tc>
        <w:tc>
          <w:tcPr>
            <w:tcW w:w="466" w:type="pct"/>
            <w:shd w:val="clear" w:color="auto" w:fill="auto"/>
            <w:vAlign w:val="center"/>
          </w:tcPr>
          <w:p w14:paraId="24EFB20B" w14:textId="77777777" w:rsidR="008143D9" w:rsidRPr="00470E23" w:rsidRDefault="008143D9" w:rsidP="005A428D">
            <w:pPr>
              <w:rPr>
                <w:rFonts w:eastAsia="SimSun"/>
                <w:sz w:val="22"/>
              </w:rPr>
            </w:pPr>
            <w:r w:rsidRPr="00470E23">
              <w:rPr>
                <w:rFonts w:eastAsia="SimSun"/>
                <w:sz w:val="22"/>
              </w:rPr>
              <w:t>-</w:t>
            </w:r>
          </w:p>
        </w:tc>
        <w:tc>
          <w:tcPr>
            <w:tcW w:w="444" w:type="pct"/>
            <w:shd w:val="clear" w:color="auto" w:fill="auto"/>
            <w:vAlign w:val="center"/>
          </w:tcPr>
          <w:p w14:paraId="1A8E092B" w14:textId="77777777" w:rsidR="008143D9" w:rsidRPr="00470E23" w:rsidRDefault="008143D9" w:rsidP="005A428D">
            <w:pPr>
              <w:rPr>
                <w:rFonts w:eastAsia="SimSun"/>
                <w:sz w:val="22"/>
              </w:rPr>
            </w:pPr>
            <w:r w:rsidRPr="00470E23">
              <w:rPr>
                <w:rFonts w:eastAsia="SimSun"/>
                <w:sz w:val="22"/>
              </w:rPr>
              <w:t>5.3.1.3</w:t>
            </w:r>
          </w:p>
        </w:tc>
        <w:tc>
          <w:tcPr>
            <w:tcW w:w="334" w:type="pct"/>
            <w:shd w:val="clear" w:color="auto" w:fill="auto"/>
            <w:vAlign w:val="center"/>
          </w:tcPr>
          <w:p w14:paraId="560280CD" w14:textId="77777777" w:rsidR="008143D9" w:rsidRPr="00470E23" w:rsidRDefault="008143D9" w:rsidP="005A428D">
            <w:pPr>
              <w:rPr>
                <w:rFonts w:eastAsia="SimSun"/>
                <w:sz w:val="22"/>
              </w:rPr>
            </w:pPr>
            <w:r w:rsidRPr="00470E23">
              <w:rPr>
                <w:rFonts w:eastAsia="SimSun"/>
                <w:sz w:val="22"/>
              </w:rPr>
              <w:t>-</w:t>
            </w:r>
          </w:p>
        </w:tc>
        <w:tc>
          <w:tcPr>
            <w:tcW w:w="334" w:type="pct"/>
            <w:shd w:val="clear" w:color="auto" w:fill="auto"/>
            <w:vAlign w:val="center"/>
          </w:tcPr>
          <w:p w14:paraId="39140B92" w14:textId="77777777" w:rsidR="008143D9" w:rsidRPr="00470E23" w:rsidRDefault="008143D9" w:rsidP="005A428D">
            <w:pPr>
              <w:rPr>
                <w:rFonts w:eastAsia="SimSun"/>
                <w:sz w:val="22"/>
              </w:rPr>
            </w:pPr>
            <w:r w:rsidRPr="00470E23">
              <w:rPr>
                <w:rFonts w:eastAsia="SimSun"/>
                <w:sz w:val="22"/>
              </w:rPr>
              <w:t>-</w:t>
            </w:r>
          </w:p>
        </w:tc>
        <w:tc>
          <w:tcPr>
            <w:tcW w:w="334" w:type="pct"/>
            <w:shd w:val="clear" w:color="auto" w:fill="auto"/>
            <w:vAlign w:val="center"/>
          </w:tcPr>
          <w:p w14:paraId="510CA45F" w14:textId="77777777" w:rsidR="008143D9" w:rsidRPr="00470E23" w:rsidRDefault="008143D9" w:rsidP="005A428D">
            <w:pPr>
              <w:rPr>
                <w:rFonts w:eastAsia="SimSun"/>
                <w:sz w:val="22"/>
              </w:rPr>
            </w:pPr>
            <w:r w:rsidRPr="00470E23">
              <w:rPr>
                <w:rFonts w:eastAsia="SimSun"/>
                <w:sz w:val="22"/>
              </w:rPr>
              <w:t>-</w:t>
            </w:r>
          </w:p>
        </w:tc>
        <w:tc>
          <w:tcPr>
            <w:tcW w:w="425" w:type="pct"/>
            <w:shd w:val="clear" w:color="auto" w:fill="auto"/>
            <w:vAlign w:val="center"/>
          </w:tcPr>
          <w:p w14:paraId="6D0AC386" w14:textId="77777777" w:rsidR="008143D9" w:rsidRPr="00470E23" w:rsidRDefault="008143D9" w:rsidP="005A428D">
            <w:pPr>
              <w:rPr>
                <w:rFonts w:eastAsia="SimSun"/>
                <w:sz w:val="22"/>
              </w:rPr>
            </w:pPr>
            <w:r w:rsidRPr="00470E23">
              <w:rPr>
                <w:rFonts w:eastAsia="SimSun"/>
                <w:sz w:val="22"/>
              </w:rPr>
              <w:t>-</w:t>
            </w:r>
          </w:p>
        </w:tc>
        <w:tc>
          <w:tcPr>
            <w:tcW w:w="422" w:type="pct"/>
            <w:vAlign w:val="center"/>
          </w:tcPr>
          <w:p w14:paraId="50FBE4EA" w14:textId="77777777" w:rsidR="008143D9" w:rsidRPr="00470E23" w:rsidRDefault="008143D9" w:rsidP="005A428D">
            <w:pPr>
              <w:rPr>
                <w:rFonts w:eastAsia="SimSun"/>
                <w:sz w:val="22"/>
              </w:rPr>
            </w:pPr>
          </w:p>
        </w:tc>
      </w:tr>
      <w:tr w:rsidR="008143D9" w:rsidRPr="00470E23" w14:paraId="61B15523" w14:textId="77777777" w:rsidTr="005A428D">
        <w:trPr>
          <w:cantSplit/>
          <w:trHeight w:val="1020"/>
        </w:trPr>
        <w:tc>
          <w:tcPr>
            <w:tcW w:w="248" w:type="pct"/>
            <w:vMerge/>
            <w:shd w:val="clear" w:color="auto" w:fill="D9D9D9"/>
            <w:vAlign w:val="center"/>
          </w:tcPr>
          <w:p w14:paraId="40D5E33B" w14:textId="77777777" w:rsidR="008143D9" w:rsidRPr="00470E23" w:rsidRDefault="008143D9" w:rsidP="005A428D">
            <w:pPr>
              <w:rPr>
                <w:rFonts w:eastAsia="SimSun"/>
                <w:sz w:val="22"/>
              </w:rPr>
            </w:pPr>
          </w:p>
        </w:tc>
        <w:tc>
          <w:tcPr>
            <w:tcW w:w="369" w:type="pct"/>
            <w:tcBorders>
              <w:top w:val="single" w:sz="4" w:space="0" w:color="00000A"/>
              <w:bottom w:val="single" w:sz="4" w:space="0" w:color="00000A"/>
            </w:tcBorders>
            <w:shd w:val="clear" w:color="auto" w:fill="D9D9D9"/>
            <w:vAlign w:val="center"/>
          </w:tcPr>
          <w:p w14:paraId="687B17F0" w14:textId="77777777" w:rsidR="008143D9" w:rsidRPr="00470E23" w:rsidRDefault="008143D9" w:rsidP="005A428D">
            <w:pPr>
              <w:rPr>
                <w:rFonts w:eastAsia="SimSun"/>
                <w:sz w:val="22"/>
              </w:rPr>
            </w:pPr>
            <w:r w:rsidRPr="00470E23">
              <w:rPr>
                <w:rFonts w:eastAsia="SimSun"/>
                <w:sz w:val="22"/>
              </w:rPr>
              <w:t>-</w:t>
            </w:r>
          </w:p>
        </w:tc>
        <w:tc>
          <w:tcPr>
            <w:tcW w:w="321" w:type="pct"/>
            <w:tcBorders>
              <w:top w:val="single" w:sz="4" w:space="0" w:color="00000A"/>
              <w:bottom w:val="single" w:sz="4" w:space="0" w:color="00000A"/>
            </w:tcBorders>
            <w:shd w:val="clear" w:color="auto" w:fill="D9D9D9"/>
            <w:vAlign w:val="center"/>
          </w:tcPr>
          <w:p w14:paraId="5552334B" w14:textId="77777777" w:rsidR="008143D9" w:rsidRPr="00470E23" w:rsidRDefault="008143D9" w:rsidP="005A428D">
            <w:pPr>
              <w:rPr>
                <w:rFonts w:eastAsia="SimSun"/>
                <w:sz w:val="22"/>
              </w:rPr>
            </w:pPr>
            <w:r w:rsidRPr="00470E23">
              <w:rPr>
                <w:rFonts w:eastAsia="SimSun"/>
                <w:sz w:val="22"/>
              </w:rPr>
              <w:t>CSA</w:t>
            </w:r>
          </w:p>
        </w:tc>
        <w:tc>
          <w:tcPr>
            <w:tcW w:w="455" w:type="pct"/>
            <w:shd w:val="clear" w:color="auto" w:fill="D9D9D9"/>
            <w:vAlign w:val="center"/>
          </w:tcPr>
          <w:p w14:paraId="4D86ADAB" w14:textId="77777777" w:rsidR="008143D9" w:rsidRPr="00470E23" w:rsidRDefault="008143D9" w:rsidP="005A428D">
            <w:pPr>
              <w:rPr>
                <w:rFonts w:eastAsia="SimSun"/>
                <w:sz w:val="22"/>
              </w:rPr>
            </w:pPr>
            <w:r w:rsidRPr="00470E23">
              <w:rPr>
                <w:rFonts w:eastAsia="SimSun"/>
                <w:sz w:val="22"/>
              </w:rPr>
              <w:t>MMF45</w:t>
            </w:r>
          </w:p>
        </w:tc>
        <w:tc>
          <w:tcPr>
            <w:tcW w:w="444" w:type="pct"/>
            <w:tcBorders>
              <w:left w:val="single" w:sz="4" w:space="0" w:color="00000A"/>
            </w:tcBorders>
            <w:shd w:val="clear" w:color="auto" w:fill="auto"/>
            <w:vAlign w:val="center"/>
          </w:tcPr>
          <w:p w14:paraId="42C168C4" w14:textId="77777777" w:rsidR="008143D9" w:rsidRPr="00470E23" w:rsidRDefault="008143D9" w:rsidP="005A428D">
            <w:pPr>
              <w:rPr>
                <w:rFonts w:eastAsia="SimSun"/>
                <w:sz w:val="22"/>
              </w:rPr>
            </w:pPr>
            <w:r w:rsidRPr="00470E23">
              <w:rPr>
                <w:rFonts w:eastAsia="SimSun"/>
                <w:sz w:val="22"/>
              </w:rPr>
              <w:t>5.3.1.2</w:t>
            </w:r>
          </w:p>
        </w:tc>
        <w:tc>
          <w:tcPr>
            <w:tcW w:w="404" w:type="pct"/>
            <w:shd w:val="clear" w:color="auto" w:fill="auto"/>
            <w:vAlign w:val="center"/>
          </w:tcPr>
          <w:p w14:paraId="10DCF369" w14:textId="77777777" w:rsidR="008143D9" w:rsidRPr="00470E23" w:rsidRDefault="008143D9" w:rsidP="005A428D">
            <w:pPr>
              <w:rPr>
                <w:rFonts w:eastAsia="SimSun"/>
                <w:sz w:val="22"/>
              </w:rPr>
            </w:pPr>
            <w:r w:rsidRPr="00470E23">
              <w:rPr>
                <w:rFonts w:eastAsia="SimSun"/>
                <w:sz w:val="22"/>
              </w:rPr>
              <w:t>5.3.1.11</w:t>
            </w:r>
          </w:p>
        </w:tc>
        <w:tc>
          <w:tcPr>
            <w:tcW w:w="466" w:type="pct"/>
            <w:shd w:val="clear" w:color="auto" w:fill="auto"/>
            <w:vAlign w:val="center"/>
          </w:tcPr>
          <w:p w14:paraId="0772AC36" w14:textId="77777777" w:rsidR="008143D9" w:rsidRPr="00470E23" w:rsidRDefault="008143D9" w:rsidP="005A428D">
            <w:pPr>
              <w:rPr>
                <w:rFonts w:eastAsia="SimSun"/>
                <w:sz w:val="22"/>
              </w:rPr>
            </w:pPr>
            <w:r w:rsidRPr="00470E23">
              <w:rPr>
                <w:rFonts w:eastAsia="SimSun"/>
                <w:sz w:val="22"/>
              </w:rPr>
              <w:t>5.3.1.12</w:t>
            </w:r>
          </w:p>
        </w:tc>
        <w:tc>
          <w:tcPr>
            <w:tcW w:w="444" w:type="pct"/>
            <w:shd w:val="clear" w:color="auto" w:fill="auto"/>
            <w:vAlign w:val="center"/>
          </w:tcPr>
          <w:p w14:paraId="55453569" w14:textId="77777777" w:rsidR="008143D9" w:rsidRPr="00470E23" w:rsidRDefault="008143D9" w:rsidP="005A428D">
            <w:pPr>
              <w:rPr>
                <w:rFonts w:eastAsia="SimSun"/>
                <w:sz w:val="22"/>
              </w:rPr>
            </w:pPr>
            <w:r w:rsidRPr="00470E23">
              <w:rPr>
                <w:rFonts w:eastAsia="SimSun"/>
                <w:sz w:val="22"/>
              </w:rPr>
              <w:t>5.3.1.5</w:t>
            </w:r>
          </w:p>
        </w:tc>
        <w:tc>
          <w:tcPr>
            <w:tcW w:w="334" w:type="pct"/>
            <w:shd w:val="clear" w:color="auto" w:fill="auto"/>
            <w:vAlign w:val="center"/>
          </w:tcPr>
          <w:p w14:paraId="5B1ED3E9" w14:textId="77777777" w:rsidR="008143D9" w:rsidRPr="00470E23" w:rsidRDefault="008143D9" w:rsidP="005A428D">
            <w:pPr>
              <w:rPr>
                <w:rFonts w:eastAsia="SimSun"/>
                <w:sz w:val="22"/>
              </w:rPr>
            </w:pPr>
          </w:p>
        </w:tc>
        <w:tc>
          <w:tcPr>
            <w:tcW w:w="334" w:type="pct"/>
            <w:shd w:val="clear" w:color="auto" w:fill="auto"/>
            <w:vAlign w:val="center"/>
          </w:tcPr>
          <w:p w14:paraId="48B47885" w14:textId="77777777" w:rsidR="008143D9" w:rsidRPr="00470E23" w:rsidRDefault="008143D9" w:rsidP="005A428D">
            <w:pPr>
              <w:rPr>
                <w:rFonts w:eastAsia="SimSun"/>
                <w:sz w:val="22"/>
              </w:rPr>
            </w:pPr>
          </w:p>
        </w:tc>
        <w:tc>
          <w:tcPr>
            <w:tcW w:w="334" w:type="pct"/>
            <w:shd w:val="clear" w:color="auto" w:fill="auto"/>
            <w:vAlign w:val="center"/>
          </w:tcPr>
          <w:p w14:paraId="4E806F37" w14:textId="77777777" w:rsidR="008143D9" w:rsidRPr="00470E23" w:rsidRDefault="008143D9" w:rsidP="005A428D">
            <w:pPr>
              <w:rPr>
                <w:rFonts w:eastAsia="SimSun"/>
                <w:sz w:val="22"/>
              </w:rPr>
            </w:pPr>
          </w:p>
        </w:tc>
        <w:tc>
          <w:tcPr>
            <w:tcW w:w="425" w:type="pct"/>
            <w:shd w:val="clear" w:color="auto" w:fill="auto"/>
            <w:vAlign w:val="center"/>
          </w:tcPr>
          <w:p w14:paraId="30377636" w14:textId="77777777" w:rsidR="008143D9" w:rsidRPr="00470E23" w:rsidRDefault="008143D9" w:rsidP="005A428D">
            <w:pPr>
              <w:rPr>
                <w:rFonts w:eastAsia="SimSun"/>
                <w:sz w:val="22"/>
              </w:rPr>
            </w:pPr>
          </w:p>
        </w:tc>
        <w:tc>
          <w:tcPr>
            <w:tcW w:w="422" w:type="pct"/>
            <w:vAlign w:val="center"/>
          </w:tcPr>
          <w:p w14:paraId="5ABEB84D" w14:textId="77777777" w:rsidR="008143D9" w:rsidRPr="00470E23" w:rsidRDefault="008143D9" w:rsidP="005A428D">
            <w:pPr>
              <w:rPr>
                <w:rFonts w:eastAsia="SimSun"/>
                <w:sz w:val="22"/>
              </w:rPr>
            </w:pPr>
          </w:p>
        </w:tc>
      </w:tr>
      <w:tr w:rsidR="008143D9" w:rsidRPr="00470E23" w14:paraId="0A510679" w14:textId="77777777" w:rsidTr="005A428D">
        <w:trPr>
          <w:cantSplit/>
          <w:trHeight w:val="1020"/>
        </w:trPr>
        <w:tc>
          <w:tcPr>
            <w:tcW w:w="248" w:type="pct"/>
            <w:vMerge/>
            <w:tcBorders>
              <w:bottom w:val="single" w:sz="4" w:space="0" w:color="00000A"/>
            </w:tcBorders>
            <w:shd w:val="clear" w:color="auto" w:fill="D9D9D9"/>
            <w:vAlign w:val="center"/>
          </w:tcPr>
          <w:p w14:paraId="6B1C0085" w14:textId="77777777" w:rsidR="008143D9" w:rsidRPr="00470E23" w:rsidRDefault="008143D9" w:rsidP="005A428D">
            <w:pPr>
              <w:rPr>
                <w:rFonts w:eastAsia="SimSun"/>
                <w:sz w:val="22"/>
              </w:rPr>
            </w:pPr>
          </w:p>
        </w:tc>
        <w:tc>
          <w:tcPr>
            <w:tcW w:w="369" w:type="pct"/>
            <w:tcBorders>
              <w:top w:val="single" w:sz="4" w:space="0" w:color="00000A"/>
            </w:tcBorders>
            <w:shd w:val="clear" w:color="auto" w:fill="D9D9D9"/>
            <w:vAlign w:val="center"/>
          </w:tcPr>
          <w:p w14:paraId="2C4CE23B" w14:textId="77777777" w:rsidR="008143D9" w:rsidRPr="00470E23" w:rsidRDefault="008143D9" w:rsidP="005A428D">
            <w:pPr>
              <w:rPr>
                <w:rFonts w:eastAsia="SimSun"/>
                <w:sz w:val="22"/>
              </w:rPr>
            </w:pPr>
            <w:r w:rsidRPr="00470E23">
              <w:rPr>
                <w:rFonts w:eastAsia="SimSun"/>
                <w:sz w:val="22"/>
              </w:rPr>
              <w:t>-</w:t>
            </w:r>
          </w:p>
        </w:tc>
        <w:tc>
          <w:tcPr>
            <w:tcW w:w="321" w:type="pct"/>
            <w:tcBorders>
              <w:top w:val="single" w:sz="4" w:space="0" w:color="00000A"/>
            </w:tcBorders>
            <w:shd w:val="clear" w:color="auto" w:fill="D9D9D9"/>
            <w:vAlign w:val="center"/>
          </w:tcPr>
          <w:p w14:paraId="1C8FCB46" w14:textId="77777777" w:rsidR="008143D9" w:rsidRPr="00470E23" w:rsidRDefault="008143D9" w:rsidP="005A428D">
            <w:pPr>
              <w:rPr>
                <w:rFonts w:eastAsia="SimSun"/>
                <w:sz w:val="22"/>
              </w:rPr>
            </w:pPr>
            <w:r w:rsidRPr="00470E23">
              <w:rPr>
                <w:rFonts w:eastAsia="SimSun"/>
                <w:sz w:val="22"/>
              </w:rPr>
              <w:t>Tx</w:t>
            </w:r>
          </w:p>
        </w:tc>
        <w:tc>
          <w:tcPr>
            <w:tcW w:w="455" w:type="pct"/>
            <w:shd w:val="clear" w:color="auto" w:fill="D9D9D9"/>
            <w:vAlign w:val="center"/>
          </w:tcPr>
          <w:p w14:paraId="53760E1A" w14:textId="77777777" w:rsidR="008143D9" w:rsidRPr="00470E23" w:rsidRDefault="008143D9" w:rsidP="005A428D">
            <w:pPr>
              <w:rPr>
                <w:rFonts w:eastAsia="SimSun"/>
                <w:sz w:val="22"/>
              </w:rPr>
            </w:pPr>
            <w:r w:rsidRPr="00470E23">
              <w:rPr>
                <w:rFonts w:eastAsia="SimSun"/>
                <w:sz w:val="22"/>
              </w:rPr>
              <w:t>MMF45</w:t>
            </w:r>
          </w:p>
        </w:tc>
        <w:tc>
          <w:tcPr>
            <w:tcW w:w="444" w:type="pct"/>
            <w:tcBorders>
              <w:left w:val="single" w:sz="4" w:space="0" w:color="00000A"/>
            </w:tcBorders>
            <w:shd w:val="clear" w:color="auto" w:fill="auto"/>
            <w:vAlign w:val="center"/>
          </w:tcPr>
          <w:p w14:paraId="7307D4D5" w14:textId="77777777" w:rsidR="008143D9" w:rsidRPr="00470E23" w:rsidRDefault="008143D9" w:rsidP="005A428D">
            <w:pPr>
              <w:rPr>
                <w:rFonts w:eastAsia="SimSun"/>
                <w:sz w:val="22"/>
              </w:rPr>
            </w:pPr>
            <w:r w:rsidRPr="00470E23">
              <w:rPr>
                <w:rFonts w:eastAsia="SimSun"/>
                <w:sz w:val="22"/>
              </w:rPr>
              <w:t>-</w:t>
            </w:r>
          </w:p>
        </w:tc>
        <w:tc>
          <w:tcPr>
            <w:tcW w:w="404" w:type="pct"/>
            <w:shd w:val="clear" w:color="auto" w:fill="auto"/>
            <w:vAlign w:val="center"/>
          </w:tcPr>
          <w:p w14:paraId="0E7CE3F8" w14:textId="77777777" w:rsidR="008143D9" w:rsidRPr="00470E23" w:rsidRDefault="008143D9" w:rsidP="005A428D">
            <w:pPr>
              <w:rPr>
                <w:rFonts w:eastAsia="SimSun"/>
                <w:sz w:val="22"/>
              </w:rPr>
            </w:pPr>
            <w:r w:rsidRPr="00470E23">
              <w:rPr>
                <w:rFonts w:eastAsia="SimSun"/>
                <w:sz w:val="22"/>
              </w:rPr>
              <w:t>-</w:t>
            </w:r>
          </w:p>
        </w:tc>
        <w:tc>
          <w:tcPr>
            <w:tcW w:w="466" w:type="pct"/>
            <w:shd w:val="clear" w:color="auto" w:fill="auto"/>
            <w:vAlign w:val="center"/>
          </w:tcPr>
          <w:p w14:paraId="68426CD8" w14:textId="77777777" w:rsidR="008143D9" w:rsidRPr="00470E23" w:rsidRDefault="008143D9" w:rsidP="005A428D">
            <w:pPr>
              <w:rPr>
                <w:rFonts w:eastAsia="SimSun"/>
                <w:sz w:val="22"/>
              </w:rPr>
            </w:pPr>
            <w:r w:rsidRPr="00470E23">
              <w:rPr>
                <w:rFonts w:eastAsia="SimSun"/>
                <w:sz w:val="22"/>
              </w:rPr>
              <w:t>-</w:t>
            </w:r>
          </w:p>
        </w:tc>
        <w:tc>
          <w:tcPr>
            <w:tcW w:w="444" w:type="pct"/>
            <w:shd w:val="clear" w:color="auto" w:fill="auto"/>
            <w:vAlign w:val="center"/>
          </w:tcPr>
          <w:p w14:paraId="57568CCF" w14:textId="77777777" w:rsidR="008143D9" w:rsidRPr="00470E23" w:rsidRDefault="008143D9" w:rsidP="005A428D">
            <w:pPr>
              <w:rPr>
                <w:rFonts w:eastAsia="SimSun"/>
                <w:sz w:val="22"/>
              </w:rPr>
            </w:pPr>
            <w:r w:rsidRPr="00470E23">
              <w:rPr>
                <w:rFonts w:eastAsia="SimSun"/>
                <w:sz w:val="22"/>
              </w:rPr>
              <w:t>5.3.1.6</w:t>
            </w:r>
          </w:p>
        </w:tc>
        <w:tc>
          <w:tcPr>
            <w:tcW w:w="334" w:type="pct"/>
            <w:shd w:val="clear" w:color="auto" w:fill="auto"/>
            <w:vAlign w:val="center"/>
          </w:tcPr>
          <w:p w14:paraId="2E64C215" w14:textId="77777777" w:rsidR="008143D9" w:rsidRPr="00470E23" w:rsidRDefault="008143D9" w:rsidP="005A428D">
            <w:pPr>
              <w:rPr>
                <w:rFonts w:eastAsia="SimSun"/>
                <w:sz w:val="22"/>
              </w:rPr>
            </w:pPr>
            <w:r w:rsidRPr="00470E23">
              <w:rPr>
                <w:rFonts w:eastAsia="SimSun"/>
                <w:sz w:val="22"/>
              </w:rPr>
              <w:t>5.3.1.7</w:t>
            </w:r>
          </w:p>
        </w:tc>
        <w:tc>
          <w:tcPr>
            <w:tcW w:w="334" w:type="pct"/>
            <w:shd w:val="clear" w:color="auto" w:fill="auto"/>
            <w:vAlign w:val="center"/>
          </w:tcPr>
          <w:p w14:paraId="6A767425" w14:textId="77777777" w:rsidR="008143D9" w:rsidRPr="00470E23" w:rsidRDefault="008143D9" w:rsidP="005A428D">
            <w:pPr>
              <w:rPr>
                <w:rFonts w:eastAsia="SimSun"/>
                <w:sz w:val="22"/>
              </w:rPr>
            </w:pPr>
            <w:r w:rsidRPr="00470E23">
              <w:rPr>
                <w:rFonts w:eastAsia="SimSun"/>
                <w:sz w:val="22"/>
              </w:rPr>
              <w:t>5.3.1.8</w:t>
            </w:r>
          </w:p>
        </w:tc>
        <w:tc>
          <w:tcPr>
            <w:tcW w:w="334" w:type="pct"/>
            <w:shd w:val="clear" w:color="auto" w:fill="auto"/>
            <w:vAlign w:val="center"/>
          </w:tcPr>
          <w:p w14:paraId="5D52AB72" w14:textId="77777777" w:rsidR="008143D9" w:rsidRPr="00470E23" w:rsidRDefault="008143D9" w:rsidP="005A428D">
            <w:pPr>
              <w:rPr>
                <w:rFonts w:eastAsia="SimSun"/>
                <w:sz w:val="22"/>
              </w:rPr>
            </w:pPr>
            <w:r w:rsidRPr="00470E23">
              <w:rPr>
                <w:rFonts w:eastAsia="SimSun"/>
                <w:sz w:val="22"/>
              </w:rPr>
              <w:t>5.3.1.9</w:t>
            </w:r>
          </w:p>
        </w:tc>
        <w:tc>
          <w:tcPr>
            <w:tcW w:w="425" w:type="pct"/>
            <w:shd w:val="clear" w:color="auto" w:fill="auto"/>
            <w:vAlign w:val="center"/>
          </w:tcPr>
          <w:p w14:paraId="478825DB" w14:textId="77777777" w:rsidR="008143D9" w:rsidRPr="00470E23" w:rsidRDefault="008143D9" w:rsidP="005A428D">
            <w:pPr>
              <w:rPr>
                <w:rFonts w:eastAsia="SimSun"/>
                <w:sz w:val="22"/>
              </w:rPr>
            </w:pPr>
            <w:r w:rsidRPr="00470E23">
              <w:rPr>
                <w:rFonts w:eastAsia="SimSun"/>
                <w:sz w:val="22"/>
              </w:rPr>
              <w:t>5.3.1.13</w:t>
            </w:r>
          </w:p>
        </w:tc>
        <w:tc>
          <w:tcPr>
            <w:tcW w:w="422" w:type="pct"/>
            <w:vAlign w:val="center"/>
          </w:tcPr>
          <w:p w14:paraId="4D211C8C" w14:textId="77777777" w:rsidR="008143D9" w:rsidRPr="00470E23" w:rsidRDefault="008143D9" w:rsidP="005A428D">
            <w:pPr>
              <w:rPr>
                <w:rFonts w:eastAsia="SimSun"/>
                <w:sz w:val="22"/>
              </w:rPr>
            </w:pPr>
            <w:r w:rsidRPr="00470E23">
              <w:rPr>
                <w:rFonts w:eastAsia="SimSun"/>
                <w:sz w:val="22"/>
              </w:rPr>
              <w:t>5.3.1.14</w:t>
            </w:r>
          </w:p>
        </w:tc>
      </w:tr>
    </w:tbl>
    <w:p w14:paraId="6171FABD" w14:textId="77777777" w:rsidR="008143D9" w:rsidRPr="00C07B2E" w:rsidRDefault="008143D9" w:rsidP="008143D9">
      <w:pPr>
        <w:rPr>
          <w:rFonts w:eastAsia="SimSun"/>
        </w:rPr>
      </w:pPr>
    </w:p>
    <w:p w14:paraId="6CAD19FF" w14:textId="77777777" w:rsidR="008143D9" w:rsidRPr="00C07B2E" w:rsidRDefault="008143D9" w:rsidP="008143D9">
      <w:pPr>
        <w:rPr>
          <w:rFonts w:eastAsia="SimSun"/>
        </w:rPr>
        <w:sectPr w:rsidR="008143D9" w:rsidRPr="00C07B2E" w:rsidSect="00980822">
          <w:headerReference w:type="default" r:id="rId18"/>
          <w:footerReference w:type="default" r:id="rId19"/>
          <w:type w:val="continuous"/>
          <w:pgSz w:w="16839" w:h="11907" w:orient="landscape" w:code="9"/>
          <w:pgMar w:top="1134" w:right="850" w:bottom="1134" w:left="1701" w:header="709" w:footer="567" w:gutter="0"/>
          <w:cols w:space="708"/>
          <w:docGrid w:linePitch="360"/>
        </w:sectPr>
      </w:pPr>
    </w:p>
    <w:p w14:paraId="47CB36B6" w14:textId="77777777" w:rsidR="008143D9" w:rsidRPr="00C07B2E" w:rsidRDefault="008143D9" w:rsidP="008143D9">
      <w:pPr>
        <w:rPr>
          <w:rFonts w:eastAsia="SimSun"/>
        </w:rPr>
      </w:pPr>
      <w:bookmarkStart w:id="183" w:name="_Toc44401226"/>
      <w:r w:rsidRPr="00EE51B1">
        <w:rPr>
          <w:rFonts w:eastAsia="SimSun"/>
        </w:rPr>
        <w:t>Таблица</w:t>
      </w:r>
      <w:r w:rsidRPr="00C07B2E">
        <w:rPr>
          <w:rFonts w:eastAsia="SimSun"/>
        </w:rPr>
        <w:t xml:space="preserve"> </w:t>
      </w:r>
      <w:r>
        <w:rPr>
          <w:rFonts w:eastAsia="SimSun"/>
        </w:rPr>
        <w:t>5.</w:t>
      </w:r>
      <w:r w:rsidRPr="00C07B2E">
        <w:rPr>
          <w:rFonts w:eastAsia="SimSun"/>
        </w:rPr>
        <w:t>3.1.1  – Flu150+Bu8+Thio / PT-Cy+CSA+MMF30</w:t>
      </w:r>
      <w:bookmarkEnd w:id="183"/>
    </w:p>
    <w:p w14:paraId="59FEAD52" w14:textId="77777777" w:rsidR="008143D9" w:rsidRPr="00C07B2E" w:rsidRDefault="008143D9" w:rsidP="008143D9">
      <w:pPr>
        <w:rPr>
          <w:rFonts w:eastAsia="SimSun"/>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8143D9" w:rsidRPr="00AC3044" w14:paraId="7EF508FA" w14:textId="77777777" w:rsidTr="005A428D">
        <w:trPr>
          <w:cantSplit/>
          <w:trHeight w:val="20"/>
          <w:tblHeader/>
        </w:trPr>
        <w:tc>
          <w:tcPr>
            <w:tcW w:w="1135" w:type="dxa"/>
          </w:tcPr>
          <w:p w14:paraId="1A4C0E64" w14:textId="77777777" w:rsidR="008143D9" w:rsidRPr="006A5E21" w:rsidRDefault="008143D9" w:rsidP="005A428D">
            <w:pPr>
              <w:rPr>
                <w:rFonts w:eastAsia="SimSun"/>
              </w:rPr>
            </w:pPr>
          </w:p>
        </w:tc>
        <w:tc>
          <w:tcPr>
            <w:tcW w:w="1559" w:type="dxa"/>
          </w:tcPr>
          <w:p w14:paraId="72D0BF82" w14:textId="77777777" w:rsidR="008143D9" w:rsidRPr="00AC3044" w:rsidRDefault="008143D9" w:rsidP="005A428D">
            <w:pPr>
              <w:rPr>
                <w:rFonts w:eastAsia="SimSun"/>
              </w:rPr>
            </w:pPr>
            <w:r w:rsidRPr="00AC3044">
              <w:rPr>
                <w:rFonts w:eastAsia="SimSun"/>
              </w:rPr>
              <w:t>Препарат</w:t>
            </w:r>
          </w:p>
        </w:tc>
        <w:tc>
          <w:tcPr>
            <w:tcW w:w="1418" w:type="dxa"/>
          </w:tcPr>
          <w:p w14:paraId="4D4FCC5F" w14:textId="77777777" w:rsidR="008143D9" w:rsidRPr="00AC3044" w:rsidRDefault="008143D9" w:rsidP="005A428D">
            <w:pPr>
              <w:rPr>
                <w:rFonts w:eastAsia="SimSun"/>
              </w:rPr>
            </w:pPr>
            <w:r w:rsidRPr="00AC3044">
              <w:rPr>
                <w:rFonts w:eastAsia="SimSun"/>
              </w:rPr>
              <w:t>Суточная доза</w:t>
            </w:r>
          </w:p>
        </w:tc>
        <w:tc>
          <w:tcPr>
            <w:tcW w:w="1559" w:type="dxa"/>
          </w:tcPr>
          <w:p w14:paraId="096032F4" w14:textId="77777777" w:rsidR="008143D9" w:rsidRPr="00AC3044" w:rsidRDefault="008143D9" w:rsidP="005A428D">
            <w:pPr>
              <w:rPr>
                <w:rFonts w:eastAsia="SimSun"/>
              </w:rPr>
            </w:pPr>
            <w:r w:rsidRPr="00AC3044">
              <w:rPr>
                <w:rFonts w:eastAsia="SimSun"/>
              </w:rPr>
              <w:t>Курсовая доза</w:t>
            </w:r>
          </w:p>
        </w:tc>
        <w:tc>
          <w:tcPr>
            <w:tcW w:w="1559" w:type="dxa"/>
          </w:tcPr>
          <w:p w14:paraId="4A8F7755" w14:textId="77777777" w:rsidR="008143D9" w:rsidRPr="00AC3044" w:rsidRDefault="008143D9" w:rsidP="005A428D">
            <w:pPr>
              <w:rPr>
                <w:rFonts w:eastAsia="SimSun"/>
              </w:rPr>
            </w:pPr>
            <w:r w:rsidRPr="00AC3044">
              <w:rPr>
                <w:rFonts w:eastAsia="SimSun"/>
              </w:rPr>
              <w:t>Дни введения</w:t>
            </w:r>
          </w:p>
        </w:tc>
        <w:tc>
          <w:tcPr>
            <w:tcW w:w="2410" w:type="dxa"/>
          </w:tcPr>
          <w:p w14:paraId="7CE1D6A9"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309AD499" w14:textId="77777777" w:rsidTr="005A428D">
        <w:trPr>
          <w:cantSplit/>
          <w:trHeight w:val="20"/>
        </w:trPr>
        <w:tc>
          <w:tcPr>
            <w:tcW w:w="1135" w:type="dxa"/>
            <w:vMerge w:val="restart"/>
            <w:textDirection w:val="btLr"/>
          </w:tcPr>
          <w:p w14:paraId="19665B21" w14:textId="77777777" w:rsidR="008143D9" w:rsidRPr="00AC3044" w:rsidRDefault="008143D9" w:rsidP="005A428D">
            <w:pPr>
              <w:rPr>
                <w:rFonts w:eastAsia="SimSun"/>
              </w:rPr>
            </w:pPr>
            <w:r w:rsidRPr="00AC3044">
              <w:rPr>
                <w:rFonts w:eastAsia="SimSun"/>
              </w:rPr>
              <w:t>Кондиционирование</w:t>
            </w:r>
          </w:p>
        </w:tc>
        <w:tc>
          <w:tcPr>
            <w:tcW w:w="1559" w:type="dxa"/>
          </w:tcPr>
          <w:p w14:paraId="06C2C1A8" w14:textId="77777777" w:rsidR="008143D9" w:rsidRPr="00AC3044" w:rsidRDefault="008143D9" w:rsidP="005A428D">
            <w:pPr>
              <w:rPr>
                <w:rFonts w:eastAsia="SimSun"/>
              </w:rPr>
            </w:pPr>
            <w:r w:rsidRPr="00AC3044">
              <w:rPr>
                <w:rFonts w:eastAsia="SimSun"/>
              </w:rPr>
              <w:t xml:space="preserve">Флударабин </w:t>
            </w:r>
          </w:p>
        </w:tc>
        <w:tc>
          <w:tcPr>
            <w:tcW w:w="1418" w:type="dxa"/>
          </w:tcPr>
          <w:p w14:paraId="788BF423" w14:textId="77777777" w:rsidR="008143D9" w:rsidRPr="00AC3044" w:rsidRDefault="008143D9" w:rsidP="005A428D">
            <w:pPr>
              <w:rPr>
                <w:rFonts w:eastAsia="SimSun"/>
              </w:rPr>
            </w:pPr>
            <w:r w:rsidRPr="00AC3044">
              <w:rPr>
                <w:rFonts w:eastAsia="SimSun"/>
              </w:rPr>
              <w:t>50 мг/м</w:t>
            </w:r>
            <w:r w:rsidRPr="0074195F">
              <w:rPr>
                <w:rFonts w:eastAsia="SimSun"/>
                <w:vertAlign w:val="superscript"/>
              </w:rPr>
              <w:t>2</w:t>
            </w:r>
          </w:p>
        </w:tc>
        <w:tc>
          <w:tcPr>
            <w:tcW w:w="1559" w:type="dxa"/>
          </w:tcPr>
          <w:p w14:paraId="2C21E611" w14:textId="77777777" w:rsidR="008143D9" w:rsidRPr="00AC3044" w:rsidRDefault="008143D9" w:rsidP="005A428D">
            <w:pPr>
              <w:rPr>
                <w:rFonts w:eastAsia="SimSun"/>
              </w:rPr>
            </w:pPr>
            <w:r w:rsidRPr="00AC3044">
              <w:rPr>
                <w:rFonts w:eastAsia="SimSun"/>
              </w:rPr>
              <w:t>150 мг/м</w:t>
            </w:r>
            <w:r w:rsidRPr="0074195F">
              <w:rPr>
                <w:rFonts w:eastAsia="SimSun"/>
                <w:vertAlign w:val="superscript"/>
              </w:rPr>
              <w:t>2</w:t>
            </w:r>
          </w:p>
        </w:tc>
        <w:tc>
          <w:tcPr>
            <w:tcW w:w="1559" w:type="dxa"/>
          </w:tcPr>
          <w:p w14:paraId="2B83DDB0" w14:textId="77777777" w:rsidR="008143D9" w:rsidRPr="00AC3044" w:rsidRDefault="008143D9" w:rsidP="005A428D">
            <w:pPr>
              <w:rPr>
                <w:rFonts w:eastAsia="SimSun"/>
              </w:rPr>
            </w:pPr>
            <w:r w:rsidRPr="00AC3044">
              <w:rPr>
                <w:rFonts w:eastAsia="SimSun"/>
              </w:rPr>
              <w:t>С –4 по –2 день</w:t>
            </w:r>
          </w:p>
        </w:tc>
        <w:tc>
          <w:tcPr>
            <w:tcW w:w="2410" w:type="dxa"/>
          </w:tcPr>
          <w:p w14:paraId="7CDC75A9"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66D39542" w14:textId="77777777" w:rsidTr="005A428D">
        <w:trPr>
          <w:cantSplit/>
          <w:trHeight w:val="642"/>
        </w:trPr>
        <w:tc>
          <w:tcPr>
            <w:tcW w:w="1135" w:type="dxa"/>
            <w:vMerge/>
            <w:textDirection w:val="btLr"/>
          </w:tcPr>
          <w:p w14:paraId="3EDAC354" w14:textId="77777777" w:rsidR="008143D9" w:rsidRPr="00AC3044" w:rsidRDefault="008143D9" w:rsidP="005A428D">
            <w:pPr>
              <w:rPr>
                <w:rFonts w:eastAsia="SimSun"/>
              </w:rPr>
            </w:pPr>
          </w:p>
        </w:tc>
        <w:tc>
          <w:tcPr>
            <w:tcW w:w="1559" w:type="dxa"/>
          </w:tcPr>
          <w:p w14:paraId="69844DDF" w14:textId="77777777" w:rsidR="008143D9" w:rsidRPr="00AC3044" w:rsidRDefault="008143D9" w:rsidP="005A428D">
            <w:pPr>
              <w:rPr>
                <w:rFonts w:eastAsia="SimSun"/>
              </w:rPr>
            </w:pPr>
            <w:r w:rsidRPr="00AC3044">
              <w:rPr>
                <w:rFonts w:eastAsia="SimSun"/>
              </w:rPr>
              <w:t>Бусульфан</w:t>
            </w:r>
          </w:p>
        </w:tc>
        <w:tc>
          <w:tcPr>
            <w:tcW w:w="1418" w:type="dxa"/>
          </w:tcPr>
          <w:p w14:paraId="13AC547B" w14:textId="77777777" w:rsidR="008143D9" w:rsidRPr="00AC3044" w:rsidRDefault="008143D9" w:rsidP="005A428D">
            <w:pPr>
              <w:rPr>
                <w:rFonts w:eastAsia="SimSun"/>
              </w:rPr>
            </w:pPr>
            <w:r w:rsidRPr="00AC3044">
              <w:rPr>
                <w:rFonts w:eastAsia="SimSun"/>
              </w:rPr>
              <w:t>4 мг/кг</w:t>
            </w:r>
          </w:p>
        </w:tc>
        <w:tc>
          <w:tcPr>
            <w:tcW w:w="1559" w:type="dxa"/>
          </w:tcPr>
          <w:p w14:paraId="5531BECF" w14:textId="77777777" w:rsidR="008143D9" w:rsidRPr="00AC3044" w:rsidRDefault="008143D9" w:rsidP="005A428D">
            <w:pPr>
              <w:rPr>
                <w:rFonts w:eastAsia="SimSun"/>
              </w:rPr>
            </w:pPr>
            <w:r w:rsidRPr="00AC3044">
              <w:rPr>
                <w:rFonts w:eastAsia="SimSun"/>
              </w:rPr>
              <w:t>8 мг/кг</w:t>
            </w:r>
          </w:p>
        </w:tc>
        <w:tc>
          <w:tcPr>
            <w:tcW w:w="1559" w:type="dxa"/>
          </w:tcPr>
          <w:p w14:paraId="7071FA04" w14:textId="77777777" w:rsidR="008143D9" w:rsidRPr="00AC3044" w:rsidRDefault="008143D9" w:rsidP="005A428D">
            <w:pPr>
              <w:rPr>
                <w:rFonts w:eastAsia="SimSun"/>
              </w:rPr>
            </w:pPr>
            <w:r w:rsidRPr="00AC3044">
              <w:rPr>
                <w:rFonts w:eastAsia="SimSun"/>
              </w:rPr>
              <w:t>–3, –2 дни</w:t>
            </w:r>
          </w:p>
        </w:tc>
        <w:tc>
          <w:tcPr>
            <w:tcW w:w="2410" w:type="dxa"/>
          </w:tcPr>
          <w:p w14:paraId="5F915E18" w14:textId="77777777" w:rsidR="008143D9" w:rsidRPr="00AC3044" w:rsidRDefault="008143D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8143D9" w:rsidRPr="00AC3044" w14:paraId="5D2E1985" w14:textId="77777777" w:rsidTr="005A428D">
        <w:trPr>
          <w:cantSplit/>
          <w:trHeight w:val="552"/>
        </w:trPr>
        <w:tc>
          <w:tcPr>
            <w:tcW w:w="1135" w:type="dxa"/>
            <w:vMerge/>
            <w:textDirection w:val="btLr"/>
          </w:tcPr>
          <w:p w14:paraId="5E11FD4F" w14:textId="77777777" w:rsidR="008143D9" w:rsidRPr="00AC3044" w:rsidRDefault="008143D9" w:rsidP="005A428D">
            <w:pPr>
              <w:rPr>
                <w:rFonts w:eastAsia="SimSun"/>
              </w:rPr>
            </w:pPr>
          </w:p>
        </w:tc>
        <w:tc>
          <w:tcPr>
            <w:tcW w:w="1559" w:type="dxa"/>
          </w:tcPr>
          <w:p w14:paraId="732FB4F6" w14:textId="77777777" w:rsidR="008143D9" w:rsidRPr="00AC3044" w:rsidRDefault="008143D9" w:rsidP="005A428D">
            <w:pPr>
              <w:rPr>
                <w:rFonts w:eastAsia="SimSun"/>
              </w:rPr>
            </w:pPr>
            <w:r w:rsidRPr="00AC3044">
              <w:rPr>
                <w:rFonts w:eastAsia="SimSun"/>
              </w:rPr>
              <w:t>Тиотепа</w:t>
            </w:r>
          </w:p>
        </w:tc>
        <w:tc>
          <w:tcPr>
            <w:tcW w:w="1418" w:type="dxa"/>
          </w:tcPr>
          <w:p w14:paraId="083E257A" w14:textId="77777777" w:rsidR="008143D9" w:rsidRPr="00AC3044" w:rsidRDefault="008143D9" w:rsidP="005A428D">
            <w:pPr>
              <w:rPr>
                <w:rFonts w:eastAsia="SimSun"/>
              </w:rPr>
            </w:pPr>
            <w:r w:rsidRPr="00AC3044">
              <w:rPr>
                <w:rFonts w:eastAsia="SimSun"/>
              </w:rPr>
              <w:t>5 мг/кг</w:t>
            </w:r>
          </w:p>
        </w:tc>
        <w:tc>
          <w:tcPr>
            <w:tcW w:w="1559" w:type="dxa"/>
          </w:tcPr>
          <w:p w14:paraId="53306035" w14:textId="77777777" w:rsidR="008143D9" w:rsidRPr="00AC3044" w:rsidRDefault="008143D9" w:rsidP="005A428D">
            <w:pPr>
              <w:rPr>
                <w:rFonts w:eastAsia="SimSun"/>
              </w:rPr>
            </w:pPr>
            <w:r w:rsidRPr="00AC3044">
              <w:rPr>
                <w:rFonts w:eastAsia="SimSun"/>
              </w:rPr>
              <w:t>10 мг/кг</w:t>
            </w:r>
          </w:p>
        </w:tc>
        <w:tc>
          <w:tcPr>
            <w:tcW w:w="1559" w:type="dxa"/>
          </w:tcPr>
          <w:p w14:paraId="01E7B583" w14:textId="77777777" w:rsidR="008143D9" w:rsidRPr="00AC3044" w:rsidRDefault="008143D9" w:rsidP="005A428D">
            <w:pPr>
              <w:rPr>
                <w:rFonts w:eastAsia="SimSun"/>
              </w:rPr>
            </w:pPr>
            <w:r w:rsidRPr="00AC3044">
              <w:rPr>
                <w:rFonts w:eastAsia="SimSun"/>
              </w:rPr>
              <w:t>-6,-5 дни</w:t>
            </w:r>
          </w:p>
        </w:tc>
        <w:tc>
          <w:tcPr>
            <w:tcW w:w="2410" w:type="dxa"/>
          </w:tcPr>
          <w:p w14:paraId="312B176A" w14:textId="77777777" w:rsidR="008143D9" w:rsidRPr="00AC3044" w:rsidRDefault="008143D9" w:rsidP="005A428D">
            <w:pPr>
              <w:rPr>
                <w:rFonts w:eastAsia="SimSun"/>
              </w:rPr>
            </w:pPr>
            <w:r w:rsidRPr="00AC3044">
              <w:rPr>
                <w:rFonts w:eastAsia="SimSun"/>
              </w:rPr>
              <w:t>В/в, в течение 2 часов</w:t>
            </w:r>
          </w:p>
        </w:tc>
      </w:tr>
      <w:tr w:rsidR="008143D9" w:rsidRPr="00AC3044" w14:paraId="401594E5" w14:textId="77777777" w:rsidTr="005A428D">
        <w:trPr>
          <w:cantSplit/>
          <w:trHeight w:val="1357"/>
        </w:trPr>
        <w:tc>
          <w:tcPr>
            <w:tcW w:w="1135" w:type="dxa"/>
            <w:vMerge w:val="restart"/>
            <w:textDirection w:val="btLr"/>
          </w:tcPr>
          <w:p w14:paraId="4C95F642" w14:textId="77777777" w:rsidR="008143D9" w:rsidRPr="00AC3044" w:rsidRDefault="008143D9" w:rsidP="005A428D">
            <w:pPr>
              <w:rPr>
                <w:rFonts w:eastAsia="SimSun"/>
              </w:rPr>
            </w:pPr>
            <w:r w:rsidRPr="00AC3044">
              <w:rPr>
                <w:rFonts w:eastAsia="SimSun"/>
              </w:rPr>
              <w:t>Профилактика РТПХ</w:t>
            </w:r>
          </w:p>
        </w:tc>
        <w:tc>
          <w:tcPr>
            <w:tcW w:w="1559" w:type="dxa"/>
          </w:tcPr>
          <w:p w14:paraId="30150DE1" w14:textId="77777777" w:rsidR="008143D9" w:rsidRPr="00AC3044" w:rsidRDefault="008143D9" w:rsidP="005A428D">
            <w:pPr>
              <w:rPr>
                <w:rFonts w:eastAsia="SimSun"/>
              </w:rPr>
            </w:pPr>
            <w:r w:rsidRPr="00AC3044">
              <w:rPr>
                <w:rFonts w:eastAsia="SimSun"/>
              </w:rPr>
              <w:t>Циклоспорин</w:t>
            </w:r>
          </w:p>
        </w:tc>
        <w:tc>
          <w:tcPr>
            <w:tcW w:w="1418" w:type="dxa"/>
          </w:tcPr>
          <w:p w14:paraId="32C24AA7" w14:textId="77777777" w:rsidR="008143D9" w:rsidRPr="00AC3044" w:rsidRDefault="008143D9" w:rsidP="005A428D">
            <w:pPr>
              <w:rPr>
                <w:rFonts w:eastAsia="SimSun"/>
              </w:rPr>
            </w:pPr>
            <w:r w:rsidRPr="00AC3044">
              <w:rPr>
                <w:rFonts w:eastAsia="SimSun"/>
              </w:rPr>
              <w:t>3 мг/кг</w:t>
            </w:r>
          </w:p>
        </w:tc>
        <w:tc>
          <w:tcPr>
            <w:tcW w:w="1559" w:type="dxa"/>
          </w:tcPr>
          <w:p w14:paraId="62B6C14E" w14:textId="77777777" w:rsidR="008143D9" w:rsidRPr="00AC3044" w:rsidRDefault="008143D9" w:rsidP="005A428D">
            <w:pPr>
              <w:rPr>
                <w:rFonts w:eastAsia="SimSun"/>
              </w:rPr>
            </w:pPr>
            <w:r w:rsidRPr="00AC3044">
              <w:rPr>
                <w:rFonts w:eastAsia="SimSun"/>
              </w:rPr>
              <w:t>–</w:t>
            </w:r>
          </w:p>
        </w:tc>
        <w:tc>
          <w:tcPr>
            <w:tcW w:w="1559" w:type="dxa"/>
          </w:tcPr>
          <w:p w14:paraId="1822C8F8" w14:textId="77777777" w:rsidR="008143D9" w:rsidRPr="00AC3044" w:rsidRDefault="008143D9" w:rsidP="005A428D">
            <w:pPr>
              <w:rPr>
                <w:rFonts w:eastAsia="SimSun"/>
              </w:rPr>
            </w:pPr>
            <w:r w:rsidRPr="00AC3044">
              <w:rPr>
                <w:rFonts w:eastAsia="SimSun"/>
              </w:rPr>
              <w:t>С +5 дня по +90 день затем постепенное снижение к +180 дню</w:t>
            </w:r>
          </w:p>
        </w:tc>
        <w:tc>
          <w:tcPr>
            <w:tcW w:w="2410" w:type="dxa"/>
          </w:tcPr>
          <w:p w14:paraId="0984A0B2" w14:textId="77777777" w:rsidR="008143D9" w:rsidRPr="00AC3044" w:rsidRDefault="008143D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8143D9" w:rsidRPr="00AC3044" w14:paraId="4C34E80F" w14:textId="77777777" w:rsidTr="005A428D">
        <w:trPr>
          <w:cantSplit/>
          <w:trHeight w:val="20"/>
        </w:trPr>
        <w:tc>
          <w:tcPr>
            <w:tcW w:w="1135" w:type="dxa"/>
            <w:vMerge/>
            <w:textDirection w:val="btLr"/>
          </w:tcPr>
          <w:p w14:paraId="16FDF2EE" w14:textId="77777777" w:rsidR="008143D9" w:rsidRPr="00AC3044" w:rsidRDefault="008143D9" w:rsidP="005A428D">
            <w:pPr>
              <w:rPr>
                <w:rFonts w:eastAsia="SimSun"/>
              </w:rPr>
            </w:pPr>
          </w:p>
        </w:tc>
        <w:tc>
          <w:tcPr>
            <w:tcW w:w="1559" w:type="dxa"/>
          </w:tcPr>
          <w:p w14:paraId="275D50DB" w14:textId="77777777" w:rsidR="008143D9" w:rsidRPr="00AC3044" w:rsidRDefault="008143D9" w:rsidP="005A428D">
            <w:pPr>
              <w:rPr>
                <w:rFonts w:eastAsia="SimSun"/>
              </w:rPr>
            </w:pPr>
            <w:r w:rsidRPr="00AC3044">
              <w:rPr>
                <w:rFonts w:eastAsia="SimSun"/>
              </w:rPr>
              <w:t>Микофенолата мофетил</w:t>
            </w:r>
          </w:p>
        </w:tc>
        <w:tc>
          <w:tcPr>
            <w:tcW w:w="1418" w:type="dxa"/>
          </w:tcPr>
          <w:p w14:paraId="41F3A478" w14:textId="77777777" w:rsidR="008143D9" w:rsidRPr="00AC3044" w:rsidRDefault="008143D9" w:rsidP="005A428D">
            <w:pPr>
              <w:rPr>
                <w:rFonts w:eastAsia="SimSun"/>
              </w:rPr>
            </w:pPr>
            <w:r w:rsidRPr="00AC3044">
              <w:rPr>
                <w:rFonts w:eastAsia="SimSun"/>
              </w:rPr>
              <w:t>30 мг/кг</w:t>
            </w:r>
          </w:p>
        </w:tc>
        <w:tc>
          <w:tcPr>
            <w:tcW w:w="1559" w:type="dxa"/>
          </w:tcPr>
          <w:p w14:paraId="3AF9714D" w14:textId="77777777" w:rsidR="008143D9" w:rsidRPr="00AC3044" w:rsidRDefault="008143D9" w:rsidP="005A428D">
            <w:pPr>
              <w:rPr>
                <w:rFonts w:eastAsia="SimSun"/>
              </w:rPr>
            </w:pPr>
            <w:r w:rsidRPr="00AC3044">
              <w:rPr>
                <w:rFonts w:eastAsia="SimSun"/>
              </w:rPr>
              <w:t>–</w:t>
            </w:r>
          </w:p>
        </w:tc>
        <w:tc>
          <w:tcPr>
            <w:tcW w:w="1559" w:type="dxa"/>
          </w:tcPr>
          <w:p w14:paraId="0E7C6B6C" w14:textId="77777777" w:rsidR="008143D9" w:rsidRPr="00AC3044" w:rsidRDefault="008143D9" w:rsidP="005A428D">
            <w:pPr>
              <w:rPr>
                <w:rFonts w:eastAsia="SimSun"/>
              </w:rPr>
            </w:pPr>
            <w:r w:rsidRPr="00AC3044">
              <w:rPr>
                <w:rFonts w:eastAsia="SimSun"/>
              </w:rPr>
              <w:t>С +5 по +90 день</w:t>
            </w:r>
          </w:p>
        </w:tc>
        <w:tc>
          <w:tcPr>
            <w:tcW w:w="2410" w:type="dxa"/>
          </w:tcPr>
          <w:p w14:paraId="5631B68B" w14:textId="77777777" w:rsidR="008143D9" w:rsidRPr="00AC3044" w:rsidRDefault="008143D9" w:rsidP="005A428D">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8143D9" w:rsidRPr="00AC3044" w14:paraId="52FB6802" w14:textId="77777777" w:rsidTr="005A428D">
        <w:trPr>
          <w:cantSplit/>
          <w:trHeight w:val="20"/>
        </w:trPr>
        <w:tc>
          <w:tcPr>
            <w:tcW w:w="1135" w:type="dxa"/>
            <w:vMerge/>
            <w:textDirection w:val="btLr"/>
          </w:tcPr>
          <w:p w14:paraId="24B76111" w14:textId="77777777" w:rsidR="008143D9" w:rsidRPr="00AC3044" w:rsidRDefault="008143D9" w:rsidP="005A428D">
            <w:pPr>
              <w:rPr>
                <w:rFonts w:eastAsia="SimSun"/>
              </w:rPr>
            </w:pPr>
          </w:p>
        </w:tc>
        <w:tc>
          <w:tcPr>
            <w:tcW w:w="1559" w:type="dxa"/>
          </w:tcPr>
          <w:p w14:paraId="2A1385F2" w14:textId="77777777" w:rsidR="008143D9" w:rsidRPr="00AC3044" w:rsidRDefault="008143D9" w:rsidP="005A428D">
            <w:pPr>
              <w:rPr>
                <w:rFonts w:eastAsia="SimSun"/>
              </w:rPr>
            </w:pPr>
            <w:r w:rsidRPr="00AC3044">
              <w:rPr>
                <w:rFonts w:eastAsia="SimSun"/>
              </w:rPr>
              <w:t>Циклофосфамид</w:t>
            </w:r>
          </w:p>
        </w:tc>
        <w:tc>
          <w:tcPr>
            <w:tcW w:w="1418" w:type="dxa"/>
          </w:tcPr>
          <w:p w14:paraId="4A06544E" w14:textId="77777777" w:rsidR="008143D9" w:rsidRPr="00AC3044" w:rsidRDefault="008143D9" w:rsidP="005A428D">
            <w:pPr>
              <w:rPr>
                <w:rFonts w:eastAsia="SimSun"/>
              </w:rPr>
            </w:pPr>
            <w:r w:rsidRPr="00AC3044">
              <w:rPr>
                <w:rFonts w:eastAsia="SimSun"/>
              </w:rPr>
              <w:t>50 мг/кг</w:t>
            </w:r>
          </w:p>
        </w:tc>
        <w:tc>
          <w:tcPr>
            <w:tcW w:w="1559" w:type="dxa"/>
          </w:tcPr>
          <w:p w14:paraId="6FDD016F" w14:textId="77777777" w:rsidR="008143D9" w:rsidRPr="00AC3044" w:rsidRDefault="008143D9" w:rsidP="005A428D">
            <w:pPr>
              <w:rPr>
                <w:rFonts w:eastAsia="SimSun"/>
              </w:rPr>
            </w:pPr>
            <w:r w:rsidRPr="00AC3044">
              <w:rPr>
                <w:rFonts w:eastAsia="SimSun"/>
              </w:rPr>
              <w:t>100 мг/кг</w:t>
            </w:r>
          </w:p>
        </w:tc>
        <w:tc>
          <w:tcPr>
            <w:tcW w:w="1559" w:type="dxa"/>
          </w:tcPr>
          <w:p w14:paraId="0C8CFC02" w14:textId="77777777" w:rsidR="008143D9" w:rsidRPr="00AC3044" w:rsidRDefault="008143D9" w:rsidP="005A428D">
            <w:pPr>
              <w:rPr>
                <w:rFonts w:eastAsia="SimSun"/>
              </w:rPr>
            </w:pPr>
            <w:r w:rsidRPr="00AC3044">
              <w:rPr>
                <w:rFonts w:eastAsia="SimSun"/>
              </w:rPr>
              <w:t xml:space="preserve">+3,+4 дни </w:t>
            </w:r>
          </w:p>
        </w:tc>
        <w:tc>
          <w:tcPr>
            <w:tcW w:w="2410" w:type="dxa"/>
          </w:tcPr>
          <w:p w14:paraId="17AC95CC" w14:textId="77777777" w:rsidR="008143D9" w:rsidRPr="00AC3044" w:rsidRDefault="008143D9" w:rsidP="005A428D">
            <w:pPr>
              <w:rPr>
                <w:rFonts w:eastAsia="SimSun"/>
              </w:rPr>
            </w:pPr>
            <w:r w:rsidRPr="00AC3044">
              <w:rPr>
                <w:rFonts w:eastAsia="SimSun"/>
              </w:rPr>
              <w:t>В/в, в течение 2 часов</w:t>
            </w:r>
          </w:p>
        </w:tc>
      </w:tr>
    </w:tbl>
    <w:p w14:paraId="11D1F7B6" w14:textId="77777777" w:rsidR="008143D9" w:rsidRDefault="008143D9" w:rsidP="008143D9">
      <w:pPr>
        <w:rPr>
          <w:rFonts w:eastAsia="SimSun"/>
        </w:rPr>
      </w:pPr>
      <w:bookmarkStart w:id="184" w:name="_Toc44401227"/>
    </w:p>
    <w:p w14:paraId="3F18B292" w14:textId="77777777" w:rsidR="008143D9" w:rsidRPr="00C07B2E" w:rsidRDefault="008143D9" w:rsidP="008143D9">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3.1.2  – Flu150+Bu8+Thio / PT-Cy+CSA+MMF45</w:t>
      </w:r>
      <w:bookmarkEnd w:id="184"/>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8143D9" w:rsidRPr="00AC3044" w14:paraId="600AB756" w14:textId="77777777" w:rsidTr="005A428D">
        <w:trPr>
          <w:cantSplit/>
          <w:trHeight w:val="20"/>
          <w:tblHeader/>
        </w:trPr>
        <w:tc>
          <w:tcPr>
            <w:tcW w:w="1135" w:type="dxa"/>
          </w:tcPr>
          <w:p w14:paraId="31876062" w14:textId="77777777" w:rsidR="008143D9" w:rsidRPr="006A5E21" w:rsidRDefault="008143D9" w:rsidP="005A428D">
            <w:pPr>
              <w:rPr>
                <w:rFonts w:eastAsia="SimSun"/>
              </w:rPr>
            </w:pPr>
          </w:p>
        </w:tc>
        <w:tc>
          <w:tcPr>
            <w:tcW w:w="1559" w:type="dxa"/>
            <w:vAlign w:val="center"/>
          </w:tcPr>
          <w:p w14:paraId="3189652C" w14:textId="77777777" w:rsidR="008143D9" w:rsidRPr="00AC3044" w:rsidRDefault="008143D9" w:rsidP="005A428D">
            <w:pPr>
              <w:rPr>
                <w:rFonts w:eastAsia="SimSun"/>
              </w:rPr>
            </w:pPr>
            <w:r w:rsidRPr="00AC3044">
              <w:rPr>
                <w:rFonts w:eastAsia="SimSun"/>
              </w:rPr>
              <w:t>Препарат</w:t>
            </w:r>
          </w:p>
        </w:tc>
        <w:tc>
          <w:tcPr>
            <w:tcW w:w="1418" w:type="dxa"/>
            <w:vAlign w:val="center"/>
          </w:tcPr>
          <w:p w14:paraId="7EFB0D17" w14:textId="77777777" w:rsidR="008143D9" w:rsidRPr="00AC3044" w:rsidRDefault="008143D9" w:rsidP="005A428D">
            <w:pPr>
              <w:rPr>
                <w:rFonts w:eastAsia="SimSun"/>
              </w:rPr>
            </w:pPr>
            <w:r w:rsidRPr="00AC3044">
              <w:rPr>
                <w:rFonts w:eastAsia="SimSun"/>
              </w:rPr>
              <w:t>Суточная доза</w:t>
            </w:r>
          </w:p>
        </w:tc>
        <w:tc>
          <w:tcPr>
            <w:tcW w:w="1559" w:type="dxa"/>
            <w:vAlign w:val="center"/>
          </w:tcPr>
          <w:p w14:paraId="00322FD5" w14:textId="77777777" w:rsidR="008143D9" w:rsidRPr="00AC3044" w:rsidRDefault="008143D9" w:rsidP="005A428D">
            <w:pPr>
              <w:rPr>
                <w:rFonts w:eastAsia="SimSun"/>
              </w:rPr>
            </w:pPr>
            <w:r w:rsidRPr="00AC3044">
              <w:rPr>
                <w:rFonts w:eastAsia="SimSun"/>
              </w:rPr>
              <w:t>Курсовая доза</w:t>
            </w:r>
          </w:p>
        </w:tc>
        <w:tc>
          <w:tcPr>
            <w:tcW w:w="1559" w:type="dxa"/>
            <w:vAlign w:val="center"/>
          </w:tcPr>
          <w:p w14:paraId="2061B740" w14:textId="77777777" w:rsidR="008143D9" w:rsidRPr="00AC3044" w:rsidRDefault="008143D9" w:rsidP="005A428D">
            <w:pPr>
              <w:rPr>
                <w:rFonts w:eastAsia="SimSun"/>
              </w:rPr>
            </w:pPr>
            <w:r w:rsidRPr="00AC3044">
              <w:rPr>
                <w:rFonts w:eastAsia="SimSun"/>
              </w:rPr>
              <w:t>Дни введения</w:t>
            </w:r>
          </w:p>
        </w:tc>
        <w:tc>
          <w:tcPr>
            <w:tcW w:w="2410" w:type="dxa"/>
            <w:vAlign w:val="center"/>
          </w:tcPr>
          <w:p w14:paraId="5FBFE6EB"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2CA86814" w14:textId="77777777" w:rsidTr="005A428D">
        <w:trPr>
          <w:cantSplit/>
          <w:trHeight w:val="20"/>
        </w:trPr>
        <w:tc>
          <w:tcPr>
            <w:tcW w:w="1135" w:type="dxa"/>
            <w:vMerge w:val="restart"/>
            <w:textDirection w:val="btLr"/>
            <w:vAlign w:val="center"/>
          </w:tcPr>
          <w:p w14:paraId="162842A6" w14:textId="77777777" w:rsidR="008143D9" w:rsidRPr="00AC3044" w:rsidRDefault="008143D9" w:rsidP="005A428D">
            <w:pPr>
              <w:rPr>
                <w:rFonts w:eastAsia="SimSun"/>
              </w:rPr>
            </w:pPr>
            <w:r w:rsidRPr="00AC3044">
              <w:rPr>
                <w:rFonts w:eastAsia="SimSun"/>
              </w:rPr>
              <w:t>Кондиционирование</w:t>
            </w:r>
          </w:p>
        </w:tc>
        <w:tc>
          <w:tcPr>
            <w:tcW w:w="1559" w:type="dxa"/>
            <w:vAlign w:val="center"/>
          </w:tcPr>
          <w:p w14:paraId="21919D11" w14:textId="77777777" w:rsidR="008143D9" w:rsidRPr="00AC3044" w:rsidRDefault="008143D9" w:rsidP="005A428D">
            <w:pPr>
              <w:rPr>
                <w:rFonts w:eastAsia="SimSun"/>
              </w:rPr>
            </w:pPr>
            <w:r w:rsidRPr="00AC3044">
              <w:rPr>
                <w:rFonts w:eastAsia="SimSun"/>
              </w:rPr>
              <w:t xml:space="preserve">Флударабин </w:t>
            </w:r>
          </w:p>
        </w:tc>
        <w:tc>
          <w:tcPr>
            <w:tcW w:w="1418" w:type="dxa"/>
            <w:vAlign w:val="center"/>
          </w:tcPr>
          <w:p w14:paraId="6A4368F1" w14:textId="77777777" w:rsidR="008143D9" w:rsidRPr="00AC3044" w:rsidRDefault="008143D9" w:rsidP="005A428D">
            <w:pPr>
              <w:rPr>
                <w:rFonts w:eastAsia="SimSun"/>
              </w:rPr>
            </w:pPr>
            <w:r w:rsidRPr="00AC3044">
              <w:rPr>
                <w:rFonts w:eastAsia="SimSun"/>
              </w:rPr>
              <w:t>50 мг/м</w:t>
            </w:r>
            <w:r w:rsidRPr="0074195F">
              <w:rPr>
                <w:rFonts w:eastAsia="SimSun"/>
                <w:vertAlign w:val="superscript"/>
              </w:rPr>
              <w:t>2</w:t>
            </w:r>
          </w:p>
        </w:tc>
        <w:tc>
          <w:tcPr>
            <w:tcW w:w="1559" w:type="dxa"/>
            <w:vAlign w:val="center"/>
          </w:tcPr>
          <w:p w14:paraId="371DE89A" w14:textId="77777777" w:rsidR="008143D9" w:rsidRPr="00AC3044" w:rsidRDefault="008143D9" w:rsidP="005A428D">
            <w:pPr>
              <w:rPr>
                <w:rFonts w:eastAsia="SimSun"/>
              </w:rPr>
            </w:pPr>
            <w:r w:rsidRPr="00AC3044">
              <w:rPr>
                <w:rFonts w:eastAsia="SimSun"/>
              </w:rPr>
              <w:t>150 мг/м</w:t>
            </w:r>
            <w:r w:rsidRPr="0074195F">
              <w:rPr>
                <w:rFonts w:eastAsia="SimSun"/>
                <w:vertAlign w:val="superscript"/>
              </w:rPr>
              <w:t>2</w:t>
            </w:r>
          </w:p>
        </w:tc>
        <w:tc>
          <w:tcPr>
            <w:tcW w:w="1559" w:type="dxa"/>
            <w:vAlign w:val="center"/>
          </w:tcPr>
          <w:p w14:paraId="117129E0" w14:textId="77777777" w:rsidR="008143D9" w:rsidRPr="00AC3044" w:rsidRDefault="008143D9" w:rsidP="005A428D">
            <w:pPr>
              <w:rPr>
                <w:rFonts w:eastAsia="SimSun"/>
              </w:rPr>
            </w:pPr>
            <w:r w:rsidRPr="00AC3044">
              <w:rPr>
                <w:rFonts w:eastAsia="SimSun"/>
              </w:rPr>
              <w:t>С –4 по –2 день</w:t>
            </w:r>
          </w:p>
        </w:tc>
        <w:tc>
          <w:tcPr>
            <w:tcW w:w="2410" w:type="dxa"/>
            <w:vAlign w:val="center"/>
          </w:tcPr>
          <w:p w14:paraId="3D602641"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0C33F03C" w14:textId="77777777" w:rsidTr="005A428D">
        <w:trPr>
          <w:cantSplit/>
          <w:trHeight w:val="550"/>
        </w:trPr>
        <w:tc>
          <w:tcPr>
            <w:tcW w:w="1135" w:type="dxa"/>
            <w:vMerge/>
            <w:textDirection w:val="btLr"/>
            <w:vAlign w:val="center"/>
          </w:tcPr>
          <w:p w14:paraId="53AD8049" w14:textId="77777777" w:rsidR="008143D9" w:rsidRPr="00AC3044" w:rsidRDefault="008143D9" w:rsidP="005A428D">
            <w:pPr>
              <w:rPr>
                <w:rFonts w:eastAsia="SimSun"/>
              </w:rPr>
            </w:pPr>
          </w:p>
        </w:tc>
        <w:tc>
          <w:tcPr>
            <w:tcW w:w="1559" w:type="dxa"/>
            <w:vAlign w:val="center"/>
          </w:tcPr>
          <w:p w14:paraId="421F5320" w14:textId="77777777" w:rsidR="008143D9" w:rsidRPr="00AC3044" w:rsidRDefault="008143D9" w:rsidP="005A428D">
            <w:pPr>
              <w:rPr>
                <w:rFonts w:eastAsia="SimSun"/>
              </w:rPr>
            </w:pPr>
            <w:r w:rsidRPr="00AC3044">
              <w:rPr>
                <w:rFonts w:eastAsia="SimSun"/>
              </w:rPr>
              <w:t>Бусульфан</w:t>
            </w:r>
          </w:p>
        </w:tc>
        <w:tc>
          <w:tcPr>
            <w:tcW w:w="1418" w:type="dxa"/>
            <w:vAlign w:val="center"/>
          </w:tcPr>
          <w:p w14:paraId="46C4CDF6" w14:textId="77777777" w:rsidR="008143D9" w:rsidRPr="00AC3044" w:rsidRDefault="008143D9" w:rsidP="005A428D">
            <w:pPr>
              <w:rPr>
                <w:rFonts w:eastAsia="SimSun"/>
              </w:rPr>
            </w:pPr>
            <w:r w:rsidRPr="00AC3044">
              <w:rPr>
                <w:rFonts w:eastAsia="SimSun"/>
              </w:rPr>
              <w:t>4 мг/кг</w:t>
            </w:r>
          </w:p>
        </w:tc>
        <w:tc>
          <w:tcPr>
            <w:tcW w:w="1559" w:type="dxa"/>
            <w:vAlign w:val="center"/>
          </w:tcPr>
          <w:p w14:paraId="071E4052" w14:textId="77777777" w:rsidR="008143D9" w:rsidRPr="00AC3044" w:rsidRDefault="008143D9" w:rsidP="005A428D">
            <w:pPr>
              <w:rPr>
                <w:rFonts w:eastAsia="SimSun"/>
              </w:rPr>
            </w:pPr>
            <w:r w:rsidRPr="00AC3044">
              <w:rPr>
                <w:rFonts w:eastAsia="SimSun"/>
              </w:rPr>
              <w:t>8 мг/кг</w:t>
            </w:r>
          </w:p>
        </w:tc>
        <w:tc>
          <w:tcPr>
            <w:tcW w:w="1559" w:type="dxa"/>
            <w:vAlign w:val="center"/>
          </w:tcPr>
          <w:p w14:paraId="2E96371F" w14:textId="77777777" w:rsidR="008143D9" w:rsidRPr="00AC3044" w:rsidRDefault="008143D9" w:rsidP="005A428D">
            <w:pPr>
              <w:rPr>
                <w:rFonts w:eastAsia="SimSun"/>
              </w:rPr>
            </w:pPr>
            <w:r w:rsidRPr="00AC3044">
              <w:rPr>
                <w:rFonts w:eastAsia="SimSun"/>
              </w:rPr>
              <w:t>–3, –2 дни</w:t>
            </w:r>
          </w:p>
        </w:tc>
        <w:tc>
          <w:tcPr>
            <w:tcW w:w="2410" w:type="dxa"/>
            <w:vAlign w:val="center"/>
          </w:tcPr>
          <w:p w14:paraId="53CD75FB" w14:textId="77777777" w:rsidR="008143D9" w:rsidRPr="00AC3044" w:rsidRDefault="008143D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8143D9" w:rsidRPr="00AC3044" w14:paraId="5E5F1FE5" w14:textId="77777777" w:rsidTr="005A428D">
        <w:trPr>
          <w:cantSplit/>
          <w:trHeight w:val="516"/>
        </w:trPr>
        <w:tc>
          <w:tcPr>
            <w:tcW w:w="1135" w:type="dxa"/>
            <w:vMerge/>
            <w:textDirection w:val="btLr"/>
            <w:vAlign w:val="center"/>
          </w:tcPr>
          <w:p w14:paraId="3F93DD4D" w14:textId="77777777" w:rsidR="008143D9" w:rsidRPr="00AC3044" w:rsidRDefault="008143D9" w:rsidP="005A428D">
            <w:pPr>
              <w:rPr>
                <w:rFonts w:eastAsia="SimSun"/>
              </w:rPr>
            </w:pPr>
          </w:p>
        </w:tc>
        <w:tc>
          <w:tcPr>
            <w:tcW w:w="1559" w:type="dxa"/>
            <w:vAlign w:val="center"/>
          </w:tcPr>
          <w:p w14:paraId="269DB2F5" w14:textId="77777777" w:rsidR="008143D9" w:rsidRPr="00AC3044" w:rsidRDefault="008143D9" w:rsidP="005A428D">
            <w:pPr>
              <w:rPr>
                <w:rFonts w:eastAsia="SimSun"/>
              </w:rPr>
            </w:pPr>
            <w:r w:rsidRPr="00AC3044">
              <w:rPr>
                <w:rFonts w:eastAsia="SimSun"/>
              </w:rPr>
              <w:t>Тиотепа</w:t>
            </w:r>
          </w:p>
        </w:tc>
        <w:tc>
          <w:tcPr>
            <w:tcW w:w="1418" w:type="dxa"/>
            <w:vAlign w:val="center"/>
          </w:tcPr>
          <w:p w14:paraId="0AE72EA2" w14:textId="77777777" w:rsidR="008143D9" w:rsidRPr="00AC3044" w:rsidRDefault="008143D9" w:rsidP="005A428D">
            <w:pPr>
              <w:rPr>
                <w:rFonts w:eastAsia="SimSun"/>
              </w:rPr>
            </w:pPr>
            <w:r w:rsidRPr="00AC3044">
              <w:rPr>
                <w:rFonts w:eastAsia="SimSun"/>
              </w:rPr>
              <w:t>5 мг/кг</w:t>
            </w:r>
          </w:p>
        </w:tc>
        <w:tc>
          <w:tcPr>
            <w:tcW w:w="1559" w:type="dxa"/>
            <w:vAlign w:val="center"/>
          </w:tcPr>
          <w:p w14:paraId="61F4B738" w14:textId="77777777" w:rsidR="008143D9" w:rsidRPr="00AC3044" w:rsidRDefault="008143D9" w:rsidP="005A428D">
            <w:pPr>
              <w:rPr>
                <w:rFonts w:eastAsia="SimSun"/>
              </w:rPr>
            </w:pPr>
            <w:r w:rsidRPr="00AC3044">
              <w:rPr>
                <w:rFonts w:eastAsia="SimSun"/>
              </w:rPr>
              <w:t>10 мг/кг</w:t>
            </w:r>
          </w:p>
        </w:tc>
        <w:tc>
          <w:tcPr>
            <w:tcW w:w="1559" w:type="dxa"/>
            <w:vAlign w:val="center"/>
          </w:tcPr>
          <w:p w14:paraId="0425CC4B" w14:textId="77777777" w:rsidR="008143D9" w:rsidRPr="00AC3044" w:rsidRDefault="008143D9" w:rsidP="005A428D">
            <w:pPr>
              <w:rPr>
                <w:rFonts w:eastAsia="SimSun"/>
              </w:rPr>
            </w:pPr>
            <w:r w:rsidRPr="00AC3044">
              <w:rPr>
                <w:rFonts w:eastAsia="SimSun"/>
              </w:rPr>
              <w:t>-6,-5 дни</w:t>
            </w:r>
          </w:p>
        </w:tc>
        <w:tc>
          <w:tcPr>
            <w:tcW w:w="2410" w:type="dxa"/>
            <w:vAlign w:val="center"/>
          </w:tcPr>
          <w:p w14:paraId="391B10C5" w14:textId="77777777" w:rsidR="008143D9" w:rsidRPr="00AC3044" w:rsidRDefault="008143D9" w:rsidP="005A428D">
            <w:pPr>
              <w:rPr>
                <w:rFonts w:eastAsia="SimSun"/>
              </w:rPr>
            </w:pPr>
            <w:r w:rsidRPr="00AC3044">
              <w:rPr>
                <w:rFonts w:eastAsia="SimSun"/>
              </w:rPr>
              <w:t>В/в, в течение 2 часов</w:t>
            </w:r>
          </w:p>
        </w:tc>
      </w:tr>
      <w:tr w:rsidR="008143D9" w:rsidRPr="00AC3044" w14:paraId="163D43D9" w14:textId="77777777" w:rsidTr="005A428D">
        <w:trPr>
          <w:cantSplit/>
          <w:trHeight w:val="1558"/>
        </w:trPr>
        <w:tc>
          <w:tcPr>
            <w:tcW w:w="1135" w:type="dxa"/>
            <w:vMerge w:val="restart"/>
            <w:textDirection w:val="btLr"/>
            <w:vAlign w:val="center"/>
          </w:tcPr>
          <w:p w14:paraId="0257753A" w14:textId="77777777" w:rsidR="008143D9" w:rsidRPr="00AC3044" w:rsidRDefault="008143D9" w:rsidP="005A428D">
            <w:pPr>
              <w:rPr>
                <w:rFonts w:eastAsia="SimSun"/>
              </w:rPr>
            </w:pPr>
            <w:r w:rsidRPr="00AC3044">
              <w:rPr>
                <w:rFonts w:eastAsia="SimSun"/>
              </w:rPr>
              <w:t>Профилактика РТПХ</w:t>
            </w:r>
          </w:p>
        </w:tc>
        <w:tc>
          <w:tcPr>
            <w:tcW w:w="1559" w:type="dxa"/>
            <w:vAlign w:val="center"/>
          </w:tcPr>
          <w:p w14:paraId="7038EE29" w14:textId="77777777" w:rsidR="008143D9" w:rsidRPr="00AC3044" w:rsidRDefault="008143D9" w:rsidP="005A428D">
            <w:pPr>
              <w:rPr>
                <w:rFonts w:eastAsia="SimSun"/>
              </w:rPr>
            </w:pPr>
            <w:r w:rsidRPr="00AC3044">
              <w:rPr>
                <w:rFonts w:eastAsia="SimSun"/>
              </w:rPr>
              <w:t>Циклоспорин</w:t>
            </w:r>
          </w:p>
        </w:tc>
        <w:tc>
          <w:tcPr>
            <w:tcW w:w="1418" w:type="dxa"/>
            <w:vAlign w:val="center"/>
          </w:tcPr>
          <w:p w14:paraId="53158EA9" w14:textId="77777777" w:rsidR="008143D9" w:rsidRPr="00AC3044" w:rsidRDefault="008143D9" w:rsidP="005A428D">
            <w:pPr>
              <w:rPr>
                <w:rFonts w:eastAsia="SimSun"/>
              </w:rPr>
            </w:pPr>
            <w:r w:rsidRPr="00AC3044">
              <w:rPr>
                <w:rFonts w:eastAsia="SimSun"/>
              </w:rPr>
              <w:t>3 мг/кг</w:t>
            </w:r>
          </w:p>
        </w:tc>
        <w:tc>
          <w:tcPr>
            <w:tcW w:w="1559" w:type="dxa"/>
            <w:vAlign w:val="center"/>
          </w:tcPr>
          <w:p w14:paraId="7D0ECC39" w14:textId="77777777" w:rsidR="008143D9" w:rsidRPr="00AC3044" w:rsidRDefault="008143D9" w:rsidP="005A428D">
            <w:pPr>
              <w:rPr>
                <w:rFonts w:eastAsia="SimSun"/>
              </w:rPr>
            </w:pPr>
            <w:r w:rsidRPr="00AC3044">
              <w:rPr>
                <w:rFonts w:eastAsia="SimSun"/>
              </w:rPr>
              <w:t>–</w:t>
            </w:r>
          </w:p>
        </w:tc>
        <w:tc>
          <w:tcPr>
            <w:tcW w:w="1559" w:type="dxa"/>
            <w:vAlign w:val="center"/>
          </w:tcPr>
          <w:p w14:paraId="3BBD96F3" w14:textId="77777777" w:rsidR="008143D9" w:rsidRPr="00AC3044" w:rsidRDefault="008143D9" w:rsidP="005A428D">
            <w:pPr>
              <w:rPr>
                <w:rFonts w:eastAsia="SimSun"/>
              </w:rPr>
            </w:pPr>
            <w:r w:rsidRPr="00AC3044">
              <w:rPr>
                <w:rFonts w:eastAsia="SimSun"/>
              </w:rPr>
              <w:t>С +5 дня по +90 день затем постепенное снижение к +180 дню</w:t>
            </w:r>
          </w:p>
        </w:tc>
        <w:tc>
          <w:tcPr>
            <w:tcW w:w="2410" w:type="dxa"/>
            <w:vAlign w:val="center"/>
          </w:tcPr>
          <w:p w14:paraId="7354C603" w14:textId="77777777" w:rsidR="008143D9" w:rsidRPr="00AC3044" w:rsidRDefault="008143D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8143D9" w:rsidRPr="00AC3044" w14:paraId="01985717" w14:textId="77777777" w:rsidTr="005A428D">
        <w:trPr>
          <w:cantSplit/>
          <w:trHeight w:val="20"/>
        </w:trPr>
        <w:tc>
          <w:tcPr>
            <w:tcW w:w="1135" w:type="dxa"/>
            <w:vMerge/>
            <w:textDirection w:val="btLr"/>
          </w:tcPr>
          <w:p w14:paraId="47609EE5" w14:textId="77777777" w:rsidR="008143D9" w:rsidRPr="00AC3044" w:rsidRDefault="008143D9" w:rsidP="005A428D">
            <w:pPr>
              <w:rPr>
                <w:rFonts w:eastAsia="SimSun"/>
              </w:rPr>
            </w:pPr>
          </w:p>
        </w:tc>
        <w:tc>
          <w:tcPr>
            <w:tcW w:w="1559" w:type="dxa"/>
            <w:vAlign w:val="center"/>
          </w:tcPr>
          <w:p w14:paraId="60BC8078" w14:textId="77777777" w:rsidR="008143D9" w:rsidRPr="00AC3044" w:rsidRDefault="008143D9" w:rsidP="005A428D">
            <w:pPr>
              <w:rPr>
                <w:rFonts w:eastAsia="SimSun"/>
              </w:rPr>
            </w:pPr>
            <w:r w:rsidRPr="00AC3044">
              <w:rPr>
                <w:rFonts w:eastAsia="SimSun"/>
              </w:rPr>
              <w:t>Микофенолата мофетил</w:t>
            </w:r>
          </w:p>
        </w:tc>
        <w:tc>
          <w:tcPr>
            <w:tcW w:w="1418" w:type="dxa"/>
            <w:vAlign w:val="center"/>
          </w:tcPr>
          <w:p w14:paraId="3A996E29" w14:textId="77777777" w:rsidR="008143D9" w:rsidRPr="00AC3044" w:rsidRDefault="008143D9" w:rsidP="005A428D">
            <w:pPr>
              <w:rPr>
                <w:rFonts w:eastAsia="SimSun"/>
              </w:rPr>
            </w:pPr>
            <w:r w:rsidRPr="00AC3044">
              <w:rPr>
                <w:rFonts w:eastAsia="SimSun"/>
              </w:rPr>
              <w:t>45 мг/кг</w:t>
            </w:r>
          </w:p>
        </w:tc>
        <w:tc>
          <w:tcPr>
            <w:tcW w:w="1559" w:type="dxa"/>
            <w:vAlign w:val="center"/>
          </w:tcPr>
          <w:p w14:paraId="2B23EA52" w14:textId="77777777" w:rsidR="008143D9" w:rsidRPr="00AC3044" w:rsidRDefault="008143D9" w:rsidP="005A428D">
            <w:pPr>
              <w:rPr>
                <w:rFonts w:eastAsia="SimSun"/>
              </w:rPr>
            </w:pPr>
            <w:r w:rsidRPr="00AC3044">
              <w:rPr>
                <w:rFonts w:eastAsia="SimSun"/>
              </w:rPr>
              <w:t>–</w:t>
            </w:r>
          </w:p>
        </w:tc>
        <w:tc>
          <w:tcPr>
            <w:tcW w:w="1559" w:type="dxa"/>
            <w:vAlign w:val="center"/>
          </w:tcPr>
          <w:p w14:paraId="1BE113F3" w14:textId="77777777" w:rsidR="008143D9" w:rsidRPr="00AC3044" w:rsidRDefault="008143D9" w:rsidP="005A428D">
            <w:pPr>
              <w:rPr>
                <w:rFonts w:eastAsia="SimSun"/>
              </w:rPr>
            </w:pPr>
            <w:r w:rsidRPr="00AC3044">
              <w:rPr>
                <w:rFonts w:eastAsia="SimSun"/>
              </w:rPr>
              <w:t>С +5 по +90 день</w:t>
            </w:r>
          </w:p>
        </w:tc>
        <w:tc>
          <w:tcPr>
            <w:tcW w:w="2410" w:type="dxa"/>
            <w:vAlign w:val="center"/>
          </w:tcPr>
          <w:p w14:paraId="24C701AF" w14:textId="77777777" w:rsidR="008143D9" w:rsidRPr="00AC3044" w:rsidRDefault="008143D9" w:rsidP="005A428D">
            <w:pPr>
              <w:rPr>
                <w:rFonts w:eastAsia="SimSun"/>
              </w:rPr>
            </w:pPr>
            <w:r w:rsidRPr="00AC3044">
              <w:rPr>
                <w:rFonts w:eastAsia="SimSun"/>
              </w:rPr>
              <w:t xml:space="preserve">Внутрь, суммарная суточная доза разделяется на 2- 4 приема (не более 3г/сут).  </w:t>
            </w:r>
          </w:p>
        </w:tc>
      </w:tr>
      <w:tr w:rsidR="008143D9" w:rsidRPr="00AC3044" w14:paraId="13DCD3D4" w14:textId="77777777" w:rsidTr="005A428D">
        <w:trPr>
          <w:cantSplit/>
          <w:trHeight w:val="20"/>
        </w:trPr>
        <w:tc>
          <w:tcPr>
            <w:tcW w:w="1135" w:type="dxa"/>
            <w:vMerge/>
            <w:textDirection w:val="btLr"/>
          </w:tcPr>
          <w:p w14:paraId="4C51CFE4" w14:textId="77777777" w:rsidR="008143D9" w:rsidRPr="00AC3044" w:rsidRDefault="008143D9" w:rsidP="005A428D">
            <w:pPr>
              <w:rPr>
                <w:rFonts w:eastAsia="SimSun"/>
              </w:rPr>
            </w:pPr>
          </w:p>
        </w:tc>
        <w:tc>
          <w:tcPr>
            <w:tcW w:w="1559" w:type="dxa"/>
            <w:vAlign w:val="center"/>
          </w:tcPr>
          <w:p w14:paraId="79A1430E" w14:textId="77777777" w:rsidR="008143D9" w:rsidRPr="00AC3044" w:rsidRDefault="008143D9" w:rsidP="005A428D">
            <w:pPr>
              <w:rPr>
                <w:rFonts w:eastAsia="SimSun"/>
              </w:rPr>
            </w:pPr>
            <w:r w:rsidRPr="00AC3044">
              <w:rPr>
                <w:rFonts w:eastAsia="SimSun"/>
              </w:rPr>
              <w:t>Циклофосфамид</w:t>
            </w:r>
          </w:p>
        </w:tc>
        <w:tc>
          <w:tcPr>
            <w:tcW w:w="1418" w:type="dxa"/>
            <w:vAlign w:val="center"/>
          </w:tcPr>
          <w:p w14:paraId="3A96649A" w14:textId="77777777" w:rsidR="008143D9" w:rsidRPr="00AC3044" w:rsidRDefault="008143D9" w:rsidP="005A428D">
            <w:pPr>
              <w:rPr>
                <w:rFonts w:eastAsia="SimSun"/>
              </w:rPr>
            </w:pPr>
            <w:r w:rsidRPr="00AC3044">
              <w:rPr>
                <w:rFonts w:eastAsia="SimSun"/>
              </w:rPr>
              <w:t>50 мг/кг</w:t>
            </w:r>
          </w:p>
        </w:tc>
        <w:tc>
          <w:tcPr>
            <w:tcW w:w="1559" w:type="dxa"/>
            <w:vAlign w:val="center"/>
          </w:tcPr>
          <w:p w14:paraId="369E2CCE" w14:textId="77777777" w:rsidR="008143D9" w:rsidRPr="00AC3044" w:rsidRDefault="008143D9" w:rsidP="005A428D">
            <w:pPr>
              <w:rPr>
                <w:rFonts w:eastAsia="SimSun"/>
              </w:rPr>
            </w:pPr>
            <w:r w:rsidRPr="00AC3044">
              <w:rPr>
                <w:rFonts w:eastAsia="SimSun"/>
              </w:rPr>
              <w:t>100 мг/кг</w:t>
            </w:r>
          </w:p>
        </w:tc>
        <w:tc>
          <w:tcPr>
            <w:tcW w:w="1559" w:type="dxa"/>
            <w:vAlign w:val="center"/>
          </w:tcPr>
          <w:p w14:paraId="6D29B1E6" w14:textId="77777777" w:rsidR="008143D9" w:rsidRPr="00AC3044" w:rsidRDefault="008143D9" w:rsidP="005A428D">
            <w:pPr>
              <w:rPr>
                <w:rFonts w:eastAsia="SimSun"/>
              </w:rPr>
            </w:pPr>
            <w:r w:rsidRPr="00AC3044">
              <w:rPr>
                <w:rFonts w:eastAsia="SimSun"/>
              </w:rPr>
              <w:t xml:space="preserve">+3,+4 дни </w:t>
            </w:r>
          </w:p>
        </w:tc>
        <w:tc>
          <w:tcPr>
            <w:tcW w:w="2410" w:type="dxa"/>
            <w:vAlign w:val="center"/>
          </w:tcPr>
          <w:p w14:paraId="739AC74D" w14:textId="77777777" w:rsidR="008143D9" w:rsidRPr="00AC3044" w:rsidRDefault="008143D9" w:rsidP="005A428D">
            <w:pPr>
              <w:rPr>
                <w:rFonts w:eastAsia="SimSun"/>
              </w:rPr>
            </w:pPr>
            <w:r w:rsidRPr="00AC3044">
              <w:rPr>
                <w:rFonts w:eastAsia="SimSun"/>
              </w:rPr>
              <w:t>В/в, в течение 2 часов</w:t>
            </w:r>
          </w:p>
        </w:tc>
      </w:tr>
    </w:tbl>
    <w:p w14:paraId="19B7336D" w14:textId="77777777" w:rsidR="008143D9" w:rsidRPr="00C07B2E" w:rsidRDefault="008143D9" w:rsidP="008143D9">
      <w:pPr>
        <w:rPr>
          <w:rFonts w:eastAsia="SimSun"/>
        </w:rPr>
      </w:pPr>
    </w:p>
    <w:p w14:paraId="243C940C" w14:textId="77777777" w:rsidR="008143D9" w:rsidRPr="00C07B2E" w:rsidRDefault="008143D9" w:rsidP="008143D9">
      <w:pPr>
        <w:rPr>
          <w:rFonts w:eastAsia="SimSun"/>
        </w:rPr>
      </w:pPr>
      <w:bookmarkStart w:id="185" w:name="_Toc44401228"/>
      <w:r w:rsidRPr="00EE51B1">
        <w:rPr>
          <w:rFonts w:eastAsia="SimSun"/>
        </w:rPr>
        <w:t>Таблица</w:t>
      </w:r>
      <w:r w:rsidRPr="00C07B2E">
        <w:rPr>
          <w:rFonts w:eastAsia="SimSun"/>
        </w:rPr>
        <w:t xml:space="preserve"> </w:t>
      </w:r>
      <w:r>
        <w:rPr>
          <w:rFonts w:eastAsia="SimSun"/>
        </w:rPr>
        <w:t>5.</w:t>
      </w:r>
      <w:r w:rsidRPr="00C07B2E">
        <w:rPr>
          <w:rFonts w:eastAsia="SimSun"/>
        </w:rPr>
        <w:t>3.1.3  – Flu180+Bu8 / PT-Cy+hATG+CSA+MMF45</w:t>
      </w:r>
      <w:bookmarkEnd w:id="185"/>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8143D9" w:rsidRPr="00AC3044" w14:paraId="221CA8E4" w14:textId="77777777" w:rsidTr="005A428D">
        <w:trPr>
          <w:cantSplit/>
          <w:trHeight w:val="20"/>
          <w:tblHeader/>
        </w:trPr>
        <w:tc>
          <w:tcPr>
            <w:tcW w:w="1135" w:type="dxa"/>
          </w:tcPr>
          <w:p w14:paraId="430853B8" w14:textId="77777777" w:rsidR="008143D9" w:rsidRPr="006A5E21" w:rsidRDefault="008143D9" w:rsidP="005A428D">
            <w:pPr>
              <w:rPr>
                <w:rFonts w:eastAsia="SimSun"/>
              </w:rPr>
            </w:pPr>
          </w:p>
        </w:tc>
        <w:tc>
          <w:tcPr>
            <w:tcW w:w="1559" w:type="dxa"/>
            <w:vAlign w:val="center"/>
          </w:tcPr>
          <w:p w14:paraId="31809F00" w14:textId="77777777" w:rsidR="008143D9" w:rsidRPr="00AC3044" w:rsidRDefault="008143D9" w:rsidP="005A428D">
            <w:pPr>
              <w:rPr>
                <w:rFonts w:eastAsia="SimSun"/>
              </w:rPr>
            </w:pPr>
            <w:r w:rsidRPr="00AC3044">
              <w:rPr>
                <w:rFonts w:eastAsia="SimSun"/>
              </w:rPr>
              <w:t>Препарат</w:t>
            </w:r>
          </w:p>
        </w:tc>
        <w:tc>
          <w:tcPr>
            <w:tcW w:w="1418" w:type="dxa"/>
            <w:vAlign w:val="center"/>
          </w:tcPr>
          <w:p w14:paraId="2E607EB8" w14:textId="77777777" w:rsidR="008143D9" w:rsidRPr="00AC3044" w:rsidRDefault="008143D9" w:rsidP="005A428D">
            <w:pPr>
              <w:rPr>
                <w:rFonts w:eastAsia="SimSun"/>
              </w:rPr>
            </w:pPr>
            <w:r w:rsidRPr="00AC3044">
              <w:rPr>
                <w:rFonts w:eastAsia="SimSun"/>
              </w:rPr>
              <w:t>Суточная доза</w:t>
            </w:r>
          </w:p>
        </w:tc>
        <w:tc>
          <w:tcPr>
            <w:tcW w:w="1559" w:type="dxa"/>
            <w:vAlign w:val="center"/>
          </w:tcPr>
          <w:p w14:paraId="46EA29C4" w14:textId="77777777" w:rsidR="008143D9" w:rsidRPr="00AC3044" w:rsidRDefault="008143D9" w:rsidP="005A428D">
            <w:pPr>
              <w:rPr>
                <w:rFonts w:eastAsia="SimSun"/>
              </w:rPr>
            </w:pPr>
            <w:r w:rsidRPr="00AC3044">
              <w:rPr>
                <w:rFonts w:eastAsia="SimSun"/>
              </w:rPr>
              <w:t>Курсовая доза</w:t>
            </w:r>
          </w:p>
        </w:tc>
        <w:tc>
          <w:tcPr>
            <w:tcW w:w="1559" w:type="dxa"/>
            <w:vAlign w:val="center"/>
          </w:tcPr>
          <w:p w14:paraId="205124A3" w14:textId="77777777" w:rsidR="008143D9" w:rsidRPr="00AC3044" w:rsidRDefault="008143D9" w:rsidP="005A428D">
            <w:pPr>
              <w:rPr>
                <w:rFonts w:eastAsia="SimSun"/>
              </w:rPr>
            </w:pPr>
            <w:r w:rsidRPr="00AC3044">
              <w:rPr>
                <w:rFonts w:eastAsia="SimSun"/>
              </w:rPr>
              <w:t>Дни введения</w:t>
            </w:r>
          </w:p>
        </w:tc>
        <w:tc>
          <w:tcPr>
            <w:tcW w:w="2410" w:type="dxa"/>
            <w:vAlign w:val="center"/>
          </w:tcPr>
          <w:p w14:paraId="63F75249"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27211BA5" w14:textId="77777777" w:rsidTr="005A428D">
        <w:trPr>
          <w:cantSplit/>
          <w:trHeight w:val="20"/>
        </w:trPr>
        <w:tc>
          <w:tcPr>
            <w:tcW w:w="1135" w:type="dxa"/>
            <w:vMerge w:val="restart"/>
            <w:textDirection w:val="btLr"/>
            <w:vAlign w:val="center"/>
          </w:tcPr>
          <w:p w14:paraId="4087FBA9" w14:textId="77777777" w:rsidR="008143D9" w:rsidRPr="00AC3044" w:rsidRDefault="008143D9" w:rsidP="005A428D">
            <w:pPr>
              <w:rPr>
                <w:rFonts w:eastAsia="SimSun"/>
              </w:rPr>
            </w:pPr>
            <w:r w:rsidRPr="00AC3044">
              <w:rPr>
                <w:rFonts w:eastAsia="SimSun"/>
              </w:rPr>
              <w:t>Кондиционирование</w:t>
            </w:r>
          </w:p>
        </w:tc>
        <w:tc>
          <w:tcPr>
            <w:tcW w:w="1559" w:type="dxa"/>
            <w:vAlign w:val="center"/>
          </w:tcPr>
          <w:p w14:paraId="3BCE4B27" w14:textId="77777777" w:rsidR="008143D9" w:rsidRPr="00AC3044" w:rsidRDefault="008143D9" w:rsidP="005A428D">
            <w:pPr>
              <w:rPr>
                <w:rFonts w:eastAsia="SimSun"/>
              </w:rPr>
            </w:pPr>
            <w:r w:rsidRPr="00AC3044">
              <w:rPr>
                <w:rFonts w:eastAsia="SimSun"/>
              </w:rPr>
              <w:t xml:space="preserve">Флударабин </w:t>
            </w:r>
          </w:p>
        </w:tc>
        <w:tc>
          <w:tcPr>
            <w:tcW w:w="1418" w:type="dxa"/>
            <w:vAlign w:val="center"/>
          </w:tcPr>
          <w:p w14:paraId="7425D8F4" w14:textId="77777777" w:rsidR="008143D9" w:rsidRPr="00AC3044" w:rsidRDefault="008143D9" w:rsidP="005A428D">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6B00F4E9" w14:textId="77777777" w:rsidR="008143D9" w:rsidRPr="00AC3044" w:rsidRDefault="008143D9" w:rsidP="005A428D">
            <w:pPr>
              <w:rPr>
                <w:rFonts w:eastAsia="SimSun"/>
              </w:rPr>
            </w:pPr>
            <w:r w:rsidRPr="00AC3044">
              <w:rPr>
                <w:rFonts w:eastAsia="SimSun"/>
              </w:rPr>
              <w:t>180 мг/м</w:t>
            </w:r>
            <w:r w:rsidRPr="0074195F">
              <w:rPr>
                <w:rFonts w:eastAsia="SimSun"/>
                <w:vertAlign w:val="superscript"/>
              </w:rPr>
              <w:t>2</w:t>
            </w:r>
          </w:p>
        </w:tc>
        <w:tc>
          <w:tcPr>
            <w:tcW w:w="1559" w:type="dxa"/>
            <w:vAlign w:val="center"/>
          </w:tcPr>
          <w:p w14:paraId="1EC07A9E" w14:textId="77777777" w:rsidR="008143D9" w:rsidRPr="00AC3044" w:rsidRDefault="008143D9" w:rsidP="005A428D">
            <w:pPr>
              <w:rPr>
                <w:rFonts w:eastAsia="SimSun"/>
              </w:rPr>
            </w:pPr>
            <w:r w:rsidRPr="00AC3044">
              <w:rPr>
                <w:rFonts w:eastAsia="SimSun"/>
              </w:rPr>
              <w:t>С –10 по –5 день</w:t>
            </w:r>
          </w:p>
        </w:tc>
        <w:tc>
          <w:tcPr>
            <w:tcW w:w="2410" w:type="dxa"/>
            <w:vAlign w:val="center"/>
          </w:tcPr>
          <w:p w14:paraId="592CCF7F"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64932A11" w14:textId="77777777" w:rsidTr="005A428D">
        <w:trPr>
          <w:cantSplit/>
          <w:trHeight w:val="2123"/>
        </w:trPr>
        <w:tc>
          <w:tcPr>
            <w:tcW w:w="1135" w:type="dxa"/>
            <w:vMerge/>
            <w:textDirection w:val="btLr"/>
            <w:vAlign w:val="center"/>
          </w:tcPr>
          <w:p w14:paraId="3C2E60FC" w14:textId="77777777" w:rsidR="008143D9" w:rsidRPr="00AC3044" w:rsidRDefault="008143D9" w:rsidP="005A428D">
            <w:pPr>
              <w:rPr>
                <w:rFonts w:eastAsia="SimSun"/>
              </w:rPr>
            </w:pPr>
          </w:p>
        </w:tc>
        <w:tc>
          <w:tcPr>
            <w:tcW w:w="1559" w:type="dxa"/>
            <w:vAlign w:val="center"/>
          </w:tcPr>
          <w:p w14:paraId="5A4B676E" w14:textId="77777777" w:rsidR="008143D9" w:rsidRPr="00AC3044" w:rsidRDefault="008143D9" w:rsidP="005A428D">
            <w:pPr>
              <w:rPr>
                <w:rFonts w:eastAsia="SimSun"/>
              </w:rPr>
            </w:pPr>
            <w:r w:rsidRPr="00AC3044">
              <w:rPr>
                <w:rFonts w:eastAsia="SimSun"/>
              </w:rPr>
              <w:t>Бусульфан</w:t>
            </w:r>
          </w:p>
        </w:tc>
        <w:tc>
          <w:tcPr>
            <w:tcW w:w="1418" w:type="dxa"/>
            <w:vAlign w:val="center"/>
          </w:tcPr>
          <w:p w14:paraId="19CBD688" w14:textId="77777777" w:rsidR="008143D9" w:rsidRPr="00AC3044" w:rsidRDefault="008143D9" w:rsidP="005A428D">
            <w:pPr>
              <w:rPr>
                <w:rFonts w:eastAsia="SimSun"/>
              </w:rPr>
            </w:pPr>
            <w:r w:rsidRPr="00AC3044">
              <w:rPr>
                <w:rFonts w:eastAsia="SimSun"/>
              </w:rPr>
              <w:t>4 мг/кг</w:t>
            </w:r>
          </w:p>
        </w:tc>
        <w:tc>
          <w:tcPr>
            <w:tcW w:w="1559" w:type="dxa"/>
            <w:vAlign w:val="center"/>
          </w:tcPr>
          <w:p w14:paraId="3BF1E4A4" w14:textId="77777777" w:rsidR="008143D9" w:rsidRPr="00AC3044" w:rsidRDefault="008143D9" w:rsidP="005A428D">
            <w:pPr>
              <w:rPr>
                <w:rFonts w:eastAsia="SimSun"/>
              </w:rPr>
            </w:pPr>
            <w:r w:rsidRPr="00AC3044">
              <w:rPr>
                <w:rFonts w:eastAsia="SimSun"/>
              </w:rPr>
              <w:t>8 мг/кг</w:t>
            </w:r>
          </w:p>
        </w:tc>
        <w:tc>
          <w:tcPr>
            <w:tcW w:w="1559" w:type="dxa"/>
            <w:vAlign w:val="center"/>
          </w:tcPr>
          <w:p w14:paraId="49DD3B1F" w14:textId="77777777" w:rsidR="008143D9" w:rsidRPr="00AC3044" w:rsidRDefault="008143D9" w:rsidP="005A428D">
            <w:pPr>
              <w:rPr>
                <w:rFonts w:eastAsia="SimSun"/>
              </w:rPr>
            </w:pPr>
            <w:r w:rsidRPr="00AC3044">
              <w:rPr>
                <w:rFonts w:eastAsia="SimSun"/>
              </w:rPr>
              <w:t xml:space="preserve"> –6, –5 дни</w:t>
            </w:r>
          </w:p>
        </w:tc>
        <w:tc>
          <w:tcPr>
            <w:tcW w:w="2410" w:type="dxa"/>
            <w:vAlign w:val="center"/>
          </w:tcPr>
          <w:p w14:paraId="47320268" w14:textId="77777777" w:rsidR="008143D9" w:rsidRPr="00AC3044" w:rsidRDefault="008143D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8143D9" w:rsidRPr="00AC3044" w14:paraId="13598D5C" w14:textId="77777777" w:rsidTr="005A428D">
        <w:trPr>
          <w:cantSplit/>
          <w:trHeight w:val="20"/>
        </w:trPr>
        <w:tc>
          <w:tcPr>
            <w:tcW w:w="1135" w:type="dxa"/>
            <w:vMerge w:val="restart"/>
            <w:textDirection w:val="btLr"/>
            <w:vAlign w:val="center"/>
          </w:tcPr>
          <w:p w14:paraId="7CC1C9A7" w14:textId="77777777" w:rsidR="008143D9" w:rsidRPr="00AC3044" w:rsidRDefault="008143D9" w:rsidP="005A428D">
            <w:pPr>
              <w:rPr>
                <w:rFonts w:eastAsia="SimSun"/>
              </w:rPr>
            </w:pPr>
            <w:r w:rsidRPr="00AC3044">
              <w:rPr>
                <w:rFonts w:eastAsia="SimSun"/>
              </w:rPr>
              <w:t>Профилактика РТПХ</w:t>
            </w:r>
          </w:p>
        </w:tc>
        <w:tc>
          <w:tcPr>
            <w:tcW w:w="1559" w:type="dxa"/>
            <w:vAlign w:val="center"/>
          </w:tcPr>
          <w:p w14:paraId="3162190F" w14:textId="77777777" w:rsidR="008143D9" w:rsidRPr="00AC3044" w:rsidRDefault="008143D9" w:rsidP="005A428D">
            <w:pPr>
              <w:rPr>
                <w:rFonts w:eastAsia="SimSun"/>
              </w:rPr>
            </w:pPr>
            <w:r w:rsidRPr="00AC3044">
              <w:rPr>
                <w:rFonts w:eastAsia="SimSun"/>
              </w:rPr>
              <w:t>АТГ (лошадиный)</w:t>
            </w:r>
          </w:p>
        </w:tc>
        <w:tc>
          <w:tcPr>
            <w:tcW w:w="1418" w:type="dxa"/>
            <w:vAlign w:val="center"/>
          </w:tcPr>
          <w:p w14:paraId="1B682500" w14:textId="77777777" w:rsidR="008143D9" w:rsidRPr="00AC3044" w:rsidRDefault="008143D9" w:rsidP="005A428D">
            <w:pPr>
              <w:rPr>
                <w:rFonts w:eastAsia="SimSun"/>
              </w:rPr>
            </w:pPr>
            <w:r w:rsidRPr="00AC3044">
              <w:rPr>
                <w:rFonts w:eastAsia="SimSun"/>
              </w:rPr>
              <w:t>10-15 мг/кг</w:t>
            </w:r>
          </w:p>
        </w:tc>
        <w:tc>
          <w:tcPr>
            <w:tcW w:w="1559" w:type="dxa"/>
            <w:vAlign w:val="center"/>
          </w:tcPr>
          <w:p w14:paraId="05602E98" w14:textId="77777777" w:rsidR="008143D9" w:rsidRPr="00AC3044" w:rsidRDefault="008143D9" w:rsidP="005A428D">
            <w:pPr>
              <w:rPr>
                <w:rFonts w:eastAsia="SimSun"/>
              </w:rPr>
            </w:pPr>
            <w:r w:rsidRPr="00AC3044">
              <w:rPr>
                <w:rFonts w:eastAsia="SimSun"/>
              </w:rPr>
              <w:t>40-60 мг/кг</w:t>
            </w:r>
          </w:p>
        </w:tc>
        <w:tc>
          <w:tcPr>
            <w:tcW w:w="1559" w:type="dxa"/>
            <w:vAlign w:val="center"/>
          </w:tcPr>
          <w:p w14:paraId="55E83C88" w14:textId="77777777" w:rsidR="008143D9" w:rsidRPr="00AC3044" w:rsidRDefault="008143D9" w:rsidP="005A428D">
            <w:pPr>
              <w:rPr>
                <w:rFonts w:eastAsia="SimSun"/>
              </w:rPr>
            </w:pPr>
            <w:r w:rsidRPr="00AC3044">
              <w:rPr>
                <w:rFonts w:eastAsia="SimSun"/>
              </w:rPr>
              <w:t>С –4 по –1 день</w:t>
            </w:r>
          </w:p>
        </w:tc>
        <w:tc>
          <w:tcPr>
            <w:tcW w:w="2410" w:type="dxa"/>
            <w:vAlign w:val="center"/>
          </w:tcPr>
          <w:p w14:paraId="496719E7" w14:textId="77777777" w:rsidR="008143D9" w:rsidRPr="00AC3044" w:rsidRDefault="008143D9" w:rsidP="005A428D">
            <w:pPr>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8143D9" w:rsidRPr="00AC3044" w14:paraId="64D6D612" w14:textId="77777777" w:rsidTr="005A428D">
        <w:trPr>
          <w:cantSplit/>
          <w:trHeight w:val="20"/>
        </w:trPr>
        <w:tc>
          <w:tcPr>
            <w:tcW w:w="1135" w:type="dxa"/>
            <w:vMerge/>
            <w:textDirection w:val="btLr"/>
          </w:tcPr>
          <w:p w14:paraId="6D90BF1D" w14:textId="77777777" w:rsidR="008143D9" w:rsidRPr="00AC3044" w:rsidRDefault="008143D9" w:rsidP="005A428D">
            <w:pPr>
              <w:rPr>
                <w:rFonts w:eastAsia="SimSun"/>
              </w:rPr>
            </w:pPr>
          </w:p>
        </w:tc>
        <w:tc>
          <w:tcPr>
            <w:tcW w:w="1559" w:type="dxa"/>
            <w:vAlign w:val="center"/>
          </w:tcPr>
          <w:p w14:paraId="65009A51" w14:textId="77777777" w:rsidR="008143D9" w:rsidRPr="00AC3044" w:rsidRDefault="008143D9" w:rsidP="005A428D">
            <w:pPr>
              <w:rPr>
                <w:rFonts w:eastAsia="SimSun"/>
              </w:rPr>
            </w:pPr>
            <w:r w:rsidRPr="00AC3044">
              <w:rPr>
                <w:rFonts w:eastAsia="SimSun"/>
              </w:rPr>
              <w:t>Циклоспорин</w:t>
            </w:r>
          </w:p>
        </w:tc>
        <w:tc>
          <w:tcPr>
            <w:tcW w:w="1418" w:type="dxa"/>
            <w:vAlign w:val="center"/>
          </w:tcPr>
          <w:p w14:paraId="632D0D16" w14:textId="77777777" w:rsidR="008143D9" w:rsidRPr="00AC3044" w:rsidRDefault="008143D9" w:rsidP="005A428D">
            <w:pPr>
              <w:rPr>
                <w:rFonts w:eastAsia="SimSun"/>
              </w:rPr>
            </w:pPr>
            <w:r w:rsidRPr="00AC3044">
              <w:rPr>
                <w:rFonts w:eastAsia="SimSun"/>
              </w:rPr>
              <w:t>3 мг/кг</w:t>
            </w:r>
          </w:p>
        </w:tc>
        <w:tc>
          <w:tcPr>
            <w:tcW w:w="1559" w:type="dxa"/>
            <w:vAlign w:val="center"/>
          </w:tcPr>
          <w:p w14:paraId="525BE1E7" w14:textId="77777777" w:rsidR="008143D9" w:rsidRPr="00AC3044" w:rsidRDefault="008143D9" w:rsidP="005A428D">
            <w:pPr>
              <w:rPr>
                <w:rFonts w:eastAsia="SimSun"/>
              </w:rPr>
            </w:pPr>
            <w:r w:rsidRPr="00AC3044">
              <w:rPr>
                <w:rFonts w:eastAsia="SimSun"/>
              </w:rPr>
              <w:t>–</w:t>
            </w:r>
          </w:p>
        </w:tc>
        <w:tc>
          <w:tcPr>
            <w:tcW w:w="1559" w:type="dxa"/>
            <w:vAlign w:val="center"/>
          </w:tcPr>
          <w:p w14:paraId="29F63DC0" w14:textId="77777777" w:rsidR="008143D9" w:rsidRPr="00AC3044" w:rsidRDefault="008143D9" w:rsidP="005A428D">
            <w:pPr>
              <w:rPr>
                <w:rFonts w:eastAsia="SimSun"/>
              </w:rPr>
            </w:pPr>
            <w:r w:rsidRPr="00AC3044">
              <w:rPr>
                <w:rFonts w:eastAsia="SimSun"/>
              </w:rPr>
              <w:t>С +5 по +90 день, затем постепенное снижение к +180 дню</w:t>
            </w:r>
          </w:p>
        </w:tc>
        <w:tc>
          <w:tcPr>
            <w:tcW w:w="2410" w:type="dxa"/>
            <w:vAlign w:val="center"/>
          </w:tcPr>
          <w:p w14:paraId="66ABB8A1" w14:textId="77777777" w:rsidR="008143D9" w:rsidRPr="00AC3044" w:rsidRDefault="008143D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8143D9" w:rsidRPr="00AC3044" w14:paraId="31873775" w14:textId="77777777" w:rsidTr="005A428D">
        <w:trPr>
          <w:cantSplit/>
          <w:trHeight w:val="20"/>
        </w:trPr>
        <w:tc>
          <w:tcPr>
            <w:tcW w:w="1135" w:type="dxa"/>
            <w:vMerge/>
          </w:tcPr>
          <w:p w14:paraId="20DF6BB9" w14:textId="77777777" w:rsidR="008143D9" w:rsidRPr="00AC3044" w:rsidRDefault="008143D9" w:rsidP="005A428D">
            <w:pPr>
              <w:rPr>
                <w:rFonts w:eastAsia="SimSun"/>
              </w:rPr>
            </w:pPr>
          </w:p>
        </w:tc>
        <w:tc>
          <w:tcPr>
            <w:tcW w:w="1559" w:type="dxa"/>
            <w:vAlign w:val="center"/>
          </w:tcPr>
          <w:p w14:paraId="3634635C" w14:textId="77777777" w:rsidR="008143D9" w:rsidRPr="00AC3044" w:rsidRDefault="008143D9" w:rsidP="005A428D">
            <w:pPr>
              <w:rPr>
                <w:rFonts w:eastAsia="SimSun"/>
              </w:rPr>
            </w:pPr>
            <w:r w:rsidRPr="00AC3044">
              <w:rPr>
                <w:rFonts w:eastAsia="SimSun"/>
              </w:rPr>
              <w:t>Микофенолата мофетил</w:t>
            </w:r>
          </w:p>
        </w:tc>
        <w:tc>
          <w:tcPr>
            <w:tcW w:w="1418" w:type="dxa"/>
            <w:vAlign w:val="center"/>
          </w:tcPr>
          <w:p w14:paraId="12D4A162" w14:textId="77777777" w:rsidR="008143D9" w:rsidRPr="00AC3044" w:rsidRDefault="008143D9" w:rsidP="005A428D">
            <w:pPr>
              <w:rPr>
                <w:rFonts w:eastAsia="SimSun"/>
              </w:rPr>
            </w:pPr>
            <w:r w:rsidRPr="00AC3044">
              <w:rPr>
                <w:rFonts w:eastAsia="SimSun"/>
              </w:rPr>
              <w:t>45 мг/кг</w:t>
            </w:r>
          </w:p>
        </w:tc>
        <w:tc>
          <w:tcPr>
            <w:tcW w:w="1559" w:type="dxa"/>
            <w:vAlign w:val="center"/>
          </w:tcPr>
          <w:p w14:paraId="023FE1BB" w14:textId="77777777" w:rsidR="008143D9" w:rsidRPr="00AC3044" w:rsidRDefault="008143D9" w:rsidP="005A428D">
            <w:pPr>
              <w:rPr>
                <w:rFonts w:eastAsia="SimSun"/>
              </w:rPr>
            </w:pPr>
            <w:r w:rsidRPr="00AC3044">
              <w:rPr>
                <w:rFonts w:eastAsia="SimSun"/>
              </w:rPr>
              <w:t>–</w:t>
            </w:r>
          </w:p>
        </w:tc>
        <w:tc>
          <w:tcPr>
            <w:tcW w:w="1559" w:type="dxa"/>
            <w:vAlign w:val="center"/>
          </w:tcPr>
          <w:p w14:paraId="67C36E17" w14:textId="77777777" w:rsidR="008143D9" w:rsidRPr="00AC3044" w:rsidRDefault="008143D9" w:rsidP="005A428D">
            <w:pPr>
              <w:rPr>
                <w:rFonts w:eastAsia="SimSun"/>
              </w:rPr>
            </w:pPr>
            <w:r w:rsidRPr="00AC3044">
              <w:rPr>
                <w:rFonts w:eastAsia="SimSun"/>
              </w:rPr>
              <w:t>С +5 по +90 день</w:t>
            </w:r>
          </w:p>
        </w:tc>
        <w:tc>
          <w:tcPr>
            <w:tcW w:w="2410" w:type="dxa"/>
            <w:vAlign w:val="center"/>
          </w:tcPr>
          <w:p w14:paraId="4F635A2C" w14:textId="77777777" w:rsidR="008143D9" w:rsidRPr="00AC3044" w:rsidRDefault="008143D9" w:rsidP="005A428D">
            <w:pPr>
              <w:rPr>
                <w:rFonts w:eastAsia="SimSun"/>
              </w:rPr>
            </w:pPr>
            <w:r w:rsidRPr="00AC3044">
              <w:rPr>
                <w:rFonts w:eastAsia="SimSun"/>
              </w:rPr>
              <w:t xml:space="preserve">Внутрь, суммарная суточная доза разделяется на 2- 4 приема (не более 3г/сут).  </w:t>
            </w:r>
          </w:p>
        </w:tc>
      </w:tr>
      <w:tr w:rsidR="008143D9" w:rsidRPr="00AC3044" w14:paraId="249F34A5" w14:textId="77777777" w:rsidTr="005A428D">
        <w:trPr>
          <w:cantSplit/>
          <w:trHeight w:val="464"/>
        </w:trPr>
        <w:tc>
          <w:tcPr>
            <w:tcW w:w="1135" w:type="dxa"/>
            <w:vMerge/>
          </w:tcPr>
          <w:p w14:paraId="2B674571" w14:textId="77777777" w:rsidR="008143D9" w:rsidRPr="00AC3044" w:rsidRDefault="008143D9" w:rsidP="005A428D">
            <w:pPr>
              <w:rPr>
                <w:rFonts w:eastAsia="SimSun"/>
              </w:rPr>
            </w:pPr>
            <w:bookmarkStart w:id="186" w:name="_Hlk716839"/>
          </w:p>
        </w:tc>
        <w:tc>
          <w:tcPr>
            <w:tcW w:w="1559" w:type="dxa"/>
            <w:vAlign w:val="center"/>
          </w:tcPr>
          <w:p w14:paraId="33DFD3E6" w14:textId="77777777" w:rsidR="008143D9" w:rsidRPr="00AC3044" w:rsidRDefault="008143D9" w:rsidP="005A428D">
            <w:pPr>
              <w:rPr>
                <w:rFonts w:eastAsia="SimSun"/>
              </w:rPr>
            </w:pPr>
            <w:r w:rsidRPr="00AC3044">
              <w:rPr>
                <w:rFonts w:eastAsia="SimSun"/>
              </w:rPr>
              <w:t>Циклофосфамид</w:t>
            </w:r>
          </w:p>
        </w:tc>
        <w:tc>
          <w:tcPr>
            <w:tcW w:w="1418" w:type="dxa"/>
            <w:vAlign w:val="center"/>
          </w:tcPr>
          <w:p w14:paraId="2CD0DBD9" w14:textId="77777777" w:rsidR="008143D9" w:rsidRPr="00AC3044" w:rsidRDefault="008143D9" w:rsidP="005A428D">
            <w:pPr>
              <w:rPr>
                <w:rFonts w:eastAsia="SimSun"/>
              </w:rPr>
            </w:pPr>
            <w:r w:rsidRPr="00AC3044">
              <w:rPr>
                <w:rFonts w:eastAsia="SimSun"/>
              </w:rPr>
              <w:t>50 мг/кг</w:t>
            </w:r>
          </w:p>
        </w:tc>
        <w:tc>
          <w:tcPr>
            <w:tcW w:w="1559" w:type="dxa"/>
            <w:vAlign w:val="center"/>
          </w:tcPr>
          <w:p w14:paraId="638EDDA2" w14:textId="77777777" w:rsidR="008143D9" w:rsidRPr="00AC3044" w:rsidRDefault="008143D9" w:rsidP="005A428D">
            <w:pPr>
              <w:rPr>
                <w:rFonts w:eastAsia="SimSun"/>
              </w:rPr>
            </w:pPr>
            <w:r w:rsidRPr="00AC3044">
              <w:rPr>
                <w:rFonts w:eastAsia="SimSun"/>
              </w:rPr>
              <w:t>100 мг/кг</w:t>
            </w:r>
          </w:p>
        </w:tc>
        <w:tc>
          <w:tcPr>
            <w:tcW w:w="1559" w:type="dxa"/>
            <w:vAlign w:val="center"/>
          </w:tcPr>
          <w:p w14:paraId="7AD98CD4" w14:textId="77777777" w:rsidR="008143D9" w:rsidRPr="00AC3044" w:rsidRDefault="008143D9" w:rsidP="005A428D">
            <w:pPr>
              <w:rPr>
                <w:rFonts w:eastAsia="SimSun"/>
              </w:rPr>
            </w:pPr>
            <w:r w:rsidRPr="00AC3044">
              <w:rPr>
                <w:rFonts w:eastAsia="SimSun"/>
              </w:rPr>
              <w:t xml:space="preserve">+3, +4 дни </w:t>
            </w:r>
          </w:p>
        </w:tc>
        <w:tc>
          <w:tcPr>
            <w:tcW w:w="2410" w:type="dxa"/>
            <w:vAlign w:val="center"/>
          </w:tcPr>
          <w:p w14:paraId="06FCA053" w14:textId="77777777" w:rsidR="008143D9" w:rsidRPr="00AC3044" w:rsidRDefault="008143D9" w:rsidP="005A428D">
            <w:pPr>
              <w:rPr>
                <w:rFonts w:eastAsia="SimSun"/>
              </w:rPr>
            </w:pPr>
            <w:r w:rsidRPr="00AC3044">
              <w:rPr>
                <w:rFonts w:eastAsia="SimSun"/>
              </w:rPr>
              <w:t>В/в, в течение 2 часов</w:t>
            </w:r>
          </w:p>
        </w:tc>
      </w:tr>
    </w:tbl>
    <w:p w14:paraId="0AB36307" w14:textId="77777777" w:rsidR="008143D9" w:rsidRDefault="008143D9" w:rsidP="008143D9">
      <w:pPr>
        <w:rPr>
          <w:rFonts w:eastAsia="SimSun"/>
        </w:rPr>
      </w:pPr>
      <w:bookmarkStart w:id="187" w:name="_Toc44401229"/>
      <w:bookmarkEnd w:id="186"/>
    </w:p>
    <w:p w14:paraId="1EEAC927" w14:textId="77777777" w:rsidR="008143D9" w:rsidRPr="00C07B2E" w:rsidRDefault="008143D9" w:rsidP="008143D9">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3.1.4  – Flu180+Bu8 / PT-Cy+CSA+MMF30</w:t>
      </w:r>
      <w:bookmarkEnd w:id="187"/>
    </w:p>
    <w:tbl>
      <w:tblPr>
        <w:tblW w:w="9588"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3"/>
        <w:gridCol w:w="1559"/>
        <w:gridCol w:w="1418"/>
        <w:gridCol w:w="1559"/>
        <w:gridCol w:w="1559"/>
        <w:gridCol w:w="2410"/>
      </w:tblGrid>
      <w:tr w:rsidR="008143D9" w:rsidRPr="00AC3044" w14:paraId="19728B74" w14:textId="77777777" w:rsidTr="005A428D">
        <w:trPr>
          <w:cantSplit/>
          <w:trHeight w:val="20"/>
          <w:tblHeader/>
        </w:trPr>
        <w:tc>
          <w:tcPr>
            <w:tcW w:w="1083" w:type="dxa"/>
          </w:tcPr>
          <w:p w14:paraId="3033AD31" w14:textId="77777777" w:rsidR="008143D9" w:rsidRPr="006A5E21" w:rsidRDefault="008143D9" w:rsidP="005A428D">
            <w:pPr>
              <w:rPr>
                <w:rFonts w:eastAsia="SimSun"/>
              </w:rPr>
            </w:pPr>
          </w:p>
        </w:tc>
        <w:tc>
          <w:tcPr>
            <w:tcW w:w="1559" w:type="dxa"/>
            <w:vAlign w:val="center"/>
          </w:tcPr>
          <w:p w14:paraId="49880A57" w14:textId="77777777" w:rsidR="008143D9" w:rsidRPr="00AC3044" w:rsidRDefault="008143D9" w:rsidP="005A428D">
            <w:pPr>
              <w:rPr>
                <w:rFonts w:eastAsia="SimSun"/>
              </w:rPr>
            </w:pPr>
            <w:r w:rsidRPr="00AC3044">
              <w:rPr>
                <w:rFonts w:eastAsia="SimSun"/>
              </w:rPr>
              <w:t>Препарат</w:t>
            </w:r>
          </w:p>
        </w:tc>
        <w:tc>
          <w:tcPr>
            <w:tcW w:w="1418" w:type="dxa"/>
            <w:vAlign w:val="center"/>
          </w:tcPr>
          <w:p w14:paraId="030187C5" w14:textId="77777777" w:rsidR="008143D9" w:rsidRPr="00AC3044" w:rsidRDefault="008143D9" w:rsidP="005A428D">
            <w:pPr>
              <w:rPr>
                <w:rFonts w:eastAsia="SimSun"/>
              </w:rPr>
            </w:pPr>
            <w:r w:rsidRPr="00AC3044">
              <w:rPr>
                <w:rFonts w:eastAsia="SimSun"/>
              </w:rPr>
              <w:t>Суточная доза</w:t>
            </w:r>
          </w:p>
        </w:tc>
        <w:tc>
          <w:tcPr>
            <w:tcW w:w="1559" w:type="dxa"/>
            <w:vAlign w:val="center"/>
          </w:tcPr>
          <w:p w14:paraId="6CC25413" w14:textId="77777777" w:rsidR="008143D9" w:rsidRPr="00AC3044" w:rsidRDefault="008143D9" w:rsidP="005A428D">
            <w:pPr>
              <w:rPr>
                <w:rFonts w:eastAsia="SimSun"/>
              </w:rPr>
            </w:pPr>
            <w:r w:rsidRPr="00AC3044">
              <w:rPr>
                <w:rFonts w:eastAsia="SimSun"/>
              </w:rPr>
              <w:t>Курсовая доза</w:t>
            </w:r>
          </w:p>
        </w:tc>
        <w:tc>
          <w:tcPr>
            <w:tcW w:w="1559" w:type="dxa"/>
            <w:vAlign w:val="center"/>
          </w:tcPr>
          <w:p w14:paraId="76204FFE" w14:textId="77777777" w:rsidR="008143D9" w:rsidRPr="00AC3044" w:rsidRDefault="008143D9" w:rsidP="005A428D">
            <w:pPr>
              <w:rPr>
                <w:rFonts w:eastAsia="SimSun"/>
              </w:rPr>
            </w:pPr>
            <w:r w:rsidRPr="00AC3044">
              <w:rPr>
                <w:rFonts w:eastAsia="SimSun"/>
              </w:rPr>
              <w:t>Дни введения</w:t>
            </w:r>
          </w:p>
        </w:tc>
        <w:tc>
          <w:tcPr>
            <w:tcW w:w="2410" w:type="dxa"/>
            <w:vAlign w:val="center"/>
          </w:tcPr>
          <w:p w14:paraId="50A9B431"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02303265" w14:textId="77777777" w:rsidTr="005A428D">
        <w:trPr>
          <w:cantSplit/>
          <w:trHeight w:val="20"/>
        </w:trPr>
        <w:tc>
          <w:tcPr>
            <w:tcW w:w="1083" w:type="dxa"/>
            <w:vMerge w:val="restart"/>
            <w:textDirection w:val="btLr"/>
            <w:vAlign w:val="center"/>
          </w:tcPr>
          <w:p w14:paraId="5A5C97D6" w14:textId="77777777" w:rsidR="008143D9" w:rsidRPr="00AC3044" w:rsidRDefault="008143D9" w:rsidP="005A428D">
            <w:pPr>
              <w:rPr>
                <w:rFonts w:eastAsia="SimSun"/>
              </w:rPr>
            </w:pPr>
            <w:r w:rsidRPr="00AC3044">
              <w:rPr>
                <w:rFonts w:eastAsia="SimSun"/>
              </w:rPr>
              <w:t>Кондиционирование</w:t>
            </w:r>
          </w:p>
        </w:tc>
        <w:tc>
          <w:tcPr>
            <w:tcW w:w="1559" w:type="dxa"/>
            <w:vAlign w:val="center"/>
          </w:tcPr>
          <w:p w14:paraId="2D39DD83" w14:textId="77777777" w:rsidR="008143D9" w:rsidRPr="00AC3044" w:rsidRDefault="008143D9" w:rsidP="005A428D">
            <w:pPr>
              <w:rPr>
                <w:rFonts w:eastAsia="SimSun"/>
              </w:rPr>
            </w:pPr>
            <w:r w:rsidRPr="00AC3044">
              <w:rPr>
                <w:rFonts w:eastAsia="SimSun"/>
              </w:rPr>
              <w:t xml:space="preserve">Флударабин </w:t>
            </w:r>
          </w:p>
        </w:tc>
        <w:tc>
          <w:tcPr>
            <w:tcW w:w="1418" w:type="dxa"/>
            <w:vAlign w:val="center"/>
          </w:tcPr>
          <w:p w14:paraId="1FF3AC3B" w14:textId="77777777" w:rsidR="008143D9" w:rsidRPr="00AC3044" w:rsidRDefault="008143D9" w:rsidP="005A428D">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62230B67" w14:textId="77777777" w:rsidR="008143D9" w:rsidRPr="00AC3044" w:rsidRDefault="008143D9" w:rsidP="005A428D">
            <w:pPr>
              <w:rPr>
                <w:rFonts w:eastAsia="SimSun"/>
              </w:rPr>
            </w:pPr>
            <w:r w:rsidRPr="00AC3044">
              <w:rPr>
                <w:rFonts w:eastAsia="SimSun"/>
              </w:rPr>
              <w:t>180 мг/м</w:t>
            </w:r>
            <w:r w:rsidRPr="0074195F">
              <w:rPr>
                <w:rFonts w:eastAsia="SimSun"/>
                <w:vertAlign w:val="superscript"/>
              </w:rPr>
              <w:t>2</w:t>
            </w:r>
          </w:p>
        </w:tc>
        <w:tc>
          <w:tcPr>
            <w:tcW w:w="1559" w:type="dxa"/>
            <w:vAlign w:val="center"/>
          </w:tcPr>
          <w:p w14:paraId="7579628E" w14:textId="77777777" w:rsidR="008143D9" w:rsidRPr="00AC3044" w:rsidRDefault="008143D9" w:rsidP="005A428D">
            <w:pPr>
              <w:rPr>
                <w:rFonts w:eastAsia="SimSun"/>
              </w:rPr>
            </w:pPr>
            <w:r w:rsidRPr="00AC3044">
              <w:rPr>
                <w:rFonts w:eastAsia="SimSun"/>
              </w:rPr>
              <w:t>С –7 по –2 день</w:t>
            </w:r>
          </w:p>
        </w:tc>
        <w:tc>
          <w:tcPr>
            <w:tcW w:w="2410" w:type="dxa"/>
            <w:vAlign w:val="center"/>
          </w:tcPr>
          <w:p w14:paraId="4CC6D041"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73E31AF9" w14:textId="77777777" w:rsidTr="005A428D">
        <w:trPr>
          <w:cantSplit/>
          <w:trHeight w:val="1123"/>
        </w:trPr>
        <w:tc>
          <w:tcPr>
            <w:tcW w:w="1083" w:type="dxa"/>
            <w:vMerge/>
            <w:textDirection w:val="btLr"/>
            <w:vAlign w:val="center"/>
          </w:tcPr>
          <w:p w14:paraId="0E0A0BEF" w14:textId="77777777" w:rsidR="008143D9" w:rsidRPr="00AC3044" w:rsidRDefault="008143D9" w:rsidP="005A428D">
            <w:pPr>
              <w:rPr>
                <w:rFonts w:eastAsia="SimSun"/>
              </w:rPr>
            </w:pPr>
          </w:p>
        </w:tc>
        <w:tc>
          <w:tcPr>
            <w:tcW w:w="1559" w:type="dxa"/>
            <w:vAlign w:val="center"/>
          </w:tcPr>
          <w:p w14:paraId="32788EFE" w14:textId="77777777" w:rsidR="008143D9" w:rsidRPr="00AC3044" w:rsidRDefault="008143D9" w:rsidP="005A428D">
            <w:pPr>
              <w:rPr>
                <w:rFonts w:eastAsia="SimSun"/>
              </w:rPr>
            </w:pPr>
            <w:r w:rsidRPr="00AC3044">
              <w:rPr>
                <w:rFonts w:eastAsia="SimSun"/>
              </w:rPr>
              <w:t>Бусульфан</w:t>
            </w:r>
          </w:p>
        </w:tc>
        <w:tc>
          <w:tcPr>
            <w:tcW w:w="1418" w:type="dxa"/>
            <w:vAlign w:val="center"/>
          </w:tcPr>
          <w:p w14:paraId="56127579" w14:textId="77777777" w:rsidR="008143D9" w:rsidRPr="00AC3044" w:rsidRDefault="008143D9" w:rsidP="005A428D">
            <w:pPr>
              <w:rPr>
                <w:rFonts w:eastAsia="SimSun"/>
              </w:rPr>
            </w:pPr>
            <w:r w:rsidRPr="00AC3044">
              <w:rPr>
                <w:rFonts w:eastAsia="SimSun"/>
              </w:rPr>
              <w:t>4 мг/кг</w:t>
            </w:r>
          </w:p>
        </w:tc>
        <w:tc>
          <w:tcPr>
            <w:tcW w:w="1559" w:type="dxa"/>
            <w:vAlign w:val="center"/>
          </w:tcPr>
          <w:p w14:paraId="1D317C93" w14:textId="77777777" w:rsidR="008143D9" w:rsidRPr="00AC3044" w:rsidRDefault="008143D9" w:rsidP="005A428D">
            <w:pPr>
              <w:rPr>
                <w:rFonts w:eastAsia="SimSun"/>
              </w:rPr>
            </w:pPr>
            <w:r w:rsidRPr="00AC3044">
              <w:rPr>
                <w:rFonts w:eastAsia="SimSun"/>
              </w:rPr>
              <w:t>8 мг/кг</w:t>
            </w:r>
          </w:p>
        </w:tc>
        <w:tc>
          <w:tcPr>
            <w:tcW w:w="1559" w:type="dxa"/>
            <w:vAlign w:val="center"/>
          </w:tcPr>
          <w:p w14:paraId="0E84D02C" w14:textId="77777777" w:rsidR="008143D9" w:rsidRPr="00AC3044" w:rsidRDefault="008143D9" w:rsidP="005A428D">
            <w:pPr>
              <w:rPr>
                <w:rFonts w:eastAsia="SimSun"/>
              </w:rPr>
            </w:pPr>
            <w:r w:rsidRPr="00AC3044">
              <w:rPr>
                <w:rFonts w:eastAsia="SimSun"/>
              </w:rPr>
              <w:t>–3, –2 дни</w:t>
            </w:r>
          </w:p>
        </w:tc>
        <w:tc>
          <w:tcPr>
            <w:tcW w:w="2410" w:type="dxa"/>
            <w:vAlign w:val="center"/>
          </w:tcPr>
          <w:p w14:paraId="1832E760" w14:textId="77777777" w:rsidR="008143D9" w:rsidRPr="00AC3044" w:rsidRDefault="008143D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8143D9" w:rsidRPr="00AC3044" w14:paraId="662391BE" w14:textId="77777777" w:rsidTr="005A428D">
        <w:trPr>
          <w:cantSplit/>
          <w:trHeight w:val="20"/>
        </w:trPr>
        <w:tc>
          <w:tcPr>
            <w:tcW w:w="1083" w:type="dxa"/>
            <w:vMerge w:val="restart"/>
            <w:textDirection w:val="btLr"/>
            <w:vAlign w:val="center"/>
          </w:tcPr>
          <w:p w14:paraId="6A8EBF23" w14:textId="77777777" w:rsidR="008143D9" w:rsidRPr="00AC3044" w:rsidRDefault="008143D9" w:rsidP="005A428D">
            <w:pPr>
              <w:rPr>
                <w:rFonts w:eastAsia="SimSun"/>
              </w:rPr>
            </w:pPr>
            <w:r w:rsidRPr="00AC3044">
              <w:rPr>
                <w:rFonts w:eastAsia="SimSun"/>
              </w:rPr>
              <w:t>Профилактика РТПХ</w:t>
            </w:r>
          </w:p>
        </w:tc>
        <w:tc>
          <w:tcPr>
            <w:tcW w:w="1559" w:type="dxa"/>
            <w:vAlign w:val="center"/>
          </w:tcPr>
          <w:p w14:paraId="01478526" w14:textId="77777777" w:rsidR="008143D9" w:rsidRPr="00AC3044" w:rsidRDefault="008143D9" w:rsidP="005A428D">
            <w:pPr>
              <w:rPr>
                <w:rFonts w:eastAsia="SimSun"/>
              </w:rPr>
            </w:pPr>
            <w:r w:rsidRPr="00AC3044">
              <w:rPr>
                <w:rFonts w:eastAsia="SimSun"/>
              </w:rPr>
              <w:t>Циклоспорин</w:t>
            </w:r>
          </w:p>
        </w:tc>
        <w:tc>
          <w:tcPr>
            <w:tcW w:w="1418" w:type="dxa"/>
            <w:vAlign w:val="center"/>
          </w:tcPr>
          <w:p w14:paraId="2FCBB7B5" w14:textId="77777777" w:rsidR="008143D9" w:rsidRPr="00AC3044" w:rsidRDefault="008143D9" w:rsidP="005A428D">
            <w:pPr>
              <w:rPr>
                <w:rFonts w:eastAsia="SimSun"/>
              </w:rPr>
            </w:pPr>
            <w:r w:rsidRPr="00AC3044">
              <w:rPr>
                <w:rFonts w:eastAsia="SimSun"/>
              </w:rPr>
              <w:t>3 мг/кг</w:t>
            </w:r>
          </w:p>
        </w:tc>
        <w:tc>
          <w:tcPr>
            <w:tcW w:w="1559" w:type="dxa"/>
            <w:vAlign w:val="center"/>
          </w:tcPr>
          <w:p w14:paraId="3553575F" w14:textId="77777777" w:rsidR="008143D9" w:rsidRPr="00AC3044" w:rsidRDefault="008143D9" w:rsidP="005A428D">
            <w:pPr>
              <w:rPr>
                <w:rFonts w:eastAsia="SimSun"/>
              </w:rPr>
            </w:pPr>
            <w:r w:rsidRPr="00AC3044">
              <w:rPr>
                <w:rFonts w:eastAsia="SimSun"/>
              </w:rPr>
              <w:t>–</w:t>
            </w:r>
          </w:p>
        </w:tc>
        <w:tc>
          <w:tcPr>
            <w:tcW w:w="1559" w:type="dxa"/>
            <w:vAlign w:val="center"/>
          </w:tcPr>
          <w:p w14:paraId="594BBAD4" w14:textId="77777777" w:rsidR="008143D9" w:rsidRPr="00AC3044" w:rsidRDefault="008143D9" w:rsidP="005A428D">
            <w:pPr>
              <w:rPr>
                <w:rFonts w:eastAsia="SimSun"/>
              </w:rPr>
            </w:pPr>
            <w:r w:rsidRPr="00AC3044">
              <w:rPr>
                <w:rFonts w:eastAsia="SimSun"/>
              </w:rPr>
              <w:t>С +5 по +90 день, затем постепенное снижение к +180 дню</w:t>
            </w:r>
          </w:p>
        </w:tc>
        <w:tc>
          <w:tcPr>
            <w:tcW w:w="2410" w:type="dxa"/>
            <w:vAlign w:val="center"/>
          </w:tcPr>
          <w:p w14:paraId="494B3B02" w14:textId="77777777" w:rsidR="008143D9" w:rsidRPr="00AC3044" w:rsidRDefault="008143D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8143D9" w:rsidRPr="00AC3044" w14:paraId="50A56CF6" w14:textId="77777777" w:rsidTr="005A428D">
        <w:trPr>
          <w:cantSplit/>
          <w:trHeight w:val="20"/>
        </w:trPr>
        <w:tc>
          <w:tcPr>
            <w:tcW w:w="1083" w:type="dxa"/>
            <w:vMerge/>
          </w:tcPr>
          <w:p w14:paraId="7D9B13F1" w14:textId="77777777" w:rsidR="008143D9" w:rsidRPr="00AC3044" w:rsidRDefault="008143D9" w:rsidP="005A428D">
            <w:pPr>
              <w:rPr>
                <w:rFonts w:eastAsia="SimSun"/>
              </w:rPr>
            </w:pPr>
          </w:p>
        </w:tc>
        <w:tc>
          <w:tcPr>
            <w:tcW w:w="1559" w:type="dxa"/>
            <w:vAlign w:val="center"/>
          </w:tcPr>
          <w:p w14:paraId="4158F04C" w14:textId="77777777" w:rsidR="008143D9" w:rsidRPr="00AC3044" w:rsidRDefault="008143D9" w:rsidP="005A428D">
            <w:pPr>
              <w:rPr>
                <w:rFonts w:eastAsia="SimSun"/>
              </w:rPr>
            </w:pPr>
            <w:r w:rsidRPr="00AC3044">
              <w:rPr>
                <w:rFonts w:eastAsia="SimSun"/>
              </w:rPr>
              <w:t>Микофенолата мофетил</w:t>
            </w:r>
          </w:p>
        </w:tc>
        <w:tc>
          <w:tcPr>
            <w:tcW w:w="1418" w:type="dxa"/>
            <w:vAlign w:val="center"/>
          </w:tcPr>
          <w:p w14:paraId="0C07753F" w14:textId="77777777" w:rsidR="008143D9" w:rsidRPr="00AC3044" w:rsidRDefault="008143D9" w:rsidP="005A428D">
            <w:pPr>
              <w:rPr>
                <w:rFonts w:eastAsia="SimSun"/>
              </w:rPr>
            </w:pPr>
            <w:r w:rsidRPr="00AC3044">
              <w:rPr>
                <w:rFonts w:eastAsia="SimSun"/>
              </w:rPr>
              <w:t>30 мг/кг</w:t>
            </w:r>
          </w:p>
        </w:tc>
        <w:tc>
          <w:tcPr>
            <w:tcW w:w="1559" w:type="dxa"/>
            <w:vAlign w:val="center"/>
          </w:tcPr>
          <w:p w14:paraId="15299901" w14:textId="77777777" w:rsidR="008143D9" w:rsidRPr="00AC3044" w:rsidRDefault="008143D9" w:rsidP="005A428D">
            <w:pPr>
              <w:rPr>
                <w:rFonts w:eastAsia="SimSun"/>
              </w:rPr>
            </w:pPr>
            <w:r w:rsidRPr="00AC3044">
              <w:rPr>
                <w:rFonts w:eastAsia="SimSun"/>
              </w:rPr>
              <w:t>–</w:t>
            </w:r>
          </w:p>
        </w:tc>
        <w:tc>
          <w:tcPr>
            <w:tcW w:w="1559" w:type="dxa"/>
            <w:vAlign w:val="center"/>
          </w:tcPr>
          <w:p w14:paraId="77DF67CB" w14:textId="77777777" w:rsidR="008143D9" w:rsidRPr="00AC3044" w:rsidRDefault="008143D9" w:rsidP="005A428D">
            <w:pPr>
              <w:rPr>
                <w:rFonts w:eastAsia="SimSun"/>
              </w:rPr>
            </w:pPr>
            <w:r w:rsidRPr="00AC3044">
              <w:rPr>
                <w:rFonts w:eastAsia="SimSun"/>
              </w:rPr>
              <w:t>С +5 по +90 день</w:t>
            </w:r>
          </w:p>
        </w:tc>
        <w:tc>
          <w:tcPr>
            <w:tcW w:w="2410" w:type="dxa"/>
            <w:vAlign w:val="center"/>
          </w:tcPr>
          <w:p w14:paraId="509DCBEF" w14:textId="77777777" w:rsidR="008143D9" w:rsidRPr="00AC3044" w:rsidRDefault="008143D9" w:rsidP="005A428D">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8143D9" w:rsidRPr="00AC3044" w14:paraId="7F6FDE55" w14:textId="77777777" w:rsidTr="005A428D">
        <w:trPr>
          <w:cantSplit/>
          <w:trHeight w:val="464"/>
        </w:trPr>
        <w:tc>
          <w:tcPr>
            <w:tcW w:w="1083" w:type="dxa"/>
            <w:vMerge/>
          </w:tcPr>
          <w:p w14:paraId="7551EABD" w14:textId="77777777" w:rsidR="008143D9" w:rsidRPr="00AC3044" w:rsidRDefault="008143D9" w:rsidP="005A428D">
            <w:pPr>
              <w:rPr>
                <w:rFonts w:eastAsia="SimSun"/>
              </w:rPr>
            </w:pPr>
          </w:p>
        </w:tc>
        <w:tc>
          <w:tcPr>
            <w:tcW w:w="1559" w:type="dxa"/>
            <w:vAlign w:val="center"/>
          </w:tcPr>
          <w:p w14:paraId="62A7388A" w14:textId="77777777" w:rsidR="008143D9" w:rsidRPr="00AC3044" w:rsidRDefault="008143D9" w:rsidP="005A428D">
            <w:pPr>
              <w:rPr>
                <w:rFonts w:eastAsia="SimSun"/>
              </w:rPr>
            </w:pPr>
            <w:r w:rsidRPr="00AC3044">
              <w:rPr>
                <w:rFonts w:eastAsia="SimSun"/>
              </w:rPr>
              <w:t>Циклофосфамид</w:t>
            </w:r>
          </w:p>
        </w:tc>
        <w:tc>
          <w:tcPr>
            <w:tcW w:w="1418" w:type="dxa"/>
            <w:vAlign w:val="center"/>
          </w:tcPr>
          <w:p w14:paraId="4430E4EB" w14:textId="77777777" w:rsidR="008143D9" w:rsidRPr="00AC3044" w:rsidRDefault="008143D9" w:rsidP="005A428D">
            <w:pPr>
              <w:rPr>
                <w:rFonts w:eastAsia="SimSun"/>
              </w:rPr>
            </w:pPr>
            <w:r w:rsidRPr="00AC3044">
              <w:rPr>
                <w:rFonts w:eastAsia="SimSun"/>
              </w:rPr>
              <w:t>50 мг/кг</w:t>
            </w:r>
          </w:p>
        </w:tc>
        <w:tc>
          <w:tcPr>
            <w:tcW w:w="1559" w:type="dxa"/>
            <w:vAlign w:val="center"/>
          </w:tcPr>
          <w:p w14:paraId="22CADC98" w14:textId="77777777" w:rsidR="008143D9" w:rsidRPr="00AC3044" w:rsidRDefault="008143D9" w:rsidP="005A428D">
            <w:pPr>
              <w:rPr>
                <w:rFonts w:eastAsia="SimSun"/>
              </w:rPr>
            </w:pPr>
            <w:r w:rsidRPr="00AC3044">
              <w:rPr>
                <w:rFonts w:eastAsia="SimSun"/>
              </w:rPr>
              <w:t>100 мг/кг</w:t>
            </w:r>
          </w:p>
        </w:tc>
        <w:tc>
          <w:tcPr>
            <w:tcW w:w="1559" w:type="dxa"/>
            <w:vAlign w:val="center"/>
          </w:tcPr>
          <w:p w14:paraId="5B7D8929" w14:textId="77777777" w:rsidR="008143D9" w:rsidRPr="00AC3044" w:rsidRDefault="008143D9" w:rsidP="005A428D">
            <w:pPr>
              <w:rPr>
                <w:rFonts w:eastAsia="SimSun"/>
              </w:rPr>
            </w:pPr>
            <w:r w:rsidRPr="00AC3044">
              <w:rPr>
                <w:rFonts w:eastAsia="SimSun"/>
              </w:rPr>
              <w:t xml:space="preserve">+3, +4 дни </w:t>
            </w:r>
          </w:p>
        </w:tc>
        <w:tc>
          <w:tcPr>
            <w:tcW w:w="2410" w:type="dxa"/>
            <w:vAlign w:val="center"/>
          </w:tcPr>
          <w:p w14:paraId="7A03D0D8" w14:textId="77777777" w:rsidR="008143D9" w:rsidRPr="00AC3044" w:rsidRDefault="008143D9" w:rsidP="005A428D">
            <w:pPr>
              <w:rPr>
                <w:rFonts w:eastAsia="SimSun"/>
              </w:rPr>
            </w:pPr>
            <w:r w:rsidRPr="00AC3044">
              <w:rPr>
                <w:rFonts w:eastAsia="SimSun"/>
              </w:rPr>
              <w:t>В/в, в течение 2 часов</w:t>
            </w:r>
          </w:p>
        </w:tc>
      </w:tr>
    </w:tbl>
    <w:p w14:paraId="01B16A6E" w14:textId="77777777" w:rsidR="008143D9" w:rsidRDefault="008143D9" w:rsidP="008143D9">
      <w:pPr>
        <w:rPr>
          <w:rFonts w:eastAsia="SimSun"/>
        </w:rPr>
      </w:pPr>
      <w:bookmarkStart w:id="188" w:name="_Toc44401230"/>
    </w:p>
    <w:p w14:paraId="0E4CA1B5" w14:textId="77777777" w:rsidR="008143D9" w:rsidRPr="00C07B2E" w:rsidRDefault="008143D9" w:rsidP="008143D9">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3.1.5  – Flu180+Bu8 / PT-Cy+CSA+MMF45</w:t>
      </w:r>
      <w:bookmarkEnd w:id="188"/>
    </w:p>
    <w:tbl>
      <w:tblPr>
        <w:tblW w:w="9608"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3"/>
        <w:gridCol w:w="1559"/>
        <w:gridCol w:w="1418"/>
        <w:gridCol w:w="1559"/>
        <w:gridCol w:w="1559"/>
        <w:gridCol w:w="2410"/>
      </w:tblGrid>
      <w:tr w:rsidR="008143D9" w:rsidRPr="00AC3044" w14:paraId="18C2AE06" w14:textId="77777777" w:rsidTr="005A428D">
        <w:trPr>
          <w:cantSplit/>
          <w:trHeight w:val="20"/>
          <w:tblHeader/>
        </w:trPr>
        <w:tc>
          <w:tcPr>
            <w:tcW w:w="1103" w:type="dxa"/>
          </w:tcPr>
          <w:p w14:paraId="2CE44286" w14:textId="77777777" w:rsidR="008143D9" w:rsidRPr="006A5E21" w:rsidRDefault="008143D9" w:rsidP="005A428D">
            <w:pPr>
              <w:rPr>
                <w:rFonts w:eastAsia="SimSun"/>
              </w:rPr>
            </w:pPr>
          </w:p>
        </w:tc>
        <w:tc>
          <w:tcPr>
            <w:tcW w:w="1559" w:type="dxa"/>
            <w:vAlign w:val="center"/>
          </w:tcPr>
          <w:p w14:paraId="4BD8C7C6" w14:textId="77777777" w:rsidR="008143D9" w:rsidRPr="00AC3044" w:rsidRDefault="008143D9" w:rsidP="005A428D">
            <w:pPr>
              <w:rPr>
                <w:rFonts w:eastAsia="SimSun"/>
              </w:rPr>
            </w:pPr>
            <w:r w:rsidRPr="00AC3044">
              <w:rPr>
                <w:rFonts w:eastAsia="SimSun"/>
              </w:rPr>
              <w:t>Препарат</w:t>
            </w:r>
          </w:p>
        </w:tc>
        <w:tc>
          <w:tcPr>
            <w:tcW w:w="1418" w:type="dxa"/>
            <w:vAlign w:val="center"/>
          </w:tcPr>
          <w:p w14:paraId="5674E081" w14:textId="77777777" w:rsidR="008143D9" w:rsidRPr="00AC3044" w:rsidRDefault="008143D9" w:rsidP="005A428D">
            <w:pPr>
              <w:rPr>
                <w:rFonts w:eastAsia="SimSun"/>
              </w:rPr>
            </w:pPr>
            <w:r w:rsidRPr="00AC3044">
              <w:rPr>
                <w:rFonts w:eastAsia="SimSun"/>
              </w:rPr>
              <w:t>Суточная доза</w:t>
            </w:r>
          </w:p>
        </w:tc>
        <w:tc>
          <w:tcPr>
            <w:tcW w:w="1559" w:type="dxa"/>
            <w:vAlign w:val="center"/>
          </w:tcPr>
          <w:p w14:paraId="5CD58C14" w14:textId="77777777" w:rsidR="008143D9" w:rsidRPr="00AC3044" w:rsidRDefault="008143D9" w:rsidP="005A428D">
            <w:pPr>
              <w:rPr>
                <w:rFonts w:eastAsia="SimSun"/>
              </w:rPr>
            </w:pPr>
            <w:r w:rsidRPr="00AC3044">
              <w:rPr>
                <w:rFonts w:eastAsia="SimSun"/>
              </w:rPr>
              <w:t>Курсовая доза</w:t>
            </w:r>
          </w:p>
        </w:tc>
        <w:tc>
          <w:tcPr>
            <w:tcW w:w="1559" w:type="dxa"/>
            <w:vAlign w:val="center"/>
          </w:tcPr>
          <w:p w14:paraId="076BC598" w14:textId="77777777" w:rsidR="008143D9" w:rsidRPr="00AC3044" w:rsidRDefault="008143D9" w:rsidP="005A428D">
            <w:pPr>
              <w:rPr>
                <w:rFonts w:eastAsia="SimSun"/>
              </w:rPr>
            </w:pPr>
            <w:r w:rsidRPr="00AC3044">
              <w:rPr>
                <w:rFonts w:eastAsia="SimSun"/>
              </w:rPr>
              <w:t>Дни введения</w:t>
            </w:r>
          </w:p>
        </w:tc>
        <w:tc>
          <w:tcPr>
            <w:tcW w:w="2410" w:type="dxa"/>
            <w:vAlign w:val="center"/>
          </w:tcPr>
          <w:p w14:paraId="4C880207"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3D9F9232" w14:textId="77777777" w:rsidTr="005A428D">
        <w:trPr>
          <w:cantSplit/>
          <w:trHeight w:val="20"/>
        </w:trPr>
        <w:tc>
          <w:tcPr>
            <w:tcW w:w="1103" w:type="dxa"/>
            <w:vMerge w:val="restart"/>
            <w:textDirection w:val="btLr"/>
            <w:vAlign w:val="center"/>
          </w:tcPr>
          <w:p w14:paraId="7F9AC9BC" w14:textId="77777777" w:rsidR="008143D9" w:rsidRPr="00AC3044" w:rsidRDefault="008143D9" w:rsidP="005A428D">
            <w:pPr>
              <w:rPr>
                <w:rFonts w:eastAsia="SimSun"/>
              </w:rPr>
            </w:pPr>
            <w:r w:rsidRPr="00AC3044">
              <w:rPr>
                <w:rFonts w:eastAsia="SimSun"/>
              </w:rPr>
              <w:t>Кондиционирование</w:t>
            </w:r>
          </w:p>
        </w:tc>
        <w:tc>
          <w:tcPr>
            <w:tcW w:w="1559" w:type="dxa"/>
            <w:vAlign w:val="center"/>
          </w:tcPr>
          <w:p w14:paraId="703A1BEB" w14:textId="77777777" w:rsidR="008143D9" w:rsidRPr="00AC3044" w:rsidRDefault="008143D9" w:rsidP="005A428D">
            <w:pPr>
              <w:rPr>
                <w:rFonts w:eastAsia="SimSun"/>
              </w:rPr>
            </w:pPr>
            <w:r w:rsidRPr="00AC3044">
              <w:rPr>
                <w:rFonts w:eastAsia="SimSun"/>
              </w:rPr>
              <w:t xml:space="preserve">Флударабин </w:t>
            </w:r>
          </w:p>
        </w:tc>
        <w:tc>
          <w:tcPr>
            <w:tcW w:w="1418" w:type="dxa"/>
            <w:vAlign w:val="center"/>
          </w:tcPr>
          <w:p w14:paraId="004DF27F" w14:textId="77777777" w:rsidR="008143D9" w:rsidRPr="00AC3044" w:rsidRDefault="008143D9" w:rsidP="005A428D">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495CA9CF" w14:textId="77777777" w:rsidR="008143D9" w:rsidRPr="00AC3044" w:rsidRDefault="008143D9" w:rsidP="005A428D">
            <w:pPr>
              <w:rPr>
                <w:rFonts w:eastAsia="SimSun"/>
              </w:rPr>
            </w:pPr>
            <w:r w:rsidRPr="00AC3044">
              <w:rPr>
                <w:rFonts w:eastAsia="SimSun"/>
              </w:rPr>
              <w:t>180 мг/м</w:t>
            </w:r>
            <w:r w:rsidRPr="0074195F">
              <w:rPr>
                <w:rFonts w:eastAsia="SimSun"/>
                <w:vertAlign w:val="superscript"/>
              </w:rPr>
              <w:t>2</w:t>
            </w:r>
          </w:p>
        </w:tc>
        <w:tc>
          <w:tcPr>
            <w:tcW w:w="1559" w:type="dxa"/>
            <w:vAlign w:val="center"/>
          </w:tcPr>
          <w:p w14:paraId="02EB4278" w14:textId="77777777" w:rsidR="008143D9" w:rsidRPr="00AC3044" w:rsidRDefault="008143D9" w:rsidP="005A428D">
            <w:pPr>
              <w:rPr>
                <w:rFonts w:eastAsia="SimSun"/>
              </w:rPr>
            </w:pPr>
            <w:r w:rsidRPr="00AC3044">
              <w:rPr>
                <w:rFonts w:eastAsia="SimSun"/>
              </w:rPr>
              <w:t>С –7 по –2 день</w:t>
            </w:r>
          </w:p>
        </w:tc>
        <w:tc>
          <w:tcPr>
            <w:tcW w:w="2410" w:type="dxa"/>
            <w:vAlign w:val="center"/>
          </w:tcPr>
          <w:p w14:paraId="1661B669"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67D9802D" w14:textId="77777777" w:rsidTr="005A428D">
        <w:trPr>
          <w:cantSplit/>
          <w:trHeight w:val="606"/>
        </w:trPr>
        <w:tc>
          <w:tcPr>
            <w:tcW w:w="1103" w:type="dxa"/>
            <w:vMerge/>
            <w:textDirection w:val="btLr"/>
            <w:vAlign w:val="center"/>
          </w:tcPr>
          <w:p w14:paraId="2DB84D8D" w14:textId="77777777" w:rsidR="008143D9" w:rsidRPr="00AC3044" w:rsidRDefault="008143D9" w:rsidP="005A428D">
            <w:pPr>
              <w:rPr>
                <w:rFonts w:eastAsia="SimSun"/>
              </w:rPr>
            </w:pPr>
          </w:p>
        </w:tc>
        <w:tc>
          <w:tcPr>
            <w:tcW w:w="1559" w:type="dxa"/>
            <w:vAlign w:val="center"/>
          </w:tcPr>
          <w:p w14:paraId="1283D558" w14:textId="77777777" w:rsidR="008143D9" w:rsidRPr="00AC3044" w:rsidRDefault="008143D9" w:rsidP="005A428D">
            <w:pPr>
              <w:rPr>
                <w:rFonts w:eastAsia="SimSun"/>
              </w:rPr>
            </w:pPr>
            <w:r w:rsidRPr="00AC3044">
              <w:rPr>
                <w:rFonts w:eastAsia="SimSun"/>
              </w:rPr>
              <w:t>Бусульфан</w:t>
            </w:r>
          </w:p>
        </w:tc>
        <w:tc>
          <w:tcPr>
            <w:tcW w:w="1418" w:type="dxa"/>
            <w:vAlign w:val="center"/>
          </w:tcPr>
          <w:p w14:paraId="669C5082" w14:textId="77777777" w:rsidR="008143D9" w:rsidRPr="00AC3044" w:rsidRDefault="008143D9" w:rsidP="005A428D">
            <w:pPr>
              <w:rPr>
                <w:rFonts w:eastAsia="SimSun"/>
              </w:rPr>
            </w:pPr>
            <w:r w:rsidRPr="00AC3044">
              <w:rPr>
                <w:rFonts w:eastAsia="SimSun"/>
              </w:rPr>
              <w:t>4 мг/кг</w:t>
            </w:r>
          </w:p>
        </w:tc>
        <w:tc>
          <w:tcPr>
            <w:tcW w:w="1559" w:type="dxa"/>
            <w:vAlign w:val="center"/>
          </w:tcPr>
          <w:p w14:paraId="15C96644" w14:textId="77777777" w:rsidR="008143D9" w:rsidRPr="00AC3044" w:rsidRDefault="008143D9" w:rsidP="005A428D">
            <w:pPr>
              <w:rPr>
                <w:rFonts w:eastAsia="SimSun"/>
              </w:rPr>
            </w:pPr>
            <w:r w:rsidRPr="00AC3044">
              <w:rPr>
                <w:rFonts w:eastAsia="SimSun"/>
              </w:rPr>
              <w:t>8 мг/кг</w:t>
            </w:r>
          </w:p>
        </w:tc>
        <w:tc>
          <w:tcPr>
            <w:tcW w:w="1559" w:type="dxa"/>
            <w:vAlign w:val="center"/>
          </w:tcPr>
          <w:p w14:paraId="6A650CC7" w14:textId="77777777" w:rsidR="008143D9" w:rsidRPr="00AC3044" w:rsidRDefault="008143D9" w:rsidP="005A428D">
            <w:pPr>
              <w:rPr>
                <w:rFonts w:eastAsia="SimSun"/>
              </w:rPr>
            </w:pPr>
            <w:r w:rsidRPr="00AC3044">
              <w:rPr>
                <w:rFonts w:eastAsia="SimSun"/>
              </w:rPr>
              <w:t>–3, –2 дни</w:t>
            </w:r>
          </w:p>
        </w:tc>
        <w:tc>
          <w:tcPr>
            <w:tcW w:w="2410" w:type="dxa"/>
            <w:vAlign w:val="center"/>
          </w:tcPr>
          <w:p w14:paraId="41A81279" w14:textId="77777777" w:rsidR="008143D9" w:rsidRPr="00AC3044" w:rsidRDefault="008143D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8143D9" w:rsidRPr="00AC3044" w14:paraId="16C6C21D" w14:textId="77777777" w:rsidTr="005A428D">
        <w:trPr>
          <w:cantSplit/>
          <w:trHeight w:val="20"/>
        </w:trPr>
        <w:tc>
          <w:tcPr>
            <w:tcW w:w="1103" w:type="dxa"/>
            <w:vMerge w:val="restart"/>
            <w:textDirection w:val="btLr"/>
            <w:vAlign w:val="center"/>
          </w:tcPr>
          <w:p w14:paraId="1E171E7C" w14:textId="77777777" w:rsidR="008143D9" w:rsidRPr="00AC3044" w:rsidRDefault="008143D9" w:rsidP="005A428D">
            <w:pPr>
              <w:rPr>
                <w:rFonts w:eastAsia="SimSun"/>
              </w:rPr>
            </w:pPr>
            <w:r w:rsidRPr="00AC3044">
              <w:rPr>
                <w:rFonts w:eastAsia="SimSun"/>
              </w:rPr>
              <w:t>Профилактика РТПХ</w:t>
            </w:r>
          </w:p>
        </w:tc>
        <w:tc>
          <w:tcPr>
            <w:tcW w:w="1559" w:type="dxa"/>
            <w:vAlign w:val="center"/>
          </w:tcPr>
          <w:p w14:paraId="77F9303E" w14:textId="77777777" w:rsidR="008143D9" w:rsidRPr="00AC3044" w:rsidRDefault="008143D9" w:rsidP="005A428D">
            <w:pPr>
              <w:rPr>
                <w:rFonts w:eastAsia="SimSun"/>
              </w:rPr>
            </w:pPr>
            <w:r w:rsidRPr="00AC3044">
              <w:rPr>
                <w:rFonts w:eastAsia="SimSun"/>
              </w:rPr>
              <w:t>Циклоспорин</w:t>
            </w:r>
          </w:p>
        </w:tc>
        <w:tc>
          <w:tcPr>
            <w:tcW w:w="1418" w:type="dxa"/>
            <w:vAlign w:val="center"/>
          </w:tcPr>
          <w:p w14:paraId="2DBCB961" w14:textId="77777777" w:rsidR="008143D9" w:rsidRPr="00AC3044" w:rsidRDefault="008143D9" w:rsidP="005A428D">
            <w:pPr>
              <w:rPr>
                <w:rFonts w:eastAsia="SimSun"/>
              </w:rPr>
            </w:pPr>
            <w:r w:rsidRPr="00AC3044">
              <w:rPr>
                <w:rFonts w:eastAsia="SimSun"/>
              </w:rPr>
              <w:t>3 мг/кг</w:t>
            </w:r>
          </w:p>
        </w:tc>
        <w:tc>
          <w:tcPr>
            <w:tcW w:w="1559" w:type="dxa"/>
            <w:vAlign w:val="center"/>
          </w:tcPr>
          <w:p w14:paraId="3C2085A5" w14:textId="77777777" w:rsidR="008143D9" w:rsidRPr="00AC3044" w:rsidRDefault="008143D9" w:rsidP="005A428D">
            <w:pPr>
              <w:rPr>
                <w:rFonts w:eastAsia="SimSun"/>
              </w:rPr>
            </w:pPr>
            <w:r w:rsidRPr="00AC3044">
              <w:rPr>
                <w:rFonts w:eastAsia="SimSun"/>
              </w:rPr>
              <w:t>–</w:t>
            </w:r>
          </w:p>
        </w:tc>
        <w:tc>
          <w:tcPr>
            <w:tcW w:w="1559" w:type="dxa"/>
            <w:vAlign w:val="center"/>
          </w:tcPr>
          <w:p w14:paraId="46B3E8C0" w14:textId="77777777" w:rsidR="008143D9" w:rsidRPr="00AC3044" w:rsidRDefault="008143D9" w:rsidP="005A428D">
            <w:pPr>
              <w:rPr>
                <w:rFonts w:eastAsia="SimSun"/>
              </w:rPr>
            </w:pPr>
            <w:r w:rsidRPr="00AC3044">
              <w:rPr>
                <w:rFonts w:eastAsia="SimSun"/>
              </w:rPr>
              <w:t>С +5 по +90 день, затем постепенное снижение к +180 дню</w:t>
            </w:r>
          </w:p>
        </w:tc>
        <w:tc>
          <w:tcPr>
            <w:tcW w:w="2410" w:type="dxa"/>
            <w:vAlign w:val="center"/>
          </w:tcPr>
          <w:p w14:paraId="7EF4F778" w14:textId="77777777" w:rsidR="008143D9" w:rsidRPr="00AC3044" w:rsidRDefault="008143D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8143D9" w:rsidRPr="00AC3044" w14:paraId="59117FB5" w14:textId="77777777" w:rsidTr="005A428D">
        <w:trPr>
          <w:cantSplit/>
          <w:trHeight w:val="20"/>
        </w:trPr>
        <w:tc>
          <w:tcPr>
            <w:tcW w:w="1103" w:type="dxa"/>
            <w:vMerge/>
          </w:tcPr>
          <w:p w14:paraId="62118E67" w14:textId="77777777" w:rsidR="008143D9" w:rsidRPr="00AC3044" w:rsidRDefault="008143D9" w:rsidP="005A428D">
            <w:pPr>
              <w:rPr>
                <w:rFonts w:eastAsia="SimSun"/>
              </w:rPr>
            </w:pPr>
          </w:p>
        </w:tc>
        <w:tc>
          <w:tcPr>
            <w:tcW w:w="1559" w:type="dxa"/>
            <w:vAlign w:val="center"/>
          </w:tcPr>
          <w:p w14:paraId="5690E447" w14:textId="77777777" w:rsidR="008143D9" w:rsidRPr="00AC3044" w:rsidRDefault="008143D9" w:rsidP="005A428D">
            <w:pPr>
              <w:rPr>
                <w:rFonts w:eastAsia="SimSun"/>
              </w:rPr>
            </w:pPr>
            <w:r w:rsidRPr="00AC3044">
              <w:rPr>
                <w:rFonts w:eastAsia="SimSun"/>
              </w:rPr>
              <w:t>Микофенолата мофетил</w:t>
            </w:r>
          </w:p>
        </w:tc>
        <w:tc>
          <w:tcPr>
            <w:tcW w:w="1418" w:type="dxa"/>
            <w:vAlign w:val="center"/>
          </w:tcPr>
          <w:p w14:paraId="0F924FFD" w14:textId="77777777" w:rsidR="008143D9" w:rsidRPr="00AC3044" w:rsidRDefault="008143D9" w:rsidP="005A428D">
            <w:pPr>
              <w:rPr>
                <w:rFonts w:eastAsia="SimSun"/>
              </w:rPr>
            </w:pPr>
            <w:r w:rsidRPr="00AC3044">
              <w:rPr>
                <w:rFonts w:eastAsia="SimSun"/>
              </w:rPr>
              <w:t>45 мг/кг</w:t>
            </w:r>
          </w:p>
        </w:tc>
        <w:tc>
          <w:tcPr>
            <w:tcW w:w="1559" w:type="dxa"/>
            <w:vAlign w:val="center"/>
          </w:tcPr>
          <w:p w14:paraId="7B13485E" w14:textId="77777777" w:rsidR="008143D9" w:rsidRPr="00AC3044" w:rsidRDefault="008143D9" w:rsidP="005A428D">
            <w:pPr>
              <w:rPr>
                <w:rFonts w:eastAsia="SimSun"/>
              </w:rPr>
            </w:pPr>
            <w:r w:rsidRPr="00AC3044">
              <w:rPr>
                <w:rFonts w:eastAsia="SimSun"/>
              </w:rPr>
              <w:t>–</w:t>
            </w:r>
          </w:p>
        </w:tc>
        <w:tc>
          <w:tcPr>
            <w:tcW w:w="1559" w:type="dxa"/>
            <w:vAlign w:val="center"/>
          </w:tcPr>
          <w:p w14:paraId="2DCC257A" w14:textId="77777777" w:rsidR="008143D9" w:rsidRPr="00AC3044" w:rsidRDefault="008143D9" w:rsidP="005A428D">
            <w:pPr>
              <w:rPr>
                <w:rFonts w:eastAsia="SimSun"/>
              </w:rPr>
            </w:pPr>
            <w:r w:rsidRPr="00AC3044">
              <w:rPr>
                <w:rFonts w:eastAsia="SimSun"/>
              </w:rPr>
              <w:t>С +5 по +90 день</w:t>
            </w:r>
          </w:p>
        </w:tc>
        <w:tc>
          <w:tcPr>
            <w:tcW w:w="2410" w:type="dxa"/>
            <w:vAlign w:val="center"/>
          </w:tcPr>
          <w:p w14:paraId="0BC67F62" w14:textId="77777777" w:rsidR="008143D9" w:rsidRPr="00AC3044" w:rsidRDefault="008143D9" w:rsidP="005A428D">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8143D9" w:rsidRPr="00AC3044" w14:paraId="628BEE95" w14:textId="77777777" w:rsidTr="005A428D">
        <w:trPr>
          <w:cantSplit/>
          <w:trHeight w:val="464"/>
        </w:trPr>
        <w:tc>
          <w:tcPr>
            <w:tcW w:w="1103" w:type="dxa"/>
            <w:vMerge/>
          </w:tcPr>
          <w:p w14:paraId="0F5D29EF" w14:textId="77777777" w:rsidR="008143D9" w:rsidRPr="00AC3044" w:rsidRDefault="008143D9" w:rsidP="005A428D">
            <w:pPr>
              <w:rPr>
                <w:rFonts w:eastAsia="SimSun"/>
              </w:rPr>
            </w:pPr>
          </w:p>
        </w:tc>
        <w:tc>
          <w:tcPr>
            <w:tcW w:w="1559" w:type="dxa"/>
            <w:vAlign w:val="center"/>
          </w:tcPr>
          <w:p w14:paraId="041E6DE0" w14:textId="77777777" w:rsidR="008143D9" w:rsidRPr="00AC3044" w:rsidRDefault="008143D9" w:rsidP="005A428D">
            <w:pPr>
              <w:rPr>
                <w:rFonts w:eastAsia="SimSun"/>
              </w:rPr>
            </w:pPr>
            <w:r w:rsidRPr="00AC3044">
              <w:rPr>
                <w:rFonts w:eastAsia="SimSun"/>
              </w:rPr>
              <w:t>Циклофосфамид</w:t>
            </w:r>
          </w:p>
        </w:tc>
        <w:tc>
          <w:tcPr>
            <w:tcW w:w="1418" w:type="dxa"/>
            <w:vAlign w:val="center"/>
          </w:tcPr>
          <w:p w14:paraId="1E69D8C2" w14:textId="77777777" w:rsidR="008143D9" w:rsidRPr="00AC3044" w:rsidRDefault="008143D9" w:rsidP="005A428D">
            <w:pPr>
              <w:rPr>
                <w:rFonts w:eastAsia="SimSun"/>
              </w:rPr>
            </w:pPr>
            <w:r w:rsidRPr="00AC3044">
              <w:rPr>
                <w:rFonts w:eastAsia="SimSun"/>
              </w:rPr>
              <w:t>50 мг/кг</w:t>
            </w:r>
          </w:p>
        </w:tc>
        <w:tc>
          <w:tcPr>
            <w:tcW w:w="1559" w:type="dxa"/>
            <w:vAlign w:val="center"/>
          </w:tcPr>
          <w:p w14:paraId="5DAD4EA9" w14:textId="77777777" w:rsidR="008143D9" w:rsidRPr="00AC3044" w:rsidRDefault="008143D9" w:rsidP="005A428D">
            <w:pPr>
              <w:rPr>
                <w:rFonts w:eastAsia="SimSun"/>
              </w:rPr>
            </w:pPr>
            <w:r w:rsidRPr="00AC3044">
              <w:rPr>
                <w:rFonts w:eastAsia="SimSun"/>
              </w:rPr>
              <w:t>100 мг/кг</w:t>
            </w:r>
          </w:p>
        </w:tc>
        <w:tc>
          <w:tcPr>
            <w:tcW w:w="1559" w:type="dxa"/>
            <w:vAlign w:val="center"/>
          </w:tcPr>
          <w:p w14:paraId="5CAF8E79" w14:textId="77777777" w:rsidR="008143D9" w:rsidRPr="00AC3044" w:rsidRDefault="008143D9" w:rsidP="005A428D">
            <w:pPr>
              <w:rPr>
                <w:rFonts w:eastAsia="SimSun"/>
              </w:rPr>
            </w:pPr>
            <w:r w:rsidRPr="00AC3044">
              <w:rPr>
                <w:rFonts w:eastAsia="SimSun"/>
              </w:rPr>
              <w:t xml:space="preserve">+3, +4 дни </w:t>
            </w:r>
          </w:p>
        </w:tc>
        <w:tc>
          <w:tcPr>
            <w:tcW w:w="2410" w:type="dxa"/>
            <w:vAlign w:val="center"/>
          </w:tcPr>
          <w:p w14:paraId="55F99312" w14:textId="77777777" w:rsidR="008143D9" w:rsidRPr="00AC3044" w:rsidRDefault="008143D9" w:rsidP="005A428D">
            <w:pPr>
              <w:rPr>
                <w:rFonts w:eastAsia="SimSun"/>
              </w:rPr>
            </w:pPr>
            <w:r w:rsidRPr="00AC3044">
              <w:rPr>
                <w:rFonts w:eastAsia="SimSun"/>
              </w:rPr>
              <w:t>В/в, в течение 2 часов</w:t>
            </w:r>
          </w:p>
        </w:tc>
      </w:tr>
    </w:tbl>
    <w:p w14:paraId="2D4CAA30" w14:textId="77777777" w:rsidR="008143D9" w:rsidRDefault="008143D9" w:rsidP="008143D9">
      <w:pPr>
        <w:rPr>
          <w:rFonts w:eastAsia="SimSun"/>
        </w:rPr>
      </w:pPr>
      <w:bookmarkStart w:id="189" w:name="_Toc44401231"/>
    </w:p>
    <w:p w14:paraId="7129C807" w14:textId="77777777" w:rsidR="008143D9" w:rsidRPr="00C07B2E" w:rsidRDefault="008143D9" w:rsidP="008143D9">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3.1.6  – Flu180+Bu8 / PT-Cy+Tx+MMF45</w:t>
      </w:r>
      <w:bookmarkEnd w:id="189"/>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8143D9" w:rsidRPr="00AC3044" w14:paraId="0EE08BEE" w14:textId="77777777" w:rsidTr="005A428D">
        <w:trPr>
          <w:cantSplit/>
          <w:trHeight w:val="20"/>
          <w:tblHeader/>
        </w:trPr>
        <w:tc>
          <w:tcPr>
            <w:tcW w:w="1135" w:type="dxa"/>
            <w:vAlign w:val="center"/>
          </w:tcPr>
          <w:p w14:paraId="6AEBB784" w14:textId="77777777" w:rsidR="008143D9" w:rsidRPr="006A5E21" w:rsidRDefault="008143D9" w:rsidP="005A428D">
            <w:pPr>
              <w:rPr>
                <w:rFonts w:eastAsia="SimSun"/>
              </w:rPr>
            </w:pPr>
          </w:p>
        </w:tc>
        <w:tc>
          <w:tcPr>
            <w:tcW w:w="1559" w:type="dxa"/>
            <w:vAlign w:val="center"/>
          </w:tcPr>
          <w:p w14:paraId="6FEC3045" w14:textId="77777777" w:rsidR="008143D9" w:rsidRPr="00AC3044" w:rsidRDefault="008143D9" w:rsidP="005A428D">
            <w:pPr>
              <w:rPr>
                <w:rFonts w:eastAsia="SimSun"/>
              </w:rPr>
            </w:pPr>
            <w:r w:rsidRPr="00AC3044">
              <w:rPr>
                <w:rFonts w:eastAsia="SimSun"/>
              </w:rPr>
              <w:t>Препарат</w:t>
            </w:r>
          </w:p>
        </w:tc>
        <w:tc>
          <w:tcPr>
            <w:tcW w:w="1418" w:type="dxa"/>
            <w:vAlign w:val="center"/>
          </w:tcPr>
          <w:p w14:paraId="5304C7DE" w14:textId="77777777" w:rsidR="008143D9" w:rsidRPr="00AC3044" w:rsidRDefault="008143D9" w:rsidP="005A428D">
            <w:pPr>
              <w:rPr>
                <w:rFonts w:eastAsia="SimSun"/>
              </w:rPr>
            </w:pPr>
            <w:r w:rsidRPr="00AC3044">
              <w:rPr>
                <w:rFonts w:eastAsia="SimSun"/>
              </w:rPr>
              <w:t>Суточная доза</w:t>
            </w:r>
          </w:p>
        </w:tc>
        <w:tc>
          <w:tcPr>
            <w:tcW w:w="1559" w:type="dxa"/>
            <w:vAlign w:val="center"/>
          </w:tcPr>
          <w:p w14:paraId="797472C6" w14:textId="77777777" w:rsidR="008143D9" w:rsidRPr="00AC3044" w:rsidRDefault="008143D9" w:rsidP="005A428D">
            <w:pPr>
              <w:rPr>
                <w:rFonts w:eastAsia="SimSun"/>
              </w:rPr>
            </w:pPr>
            <w:r w:rsidRPr="00AC3044">
              <w:rPr>
                <w:rFonts w:eastAsia="SimSun"/>
              </w:rPr>
              <w:t>Курсовая доза</w:t>
            </w:r>
          </w:p>
        </w:tc>
        <w:tc>
          <w:tcPr>
            <w:tcW w:w="1559" w:type="dxa"/>
            <w:vAlign w:val="center"/>
          </w:tcPr>
          <w:p w14:paraId="0364220D" w14:textId="77777777" w:rsidR="008143D9" w:rsidRPr="00AC3044" w:rsidRDefault="008143D9" w:rsidP="005A428D">
            <w:pPr>
              <w:rPr>
                <w:rFonts w:eastAsia="SimSun"/>
              </w:rPr>
            </w:pPr>
            <w:r w:rsidRPr="00AC3044">
              <w:rPr>
                <w:rFonts w:eastAsia="SimSun"/>
              </w:rPr>
              <w:t>Дни введения</w:t>
            </w:r>
          </w:p>
        </w:tc>
        <w:tc>
          <w:tcPr>
            <w:tcW w:w="2410" w:type="dxa"/>
            <w:vAlign w:val="center"/>
          </w:tcPr>
          <w:p w14:paraId="337AF39D"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5857FE55" w14:textId="77777777" w:rsidTr="005A428D">
        <w:trPr>
          <w:cantSplit/>
          <w:trHeight w:val="20"/>
        </w:trPr>
        <w:tc>
          <w:tcPr>
            <w:tcW w:w="1135" w:type="dxa"/>
            <w:vMerge w:val="restart"/>
            <w:textDirection w:val="btLr"/>
            <w:vAlign w:val="center"/>
          </w:tcPr>
          <w:p w14:paraId="5764DE49" w14:textId="77777777" w:rsidR="008143D9" w:rsidRPr="00AC3044" w:rsidRDefault="008143D9" w:rsidP="005A428D">
            <w:pPr>
              <w:rPr>
                <w:rFonts w:eastAsia="SimSun"/>
              </w:rPr>
            </w:pPr>
            <w:r w:rsidRPr="00AC3044">
              <w:rPr>
                <w:rFonts w:eastAsia="SimSun"/>
              </w:rPr>
              <w:t>Кондиционирование</w:t>
            </w:r>
          </w:p>
        </w:tc>
        <w:tc>
          <w:tcPr>
            <w:tcW w:w="1559" w:type="dxa"/>
            <w:vAlign w:val="center"/>
          </w:tcPr>
          <w:p w14:paraId="53B07288" w14:textId="77777777" w:rsidR="008143D9" w:rsidRPr="00AC3044" w:rsidRDefault="008143D9" w:rsidP="005A428D">
            <w:pPr>
              <w:rPr>
                <w:rFonts w:eastAsia="SimSun"/>
              </w:rPr>
            </w:pPr>
            <w:r w:rsidRPr="00AC3044">
              <w:rPr>
                <w:rFonts w:eastAsia="SimSun"/>
              </w:rPr>
              <w:t xml:space="preserve">Флударабин </w:t>
            </w:r>
          </w:p>
        </w:tc>
        <w:tc>
          <w:tcPr>
            <w:tcW w:w="1418" w:type="dxa"/>
            <w:vAlign w:val="center"/>
          </w:tcPr>
          <w:p w14:paraId="3326A758" w14:textId="77777777" w:rsidR="008143D9" w:rsidRPr="00AC3044" w:rsidRDefault="008143D9" w:rsidP="005A428D">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6CEEAFEF" w14:textId="77777777" w:rsidR="008143D9" w:rsidRPr="00AC3044" w:rsidRDefault="008143D9" w:rsidP="005A428D">
            <w:pPr>
              <w:rPr>
                <w:rFonts w:eastAsia="SimSun"/>
              </w:rPr>
            </w:pPr>
            <w:r w:rsidRPr="00AC3044">
              <w:rPr>
                <w:rFonts w:eastAsia="SimSun"/>
              </w:rPr>
              <w:t>180 мг/м</w:t>
            </w:r>
            <w:r w:rsidRPr="0074195F">
              <w:rPr>
                <w:rFonts w:eastAsia="SimSun"/>
                <w:vertAlign w:val="superscript"/>
              </w:rPr>
              <w:t>2</w:t>
            </w:r>
          </w:p>
        </w:tc>
        <w:tc>
          <w:tcPr>
            <w:tcW w:w="1559" w:type="dxa"/>
            <w:vAlign w:val="center"/>
          </w:tcPr>
          <w:p w14:paraId="1BE06348" w14:textId="77777777" w:rsidR="008143D9" w:rsidRPr="00AC3044" w:rsidRDefault="008143D9" w:rsidP="005A428D">
            <w:pPr>
              <w:rPr>
                <w:rFonts w:eastAsia="SimSun"/>
              </w:rPr>
            </w:pPr>
            <w:r w:rsidRPr="00AC3044">
              <w:rPr>
                <w:rFonts w:eastAsia="SimSun"/>
              </w:rPr>
              <w:t>С -7 дня по -2 день</w:t>
            </w:r>
          </w:p>
        </w:tc>
        <w:tc>
          <w:tcPr>
            <w:tcW w:w="2410" w:type="dxa"/>
            <w:vAlign w:val="center"/>
          </w:tcPr>
          <w:p w14:paraId="0A4D7396"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18673D24" w14:textId="77777777" w:rsidTr="005A428D">
        <w:trPr>
          <w:cantSplit/>
          <w:trHeight w:val="436"/>
        </w:trPr>
        <w:tc>
          <w:tcPr>
            <w:tcW w:w="1135" w:type="dxa"/>
            <w:vMerge/>
            <w:vAlign w:val="center"/>
          </w:tcPr>
          <w:p w14:paraId="42C4EF9A" w14:textId="77777777" w:rsidR="008143D9" w:rsidRPr="00AC3044" w:rsidRDefault="008143D9" w:rsidP="005A428D">
            <w:pPr>
              <w:rPr>
                <w:rFonts w:eastAsia="SimSun"/>
              </w:rPr>
            </w:pPr>
          </w:p>
        </w:tc>
        <w:tc>
          <w:tcPr>
            <w:tcW w:w="1559" w:type="dxa"/>
            <w:vAlign w:val="center"/>
          </w:tcPr>
          <w:p w14:paraId="1828AFEE" w14:textId="77777777" w:rsidR="008143D9" w:rsidRPr="00AC3044" w:rsidRDefault="008143D9" w:rsidP="005A428D">
            <w:pPr>
              <w:rPr>
                <w:rFonts w:eastAsia="SimSun"/>
              </w:rPr>
            </w:pPr>
            <w:r w:rsidRPr="00AC3044">
              <w:rPr>
                <w:rFonts w:eastAsia="SimSun"/>
              </w:rPr>
              <w:t>Бусульфан</w:t>
            </w:r>
          </w:p>
        </w:tc>
        <w:tc>
          <w:tcPr>
            <w:tcW w:w="1418" w:type="dxa"/>
            <w:vAlign w:val="center"/>
          </w:tcPr>
          <w:p w14:paraId="6BF1EDCA" w14:textId="77777777" w:rsidR="008143D9" w:rsidRPr="00AC3044" w:rsidRDefault="008143D9" w:rsidP="005A428D">
            <w:pPr>
              <w:rPr>
                <w:rFonts w:eastAsia="SimSun"/>
              </w:rPr>
            </w:pPr>
            <w:r w:rsidRPr="00AC3044">
              <w:rPr>
                <w:rFonts w:eastAsia="SimSun"/>
              </w:rPr>
              <w:t xml:space="preserve">4 мг/кг </w:t>
            </w:r>
          </w:p>
        </w:tc>
        <w:tc>
          <w:tcPr>
            <w:tcW w:w="1559" w:type="dxa"/>
            <w:vAlign w:val="center"/>
          </w:tcPr>
          <w:p w14:paraId="3B3C3E4B" w14:textId="77777777" w:rsidR="008143D9" w:rsidRPr="00AC3044" w:rsidRDefault="008143D9" w:rsidP="005A428D">
            <w:pPr>
              <w:rPr>
                <w:rFonts w:eastAsia="SimSun"/>
              </w:rPr>
            </w:pPr>
            <w:r w:rsidRPr="00AC3044">
              <w:rPr>
                <w:rFonts w:eastAsia="SimSun"/>
              </w:rPr>
              <w:t xml:space="preserve">8 мг/кг </w:t>
            </w:r>
          </w:p>
        </w:tc>
        <w:tc>
          <w:tcPr>
            <w:tcW w:w="1559" w:type="dxa"/>
            <w:vAlign w:val="center"/>
          </w:tcPr>
          <w:p w14:paraId="112E89E8" w14:textId="77777777" w:rsidR="008143D9" w:rsidRPr="00AC3044" w:rsidRDefault="008143D9" w:rsidP="005A428D">
            <w:pPr>
              <w:rPr>
                <w:rFonts w:eastAsia="SimSun"/>
              </w:rPr>
            </w:pPr>
            <w:r w:rsidRPr="00AC3044">
              <w:rPr>
                <w:rFonts w:eastAsia="SimSun"/>
              </w:rPr>
              <w:t>С -4 дня по -3 день</w:t>
            </w:r>
          </w:p>
        </w:tc>
        <w:tc>
          <w:tcPr>
            <w:tcW w:w="2410" w:type="dxa"/>
            <w:vAlign w:val="center"/>
          </w:tcPr>
          <w:p w14:paraId="416D47C6" w14:textId="77777777" w:rsidR="008143D9" w:rsidRPr="00AC3044" w:rsidRDefault="008143D9" w:rsidP="005A428D">
            <w:pPr>
              <w:rPr>
                <w:rFonts w:eastAsia="SimSun"/>
              </w:rPr>
            </w:pPr>
            <w:r w:rsidRPr="00AC3044">
              <w:rPr>
                <w:rFonts w:eastAsia="SimSun"/>
              </w:rPr>
              <w:t xml:space="preserve">Внутрь, суммарная суточная доза разделяется на 4 приема с интервалом 6 часов. </w:t>
            </w:r>
          </w:p>
        </w:tc>
      </w:tr>
      <w:tr w:rsidR="008143D9" w:rsidRPr="00AC3044" w14:paraId="4812089A" w14:textId="77777777" w:rsidTr="005A428D">
        <w:trPr>
          <w:cantSplit/>
          <w:trHeight w:val="416"/>
        </w:trPr>
        <w:tc>
          <w:tcPr>
            <w:tcW w:w="1135" w:type="dxa"/>
            <w:vMerge w:val="restart"/>
            <w:textDirection w:val="btLr"/>
            <w:vAlign w:val="center"/>
          </w:tcPr>
          <w:p w14:paraId="4BA1491F" w14:textId="77777777" w:rsidR="008143D9" w:rsidRPr="00AC3044" w:rsidRDefault="008143D9" w:rsidP="005A428D">
            <w:pPr>
              <w:rPr>
                <w:rFonts w:eastAsia="SimSun"/>
              </w:rPr>
            </w:pPr>
            <w:r w:rsidRPr="00AC3044">
              <w:rPr>
                <w:rFonts w:eastAsia="SimSun"/>
              </w:rPr>
              <w:t>Профилактика РТПХ</w:t>
            </w:r>
          </w:p>
        </w:tc>
        <w:tc>
          <w:tcPr>
            <w:tcW w:w="1559" w:type="dxa"/>
            <w:vAlign w:val="center"/>
          </w:tcPr>
          <w:p w14:paraId="057F0933" w14:textId="77777777" w:rsidR="008143D9" w:rsidRPr="00AC3044" w:rsidRDefault="008143D9" w:rsidP="005A428D">
            <w:pPr>
              <w:rPr>
                <w:rFonts w:eastAsia="SimSun"/>
              </w:rPr>
            </w:pPr>
            <w:r w:rsidRPr="00AC3044">
              <w:rPr>
                <w:rFonts w:eastAsia="SimSun"/>
              </w:rPr>
              <w:t>Циклофосфамид</w:t>
            </w:r>
          </w:p>
        </w:tc>
        <w:tc>
          <w:tcPr>
            <w:tcW w:w="1418" w:type="dxa"/>
            <w:vAlign w:val="center"/>
          </w:tcPr>
          <w:p w14:paraId="7590A252" w14:textId="77777777" w:rsidR="008143D9" w:rsidRPr="00AC3044" w:rsidRDefault="008143D9" w:rsidP="005A428D">
            <w:pPr>
              <w:rPr>
                <w:rFonts w:eastAsia="SimSun"/>
              </w:rPr>
            </w:pPr>
            <w:r w:rsidRPr="00AC3044">
              <w:rPr>
                <w:rFonts w:eastAsia="SimSun"/>
              </w:rPr>
              <w:t>50 мг/кг</w:t>
            </w:r>
          </w:p>
        </w:tc>
        <w:tc>
          <w:tcPr>
            <w:tcW w:w="1559" w:type="dxa"/>
            <w:vAlign w:val="center"/>
          </w:tcPr>
          <w:p w14:paraId="48B017DA" w14:textId="77777777" w:rsidR="008143D9" w:rsidRPr="00AC3044" w:rsidRDefault="008143D9" w:rsidP="005A428D">
            <w:pPr>
              <w:rPr>
                <w:rFonts w:eastAsia="SimSun"/>
              </w:rPr>
            </w:pPr>
            <w:r w:rsidRPr="00AC3044">
              <w:rPr>
                <w:rFonts w:eastAsia="SimSun"/>
              </w:rPr>
              <w:t>100 мг/кг</w:t>
            </w:r>
          </w:p>
        </w:tc>
        <w:tc>
          <w:tcPr>
            <w:tcW w:w="1559" w:type="dxa"/>
            <w:vAlign w:val="center"/>
          </w:tcPr>
          <w:p w14:paraId="268FEDF9" w14:textId="77777777" w:rsidR="008143D9" w:rsidRPr="00AC3044" w:rsidRDefault="008143D9" w:rsidP="005A428D">
            <w:pPr>
              <w:rPr>
                <w:rFonts w:eastAsia="SimSun"/>
              </w:rPr>
            </w:pPr>
            <w:r w:rsidRPr="00AC3044">
              <w:rPr>
                <w:rFonts w:eastAsia="SimSun"/>
              </w:rPr>
              <w:t>С +3 дня по +4 день</w:t>
            </w:r>
          </w:p>
        </w:tc>
        <w:tc>
          <w:tcPr>
            <w:tcW w:w="2410" w:type="dxa"/>
            <w:vAlign w:val="center"/>
          </w:tcPr>
          <w:p w14:paraId="7AA932E2" w14:textId="77777777" w:rsidR="008143D9" w:rsidRPr="00AC3044" w:rsidRDefault="008143D9" w:rsidP="005A428D">
            <w:pPr>
              <w:rPr>
                <w:rFonts w:eastAsia="SimSun"/>
              </w:rPr>
            </w:pPr>
            <w:r w:rsidRPr="00AC3044">
              <w:rPr>
                <w:rFonts w:eastAsia="SimSun"/>
              </w:rPr>
              <w:t>В/в, в течение 2 часов</w:t>
            </w:r>
          </w:p>
        </w:tc>
      </w:tr>
      <w:tr w:rsidR="008143D9" w:rsidRPr="00AC3044" w14:paraId="2D901064" w14:textId="77777777" w:rsidTr="005A428D">
        <w:trPr>
          <w:cantSplit/>
          <w:trHeight w:val="958"/>
        </w:trPr>
        <w:tc>
          <w:tcPr>
            <w:tcW w:w="1135" w:type="dxa"/>
            <w:vMerge/>
            <w:textDirection w:val="btLr"/>
            <w:vAlign w:val="center"/>
          </w:tcPr>
          <w:p w14:paraId="76E0E990" w14:textId="77777777" w:rsidR="008143D9" w:rsidRPr="00AC3044" w:rsidRDefault="008143D9" w:rsidP="005A428D">
            <w:pPr>
              <w:rPr>
                <w:rFonts w:eastAsia="SimSun"/>
              </w:rPr>
            </w:pPr>
          </w:p>
        </w:tc>
        <w:tc>
          <w:tcPr>
            <w:tcW w:w="1559" w:type="dxa"/>
            <w:vAlign w:val="center"/>
          </w:tcPr>
          <w:p w14:paraId="2D6D2F8D" w14:textId="77777777" w:rsidR="008143D9" w:rsidRPr="00AC3044" w:rsidRDefault="008143D9" w:rsidP="005A428D">
            <w:pPr>
              <w:rPr>
                <w:rFonts w:eastAsia="SimSun"/>
              </w:rPr>
            </w:pPr>
            <w:r w:rsidRPr="00AC3044">
              <w:rPr>
                <w:rFonts w:eastAsia="SimSun"/>
              </w:rPr>
              <w:t xml:space="preserve">Такролимус </w:t>
            </w:r>
          </w:p>
        </w:tc>
        <w:tc>
          <w:tcPr>
            <w:tcW w:w="1418" w:type="dxa"/>
            <w:vAlign w:val="center"/>
          </w:tcPr>
          <w:p w14:paraId="50C5FFF9" w14:textId="77777777" w:rsidR="008143D9" w:rsidRPr="00AC3044" w:rsidRDefault="008143D9" w:rsidP="005A428D">
            <w:pPr>
              <w:rPr>
                <w:rFonts w:eastAsia="SimSun"/>
              </w:rPr>
            </w:pPr>
            <w:r w:rsidRPr="00AC3044">
              <w:rPr>
                <w:rFonts w:eastAsia="SimSun"/>
              </w:rPr>
              <w:t>0,03 мг/кг</w:t>
            </w:r>
          </w:p>
        </w:tc>
        <w:tc>
          <w:tcPr>
            <w:tcW w:w="1559" w:type="dxa"/>
            <w:vAlign w:val="center"/>
          </w:tcPr>
          <w:p w14:paraId="56F9E5CC" w14:textId="77777777" w:rsidR="008143D9" w:rsidRPr="00AC3044" w:rsidRDefault="008143D9" w:rsidP="005A428D">
            <w:pPr>
              <w:rPr>
                <w:rFonts w:eastAsia="SimSun"/>
              </w:rPr>
            </w:pPr>
            <w:r w:rsidRPr="00AC3044">
              <w:rPr>
                <w:rFonts w:eastAsia="SimSun"/>
              </w:rPr>
              <w:t>–</w:t>
            </w:r>
          </w:p>
        </w:tc>
        <w:tc>
          <w:tcPr>
            <w:tcW w:w="1559" w:type="dxa"/>
            <w:vAlign w:val="center"/>
          </w:tcPr>
          <w:p w14:paraId="4BF1A3FE" w14:textId="77777777" w:rsidR="008143D9" w:rsidRPr="00AC3044" w:rsidRDefault="008143D9" w:rsidP="005A428D">
            <w:pPr>
              <w:rPr>
                <w:rFonts w:eastAsia="SimSun"/>
              </w:rPr>
            </w:pPr>
            <w:r w:rsidRPr="00AC3044">
              <w:rPr>
                <w:rFonts w:eastAsia="SimSun"/>
              </w:rPr>
              <w:t xml:space="preserve">С +5 дня длительно </w:t>
            </w:r>
          </w:p>
        </w:tc>
        <w:tc>
          <w:tcPr>
            <w:tcW w:w="2410" w:type="dxa"/>
            <w:vAlign w:val="center"/>
          </w:tcPr>
          <w:p w14:paraId="102D1BCC" w14:textId="77777777" w:rsidR="008143D9" w:rsidRPr="00AC3044" w:rsidRDefault="008143D9" w:rsidP="005A428D">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8143D9" w:rsidRPr="00AC3044" w14:paraId="72AE5404" w14:textId="77777777" w:rsidTr="005A428D">
        <w:trPr>
          <w:cantSplit/>
          <w:trHeight w:val="508"/>
        </w:trPr>
        <w:tc>
          <w:tcPr>
            <w:tcW w:w="1135" w:type="dxa"/>
            <w:vMerge/>
            <w:textDirection w:val="btLr"/>
            <w:vAlign w:val="center"/>
          </w:tcPr>
          <w:p w14:paraId="0AD19769" w14:textId="77777777" w:rsidR="008143D9" w:rsidRPr="00AC3044" w:rsidRDefault="008143D9" w:rsidP="005A428D">
            <w:pPr>
              <w:rPr>
                <w:rFonts w:eastAsia="SimSun"/>
              </w:rPr>
            </w:pPr>
          </w:p>
        </w:tc>
        <w:tc>
          <w:tcPr>
            <w:tcW w:w="1559" w:type="dxa"/>
            <w:vAlign w:val="center"/>
          </w:tcPr>
          <w:p w14:paraId="25AA4AC6" w14:textId="77777777" w:rsidR="008143D9" w:rsidRPr="00AC3044" w:rsidRDefault="008143D9" w:rsidP="005A428D">
            <w:pPr>
              <w:rPr>
                <w:rFonts w:eastAsia="SimSun"/>
              </w:rPr>
            </w:pPr>
            <w:r w:rsidRPr="00AC3044">
              <w:rPr>
                <w:rFonts w:eastAsia="SimSun"/>
              </w:rPr>
              <w:t>Микофенолата мофетил</w:t>
            </w:r>
          </w:p>
        </w:tc>
        <w:tc>
          <w:tcPr>
            <w:tcW w:w="1418" w:type="dxa"/>
            <w:vAlign w:val="center"/>
          </w:tcPr>
          <w:p w14:paraId="1103472E" w14:textId="77777777" w:rsidR="008143D9" w:rsidRPr="00AC3044" w:rsidRDefault="008143D9" w:rsidP="005A428D">
            <w:pPr>
              <w:rPr>
                <w:rFonts w:eastAsia="SimSun"/>
              </w:rPr>
            </w:pPr>
            <w:r w:rsidRPr="00AC3044">
              <w:rPr>
                <w:rFonts w:eastAsia="SimSun"/>
              </w:rPr>
              <w:t xml:space="preserve">45 мг/кг </w:t>
            </w:r>
          </w:p>
        </w:tc>
        <w:tc>
          <w:tcPr>
            <w:tcW w:w="1559" w:type="dxa"/>
            <w:vAlign w:val="center"/>
          </w:tcPr>
          <w:p w14:paraId="45CE5A7F" w14:textId="77777777" w:rsidR="008143D9" w:rsidRPr="00AC3044" w:rsidRDefault="008143D9" w:rsidP="005A428D">
            <w:pPr>
              <w:rPr>
                <w:rFonts w:eastAsia="SimSun"/>
              </w:rPr>
            </w:pPr>
            <w:r w:rsidRPr="00AC3044">
              <w:rPr>
                <w:rFonts w:eastAsia="SimSun"/>
              </w:rPr>
              <w:t>–</w:t>
            </w:r>
          </w:p>
        </w:tc>
        <w:tc>
          <w:tcPr>
            <w:tcW w:w="1559" w:type="dxa"/>
            <w:vAlign w:val="center"/>
          </w:tcPr>
          <w:p w14:paraId="1872891D" w14:textId="77777777" w:rsidR="008143D9" w:rsidRPr="00AC3044" w:rsidRDefault="008143D9" w:rsidP="005A428D">
            <w:pPr>
              <w:rPr>
                <w:rFonts w:eastAsia="SimSun"/>
              </w:rPr>
            </w:pPr>
            <w:r w:rsidRPr="00AC3044">
              <w:rPr>
                <w:rFonts w:eastAsia="SimSun"/>
              </w:rPr>
              <w:t xml:space="preserve">С +5 дня по +35 день </w:t>
            </w:r>
          </w:p>
        </w:tc>
        <w:tc>
          <w:tcPr>
            <w:tcW w:w="2410" w:type="dxa"/>
            <w:vAlign w:val="center"/>
          </w:tcPr>
          <w:p w14:paraId="7D02E23E" w14:textId="77777777" w:rsidR="008143D9" w:rsidRPr="00AC3044" w:rsidRDefault="008143D9" w:rsidP="005A428D">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24DA0215" w14:textId="77777777" w:rsidR="008143D9" w:rsidRDefault="008143D9" w:rsidP="008143D9">
      <w:pPr>
        <w:rPr>
          <w:rFonts w:eastAsia="SimSun"/>
        </w:rPr>
      </w:pPr>
      <w:bookmarkStart w:id="190" w:name="_Toc44401232"/>
    </w:p>
    <w:p w14:paraId="5A8EB75E" w14:textId="77777777" w:rsidR="008143D9" w:rsidRPr="00C07B2E" w:rsidRDefault="008143D9" w:rsidP="008143D9">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3.1.7  – Flu180+Bu10 / PT-Cy+Tx+MMF45</w:t>
      </w:r>
      <w:bookmarkEnd w:id="190"/>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8143D9" w:rsidRPr="00AC3044" w14:paraId="11304226" w14:textId="77777777" w:rsidTr="005A428D">
        <w:trPr>
          <w:cantSplit/>
          <w:trHeight w:val="20"/>
          <w:tblHeader/>
        </w:trPr>
        <w:tc>
          <w:tcPr>
            <w:tcW w:w="1135" w:type="dxa"/>
            <w:vAlign w:val="center"/>
          </w:tcPr>
          <w:p w14:paraId="301D85E3" w14:textId="77777777" w:rsidR="008143D9" w:rsidRPr="006A5E21" w:rsidRDefault="008143D9" w:rsidP="005A428D">
            <w:pPr>
              <w:rPr>
                <w:rFonts w:eastAsia="SimSun"/>
              </w:rPr>
            </w:pPr>
          </w:p>
        </w:tc>
        <w:tc>
          <w:tcPr>
            <w:tcW w:w="1559" w:type="dxa"/>
            <w:vAlign w:val="center"/>
          </w:tcPr>
          <w:p w14:paraId="77A62F27" w14:textId="77777777" w:rsidR="008143D9" w:rsidRPr="00AC3044" w:rsidRDefault="008143D9" w:rsidP="005A428D">
            <w:pPr>
              <w:rPr>
                <w:rFonts w:eastAsia="SimSun"/>
              </w:rPr>
            </w:pPr>
            <w:r w:rsidRPr="00AC3044">
              <w:rPr>
                <w:rFonts w:eastAsia="SimSun"/>
              </w:rPr>
              <w:t>Препарат</w:t>
            </w:r>
          </w:p>
        </w:tc>
        <w:tc>
          <w:tcPr>
            <w:tcW w:w="1418" w:type="dxa"/>
            <w:vAlign w:val="center"/>
          </w:tcPr>
          <w:p w14:paraId="3D6BD544" w14:textId="77777777" w:rsidR="008143D9" w:rsidRPr="00AC3044" w:rsidRDefault="008143D9" w:rsidP="005A428D">
            <w:pPr>
              <w:rPr>
                <w:rFonts w:eastAsia="SimSun"/>
              </w:rPr>
            </w:pPr>
            <w:r w:rsidRPr="00AC3044">
              <w:rPr>
                <w:rFonts w:eastAsia="SimSun"/>
              </w:rPr>
              <w:t>Суточная доза</w:t>
            </w:r>
          </w:p>
        </w:tc>
        <w:tc>
          <w:tcPr>
            <w:tcW w:w="1559" w:type="dxa"/>
            <w:vAlign w:val="center"/>
          </w:tcPr>
          <w:p w14:paraId="6CE17355" w14:textId="77777777" w:rsidR="008143D9" w:rsidRPr="00AC3044" w:rsidRDefault="008143D9" w:rsidP="005A428D">
            <w:pPr>
              <w:rPr>
                <w:rFonts w:eastAsia="SimSun"/>
              </w:rPr>
            </w:pPr>
            <w:r w:rsidRPr="00AC3044">
              <w:rPr>
                <w:rFonts w:eastAsia="SimSun"/>
              </w:rPr>
              <w:t>Курсовая доза</w:t>
            </w:r>
          </w:p>
        </w:tc>
        <w:tc>
          <w:tcPr>
            <w:tcW w:w="1559" w:type="dxa"/>
            <w:vAlign w:val="center"/>
          </w:tcPr>
          <w:p w14:paraId="201277B8" w14:textId="77777777" w:rsidR="008143D9" w:rsidRPr="00AC3044" w:rsidRDefault="008143D9" w:rsidP="005A428D">
            <w:pPr>
              <w:rPr>
                <w:rFonts w:eastAsia="SimSun"/>
              </w:rPr>
            </w:pPr>
            <w:r w:rsidRPr="00AC3044">
              <w:rPr>
                <w:rFonts w:eastAsia="SimSun"/>
              </w:rPr>
              <w:t>Дни введения</w:t>
            </w:r>
          </w:p>
        </w:tc>
        <w:tc>
          <w:tcPr>
            <w:tcW w:w="2410" w:type="dxa"/>
            <w:vAlign w:val="center"/>
          </w:tcPr>
          <w:p w14:paraId="7F87A0C9"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4CE744B0" w14:textId="77777777" w:rsidTr="005A428D">
        <w:trPr>
          <w:cantSplit/>
          <w:trHeight w:val="20"/>
        </w:trPr>
        <w:tc>
          <w:tcPr>
            <w:tcW w:w="1135" w:type="dxa"/>
            <w:vMerge w:val="restart"/>
            <w:textDirection w:val="btLr"/>
            <w:vAlign w:val="center"/>
          </w:tcPr>
          <w:p w14:paraId="03665A7D" w14:textId="77777777" w:rsidR="008143D9" w:rsidRPr="00AC3044" w:rsidRDefault="008143D9" w:rsidP="005A428D">
            <w:pPr>
              <w:rPr>
                <w:rFonts w:eastAsia="SimSun"/>
              </w:rPr>
            </w:pPr>
            <w:r w:rsidRPr="00AC3044">
              <w:rPr>
                <w:rFonts w:eastAsia="SimSun"/>
              </w:rPr>
              <w:t>Кондиционирование</w:t>
            </w:r>
          </w:p>
        </w:tc>
        <w:tc>
          <w:tcPr>
            <w:tcW w:w="1559" w:type="dxa"/>
            <w:vAlign w:val="center"/>
          </w:tcPr>
          <w:p w14:paraId="08AA271C" w14:textId="77777777" w:rsidR="008143D9" w:rsidRPr="00AC3044" w:rsidRDefault="008143D9" w:rsidP="005A428D">
            <w:pPr>
              <w:rPr>
                <w:rFonts w:eastAsia="SimSun"/>
              </w:rPr>
            </w:pPr>
            <w:r w:rsidRPr="00AC3044">
              <w:rPr>
                <w:rFonts w:eastAsia="SimSun"/>
              </w:rPr>
              <w:t xml:space="preserve">Флударабин </w:t>
            </w:r>
          </w:p>
        </w:tc>
        <w:tc>
          <w:tcPr>
            <w:tcW w:w="1418" w:type="dxa"/>
            <w:vAlign w:val="center"/>
          </w:tcPr>
          <w:p w14:paraId="02AB0B68" w14:textId="77777777" w:rsidR="008143D9" w:rsidRPr="00AC3044" w:rsidRDefault="008143D9" w:rsidP="005A428D">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76E14B07" w14:textId="77777777" w:rsidR="008143D9" w:rsidRPr="00AC3044" w:rsidRDefault="008143D9" w:rsidP="005A428D">
            <w:pPr>
              <w:rPr>
                <w:rFonts w:eastAsia="SimSun"/>
              </w:rPr>
            </w:pPr>
            <w:r w:rsidRPr="00AC3044">
              <w:rPr>
                <w:rFonts w:eastAsia="SimSun"/>
              </w:rPr>
              <w:t>180 мг/м</w:t>
            </w:r>
            <w:r w:rsidRPr="0074195F">
              <w:rPr>
                <w:rFonts w:eastAsia="SimSun"/>
                <w:vertAlign w:val="superscript"/>
              </w:rPr>
              <w:t>2</w:t>
            </w:r>
          </w:p>
        </w:tc>
        <w:tc>
          <w:tcPr>
            <w:tcW w:w="1559" w:type="dxa"/>
            <w:vAlign w:val="center"/>
          </w:tcPr>
          <w:p w14:paraId="3C0838DE" w14:textId="77777777" w:rsidR="008143D9" w:rsidRPr="00AC3044" w:rsidRDefault="008143D9" w:rsidP="005A428D">
            <w:pPr>
              <w:rPr>
                <w:rFonts w:eastAsia="SimSun"/>
              </w:rPr>
            </w:pPr>
            <w:r w:rsidRPr="00AC3044">
              <w:rPr>
                <w:rFonts w:eastAsia="SimSun"/>
              </w:rPr>
              <w:t>С -7 дня по -2 день</w:t>
            </w:r>
          </w:p>
        </w:tc>
        <w:tc>
          <w:tcPr>
            <w:tcW w:w="2410" w:type="dxa"/>
            <w:vAlign w:val="center"/>
          </w:tcPr>
          <w:p w14:paraId="227A67A7"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6DA6E4F0" w14:textId="77777777" w:rsidTr="005A428D">
        <w:trPr>
          <w:cantSplit/>
          <w:trHeight w:val="390"/>
        </w:trPr>
        <w:tc>
          <w:tcPr>
            <w:tcW w:w="1135" w:type="dxa"/>
            <w:vMerge/>
            <w:vAlign w:val="center"/>
          </w:tcPr>
          <w:p w14:paraId="5F42F7AA" w14:textId="77777777" w:rsidR="008143D9" w:rsidRPr="00AC3044" w:rsidRDefault="008143D9" w:rsidP="005A428D">
            <w:pPr>
              <w:rPr>
                <w:rFonts w:eastAsia="SimSun"/>
              </w:rPr>
            </w:pPr>
          </w:p>
        </w:tc>
        <w:tc>
          <w:tcPr>
            <w:tcW w:w="1559" w:type="dxa"/>
            <w:vAlign w:val="center"/>
          </w:tcPr>
          <w:p w14:paraId="27242BE5" w14:textId="77777777" w:rsidR="008143D9" w:rsidRPr="00AC3044" w:rsidRDefault="008143D9" w:rsidP="005A428D">
            <w:pPr>
              <w:rPr>
                <w:rFonts w:eastAsia="SimSun"/>
              </w:rPr>
            </w:pPr>
            <w:r w:rsidRPr="00AC3044">
              <w:rPr>
                <w:rFonts w:eastAsia="SimSun"/>
              </w:rPr>
              <w:t>Бусульфан</w:t>
            </w:r>
          </w:p>
        </w:tc>
        <w:tc>
          <w:tcPr>
            <w:tcW w:w="1418" w:type="dxa"/>
            <w:vAlign w:val="center"/>
          </w:tcPr>
          <w:p w14:paraId="31B4C2B0" w14:textId="77777777" w:rsidR="008143D9" w:rsidRPr="00AC3044" w:rsidRDefault="008143D9" w:rsidP="005A428D">
            <w:pPr>
              <w:rPr>
                <w:rFonts w:eastAsia="SimSun"/>
              </w:rPr>
            </w:pPr>
            <w:r w:rsidRPr="00AC3044">
              <w:rPr>
                <w:rFonts w:eastAsia="SimSun"/>
              </w:rPr>
              <w:t xml:space="preserve">4 мг/кг </w:t>
            </w:r>
          </w:p>
        </w:tc>
        <w:tc>
          <w:tcPr>
            <w:tcW w:w="1559" w:type="dxa"/>
            <w:vAlign w:val="center"/>
          </w:tcPr>
          <w:p w14:paraId="7E9DB340" w14:textId="77777777" w:rsidR="008143D9" w:rsidRPr="00AC3044" w:rsidRDefault="008143D9" w:rsidP="005A428D">
            <w:pPr>
              <w:rPr>
                <w:rFonts w:eastAsia="SimSun"/>
              </w:rPr>
            </w:pPr>
            <w:r w:rsidRPr="00AC3044">
              <w:rPr>
                <w:rFonts w:eastAsia="SimSun"/>
              </w:rPr>
              <w:t xml:space="preserve">10 мг/кг </w:t>
            </w:r>
          </w:p>
        </w:tc>
        <w:tc>
          <w:tcPr>
            <w:tcW w:w="1559" w:type="dxa"/>
            <w:vAlign w:val="center"/>
          </w:tcPr>
          <w:p w14:paraId="02F28BE0" w14:textId="77777777" w:rsidR="008143D9" w:rsidRPr="00AC3044" w:rsidRDefault="008143D9" w:rsidP="005A428D">
            <w:pPr>
              <w:rPr>
                <w:rFonts w:eastAsia="SimSun"/>
              </w:rPr>
            </w:pPr>
            <w:r w:rsidRPr="00AC3044">
              <w:rPr>
                <w:rFonts w:eastAsia="SimSun"/>
              </w:rPr>
              <w:t>С -5 дня по -3 день</w:t>
            </w:r>
          </w:p>
        </w:tc>
        <w:tc>
          <w:tcPr>
            <w:tcW w:w="2410" w:type="dxa"/>
            <w:vAlign w:val="center"/>
          </w:tcPr>
          <w:p w14:paraId="2DECB9F6" w14:textId="77777777" w:rsidR="008143D9" w:rsidRPr="00AC3044" w:rsidRDefault="008143D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8143D9" w:rsidRPr="00AC3044" w14:paraId="1BF7D2B5" w14:textId="77777777" w:rsidTr="005A428D">
        <w:trPr>
          <w:cantSplit/>
          <w:trHeight w:val="1498"/>
        </w:trPr>
        <w:tc>
          <w:tcPr>
            <w:tcW w:w="1135" w:type="dxa"/>
            <w:vMerge w:val="restart"/>
            <w:textDirection w:val="btLr"/>
            <w:vAlign w:val="center"/>
          </w:tcPr>
          <w:p w14:paraId="36A9C279" w14:textId="77777777" w:rsidR="008143D9" w:rsidRPr="00AC3044" w:rsidRDefault="008143D9" w:rsidP="005A428D">
            <w:pPr>
              <w:rPr>
                <w:rFonts w:eastAsia="SimSun"/>
              </w:rPr>
            </w:pPr>
            <w:r w:rsidRPr="00AC3044">
              <w:rPr>
                <w:rFonts w:eastAsia="SimSun"/>
              </w:rPr>
              <w:t>Профилактика РТПХ</w:t>
            </w:r>
          </w:p>
        </w:tc>
        <w:tc>
          <w:tcPr>
            <w:tcW w:w="1559" w:type="dxa"/>
            <w:vAlign w:val="center"/>
          </w:tcPr>
          <w:p w14:paraId="29967C64" w14:textId="77777777" w:rsidR="008143D9" w:rsidRPr="00AC3044" w:rsidRDefault="008143D9" w:rsidP="005A428D">
            <w:pPr>
              <w:rPr>
                <w:rFonts w:eastAsia="SimSun"/>
              </w:rPr>
            </w:pPr>
            <w:r w:rsidRPr="00AC3044">
              <w:rPr>
                <w:rFonts w:eastAsia="SimSun"/>
              </w:rPr>
              <w:t>Циклофосфамид</w:t>
            </w:r>
          </w:p>
        </w:tc>
        <w:tc>
          <w:tcPr>
            <w:tcW w:w="1418" w:type="dxa"/>
            <w:vAlign w:val="center"/>
          </w:tcPr>
          <w:p w14:paraId="0D2ED967" w14:textId="77777777" w:rsidR="008143D9" w:rsidRPr="00AC3044" w:rsidRDefault="008143D9" w:rsidP="005A428D">
            <w:pPr>
              <w:rPr>
                <w:rFonts w:eastAsia="SimSun"/>
              </w:rPr>
            </w:pPr>
            <w:r w:rsidRPr="00AC3044">
              <w:rPr>
                <w:rFonts w:eastAsia="SimSun"/>
              </w:rPr>
              <w:t>50 мг/кг</w:t>
            </w:r>
          </w:p>
        </w:tc>
        <w:tc>
          <w:tcPr>
            <w:tcW w:w="1559" w:type="dxa"/>
            <w:vAlign w:val="center"/>
          </w:tcPr>
          <w:p w14:paraId="59570C6C" w14:textId="77777777" w:rsidR="008143D9" w:rsidRPr="00AC3044" w:rsidRDefault="008143D9" w:rsidP="005A428D">
            <w:pPr>
              <w:rPr>
                <w:rFonts w:eastAsia="SimSun"/>
              </w:rPr>
            </w:pPr>
            <w:r w:rsidRPr="00AC3044">
              <w:rPr>
                <w:rFonts w:eastAsia="SimSun"/>
              </w:rPr>
              <w:t>100 мг/кг</w:t>
            </w:r>
          </w:p>
        </w:tc>
        <w:tc>
          <w:tcPr>
            <w:tcW w:w="1559" w:type="dxa"/>
            <w:vAlign w:val="center"/>
          </w:tcPr>
          <w:p w14:paraId="7B847A6D" w14:textId="77777777" w:rsidR="008143D9" w:rsidRPr="00AC3044" w:rsidRDefault="008143D9" w:rsidP="005A428D">
            <w:pPr>
              <w:rPr>
                <w:rFonts w:eastAsia="SimSun"/>
              </w:rPr>
            </w:pPr>
            <w:r w:rsidRPr="00AC3044">
              <w:rPr>
                <w:rFonts w:eastAsia="SimSun"/>
              </w:rPr>
              <w:t>С +3 дня по +4 день</w:t>
            </w:r>
          </w:p>
        </w:tc>
        <w:tc>
          <w:tcPr>
            <w:tcW w:w="2410" w:type="dxa"/>
            <w:vAlign w:val="center"/>
          </w:tcPr>
          <w:p w14:paraId="245996B8" w14:textId="77777777" w:rsidR="008143D9" w:rsidRPr="00AC3044" w:rsidRDefault="008143D9" w:rsidP="005A428D">
            <w:pPr>
              <w:rPr>
                <w:rFonts w:eastAsia="SimSun"/>
              </w:rPr>
            </w:pPr>
            <w:r w:rsidRPr="00AC3044">
              <w:rPr>
                <w:rFonts w:eastAsia="SimSun"/>
              </w:rPr>
              <w:t>В/в, в течение 2 часов</w:t>
            </w:r>
          </w:p>
        </w:tc>
      </w:tr>
      <w:tr w:rsidR="008143D9" w:rsidRPr="00AC3044" w14:paraId="319A52D5" w14:textId="77777777" w:rsidTr="005A428D">
        <w:trPr>
          <w:cantSplit/>
          <w:trHeight w:val="1598"/>
        </w:trPr>
        <w:tc>
          <w:tcPr>
            <w:tcW w:w="1135" w:type="dxa"/>
            <w:vMerge/>
            <w:textDirection w:val="btLr"/>
            <w:vAlign w:val="center"/>
          </w:tcPr>
          <w:p w14:paraId="0D5B36A2" w14:textId="77777777" w:rsidR="008143D9" w:rsidRPr="00AC3044" w:rsidRDefault="008143D9" w:rsidP="005A428D">
            <w:pPr>
              <w:rPr>
                <w:rFonts w:eastAsia="SimSun"/>
              </w:rPr>
            </w:pPr>
          </w:p>
        </w:tc>
        <w:tc>
          <w:tcPr>
            <w:tcW w:w="1559" w:type="dxa"/>
            <w:vAlign w:val="center"/>
          </w:tcPr>
          <w:p w14:paraId="7F4BA643" w14:textId="77777777" w:rsidR="008143D9" w:rsidRPr="00AC3044" w:rsidRDefault="008143D9" w:rsidP="005A428D">
            <w:pPr>
              <w:rPr>
                <w:rFonts w:eastAsia="SimSun"/>
              </w:rPr>
            </w:pPr>
            <w:r w:rsidRPr="00AC3044">
              <w:rPr>
                <w:rFonts w:eastAsia="SimSun"/>
              </w:rPr>
              <w:t xml:space="preserve">Такролимус </w:t>
            </w:r>
          </w:p>
        </w:tc>
        <w:tc>
          <w:tcPr>
            <w:tcW w:w="1418" w:type="dxa"/>
            <w:vAlign w:val="center"/>
          </w:tcPr>
          <w:p w14:paraId="14364823" w14:textId="77777777" w:rsidR="008143D9" w:rsidRPr="00AC3044" w:rsidRDefault="008143D9" w:rsidP="005A428D">
            <w:pPr>
              <w:rPr>
                <w:rFonts w:eastAsia="SimSun"/>
              </w:rPr>
            </w:pPr>
            <w:r w:rsidRPr="00AC3044">
              <w:rPr>
                <w:rFonts w:eastAsia="SimSun"/>
              </w:rPr>
              <w:t>0,03 мг/кг</w:t>
            </w:r>
          </w:p>
        </w:tc>
        <w:tc>
          <w:tcPr>
            <w:tcW w:w="1559" w:type="dxa"/>
            <w:vAlign w:val="center"/>
          </w:tcPr>
          <w:p w14:paraId="017A1A7F" w14:textId="77777777" w:rsidR="008143D9" w:rsidRPr="00AC3044" w:rsidRDefault="008143D9" w:rsidP="005A428D">
            <w:pPr>
              <w:rPr>
                <w:rFonts w:eastAsia="SimSun"/>
              </w:rPr>
            </w:pPr>
            <w:r w:rsidRPr="00AC3044">
              <w:rPr>
                <w:rFonts w:eastAsia="SimSun"/>
              </w:rPr>
              <w:t>–</w:t>
            </w:r>
          </w:p>
        </w:tc>
        <w:tc>
          <w:tcPr>
            <w:tcW w:w="1559" w:type="dxa"/>
            <w:vAlign w:val="center"/>
          </w:tcPr>
          <w:p w14:paraId="44571AF5" w14:textId="77777777" w:rsidR="008143D9" w:rsidRPr="00AC3044" w:rsidRDefault="008143D9" w:rsidP="005A428D">
            <w:pPr>
              <w:rPr>
                <w:rFonts w:eastAsia="SimSun"/>
              </w:rPr>
            </w:pPr>
            <w:r w:rsidRPr="00AC3044">
              <w:rPr>
                <w:rFonts w:eastAsia="SimSun"/>
              </w:rPr>
              <w:t xml:space="preserve">С +5 дня длительно </w:t>
            </w:r>
          </w:p>
        </w:tc>
        <w:tc>
          <w:tcPr>
            <w:tcW w:w="2410" w:type="dxa"/>
            <w:vAlign w:val="center"/>
          </w:tcPr>
          <w:p w14:paraId="5CB1F1E9" w14:textId="77777777" w:rsidR="008143D9" w:rsidRPr="00AC3044" w:rsidRDefault="008143D9" w:rsidP="005A428D">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8143D9" w:rsidRPr="00AC3044" w14:paraId="6BD84931" w14:textId="77777777" w:rsidTr="005A428D">
        <w:trPr>
          <w:cantSplit/>
          <w:trHeight w:val="434"/>
        </w:trPr>
        <w:tc>
          <w:tcPr>
            <w:tcW w:w="1135" w:type="dxa"/>
            <w:vMerge/>
            <w:textDirection w:val="btLr"/>
            <w:vAlign w:val="center"/>
          </w:tcPr>
          <w:p w14:paraId="08689165" w14:textId="77777777" w:rsidR="008143D9" w:rsidRPr="00AC3044" w:rsidRDefault="008143D9" w:rsidP="005A428D">
            <w:pPr>
              <w:rPr>
                <w:rFonts w:eastAsia="SimSun"/>
              </w:rPr>
            </w:pPr>
          </w:p>
        </w:tc>
        <w:tc>
          <w:tcPr>
            <w:tcW w:w="1559" w:type="dxa"/>
            <w:vAlign w:val="center"/>
          </w:tcPr>
          <w:p w14:paraId="2E9E8544" w14:textId="77777777" w:rsidR="008143D9" w:rsidRPr="00AC3044" w:rsidRDefault="008143D9" w:rsidP="005A428D">
            <w:pPr>
              <w:rPr>
                <w:rFonts w:eastAsia="SimSun"/>
              </w:rPr>
            </w:pPr>
            <w:r w:rsidRPr="00AC3044">
              <w:rPr>
                <w:rFonts w:eastAsia="SimSun"/>
              </w:rPr>
              <w:t>Микофенолата мофетил</w:t>
            </w:r>
          </w:p>
        </w:tc>
        <w:tc>
          <w:tcPr>
            <w:tcW w:w="1418" w:type="dxa"/>
            <w:vAlign w:val="center"/>
          </w:tcPr>
          <w:p w14:paraId="126B56AD" w14:textId="77777777" w:rsidR="008143D9" w:rsidRPr="00AC3044" w:rsidRDefault="008143D9" w:rsidP="005A428D">
            <w:pPr>
              <w:rPr>
                <w:rFonts w:eastAsia="SimSun"/>
              </w:rPr>
            </w:pPr>
            <w:r w:rsidRPr="00AC3044">
              <w:rPr>
                <w:rFonts w:eastAsia="SimSun"/>
              </w:rPr>
              <w:t xml:space="preserve">45 мг/кг </w:t>
            </w:r>
          </w:p>
        </w:tc>
        <w:tc>
          <w:tcPr>
            <w:tcW w:w="1559" w:type="dxa"/>
            <w:vAlign w:val="center"/>
          </w:tcPr>
          <w:p w14:paraId="3AE8DD93" w14:textId="77777777" w:rsidR="008143D9" w:rsidRPr="00AC3044" w:rsidRDefault="008143D9" w:rsidP="005A428D">
            <w:pPr>
              <w:rPr>
                <w:rFonts w:eastAsia="SimSun"/>
              </w:rPr>
            </w:pPr>
            <w:r w:rsidRPr="00AC3044">
              <w:rPr>
                <w:rFonts w:eastAsia="SimSun"/>
              </w:rPr>
              <w:t>–</w:t>
            </w:r>
          </w:p>
        </w:tc>
        <w:tc>
          <w:tcPr>
            <w:tcW w:w="1559" w:type="dxa"/>
            <w:vAlign w:val="center"/>
          </w:tcPr>
          <w:p w14:paraId="1289291F" w14:textId="77777777" w:rsidR="008143D9" w:rsidRPr="00AC3044" w:rsidRDefault="008143D9" w:rsidP="005A428D">
            <w:pPr>
              <w:rPr>
                <w:rFonts w:eastAsia="SimSun"/>
              </w:rPr>
            </w:pPr>
            <w:r w:rsidRPr="00AC3044">
              <w:rPr>
                <w:rFonts w:eastAsia="SimSun"/>
              </w:rPr>
              <w:t xml:space="preserve">С +5 дня по +35 день </w:t>
            </w:r>
          </w:p>
        </w:tc>
        <w:tc>
          <w:tcPr>
            <w:tcW w:w="2410" w:type="dxa"/>
            <w:vAlign w:val="center"/>
          </w:tcPr>
          <w:p w14:paraId="32FB4023" w14:textId="77777777" w:rsidR="008143D9" w:rsidRPr="00AC3044" w:rsidRDefault="008143D9" w:rsidP="005A428D">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637CCBC5" w14:textId="77777777" w:rsidR="008143D9" w:rsidRDefault="008143D9" w:rsidP="008143D9">
      <w:pPr>
        <w:rPr>
          <w:rFonts w:eastAsia="SimSun"/>
        </w:rPr>
      </w:pPr>
      <w:bookmarkStart w:id="191" w:name="_Toc44401233"/>
    </w:p>
    <w:p w14:paraId="45A21EDB" w14:textId="77777777" w:rsidR="008143D9" w:rsidRPr="00C07B2E" w:rsidRDefault="008143D9" w:rsidP="008143D9">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3.1.8  – Flu180+Bu12 / PT-Cy+Tx+MMF45</w:t>
      </w:r>
      <w:bookmarkEnd w:id="191"/>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8143D9" w:rsidRPr="00AC3044" w14:paraId="3FE9F90C" w14:textId="77777777" w:rsidTr="005A428D">
        <w:trPr>
          <w:cantSplit/>
          <w:trHeight w:val="20"/>
          <w:tblHeader/>
        </w:trPr>
        <w:tc>
          <w:tcPr>
            <w:tcW w:w="1135" w:type="dxa"/>
            <w:vAlign w:val="center"/>
          </w:tcPr>
          <w:p w14:paraId="77868CAD" w14:textId="77777777" w:rsidR="008143D9" w:rsidRPr="006A5E21" w:rsidRDefault="008143D9" w:rsidP="005A428D">
            <w:pPr>
              <w:rPr>
                <w:rFonts w:eastAsia="SimSun"/>
              </w:rPr>
            </w:pPr>
          </w:p>
        </w:tc>
        <w:tc>
          <w:tcPr>
            <w:tcW w:w="1559" w:type="dxa"/>
            <w:vAlign w:val="center"/>
          </w:tcPr>
          <w:p w14:paraId="7FCFAFDF" w14:textId="77777777" w:rsidR="008143D9" w:rsidRPr="00AC3044" w:rsidRDefault="008143D9" w:rsidP="005A428D">
            <w:pPr>
              <w:rPr>
                <w:rFonts w:eastAsia="SimSun"/>
              </w:rPr>
            </w:pPr>
            <w:r w:rsidRPr="00AC3044">
              <w:rPr>
                <w:rFonts w:eastAsia="SimSun"/>
              </w:rPr>
              <w:t>Препарат</w:t>
            </w:r>
          </w:p>
        </w:tc>
        <w:tc>
          <w:tcPr>
            <w:tcW w:w="1418" w:type="dxa"/>
            <w:vAlign w:val="center"/>
          </w:tcPr>
          <w:p w14:paraId="5D9AF4EC" w14:textId="77777777" w:rsidR="008143D9" w:rsidRPr="00AC3044" w:rsidRDefault="008143D9" w:rsidP="005A428D">
            <w:pPr>
              <w:rPr>
                <w:rFonts w:eastAsia="SimSun"/>
              </w:rPr>
            </w:pPr>
            <w:r w:rsidRPr="00AC3044">
              <w:rPr>
                <w:rFonts w:eastAsia="SimSun"/>
              </w:rPr>
              <w:t>Суточная доза</w:t>
            </w:r>
          </w:p>
        </w:tc>
        <w:tc>
          <w:tcPr>
            <w:tcW w:w="1559" w:type="dxa"/>
            <w:vAlign w:val="center"/>
          </w:tcPr>
          <w:p w14:paraId="1CB2E5C4" w14:textId="77777777" w:rsidR="008143D9" w:rsidRPr="00AC3044" w:rsidRDefault="008143D9" w:rsidP="005A428D">
            <w:pPr>
              <w:rPr>
                <w:rFonts w:eastAsia="SimSun"/>
              </w:rPr>
            </w:pPr>
            <w:r w:rsidRPr="00AC3044">
              <w:rPr>
                <w:rFonts w:eastAsia="SimSun"/>
              </w:rPr>
              <w:t>Курсовая доза</w:t>
            </w:r>
          </w:p>
        </w:tc>
        <w:tc>
          <w:tcPr>
            <w:tcW w:w="1559" w:type="dxa"/>
            <w:vAlign w:val="center"/>
          </w:tcPr>
          <w:p w14:paraId="1625567D" w14:textId="77777777" w:rsidR="008143D9" w:rsidRPr="00AC3044" w:rsidRDefault="008143D9" w:rsidP="005A428D">
            <w:pPr>
              <w:rPr>
                <w:rFonts w:eastAsia="SimSun"/>
              </w:rPr>
            </w:pPr>
            <w:r w:rsidRPr="00AC3044">
              <w:rPr>
                <w:rFonts w:eastAsia="SimSun"/>
              </w:rPr>
              <w:t>Дни введения</w:t>
            </w:r>
          </w:p>
        </w:tc>
        <w:tc>
          <w:tcPr>
            <w:tcW w:w="2410" w:type="dxa"/>
            <w:vAlign w:val="center"/>
          </w:tcPr>
          <w:p w14:paraId="3173BB6C"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2FFB2C1E" w14:textId="77777777" w:rsidTr="005A428D">
        <w:trPr>
          <w:cantSplit/>
          <w:trHeight w:val="20"/>
        </w:trPr>
        <w:tc>
          <w:tcPr>
            <w:tcW w:w="1135" w:type="dxa"/>
            <w:vMerge w:val="restart"/>
            <w:textDirection w:val="btLr"/>
            <w:vAlign w:val="center"/>
          </w:tcPr>
          <w:p w14:paraId="0E0420E5" w14:textId="77777777" w:rsidR="008143D9" w:rsidRPr="00AC3044" w:rsidRDefault="008143D9" w:rsidP="005A428D">
            <w:pPr>
              <w:rPr>
                <w:rFonts w:eastAsia="SimSun"/>
              </w:rPr>
            </w:pPr>
            <w:r w:rsidRPr="00AC3044">
              <w:rPr>
                <w:rFonts w:eastAsia="SimSun"/>
              </w:rPr>
              <w:t>Кондиционирование</w:t>
            </w:r>
          </w:p>
        </w:tc>
        <w:tc>
          <w:tcPr>
            <w:tcW w:w="1559" w:type="dxa"/>
            <w:vAlign w:val="center"/>
          </w:tcPr>
          <w:p w14:paraId="4F6EBB5F" w14:textId="77777777" w:rsidR="008143D9" w:rsidRPr="00AC3044" w:rsidRDefault="008143D9" w:rsidP="005A428D">
            <w:pPr>
              <w:rPr>
                <w:rFonts w:eastAsia="SimSun"/>
              </w:rPr>
            </w:pPr>
            <w:r w:rsidRPr="00AC3044">
              <w:rPr>
                <w:rFonts w:eastAsia="SimSun"/>
              </w:rPr>
              <w:t xml:space="preserve">Флударабин </w:t>
            </w:r>
          </w:p>
        </w:tc>
        <w:tc>
          <w:tcPr>
            <w:tcW w:w="1418" w:type="dxa"/>
            <w:vAlign w:val="center"/>
          </w:tcPr>
          <w:p w14:paraId="6616FE9B" w14:textId="77777777" w:rsidR="008143D9" w:rsidRPr="00AC3044" w:rsidRDefault="008143D9" w:rsidP="005A428D">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1B326B02" w14:textId="77777777" w:rsidR="008143D9" w:rsidRPr="00AC3044" w:rsidRDefault="008143D9" w:rsidP="005A428D">
            <w:pPr>
              <w:rPr>
                <w:rFonts w:eastAsia="SimSun"/>
              </w:rPr>
            </w:pPr>
            <w:r w:rsidRPr="00AC3044">
              <w:rPr>
                <w:rFonts w:eastAsia="SimSun"/>
              </w:rPr>
              <w:t>180 мг/м</w:t>
            </w:r>
            <w:r w:rsidRPr="0074195F">
              <w:rPr>
                <w:rFonts w:eastAsia="SimSun"/>
                <w:vertAlign w:val="superscript"/>
              </w:rPr>
              <w:t>2</w:t>
            </w:r>
          </w:p>
        </w:tc>
        <w:tc>
          <w:tcPr>
            <w:tcW w:w="1559" w:type="dxa"/>
            <w:vAlign w:val="center"/>
          </w:tcPr>
          <w:p w14:paraId="783FF860" w14:textId="77777777" w:rsidR="008143D9" w:rsidRPr="00AC3044" w:rsidRDefault="008143D9" w:rsidP="005A428D">
            <w:pPr>
              <w:rPr>
                <w:rFonts w:eastAsia="SimSun"/>
              </w:rPr>
            </w:pPr>
            <w:r w:rsidRPr="00AC3044">
              <w:rPr>
                <w:rFonts w:eastAsia="SimSun"/>
              </w:rPr>
              <w:t>С -7 дня по -2 день</w:t>
            </w:r>
          </w:p>
        </w:tc>
        <w:tc>
          <w:tcPr>
            <w:tcW w:w="2410" w:type="dxa"/>
            <w:vAlign w:val="center"/>
          </w:tcPr>
          <w:p w14:paraId="4928741C"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0AACEABB" w14:textId="77777777" w:rsidTr="005A428D">
        <w:trPr>
          <w:cantSplit/>
          <w:trHeight w:val="1207"/>
        </w:trPr>
        <w:tc>
          <w:tcPr>
            <w:tcW w:w="1135" w:type="dxa"/>
            <w:vMerge/>
            <w:vAlign w:val="center"/>
          </w:tcPr>
          <w:p w14:paraId="51D83B7C" w14:textId="77777777" w:rsidR="008143D9" w:rsidRPr="00AC3044" w:rsidRDefault="008143D9" w:rsidP="005A428D">
            <w:pPr>
              <w:rPr>
                <w:rFonts w:eastAsia="SimSun"/>
              </w:rPr>
            </w:pPr>
          </w:p>
        </w:tc>
        <w:tc>
          <w:tcPr>
            <w:tcW w:w="1559" w:type="dxa"/>
            <w:vAlign w:val="center"/>
          </w:tcPr>
          <w:p w14:paraId="6F6EF3EA" w14:textId="77777777" w:rsidR="008143D9" w:rsidRPr="00AC3044" w:rsidRDefault="008143D9" w:rsidP="005A428D">
            <w:pPr>
              <w:rPr>
                <w:rFonts w:eastAsia="SimSun"/>
              </w:rPr>
            </w:pPr>
            <w:r w:rsidRPr="00AC3044">
              <w:rPr>
                <w:rFonts w:eastAsia="SimSun"/>
              </w:rPr>
              <w:t>Бусульфан</w:t>
            </w:r>
          </w:p>
        </w:tc>
        <w:tc>
          <w:tcPr>
            <w:tcW w:w="1418" w:type="dxa"/>
            <w:vAlign w:val="center"/>
          </w:tcPr>
          <w:p w14:paraId="0E90391E" w14:textId="77777777" w:rsidR="008143D9" w:rsidRPr="00AC3044" w:rsidRDefault="008143D9" w:rsidP="005A428D">
            <w:pPr>
              <w:rPr>
                <w:rFonts w:eastAsia="SimSun"/>
              </w:rPr>
            </w:pPr>
            <w:r w:rsidRPr="00AC3044">
              <w:rPr>
                <w:rFonts w:eastAsia="SimSun"/>
              </w:rPr>
              <w:t xml:space="preserve">4 мг/кг </w:t>
            </w:r>
          </w:p>
        </w:tc>
        <w:tc>
          <w:tcPr>
            <w:tcW w:w="1559" w:type="dxa"/>
            <w:vAlign w:val="center"/>
          </w:tcPr>
          <w:p w14:paraId="4DEBF6F5" w14:textId="77777777" w:rsidR="008143D9" w:rsidRPr="00AC3044" w:rsidRDefault="008143D9" w:rsidP="005A428D">
            <w:pPr>
              <w:rPr>
                <w:rFonts w:eastAsia="SimSun"/>
              </w:rPr>
            </w:pPr>
            <w:r w:rsidRPr="00AC3044">
              <w:rPr>
                <w:rFonts w:eastAsia="SimSun"/>
              </w:rPr>
              <w:t xml:space="preserve">12 мг/кг </w:t>
            </w:r>
          </w:p>
        </w:tc>
        <w:tc>
          <w:tcPr>
            <w:tcW w:w="1559" w:type="dxa"/>
            <w:vAlign w:val="center"/>
          </w:tcPr>
          <w:p w14:paraId="706E04A5" w14:textId="77777777" w:rsidR="008143D9" w:rsidRPr="00AC3044" w:rsidRDefault="008143D9" w:rsidP="005A428D">
            <w:pPr>
              <w:rPr>
                <w:rFonts w:eastAsia="SimSun"/>
              </w:rPr>
            </w:pPr>
            <w:r w:rsidRPr="00AC3044">
              <w:rPr>
                <w:rFonts w:eastAsia="SimSun"/>
              </w:rPr>
              <w:t>С -5 дня по -3 день</w:t>
            </w:r>
          </w:p>
        </w:tc>
        <w:tc>
          <w:tcPr>
            <w:tcW w:w="2410" w:type="dxa"/>
            <w:vAlign w:val="center"/>
          </w:tcPr>
          <w:p w14:paraId="47B52082" w14:textId="77777777" w:rsidR="008143D9" w:rsidRPr="00AC3044" w:rsidRDefault="008143D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8143D9" w:rsidRPr="00AC3044" w14:paraId="64CD4F69" w14:textId="77777777" w:rsidTr="005A428D">
        <w:trPr>
          <w:cantSplit/>
          <w:trHeight w:val="660"/>
        </w:trPr>
        <w:tc>
          <w:tcPr>
            <w:tcW w:w="1135" w:type="dxa"/>
            <w:vMerge w:val="restart"/>
            <w:textDirection w:val="btLr"/>
            <w:vAlign w:val="center"/>
          </w:tcPr>
          <w:p w14:paraId="26B5B0B2" w14:textId="77777777" w:rsidR="008143D9" w:rsidRPr="00AC3044" w:rsidRDefault="008143D9" w:rsidP="005A428D">
            <w:pPr>
              <w:rPr>
                <w:rFonts w:eastAsia="SimSun"/>
              </w:rPr>
            </w:pPr>
            <w:r w:rsidRPr="00AC3044">
              <w:rPr>
                <w:rFonts w:eastAsia="SimSun"/>
              </w:rPr>
              <w:t>Профилактика РТПХ</w:t>
            </w:r>
          </w:p>
        </w:tc>
        <w:tc>
          <w:tcPr>
            <w:tcW w:w="1559" w:type="dxa"/>
            <w:vAlign w:val="center"/>
          </w:tcPr>
          <w:p w14:paraId="23486F50" w14:textId="77777777" w:rsidR="008143D9" w:rsidRPr="00AC3044" w:rsidRDefault="008143D9" w:rsidP="005A428D">
            <w:pPr>
              <w:rPr>
                <w:rFonts w:eastAsia="SimSun"/>
              </w:rPr>
            </w:pPr>
            <w:r w:rsidRPr="00AC3044">
              <w:rPr>
                <w:rFonts w:eastAsia="SimSun"/>
              </w:rPr>
              <w:t>Циклофосфамид</w:t>
            </w:r>
          </w:p>
        </w:tc>
        <w:tc>
          <w:tcPr>
            <w:tcW w:w="1418" w:type="dxa"/>
            <w:vAlign w:val="center"/>
          </w:tcPr>
          <w:p w14:paraId="2CE310F4" w14:textId="77777777" w:rsidR="008143D9" w:rsidRPr="00AC3044" w:rsidRDefault="008143D9" w:rsidP="005A428D">
            <w:pPr>
              <w:rPr>
                <w:rFonts w:eastAsia="SimSun"/>
              </w:rPr>
            </w:pPr>
            <w:r w:rsidRPr="00AC3044">
              <w:rPr>
                <w:rFonts w:eastAsia="SimSun"/>
              </w:rPr>
              <w:t>50 мг/кг</w:t>
            </w:r>
          </w:p>
        </w:tc>
        <w:tc>
          <w:tcPr>
            <w:tcW w:w="1559" w:type="dxa"/>
            <w:vAlign w:val="center"/>
          </w:tcPr>
          <w:p w14:paraId="1E0E1FA8" w14:textId="77777777" w:rsidR="008143D9" w:rsidRPr="00AC3044" w:rsidRDefault="008143D9" w:rsidP="005A428D">
            <w:pPr>
              <w:rPr>
                <w:rFonts w:eastAsia="SimSun"/>
              </w:rPr>
            </w:pPr>
            <w:r w:rsidRPr="00AC3044">
              <w:rPr>
                <w:rFonts w:eastAsia="SimSun"/>
              </w:rPr>
              <w:t>100 мг/кг</w:t>
            </w:r>
          </w:p>
        </w:tc>
        <w:tc>
          <w:tcPr>
            <w:tcW w:w="1559" w:type="dxa"/>
            <w:vAlign w:val="center"/>
          </w:tcPr>
          <w:p w14:paraId="1EE140A8" w14:textId="77777777" w:rsidR="008143D9" w:rsidRPr="00AC3044" w:rsidRDefault="008143D9" w:rsidP="005A428D">
            <w:pPr>
              <w:rPr>
                <w:rFonts w:eastAsia="SimSun"/>
              </w:rPr>
            </w:pPr>
            <w:r w:rsidRPr="00AC3044">
              <w:rPr>
                <w:rFonts w:eastAsia="SimSun"/>
              </w:rPr>
              <w:t>С +3 дня по +4 день</w:t>
            </w:r>
          </w:p>
        </w:tc>
        <w:tc>
          <w:tcPr>
            <w:tcW w:w="2410" w:type="dxa"/>
            <w:vAlign w:val="center"/>
          </w:tcPr>
          <w:p w14:paraId="427A3197" w14:textId="77777777" w:rsidR="008143D9" w:rsidRPr="00AC3044" w:rsidRDefault="008143D9" w:rsidP="005A428D">
            <w:pPr>
              <w:rPr>
                <w:rFonts w:eastAsia="SimSun"/>
              </w:rPr>
            </w:pPr>
            <w:r w:rsidRPr="00AC3044">
              <w:rPr>
                <w:rFonts w:eastAsia="SimSun"/>
              </w:rPr>
              <w:t>В/в, в течение 2 часов</w:t>
            </w:r>
          </w:p>
        </w:tc>
      </w:tr>
      <w:tr w:rsidR="008143D9" w:rsidRPr="00AC3044" w14:paraId="62C26404" w14:textId="77777777" w:rsidTr="005A428D">
        <w:trPr>
          <w:cantSplit/>
          <w:trHeight w:val="958"/>
        </w:trPr>
        <w:tc>
          <w:tcPr>
            <w:tcW w:w="1135" w:type="dxa"/>
            <w:vMerge/>
            <w:textDirection w:val="btLr"/>
            <w:vAlign w:val="center"/>
          </w:tcPr>
          <w:p w14:paraId="336C5C04" w14:textId="77777777" w:rsidR="008143D9" w:rsidRPr="00AC3044" w:rsidRDefault="008143D9" w:rsidP="005A428D">
            <w:pPr>
              <w:rPr>
                <w:rFonts w:eastAsia="SimSun"/>
              </w:rPr>
            </w:pPr>
          </w:p>
        </w:tc>
        <w:tc>
          <w:tcPr>
            <w:tcW w:w="1559" w:type="dxa"/>
            <w:vAlign w:val="center"/>
          </w:tcPr>
          <w:p w14:paraId="5F12DC5E" w14:textId="77777777" w:rsidR="008143D9" w:rsidRPr="00AC3044" w:rsidRDefault="008143D9" w:rsidP="005A428D">
            <w:pPr>
              <w:rPr>
                <w:rFonts w:eastAsia="SimSun"/>
              </w:rPr>
            </w:pPr>
            <w:r w:rsidRPr="00AC3044">
              <w:rPr>
                <w:rFonts w:eastAsia="SimSun"/>
              </w:rPr>
              <w:t xml:space="preserve">Такролимус </w:t>
            </w:r>
          </w:p>
        </w:tc>
        <w:tc>
          <w:tcPr>
            <w:tcW w:w="1418" w:type="dxa"/>
            <w:vAlign w:val="center"/>
          </w:tcPr>
          <w:p w14:paraId="719CF6F5" w14:textId="77777777" w:rsidR="008143D9" w:rsidRPr="00AC3044" w:rsidRDefault="008143D9" w:rsidP="005A428D">
            <w:pPr>
              <w:rPr>
                <w:rFonts w:eastAsia="SimSun"/>
              </w:rPr>
            </w:pPr>
            <w:r w:rsidRPr="00AC3044">
              <w:rPr>
                <w:rFonts w:eastAsia="SimSun"/>
              </w:rPr>
              <w:t>0,03 мг/кг</w:t>
            </w:r>
          </w:p>
        </w:tc>
        <w:tc>
          <w:tcPr>
            <w:tcW w:w="1559" w:type="dxa"/>
            <w:vAlign w:val="center"/>
          </w:tcPr>
          <w:p w14:paraId="2DBB1C07" w14:textId="77777777" w:rsidR="008143D9" w:rsidRPr="00AC3044" w:rsidRDefault="008143D9" w:rsidP="005A428D">
            <w:pPr>
              <w:rPr>
                <w:rFonts w:eastAsia="SimSun"/>
              </w:rPr>
            </w:pPr>
            <w:r w:rsidRPr="00AC3044">
              <w:rPr>
                <w:rFonts w:eastAsia="SimSun"/>
              </w:rPr>
              <w:t>–</w:t>
            </w:r>
          </w:p>
        </w:tc>
        <w:tc>
          <w:tcPr>
            <w:tcW w:w="1559" w:type="dxa"/>
            <w:vAlign w:val="center"/>
          </w:tcPr>
          <w:p w14:paraId="7E2EF84E" w14:textId="77777777" w:rsidR="008143D9" w:rsidRPr="00AC3044" w:rsidRDefault="008143D9" w:rsidP="005A428D">
            <w:pPr>
              <w:rPr>
                <w:rFonts w:eastAsia="SimSun"/>
              </w:rPr>
            </w:pPr>
            <w:r w:rsidRPr="00AC3044">
              <w:rPr>
                <w:rFonts w:eastAsia="SimSun"/>
              </w:rPr>
              <w:t xml:space="preserve">С +5 дня длительно </w:t>
            </w:r>
          </w:p>
        </w:tc>
        <w:tc>
          <w:tcPr>
            <w:tcW w:w="2410" w:type="dxa"/>
            <w:vAlign w:val="center"/>
          </w:tcPr>
          <w:p w14:paraId="6AF8B847" w14:textId="77777777" w:rsidR="008143D9" w:rsidRPr="00AC3044" w:rsidRDefault="008143D9" w:rsidP="005A428D">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bl>
    <w:p w14:paraId="5683E0C4" w14:textId="77777777" w:rsidR="008143D9" w:rsidRDefault="008143D9" w:rsidP="008143D9">
      <w:pPr>
        <w:rPr>
          <w:rFonts w:eastAsia="SimSun"/>
        </w:rPr>
      </w:pPr>
      <w:bookmarkStart w:id="192" w:name="_Toc44401234"/>
    </w:p>
    <w:p w14:paraId="1C52ADF3" w14:textId="77777777" w:rsidR="008143D9" w:rsidRPr="00030511" w:rsidRDefault="008143D9" w:rsidP="008143D9">
      <w:pPr>
        <w:rPr>
          <w:rFonts w:eastAsia="SimSun"/>
        </w:rPr>
      </w:pPr>
      <w:r w:rsidRPr="00030511">
        <w:rPr>
          <w:rFonts w:eastAsia="SimSun"/>
        </w:rPr>
        <w:t xml:space="preserve">Таблица 5.3.1.9  – </w:t>
      </w:r>
      <w:r w:rsidRPr="00C07B2E">
        <w:rPr>
          <w:rFonts w:eastAsia="SimSun"/>
        </w:rPr>
        <w:t>Flu</w:t>
      </w:r>
      <w:r w:rsidRPr="00030511">
        <w:rPr>
          <w:rFonts w:eastAsia="SimSun"/>
        </w:rPr>
        <w:t>180+</w:t>
      </w:r>
      <w:r w:rsidRPr="00C07B2E">
        <w:rPr>
          <w:rFonts w:eastAsia="SimSun"/>
        </w:rPr>
        <w:t>Bu</w:t>
      </w:r>
      <w:r w:rsidRPr="00030511">
        <w:rPr>
          <w:rFonts w:eastAsia="SimSun"/>
        </w:rPr>
        <w:t xml:space="preserve">14 / </w:t>
      </w:r>
      <w:r w:rsidRPr="00C07B2E">
        <w:rPr>
          <w:rFonts w:eastAsia="SimSun"/>
        </w:rPr>
        <w:t>PT</w:t>
      </w:r>
      <w:r w:rsidRPr="00030511">
        <w:rPr>
          <w:rFonts w:eastAsia="SimSun"/>
        </w:rPr>
        <w:t>-</w:t>
      </w:r>
      <w:r w:rsidRPr="00C07B2E">
        <w:rPr>
          <w:rFonts w:eastAsia="SimSun"/>
        </w:rPr>
        <w:t>Cy</w:t>
      </w:r>
      <w:r w:rsidRPr="00030511">
        <w:rPr>
          <w:rFonts w:eastAsia="SimSun"/>
        </w:rPr>
        <w:t>+</w:t>
      </w:r>
      <w:r w:rsidRPr="00C07B2E">
        <w:rPr>
          <w:rFonts w:eastAsia="SimSun"/>
        </w:rPr>
        <w:t>Tx</w:t>
      </w:r>
      <w:r w:rsidRPr="00030511">
        <w:rPr>
          <w:rFonts w:eastAsia="SimSun"/>
        </w:rPr>
        <w:t>+</w:t>
      </w:r>
      <w:r w:rsidRPr="00C07B2E">
        <w:rPr>
          <w:rFonts w:eastAsia="SimSun"/>
        </w:rPr>
        <w:t>MMF</w:t>
      </w:r>
      <w:r w:rsidRPr="00030511">
        <w:rPr>
          <w:rFonts w:eastAsia="SimSun"/>
        </w:rPr>
        <w:t>45</w:t>
      </w:r>
      <w:bookmarkEnd w:id="192"/>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8143D9" w:rsidRPr="00AC3044" w14:paraId="408695DB" w14:textId="77777777" w:rsidTr="005A428D">
        <w:trPr>
          <w:cantSplit/>
          <w:trHeight w:val="20"/>
          <w:tblHeader/>
        </w:trPr>
        <w:tc>
          <w:tcPr>
            <w:tcW w:w="1135" w:type="dxa"/>
            <w:vAlign w:val="center"/>
          </w:tcPr>
          <w:p w14:paraId="2AE80896" w14:textId="77777777" w:rsidR="008143D9" w:rsidRPr="00AC3044" w:rsidRDefault="008143D9" w:rsidP="005A428D">
            <w:pPr>
              <w:rPr>
                <w:rFonts w:eastAsia="SimSun"/>
              </w:rPr>
            </w:pPr>
          </w:p>
        </w:tc>
        <w:tc>
          <w:tcPr>
            <w:tcW w:w="1559" w:type="dxa"/>
            <w:vAlign w:val="center"/>
          </w:tcPr>
          <w:p w14:paraId="229E3D02" w14:textId="77777777" w:rsidR="008143D9" w:rsidRPr="00AC3044" w:rsidRDefault="008143D9" w:rsidP="005A428D">
            <w:pPr>
              <w:rPr>
                <w:rFonts w:eastAsia="SimSun"/>
              </w:rPr>
            </w:pPr>
            <w:r w:rsidRPr="00AC3044">
              <w:rPr>
                <w:rFonts w:eastAsia="SimSun"/>
              </w:rPr>
              <w:t>Препарат</w:t>
            </w:r>
          </w:p>
        </w:tc>
        <w:tc>
          <w:tcPr>
            <w:tcW w:w="1418" w:type="dxa"/>
            <w:vAlign w:val="center"/>
          </w:tcPr>
          <w:p w14:paraId="2B973963" w14:textId="77777777" w:rsidR="008143D9" w:rsidRPr="00AC3044" w:rsidRDefault="008143D9" w:rsidP="005A428D">
            <w:pPr>
              <w:rPr>
                <w:rFonts w:eastAsia="SimSun"/>
              </w:rPr>
            </w:pPr>
            <w:r w:rsidRPr="00AC3044">
              <w:rPr>
                <w:rFonts w:eastAsia="SimSun"/>
              </w:rPr>
              <w:t>Суточная доза</w:t>
            </w:r>
          </w:p>
        </w:tc>
        <w:tc>
          <w:tcPr>
            <w:tcW w:w="1559" w:type="dxa"/>
            <w:vAlign w:val="center"/>
          </w:tcPr>
          <w:p w14:paraId="638165A0" w14:textId="77777777" w:rsidR="008143D9" w:rsidRPr="00AC3044" w:rsidRDefault="008143D9" w:rsidP="005A428D">
            <w:pPr>
              <w:rPr>
                <w:rFonts w:eastAsia="SimSun"/>
              </w:rPr>
            </w:pPr>
            <w:r w:rsidRPr="00AC3044">
              <w:rPr>
                <w:rFonts w:eastAsia="SimSun"/>
              </w:rPr>
              <w:t>Курсовая доза</w:t>
            </w:r>
          </w:p>
        </w:tc>
        <w:tc>
          <w:tcPr>
            <w:tcW w:w="1559" w:type="dxa"/>
            <w:vAlign w:val="center"/>
          </w:tcPr>
          <w:p w14:paraId="7624A315" w14:textId="77777777" w:rsidR="008143D9" w:rsidRPr="00AC3044" w:rsidRDefault="008143D9" w:rsidP="005A428D">
            <w:pPr>
              <w:rPr>
                <w:rFonts w:eastAsia="SimSun"/>
              </w:rPr>
            </w:pPr>
            <w:r w:rsidRPr="00AC3044">
              <w:rPr>
                <w:rFonts w:eastAsia="SimSun"/>
              </w:rPr>
              <w:t>Дни введения</w:t>
            </w:r>
          </w:p>
        </w:tc>
        <w:tc>
          <w:tcPr>
            <w:tcW w:w="2410" w:type="dxa"/>
            <w:vAlign w:val="center"/>
          </w:tcPr>
          <w:p w14:paraId="76915569"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494B10C1" w14:textId="77777777" w:rsidTr="005A428D">
        <w:trPr>
          <w:cantSplit/>
          <w:trHeight w:val="450"/>
        </w:trPr>
        <w:tc>
          <w:tcPr>
            <w:tcW w:w="1135" w:type="dxa"/>
            <w:vMerge w:val="restart"/>
            <w:textDirection w:val="btLr"/>
            <w:vAlign w:val="center"/>
          </w:tcPr>
          <w:p w14:paraId="062FBE04" w14:textId="77777777" w:rsidR="008143D9" w:rsidRPr="00AC3044" w:rsidRDefault="008143D9" w:rsidP="005A428D">
            <w:pPr>
              <w:rPr>
                <w:rFonts w:eastAsia="SimSun"/>
              </w:rPr>
            </w:pPr>
            <w:r w:rsidRPr="00AC3044">
              <w:rPr>
                <w:rFonts w:eastAsia="SimSun"/>
              </w:rPr>
              <w:t>Кондиционирование</w:t>
            </w:r>
          </w:p>
        </w:tc>
        <w:tc>
          <w:tcPr>
            <w:tcW w:w="1559" w:type="dxa"/>
            <w:vAlign w:val="center"/>
          </w:tcPr>
          <w:p w14:paraId="70994F8E" w14:textId="77777777" w:rsidR="008143D9" w:rsidRPr="00AC3044" w:rsidRDefault="008143D9" w:rsidP="005A428D">
            <w:pPr>
              <w:rPr>
                <w:rFonts w:eastAsia="SimSun"/>
              </w:rPr>
            </w:pPr>
            <w:r w:rsidRPr="00AC3044">
              <w:rPr>
                <w:rFonts w:eastAsia="SimSun"/>
              </w:rPr>
              <w:t xml:space="preserve">Флударабин </w:t>
            </w:r>
          </w:p>
        </w:tc>
        <w:tc>
          <w:tcPr>
            <w:tcW w:w="1418" w:type="dxa"/>
            <w:vAlign w:val="center"/>
          </w:tcPr>
          <w:p w14:paraId="448DEBF4" w14:textId="77777777" w:rsidR="008143D9" w:rsidRPr="00AC3044" w:rsidRDefault="008143D9" w:rsidP="005A428D">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13A1C2BD" w14:textId="77777777" w:rsidR="008143D9" w:rsidRPr="00AC3044" w:rsidRDefault="008143D9" w:rsidP="005A428D">
            <w:pPr>
              <w:rPr>
                <w:rFonts w:eastAsia="SimSun"/>
              </w:rPr>
            </w:pPr>
            <w:r w:rsidRPr="00AC3044">
              <w:rPr>
                <w:rFonts w:eastAsia="SimSun"/>
              </w:rPr>
              <w:t>180 мг/м</w:t>
            </w:r>
            <w:r w:rsidRPr="0074195F">
              <w:rPr>
                <w:rFonts w:eastAsia="SimSun"/>
                <w:vertAlign w:val="superscript"/>
              </w:rPr>
              <w:t>2</w:t>
            </w:r>
          </w:p>
        </w:tc>
        <w:tc>
          <w:tcPr>
            <w:tcW w:w="1559" w:type="dxa"/>
            <w:vAlign w:val="center"/>
          </w:tcPr>
          <w:p w14:paraId="3FB890FF" w14:textId="77777777" w:rsidR="008143D9" w:rsidRPr="00AC3044" w:rsidRDefault="008143D9" w:rsidP="005A428D">
            <w:pPr>
              <w:rPr>
                <w:rFonts w:eastAsia="SimSun"/>
              </w:rPr>
            </w:pPr>
            <w:r w:rsidRPr="00AC3044">
              <w:rPr>
                <w:rFonts w:eastAsia="SimSun"/>
              </w:rPr>
              <w:t>С -7 дня по -2 день</w:t>
            </w:r>
          </w:p>
        </w:tc>
        <w:tc>
          <w:tcPr>
            <w:tcW w:w="2410" w:type="dxa"/>
            <w:vAlign w:val="center"/>
          </w:tcPr>
          <w:p w14:paraId="269F534A"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1EC91863" w14:textId="77777777" w:rsidTr="005A428D">
        <w:trPr>
          <w:cantSplit/>
          <w:trHeight w:val="1207"/>
        </w:trPr>
        <w:tc>
          <w:tcPr>
            <w:tcW w:w="1135" w:type="dxa"/>
            <w:vMerge/>
            <w:vAlign w:val="center"/>
          </w:tcPr>
          <w:p w14:paraId="5FCE91E8" w14:textId="77777777" w:rsidR="008143D9" w:rsidRPr="00AC3044" w:rsidRDefault="008143D9" w:rsidP="005A428D">
            <w:pPr>
              <w:rPr>
                <w:rFonts w:eastAsia="SimSun"/>
              </w:rPr>
            </w:pPr>
          </w:p>
        </w:tc>
        <w:tc>
          <w:tcPr>
            <w:tcW w:w="1559" w:type="dxa"/>
            <w:vAlign w:val="center"/>
          </w:tcPr>
          <w:p w14:paraId="12C04A4D" w14:textId="77777777" w:rsidR="008143D9" w:rsidRPr="00AC3044" w:rsidRDefault="008143D9" w:rsidP="005A428D">
            <w:pPr>
              <w:rPr>
                <w:rFonts w:eastAsia="SimSun"/>
              </w:rPr>
            </w:pPr>
            <w:r w:rsidRPr="00AC3044">
              <w:rPr>
                <w:rFonts w:eastAsia="SimSun"/>
              </w:rPr>
              <w:t>Бусульфан</w:t>
            </w:r>
          </w:p>
        </w:tc>
        <w:tc>
          <w:tcPr>
            <w:tcW w:w="1418" w:type="dxa"/>
            <w:vAlign w:val="center"/>
          </w:tcPr>
          <w:p w14:paraId="75EF175A" w14:textId="77777777" w:rsidR="008143D9" w:rsidRPr="00AC3044" w:rsidRDefault="008143D9" w:rsidP="005A428D">
            <w:pPr>
              <w:rPr>
                <w:rFonts w:eastAsia="SimSun"/>
              </w:rPr>
            </w:pPr>
            <w:r w:rsidRPr="00AC3044">
              <w:rPr>
                <w:rFonts w:eastAsia="SimSun"/>
              </w:rPr>
              <w:t xml:space="preserve">4 мг/кг </w:t>
            </w:r>
          </w:p>
        </w:tc>
        <w:tc>
          <w:tcPr>
            <w:tcW w:w="1559" w:type="dxa"/>
            <w:vAlign w:val="center"/>
          </w:tcPr>
          <w:p w14:paraId="705FDE6A" w14:textId="77777777" w:rsidR="008143D9" w:rsidRPr="00AC3044" w:rsidRDefault="008143D9" w:rsidP="005A428D">
            <w:pPr>
              <w:rPr>
                <w:rFonts w:eastAsia="SimSun"/>
              </w:rPr>
            </w:pPr>
            <w:r w:rsidRPr="00AC3044">
              <w:rPr>
                <w:rFonts w:eastAsia="SimSun"/>
              </w:rPr>
              <w:t xml:space="preserve">14 мг/кг </w:t>
            </w:r>
          </w:p>
        </w:tc>
        <w:tc>
          <w:tcPr>
            <w:tcW w:w="1559" w:type="dxa"/>
            <w:vAlign w:val="center"/>
          </w:tcPr>
          <w:p w14:paraId="28E47920" w14:textId="77777777" w:rsidR="008143D9" w:rsidRPr="00AC3044" w:rsidRDefault="008143D9" w:rsidP="005A428D">
            <w:pPr>
              <w:rPr>
                <w:rFonts w:eastAsia="SimSun"/>
              </w:rPr>
            </w:pPr>
            <w:r w:rsidRPr="00AC3044">
              <w:rPr>
                <w:rFonts w:eastAsia="SimSun"/>
              </w:rPr>
              <w:t>С -6 дня по -3 день</w:t>
            </w:r>
          </w:p>
        </w:tc>
        <w:tc>
          <w:tcPr>
            <w:tcW w:w="2410" w:type="dxa"/>
            <w:vAlign w:val="center"/>
          </w:tcPr>
          <w:p w14:paraId="60079AC3" w14:textId="77777777" w:rsidR="008143D9" w:rsidRPr="00AC3044" w:rsidRDefault="008143D9" w:rsidP="005A428D">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8143D9" w:rsidRPr="00AC3044" w14:paraId="3AF9E875" w14:textId="77777777" w:rsidTr="005A428D">
        <w:trPr>
          <w:cantSplit/>
          <w:trHeight w:val="606"/>
        </w:trPr>
        <w:tc>
          <w:tcPr>
            <w:tcW w:w="1135" w:type="dxa"/>
            <w:vMerge w:val="restart"/>
            <w:textDirection w:val="btLr"/>
            <w:vAlign w:val="center"/>
          </w:tcPr>
          <w:p w14:paraId="23B956DF" w14:textId="77777777" w:rsidR="008143D9" w:rsidRPr="00AC3044" w:rsidRDefault="008143D9" w:rsidP="005A428D">
            <w:pPr>
              <w:rPr>
                <w:rFonts w:eastAsia="SimSun"/>
              </w:rPr>
            </w:pPr>
            <w:r w:rsidRPr="00AC3044">
              <w:rPr>
                <w:rFonts w:eastAsia="SimSun"/>
              </w:rPr>
              <w:t>Профилактика РТПХ</w:t>
            </w:r>
          </w:p>
        </w:tc>
        <w:tc>
          <w:tcPr>
            <w:tcW w:w="1559" w:type="dxa"/>
            <w:vAlign w:val="center"/>
          </w:tcPr>
          <w:p w14:paraId="184678BD" w14:textId="77777777" w:rsidR="008143D9" w:rsidRPr="00AC3044" w:rsidRDefault="008143D9" w:rsidP="005A428D">
            <w:pPr>
              <w:rPr>
                <w:rFonts w:eastAsia="SimSun"/>
              </w:rPr>
            </w:pPr>
            <w:r w:rsidRPr="00AC3044">
              <w:rPr>
                <w:rFonts w:eastAsia="SimSun"/>
              </w:rPr>
              <w:t>Циклофосфамид</w:t>
            </w:r>
          </w:p>
        </w:tc>
        <w:tc>
          <w:tcPr>
            <w:tcW w:w="1418" w:type="dxa"/>
            <w:vAlign w:val="center"/>
          </w:tcPr>
          <w:p w14:paraId="6292A853" w14:textId="77777777" w:rsidR="008143D9" w:rsidRPr="00AC3044" w:rsidRDefault="008143D9" w:rsidP="005A428D">
            <w:pPr>
              <w:rPr>
                <w:rFonts w:eastAsia="SimSun"/>
              </w:rPr>
            </w:pPr>
            <w:r w:rsidRPr="00AC3044">
              <w:rPr>
                <w:rFonts w:eastAsia="SimSun"/>
              </w:rPr>
              <w:t>50 мг/кг</w:t>
            </w:r>
          </w:p>
        </w:tc>
        <w:tc>
          <w:tcPr>
            <w:tcW w:w="1559" w:type="dxa"/>
            <w:vAlign w:val="center"/>
          </w:tcPr>
          <w:p w14:paraId="2F5064CD" w14:textId="77777777" w:rsidR="008143D9" w:rsidRPr="00AC3044" w:rsidRDefault="008143D9" w:rsidP="005A428D">
            <w:pPr>
              <w:rPr>
                <w:rFonts w:eastAsia="SimSun"/>
              </w:rPr>
            </w:pPr>
            <w:r w:rsidRPr="00AC3044">
              <w:rPr>
                <w:rFonts w:eastAsia="SimSun"/>
              </w:rPr>
              <w:t>100 мг/кг</w:t>
            </w:r>
          </w:p>
        </w:tc>
        <w:tc>
          <w:tcPr>
            <w:tcW w:w="1559" w:type="dxa"/>
            <w:vAlign w:val="center"/>
          </w:tcPr>
          <w:p w14:paraId="3A37CE7C" w14:textId="77777777" w:rsidR="008143D9" w:rsidRPr="00AC3044" w:rsidRDefault="008143D9" w:rsidP="005A428D">
            <w:pPr>
              <w:rPr>
                <w:rFonts w:eastAsia="SimSun"/>
              </w:rPr>
            </w:pPr>
            <w:r w:rsidRPr="00AC3044">
              <w:rPr>
                <w:rFonts w:eastAsia="SimSun"/>
              </w:rPr>
              <w:t>С +3 дня по +4 день</w:t>
            </w:r>
          </w:p>
        </w:tc>
        <w:tc>
          <w:tcPr>
            <w:tcW w:w="2410" w:type="dxa"/>
            <w:vAlign w:val="center"/>
          </w:tcPr>
          <w:p w14:paraId="09F945DD" w14:textId="77777777" w:rsidR="008143D9" w:rsidRPr="00AC3044" w:rsidRDefault="008143D9" w:rsidP="005A428D">
            <w:pPr>
              <w:rPr>
                <w:rFonts w:eastAsia="SimSun"/>
              </w:rPr>
            </w:pPr>
            <w:r w:rsidRPr="00AC3044">
              <w:rPr>
                <w:rFonts w:eastAsia="SimSun"/>
              </w:rPr>
              <w:t>В/в, в течение 2 часов</w:t>
            </w:r>
          </w:p>
        </w:tc>
      </w:tr>
      <w:tr w:rsidR="008143D9" w:rsidRPr="00AC3044" w14:paraId="32914A8F" w14:textId="77777777" w:rsidTr="005A428D">
        <w:trPr>
          <w:cantSplit/>
          <w:trHeight w:val="958"/>
        </w:trPr>
        <w:tc>
          <w:tcPr>
            <w:tcW w:w="1135" w:type="dxa"/>
            <w:vMerge/>
            <w:textDirection w:val="btLr"/>
            <w:vAlign w:val="center"/>
          </w:tcPr>
          <w:p w14:paraId="20579AAF" w14:textId="77777777" w:rsidR="008143D9" w:rsidRPr="00AC3044" w:rsidRDefault="008143D9" w:rsidP="005A428D">
            <w:pPr>
              <w:rPr>
                <w:rFonts w:eastAsia="SimSun"/>
              </w:rPr>
            </w:pPr>
          </w:p>
        </w:tc>
        <w:tc>
          <w:tcPr>
            <w:tcW w:w="1559" w:type="dxa"/>
            <w:vAlign w:val="center"/>
          </w:tcPr>
          <w:p w14:paraId="5BD5FEAB" w14:textId="77777777" w:rsidR="008143D9" w:rsidRPr="00AC3044" w:rsidRDefault="008143D9" w:rsidP="005A428D">
            <w:pPr>
              <w:rPr>
                <w:rFonts w:eastAsia="SimSun"/>
              </w:rPr>
            </w:pPr>
            <w:r w:rsidRPr="00AC3044">
              <w:rPr>
                <w:rFonts w:eastAsia="SimSun"/>
              </w:rPr>
              <w:t xml:space="preserve">Такролимус </w:t>
            </w:r>
          </w:p>
        </w:tc>
        <w:tc>
          <w:tcPr>
            <w:tcW w:w="1418" w:type="dxa"/>
            <w:vAlign w:val="center"/>
          </w:tcPr>
          <w:p w14:paraId="3B97D0D2" w14:textId="77777777" w:rsidR="008143D9" w:rsidRPr="00AC3044" w:rsidRDefault="008143D9" w:rsidP="005A428D">
            <w:pPr>
              <w:rPr>
                <w:rFonts w:eastAsia="SimSun"/>
              </w:rPr>
            </w:pPr>
            <w:r w:rsidRPr="00AC3044">
              <w:rPr>
                <w:rFonts w:eastAsia="SimSun"/>
              </w:rPr>
              <w:t>0,03 мг/кг</w:t>
            </w:r>
          </w:p>
        </w:tc>
        <w:tc>
          <w:tcPr>
            <w:tcW w:w="1559" w:type="dxa"/>
            <w:vAlign w:val="center"/>
          </w:tcPr>
          <w:p w14:paraId="4A32D4F1" w14:textId="77777777" w:rsidR="008143D9" w:rsidRPr="00AC3044" w:rsidRDefault="008143D9" w:rsidP="005A428D">
            <w:pPr>
              <w:rPr>
                <w:rFonts w:eastAsia="SimSun"/>
              </w:rPr>
            </w:pPr>
            <w:r w:rsidRPr="00AC3044">
              <w:rPr>
                <w:rFonts w:eastAsia="SimSun"/>
              </w:rPr>
              <w:t>–</w:t>
            </w:r>
          </w:p>
        </w:tc>
        <w:tc>
          <w:tcPr>
            <w:tcW w:w="1559" w:type="dxa"/>
            <w:vAlign w:val="center"/>
          </w:tcPr>
          <w:p w14:paraId="1B1FF46D" w14:textId="77777777" w:rsidR="008143D9" w:rsidRPr="00AC3044" w:rsidRDefault="008143D9" w:rsidP="005A428D">
            <w:pPr>
              <w:rPr>
                <w:rFonts w:eastAsia="SimSun"/>
              </w:rPr>
            </w:pPr>
            <w:r w:rsidRPr="00AC3044">
              <w:rPr>
                <w:rFonts w:eastAsia="SimSun"/>
              </w:rPr>
              <w:t xml:space="preserve">С +5 дня длительно </w:t>
            </w:r>
          </w:p>
        </w:tc>
        <w:tc>
          <w:tcPr>
            <w:tcW w:w="2410" w:type="dxa"/>
            <w:vAlign w:val="center"/>
          </w:tcPr>
          <w:p w14:paraId="33F0A907" w14:textId="77777777" w:rsidR="008143D9" w:rsidRPr="00AC3044" w:rsidRDefault="008143D9" w:rsidP="005A428D">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8143D9" w:rsidRPr="00AC3044" w14:paraId="7F722C4A" w14:textId="77777777" w:rsidTr="005A428D">
        <w:trPr>
          <w:cantSplit/>
          <w:trHeight w:val="576"/>
        </w:trPr>
        <w:tc>
          <w:tcPr>
            <w:tcW w:w="1135" w:type="dxa"/>
            <w:vMerge/>
            <w:textDirection w:val="btLr"/>
            <w:vAlign w:val="center"/>
          </w:tcPr>
          <w:p w14:paraId="0AE621B3" w14:textId="77777777" w:rsidR="008143D9" w:rsidRPr="00AC3044" w:rsidRDefault="008143D9" w:rsidP="005A428D">
            <w:pPr>
              <w:rPr>
                <w:rFonts w:eastAsia="SimSun"/>
              </w:rPr>
            </w:pPr>
          </w:p>
        </w:tc>
        <w:tc>
          <w:tcPr>
            <w:tcW w:w="1559" w:type="dxa"/>
            <w:vAlign w:val="center"/>
          </w:tcPr>
          <w:p w14:paraId="39A78A06" w14:textId="77777777" w:rsidR="008143D9" w:rsidRPr="00AC3044" w:rsidRDefault="008143D9" w:rsidP="005A428D">
            <w:pPr>
              <w:rPr>
                <w:rFonts w:eastAsia="SimSun"/>
              </w:rPr>
            </w:pPr>
            <w:r w:rsidRPr="00AC3044">
              <w:rPr>
                <w:rFonts w:eastAsia="SimSun"/>
              </w:rPr>
              <w:t>Микофенолата мофетил</w:t>
            </w:r>
          </w:p>
        </w:tc>
        <w:tc>
          <w:tcPr>
            <w:tcW w:w="1418" w:type="dxa"/>
            <w:vAlign w:val="center"/>
          </w:tcPr>
          <w:p w14:paraId="6B66D248" w14:textId="77777777" w:rsidR="008143D9" w:rsidRPr="00AC3044" w:rsidRDefault="008143D9" w:rsidP="005A428D">
            <w:pPr>
              <w:rPr>
                <w:rFonts w:eastAsia="SimSun"/>
              </w:rPr>
            </w:pPr>
            <w:r w:rsidRPr="00AC3044">
              <w:rPr>
                <w:rFonts w:eastAsia="SimSun"/>
              </w:rPr>
              <w:t xml:space="preserve">45 мг/кг </w:t>
            </w:r>
          </w:p>
        </w:tc>
        <w:tc>
          <w:tcPr>
            <w:tcW w:w="1559" w:type="dxa"/>
            <w:vAlign w:val="center"/>
          </w:tcPr>
          <w:p w14:paraId="629E06A5" w14:textId="77777777" w:rsidR="008143D9" w:rsidRPr="00AC3044" w:rsidRDefault="008143D9" w:rsidP="005A428D">
            <w:pPr>
              <w:rPr>
                <w:rFonts w:eastAsia="SimSun"/>
              </w:rPr>
            </w:pPr>
            <w:r w:rsidRPr="00AC3044">
              <w:rPr>
                <w:rFonts w:eastAsia="SimSun"/>
              </w:rPr>
              <w:t>–</w:t>
            </w:r>
          </w:p>
        </w:tc>
        <w:tc>
          <w:tcPr>
            <w:tcW w:w="1559" w:type="dxa"/>
            <w:vAlign w:val="center"/>
          </w:tcPr>
          <w:p w14:paraId="6371D6C2" w14:textId="77777777" w:rsidR="008143D9" w:rsidRPr="00AC3044" w:rsidRDefault="008143D9" w:rsidP="005A428D">
            <w:pPr>
              <w:rPr>
                <w:rFonts w:eastAsia="SimSun"/>
              </w:rPr>
            </w:pPr>
            <w:r w:rsidRPr="00AC3044">
              <w:rPr>
                <w:rFonts w:eastAsia="SimSun"/>
              </w:rPr>
              <w:t xml:space="preserve">С +5 дня по +35 день </w:t>
            </w:r>
          </w:p>
        </w:tc>
        <w:tc>
          <w:tcPr>
            <w:tcW w:w="2410" w:type="dxa"/>
            <w:vAlign w:val="center"/>
          </w:tcPr>
          <w:p w14:paraId="2148C31E" w14:textId="77777777" w:rsidR="008143D9" w:rsidRPr="00AC3044" w:rsidRDefault="008143D9" w:rsidP="005A428D">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5A19FD48" w14:textId="77777777" w:rsidR="008143D9" w:rsidRPr="00C07B2E" w:rsidRDefault="008143D9" w:rsidP="008143D9">
      <w:pPr>
        <w:rPr>
          <w:rFonts w:eastAsia="SimSun"/>
        </w:rPr>
      </w:pPr>
    </w:p>
    <w:p w14:paraId="32168A4D" w14:textId="77777777" w:rsidR="008143D9" w:rsidRPr="00C07B2E" w:rsidRDefault="008143D9" w:rsidP="008143D9">
      <w:pPr>
        <w:rPr>
          <w:rFonts w:eastAsia="SimSun"/>
        </w:rPr>
      </w:pPr>
      <w:bookmarkStart w:id="193" w:name="_Toc44401235"/>
      <w:r w:rsidRPr="00EE51B1">
        <w:rPr>
          <w:rFonts w:eastAsia="SimSun"/>
        </w:rPr>
        <w:t>Таблица</w:t>
      </w:r>
      <w:r w:rsidRPr="00C07B2E">
        <w:rPr>
          <w:rFonts w:eastAsia="SimSun"/>
        </w:rPr>
        <w:t xml:space="preserve"> </w:t>
      </w:r>
      <w:r>
        <w:rPr>
          <w:rFonts w:eastAsia="SimSun"/>
        </w:rPr>
        <w:t>5.</w:t>
      </w:r>
      <w:r w:rsidRPr="00C07B2E">
        <w:rPr>
          <w:rFonts w:eastAsia="SimSun"/>
        </w:rPr>
        <w:t>3.1.10  – Flu150+Treo36 / PT-Cy+CSA+MMF30</w:t>
      </w:r>
      <w:bookmarkEnd w:id="193"/>
    </w:p>
    <w:tbl>
      <w:tblPr>
        <w:tblW w:w="9608"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3"/>
        <w:gridCol w:w="1559"/>
        <w:gridCol w:w="1418"/>
        <w:gridCol w:w="1559"/>
        <w:gridCol w:w="1559"/>
        <w:gridCol w:w="2410"/>
      </w:tblGrid>
      <w:tr w:rsidR="008143D9" w:rsidRPr="00AC3044" w14:paraId="33981E18" w14:textId="77777777" w:rsidTr="005A428D">
        <w:trPr>
          <w:cantSplit/>
          <w:trHeight w:val="20"/>
          <w:tblHeader/>
        </w:trPr>
        <w:tc>
          <w:tcPr>
            <w:tcW w:w="1103" w:type="dxa"/>
          </w:tcPr>
          <w:p w14:paraId="25C468F7" w14:textId="77777777" w:rsidR="008143D9" w:rsidRPr="006A5E21" w:rsidRDefault="008143D9" w:rsidP="005A428D">
            <w:pPr>
              <w:rPr>
                <w:rFonts w:eastAsia="SimSun"/>
              </w:rPr>
            </w:pPr>
          </w:p>
        </w:tc>
        <w:tc>
          <w:tcPr>
            <w:tcW w:w="1559" w:type="dxa"/>
            <w:vAlign w:val="center"/>
          </w:tcPr>
          <w:p w14:paraId="7AFBA006" w14:textId="77777777" w:rsidR="008143D9" w:rsidRPr="00AC3044" w:rsidRDefault="008143D9" w:rsidP="005A428D">
            <w:pPr>
              <w:rPr>
                <w:rFonts w:eastAsia="SimSun"/>
              </w:rPr>
            </w:pPr>
            <w:r w:rsidRPr="00AC3044">
              <w:rPr>
                <w:rFonts w:eastAsia="SimSun"/>
              </w:rPr>
              <w:t>Препарат</w:t>
            </w:r>
          </w:p>
        </w:tc>
        <w:tc>
          <w:tcPr>
            <w:tcW w:w="1418" w:type="dxa"/>
            <w:vAlign w:val="center"/>
          </w:tcPr>
          <w:p w14:paraId="2236ED48" w14:textId="77777777" w:rsidR="008143D9" w:rsidRPr="00AC3044" w:rsidRDefault="008143D9" w:rsidP="005A428D">
            <w:pPr>
              <w:rPr>
                <w:rFonts w:eastAsia="SimSun"/>
              </w:rPr>
            </w:pPr>
            <w:r w:rsidRPr="00AC3044">
              <w:rPr>
                <w:rFonts w:eastAsia="SimSun"/>
              </w:rPr>
              <w:t>Суточная доза</w:t>
            </w:r>
          </w:p>
        </w:tc>
        <w:tc>
          <w:tcPr>
            <w:tcW w:w="1559" w:type="dxa"/>
            <w:vAlign w:val="center"/>
          </w:tcPr>
          <w:p w14:paraId="3039BA99" w14:textId="77777777" w:rsidR="008143D9" w:rsidRPr="00AC3044" w:rsidRDefault="008143D9" w:rsidP="005A428D">
            <w:pPr>
              <w:rPr>
                <w:rFonts w:eastAsia="SimSun"/>
              </w:rPr>
            </w:pPr>
            <w:r w:rsidRPr="00AC3044">
              <w:rPr>
                <w:rFonts w:eastAsia="SimSun"/>
              </w:rPr>
              <w:t>Курсовая доза</w:t>
            </w:r>
          </w:p>
        </w:tc>
        <w:tc>
          <w:tcPr>
            <w:tcW w:w="1559" w:type="dxa"/>
            <w:vAlign w:val="center"/>
          </w:tcPr>
          <w:p w14:paraId="31B85873" w14:textId="77777777" w:rsidR="008143D9" w:rsidRPr="00AC3044" w:rsidRDefault="008143D9" w:rsidP="005A428D">
            <w:pPr>
              <w:rPr>
                <w:rFonts w:eastAsia="SimSun"/>
              </w:rPr>
            </w:pPr>
            <w:r w:rsidRPr="00AC3044">
              <w:rPr>
                <w:rFonts w:eastAsia="SimSun"/>
              </w:rPr>
              <w:t>Дни введения</w:t>
            </w:r>
          </w:p>
        </w:tc>
        <w:tc>
          <w:tcPr>
            <w:tcW w:w="2410" w:type="dxa"/>
            <w:vAlign w:val="center"/>
          </w:tcPr>
          <w:p w14:paraId="0825F797"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19F66AF8" w14:textId="77777777" w:rsidTr="005A428D">
        <w:trPr>
          <w:cantSplit/>
          <w:trHeight w:val="20"/>
        </w:trPr>
        <w:tc>
          <w:tcPr>
            <w:tcW w:w="1103" w:type="dxa"/>
            <w:vMerge w:val="restart"/>
            <w:textDirection w:val="btLr"/>
            <w:vAlign w:val="center"/>
          </w:tcPr>
          <w:p w14:paraId="6DC74812" w14:textId="77777777" w:rsidR="008143D9" w:rsidRPr="00AC3044" w:rsidRDefault="008143D9" w:rsidP="005A428D">
            <w:pPr>
              <w:rPr>
                <w:rFonts w:eastAsia="SimSun"/>
              </w:rPr>
            </w:pPr>
            <w:r w:rsidRPr="00AC3044">
              <w:rPr>
                <w:rFonts w:eastAsia="SimSun"/>
              </w:rPr>
              <w:t>Кондиционирование</w:t>
            </w:r>
          </w:p>
        </w:tc>
        <w:tc>
          <w:tcPr>
            <w:tcW w:w="1559" w:type="dxa"/>
            <w:vAlign w:val="center"/>
          </w:tcPr>
          <w:p w14:paraId="1124D413" w14:textId="77777777" w:rsidR="008143D9" w:rsidRPr="00AC3044" w:rsidRDefault="008143D9" w:rsidP="005A428D">
            <w:pPr>
              <w:rPr>
                <w:rFonts w:eastAsia="SimSun"/>
              </w:rPr>
            </w:pPr>
            <w:r w:rsidRPr="00AC3044">
              <w:rPr>
                <w:rFonts w:eastAsia="SimSun"/>
              </w:rPr>
              <w:t xml:space="preserve">Флударабин </w:t>
            </w:r>
          </w:p>
        </w:tc>
        <w:tc>
          <w:tcPr>
            <w:tcW w:w="1418" w:type="dxa"/>
            <w:vAlign w:val="center"/>
          </w:tcPr>
          <w:p w14:paraId="4CE8A85B" w14:textId="77777777" w:rsidR="008143D9" w:rsidRPr="00AC3044" w:rsidRDefault="008143D9" w:rsidP="005A428D">
            <w:pPr>
              <w:rPr>
                <w:rFonts w:eastAsia="SimSun"/>
              </w:rPr>
            </w:pPr>
            <w:r w:rsidRPr="00AC3044">
              <w:rPr>
                <w:rFonts w:eastAsia="SimSun"/>
              </w:rPr>
              <w:t>30 мг/м2</w:t>
            </w:r>
          </w:p>
        </w:tc>
        <w:tc>
          <w:tcPr>
            <w:tcW w:w="1559" w:type="dxa"/>
            <w:vAlign w:val="center"/>
          </w:tcPr>
          <w:p w14:paraId="148F8187" w14:textId="77777777" w:rsidR="008143D9" w:rsidRPr="00AC3044" w:rsidRDefault="008143D9" w:rsidP="005A428D">
            <w:pPr>
              <w:rPr>
                <w:rFonts w:eastAsia="SimSun"/>
              </w:rPr>
            </w:pPr>
            <w:r w:rsidRPr="00AC3044">
              <w:rPr>
                <w:rFonts w:eastAsia="SimSun"/>
              </w:rPr>
              <w:t>150 мг/м</w:t>
            </w:r>
            <w:r w:rsidRPr="0074195F">
              <w:rPr>
                <w:rFonts w:eastAsia="SimSun"/>
                <w:vertAlign w:val="superscript"/>
              </w:rPr>
              <w:t>2</w:t>
            </w:r>
          </w:p>
        </w:tc>
        <w:tc>
          <w:tcPr>
            <w:tcW w:w="1559" w:type="dxa"/>
            <w:vAlign w:val="center"/>
          </w:tcPr>
          <w:p w14:paraId="6068E30B" w14:textId="77777777" w:rsidR="008143D9" w:rsidRPr="00AC3044" w:rsidRDefault="008143D9" w:rsidP="005A428D">
            <w:pPr>
              <w:rPr>
                <w:rFonts w:eastAsia="SimSun"/>
              </w:rPr>
            </w:pPr>
            <w:r w:rsidRPr="00AC3044">
              <w:rPr>
                <w:rFonts w:eastAsia="SimSun"/>
              </w:rPr>
              <w:t>С –6 по –2 день</w:t>
            </w:r>
          </w:p>
        </w:tc>
        <w:tc>
          <w:tcPr>
            <w:tcW w:w="2410" w:type="dxa"/>
            <w:vAlign w:val="center"/>
          </w:tcPr>
          <w:p w14:paraId="32DB1662"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6379C3A8" w14:textId="77777777" w:rsidTr="005A428D">
        <w:trPr>
          <w:cantSplit/>
          <w:trHeight w:val="879"/>
        </w:trPr>
        <w:tc>
          <w:tcPr>
            <w:tcW w:w="1103" w:type="dxa"/>
            <w:vMerge/>
            <w:textDirection w:val="btLr"/>
            <w:vAlign w:val="center"/>
          </w:tcPr>
          <w:p w14:paraId="1D727CDE" w14:textId="77777777" w:rsidR="008143D9" w:rsidRPr="00AC3044" w:rsidRDefault="008143D9" w:rsidP="005A428D">
            <w:pPr>
              <w:rPr>
                <w:rFonts w:eastAsia="SimSun"/>
              </w:rPr>
            </w:pPr>
          </w:p>
        </w:tc>
        <w:tc>
          <w:tcPr>
            <w:tcW w:w="1559" w:type="dxa"/>
            <w:vAlign w:val="center"/>
          </w:tcPr>
          <w:p w14:paraId="4C2D2325" w14:textId="77777777" w:rsidR="008143D9" w:rsidRPr="00AC3044" w:rsidRDefault="008143D9" w:rsidP="005A428D">
            <w:pPr>
              <w:rPr>
                <w:rFonts w:eastAsia="SimSun"/>
              </w:rPr>
            </w:pPr>
            <w:r w:rsidRPr="00AC3044">
              <w:rPr>
                <w:rFonts w:eastAsia="SimSun"/>
              </w:rPr>
              <w:t>Треосульфан</w:t>
            </w:r>
          </w:p>
        </w:tc>
        <w:tc>
          <w:tcPr>
            <w:tcW w:w="1418" w:type="dxa"/>
            <w:vAlign w:val="center"/>
          </w:tcPr>
          <w:p w14:paraId="7AAA1BC1" w14:textId="77777777" w:rsidR="008143D9" w:rsidRPr="00AC3044" w:rsidRDefault="008143D9" w:rsidP="005A428D">
            <w:pPr>
              <w:rPr>
                <w:rFonts w:eastAsia="SimSun"/>
              </w:rPr>
            </w:pPr>
            <w:r w:rsidRPr="00AC3044">
              <w:rPr>
                <w:rFonts w:eastAsia="SimSun"/>
              </w:rPr>
              <w:t>12 г/м2</w:t>
            </w:r>
          </w:p>
        </w:tc>
        <w:tc>
          <w:tcPr>
            <w:tcW w:w="1559" w:type="dxa"/>
            <w:vAlign w:val="center"/>
          </w:tcPr>
          <w:p w14:paraId="6AF7A8BB" w14:textId="77777777" w:rsidR="008143D9" w:rsidRPr="00AC3044" w:rsidRDefault="008143D9" w:rsidP="005A428D">
            <w:pPr>
              <w:rPr>
                <w:rFonts w:eastAsia="SimSun"/>
              </w:rPr>
            </w:pPr>
            <w:r w:rsidRPr="00AC3044">
              <w:rPr>
                <w:rFonts w:eastAsia="SimSun"/>
              </w:rPr>
              <w:t>36 г/м</w:t>
            </w:r>
            <w:r w:rsidRPr="0074195F">
              <w:rPr>
                <w:rFonts w:eastAsia="SimSun"/>
                <w:vertAlign w:val="superscript"/>
              </w:rPr>
              <w:t>2</w:t>
            </w:r>
          </w:p>
        </w:tc>
        <w:tc>
          <w:tcPr>
            <w:tcW w:w="1559" w:type="dxa"/>
            <w:vAlign w:val="center"/>
          </w:tcPr>
          <w:p w14:paraId="3A11043F" w14:textId="77777777" w:rsidR="008143D9" w:rsidRPr="00AC3044" w:rsidRDefault="008143D9" w:rsidP="005A428D">
            <w:pPr>
              <w:rPr>
                <w:rFonts w:eastAsia="SimSun"/>
              </w:rPr>
            </w:pPr>
            <w:r w:rsidRPr="00AC3044">
              <w:rPr>
                <w:rFonts w:eastAsia="SimSun"/>
              </w:rPr>
              <w:t>С –6 по –4 день</w:t>
            </w:r>
          </w:p>
        </w:tc>
        <w:tc>
          <w:tcPr>
            <w:tcW w:w="2410" w:type="dxa"/>
            <w:vAlign w:val="center"/>
          </w:tcPr>
          <w:p w14:paraId="39DCB789" w14:textId="77777777" w:rsidR="008143D9" w:rsidRPr="00AC3044" w:rsidRDefault="008143D9" w:rsidP="005A428D">
            <w:pPr>
              <w:rPr>
                <w:rFonts w:eastAsia="SimSun"/>
              </w:rPr>
            </w:pPr>
            <w:r w:rsidRPr="00AC3044">
              <w:rPr>
                <w:rFonts w:eastAsia="SimSun"/>
              </w:rPr>
              <w:t>В/в, в течение 2 часов</w:t>
            </w:r>
          </w:p>
        </w:tc>
      </w:tr>
      <w:tr w:rsidR="008143D9" w:rsidRPr="00AC3044" w14:paraId="449F7ACF" w14:textId="77777777" w:rsidTr="005A428D">
        <w:trPr>
          <w:cantSplit/>
          <w:trHeight w:val="1534"/>
        </w:trPr>
        <w:tc>
          <w:tcPr>
            <w:tcW w:w="1103" w:type="dxa"/>
            <w:vMerge w:val="restart"/>
            <w:textDirection w:val="btLr"/>
            <w:vAlign w:val="center"/>
          </w:tcPr>
          <w:p w14:paraId="5153E969" w14:textId="77777777" w:rsidR="008143D9" w:rsidRPr="00AC3044" w:rsidRDefault="008143D9" w:rsidP="005A428D">
            <w:pPr>
              <w:rPr>
                <w:rFonts w:eastAsia="SimSun"/>
              </w:rPr>
            </w:pPr>
            <w:r w:rsidRPr="00AC3044">
              <w:rPr>
                <w:rFonts w:eastAsia="SimSun"/>
              </w:rPr>
              <w:t>Профилактика РТПХ</w:t>
            </w:r>
          </w:p>
        </w:tc>
        <w:tc>
          <w:tcPr>
            <w:tcW w:w="1559" w:type="dxa"/>
            <w:vAlign w:val="center"/>
          </w:tcPr>
          <w:p w14:paraId="1B2E31C5" w14:textId="77777777" w:rsidR="008143D9" w:rsidRPr="00AC3044" w:rsidRDefault="008143D9" w:rsidP="005A428D">
            <w:pPr>
              <w:rPr>
                <w:rFonts w:eastAsia="SimSun"/>
              </w:rPr>
            </w:pPr>
            <w:r w:rsidRPr="00AC3044">
              <w:rPr>
                <w:rFonts w:eastAsia="SimSun"/>
              </w:rPr>
              <w:t>Циклоспорин</w:t>
            </w:r>
          </w:p>
        </w:tc>
        <w:tc>
          <w:tcPr>
            <w:tcW w:w="1418" w:type="dxa"/>
            <w:vAlign w:val="center"/>
          </w:tcPr>
          <w:p w14:paraId="56381720" w14:textId="77777777" w:rsidR="008143D9" w:rsidRPr="00AC3044" w:rsidRDefault="008143D9" w:rsidP="005A428D">
            <w:pPr>
              <w:rPr>
                <w:rFonts w:eastAsia="SimSun"/>
              </w:rPr>
            </w:pPr>
            <w:r w:rsidRPr="00AC3044">
              <w:rPr>
                <w:rFonts w:eastAsia="SimSun"/>
              </w:rPr>
              <w:t>3 мг/кг</w:t>
            </w:r>
          </w:p>
        </w:tc>
        <w:tc>
          <w:tcPr>
            <w:tcW w:w="1559" w:type="dxa"/>
            <w:vAlign w:val="center"/>
          </w:tcPr>
          <w:p w14:paraId="40DC082F" w14:textId="77777777" w:rsidR="008143D9" w:rsidRPr="00AC3044" w:rsidRDefault="008143D9" w:rsidP="005A428D">
            <w:pPr>
              <w:rPr>
                <w:rFonts w:eastAsia="SimSun"/>
              </w:rPr>
            </w:pPr>
            <w:r w:rsidRPr="00AC3044">
              <w:rPr>
                <w:rFonts w:eastAsia="SimSun"/>
              </w:rPr>
              <w:t>–</w:t>
            </w:r>
          </w:p>
        </w:tc>
        <w:tc>
          <w:tcPr>
            <w:tcW w:w="1559" w:type="dxa"/>
            <w:vAlign w:val="center"/>
          </w:tcPr>
          <w:p w14:paraId="5432B995" w14:textId="77777777" w:rsidR="008143D9" w:rsidRPr="00AC3044" w:rsidRDefault="008143D9" w:rsidP="005A428D">
            <w:pPr>
              <w:rPr>
                <w:rFonts w:eastAsia="SimSun"/>
              </w:rPr>
            </w:pPr>
            <w:r w:rsidRPr="00AC3044">
              <w:rPr>
                <w:rFonts w:eastAsia="SimSun"/>
              </w:rPr>
              <w:t>С +5 дня по +90 день затем постепенное снижение к +180 дню</w:t>
            </w:r>
          </w:p>
        </w:tc>
        <w:tc>
          <w:tcPr>
            <w:tcW w:w="2410" w:type="dxa"/>
            <w:vAlign w:val="center"/>
          </w:tcPr>
          <w:p w14:paraId="3906600C" w14:textId="77777777" w:rsidR="008143D9" w:rsidRPr="00AC3044" w:rsidRDefault="008143D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8143D9" w:rsidRPr="00AC3044" w14:paraId="68A14047" w14:textId="77777777" w:rsidTr="005A428D">
        <w:trPr>
          <w:cantSplit/>
          <w:trHeight w:val="20"/>
        </w:trPr>
        <w:tc>
          <w:tcPr>
            <w:tcW w:w="1103" w:type="dxa"/>
            <w:vMerge/>
            <w:textDirection w:val="btLr"/>
          </w:tcPr>
          <w:p w14:paraId="353737DC" w14:textId="77777777" w:rsidR="008143D9" w:rsidRPr="00AC3044" w:rsidRDefault="008143D9" w:rsidP="005A428D">
            <w:pPr>
              <w:rPr>
                <w:rFonts w:eastAsia="SimSun"/>
              </w:rPr>
            </w:pPr>
          </w:p>
        </w:tc>
        <w:tc>
          <w:tcPr>
            <w:tcW w:w="1559" w:type="dxa"/>
            <w:vAlign w:val="center"/>
          </w:tcPr>
          <w:p w14:paraId="2266B28A" w14:textId="77777777" w:rsidR="008143D9" w:rsidRPr="00AC3044" w:rsidRDefault="008143D9" w:rsidP="005A428D">
            <w:pPr>
              <w:rPr>
                <w:rFonts w:eastAsia="SimSun"/>
              </w:rPr>
            </w:pPr>
            <w:r w:rsidRPr="00AC3044">
              <w:rPr>
                <w:rFonts w:eastAsia="SimSun"/>
              </w:rPr>
              <w:t>Микофенолата мофетил</w:t>
            </w:r>
          </w:p>
        </w:tc>
        <w:tc>
          <w:tcPr>
            <w:tcW w:w="1418" w:type="dxa"/>
            <w:vAlign w:val="center"/>
          </w:tcPr>
          <w:p w14:paraId="58DC13C6" w14:textId="77777777" w:rsidR="008143D9" w:rsidRPr="00AC3044" w:rsidRDefault="008143D9" w:rsidP="005A428D">
            <w:pPr>
              <w:rPr>
                <w:rFonts w:eastAsia="SimSun"/>
              </w:rPr>
            </w:pPr>
            <w:r w:rsidRPr="00AC3044">
              <w:rPr>
                <w:rFonts w:eastAsia="SimSun"/>
              </w:rPr>
              <w:t>30 мг/кг</w:t>
            </w:r>
          </w:p>
        </w:tc>
        <w:tc>
          <w:tcPr>
            <w:tcW w:w="1559" w:type="dxa"/>
            <w:vAlign w:val="center"/>
          </w:tcPr>
          <w:p w14:paraId="0DEF8340" w14:textId="77777777" w:rsidR="008143D9" w:rsidRPr="00AC3044" w:rsidRDefault="008143D9" w:rsidP="005A428D">
            <w:pPr>
              <w:rPr>
                <w:rFonts w:eastAsia="SimSun"/>
              </w:rPr>
            </w:pPr>
            <w:r w:rsidRPr="00AC3044">
              <w:rPr>
                <w:rFonts w:eastAsia="SimSun"/>
              </w:rPr>
              <w:t>–</w:t>
            </w:r>
          </w:p>
        </w:tc>
        <w:tc>
          <w:tcPr>
            <w:tcW w:w="1559" w:type="dxa"/>
            <w:vAlign w:val="center"/>
          </w:tcPr>
          <w:p w14:paraId="388AEC71" w14:textId="77777777" w:rsidR="008143D9" w:rsidRPr="00AC3044" w:rsidRDefault="008143D9" w:rsidP="005A428D">
            <w:pPr>
              <w:rPr>
                <w:rFonts w:eastAsia="SimSun"/>
              </w:rPr>
            </w:pPr>
            <w:r w:rsidRPr="00AC3044">
              <w:rPr>
                <w:rFonts w:eastAsia="SimSun"/>
              </w:rPr>
              <w:t>С +5 по +90 день</w:t>
            </w:r>
          </w:p>
        </w:tc>
        <w:tc>
          <w:tcPr>
            <w:tcW w:w="2410" w:type="dxa"/>
            <w:vAlign w:val="center"/>
          </w:tcPr>
          <w:p w14:paraId="449D7BC0" w14:textId="77777777" w:rsidR="008143D9" w:rsidRPr="00AC3044" w:rsidRDefault="008143D9" w:rsidP="005A428D">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8143D9" w:rsidRPr="00AC3044" w14:paraId="303A34A2" w14:textId="77777777" w:rsidTr="005A428D">
        <w:trPr>
          <w:cantSplit/>
          <w:trHeight w:val="20"/>
        </w:trPr>
        <w:tc>
          <w:tcPr>
            <w:tcW w:w="1103" w:type="dxa"/>
            <w:vMerge/>
            <w:textDirection w:val="btLr"/>
          </w:tcPr>
          <w:p w14:paraId="0D2BC13B" w14:textId="77777777" w:rsidR="008143D9" w:rsidRPr="00AC3044" w:rsidRDefault="008143D9" w:rsidP="005A428D">
            <w:pPr>
              <w:rPr>
                <w:rFonts w:eastAsia="SimSun"/>
              </w:rPr>
            </w:pPr>
          </w:p>
        </w:tc>
        <w:tc>
          <w:tcPr>
            <w:tcW w:w="1559" w:type="dxa"/>
            <w:vAlign w:val="center"/>
          </w:tcPr>
          <w:p w14:paraId="62A0BB50" w14:textId="77777777" w:rsidR="008143D9" w:rsidRPr="00AC3044" w:rsidRDefault="008143D9" w:rsidP="005A428D">
            <w:pPr>
              <w:rPr>
                <w:rFonts w:eastAsia="SimSun"/>
              </w:rPr>
            </w:pPr>
            <w:r w:rsidRPr="00AC3044">
              <w:rPr>
                <w:rFonts w:eastAsia="SimSun"/>
              </w:rPr>
              <w:t>Циклофосфамид</w:t>
            </w:r>
          </w:p>
        </w:tc>
        <w:tc>
          <w:tcPr>
            <w:tcW w:w="1418" w:type="dxa"/>
            <w:vAlign w:val="center"/>
          </w:tcPr>
          <w:p w14:paraId="4B3EE5D2" w14:textId="77777777" w:rsidR="008143D9" w:rsidRPr="00AC3044" w:rsidRDefault="008143D9" w:rsidP="005A428D">
            <w:pPr>
              <w:rPr>
                <w:rFonts w:eastAsia="SimSun"/>
              </w:rPr>
            </w:pPr>
            <w:r w:rsidRPr="00AC3044">
              <w:rPr>
                <w:rFonts w:eastAsia="SimSun"/>
              </w:rPr>
              <w:t>50 мг/кг</w:t>
            </w:r>
          </w:p>
        </w:tc>
        <w:tc>
          <w:tcPr>
            <w:tcW w:w="1559" w:type="dxa"/>
            <w:vAlign w:val="center"/>
          </w:tcPr>
          <w:p w14:paraId="4703897F" w14:textId="77777777" w:rsidR="008143D9" w:rsidRPr="00AC3044" w:rsidRDefault="008143D9" w:rsidP="005A428D">
            <w:pPr>
              <w:rPr>
                <w:rFonts w:eastAsia="SimSun"/>
              </w:rPr>
            </w:pPr>
            <w:r w:rsidRPr="00AC3044">
              <w:rPr>
                <w:rFonts w:eastAsia="SimSun"/>
              </w:rPr>
              <w:t>100 мг/кг</w:t>
            </w:r>
          </w:p>
        </w:tc>
        <w:tc>
          <w:tcPr>
            <w:tcW w:w="1559" w:type="dxa"/>
            <w:vAlign w:val="center"/>
          </w:tcPr>
          <w:p w14:paraId="6DBEAFAA" w14:textId="77777777" w:rsidR="008143D9" w:rsidRPr="00AC3044" w:rsidRDefault="008143D9" w:rsidP="005A428D">
            <w:pPr>
              <w:rPr>
                <w:rFonts w:eastAsia="SimSun"/>
              </w:rPr>
            </w:pPr>
            <w:r w:rsidRPr="00AC3044">
              <w:rPr>
                <w:rFonts w:eastAsia="SimSun"/>
              </w:rPr>
              <w:t xml:space="preserve">+3,+4 дни </w:t>
            </w:r>
          </w:p>
        </w:tc>
        <w:tc>
          <w:tcPr>
            <w:tcW w:w="2410" w:type="dxa"/>
            <w:vAlign w:val="center"/>
          </w:tcPr>
          <w:p w14:paraId="4766077E" w14:textId="77777777" w:rsidR="008143D9" w:rsidRPr="00AC3044" w:rsidRDefault="008143D9" w:rsidP="005A428D">
            <w:pPr>
              <w:rPr>
                <w:rFonts w:eastAsia="SimSun"/>
              </w:rPr>
            </w:pPr>
            <w:r w:rsidRPr="00AC3044">
              <w:rPr>
                <w:rFonts w:eastAsia="SimSun"/>
              </w:rPr>
              <w:t>В/в, в течение 2 часов</w:t>
            </w:r>
          </w:p>
        </w:tc>
      </w:tr>
    </w:tbl>
    <w:p w14:paraId="4401E5BF" w14:textId="77777777" w:rsidR="008143D9" w:rsidRDefault="008143D9" w:rsidP="008143D9">
      <w:pPr>
        <w:rPr>
          <w:rFonts w:eastAsia="SimSun"/>
        </w:rPr>
      </w:pPr>
      <w:bookmarkStart w:id="194" w:name="_Toc44401236"/>
    </w:p>
    <w:p w14:paraId="17D7A163" w14:textId="77777777" w:rsidR="008143D9" w:rsidRPr="00C07B2E" w:rsidRDefault="008143D9" w:rsidP="008143D9">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3.1.11  – Flu150+Treo36 / PT-Cy+CSA+MMF45</w:t>
      </w:r>
      <w:bookmarkEnd w:id="194"/>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8143D9" w:rsidRPr="00AC3044" w14:paraId="29EF553D" w14:textId="77777777" w:rsidTr="005A428D">
        <w:trPr>
          <w:cantSplit/>
          <w:trHeight w:val="20"/>
          <w:tblHeader/>
        </w:trPr>
        <w:tc>
          <w:tcPr>
            <w:tcW w:w="1135" w:type="dxa"/>
          </w:tcPr>
          <w:p w14:paraId="46571401" w14:textId="77777777" w:rsidR="008143D9" w:rsidRPr="006A5E21" w:rsidRDefault="008143D9" w:rsidP="005A428D">
            <w:pPr>
              <w:rPr>
                <w:rFonts w:eastAsia="SimSun"/>
              </w:rPr>
            </w:pPr>
          </w:p>
        </w:tc>
        <w:tc>
          <w:tcPr>
            <w:tcW w:w="1559" w:type="dxa"/>
            <w:vAlign w:val="center"/>
          </w:tcPr>
          <w:p w14:paraId="15A73751" w14:textId="77777777" w:rsidR="008143D9" w:rsidRPr="00AC3044" w:rsidRDefault="008143D9" w:rsidP="005A428D">
            <w:pPr>
              <w:rPr>
                <w:rFonts w:eastAsia="SimSun"/>
              </w:rPr>
            </w:pPr>
            <w:r w:rsidRPr="00AC3044">
              <w:rPr>
                <w:rFonts w:eastAsia="SimSun"/>
              </w:rPr>
              <w:t>Препарат</w:t>
            </w:r>
          </w:p>
        </w:tc>
        <w:tc>
          <w:tcPr>
            <w:tcW w:w="1418" w:type="dxa"/>
            <w:vAlign w:val="center"/>
          </w:tcPr>
          <w:p w14:paraId="4B01E6CE" w14:textId="77777777" w:rsidR="008143D9" w:rsidRPr="00AC3044" w:rsidRDefault="008143D9" w:rsidP="005A428D">
            <w:pPr>
              <w:rPr>
                <w:rFonts w:eastAsia="SimSun"/>
              </w:rPr>
            </w:pPr>
            <w:r w:rsidRPr="00AC3044">
              <w:rPr>
                <w:rFonts w:eastAsia="SimSun"/>
              </w:rPr>
              <w:t>Суточная доза</w:t>
            </w:r>
          </w:p>
        </w:tc>
        <w:tc>
          <w:tcPr>
            <w:tcW w:w="1559" w:type="dxa"/>
            <w:vAlign w:val="center"/>
          </w:tcPr>
          <w:p w14:paraId="23005883" w14:textId="77777777" w:rsidR="008143D9" w:rsidRPr="00AC3044" w:rsidRDefault="008143D9" w:rsidP="005A428D">
            <w:pPr>
              <w:rPr>
                <w:rFonts w:eastAsia="SimSun"/>
              </w:rPr>
            </w:pPr>
            <w:r w:rsidRPr="00AC3044">
              <w:rPr>
                <w:rFonts w:eastAsia="SimSun"/>
              </w:rPr>
              <w:t>Курсовая доза</w:t>
            </w:r>
          </w:p>
        </w:tc>
        <w:tc>
          <w:tcPr>
            <w:tcW w:w="1559" w:type="dxa"/>
            <w:vAlign w:val="center"/>
          </w:tcPr>
          <w:p w14:paraId="5F504DBD" w14:textId="77777777" w:rsidR="008143D9" w:rsidRPr="00AC3044" w:rsidRDefault="008143D9" w:rsidP="005A428D">
            <w:pPr>
              <w:rPr>
                <w:rFonts w:eastAsia="SimSun"/>
              </w:rPr>
            </w:pPr>
            <w:r w:rsidRPr="00AC3044">
              <w:rPr>
                <w:rFonts w:eastAsia="SimSun"/>
              </w:rPr>
              <w:t>Дни введения</w:t>
            </w:r>
          </w:p>
        </w:tc>
        <w:tc>
          <w:tcPr>
            <w:tcW w:w="2410" w:type="dxa"/>
            <w:vAlign w:val="center"/>
          </w:tcPr>
          <w:p w14:paraId="26C335B0"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0E4B3E42" w14:textId="77777777" w:rsidTr="005A428D">
        <w:trPr>
          <w:cantSplit/>
          <w:trHeight w:val="20"/>
        </w:trPr>
        <w:tc>
          <w:tcPr>
            <w:tcW w:w="1135" w:type="dxa"/>
            <w:vMerge w:val="restart"/>
            <w:textDirection w:val="btLr"/>
            <w:vAlign w:val="center"/>
          </w:tcPr>
          <w:p w14:paraId="5DA5D6C1" w14:textId="77777777" w:rsidR="008143D9" w:rsidRPr="00AC3044" w:rsidRDefault="008143D9" w:rsidP="005A428D">
            <w:pPr>
              <w:rPr>
                <w:rFonts w:eastAsia="SimSun"/>
              </w:rPr>
            </w:pPr>
            <w:r w:rsidRPr="00AC3044">
              <w:rPr>
                <w:rFonts w:eastAsia="SimSun"/>
              </w:rPr>
              <w:t>Кондиционирование</w:t>
            </w:r>
          </w:p>
        </w:tc>
        <w:tc>
          <w:tcPr>
            <w:tcW w:w="1559" w:type="dxa"/>
            <w:vAlign w:val="center"/>
          </w:tcPr>
          <w:p w14:paraId="3E2CA2E6" w14:textId="77777777" w:rsidR="008143D9" w:rsidRPr="00AC3044" w:rsidRDefault="008143D9" w:rsidP="005A428D">
            <w:pPr>
              <w:rPr>
                <w:rFonts w:eastAsia="SimSun"/>
              </w:rPr>
            </w:pPr>
            <w:r w:rsidRPr="00AC3044">
              <w:rPr>
                <w:rFonts w:eastAsia="SimSun"/>
              </w:rPr>
              <w:t xml:space="preserve">Флударабин </w:t>
            </w:r>
          </w:p>
        </w:tc>
        <w:tc>
          <w:tcPr>
            <w:tcW w:w="1418" w:type="dxa"/>
            <w:vAlign w:val="center"/>
          </w:tcPr>
          <w:p w14:paraId="517223E6" w14:textId="77777777" w:rsidR="008143D9" w:rsidRPr="00AC3044" w:rsidRDefault="008143D9" w:rsidP="005A428D">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22D8204C" w14:textId="77777777" w:rsidR="008143D9" w:rsidRPr="00AC3044" w:rsidRDefault="008143D9" w:rsidP="005A428D">
            <w:pPr>
              <w:rPr>
                <w:rFonts w:eastAsia="SimSun"/>
              </w:rPr>
            </w:pPr>
            <w:r w:rsidRPr="00AC3044">
              <w:rPr>
                <w:rFonts w:eastAsia="SimSun"/>
              </w:rPr>
              <w:t>150 мг/м</w:t>
            </w:r>
            <w:r w:rsidRPr="0074195F">
              <w:rPr>
                <w:rFonts w:eastAsia="SimSun"/>
                <w:vertAlign w:val="superscript"/>
              </w:rPr>
              <w:t>2</w:t>
            </w:r>
          </w:p>
        </w:tc>
        <w:tc>
          <w:tcPr>
            <w:tcW w:w="1559" w:type="dxa"/>
            <w:vAlign w:val="center"/>
          </w:tcPr>
          <w:p w14:paraId="585BD31B" w14:textId="77777777" w:rsidR="008143D9" w:rsidRPr="00AC3044" w:rsidRDefault="008143D9" w:rsidP="005A428D">
            <w:pPr>
              <w:rPr>
                <w:rFonts w:eastAsia="SimSun"/>
              </w:rPr>
            </w:pPr>
            <w:r w:rsidRPr="00AC3044">
              <w:rPr>
                <w:rFonts w:eastAsia="SimSun"/>
              </w:rPr>
              <w:t>С –6 по –2 день</w:t>
            </w:r>
          </w:p>
        </w:tc>
        <w:tc>
          <w:tcPr>
            <w:tcW w:w="2410" w:type="dxa"/>
            <w:vAlign w:val="center"/>
          </w:tcPr>
          <w:p w14:paraId="55BEA84C" w14:textId="77777777" w:rsidR="008143D9" w:rsidRPr="00AC3044" w:rsidRDefault="008143D9" w:rsidP="005A428D">
            <w:pPr>
              <w:rPr>
                <w:rFonts w:eastAsia="SimSun"/>
              </w:rPr>
            </w:pPr>
            <w:r w:rsidRPr="00AC3044">
              <w:rPr>
                <w:rFonts w:eastAsia="SimSun"/>
              </w:rPr>
              <w:t xml:space="preserve"> В/в, в течение 30 -60 мин</w:t>
            </w:r>
          </w:p>
        </w:tc>
      </w:tr>
      <w:tr w:rsidR="008143D9" w:rsidRPr="00AC3044" w14:paraId="45CB5B97" w14:textId="77777777" w:rsidTr="005A428D">
        <w:trPr>
          <w:cantSplit/>
          <w:trHeight w:val="985"/>
        </w:trPr>
        <w:tc>
          <w:tcPr>
            <w:tcW w:w="1135" w:type="dxa"/>
            <w:vMerge/>
            <w:textDirection w:val="btLr"/>
            <w:vAlign w:val="center"/>
          </w:tcPr>
          <w:p w14:paraId="77A02ADD" w14:textId="77777777" w:rsidR="008143D9" w:rsidRPr="00AC3044" w:rsidRDefault="008143D9" w:rsidP="005A428D">
            <w:pPr>
              <w:rPr>
                <w:rFonts w:eastAsia="SimSun"/>
              </w:rPr>
            </w:pPr>
          </w:p>
        </w:tc>
        <w:tc>
          <w:tcPr>
            <w:tcW w:w="1559" w:type="dxa"/>
            <w:vAlign w:val="center"/>
          </w:tcPr>
          <w:p w14:paraId="569945A9" w14:textId="77777777" w:rsidR="008143D9" w:rsidRPr="00AC3044" w:rsidRDefault="008143D9" w:rsidP="005A428D">
            <w:pPr>
              <w:rPr>
                <w:rFonts w:eastAsia="SimSun"/>
              </w:rPr>
            </w:pPr>
            <w:r w:rsidRPr="00AC3044">
              <w:rPr>
                <w:rFonts w:eastAsia="SimSun"/>
              </w:rPr>
              <w:t>Треосульфан</w:t>
            </w:r>
          </w:p>
        </w:tc>
        <w:tc>
          <w:tcPr>
            <w:tcW w:w="1418" w:type="dxa"/>
            <w:vAlign w:val="center"/>
          </w:tcPr>
          <w:p w14:paraId="51125B74" w14:textId="77777777" w:rsidR="008143D9" w:rsidRPr="00AC3044" w:rsidRDefault="008143D9" w:rsidP="005A428D">
            <w:pPr>
              <w:rPr>
                <w:rFonts w:eastAsia="SimSun"/>
              </w:rPr>
            </w:pPr>
            <w:r w:rsidRPr="00AC3044">
              <w:rPr>
                <w:rFonts w:eastAsia="SimSun"/>
              </w:rPr>
              <w:t>12 г/м</w:t>
            </w:r>
            <w:r w:rsidRPr="0074195F">
              <w:rPr>
                <w:rFonts w:eastAsia="SimSun"/>
                <w:vertAlign w:val="superscript"/>
              </w:rPr>
              <w:t>2</w:t>
            </w:r>
          </w:p>
        </w:tc>
        <w:tc>
          <w:tcPr>
            <w:tcW w:w="1559" w:type="dxa"/>
            <w:vAlign w:val="center"/>
          </w:tcPr>
          <w:p w14:paraId="484B6308" w14:textId="77777777" w:rsidR="008143D9" w:rsidRPr="00AC3044" w:rsidRDefault="008143D9" w:rsidP="005A428D">
            <w:pPr>
              <w:rPr>
                <w:rFonts w:eastAsia="SimSun"/>
              </w:rPr>
            </w:pPr>
            <w:r w:rsidRPr="00AC3044">
              <w:rPr>
                <w:rFonts w:eastAsia="SimSun"/>
              </w:rPr>
              <w:t>36 г/м</w:t>
            </w:r>
            <w:r w:rsidRPr="0074195F">
              <w:rPr>
                <w:rFonts w:eastAsia="SimSun"/>
                <w:vertAlign w:val="superscript"/>
              </w:rPr>
              <w:t>2</w:t>
            </w:r>
          </w:p>
        </w:tc>
        <w:tc>
          <w:tcPr>
            <w:tcW w:w="1559" w:type="dxa"/>
            <w:vAlign w:val="center"/>
          </w:tcPr>
          <w:p w14:paraId="0F230758" w14:textId="77777777" w:rsidR="008143D9" w:rsidRPr="00AC3044" w:rsidRDefault="008143D9" w:rsidP="005A428D">
            <w:pPr>
              <w:rPr>
                <w:rFonts w:eastAsia="SimSun"/>
              </w:rPr>
            </w:pPr>
            <w:r w:rsidRPr="00AC3044">
              <w:rPr>
                <w:rFonts w:eastAsia="SimSun"/>
              </w:rPr>
              <w:t>С –6 по –4 день</w:t>
            </w:r>
          </w:p>
        </w:tc>
        <w:tc>
          <w:tcPr>
            <w:tcW w:w="2410" w:type="dxa"/>
            <w:vAlign w:val="center"/>
          </w:tcPr>
          <w:p w14:paraId="4DDD81DA" w14:textId="77777777" w:rsidR="008143D9" w:rsidRPr="00AC3044" w:rsidRDefault="008143D9" w:rsidP="005A428D">
            <w:pPr>
              <w:rPr>
                <w:rFonts w:eastAsia="SimSun"/>
              </w:rPr>
            </w:pPr>
            <w:r w:rsidRPr="00AC3044">
              <w:rPr>
                <w:rFonts w:eastAsia="SimSun"/>
              </w:rPr>
              <w:t>В/в, в течение 2 часов</w:t>
            </w:r>
          </w:p>
        </w:tc>
      </w:tr>
      <w:tr w:rsidR="008143D9" w:rsidRPr="00AC3044" w14:paraId="151BE7D6" w14:textId="77777777" w:rsidTr="005A428D">
        <w:trPr>
          <w:cantSplit/>
          <w:trHeight w:val="1680"/>
        </w:trPr>
        <w:tc>
          <w:tcPr>
            <w:tcW w:w="1135" w:type="dxa"/>
            <w:vMerge w:val="restart"/>
            <w:textDirection w:val="btLr"/>
            <w:vAlign w:val="center"/>
          </w:tcPr>
          <w:p w14:paraId="25859011" w14:textId="77777777" w:rsidR="008143D9" w:rsidRPr="00AC3044" w:rsidRDefault="008143D9" w:rsidP="005A428D">
            <w:pPr>
              <w:rPr>
                <w:rFonts w:eastAsia="SimSun"/>
              </w:rPr>
            </w:pPr>
            <w:r w:rsidRPr="00AC3044">
              <w:rPr>
                <w:rFonts w:eastAsia="SimSun"/>
              </w:rPr>
              <w:t>Профилактика РТПХ</w:t>
            </w:r>
          </w:p>
        </w:tc>
        <w:tc>
          <w:tcPr>
            <w:tcW w:w="1559" w:type="dxa"/>
            <w:vAlign w:val="center"/>
          </w:tcPr>
          <w:p w14:paraId="0FF49859" w14:textId="77777777" w:rsidR="008143D9" w:rsidRPr="00AC3044" w:rsidRDefault="008143D9" w:rsidP="005A428D">
            <w:pPr>
              <w:rPr>
                <w:rFonts w:eastAsia="SimSun"/>
              </w:rPr>
            </w:pPr>
            <w:r w:rsidRPr="00AC3044">
              <w:rPr>
                <w:rFonts w:eastAsia="SimSun"/>
              </w:rPr>
              <w:t>Циклоспорин</w:t>
            </w:r>
          </w:p>
        </w:tc>
        <w:tc>
          <w:tcPr>
            <w:tcW w:w="1418" w:type="dxa"/>
            <w:vAlign w:val="center"/>
          </w:tcPr>
          <w:p w14:paraId="35853C57" w14:textId="77777777" w:rsidR="008143D9" w:rsidRPr="00AC3044" w:rsidRDefault="008143D9" w:rsidP="005A428D">
            <w:pPr>
              <w:rPr>
                <w:rFonts w:eastAsia="SimSun"/>
              </w:rPr>
            </w:pPr>
            <w:r w:rsidRPr="00AC3044">
              <w:rPr>
                <w:rFonts w:eastAsia="SimSun"/>
              </w:rPr>
              <w:t>3 мг/кг</w:t>
            </w:r>
          </w:p>
        </w:tc>
        <w:tc>
          <w:tcPr>
            <w:tcW w:w="1559" w:type="dxa"/>
            <w:vAlign w:val="center"/>
          </w:tcPr>
          <w:p w14:paraId="53689D50" w14:textId="77777777" w:rsidR="008143D9" w:rsidRPr="00AC3044" w:rsidRDefault="008143D9" w:rsidP="005A428D">
            <w:pPr>
              <w:rPr>
                <w:rFonts w:eastAsia="SimSun"/>
              </w:rPr>
            </w:pPr>
            <w:r w:rsidRPr="00AC3044">
              <w:rPr>
                <w:rFonts w:eastAsia="SimSun"/>
              </w:rPr>
              <w:t>–</w:t>
            </w:r>
          </w:p>
        </w:tc>
        <w:tc>
          <w:tcPr>
            <w:tcW w:w="1559" w:type="dxa"/>
            <w:vAlign w:val="center"/>
          </w:tcPr>
          <w:p w14:paraId="6F67D961" w14:textId="77777777" w:rsidR="008143D9" w:rsidRPr="00AC3044" w:rsidRDefault="008143D9" w:rsidP="005A428D">
            <w:pPr>
              <w:rPr>
                <w:rFonts w:eastAsia="SimSun"/>
              </w:rPr>
            </w:pPr>
            <w:r w:rsidRPr="00AC3044">
              <w:rPr>
                <w:rFonts w:eastAsia="SimSun"/>
              </w:rPr>
              <w:t>С +5 дня по +90 день затем постепенное снижение к +180 дню</w:t>
            </w:r>
          </w:p>
        </w:tc>
        <w:tc>
          <w:tcPr>
            <w:tcW w:w="2410" w:type="dxa"/>
            <w:vAlign w:val="center"/>
          </w:tcPr>
          <w:p w14:paraId="7E0B5DD6" w14:textId="77777777" w:rsidR="008143D9" w:rsidRPr="00AC3044" w:rsidRDefault="008143D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8143D9" w:rsidRPr="00AC3044" w14:paraId="5266C02F" w14:textId="77777777" w:rsidTr="005A428D">
        <w:trPr>
          <w:cantSplit/>
          <w:trHeight w:val="20"/>
        </w:trPr>
        <w:tc>
          <w:tcPr>
            <w:tcW w:w="1135" w:type="dxa"/>
            <w:vMerge/>
            <w:textDirection w:val="btLr"/>
          </w:tcPr>
          <w:p w14:paraId="6A99B16A" w14:textId="77777777" w:rsidR="008143D9" w:rsidRPr="00AC3044" w:rsidRDefault="008143D9" w:rsidP="005A428D">
            <w:pPr>
              <w:rPr>
                <w:rFonts w:eastAsia="SimSun"/>
              </w:rPr>
            </w:pPr>
          </w:p>
        </w:tc>
        <w:tc>
          <w:tcPr>
            <w:tcW w:w="1559" w:type="dxa"/>
            <w:vAlign w:val="center"/>
          </w:tcPr>
          <w:p w14:paraId="253823F3" w14:textId="77777777" w:rsidR="008143D9" w:rsidRPr="00AC3044" w:rsidRDefault="008143D9" w:rsidP="005A428D">
            <w:pPr>
              <w:rPr>
                <w:rFonts w:eastAsia="SimSun"/>
              </w:rPr>
            </w:pPr>
            <w:r w:rsidRPr="00AC3044">
              <w:rPr>
                <w:rFonts w:eastAsia="SimSun"/>
              </w:rPr>
              <w:t>Микофенолата мофетил</w:t>
            </w:r>
          </w:p>
        </w:tc>
        <w:tc>
          <w:tcPr>
            <w:tcW w:w="1418" w:type="dxa"/>
            <w:vAlign w:val="center"/>
          </w:tcPr>
          <w:p w14:paraId="75C7DF17" w14:textId="77777777" w:rsidR="008143D9" w:rsidRPr="00AC3044" w:rsidRDefault="008143D9" w:rsidP="005A428D">
            <w:pPr>
              <w:rPr>
                <w:rFonts w:eastAsia="SimSun"/>
              </w:rPr>
            </w:pPr>
            <w:r w:rsidRPr="00AC3044">
              <w:rPr>
                <w:rFonts w:eastAsia="SimSun"/>
              </w:rPr>
              <w:t>45 мг/кг</w:t>
            </w:r>
          </w:p>
        </w:tc>
        <w:tc>
          <w:tcPr>
            <w:tcW w:w="1559" w:type="dxa"/>
            <w:vAlign w:val="center"/>
          </w:tcPr>
          <w:p w14:paraId="0FC66FF1" w14:textId="77777777" w:rsidR="008143D9" w:rsidRPr="00AC3044" w:rsidRDefault="008143D9" w:rsidP="005A428D">
            <w:pPr>
              <w:rPr>
                <w:rFonts w:eastAsia="SimSun"/>
              </w:rPr>
            </w:pPr>
            <w:r w:rsidRPr="00AC3044">
              <w:rPr>
                <w:rFonts w:eastAsia="SimSun"/>
              </w:rPr>
              <w:t>–</w:t>
            </w:r>
          </w:p>
        </w:tc>
        <w:tc>
          <w:tcPr>
            <w:tcW w:w="1559" w:type="dxa"/>
            <w:vAlign w:val="center"/>
          </w:tcPr>
          <w:p w14:paraId="4AC12A52" w14:textId="77777777" w:rsidR="008143D9" w:rsidRPr="00AC3044" w:rsidRDefault="008143D9" w:rsidP="005A428D">
            <w:pPr>
              <w:rPr>
                <w:rFonts w:eastAsia="SimSun"/>
              </w:rPr>
            </w:pPr>
            <w:r w:rsidRPr="00AC3044">
              <w:rPr>
                <w:rFonts w:eastAsia="SimSun"/>
              </w:rPr>
              <w:t>С +5 по +90 день</w:t>
            </w:r>
          </w:p>
        </w:tc>
        <w:tc>
          <w:tcPr>
            <w:tcW w:w="2410" w:type="dxa"/>
            <w:vAlign w:val="center"/>
          </w:tcPr>
          <w:p w14:paraId="6F816759" w14:textId="77777777" w:rsidR="008143D9" w:rsidRPr="00AC3044" w:rsidRDefault="008143D9" w:rsidP="005A428D">
            <w:pPr>
              <w:rPr>
                <w:rFonts w:eastAsia="SimSun"/>
              </w:rPr>
            </w:pPr>
            <w:r w:rsidRPr="00AC3044">
              <w:rPr>
                <w:rFonts w:eastAsia="SimSun"/>
              </w:rPr>
              <w:t xml:space="preserve">Внутрь, суммарная суточная доза разделяется на 2- 4 приема (не более 3г/сут).  </w:t>
            </w:r>
          </w:p>
        </w:tc>
      </w:tr>
      <w:tr w:rsidR="008143D9" w:rsidRPr="00AC3044" w14:paraId="3B91EC2F" w14:textId="77777777" w:rsidTr="005A428D">
        <w:trPr>
          <w:cantSplit/>
          <w:trHeight w:val="20"/>
        </w:trPr>
        <w:tc>
          <w:tcPr>
            <w:tcW w:w="1135" w:type="dxa"/>
            <w:vMerge/>
            <w:textDirection w:val="btLr"/>
          </w:tcPr>
          <w:p w14:paraId="4AE7B8D8" w14:textId="77777777" w:rsidR="008143D9" w:rsidRPr="00AC3044" w:rsidRDefault="008143D9" w:rsidP="005A428D">
            <w:pPr>
              <w:rPr>
                <w:rFonts w:eastAsia="SimSun"/>
              </w:rPr>
            </w:pPr>
          </w:p>
        </w:tc>
        <w:tc>
          <w:tcPr>
            <w:tcW w:w="1559" w:type="dxa"/>
            <w:vAlign w:val="center"/>
          </w:tcPr>
          <w:p w14:paraId="36AB1448" w14:textId="77777777" w:rsidR="008143D9" w:rsidRPr="00AC3044" w:rsidRDefault="008143D9" w:rsidP="005A428D">
            <w:pPr>
              <w:rPr>
                <w:rFonts w:eastAsia="SimSun"/>
              </w:rPr>
            </w:pPr>
            <w:r w:rsidRPr="00AC3044">
              <w:rPr>
                <w:rFonts w:eastAsia="SimSun"/>
              </w:rPr>
              <w:t>Циклофосфамид</w:t>
            </w:r>
          </w:p>
        </w:tc>
        <w:tc>
          <w:tcPr>
            <w:tcW w:w="1418" w:type="dxa"/>
            <w:vAlign w:val="center"/>
          </w:tcPr>
          <w:p w14:paraId="5C35D184" w14:textId="77777777" w:rsidR="008143D9" w:rsidRPr="00AC3044" w:rsidRDefault="008143D9" w:rsidP="005A428D">
            <w:pPr>
              <w:rPr>
                <w:rFonts w:eastAsia="SimSun"/>
              </w:rPr>
            </w:pPr>
            <w:r w:rsidRPr="00AC3044">
              <w:rPr>
                <w:rFonts w:eastAsia="SimSun"/>
              </w:rPr>
              <w:t>50 мг/кг</w:t>
            </w:r>
          </w:p>
        </w:tc>
        <w:tc>
          <w:tcPr>
            <w:tcW w:w="1559" w:type="dxa"/>
            <w:vAlign w:val="center"/>
          </w:tcPr>
          <w:p w14:paraId="17B39A1C" w14:textId="77777777" w:rsidR="008143D9" w:rsidRPr="00AC3044" w:rsidRDefault="008143D9" w:rsidP="005A428D">
            <w:pPr>
              <w:rPr>
                <w:rFonts w:eastAsia="SimSun"/>
              </w:rPr>
            </w:pPr>
            <w:r w:rsidRPr="00AC3044">
              <w:rPr>
                <w:rFonts w:eastAsia="SimSun"/>
              </w:rPr>
              <w:t>100 мг/кг</w:t>
            </w:r>
          </w:p>
        </w:tc>
        <w:tc>
          <w:tcPr>
            <w:tcW w:w="1559" w:type="dxa"/>
            <w:vAlign w:val="center"/>
          </w:tcPr>
          <w:p w14:paraId="602BDFE3" w14:textId="77777777" w:rsidR="008143D9" w:rsidRPr="00AC3044" w:rsidRDefault="008143D9" w:rsidP="005A428D">
            <w:pPr>
              <w:rPr>
                <w:rFonts w:eastAsia="SimSun"/>
              </w:rPr>
            </w:pPr>
            <w:r w:rsidRPr="00AC3044">
              <w:rPr>
                <w:rFonts w:eastAsia="SimSun"/>
              </w:rPr>
              <w:t xml:space="preserve">+3,+4 дни </w:t>
            </w:r>
          </w:p>
        </w:tc>
        <w:tc>
          <w:tcPr>
            <w:tcW w:w="2410" w:type="dxa"/>
            <w:vAlign w:val="center"/>
          </w:tcPr>
          <w:p w14:paraId="0E38FEC1" w14:textId="77777777" w:rsidR="008143D9" w:rsidRPr="00AC3044" w:rsidRDefault="008143D9" w:rsidP="005A428D">
            <w:pPr>
              <w:rPr>
                <w:rFonts w:eastAsia="SimSun"/>
              </w:rPr>
            </w:pPr>
            <w:r w:rsidRPr="00AC3044">
              <w:rPr>
                <w:rFonts w:eastAsia="SimSun"/>
              </w:rPr>
              <w:t>В/в, в течение 2 часов</w:t>
            </w:r>
          </w:p>
        </w:tc>
      </w:tr>
    </w:tbl>
    <w:p w14:paraId="681E9825" w14:textId="77777777" w:rsidR="008143D9" w:rsidRPr="00C07B2E" w:rsidRDefault="008143D9" w:rsidP="008143D9">
      <w:pPr>
        <w:rPr>
          <w:rFonts w:eastAsia="SimSun"/>
        </w:rPr>
      </w:pPr>
    </w:p>
    <w:p w14:paraId="78BFB1CF" w14:textId="77777777" w:rsidR="008143D9" w:rsidRPr="00C07B2E" w:rsidRDefault="008143D9" w:rsidP="008143D9">
      <w:pPr>
        <w:rPr>
          <w:rFonts w:eastAsia="SimSun"/>
        </w:rPr>
      </w:pPr>
    </w:p>
    <w:p w14:paraId="6D154164" w14:textId="77777777" w:rsidR="008143D9" w:rsidRPr="00C07B2E" w:rsidRDefault="008143D9" w:rsidP="008143D9">
      <w:pPr>
        <w:rPr>
          <w:rFonts w:eastAsia="SimSun"/>
        </w:rPr>
      </w:pPr>
      <w:bookmarkStart w:id="195" w:name="_Toc44401237"/>
      <w:r>
        <w:rPr>
          <w:rFonts w:eastAsia="SimSun"/>
        </w:rPr>
        <w:t>Таблица</w:t>
      </w:r>
      <w:r w:rsidRPr="00C07B2E">
        <w:rPr>
          <w:rFonts w:eastAsia="SimSun"/>
        </w:rPr>
        <w:t xml:space="preserve"> </w:t>
      </w:r>
      <w:r>
        <w:rPr>
          <w:rFonts w:eastAsia="SimSun"/>
        </w:rPr>
        <w:t>5.</w:t>
      </w:r>
      <w:r w:rsidRPr="00C07B2E">
        <w:rPr>
          <w:rFonts w:eastAsia="SimSun"/>
        </w:rPr>
        <w:t>3.1. 12 – Flu150+Cy29+TBI / PT-Cy+CSA+MMF45</w:t>
      </w:r>
      <w:bookmarkEnd w:id="195"/>
    </w:p>
    <w:tbl>
      <w:tblPr>
        <w:tblW w:w="5036"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3"/>
        <w:gridCol w:w="1524"/>
        <w:gridCol w:w="1387"/>
        <w:gridCol w:w="1519"/>
        <w:gridCol w:w="1382"/>
        <w:gridCol w:w="2478"/>
      </w:tblGrid>
      <w:tr w:rsidR="008143D9" w:rsidRPr="00AC3044" w14:paraId="41FF9076" w14:textId="77777777" w:rsidTr="005A428D">
        <w:trPr>
          <w:cantSplit/>
          <w:trHeight w:val="20"/>
          <w:tblHeader/>
        </w:trPr>
        <w:tc>
          <w:tcPr>
            <w:tcW w:w="596" w:type="pct"/>
            <w:vAlign w:val="center"/>
          </w:tcPr>
          <w:p w14:paraId="637A8872" w14:textId="77777777" w:rsidR="008143D9" w:rsidRPr="00AC3044" w:rsidRDefault="008143D9" w:rsidP="005A428D">
            <w:pPr>
              <w:rPr>
                <w:rFonts w:eastAsia="SimSun"/>
              </w:rPr>
            </w:pPr>
          </w:p>
        </w:tc>
        <w:tc>
          <w:tcPr>
            <w:tcW w:w="809" w:type="pct"/>
            <w:vAlign w:val="center"/>
          </w:tcPr>
          <w:p w14:paraId="6ED165A3" w14:textId="77777777" w:rsidR="008143D9" w:rsidRPr="00AC3044" w:rsidRDefault="008143D9" w:rsidP="005A428D">
            <w:pPr>
              <w:rPr>
                <w:rFonts w:eastAsia="SimSun"/>
              </w:rPr>
            </w:pPr>
            <w:r w:rsidRPr="00AC3044">
              <w:rPr>
                <w:rFonts w:eastAsia="SimSun"/>
              </w:rPr>
              <w:t>Препарат</w:t>
            </w:r>
          </w:p>
        </w:tc>
        <w:tc>
          <w:tcPr>
            <w:tcW w:w="737" w:type="pct"/>
            <w:vAlign w:val="center"/>
          </w:tcPr>
          <w:p w14:paraId="72351174" w14:textId="77777777" w:rsidR="008143D9" w:rsidRPr="00AC3044" w:rsidRDefault="008143D9" w:rsidP="005A428D">
            <w:pPr>
              <w:rPr>
                <w:rFonts w:eastAsia="SimSun"/>
              </w:rPr>
            </w:pPr>
            <w:r w:rsidRPr="00AC3044">
              <w:rPr>
                <w:rFonts w:eastAsia="SimSun"/>
              </w:rPr>
              <w:t>Суточная доза</w:t>
            </w:r>
          </w:p>
        </w:tc>
        <w:tc>
          <w:tcPr>
            <w:tcW w:w="807" w:type="pct"/>
            <w:vAlign w:val="center"/>
          </w:tcPr>
          <w:p w14:paraId="78EB7710" w14:textId="77777777" w:rsidR="008143D9" w:rsidRPr="00AC3044" w:rsidRDefault="008143D9" w:rsidP="005A428D">
            <w:pPr>
              <w:rPr>
                <w:rFonts w:eastAsia="SimSun"/>
              </w:rPr>
            </w:pPr>
            <w:r w:rsidRPr="00AC3044">
              <w:rPr>
                <w:rFonts w:eastAsia="SimSun"/>
              </w:rPr>
              <w:t>Курсовая доза</w:t>
            </w:r>
          </w:p>
        </w:tc>
        <w:tc>
          <w:tcPr>
            <w:tcW w:w="734" w:type="pct"/>
            <w:vAlign w:val="center"/>
          </w:tcPr>
          <w:p w14:paraId="7C439E9D" w14:textId="77777777" w:rsidR="008143D9" w:rsidRPr="00AC3044" w:rsidRDefault="008143D9" w:rsidP="005A428D">
            <w:pPr>
              <w:rPr>
                <w:rFonts w:eastAsia="SimSun"/>
              </w:rPr>
            </w:pPr>
            <w:r w:rsidRPr="00AC3044">
              <w:rPr>
                <w:rFonts w:eastAsia="SimSun"/>
              </w:rPr>
              <w:t>Дни введения</w:t>
            </w:r>
          </w:p>
        </w:tc>
        <w:tc>
          <w:tcPr>
            <w:tcW w:w="1316" w:type="pct"/>
            <w:vAlign w:val="center"/>
          </w:tcPr>
          <w:p w14:paraId="4928EC57"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7CDD5735" w14:textId="77777777" w:rsidTr="005A428D">
        <w:trPr>
          <w:cantSplit/>
          <w:trHeight w:val="20"/>
        </w:trPr>
        <w:tc>
          <w:tcPr>
            <w:tcW w:w="596" w:type="pct"/>
            <w:vMerge w:val="restart"/>
            <w:textDirection w:val="btLr"/>
            <w:vAlign w:val="center"/>
          </w:tcPr>
          <w:p w14:paraId="0455C3F4" w14:textId="77777777" w:rsidR="008143D9" w:rsidRPr="00AC3044" w:rsidRDefault="008143D9" w:rsidP="005A428D">
            <w:pPr>
              <w:rPr>
                <w:rFonts w:eastAsia="SimSun"/>
              </w:rPr>
            </w:pPr>
            <w:r w:rsidRPr="00AC3044">
              <w:rPr>
                <w:rFonts w:eastAsia="SimSun"/>
              </w:rPr>
              <w:t>Кондиционирование</w:t>
            </w:r>
          </w:p>
        </w:tc>
        <w:tc>
          <w:tcPr>
            <w:tcW w:w="809" w:type="pct"/>
          </w:tcPr>
          <w:p w14:paraId="694B2D3F" w14:textId="77777777" w:rsidR="008143D9" w:rsidRPr="00AC3044" w:rsidRDefault="008143D9" w:rsidP="005A428D">
            <w:pPr>
              <w:rPr>
                <w:rFonts w:eastAsia="SimSun"/>
              </w:rPr>
            </w:pPr>
            <w:r w:rsidRPr="00AC3044">
              <w:rPr>
                <w:rFonts w:eastAsia="SimSun"/>
              </w:rPr>
              <w:t xml:space="preserve">Флударабин </w:t>
            </w:r>
          </w:p>
        </w:tc>
        <w:tc>
          <w:tcPr>
            <w:tcW w:w="737" w:type="pct"/>
          </w:tcPr>
          <w:p w14:paraId="0413C047" w14:textId="77777777" w:rsidR="008143D9" w:rsidRPr="00AC3044" w:rsidRDefault="008143D9" w:rsidP="005A428D">
            <w:pPr>
              <w:rPr>
                <w:rFonts w:eastAsia="SimSun"/>
              </w:rPr>
            </w:pPr>
            <w:r w:rsidRPr="00AC3044">
              <w:rPr>
                <w:rFonts w:eastAsia="SimSun"/>
              </w:rPr>
              <w:t>30 мг/м</w:t>
            </w:r>
            <w:r w:rsidRPr="0074195F">
              <w:rPr>
                <w:rFonts w:eastAsia="SimSun"/>
                <w:vertAlign w:val="superscript"/>
              </w:rPr>
              <w:t>2</w:t>
            </w:r>
          </w:p>
        </w:tc>
        <w:tc>
          <w:tcPr>
            <w:tcW w:w="807" w:type="pct"/>
          </w:tcPr>
          <w:p w14:paraId="04C416F9" w14:textId="77777777" w:rsidR="008143D9" w:rsidRPr="00AC3044" w:rsidRDefault="008143D9" w:rsidP="005A428D">
            <w:pPr>
              <w:rPr>
                <w:rFonts w:eastAsia="SimSun"/>
              </w:rPr>
            </w:pPr>
            <w:r w:rsidRPr="00AC3044">
              <w:rPr>
                <w:rFonts w:eastAsia="SimSun"/>
              </w:rPr>
              <w:t>150 мг/м</w:t>
            </w:r>
            <w:r w:rsidRPr="0074195F">
              <w:rPr>
                <w:rFonts w:eastAsia="SimSun"/>
                <w:vertAlign w:val="superscript"/>
              </w:rPr>
              <w:t>2</w:t>
            </w:r>
          </w:p>
        </w:tc>
        <w:tc>
          <w:tcPr>
            <w:tcW w:w="734" w:type="pct"/>
          </w:tcPr>
          <w:p w14:paraId="71B20441" w14:textId="77777777" w:rsidR="008143D9" w:rsidRPr="00AC3044" w:rsidRDefault="008143D9" w:rsidP="005A428D">
            <w:pPr>
              <w:rPr>
                <w:rFonts w:eastAsia="SimSun"/>
              </w:rPr>
            </w:pPr>
            <w:r w:rsidRPr="00AC3044">
              <w:rPr>
                <w:rFonts w:eastAsia="SimSun"/>
              </w:rPr>
              <w:t>С –6 по –2 день</w:t>
            </w:r>
          </w:p>
        </w:tc>
        <w:tc>
          <w:tcPr>
            <w:tcW w:w="1316" w:type="pct"/>
          </w:tcPr>
          <w:p w14:paraId="555A1B7C" w14:textId="77777777" w:rsidR="008143D9" w:rsidRPr="00AC3044" w:rsidRDefault="008143D9" w:rsidP="005A428D">
            <w:pPr>
              <w:rPr>
                <w:rFonts w:eastAsia="SimSun"/>
              </w:rPr>
            </w:pPr>
            <w:r w:rsidRPr="00C07B2E">
              <w:rPr>
                <w:rFonts w:eastAsia="SimSun"/>
              </w:rPr>
              <w:t>В/в, в течение 30 -60 мин</w:t>
            </w:r>
          </w:p>
        </w:tc>
      </w:tr>
      <w:tr w:rsidR="008143D9" w:rsidRPr="00AC3044" w14:paraId="45619E09" w14:textId="77777777" w:rsidTr="005A428D">
        <w:trPr>
          <w:cantSplit/>
          <w:trHeight w:val="586"/>
        </w:trPr>
        <w:tc>
          <w:tcPr>
            <w:tcW w:w="596" w:type="pct"/>
            <w:vMerge/>
            <w:vAlign w:val="center"/>
          </w:tcPr>
          <w:p w14:paraId="5267936C" w14:textId="77777777" w:rsidR="008143D9" w:rsidRPr="00AC3044" w:rsidRDefault="008143D9" w:rsidP="005A428D">
            <w:pPr>
              <w:rPr>
                <w:rFonts w:eastAsia="SimSun"/>
              </w:rPr>
            </w:pPr>
          </w:p>
        </w:tc>
        <w:tc>
          <w:tcPr>
            <w:tcW w:w="809" w:type="pct"/>
            <w:vAlign w:val="center"/>
          </w:tcPr>
          <w:p w14:paraId="6A8F8A25" w14:textId="77777777" w:rsidR="008143D9" w:rsidRPr="00AC3044" w:rsidRDefault="008143D9" w:rsidP="005A428D">
            <w:pPr>
              <w:rPr>
                <w:rFonts w:eastAsia="SimSun"/>
              </w:rPr>
            </w:pPr>
            <w:r w:rsidRPr="00AC3044">
              <w:rPr>
                <w:rFonts w:eastAsia="SimSun"/>
              </w:rPr>
              <w:t>Циклофосфамид</w:t>
            </w:r>
          </w:p>
        </w:tc>
        <w:tc>
          <w:tcPr>
            <w:tcW w:w="737" w:type="pct"/>
            <w:vAlign w:val="center"/>
          </w:tcPr>
          <w:p w14:paraId="1FB3AD92" w14:textId="77777777" w:rsidR="008143D9" w:rsidRPr="00AC3044" w:rsidRDefault="008143D9" w:rsidP="005A428D">
            <w:pPr>
              <w:rPr>
                <w:rFonts w:eastAsia="SimSun"/>
              </w:rPr>
            </w:pPr>
            <w:r w:rsidRPr="00AC3044">
              <w:rPr>
                <w:rFonts w:eastAsia="SimSun"/>
              </w:rPr>
              <w:t>14,5 мг/кг</w:t>
            </w:r>
          </w:p>
        </w:tc>
        <w:tc>
          <w:tcPr>
            <w:tcW w:w="807" w:type="pct"/>
            <w:vAlign w:val="center"/>
          </w:tcPr>
          <w:p w14:paraId="4B1684BE" w14:textId="77777777" w:rsidR="008143D9" w:rsidRPr="00AC3044" w:rsidRDefault="008143D9" w:rsidP="005A428D">
            <w:pPr>
              <w:rPr>
                <w:rFonts w:eastAsia="SimSun"/>
              </w:rPr>
            </w:pPr>
            <w:r w:rsidRPr="00AC3044">
              <w:rPr>
                <w:rFonts w:eastAsia="SimSun"/>
              </w:rPr>
              <w:t>29 мг/кг</w:t>
            </w:r>
          </w:p>
        </w:tc>
        <w:tc>
          <w:tcPr>
            <w:tcW w:w="734" w:type="pct"/>
            <w:vAlign w:val="center"/>
          </w:tcPr>
          <w:p w14:paraId="39EF4A89" w14:textId="77777777" w:rsidR="008143D9" w:rsidRPr="00AC3044" w:rsidRDefault="008143D9" w:rsidP="005A428D">
            <w:pPr>
              <w:rPr>
                <w:rFonts w:eastAsia="SimSun"/>
              </w:rPr>
            </w:pPr>
            <w:r w:rsidRPr="00AC3044">
              <w:rPr>
                <w:rFonts w:eastAsia="SimSun"/>
              </w:rPr>
              <w:t xml:space="preserve">–6, –5 дни </w:t>
            </w:r>
          </w:p>
        </w:tc>
        <w:tc>
          <w:tcPr>
            <w:tcW w:w="1316" w:type="pct"/>
            <w:vAlign w:val="center"/>
          </w:tcPr>
          <w:p w14:paraId="2C0B379F" w14:textId="77777777" w:rsidR="008143D9" w:rsidRPr="00AC3044" w:rsidRDefault="008143D9" w:rsidP="005A428D">
            <w:pPr>
              <w:rPr>
                <w:rFonts w:eastAsia="SimSun"/>
              </w:rPr>
            </w:pPr>
            <w:r w:rsidRPr="00AC3044">
              <w:rPr>
                <w:rFonts w:eastAsia="SimSun"/>
              </w:rPr>
              <w:t>В/в, в течение 1 часа</w:t>
            </w:r>
          </w:p>
        </w:tc>
      </w:tr>
      <w:tr w:rsidR="008143D9" w:rsidRPr="00AC3044" w14:paraId="50A49A15" w14:textId="77777777" w:rsidTr="005A428D">
        <w:trPr>
          <w:cantSplit/>
          <w:trHeight w:val="566"/>
        </w:trPr>
        <w:tc>
          <w:tcPr>
            <w:tcW w:w="596" w:type="pct"/>
            <w:vMerge/>
            <w:vAlign w:val="center"/>
          </w:tcPr>
          <w:p w14:paraId="4CF89FDA" w14:textId="77777777" w:rsidR="008143D9" w:rsidRPr="00AC3044" w:rsidRDefault="008143D9" w:rsidP="005A428D">
            <w:pPr>
              <w:rPr>
                <w:rFonts w:eastAsia="SimSun"/>
              </w:rPr>
            </w:pPr>
          </w:p>
        </w:tc>
        <w:tc>
          <w:tcPr>
            <w:tcW w:w="809" w:type="pct"/>
            <w:vAlign w:val="center"/>
          </w:tcPr>
          <w:p w14:paraId="79194D34" w14:textId="77777777" w:rsidR="008143D9" w:rsidRPr="00AC3044" w:rsidRDefault="008143D9" w:rsidP="005A428D">
            <w:pPr>
              <w:rPr>
                <w:rFonts w:eastAsia="SimSun"/>
              </w:rPr>
            </w:pPr>
            <w:r w:rsidRPr="00AC3044">
              <w:rPr>
                <w:rFonts w:eastAsia="SimSun"/>
              </w:rPr>
              <w:t>ТТО</w:t>
            </w:r>
          </w:p>
        </w:tc>
        <w:tc>
          <w:tcPr>
            <w:tcW w:w="737" w:type="pct"/>
            <w:vAlign w:val="center"/>
          </w:tcPr>
          <w:p w14:paraId="5AB3AA04" w14:textId="77777777" w:rsidR="008143D9" w:rsidRPr="00AC3044" w:rsidRDefault="008143D9" w:rsidP="005A428D">
            <w:pPr>
              <w:rPr>
                <w:rFonts w:eastAsia="SimSun"/>
              </w:rPr>
            </w:pPr>
            <w:r w:rsidRPr="00AC3044">
              <w:rPr>
                <w:rFonts w:eastAsia="SimSun"/>
              </w:rPr>
              <w:t>2 Гр</w:t>
            </w:r>
          </w:p>
        </w:tc>
        <w:tc>
          <w:tcPr>
            <w:tcW w:w="807" w:type="pct"/>
            <w:vAlign w:val="center"/>
          </w:tcPr>
          <w:p w14:paraId="398E4B79" w14:textId="77777777" w:rsidR="008143D9" w:rsidRPr="00AC3044" w:rsidRDefault="008143D9" w:rsidP="005A428D">
            <w:pPr>
              <w:rPr>
                <w:rFonts w:eastAsia="SimSun"/>
              </w:rPr>
            </w:pPr>
            <w:r w:rsidRPr="00AC3044">
              <w:rPr>
                <w:rFonts w:eastAsia="SimSun"/>
              </w:rPr>
              <w:t>2 Гр</w:t>
            </w:r>
          </w:p>
        </w:tc>
        <w:tc>
          <w:tcPr>
            <w:tcW w:w="734" w:type="pct"/>
            <w:vAlign w:val="center"/>
          </w:tcPr>
          <w:p w14:paraId="22F229A4" w14:textId="77777777" w:rsidR="008143D9" w:rsidRPr="00AC3044" w:rsidRDefault="008143D9" w:rsidP="005A428D">
            <w:pPr>
              <w:rPr>
                <w:rFonts w:eastAsia="SimSun"/>
              </w:rPr>
            </w:pPr>
            <w:r w:rsidRPr="00AC3044">
              <w:rPr>
                <w:rFonts w:eastAsia="SimSun"/>
              </w:rPr>
              <w:t xml:space="preserve">Д-1 </w:t>
            </w:r>
          </w:p>
        </w:tc>
        <w:tc>
          <w:tcPr>
            <w:tcW w:w="1316" w:type="pct"/>
            <w:vAlign w:val="center"/>
          </w:tcPr>
          <w:p w14:paraId="3F343366" w14:textId="77777777" w:rsidR="008143D9" w:rsidRPr="00AC3044" w:rsidRDefault="008143D9" w:rsidP="005A428D">
            <w:pPr>
              <w:rPr>
                <w:rFonts w:eastAsia="SimSun"/>
              </w:rPr>
            </w:pPr>
            <w:r w:rsidRPr="00AC3044">
              <w:rPr>
                <w:rFonts w:eastAsia="SimSun"/>
              </w:rPr>
              <w:t>1 фракция 2 Гр за 2 часа  без экранированиия легких</w:t>
            </w:r>
          </w:p>
        </w:tc>
      </w:tr>
      <w:tr w:rsidR="008143D9" w:rsidRPr="00AC3044" w14:paraId="0974416B" w14:textId="77777777" w:rsidTr="005A428D">
        <w:trPr>
          <w:cantSplit/>
          <w:trHeight w:val="20"/>
        </w:trPr>
        <w:tc>
          <w:tcPr>
            <w:tcW w:w="596" w:type="pct"/>
            <w:vMerge w:val="restart"/>
            <w:textDirection w:val="btLr"/>
            <w:vAlign w:val="center"/>
          </w:tcPr>
          <w:p w14:paraId="55B80326" w14:textId="77777777" w:rsidR="008143D9" w:rsidRPr="00AC3044" w:rsidRDefault="008143D9" w:rsidP="005A428D">
            <w:pPr>
              <w:rPr>
                <w:rFonts w:eastAsia="SimSun"/>
              </w:rPr>
            </w:pPr>
            <w:r w:rsidRPr="00AC3044">
              <w:rPr>
                <w:rFonts w:eastAsia="SimSun"/>
              </w:rPr>
              <w:t>Профилактика РТПХ</w:t>
            </w:r>
          </w:p>
        </w:tc>
        <w:tc>
          <w:tcPr>
            <w:tcW w:w="809" w:type="pct"/>
          </w:tcPr>
          <w:p w14:paraId="0F5DBBBF" w14:textId="77777777" w:rsidR="008143D9" w:rsidRPr="00AC3044" w:rsidRDefault="008143D9" w:rsidP="005A428D">
            <w:pPr>
              <w:rPr>
                <w:rFonts w:eastAsia="SimSun"/>
              </w:rPr>
            </w:pPr>
            <w:r w:rsidRPr="00AC3044">
              <w:rPr>
                <w:rFonts w:eastAsia="SimSun"/>
              </w:rPr>
              <w:t>Циклофосфамид</w:t>
            </w:r>
          </w:p>
        </w:tc>
        <w:tc>
          <w:tcPr>
            <w:tcW w:w="737" w:type="pct"/>
          </w:tcPr>
          <w:p w14:paraId="19F85A4B" w14:textId="77777777" w:rsidR="008143D9" w:rsidRPr="00AC3044" w:rsidRDefault="008143D9" w:rsidP="005A428D">
            <w:pPr>
              <w:rPr>
                <w:rFonts w:eastAsia="SimSun"/>
              </w:rPr>
            </w:pPr>
            <w:r w:rsidRPr="00AC3044">
              <w:rPr>
                <w:rFonts w:eastAsia="SimSun"/>
              </w:rPr>
              <w:t>50 мг/кг</w:t>
            </w:r>
          </w:p>
        </w:tc>
        <w:tc>
          <w:tcPr>
            <w:tcW w:w="807" w:type="pct"/>
          </w:tcPr>
          <w:p w14:paraId="67ACA2CB" w14:textId="77777777" w:rsidR="008143D9" w:rsidRPr="00AC3044" w:rsidRDefault="008143D9" w:rsidP="005A428D">
            <w:pPr>
              <w:rPr>
                <w:rFonts w:eastAsia="SimSun"/>
              </w:rPr>
            </w:pPr>
            <w:r w:rsidRPr="00AC3044">
              <w:rPr>
                <w:rFonts w:eastAsia="SimSun"/>
              </w:rPr>
              <w:t>100 мг/кг</w:t>
            </w:r>
          </w:p>
        </w:tc>
        <w:tc>
          <w:tcPr>
            <w:tcW w:w="734" w:type="pct"/>
          </w:tcPr>
          <w:p w14:paraId="64EE44BF" w14:textId="77777777" w:rsidR="008143D9" w:rsidRPr="00AC3044" w:rsidRDefault="008143D9" w:rsidP="005A428D">
            <w:pPr>
              <w:rPr>
                <w:rFonts w:eastAsia="SimSun"/>
              </w:rPr>
            </w:pPr>
            <w:r w:rsidRPr="00AC3044">
              <w:rPr>
                <w:rFonts w:eastAsia="SimSun"/>
              </w:rPr>
              <w:t xml:space="preserve">+3,+4 дни </w:t>
            </w:r>
          </w:p>
        </w:tc>
        <w:tc>
          <w:tcPr>
            <w:tcW w:w="1316" w:type="pct"/>
          </w:tcPr>
          <w:p w14:paraId="23D04F05" w14:textId="77777777" w:rsidR="008143D9" w:rsidRPr="00AC3044" w:rsidRDefault="008143D9" w:rsidP="005A428D">
            <w:pPr>
              <w:rPr>
                <w:rFonts w:eastAsia="SimSun"/>
              </w:rPr>
            </w:pPr>
            <w:r w:rsidRPr="00AC3044">
              <w:rPr>
                <w:rFonts w:eastAsia="SimSun"/>
              </w:rPr>
              <w:t>В/в, в течение 2 часов</w:t>
            </w:r>
          </w:p>
        </w:tc>
      </w:tr>
      <w:tr w:rsidR="008143D9" w:rsidRPr="00AC3044" w14:paraId="4D436957" w14:textId="77777777" w:rsidTr="005A428D">
        <w:trPr>
          <w:cantSplit/>
          <w:trHeight w:val="20"/>
        </w:trPr>
        <w:tc>
          <w:tcPr>
            <w:tcW w:w="596" w:type="pct"/>
            <w:vMerge/>
          </w:tcPr>
          <w:p w14:paraId="4BFE6E1A" w14:textId="77777777" w:rsidR="008143D9" w:rsidRPr="00AC3044" w:rsidRDefault="008143D9" w:rsidP="005A428D">
            <w:pPr>
              <w:rPr>
                <w:rFonts w:eastAsia="SimSun"/>
              </w:rPr>
            </w:pPr>
          </w:p>
        </w:tc>
        <w:tc>
          <w:tcPr>
            <w:tcW w:w="809" w:type="pct"/>
            <w:vAlign w:val="center"/>
          </w:tcPr>
          <w:p w14:paraId="7AD2B92D" w14:textId="77777777" w:rsidR="008143D9" w:rsidRPr="00AC3044" w:rsidRDefault="008143D9" w:rsidP="005A428D">
            <w:pPr>
              <w:rPr>
                <w:rFonts w:eastAsia="SimSun"/>
              </w:rPr>
            </w:pPr>
            <w:r w:rsidRPr="00AC3044">
              <w:rPr>
                <w:rFonts w:eastAsia="SimSun"/>
              </w:rPr>
              <w:t xml:space="preserve">Такролимус </w:t>
            </w:r>
          </w:p>
        </w:tc>
        <w:tc>
          <w:tcPr>
            <w:tcW w:w="737" w:type="pct"/>
            <w:vAlign w:val="center"/>
          </w:tcPr>
          <w:p w14:paraId="0116FC78" w14:textId="77777777" w:rsidR="008143D9" w:rsidRPr="00AC3044" w:rsidRDefault="008143D9" w:rsidP="005A428D">
            <w:pPr>
              <w:rPr>
                <w:rFonts w:eastAsia="SimSun"/>
              </w:rPr>
            </w:pPr>
            <w:r w:rsidRPr="00AC3044">
              <w:rPr>
                <w:rFonts w:eastAsia="SimSun"/>
              </w:rPr>
              <w:t>0,03 мг/кг</w:t>
            </w:r>
          </w:p>
        </w:tc>
        <w:tc>
          <w:tcPr>
            <w:tcW w:w="807" w:type="pct"/>
            <w:vAlign w:val="center"/>
          </w:tcPr>
          <w:p w14:paraId="69E04AA7" w14:textId="77777777" w:rsidR="008143D9" w:rsidRPr="00AC3044" w:rsidRDefault="008143D9" w:rsidP="005A428D">
            <w:pPr>
              <w:rPr>
                <w:rFonts w:eastAsia="SimSun"/>
              </w:rPr>
            </w:pPr>
            <w:r w:rsidRPr="00AC3044">
              <w:rPr>
                <w:rFonts w:eastAsia="SimSun"/>
              </w:rPr>
              <w:t>–</w:t>
            </w:r>
          </w:p>
        </w:tc>
        <w:tc>
          <w:tcPr>
            <w:tcW w:w="734" w:type="pct"/>
            <w:vAlign w:val="center"/>
          </w:tcPr>
          <w:p w14:paraId="5C9CD850" w14:textId="77777777" w:rsidR="008143D9" w:rsidRPr="00AC3044" w:rsidRDefault="008143D9" w:rsidP="005A428D">
            <w:pPr>
              <w:rPr>
                <w:rFonts w:eastAsia="SimSun"/>
              </w:rPr>
            </w:pPr>
            <w:r w:rsidRPr="00AC3044">
              <w:rPr>
                <w:rFonts w:eastAsia="SimSun"/>
              </w:rPr>
              <w:t>С +5 по +100 день, затем постепенное снижение к +180 дню</w:t>
            </w:r>
          </w:p>
        </w:tc>
        <w:tc>
          <w:tcPr>
            <w:tcW w:w="1316" w:type="pct"/>
            <w:vAlign w:val="center"/>
          </w:tcPr>
          <w:p w14:paraId="08234CBB" w14:textId="77777777" w:rsidR="008143D9" w:rsidRPr="00AC3044" w:rsidRDefault="008143D9" w:rsidP="005A428D">
            <w:pPr>
              <w:rPr>
                <w:rFonts w:eastAsia="SimSun"/>
              </w:rPr>
            </w:pPr>
            <w:r w:rsidRPr="00C07B2E">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C07B2E">
              <w:rPr>
                <w:rFonts w:eastAsia="SimSun"/>
              </w:rPr>
              <w:t>10</w:t>
            </w:r>
            <w:r w:rsidRPr="0074195F">
              <w:rPr>
                <w:rFonts w:eastAsia="SimSun"/>
                <w:vertAlign w:val="superscript"/>
              </w:rPr>
              <w:t>9</w:t>
            </w:r>
            <w:r w:rsidRPr="00C07B2E">
              <w:rPr>
                <w:rFonts w:eastAsia="SimSun"/>
              </w:rPr>
              <w:t xml:space="preserve">/л, при отсутствии тошноты, рвоты, диареи и возможности приема внутрь. Концентрация Tx 5-15 нг/мл.    </w:t>
            </w:r>
          </w:p>
        </w:tc>
      </w:tr>
      <w:tr w:rsidR="008143D9" w:rsidRPr="00AC3044" w14:paraId="7B9B4390" w14:textId="77777777" w:rsidTr="005A428D">
        <w:trPr>
          <w:cantSplit/>
          <w:trHeight w:val="464"/>
        </w:trPr>
        <w:tc>
          <w:tcPr>
            <w:tcW w:w="596" w:type="pct"/>
            <w:vMerge/>
          </w:tcPr>
          <w:p w14:paraId="2E2D0C6B" w14:textId="77777777" w:rsidR="008143D9" w:rsidRPr="00AC3044" w:rsidRDefault="008143D9" w:rsidP="005A428D">
            <w:pPr>
              <w:rPr>
                <w:rFonts w:eastAsia="SimSun"/>
              </w:rPr>
            </w:pPr>
          </w:p>
        </w:tc>
        <w:tc>
          <w:tcPr>
            <w:tcW w:w="809" w:type="pct"/>
          </w:tcPr>
          <w:p w14:paraId="1142283C" w14:textId="77777777" w:rsidR="008143D9" w:rsidRPr="00AC3044" w:rsidRDefault="008143D9" w:rsidP="005A428D">
            <w:pPr>
              <w:rPr>
                <w:rFonts w:eastAsia="SimSun"/>
              </w:rPr>
            </w:pPr>
            <w:r w:rsidRPr="00AC3044">
              <w:rPr>
                <w:rFonts w:eastAsia="SimSun"/>
              </w:rPr>
              <w:t>Микофенолата мофетил</w:t>
            </w:r>
          </w:p>
        </w:tc>
        <w:tc>
          <w:tcPr>
            <w:tcW w:w="737" w:type="pct"/>
          </w:tcPr>
          <w:p w14:paraId="320E4497" w14:textId="77777777" w:rsidR="008143D9" w:rsidRPr="00AC3044" w:rsidRDefault="008143D9" w:rsidP="005A428D">
            <w:pPr>
              <w:rPr>
                <w:rFonts w:eastAsia="SimSun"/>
              </w:rPr>
            </w:pPr>
            <w:r w:rsidRPr="00AC3044">
              <w:rPr>
                <w:rFonts w:eastAsia="SimSun"/>
              </w:rPr>
              <w:t>45мг/кг</w:t>
            </w:r>
          </w:p>
        </w:tc>
        <w:tc>
          <w:tcPr>
            <w:tcW w:w="807" w:type="pct"/>
          </w:tcPr>
          <w:p w14:paraId="686A1092" w14:textId="77777777" w:rsidR="008143D9" w:rsidRPr="00AC3044" w:rsidRDefault="008143D9" w:rsidP="005A428D">
            <w:pPr>
              <w:rPr>
                <w:rFonts w:eastAsia="SimSun"/>
              </w:rPr>
            </w:pPr>
            <w:r w:rsidRPr="00AC3044">
              <w:rPr>
                <w:rFonts w:eastAsia="SimSun"/>
              </w:rPr>
              <w:t>–</w:t>
            </w:r>
          </w:p>
        </w:tc>
        <w:tc>
          <w:tcPr>
            <w:tcW w:w="734" w:type="pct"/>
          </w:tcPr>
          <w:p w14:paraId="480AA853" w14:textId="77777777" w:rsidR="008143D9" w:rsidRPr="00AC3044" w:rsidRDefault="008143D9" w:rsidP="005A428D">
            <w:pPr>
              <w:rPr>
                <w:rFonts w:eastAsia="SimSun"/>
              </w:rPr>
            </w:pPr>
            <w:r w:rsidRPr="00AC3044">
              <w:rPr>
                <w:rFonts w:eastAsia="SimSun"/>
              </w:rPr>
              <w:t>С +5 по +35 день</w:t>
            </w:r>
          </w:p>
        </w:tc>
        <w:tc>
          <w:tcPr>
            <w:tcW w:w="1316" w:type="pct"/>
          </w:tcPr>
          <w:p w14:paraId="5BE85895" w14:textId="77777777" w:rsidR="008143D9" w:rsidRPr="00AC3044" w:rsidRDefault="008143D9" w:rsidP="005A428D">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0E7BD9AF" w14:textId="77777777" w:rsidR="008143D9" w:rsidRDefault="008143D9" w:rsidP="008143D9">
      <w:pPr>
        <w:rPr>
          <w:rFonts w:eastAsia="SimSun"/>
        </w:rPr>
      </w:pPr>
      <w:bookmarkStart w:id="196" w:name="_Toc44401238"/>
    </w:p>
    <w:p w14:paraId="405AD77B" w14:textId="77777777" w:rsidR="008143D9" w:rsidRPr="00C07B2E" w:rsidRDefault="008143D9" w:rsidP="008143D9">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3.1.13  – Flu180+Cy1200 / PT-Cy+Tx+MMF45</w:t>
      </w:r>
      <w:bookmarkEnd w:id="196"/>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417"/>
        <w:gridCol w:w="2552"/>
      </w:tblGrid>
      <w:tr w:rsidR="008143D9" w:rsidRPr="00AC3044" w14:paraId="20E822DA" w14:textId="77777777" w:rsidTr="005A428D">
        <w:trPr>
          <w:cantSplit/>
          <w:trHeight w:val="20"/>
          <w:tblHeader/>
        </w:trPr>
        <w:tc>
          <w:tcPr>
            <w:tcW w:w="1135" w:type="dxa"/>
            <w:vAlign w:val="center"/>
          </w:tcPr>
          <w:p w14:paraId="78095967" w14:textId="77777777" w:rsidR="008143D9" w:rsidRPr="00AC3044" w:rsidRDefault="008143D9" w:rsidP="005A428D">
            <w:pPr>
              <w:rPr>
                <w:rFonts w:eastAsia="SimSun"/>
              </w:rPr>
            </w:pPr>
          </w:p>
        </w:tc>
        <w:tc>
          <w:tcPr>
            <w:tcW w:w="1559" w:type="dxa"/>
            <w:vAlign w:val="center"/>
          </w:tcPr>
          <w:p w14:paraId="19B7CED0" w14:textId="77777777" w:rsidR="008143D9" w:rsidRPr="00AC3044" w:rsidRDefault="008143D9" w:rsidP="005A428D">
            <w:pPr>
              <w:rPr>
                <w:rFonts w:eastAsia="SimSun"/>
              </w:rPr>
            </w:pPr>
            <w:r w:rsidRPr="00AC3044">
              <w:rPr>
                <w:rFonts w:eastAsia="SimSun"/>
              </w:rPr>
              <w:t>Препарат</w:t>
            </w:r>
          </w:p>
        </w:tc>
        <w:tc>
          <w:tcPr>
            <w:tcW w:w="1418" w:type="dxa"/>
            <w:vAlign w:val="center"/>
          </w:tcPr>
          <w:p w14:paraId="3B85C7EC" w14:textId="77777777" w:rsidR="008143D9" w:rsidRPr="00AC3044" w:rsidRDefault="008143D9" w:rsidP="005A428D">
            <w:pPr>
              <w:rPr>
                <w:rFonts w:eastAsia="SimSun"/>
              </w:rPr>
            </w:pPr>
            <w:r w:rsidRPr="00AC3044">
              <w:rPr>
                <w:rFonts w:eastAsia="SimSun"/>
              </w:rPr>
              <w:t>Суточная доза</w:t>
            </w:r>
          </w:p>
        </w:tc>
        <w:tc>
          <w:tcPr>
            <w:tcW w:w="1559" w:type="dxa"/>
            <w:vAlign w:val="center"/>
          </w:tcPr>
          <w:p w14:paraId="165371B8" w14:textId="77777777" w:rsidR="008143D9" w:rsidRPr="00AC3044" w:rsidRDefault="008143D9" w:rsidP="005A428D">
            <w:pPr>
              <w:rPr>
                <w:rFonts w:eastAsia="SimSun"/>
              </w:rPr>
            </w:pPr>
            <w:r w:rsidRPr="00AC3044">
              <w:rPr>
                <w:rFonts w:eastAsia="SimSun"/>
              </w:rPr>
              <w:t>Курсовая доза</w:t>
            </w:r>
          </w:p>
        </w:tc>
        <w:tc>
          <w:tcPr>
            <w:tcW w:w="1417" w:type="dxa"/>
            <w:vAlign w:val="center"/>
          </w:tcPr>
          <w:p w14:paraId="1A3E502D" w14:textId="77777777" w:rsidR="008143D9" w:rsidRPr="00AC3044" w:rsidRDefault="008143D9" w:rsidP="005A428D">
            <w:pPr>
              <w:rPr>
                <w:rFonts w:eastAsia="SimSun"/>
              </w:rPr>
            </w:pPr>
            <w:r w:rsidRPr="00AC3044">
              <w:rPr>
                <w:rFonts w:eastAsia="SimSun"/>
              </w:rPr>
              <w:t>Дни введения</w:t>
            </w:r>
          </w:p>
        </w:tc>
        <w:tc>
          <w:tcPr>
            <w:tcW w:w="2552" w:type="dxa"/>
            <w:vAlign w:val="center"/>
          </w:tcPr>
          <w:p w14:paraId="639687E4"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73B3F3F5" w14:textId="77777777" w:rsidTr="005A428D">
        <w:trPr>
          <w:cantSplit/>
          <w:trHeight w:val="20"/>
        </w:trPr>
        <w:tc>
          <w:tcPr>
            <w:tcW w:w="1135" w:type="dxa"/>
            <w:vMerge w:val="restart"/>
            <w:textDirection w:val="btLr"/>
            <w:vAlign w:val="center"/>
          </w:tcPr>
          <w:p w14:paraId="048DC3B1" w14:textId="77777777" w:rsidR="008143D9" w:rsidRPr="00AC3044" w:rsidRDefault="008143D9" w:rsidP="005A428D">
            <w:pPr>
              <w:rPr>
                <w:rFonts w:eastAsia="SimSun"/>
              </w:rPr>
            </w:pPr>
            <w:r w:rsidRPr="00AC3044">
              <w:rPr>
                <w:rFonts w:eastAsia="SimSun"/>
              </w:rPr>
              <w:t>Кондиционирование</w:t>
            </w:r>
          </w:p>
        </w:tc>
        <w:tc>
          <w:tcPr>
            <w:tcW w:w="1559" w:type="dxa"/>
            <w:vAlign w:val="center"/>
          </w:tcPr>
          <w:p w14:paraId="4D98FD25" w14:textId="77777777" w:rsidR="008143D9" w:rsidRPr="00AC3044" w:rsidRDefault="008143D9" w:rsidP="005A428D">
            <w:pPr>
              <w:rPr>
                <w:rFonts w:eastAsia="SimSun"/>
              </w:rPr>
            </w:pPr>
            <w:r w:rsidRPr="00AC3044">
              <w:rPr>
                <w:rFonts w:eastAsia="SimSun"/>
              </w:rPr>
              <w:t xml:space="preserve">Флударабин </w:t>
            </w:r>
          </w:p>
        </w:tc>
        <w:tc>
          <w:tcPr>
            <w:tcW w:w="1418" w:type="dxa"/>
            <w:vAlign w:val="center"/>
          </w:tcPr>
          <w:p w14:paraId="013455DA" w14:textId="77777777" w:rsidR="008143D9" w:rsidRPr="00AC3044" w:rsidRDefault="008143D9" w:rsidP="005A428D">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4FCE44C4" w14:textId="77777777" w:rsidR="008143D9" w:rsidRPr="00AC3044" w:rsidRDefault="008143D9" w:rsidP="005A428D">
            <w:pPr>
              <w:rPr>
                <w:rFonts w:eastAsia="SimSun"/>
              </w:rPr>
            </w:pPr>
            <w:r w:rsidRPr="00AC3044">
              <w:rPr>
                <w:rFonts w:eastAsia="SimSun"/>
              </w:rPr>
              <w:t>120 мг/м</w:t>
            </w:r>
            <w:r w:rsidRPr="0074195F">
              <w:rPr>
                <w:rFonts w:eastAsia="SimSun"/>
                <w:vertAlign w:val="superscript"/>
              </w:rPr>
              <w:t>2</w:t>
            </w:r>
          </w:p>
        </w:tc>
        <w:tc>
          <w:tcPr>
            <w:tcW w:w="1417" w:type="dxa"/>
            <w:vAlign w:val="center"/>
          </w:tcPr>
          <w:p w14:paraId="3730F25D" w14:textId="77777777" w:rsidR="008143D9" w:rsidRPr="00AC3044" w:rsidRDefault="008143D9" w:rsidP="005A428D">
            <w:pPr>
              <w:rPr>
                <w:rFonts w:eastAsia="SimSun"/>
              </w:rPr>
            </w:pPr>
            <w:r w:rsidRPr="00AC3044">
              <w:rPr>
                <w:rFonts w:eastAsia="SimSun"/>
              </w:rPr>
              <w:t>С -5 дня по -2 день</w:t>
            </w:r>
          </w:p>
        </w:tc>
        <w:tc>
          <w:tcPr>
            <w:tcW w:w="2552" w:type="dxa"/>
            <w:vAlign w:val="center"/>
          </w:tcPr>
          <w:p w14:paraId="6BCEB2F3"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5D6FAAEE" w14:textId="77777777" w:rsidTr="005A428D">
        <w:trPr>
          <w:cantSplit/>
          <w:trHeight w:val="855"/>
        </w:trPr>
        <w:tc>
          <w:tcPr>
            <w:tcW w:w="1135" w:type="dxa"/>
            <w:vMerge/>
            <w:vAlign w:val="center"/>
          </w:tcPr>
          <w:p w14:paraId="59A2FC8E" w14:textId="77777777" w:rsidR="008143D9" w:rsidRPr="00AC3044" w:rsidRDefault="008143D9" w:rsidP="005A428D">
            <w:pPr>
              <w:rPr>
                <w:rFonts w:eastAsia="SimSun"/>
              </w:rPr>
            </w:pPr>
          </w:p>
        </w:tc>
        <w:tc>
          <w:tcPr>
            <w:tcW w:w="1559" w:type="dxa"/>
            <w:vAlign w:val="center"/>
          </w:tcPr>
          <w:p w14:paraId="5CBFCBD8" w14:textId="77777777" w:rsidR="008143D9" w:rsidRPr="00AC3044" w:rsidRDefault="008143D9" w:rsidP="005A428D">
            <w:pPr>
              <w:rPr>
                <w:rFonts w:eastAsia="SimSun"/>
              </w:rPr>
            </w:pPr>
            <w:r w:rsidRPr="00AC3044">
              <w:rPr>
                <w:rFonts w:eastAsia="SimSun"/>
              </w:rPr>
              <w:t>Циклофосфамид</w:t>
            </w:r>
          </w:p>
        </w:tc>
        <w:tc>
          <w:tcPr>
            <w:tcW w:w="1418" w:type="dxa"/>
            <w:vAlign w:val="center"/>
          </w:tcPr>
          <w:p w14:paraId="44FC0BC3" w14:textId="77777777" w:rsidR="008143D9" w:rsidRPr="00AC3044" w:rsidRDefault="008143D9" w:rsidP="005A428D">
            <w:pPr>
              <w:rPr>
                <w:rFonts w:eastAsia="SimSun"/>
              </w:rPr>
            </w:pPr>
            <w:r w:rsidRPr="00AC3044">
              <w:rPr>
                <w:rFonts w:eastAsia="SimSun"/>
              </w:rPr>
              <w:t>300 мг/м</w:t>
            </w:r>
            <w:r w:rsidRPr="0074195F">
              <w:rPr>
                <w:rFonts w:eastAsia="SimSun"/>
                <w:vertAlign w:val="superscript"/>
              </w:rPr>
              <w:t>2</w:t>
            </w:r>
            <w:r w:rsidRPr="00AC3044">
              <w:rPr>
                <w:rFonts w:eastAsia="SimSun"/>
              </w:rPr>
              <w:t xml:space="preserve"> </w:t>
            </w:r>
          </w:p>
        </w:tc>
        <w:tc>
          <w:tcPr>
            <w:tcW w:w="1559" w:type="dxa"/>
            <w:vAlign w:val="center"/>
          </w:tcPr>
          <w:p w14:paraId="145C2011" w14:textId="77777777" w:rsidR="008143D9" w:rsidRPr="00AC3044" w:rsidRDefault="008143D9" w:rsidP="005A428D">
            <w:pPr>
              <w:rPr>
                <w:rFonts w:eastAsia="SimSun"/>
              </w:rPr>
            </w:pPr>
            <w:r w:rsidRPr="00AC3044">
              <w:rPr>
                <w:rFonts w:eastAsia="SimSun"/>
              </w:rPr>
              <w:t>1200 мг/м</w:t>
            </w:r>
            <w:r w:rsidRPr="0074195F">
              <w:rPr>
                <w:rFonts w:eastAsia="SimSun"/>
                <w:vertAlign w:val="superscript"/>
              </w:rPr>
              <w:t>2</w:t>
            </w:r>
          </w:p>
        </w:tc>
        <w:tc>
          <w:tcPr>
            <w:tcW w:w="1417" w:type="dxa"/>
            <w:vAlign w:val="center"/>
          </w:tcPr>
          <w:p w14:paraId="2D46F90E" w14:textId="77777777" w:rsidR="008143D9" w:rsidRPr="00AC3044" w:rsidRDefault="008143D9" w:rsidP="005A428D">
            <w:pPr>
              <w:rPr>
                <w:rFonts w:eastAsia="SimSun"/>
              </w:rPr>
            </w:pPr>
            <w:r w:rsidRPr="00AC3044">
              <w:rPr>
                <w:rFonts w:eastAsia="SimSun"/>
              </w:rPr>
              <w:t xml:space="preserve"> С -5 дня по -2 день </w:t>
            </w:r>
          </w:p>
        </w:tc>
        <w:tc>
          <w:tcPr>
            <w:tcW w:w="2552" w:type="dxa"/>
            <w:vAlign w:val="center"/>
          </w:tcPr>
          <w:p w14:paraId="16CD4F80" w14:textId="77777777" w:rsidR="008143D9" w:rsidRPr="00AC3044" w:rsidRDefault="008143D9" w:rsidP="005A428D">
            <w:pPr>
              <w:rPr>
                <w:rFonts w:eastAsia="SimSun"/>
              </w:rPr>
            </w:pPr>
            <w:r w:rsidRPr="00AC3044">
              <w:rPr>
                <w:rFonts w:eastAsia="SimSun"/>
              </w:rPr>
              <w:t>В/в, в течение 2 часов</w:t>
            </w:r>
          </w:p>
        </w:tc>
      </w:tr>
      <w:tr w:rsidR="008143D9" w:rsidRPr="00AC3044" w14:paraId="63045640" w14:textId="77777777" w:rsidTr="005A428D">
        <w:trPr>
          <w:cantSplit/>
          <w:trHeight w:val="556"/>
        </w:trPr>
        <w:tc>
          <w:tcPr>
            <w:tcW w:w="1135" w:type="dxa"/>
            <w:vMerge w:val="restart"/>
            <w:textDirection w:val="btLr"/>
            <w:vAlign w:val="center"/>
          </w:tcPr>
          <w:p w14:paraId="1FFD469A" w14:textId="77777777" w:rsidR="008143D9" w:rsidRPr="00AC3044" w:rsidRDefault="008143D9" w:rsidP="005A428D">
            <w:pPr>
              <w:rPr>
                <w:rFonts w:eastAsia="SimSun"/>
              </w:rPr>
            </w:pPr>
            <w:r w:rsidRPr="00AC3044">
              <w:rPr>
                <w:rFonts w:eastAsia="SimSun"/>
              </w:rPr>
              <w:t>Профилактика РТПХ</w:t>
            </w:r>
          </w:p>
        </w:tc>
        <w:tc>
          <w:tcPr>
            <w:tcW w:w="1559" w:type="dxa"/>
            <w:vAlign w:val="center"/>
          </w:tcPr>
          <w:p w14:paraId="528A4920" w14:textId="77777777" w:rsidR="008143D9" w:rsidRPr="00AC3044" w:rsidRDefault="008143D9" w:rsidP="005A428D">
            <w:pPr>
              <w:rPr>
                <w:rFonts w:eastAsia="SimSun"/>
              </w:rPr>
            </w:pPr>
            <w:r w:rsidRPr="00AC3044">
              <w:rPr>
                <w:rFonts w:eastAsia="SimSun"/>
              </w:rPr>
              <w:t>Циклофосфамид</w:t>
            </w:r>
          </w:p>
        </w:tc>
        <w:tc>
          <w:tcPr>
            <w:tcW w:w="1418" w:type="dxa"/>
            <w:vAlign w:val="center"/>
          </w:tcPr>
          <w:p w14:paraId="1E243FE5" w14:textId="77777777" w:rsidR="008143D9" w:rsidRPr="00AC3044" w:rsidRDefault="008143D9" w:rsidP="005A428D">
            <w:pPr>
              <w:rPr>
                <w:rFonts w:eastAsia="SimSun"/>
              </w:rPr>
            </w:pPr>
            <w:r w:rsidRPr="00AC3044">
              <w:rPr>
                <w:rFonts w:eastAsia="SimSun"/>
              </w:rPr>
              <w:t>50 мг/кг</w:t>
            </w:r>
          </w:p>
        </w:tc>
        <w:tc>
          <w:tcPr>
            <w:tcW w:w="1559" w:type="dxa"/>
            <w:vAlign w:val="center"/>
          </w:tcPr>
          <w:p w14:paraId="6FB403EA" w14:textId="77777777" w:rsidR="008143D9" w:rsidRPr="00AC3044" w:rsidRDefault="008143D9" w:rsidP="005A428D">
            <w:pPr>
              <w:rPr>
                <w:rFonts w:eastAsia="SimSun"/>
              </w:rPr>
            </w:pPr>
            <w:r w:rsidRPr="00AC3044">
              <w:rPr>
                <w:rFonts w:eastAsia="SimSun"/>
              </w:rPr>
              <w:t>100 мг/кг</w:t>
            </w:r>
          </w:p>
        </w:tc>
        <w:tc>
          <w:tcPr>
            <w:tcW w:w="1417" w:type="dxa"/>
            <w:vAlign w:val="center"/>
          </w:tcPr>
          <w:p w14:paraId="68070C09" w14:textId="77777777" w:rsidR="008143D9" w:rsidRPr="00AC3044" w:rsidRDefault="008143D9" w:rsidP="005A428D">
            <w:pPr>
              <w:rPr>
                <w:rFonts w:eastAsia="SimSun"/>
              </w:rPr>
            </w:pPr>
            <w:r w:rsidRPr="00AC3044">
              <w:rPr>
                <w:rFonts w:eastAsia="SimSun"/>
              </w:rPr>
              <w:t>С +3 дня по +4 день</w:t>
            </w:r>
          </w:p>
        </w:tc>
        <w:tc>
          <w:tcPr>
            <w:tcW w:w="2552" w:type="dxa"/>
            <w:vAlign w:val="center"/>
          </w:tcPr>
          <w:p w14:paraId="7165A1FD" w14:textId="77777777" w:rsidR="008143D9" w:rsidRPr="00AC3044" w:rsidRDefault="008143D9" w:rsidP="005A428D">
            <w:pPr>
              <w:rPr>
                <w:rFonts w:eastAsia="SimSun"/>
              </w:rPr>
            </w:pPr>
            <w:r w:rsidRPr="00AC3044">
              <w:rPr>
                <w:rFonts w:eastAsia="SimSun"/>
              </w:rPr>
              <w:t>В/в, в течение 2 часов</w:t>
            </w:r>
          </w:p>
        </w:tc>
      </w:tr>
      <w:tr w:rsidR="008143D9" w:rsidRPr="00AC3044" w14:paraId="06011A66" w14:textId="77777777" w:rsidTr="005A428D">
        <w:trPr>
          <w:cantSplit/>
          <w:trHeight w:val="958"/>
        </w:trPr>
        <w:tc>
          <w:tcPr>
            <w:tcW w:w="1135" w:type="dxa"/>
            <w:vMerge/>
            <w:textDirection w:val="btLr"/>
            <w:vAlign w:val="center"/>
          </w:tcPr>
          <w:p w14:paraId="386DD275" w14:textId="77777777" w:rsidR="008143D9" w:rsidRPr="00AC3044" w:rsidRDefault="008143D9" w:rsidP="005A428D">
            <w:pPr>
              <w:rPr>
                <w:rFonts w:eastAsia="SimSun"/>
              </w:rPr>
            </w:pPr>
          </w:p>
        </w:tc>
        <w:tc>
          <w:tcPr>
            <w:tcW w:w="1559" w:type="dxa"/>
            <w:vAlign w:val="center"/>
          </w:tcPr>
          <w:p w14:paraId="682F99FC" w14:textId="77777777" w:rsidR="008143D9" w:rsidRPr="00AC3044" w:rsidRDefault="008143D9" w:rsidP="005A428D">
            <w:pPr>
              <w:rPr>
                <w:rFonts w:eastAsia="SimSun"/>
              </w:rPr>
            </w:pPr>
            <w:r w:rsidRPr="00AC3044">
              <w:rPr>
                <w:rFonts w:eastAsia="SimSun"/>
              </w:rPr>
              <w:t xml:space="preserve">Такролимус </w:t>
            </w:r>
          </w:p>
        </w:tc>
        <w:tc>
          <w:tcPr>
            <w:tcW w:w="1418" w:type="dxa"/>
            <w:vAlign w:val="center"/>
          </w:tcPr>
          <w:p w14:paraId="05333D54" w14:textId="77777777" w:rsidR="008143D9" w:rsidRPr="00AC3044" w:rsidRDefault="008143D9" w:rsidP="005A428D">
            <w:pPr>
              <w:rPr>
                <w:rFonts w:eastAsia="SimSun"/>
              </w:rPr>
            </w:pPr>
            <w:r w:rsidRPr="00AC3044">
              <w:rPr>
                <w:rFonts w:eastAsia="SimSun"/>
              </w:rPr>
              <w:t>0,03 мг/кг</w:t>
            </w:r>
          </w:p>
        </w:tc>
        <w:tc>
          <w:tcPr>
            <w:tcW w:w="1559" w:type="dxa"/>
            <w:vAlign w:val="center"/>
          </w:tcPr>
          <w:p w14:paraId="19C47EC2" w14:textId="77777777" w:rsidR="008143D9" w:rsidRPr="00AC3044" w:rsidRDefault="008143D9" w:rsidP="005A428D">
            <w:pPr>
              <w:rPr>
                <w:rFonts w:eastAsia="SimSun"/>
              </w:rPr>
            </w:pPr>
            <w:r w:rsidRPr="00AC3044">
              <w:rPr>
                <w:rFonts w:eastAsia="SimSun"/>
              </w:rPr>
              <w:t>–</w:t>
            </w:r>
          </w:p>
        </w:tc>
        <w:tc>
          <w:tcPr>
            <w:tcW w:w="1417" w:type="dxa"/>
            <w:vAlign w:val="center"/>
          </w:tcPr>
          <w:p w14:paraId="223F97A5" w14:textId="77777777" w:rsidR="008143D9" w:rsidRPr="00AC3044" w:rsidRDefault="008143D9" w:rsidP="005A428D">
            <w:pPr>
              <w:rPr>
                <w:rFonts w:eastAsia="SimSun"/>
              </w:rPr>
            </w:pPr>
            <w:r w:rsidRPr="00AC3044">
              <w:rPr>
                <w:rFonts w:eastAsia="SimSun"/>
              </w:rPr>
              <w:t xml:space="preserve">С +5 дня длительно </w:t>
            </w:r>
          </w:p>
        </w:tc>
        <w:tc>
          <w:tcPr>
            <w:tcW w:w="2552" w:type="dxa"/>
            <w:vAlign w:val="center"/>
          </w:tcPr>
          <w:p w14:paraId="7CA94D22" w14:textId="77777777" w:rsidR="008143D9" w:rsidRPr="00AC3044" w:rsidRDefault="008143D9" w:rsidP="005A428D">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8143D9" w:rsidRPr="00AC3044" w14:paraId="45BFE523" w14:textId="77777777" w:rsidTr="005A428D">
        <w:trPr>
          <w:cantSplit/>
          <w:trHeight w:val="491"/>
        </w:trPr>
        <w:tc>
          <w:tcPr>
            <w:tcW w:w="1135" w:type="dxa"/>
            <w:vMerge/>
            <w:textDirection w:val="btLr"/>
            <w:vAlign w:val="center"/>
          </w:tcPr>
          <w:p w14:paraId="735E7712" w14:textId="77777777" w:rsidR="008143D9" w:rsidRPr="00AC3044" w:rsidRDefault="008143D9" w:rsidP="005A428D">
            <w:pPr>
              <w:rPr>
                <w:rFonts w:eastAsia="SimSun"/>
              </w:rPr>
            </w:pPr>
          </w:p>
        </w:tc>
        <w:tc>
          <w:tcPr>
            <w:tcW w:w="1559" w:type="dxa"/>
            <w:vAlign w:val="center"/>
          </w:tcPr>
          <w:p w14:paraId="0A0ADA57" w14:textId="77777777" w:rsidR="008143D9" w:rsidRPr="00AC3044" w:rsidRDefault="008143D9" w:rsidP="005A428D">
            <w:pPr>
              <w:rPr>
                <w:rFonts w:eastAsia="SimSun"/>
              </w:rPr>
            </w:pPr>
            <w:r w:rsidRPr="00AC3044">
              <w:rPr>
                <w:rFonts w:eastAsia="SimSun"/>
              </w:rPr>
              <w:t>Микофенолата мофетил</w:t>
            </w:r>
          </w:p>
        </w:tc>
        <w:tc>
          <w:tcPr>
            <w:tcW w:w="1418" w:type="dxa"/>
            <w:vAlign w:val="center"/>
          </w:tcPr>
          <w:p w14:paraId="5D66E530" w14:textId="77777777" w:rsidR="008143D9" w:rsidRPr="00AC3044" w:rsidRDefault="008143D9" w:rsidP="005A428D">
            <w:pPr>
              <w:rPr>
                <w:rFonts w:eastAsia="SimSun"/>
              </w:rPr>
            </w:pPr>
            <w:r w:rsidRPr="00AC3044">
              <w:rPr>
                <w:rFonts w:eastAsia="SimSun"/>
              </w:rPr>
              <w:t xml:space="preserve">45 мг/кг </w:t>
            </w:r>
          </w:p>
        </w:tc>
        <w:tc>
          <w:tcPr>
            <w:tcW w:w="1559" w:type="dxa"/>
            <w:vAlign w:val="center"/>
          </w:tcPr>
          <w:p w14:paraId="4F735B5F" w14:textId="77777777" w:rsidR="008143D9" w:rsidRPr="00AC3044" w:rsidRDefault="008143D9" w:rsidP="005A428D">
            <w:pPr>
              <w:rPr>
                <w:rFonts w:eastAsia="SimSun"/>
              </w:rPr>
            </w:pPr>
            <w:r w:rsidRPr="00AC3044">
              <w:rPr>
                <w:rFonts w:eastAsia="SimSun"/>
              </w:rPr>
              <w:t>–</w:t>
            </w:r>
          </w:p>
        </w:tc>
        <w:tc>
          <w:tcPr>
            <w:tcW w:w="1417" w:type="dxa"/>
            <w:vAlign w:val="center"/>
          </w:tcPr>
          <w:p w14:paraId="17852BCC" w14:textId="77777777" w:rsidR="008143D9" w:rsidRPr="00AC3044" w:rsidRDefault="008143D9" w:rsidP="005A428D">
            <w:pPr>
              <w:rPr>
                <w:rFonts w:eastAsia="SimSun"/>
              </w:rPr>
            </w:pPr>
            <w:r w:rsidRPr="00AC3044">
              <w:rPr>
                <w:rFonts w:eastAsia="SimSun"/>
              </w:rPr>
              <w:t xml:space="preserve">С +5 дня по +35 день </w:t>
            </w:r>
          </w:p>
        </w:tc>
        <w:tc>
          <w:tcPr>
            <w:tcW w:w="2552" w:type="dxa"/>
            <w:vAlign w:val="center"/>
          </w:tcPr>
          <w:p w14:paraId="6AEDF43E" w14:textId="77777777" w:rsidR="008143D9" w:rsidRPr="00AC3044" w:rsidRDefault="008143D9" w:rsidP="005A428D">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6DC637DE" w14:textId="77777777" w:rsidR="008143D9" w:rsidRDefault="008143D9" w:rsidP="008143D9">
      <w:pPr>
        <w:rPr>
          <w:rFonts w:eastAsia="SimSun"/>
        </w:rPr>
      </w:pPr>
      <w:bookmarkStart w:id="197" w:name="_Toc44401239"/>
    </w:p>
    <w:p w14:paraId="685A3CC7" w14:textId="77777777" w:rsidR="008143D9" w:rsidRPr="00C07B2E" w:rsidRDefault="008143D9" w:rsidP="008143D9">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3.1.14  – Flu180+Mel100 / PT-Cy+Tx+MMF45</w:t>
      </w:r>
      <w:bookmarkEnd w:id="197"/>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417"/>
        <w:gridCol w:w="2552"/>
      </w:tblGrid>
      <w:tr w:rsidR="008143D9" w:rsidRPr="00AC3044" w14:paraId="0AB55EB3" w14:textId="77777777" w:rsidTr="005A428D">
        <w:trPr>
          <w:cantSplit/>
          <w:trHeight w:val="20"/>
          <w:tblHeader/>
        </w:trPr>
        <w:tc>
          <w:tcPr>
            <w:tcW w:w="1135" w:type="dxa"/>
            <w:vAlign w:val="center"/>
          </w:tcPr>
          <w:p w14:paraId="68DA8551" w14:textId="77777777" w:rsidR="008143D9" w:rsidRPr="00AC3044" w:rsidRDefault="008143D9" w:rsidP="005A428D">
            <w:pPr>
              <w:rPr>
                <w:rFonts w:eastAsia="SimSun"/>
              </w:rPr>
            </w:pPr>
          </w:p>
        </w:tc>
        <w:tc>
          <w:tcPr>
            <w:tcW w:w="1559" w:type="dxa"/>
            <w:vAlign w:val="center"/>
          </w:tcPr>
          <w:p w14:paraId="22396B44" w14:textId="77777777" w:rsidR="008143D9" w:rsidRPr="00AC3044" w:rsidRDefault="008143D9" w:rsidP="005A428D">
            <w:pPr>
              <w:rPr>
                <w:rFonts w:eastAsia="SimSun"/>
              </w:rPr>
            </w:pPr>
            <w:r w:rsidRPr="00AC3044">
              <w:rPr>
                <w:rFonts w:eastAsia="SimSun"/>
              </w:rPr>
              <w:t>Препарат</w:t>
            </w:r>
          </w:p>
        </w:tc>
        <w:tc>
          <w:tcPr>
            <w:tcW w:w="1418" w:type="dxa"/>
            <w:vAlign w:val="center"/>
          </w:tcPr>
          <w:p w14:paraId="0FD4C654" w14:textId="77777777" w:rsidR="008143D9" w:rsidRPr="00AC3044" w:rsidRDefault="008143D9" w:rsidP="005A428D">
            <w:pPr>
              <w:rPr>
                <w:rFonts w:eastAsia="SimSun"/>
              </w:rPr>
            </w:pPr>
            <w:r w:rsidRPr="00AC3044">
              <w:rPr>
                <w:rFonts w:eastAsia="SimSun"/>
              </w:rPr>
              <w:t>Суточная доза</w:t>
            </w:r>
          </w:p>
        </w:tc>
        <w:tc>
          <w:tcPr>
            <w:tcW w:w="1559" w:type="dxa"/>
            <w:vAlign w:val="center"/>
          </w:tcPr>
          <w:p w14:paraId="70C947F3" w14:textId="77777777" w:rsidR="008143D9" w:rsidRPr="00AC3044" w:rsidRDefault="008143D9" w:rsidP="005A428D">
            <w:pPr>
              <w:rPr>
                <w:rFonts w:eastAsia="SimSun"/>
              </w:rPr>
            </w:pPr>
            <w:r w:rsidRPr="00AC3044">
              <w:rPr>
                <w:rFonts w:eastAsia="SimSun"/>
              </w:rPr>
              <w:t>Курсовая доза</w:t>
            </w:r>
          </w:p>
        </w:tc>
        <w:tc>
          <w:tcPr>
            <w:tcW w:w="1417" w:type="dxa"/>
            <w:vAlign w:val="center"/>
          </w:tcPr>
          <w:p w14:paraId="74DA2165" w14:textId="77777777" w:rsidR="008143D9" w:rsidRPr="00AC3044" w:rsidRDefault="008143D9" w:rsidP="005A428D">
            <w:pPr>
              <w:rPr>
                <w:rFonts w:eastAsia="SimSun"/>
              </w:rPr>
            </w:pPr>
            <w:r w:rsidRPr="00AC3044">
              <w:rPr>
                <w:rFonts w:eastAsia="SimSun"/>
              </w:rPr>
              <w:t>Дни введения</w:t>
            </w:r>
          </w:p>
        </w:tc>
        <w:tc>
          <w:tcPr>
            <w:tcW w:w="2552" w:type="dxa"/>
            <w:vAlign w:val="center"/>
          </w:tcPr>
          <w:p w14:paraId="6F402416"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799D6BEF" w14:textId="77777777" w:rsidTr="005A428D">
        <w:trPr>
          <w:cantSplit/>
          <w:trHeight w:val="20"/>
        </w:trPr>
        <w:tc>
          <w:tcPr>
            <w:tcW w:w="1135" w:type="dxa"/>
            <w:vMerge w:val="restart"/>
            <w:textDirection w:val="btLr"/>
            <w:vAlign w:val="center"/>
          </w:tcPr>
          <w:p w14:paraId="6AFEB27F" w14:textId="77777777" w:rsidR="008143D9" w:rsidRPr="00AC3044" w:rsidRDefault="008143D9" w:rsidP="005A428D">
            <w:pPr>
              <w:rPr>
                <w:rFonts w:eastAsia="SimSun"/>
              </w:rPr>
            </w:pPr>
            <w:r w:rsidRPr="00AC3044">
              <w:rPr>
                <w:rFonts w:eastAsia="SimSun"/>
              </w:rPr>
              <w:t>Кондиционирование</w:t>
            </w:r>
          </w:p>
        </w:tc>
        <w:tc>
          <w:tcPr>
            <w:tcW w:w="1559" w:type="dxa"/>
            <w:vAlign w:val="center"/>
          </w:tcPr>
          <w:p w14:paraId="48129830" w14:textId="77777777" w:rsidR="008143D9" w:rsidRPr="00AC3044" w:rsidRDefault="008143D9" w:rsidP="005A428D">
            <w:pPr>
              <w:rPr>
                <w:rFonts w:eastAsia="SimSun"/>
              </w:rPr>
            </w:pPr>
            <w:r w:rsidRPr="00AC3044">
              <w:rPr>
                <w:rFonts w:eastAsia="SimSun"/>
              </w:rPr>
              <w:t xml:space="preserve">Флударабин </w:t>
            </w:r>
          </w:p>
        </w:tc>
        <w:tc>
          <w:tcPr>
            <w:tcW w:w="1418" w:type="dxa"/>
            <w:vAlign w:val="center"/>
          </w:tcPr>
          <w:p w14:paraId="0C655291" w14:textId="77777777" w:rsidR="008143D9" w:rsidRPr="00AC3044" w:rsidRDefault="008143D9" w:rsidP="005A428D">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261D3216" w14:textId="77777777" w:rsidR="008143D9" w:rsidRPr="00AC3044" w:rsidRDefault="008143D9" w:rsidP="005A428D">
            <w:pPr>
              <w:rPr>
                <w:rFonts w:eastAsia="SimSun"/>
              </w:rPr>
            </w:pPr>
            <w:r w:rsidRPr="00AC3044">
              <w:rPr>
                <w:rFonts w:eastAsia="SimSun"/>
              </w:rPr>
              <w:t>180 мг/м</w:t>
            </w:r>
            <w:r w:rsidRPr="0074195F">
              <w:rPr>
                <w:rFonts w:eastAsia="SimSun"/>
                <w:vertAlign w:val="superscript"/>
              </w:rPr>
              <w:t>2</w:t>
            </w:r>
          </w:p>
        </w:tc>
        <w:tc>
          <w:tcPr>
            <w:tcW w:w="1417" w:type="dxa"/>
            <w:vAlign w:val="center"/>
          </w:tcPr>
          <w:p w14:paraId="49172C51" w14:textId="77777777" w:rsidR="008143D9" w:rsidRPr="00AC3044" w:rsidRDefault="008143D9" w:rsidP="005A428D">
            <w:pPr>
              <w:rPr>
                <w:rFonts w:eastAsia="SimSun"/>
              </w:rPr>
            </w:pPr>
            <w:r w:rsidRPr="00AC3044">
              <w:rPr>
                <w:rFonts w:eastAsia="SimSun"/>
              </w:rPr>
              <w:t>С -7 дня по -2 день</w:t>
            </w:r>
          </w:p>
        </w:tc>
        <w:tc>
          <w:tcPr>
            <w:tcW w:w="2552" w:type="dxa"/>
            <w:vAlign w:val="center"/>
          </w:tcPr>
          <w:p w14:paraId="190BED5B"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0AEAFDEA" w14:textId="77777777" w:rsidTr="005A428D">
        <w:trPr>
          <w:cantSplit/>
          <w:trHeight w:val="1207"/>
        </w:trPr>
        <w:tc>
          <w:tcPr>
            <w:tcW w:w="1135" w:type="dxa"/>
            <w:vMerge/>
            <w:vAlign w:val="center"/>
          </w:tcPr>
          <w:p w14:paraId="2742B2A7" w14:textId="77777777" w:rsidR="008143D9" w:rsidRPr="00AC3044" w:rsidRDefault="008143D9" w:rsidP="005A428D">
            <w:pPr>
              <w:rPr>
                <w:rFonts w:eastAsia="SimSun"/>
              </w:rPr>
            </w:pPr>
          </w:p>
        </w:tc>
        <w:tc>
          <w:tcPr>
            <w:tcW w:w="1559" w:type="dxa"/>
            <w:vAlign w:val="center"/>
          </w:tcPr>
          <w:p w14:paraId="44CC69D7" w14:textId="77777777" w:rsidR="008143D9" w:rsidRPr="00AC3044" w:rsidRDefault="008143D9" w:rsidP="005A428D">
            <w:pPr>
              <w:rPr>
                <w:rFonts w:eastAsia="SimSun"/>
              </w:rPr>
            </w:pPr>
            <w:r w:rsidRPr="00AC3044">
              <w:rPr>
                <w:rFonts w:eastAsia="SimSun"/>
              </w:rPr>
              <w:t>Мелфалан</w:t>
            </w:r>
          </w:p>
        </w:tc>
        <w:tc>
          <w:tcPr>
            <w:tcW w:w="1418" w:type="dxa"/>
            <w:vAlign w:val="center"/>
          </w:tcPr>
          <w:p w14:paraId="71052748" w14:textId="77777777" w:rsidR="008143D9" w:rsidRPr="00AC3044" w:rsidRDefault="008143D9" w:rsidP="005A428D">
            <w:pPr>
              <w:rPr>
                <w:rFonts w:eastAsia="SimSun"/>
              </w:rPr>
            </w:pPr>
            <w:r w:rsidRPr="00AC3044">
              <w:rPr>
                <w:rFonts w:eastAsia="SimSun"/>
              </w:rPr>
              <w:t>100 мг/м</w:t>
            </w:r>
            <w:r w:rsidRPr="0074195F">
              <w:rPr>
                <w:rFonts w:eastAsia="SimSun"/>
                <w:vertAlign w:val="superscript"/>
              </w:rPr>
              <w:t>2</w:t>
            </w:r>
            <w:r w:rsidRPr="00AC3044">
              <w:rPr>
                <w:rFonts w:eastAsia="SimSun"/>
              </w:rPr>
              <w:t xml:space="preserve"> </w:t>
            </w:r>
          </w:p>
        </w:tc>
        <w:tc>
          <w:tcPr>
            <w:tcW w:w="1559" w:type="dxa"/>
            <w:vAlign w:val="center"/>
          </w:tcPr>
          <w:p w14:paraId="6DC0EE9D" w14:textId="77777777" w:rsidR="008143D9" w:rsidRPr="00AC3044" w:rsidRDefault="008143D9" w:rsidP="005A428D">
            <w:pPr>
              <w:rPr>
                <w:rFonts w:eastAsia="SimSun"/>
              </w:rPr>
            </w:pPr>
            <w:r w:rsidRPr="00AC3044">
              <w:rPr>
                <w:rFonts w:eastAsia="SimSun"/>
              </w:rPr>
              <w:t>100 мг/м</w:t>
            </w:r>
            <w:r w:rsidRPr="0074195F">
              <w:rPr>
                <w:rFonts w:eastAsia="SimSun"/>
                <w:vertAlign w:val="superscript"/>
              </w:rPr>
              <w:t>2</w:t>
            </w:r>
          </w:p>
        </w:tc>
        <w:tc>
          <w:tcPr>
            <w:tcW w:w="1417" w:type="dxa"/>
            <w:vAlign w:val="center"/>
          </w:tcPr>
          <w:p w14:paraId="1D8EE7CF" w14:textId="77777777" w:rsidR="008143D9" w:rsidRPr="00AC3044" w:rsidRDefault="008143D9" w:rsidP="005A428D">
            <w:pPr>
              <w:rPr>
                <w:rFonts w:eastAsia="SimSun"/>
              </w:rPr>
            </w:pPr>
            <w:r w:rsidRPr="00AC3044">
              <w:rPr>
                <w:rFonts w:eastAsia="SimSun"/>
              </w:rPr>
              <w:t xml:space="preserve">В -2 день </w:t>
            </w:r>
          </w:p>
        </w:tc>
        <w:tc>
          <w:tcPr>
            <w:tcW w:w="2552" w:type="dxa"/>
            <w:vAlign w:val="center"/>
          </w:tcPr>
          <w:p w14:paraId="0E5FC3E6" w14:textId="77777777" w:rsidR="008143D9" w:rsidRPr="00AC3044" w:rsidRDefault="008143D9" w:rsidP="005A428D">
            <w:pPr>
              <w:rPr>
                <w:rFonts w:eastAsia="SimSun"/>
              </w:rPr>
            </w:pPr>
            <w:r w:rsidRPr="00AC3044">
              <w:rPr>
                <w:rFonts w:eastAsia="SimSun"/>
              </w:rPr>
              <w:t>В/в, в течение 1 часа</w:t>
            </w:r>
          </w:p>
        </w:tc>
      </w:tr>
      <w:tr w:rsidR="008143D9" w:rsidRPr="00AC3044" w14:paraId="5A482BCF" w14:textId="77777777" w:rsidTr="005A428D">
        <w:trPr>
          <w:cantSplit/>
          <w:trHeight w:val="606"/>
        </w:trPr>
        <w:tc>
          <w:tcPr>
            <w:tcW w:w="1135" w:type="dxa"/>
            <w:vMerge w:val="restart"/>
            <w:textDirection w:val="btLr"/>
            <w:vAlign w:val="center"/>
          </w:tcPr>
          <w:p w14:paraId="741BA5B0" w14:textId="77777777" w:rsidR="008143D9" w:rsidRPr="00AC3044" w:rsidRDefault="008143D9" w:rsidP="005A428D">
            <w:pPr>
              <w:rPr>
                <w:rFonts w:eastAsia="SimSun"/>
              </w:rPr>
            </w:pPr>
            <w:r w:rsidRPr="00AC3044">
              <w:rPr>
                <w:rFonts w:eastAsia="SimSun"/>
              </w:rPr>
              <w:t>Профилактика РТПХ</w:t>
            </w:r>
          </w:p>
        </w:tc>
        <w:tc>
          <w:tcPr>
            <w:tcW w:w="1559" w:type="dxa"/>
            <w:vAlign w:val="center"/>
          </w:tcPr>
          <w:p w14:paraId="63B04D2B" w14:textId="77777777" w:rsidR="008143D9" w:rsidRPr="00AC3044" w:rsidRDefault="008143D9" w:rsidP="005A428D">
            <w:pPr>
              <w:rPr>
                <w:rFonts w:eastAsia="SimSun"/>
              </w:rPr>
            </w:pPr>
            <w:r w:rsidRPr="00AC3044">
              <w:rPr>
                <w:rFonts w:eastAsia="SimSun"/>
              </w:rPr>
              <w:t>Циклофосфамид</w:t>
            </w:r>
          </w:p>
        </w:tc>
        <w:tc>
          <w:tcPr>
            <w:tcW w:w="1418" w:type="dxa"/>
            <w:vAlign w:val="center"/>
          </w:tcPr>
          <w:p w14:paraId="7D8D4AC0" w14:textId="77777777" w:rsidR="008143D9" w:rsidRPr="00AC3044" w:rsidRDefault="008143D9" w:rsidP="005A428D">
            <w:pPr>
              <w:rPr>
                <w:rFonts w:eastAsia="SimSun"/>
              </w:rPr>
            </w:pPr>
            <w:r w:rsidRPr="00AC3044">
              <w:rPr>
                <w:rFonts w:eastAsia="SimSun"/>
              </w:rPr>
              <w:t>50 мг/кг</w:t>
            </w:r>
          </w:p>
        </w:tc>
        <w:tc>
          <w:tcPr>
            <w:tcW w:w="1559" w:type="dxa"/>
            <w:vAlign w:val="center"/>
          </w:tcPr>
          <w:p w14:paraId="3079A9AD" w14:textId="77777777" w:rsidR="008143D9" w:rsidRPr="00AC3044" w:rsidRDefault="008143D9" w:rsidP="005A428D">
            <w:pPr>
              <w:rPr>
                <w:rFonts w:eastAsia="SimSun"/>
              </w:rPr>
            </w:pPr>
            <w:r w:rsidRPr="00AC3044">
              <w:rPr>
                <w:rFonts w:eastAsia="SimSun"/>
              </w:rPr>
              <w:t>100 мг/кг</w:t>
            </w:r>
          </w:p>
        </w:tc>
        <w:tc>
          <w:tcPr>
            <w:tcW w:w="1417" w:type="dxa"/>
            <w:vAlign w:val="center"/>
          </w:tcPr>
          <w:p w14:paraId="466F2A7D" w14:textId="77777777" w:rsidR="008143D9" w:rsidRPr="00AC3044" w:rsidRDefault="008143D9" w:rsidP="005A428D">
            <w:pPr>
              <w:rPr>
                <w:rFonts w:eastAsia="SimSun"/>
              </w:rPr>
            </w:pPr>
            <w:r w:rsidRPr="00AC3044">
              <w:rPr>
                <w:rFonts w:eastAsia="SimSun"/>
              </w:rPr>
              <w:t xml:space="preserve">+3,+4 дни </w:t>
            </w:r>
          </w:p>
        </w:tc>
        <w:tc>
          <w:tcPr>
            <w:tcW w:w="2552" w:type="dxa"/>
            <w:vAlign w:val="center"/>
          </w:tcPr>
          <w:p w14:paraId="31BDD2AE" w14:textId="77777777" w:rsidR="008143D9" w:rsidRPr="00AC3044" w:rsidRDefault="008143D9" w:rsidP="005A428D">
            <w:pPr>
              <w:rPr>
                <w:rFonts w:eastAsia="SimSun"/>
              </w:rPr>
            </w:pPr>
            <w:r w:rsidRPr="00AC3044">
              <w:rPr>
                <w:rFonts w:eastAsia="SimSun"/>
              </w:rPr>
              <w:t>В/в, в течение 2 часов</w:t>
            </w:r>
          </w:p>
        </w:tc>
      </w:tr>
      <w:tr w:rsidR="008143D9" w:rsidRPr="00AC3044" w14:paraId="2B2A6202" w14:textId="77777777" w:rsidTr="005A428D">
        <w:trPr>
          <w:cantSplit/>
          <w:trHeight w:val="958"/>
        </w:trPr>
        <w:tc>
          <w:tcPr>
            <w:tcW w:w="1135" w:type="dxa"/>
            <w:vMerge/>
            <w:textDirection w:val="btLr"/>
            <w:vAlign w:val="center"/>
          </w:tcPr>
          <w:p w14:paraId="1DC592CC" w14:textId="77777777" w:rsidR="008143D9" w:rsidRPr="00AC3044" w:rsidRDefault="008143D9" w:rsidP="005A428D">
            <w:pPr>
              <w:rPr>
                <w:rFonts w:eastAsia="SimSun"/>
              </w:rPr>
            </w:pPr>
          </w:p>
        </w:tc>
        <w:tc>
          <w:tcPr>
            <w:tcW w:w="1559" w:type="dxa"/>
            <w:vAlign w:val="center"/>
          </w:tcPr>
          <w:p w14:paraId="3F9D537B" w14:textId="77777777" w:rsidR="008143D9" w:rsidRPr="00AC3044" w:rsidRDefault="008143D9" w:rsidP="005A428D">
            <w:pPr>
              <w:rPr>
                <w:rFonts w:eastAsia="SimSun"/>
              </w:rPr>
            </w:pPr>
            <w:r w:rsidRPr="00AC3044">
              <w:rPr>
                <w:rFonts w:eastAsia="SimSun"/>
              </w:rPr>
              <w:t xml:space="preserve">Такролимус </w:t>
            </w:r>
          </w:p>
        </w:tc>
        <w:tc>
          <w:tcPr>
            <w:tcW w:w="1418" w:type="dxa"/>
            <w:vAlign w:val="center"/>
          </w:tcPr>
          <w:p w14:paraId="11987871" w14:textId="77777777" w:rsidR="008143D9" w:rsidRPr="00AC3044" w:rsidRDefault="008143D9" w:rsidP="005A428D">
            <w:pPr>
              <w:rPr>
                <w:rFonts w:eastAsia="SimSun"/>
              </w:rPr>
            </w:pPr>
            <w:r w:rsidRPr="00AC3044">
              <w:rPr>
                <w:rFonts w:eastAsia="SimSun"/>
              </w:rPr>
              <w:t>0,03 мг/кг</w:t>
            </w:r>
          </w:p>
        </w:tc>
        <w:tc>
          <w:tcPr>
            <w:tcW w:w="1559" w:type="dxa"/>
            <w:vAlign w:val="center"/>
          </w:tcPr>
          <w:p w14:paraId="215149F7" w14:textId="77777777" w:rsidR="008143D9" w:rsidRPr="00AC3044" w:rsidRDefault="008143D9" w:rsidP="005A428D">
            <w:pPr>
              <w:rPr>
                <w:rFonts w:eastAsia="SimSun"/>
              </w:rPr>
            </w:pPr>
            <w:r w:rsidRPr="00AC3044">
              <w:rPr>
                <w:rFonts w:eastAsia="SimSun"/>
              </w:rPr>
              <w:t>–</w:t>
            </w:r>
          </w:p>
        </w:tc>
        <w:tc>
          <w:tcPr>
            <w:tcW w:w="1417" w:type="dxa"/>
            <w:vAlign w:val="center"/>
          </w:tcPr>
          <w:p w14:paraId="468F4413" w14:textId="77777777" w:rsidR="008143D9" w:rsidRPr="00AC3044" w:rsidRDefault="008143D9" w:rsidP="005A428D">
            <w:pPr>
              <w:rPr>
                <w:rFonts w:eastAsia="SimSun"/>
              </w:rPr>
            </w:pPr>
            <w:r w:rsidRPr="00AC3044">
              <w:rPr>
                <w:rFonts w:eastAsia="SimSun"/>
              </w:rPr>
              <w:t xml:space="preserve">С -1 дня длительно </w:t>
            </w:r>
          </w:p>
        </w:tc>
        <w:tc>
          <w:tcPr>
            <w:tcW w:w="2552" w:type="dxa"/>
            <w:vAlign w:val="center"/>
          </w:tcPr>
          <w:p w14:paraId="0133615A" w14:textId="77777777" w:rsidR="008143D9" w:rsidRPr="00AC3044" w:rsidRDefault="008143D9" w:rsidP="005A428D">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8143D9" w:rsidRPr="00AC3044" w14:paraId="0E70638F" w14:textId="77777777" w:rsidTr="005A428D">
        <w:trPr>
          <w:cantSplit/>
          <w:trHeight w:val="386"/>
        </w:trPr>
        <w:tc>
          <w:tcPr>
            <w:tcW w:w="1135" w:type="dxa"/>
            <w:vMerge/>
            <w:textDirection w:val="btLr"/>
            <w:vAlign w:val="center"/>
          </w:tcPr>
          <w:p w14:paraId="13FEB5EE" w14:textId="77777777" w:rsidR="008143D9" w:rsidRPr="00AC3044" w:rsidRDefault="008143D9" w:rsidP="005A428D">
            <w:pPr>
              <w:rPr>
                <w:rFonts w:eastAsia="SimSun"/>
              </w:rPr>
            </w:pPr>
          </w:p>
        </w:tc>
        <w:tc>
          <w:tcPr>
            <w:tcW w:w="1559" w:type="dxa"/>
            <w:vAlign w:val="center"/>
          </w:tcPr>
          <w:p w14:paraId="2D962A37" w14:textId="77777777" w:rsidR="008143D9" w:rsidRPr="00AC3044" w:rsidRDefault="008143D9" w:rsidP="005A428D">
            <w:pPr>
              <w:rPr>
                <w:rFonts w:eastAsia="SimSun"/>
              </w:rPr>
            </w:pPr>
            <w:r w:rsidRPr="00AC3044">
              <w:rPr>
                <w:rFonts w:eastAsia="SimSun"/>
              </w:rPr>
              <w:t>Микофенолата мофетил</w:t>
            </w:r>
          </w:p>
        </w:tc>
        <w:tc>
          <w:tcPr>
            <w:tcW w:w="1418" w:type="dxa"/>
            <w:vAlign w:val="center"/>
          </w:tcPr>
          <w:p w14:paraId="74DE4B65" w14:textId="77777777" w:rsidR="008143D9" w:rsidRPr="00AC3044" w:rsidRDefault="008143D9" w:rsidP="005A428D">
            <w:pPr>
              <w:rPr>
                <w:rFonts w:eastAsia="SimSun"/>
              </w:rPr>
            </w:pPr>
            <w:r w:rsidRPr="00AC3044">
              <w:rPr>
                <w:rFonts w:eastAsia="SimSun"/>
              </w:rPr>
              <w:t xml:space="preserve">30 мг/кг </w:t>
            </w:r>
          </w:p>
        </w:tc>
        <w:tc>
          <w:tcPr>
            <w:tcW w:w="1559" w:type="dxa"/>
            <w:vAlign w:val="center"/>
          </w:tcPr>
          <w:p w14:paraId="0EFF47DC" w14:textId="77777777" w:rsidR="008143D9" w:rsidRPr="00AC3044" w:rsidRDefault="008143D9" w:rsidP="005A428D">
            <w:pPr>
              <w:rPr>
                <w:rFonts w:eastAsia="SimSun"/>
              </w:rPr>
            </w:pPr>
            <w:r w:rsidRPr="00AC3044">
              <w:rPr>
                <w:rFonts w:eastAsia="SimSun"/>
              </w:rPr>
              <w:t>–</w:t>
            </w:r>
          </w:p>
        </w:tc>
        <w:tc>
          <w:tcPr>
            <w:tcW w:w="1417" w:type="dxa"/>
            <w:vAlign w:val="center"/>
          </w:tcPr>
          <w:p w14:paraId="72747CD7" w14:textId="77777777" w:rsidR="008143D9" w:rsidRPr="00AC3044" w:rsidRDefault="008143D9" w:rsidP="005A428D">
            <w:pPr>
              <w:rPr>
                <w:rFonts w:eastAsia="SimSun"/>
              </w:rPr>
            </w:pPr>
            <w:r w:rsidRPr="00AC3044">
              <w:rPr>
                <w:rFonts w:eastAsia="SimSun"/>
              </w:rPr>
              <w:t xml:space="preserve">С -1 дня по +30 день </w:t>
            </w:r>
          </w:p>
        </w:tc>
        <w:tc>
          <w:tcPr>
            <w:tcW w:w="2552" w:type="dxa"/>
            <w:vAlign w:val="center"/>
          </w:tcPr>
          <w:p w14:paraId="79E62D9A" w14:textId="77777777" w:rsidR="008143D9" w:rsidRPr="00AC3044" w:rsidRDefault="008143D9" w:rsidP="005A428D">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08A82D1C" w14:textId="77777777" w:rsidR="008143D9" w:rsidRPr="00C07B2E" w:rsidRDefault="008143D9" w:rsidP="008143D9">
      <w:pPr>
        <w:rPr>
          <w:rFonts w:eastAsia="SimSun"/>
        </w:rPr>
      </w:pPr>
    </w:p>
    <w:p w14:paraId="36D73B94" w14:textId="77777777" w:rsidR="008143D9" w:rsidRPr="000F445E" w:rsidRDefault="008143D9" w:rsidP="008143D9">
      <w:pPr>
        <w:rPr>
          <w:rFonts w:eastAsia="SimSun"/>
          <w:i/>
          <w:u w:val="single"/>
        </w:rPr>
      </w:pPr>
      <w:bookmarkStart w:id="198" w:name="_Toc44401240"/>
      <w:r w:rsidRPr="000F445E">
        <w:rPr>
          <w:rFonts w:eastAsia="SimSun"/>
          <w:i/>
          <w:u w:val="single"/>
        </w:rPr>
        <w:t>4.  Алло-ТГСК с использованием манипулированных  трансплантатов (ex vivo Т-клеточная деплеция, позитивная CD34+ селекция)</w:t>
      </w:r>
      <w:bookmarkEnd w:id="198"/>
      <w:r w:rsidRPr="000F445E">
        <w:rPr>
          <w:rFonts w:eastAsia="SimSun"/>
          <w:i/>
          <w:u w:val="single"/>
        </w:rPr>
        <w:t xml:space="preserve"> </w:t>
      </w:r>
    </w:p>
    <w:p w14:paraId="7A155D47" w14:textId="77777777" w:rsidR="008143D9" w:rsidRDefault="008143D9" w:rsidP="008143D9">
      <w:pPr>
        <w:rPr>
          <w:rFonts w:eastAsia="SimSun"/>
        </w:rPr>
      </w:pPr>
      <w:bookmarkStart w:id="199" w:name="_Toc44401242"/>
    </w:p>
    <w:bookmarkEnd w:id="199"/>
    <w:p w14:paraId="20A855B2" w14:textId="77777777" w:rsidR="008143D9" w:rsidRPr="00C07B2E" w:rsidRDefault="008143D9" w:rsidP="008143D9">
      <w:pPr>
        <w:rPr>
          <w:rFonts w:eastAsia="SimSun"/>
        </w:rPr>
      </w:pPr>
      <w:r w:rsidRPr="00C07B2E">
        <w:rPr>
          <w:rFonts w:eastAsia="SimSun"/>
        </w:rPr>
        <w:t xml:space="preserve">Схема и режим применения препаратов для кондиционирования и профилактики РТПХ приведены в </w:t>
      </w:r>
      <w:r>
        <w:rPr>
          <w:rFonts w:eastAsia="SimSun"/>
        </w:rPr>
        <w:t>Таблицах</w:t>
      </w:r>
      <w:r w:rsidRPr="00C07B2E">
        <w:rPr>
          <w:rFonts w:eastAsia="SimSun"/>
        </w:rPr>
        <w:t xml:space="preserve"> </w:t>
      </w:r>
      <w:r>
        <w:rPr>
          <w:rFonts w:eastAsia="SimSun"/>
        </w:rPr>
        <w:t>5.</w:t>
      </w:r>
      <w:r w:rsidRPr="00C07B2E">
        <w:rPr>
          <w:rFonts w:eastAsia="SimSun"/>
        </w:rPr>
        <w:t xml:space="preserve">4.1, </w:t>
      </w:r>
      <w:r>
        <w:rPr>
          <w:rFonts w:eastAsia="SimSun"/>
        </w:rPr>
        <w:t>5.</w:t>
      </w:r>
      <w:r w:rsidRPr="00C07B2E">
        <w:rPr>
          <w:rFonts w:eastAsia="SimSun"/>
        </w:rPr>
        <w:t xml:space="preserve">4.2 и </w:t>
      </w:r>
      <w:r>
        <w:rPr>
          <w:rFonts w:eastAsia="SimSun"/>
        </w:rPr>
        <w:t>5.</w:t>
      </w:r>
      <w:r w:rsidRPr="00C07B2E">
        <w:rPr>
          <w:rFonts w:eastAsia="SimSun"/>
        </w:rPr>
        <w:t xml:space="preserve">4.3. </w:t>
      </w:r>
    </w:p>
    <w:p w14:paraId="74EC4C87" w14:textId="77777777" w:rsidR="008143D9" w:rsidRDefault="008143D9" w:rsidP="008143D9">
      <w:pPr>
        <w:rPr>
          <w:rFonts w:eastAsia="SimSun"/>
        </w:rPr>
      </w:pPr>
      <w:bookmarkStart w:id="200" w:name="_Toc44401243"/>
    </w:p>
    <w:p w14:paraId="2840C018" w14:textId="77777777" w:rsidR="008143D9" w:rsidRPr="00EE51B1" w:rsidRDefault="008143D9" w:rsidP="008143D9">
      <w:pPr>
        <w:rPr>
          <w:rFonts w:eastAsia="SimSun"/>
          <w:lang w:val="en-US"/>
        </w:rPr>
      </w:pPr>
      <w:r>
        <w:rPr>
          <w:rFonts w:eastAsia="SimSun"/>
        </w:rPr>
        <w:t>Таблица</w:t>
      </w:r>
      <w:r w:rsidRPr="00EE51B1">
        <w:rPr>
          <w:rFonts w:eastAsia="SimSun"/>
          <w:lang w:val="en-US"/>
        </w:rPr>
        <w:t xml:space="preserve"> </w:t>
      </w:r>
      <w:r>
        <w:rPr>
          <w:rFonts w:eastAsia="SimSun"/>
          <w:lang w:val="en-US"/>
        </w:rPr>
        <w:t>5.</w:t>
      </w:r>
      <w:r w:rsidRPr="00EE51B1">
        <w:rPr>
          <w:rFonts w:eastAsia="SimSun"/>
          <w:lang w:val="en-US"/>
        </w:rPr>
        <w:t xml:space="preserve">4.1  – </w:t>
      </w:r>
      <w:r w:rsidRPr="00C07B2E">
        <w:rPr>
          <w:rFonts w:eastAsia="SimSun"/>
        </w:rPr>
        <w:t>Flu</w:t>
      </w:r>
      <w:r w:rsidRPr="00EE51B1">
        <w:rPr>
          <w:rFonts w:eastAsia="SimSun"/>
          <w:lang w:val="en-US"/>
        </w:rPr>
        <w:t>150+</w:t>
      </w:r>
      <w:r w:rsidRPr="00C07B2E">
        <w:rPr>
          <w:rFonts w:eastAsia="SimSun"/>
        </w:rPr>
        <w:t>Treo</w:t>
      </w:r>
      <w:r w:rsidRPr="00EE51B1">
        <w:rPr>
          <w:rFonts w:eastAsia="SimSun"/>
          <w:lang w:val="en-US"/>
        </w:rPr>
        <w:t>42+</w:t>
      </w:r>
      <w:r w:rsidRPr="00C07B2E">
        <w:rPr>
          <w:rFonts w:eastAsia="SimSun"/>
        </w:rPr>
        <w:t>Thio</w:t>
      </w:r>
      <w:r w:rsidRPr="00EE51B1">
        <w:rPr>
          <w:rFonts w:eastAsia="SimSun"/>
          <w:lang w:val="en-US"/>
        </w:rPr>
        <w:t xml:space="preserve"> / </w:t>
      </w:r>
      <w:r w:rsidRPr="00C07B2E">
        <w:rPr>
          <w:rFonts w:eastAsia="SimSun"/>
        </w:rPr>
        <w:t>TCRαβ</w:t>
      </w:r>
      <w:r w:rsidRPr="00EE51B1">
        <w:rPr>
          <w:rFonts w:eastAsia="SimSun"/>
          <w:lang w:val="en-US"/>
        </w:rPr>
        <w:t>-</w:t>
      </w:r>
      <w:r w:rsidRPr="00C07B2E">
        <w:rPr>
          <w:rFonts w:eastAsia="SimSun"/>
        </w:rPr>
        <w:t>CD</w:t>
      </w:r>
      <w:r w:rsidRPr="00EE51B1">
        <w:rPr>
          <w:rFonts w:eastAsia="SimSun"/>
          <w:lang w:val="en-US"/>
        </w:rPr>
        <w:t>19</w:t>
      </w:r>
      <w:bookmarkEnd w:id="200"/>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2268"/>
        <w:gridCol w:w="1276"/>
        <w:gridCol w:w="1417"/>
        <w:gridCol w:w="1843"/>
        <w:gridCol w:w="2835"/>
      </w:tblGrid>
      <w:tr w:rsidR="008143D9" w:rsidRPr="00AC3044" w14:paraId="3C6C0DA5" w14:textId="77777777" w:rsidTr="005A428D">
        <w:trPr>
          <w:cantSplit/>
          <w:trHeight w:val="20"/>
          <w:tblHeader/>
        </w:trPr>
        <w:tc>
          <w:tcPr>
            <w:tcW w:w="851" w:type="dxa"/>
          </w:tcPr>
          <w:p w14:paraId="571625AB" w14:textId="77777777" w:rsidR="008143D9" w:rsidRPr="000F445E" w:rsidRDefault="008143D9" w:rsidP="005A428D">
            <w:pPr>
              <w:rPr>
                <w:rFonts w:eastAsia="SimSun"/>
                <w:lang w:val="en-US"/>
              </w:rPr>
            </w:pPr>
          </w:p>
        </w:tc>
        <w:tc>
          <w:tcPr>
            <w:tcW w:w="2268" w:type="dxa"/>
            <w:vAlign w:val="center"/>
          </w:tcPr>
          <w:p w14:paraId="07AFFFDE" w14:textId="77777777" w:rsidR="008143D9" w:rsidRPr="00AC3044" w:rsidRDefault="008143D9" w:rsidP="005A428D">
            <w:pPr>
              <w:rPr>
                <w:rFonts w:eastAsia="SimSun"/>
              </w:rPr>
            </w:pPr>
            <w:r w:rsidRPr="00AC3044">
              <w:rPr>
                <w:rFonts w:eastAsia="SimSun"/>
              </w:rPr>
              <w:t>Препарат</w:t>
            </w:r>
          </w:p>
        </w:tc>
        <w:tc>
          <w:tcPr>
            <w:tcW w:w="1276" w:type="dxa"/>
            <w:vAlign w:val="center"/>
          </w:tcPr>
          <w:p w14:paraId="05F7ACF6" w14:textId="77777777" w:rsidR="008143D9" w:rsidRPr="00AC3044" w:rsidRDefault="008143D9" w:rsidP="005A428D">
            <w:pPr>
              <w:rPr>
                <w:rFonts w:eastAsia="SimSun"/>
              </w:rPr>
            </w:pPr>
            <w:r w:rsidRPr="00AC3044">
              <w:rPr>
                <w:rFonts w:eastAsia="SimSun"/>
              </w:rPr>
              <w:t>Суточная доза</w:t>
            </w:r>
          </w:p>
        </w:tc>
        <w:tc>
          <w:tcPr>
            <w:tcW w:w="1417" w:type="dxa"/>
            <w:vAlign w:val="center"/>
          </w:tcPr>
          <w:p w14:paraId="09B30D85" w14:textId="77777777" w:rsidR="008143D9" w:rsidRPr="00AC3044" w:rsidRDefault="008143D9" w:rsidP="005A428D">
            <w:pPr>
              <w:rPr>
                <w:rFonts w:eastAsia="SimSun"/>
              </w:rPr>
            </w:pPr>
            <w:r w:rsidRPr="00AC3044">
              <w:rPr>
                <w:rFonts w:eastAsia="SimSun"/>
              </w:rPr>
              <w:t>Курсовая доза</w:t>
            </w:r>
          </w:p>
        </w:tc>
        <w:tc>
          <w:tcPr>
            <w:tcW w:w="1843" w:type="dxa"/>
            <w:vAlign w:val="center"/>
          </w:tcPr>
          <w:p w14:paraId="351A6AFA" w14:textId="77777777" w:rsidR="008143D9" w:rsidRPr="00AC3044" w:rsidRDefault="008143D9" w:rsidP="005A428D">
            <w:pPr>
              <w:rPr>
                <w:rFonts w:eastAsia="SimSun"/>
              </w:rPr>
            </w:pPr>
            <w:r w:rsidRPr="00AC3044">
              <w:rPr>
                <w:rFonts w:eastAsia="SimSun"/>
              </w:rPr>
              <w:t>Дни введения</w:t>
            </w:r>
          </w:p>
        </w:tc>
        <w:tc>
          <w:tcPr>
            <w:tcW w:w="2835" w:type="dxa"/>
            <w:vAlign w:val="center"/>
          </w:tcPr>
          <w:p w14:paraId="5186D37C"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3BEB58E4" w14:textId="77777777" w:rsidTr="005A428D">
        <w:trPr>
          <w:cantSplit/>
          <w:trHeight w:val="20"/>
        </w:trPr>
        <w:tc>
          <w:tcPr>
            <w:tcW w:w="851" w:type="dxa"/>
            <w:vMerge w:val="restart"/>
            <w:textDirection w:val="btLr"/>
            <w:vAlign w:val="center"/>
          </w:tcPr>
          <w:p w14:paraId="1854455E" w14:textId="77777777" w:rsidR="008143D9" w:rsidRPr="00AC3044" w:rsidRDefault="008143D9" w:rsidP="005A428D">
            <w:pPr>
              <w:rPr>
                <w:rFonts w:eastAsia="SimSun"/>
              </w:rPr>
            </w:pPr>
            <w:r w:rsidRPr="00AC3044">
              <w:rPr>
                <w:rFonts w:eastAsia="SimSun"/>
              </w:rPr>
              <w:t>Кондиционирование</w:t>
            </w:r>
          </w:p>
        </w:tc>
        <w:tc>
          <w:tcPr>
            <w:tcW w:w="2268" w:type="dxa"/>
            <w:vAlign w:val="center"/>
          </w:tcPr>
          <w:p w14:paraId="73F5D321" w14:textId="77777777" w:rsidR="008143D9" w:rsidRPr="00AC3044" w:rsidRDefault="008143D9" w:rsidP="005A428D">
            <w:pPr>
              <w:rPr>
                <w:rFonts w:eastAsia="SimSun"/>
              </w:rPr>
            </w:pPr>
            <w:r w:rsidRPr="00AC3044">
              <w:rPr>
                <w:rFonts w:eastAsia="SimSun"/>
              </w:rPr>
              <w:t>Треосульфан</w:t>
            </w:r>
          </w:p>
        </w:tc>
        <w:tc>
          <w:tcPr>
            <w:tcW w:w="1276" w:type="dxa"/>
            <w:vAlign w:val="center"/>
          </w:tcPr>
          <w:p w14:paraId="38B18ABB" w14:textId="77777777" w:rsidR="008143D9" w:rsidRPr="00AC3044" w:rsidRDefault="008143D9" w:rsidP="005A428D">
            <w:pPr>
              <w:rPr>
                <w:rFonts w:eastAsia="SimSun"/>
              </w:rPr>
            </w:pPr>
            <w:r w:rsidRPr="00AC3044">
              <w:rPr>
                <w:rFonts w:eastAsia="SimSun"/>
              </w:rPr>
              <w:t>14 г/м</w:t>
            </w:r>
            <w:r w:rsidRPr="0074195F">
              <w:rPr>
                <w:rFonts w:eastAsia="SimSun"/>
                <w:vertAlign w:val="superscript"/>
              </w:rPr>
              <w:t>2</w:t>
            </w:r>
          </w:p>
        </w:tc>
        <w:tc>
          <w:tcPr>
            <w:tcW w:w="1417" w:type="dxa"/>
            <w:vAlign w:val="center"/>
          </w:tcPr>
          <w:p w14:paraId="0E23F796" w14:textId="77777777" w:rsidR="008143D9" w:rsidRPr="00AC3044" w:rsidRDefault="008143D9" w:rsidP="005A428D">
            <w:pPr>
              <w:rPr>
                <w:rFonts w:eastAsia="SimSun"/>
              </w:rPr>
            </w:pPr>
            <w:r w:rsidRPr="00AC3044">
              <w:rPr>
                <w:rFonts w:eastAsia="SimSun"/>
              </w:rPr>
              <w:t>42 г/м</w:t>
            </w:r>
            <w:r w:rsidRPr="0074195F">
              <w:rPr>
                <w:rFonts w:eastAsia="SimSun"/>
                <w:vertAlign w:val="superscript"/>
              </w:rPr>
              <w:t>2</w:t>
            </w:r>
          </w:p>
        </w:tc>
        <w:tc>
          <w:tcPr>
            <w:tcW w:w="1843" w:type="dxa"/>
            <w:vAlign w:val="center"/>
          </w:tcPr>
          <w:p w14:paraId="14DDEC31" w14:textId="77777777" w:rsidR="008143D9" w:rsidRPr="00AC3044" w:rsidRDefault="008143D9" w:rsidP="005A428D">
            <w:pPr>
              <w:rPr>
                <w:rFonts w:eastAsia="SimSun"/>
              </w:rPr>
            </w:pPr>
            <w:r w:rsidRPr="00AC3044">
              <w:rPr>
                <w:rFonts w:eastAsia="SimSun"/>
              </w:rPr>
              <w:t>–5,–4,–3</w:t>
            </w:r>
          </w:p>
        </w:tc>
        <w:tc>
          <w:tcPr>
            <w:tcW w:w="2835" w:type="dxa"/>
            <w:vAlign w:val="center"/>
          </w:tcPr>
          <w:p w14:paraId="20BADE35" w14:textId="77777777" w:rsidR="008143D9" w:rsidRPr="00AC3044" w:rsidRDefault="008143D9" w:rsidP="005A428D">
            <w:pPr>
              <w:rPr>
                <w:rFonts w:eastAsia="SimSun"/>
              </w:rPr>
            </w:pPr>
            <w:r w:rsidRPr="00AC3044">
              <w:rPr>
                <w:rFonts w:eastAsia="SimSun"/>
              </w:rPr>
              <w:t>В/в, в течение 2 часов</w:t>
            </w:r>
          </w:p>
        </w:tc>
      </w:tr>
      <w:tr w:rsidR="008143D9" w:rsidRPr="00AC3044" w14:paraId="1B5FAE37" w14:textId="77777777" w:rsidTr="005A428D">
        <w:trPr>
          <w:cantSplit/>
          <w:trHeight w:val="457"/>
        </w:trPr>
        <w:tc>
          <w:tcPr>
            <w:tcW w:w="851" w:type="dxa"/>
            <w:vMerge/>
            <w:textDirection w:val="btLr"/>
            <w:vAlign w:val="center"/>
          </w:tcPr>
          <w:p w14:paraId="4EBE012A" w14:textId="77777777" w:rsidR="008143D9" w:rsidRPr="00AC3044" w:rsidRDefault="008143D9" w:rsidP="005A428D">
            <w:pPr>
              <w:rPr>
                <w:rFonts w:eastAsia="SimSun"/>
              </w:rPr>
            </w:pPr>
          </w:p>
        </w:tc>
        <w:tc>
          <w:tcPr>
            <w:tcW w:w="2268" w:type="dxa"/>
            <w:vAlign w:val="center"/>
          </w:tcPr>
          <w:p w14:paraId="6A3F7608" w14:textId="77777777" w:rsidR="008143D9" w:rsidRPr="00AC3044" w:rsidRDefault="008143D9" w:rsidP="005A428D">
            <w:pPr>
              <w:rPr>
                <w:rFonts w:eastAsia="SimSun"/>
              </w:rPr>
            </w:pPr>
            <w:r w:rsidRPr="00AC3044">
              <w:rPr>
                <w:rFonts w:eastAsia="SimSun"/>
              </w:rPr>
              <w:t>Тиотепа</w:t>
            </w:r>
          </w:p>
        </w:tc>
        <w:tc>
          <w:tcPr>
            <w:tcW w:w="1276" w:type="dxa"/>
            <w:vAlign w:val="center"/>
          </w:tcPr>
          <w:p w14:paraId="1F9FFF94" w14:textId="77777777" w:rsidR="008143D9" w:rsidRPr="00AC3044" w:rsidRDefault="008143D9" w:rsidP="005A428D">
            <w:pPr>
              <w:rPr>
                <w:rFonts w:eastAsia="SimSun"/>
              </w:rPr>
            </w:pPr>
            <w:r w:rsidRPr="00AC3044">
              <w:rPr>
                <w:rFonts w:eastAsia="SimSun"/>
              </w:rPr>
              <w:t xml:space="preserve">5мг/кг </w:t>
            </w:r>
          </w:p>
        </w:tc>
        <w:tc>
          <w:tcPr>
            <w:tcW w:w="1417" w:type="dxa"/>
            <w:vAlign w:val="center"/>
          </w:tcPr>
          <w:p w14:paraId="581C8F1B" w14:textId="77777777" w:rsidR="008143D9" w:rsidRPr="00AC3044" w:rsidRDefault="008143D9" w:rsidP="005A428D">
            <w:pPr>
              <w:rPr>
                <w:rFonts w:eastAsia="SimSun"/>
              </w:rPr>
            </w:pPr>
            <w:r w:rsidRPr="00AC3044">
              <w:rPr>
                <w:rFonts w:eastAsia="SimSun"/>
              </w:rPr>
              <w:t>10 мг/кг</w:t>
            </w:r>
          </w:p>
        </w:tc>
        <w:tc>
          <w:tcPr>
            <w:tcW w:w="1843" w:type="dxa"/>
            <w:vAlign w:val="center"/>
          </w:tcPr>
          <w:p w14:paraId="5AAADD71" w14:textId="77777777" w:rsidR="008143D9" w:rsidRPr="00AC3044" w:rsidRDefault="008143D9" w:rsidP="005A428D">
            <w:pPr>
              <w:rPr>
                <w:rFonts w:eastAsia="SimSun"/>
              </w:rPr>
            </w:pPr>
            <w:r w:rsidRPr="00AC3044">
              <w:rPr>
                <w:rFonts w:eastAsia="SimSun"/>
              </w:rPr>
              <w:t>–6,–5</w:t>
            </w:r>
          </w:p>
        </w:tc>
        <w:tc>
          <w:tcPr>
            <w:tcW w:w="2835" w:type="dxa"/>
            <w:vAlign w:val="center"/>
          </w:tcPr>
          <w:p w14:paraId="67FE21B3" w14:textId="77777777" w:rsidR="008143D9" w:rsidRPr="00AC3044" w:rsidRDefault="008143D9" w:rsidP="005A428D">
            <w:pPr>
              <w:rPr>
                <w:rFonts w:eastAsia="SimSun"/>
              </w:rPr>
            </w:pPr>
            <w:r w:rsidRPr="00AC3044">
              <w:rPr>
                <w:rFonts w:eastAsia="SimSun"/>
              </w:rPr>
              <w:t>В/в, в течение 2 часов</w:t>
            </w:r>
          </w:p>
        </w:tc>
      </w:tr>
      <w:tr w:rsidR="008143D9" w:rsidRPr="00AC3044" w14:paraId="5B35A876" w14:textId="77777777" w:rsidTr="005A428D">
        <w:trPr>
          <w:cantSplit/>
          <w:trHeight w:val="262"/>
        </w:trPr>
        <w:tc>
          <w:tcPr>
            <w:tcW w:w="851" w:type="dxa"/>
            <w:vMerge/>
            <w:textDirection w:val="btLr"/>
            <w:vAlign w:val="center"/>
          </w:tcPr>
          <w:p w14:paraId="40AB33D2" w14:textId="77777777" w:rsidR="008143D9" w:rsidRPr="00AC3044" w:rsidRDefault="008143D9" w:rsidP="005A428D">
            <w:pPr>
              <w:rPr>
                <w:rFonts w:eastAsia="SimSun"/>
              </w:rPr>
            </w:pPr>
          </w:p>
        </w:tc>
        <w:tc>
          <w:tcPr>
            <w:tcW w:w="2268" w:type="dxa"/>
            <w:vAlign w:val="center"/>
          </w:tcPr>
          <w:p w14:paraId="02EFCFD7" w14:textId="77777777" w:rsidR="008143D9" w:rsidRPr="00AC3044" w:rsidRDefault="008143D9" w:rsidP="005A428D">
            <w:pPr>
              <w:rPr>
                <w:rFonts w:eastAsia="SimSun"/>
              </w:rPr>
            </w:pPr>
            <w:r w:rsidRPr="00AC3044">
              <w:rPr>
                <w:rFonts w:eastAsia="SimSun"/>
              </w:rPr>
              <w:t>Флударабин</w:t>
            </w:r>
          </w:p>
        </w:tc>
        <w:tc>
          <w:tcPr>
            <w:tcW w:w="1276" w:type="dxa"/>
            <w:vAlign w:val="center"/>
          </w:tcPr>
          <w:p w14:paraId="450528B2" w14:textId="77777777" w:rsidR="008143D9" w:rsidRPr="00AC3044" w:rsidRDefault="008143D9" w:rsidP="005A428D">
            <w:pPr>
              <w:rPr>
                <w:rFonts w:eastAsia="SimSun"/>
              </w:rPr>
            </w:pPr>
            <w:r w:rsidRPr="00AC3044">
              <w:rPr>
                <w:rFonts w:eastAsia="SimSun"/>
              </w:rPr>
              <w:t>30 мг/м</w:t>
            </w:r>
            <w:r w:rsidRPr="0074195F">
              <w:rPr>
                <w:rFonts w:eastAsia="SimSun"/>
                <w:vertAlign w:val="superscript"/>
              </w:rPr>
              <w:t>2</w:t>
            </w:r>
          </w:p>
        </w:tc>
        <w:tc>
          <w:tcPr>
            <w:tcW w:w="1417" w:type="dxa"/>
            <w:vAlign w:val="center"/>
          </w:tcPr>
          <w:p w14:paraId="71F71A57" w14:textId="77777777" w:rsidR="008143D9" w:rsidRPr="00AC3044" w:rsidRDefault="008143D9" w:rsidP="005A428D">
            <w:pPr>
              <w:rPr>
                <w:rFonts w:eastAsia="SimSun"/>
              </w:rPr>
            </w:pPr>
            <w:r w:rsidRPr="00AC3044">
              <w:rPr>
                <w:rFonts w:eastAsia="SimSun"/>
              </w:rPr>
              <w:t>150 мг/м</w:t>
            </w:r>
            <w:r w:rsidRPr="0074195F">
              <w:rPr>
                <w:rFonts w:eastAsia="SimSun"/>
                <w:vertAlign w:val="superscript"/>
              </w:rPr>
              <w:t>2</w:t>
            </w:r>
          </w:p>
        </w:tc>
        <w:tc>
          <w:tcPr>
            <w:tcW w:w="1843" w:type="dxa"/>
            <w:vAlign w:val="center"/>
          </w:tcPr>
          <w:p w14:paraId="2FBA7F1B" w14:textId="77777777" w:rsidR="008143D9" w:rsidRPr="00AC3044" w:rsidRDefault="008143D9" w:rsidP="005A428D">
            <w:pPr>
              <w:rPr>
                <w:rFonts w:eastAsia="SimSun"/>
              </w:rPr>
            </w:pPr>
            <w:r w:rsidRPr="00AC3044">
              <w:rPr>
                <w:rFonts w:eastAsia="SimSun"/>
              </w:rPr>
              <w:t>–6,–5,–4, –3, –2</w:t>
            </w:r>
          </w:p>
        </w:tc>
        <w:tc>
          <w:tcPr>
            <w:tcW w:w="2835" w:type="dxa"/>
            <w:vAlign w:val="center"/>
          </w:tcPr>
          <w:p w14:paraId="20AB0042"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3BF8BB77" w14:textId="77777777" w:rsidTr="005A428D">
        <w:trPr>
          <w:cantSplit/>
          <w:trHeight w:val="388"/>
        </w:trPr>
        <w:tc>
          <w:tcPr>
            <w:tcW w:w="851" w:type="dxa"/>
            <w:vMerge w:val="restart"/>
            <w:textDirection w:val="btLr"/>
            <w:vAlign w:val="center"/>
          </w:tcPr>
          <w:p w14:paraId="348C9175" w14:textId="77777777" w:rsidR="008143D9" w:rsidRPr="00AC3044" w:rsidRDefault="008143D9" w:rsidP="005A428D">
            <w:pPr>
              <w:rPr>
                <w:rFonts w:eastAsia="SimSun"/>
              </w:rPr>
            </w:pPr>
            <w:r w:rsidRPr="00AC3044">
              <w:rPr>
                <w:rFonts w:eastAsia="SimSun"/>
              </w:rPr>
              <w:t>Профилактика РТПХ</w:t>
            </w:r>
          </w:p>
        </w:tc>
        <w:tc>
          <w:tcPr>
            <w:tcW w:w="2268" w:type="dxa"/>
            <w:vAlign w:val="center"/>
          </w:tcPr>
          <w:p w14:paraId="0FB50023" w14:textId="77777777" w:rsidR="008143D9" w:rsidRPr="00AC3044" w:rsidRDefault="008143D9" w:rsidP="005A428D">
            <w:pPr>
              <w:rPr>
                <w:rFonts w:eastAsia="SimSun"/>
              </w:rPr>
            </w:pPr>
            <w:r w:rsidRPr="00AC3044">
              <w:rPr>
                <w:rFonts w:eastAsia="SimSun"/>
              </w:rPr>
              <w:t>Ритуксимаб</w:t>
            </w:r>
          </w:p>
        </w:tc>
        <w:tc>
          <w:tcPr>
            <w:tcW w:w="1276" w:type="dxa"/>
            <w:vAlign w:val="center"/>
          </w:tcPr>
          <w:p w14:paraId="2DD2EEE5" w14:textId="77777777" w:rsidR="008143D9" w:rsidRPr="00AC3044" w:rsidRDefault="008143D9" w:rsidP="005A428D">
            <w:pPr>
              <w:rPr>
                <w:rFonts w:eastAsia="SimSun"/>
              </w:rPr>
            </w:pPr>
            <w:r w:rsidRPr="00AC3044">
              <w:rPr>
                <w:rFonts w:eastAsia="SimSun"/>
              </w:rPr>
              <w:t>100  мг/м</w:t>
            </w:r>
            <w:r w:rsidRPr="0074195F">
              <w:rPr>
                <w:rFonts w:eastAsia="SimSun"/>
                <w:vertAlign w:val="superscript"/>
              </w:rPr>
              <w:t>2</w:t>
            </w:r>
          </w:p>
        </w:tc>
        <w:tc>
          <w:tcPr>
            <w:tcW w:w="1417" w:type="dxa"/>
            <w:vAlign w:val="center"/>
          </w:tcPr>
          <w:p w14:paraId="1023992B" w14:textId="77777777" w:rsidR="008143D9" w:rsidRPr="00AC3044" w:rsidRDefault="008143D9" w:rsidP="005A428D">
            <w:pPr>
              <w:rPr>
                <w:rFonts w:eastAsia="SimSun"/>
              </w:rPr>
            </w:pPr>
            <w:r w:rsidRPr="00AC3044">
              <w:rPr>
                <w:rFonts w:eastAsia="SimSun"/>
              </w:rPr>
              <w:t>100  мг/м</w:t>
            </w:r>
            <w:r w:rsidRPr="0074195F">
              <w:rPr>
                <w:rFonts w:eastAsia="SimSun"/>
                <w:vertAlign w:val="superscript"/>
              </w:rPr>
              <w:t>2</w:t>
            </w:r>
          </w:p>
        </w:tc>
        <w:tc>
          <w:tcPr>
            <w:tcW w:w="1843" w:type="dxa"/>
            <w:vAlign w:val="center"/>
          </w:tcPr>
          <w:p w14:paraId="40B7AF28" w14:textId="77777777" w:rsidR="008143D9" w:rsidRPr="00AC3044" w:rsidRDefault="008143D9" w:rsidP="005A428D">
            <w:pPr>
              <w:rPr>
                <w:rFonts w:eastAsia="SimSun"/>
              </w:rPr>
            </w:pPr>
            <w:r w:rsidRPr="00AC3044">
              <w:rPr>
                <w:rFonts w:eastAsia="SimSun"/>
              </w:rPr>
              <w:t>–1</w:t>
            </w:r>
          </w:p>
        </w:tc>
        <w:tc>
          <w:tcPr>
            <w:tcW w:w="2835" w:type="dxa"/>
            <w:vAlign w:val="center"/>
          </w:tcPr>
          <w:p w14:paraId="61C775A2" w14:textId="77777777" w:rsidR="008143D9" w:rsidRPr="00AC3044" w:rsidRDefault="008143D9" w:rsidP="005A428D">
            <w:pPr>
              <w:rPr>
                <w:rFonts w:eastAsia="SimSun"/>
              </w:rPr>
            </w:pPr>
            <w:r w:rsidRPr="00AC3044">
              <w:rPr>
                <w:rFonts w:eastAsia="SimSun"/>
              </w:rPr>
              <w:t>В/в, в течение 2 часов</w:t>
            </w:r>
          </w:p>
        </w:tc>
      </w:tr>
      <w:tr w:rsidR="008143D9" w:rsidRPr="00AC3044" w14:paraId="0DCB6D7A" w14:textId="77777777" w:rsidTr="005A428D">
        <w:trPr>
          <w:cantSplit/>
          <w:trHeight w:val="20"/>
        </w:trPr>
        <w:tc>
          <w:tcPr>
            <w:tcW w:w="851" w:type="dxa"/>
            <w:vMerge/>
            <w:textDirection w:val="btLr"/>
          </w:tcPr>
          <w:p w14:paraId="503CA87C" w14:textId="77777777" w:rsidR="008143D9" w:rsidRPr="00AC3044" w:rsidRDefault="008143D9" w:rsidP="005A428D">
            <w:pPr>
              <w:rPr>
                <w:rFonts w:eastAsia="SimSun"/>
              </w:rPr>
            </w:pPr>
          </w:p>
        </w:tc>
        <w:tc>
          <w:tcPr>
            <w:tcW w:w="2268" w:type="dxa"/>
            <w:vAlign w:val="center"/>
          </w:tcPr>
          <w:p w14:paraId="4218783C" w14:textId="77777777" w:rsidR="008143D9" w:rsidRPr="00AC3044" w:rsidRDefault="008143D9" w:rsidP="005A428D">
            <w:pPr>
              <w:rPr>
                <w:rFonts w:eastAsia="SimSun"/>
              </w:rPr>
            </w:pPr>
            <w:r w:rsidRPr="00AC3044">
              <w:rPr>
                <w:rFonts w:eastAsia="SimSun"/>
              </w:rPr>
              <w:t>Тоцилизумаб</w:t>
            </w:r>
          </w:p>
        </w:tc>
        <w:tc>
          <w:tcPr>
            <w:tcW w:w="1276" w:type="dxa"/>
            <w:vAlign w:val="center"/>
          </w:tcPr>
          <w:p w14:paraId="3FC971CF" w14:textId="77777777" w:rsidR="008143D9" w:rsidRPr="00AC3044" w:rsidRDefault="008143D9" w:rsidP="005A428D">
            <w:pPr>
              <w:rPr>
                <w:rFonts w:eastAsia="SimSun"/>
              </w:rPr>
            </w:pPr>
            <w:r w:rsidRPr="00AC3044">
              <w:rPr>
                <w:rFonts w:eastAsia="SimSun"/>
              </w:rPr>
              <w:t>8 мг/кг</w:t>
            </w:r>
          </w:p>
        </w:tc>
        <w:tc>
          <w:tcPr>
            <w:tcW w:w="1417" w:type="dxa"/>
            <w:vAlign w:val="center"/>
          </w:tcPr>
          <w:p w14:paraId="2E1FEE23" w14:textId="77777777" w:rsidR="008143D9" w:rsidRPr="00AC3044" w:rsidRDefault="008143D9" w:rsidP="005A428D">
            <w:pPr>
              <w:rPr>
                <w:rFonts w:eastAsia="SimSun"/>
              </w:rPr>
            </w:pPr>
            <w:r w:rsidRPr="00AC3044">
              <w:rPr>
                <w:rFonts w:eastAsia="SimSun"/>
              </w:rPr>
              <w:t>8 мг/кг</w:t>
            </w:r>
          </w:p>
        </w:tc>
        <w:tc>
          <w:tcPr>
            <w:tcW w:w="1843" w:type="dxa"/>
            <w:vAlign w:val="center"/>
          </w:tcPr>
          <w:p w14:paraId="19FF89B0" w14:textId="77777777" w:rsidR="008143D9" w:rsidRPr="00AC3044" w:rsidRDefault="008143D9" w:rsidP="005A428D">
            <w:pPr>
              <w:rPr>
                <w:rFonts w:eastAsia="SimSun"/>
              </w:rPr>
            </w:pPr>
            <w:r w:rsidRPr="00AC3044">
              <w:rPr>
                <w:rFonts w:eastAsia="SimSun"/>
              </w:rPr>
              <w:t>–1, +21</w:t>
            </w:r>
          </w:p>
        </w:tc>
        <w:tc>
          <w:tcPr>
            <w:tcW w:w="2835" w:type="dxa"/>
            <w:vAlign w:val="center"/>
          </w:tcPr>
          <w:p w14:paraId="7B51D7A9" w14:textId="77777777" w:rsidR="008143D9" w:rsidRPr="00AC3044" w:rsidRDefault="008143D9" w:rsidP="005A428D">
            <w:pPr>
              <w:rPr>
                <w:rFonts w:eastAsia="SimSun"/>
              </w:rPr>
            </w:pPr>
            <w:r w:rsidRPr="00AC3044">
              <w:rPr>
                <w:rFonts w:eastAsia="SimSun"/>
              </w:rPr>
              <w:t>В/в, в течение 1 часа</w:t>
            </w:r>
          </w:p>
        </w:tc>
      </w:tr>
      <w:tr w:rsidR="008143D9" w:rsidRPr="00AC3044" w14:paraId="2A56551D" w14:textId="77777777" w:rsidTr="005A428D">
        <w:trPr>
          <w:cantSplit/>
          <w:trHeight w:val="20"/>
        </w:trPr>
        <w:tc>
          <w:tcPr>
            <w:tcW w:w="851" w:type="dxa"/>
            <w:vMerge/>
            <w:textDirection w:val="btLr"/>
          </w:tcPr>
          <w:p w14:paraId="50339731" w14:textId="77777777" w:rsidR="008143D9" w:rsidRPr="00AC3044" w:rsidRDefault="008143D9" w:rsidP="005A428D">
            <w:pPr>
              <w:rPr>
                <w:rFonts w:eastAsia="SimSun"/>
              </w:rPr>
            </w:pPr>
          </w:p>
        </w:tc>
        <w:tc>
          <w:tcPr>
            <w:tcW w:w="2268" w:type="dxa"/>
            <w:vAlign w:val="center"/>
          </w:tcPr>
          <w:p w14:paraId="663C23A4" w14:textId="77777777" w:rsidR="008143D9" w:rsidRPr="00AC3044" w:rsidRDefault="008143D9" w:rsidP="005A428D">
            <w:pPr>
              <w:rPr>
                <w:rFonts w:eastAsia="SimSun"/>
              </w:rPr>
            </w:pPr>
            <w:r w:rsidRPr="00AC3044">
              <w:rPr>
                <w:rFonts w:eastAsia="SimSun"/>
              </w:rPr>
              <w:t>Абатацепт1</w:t>
            </w:r>
          </w:p>
        </w:tc>
        <w:tc>
          <w:tcPr>
            <w:tcW w:w="1276" w:type="dxa"/>
            <w:vAlign w:val="center"/>
          </w:tcPr>
          <w:p w14:paraId="2C30398C" w14:textId="77777777" w:rsidR="008143D9" w:rsidRPr="00AC3044" w:rsidRDefault="008143D9" w:rsidP="005A428D">
            <w:pPr>
              <w:rPr>
                <w:rFonts w:eastAsia="SimSun"/>
              </w:rPr>
            </w:pPr>
            <w:r w:rsidRPr="00AC3044">
              <w:rPr>
                <w:rFonts w:eastAsia="SimSun"/>
              </w:rPr>
              <w:t>10 мг/кг</w:t>
            </w:r>
          </w:p>
        </w:tc>
        <w:tc>
          <w:tcPr>
            <w:tcW w:w="1417" w:type="dxa"/>
            <w:vAlign w:val="center"/>
          </w:tcPr>
          <w:p w14:paraId="511C8A13" w14:textId="77777777" w:rsidR="008143D9" w:rsidRPr="00AC3044" w:rsidRDefault="008143D9" w:rsidP="005A428D">
            <w:pPr>
              <w:rPr>
                <w:rFonts w:eastAsia="SimSun"/>
              </w:rPr>
            </w:pPr>
            <w:r w:rsidRPr="00AC3044">
              <w:rPr>
                <w:rFonts w:eastAsia="SimSun"/>
              </w:rPr>
              <w:t>40 мг/кг</w:t>
            </w:r>
          </w:p>
        </w:tc>
        <w:tc>
          <w:tcPr>
            <w:tcW w:w="1843" w:type="dxa"/>
            <w:vAlign w:val="center"/>
          </w:tcPr>
          <w:p w14:paraId="4EE9C90D" w14:textId="77777777" w:rsidR="008143D9" w:rsidRPr="00AC3044" w:rsidRDefault="008143D9" w:rsidP="005A428D">
            <w:pPr>
              <w:rPr>
                <w:rFonts w:eastAsia="SimSun"/>
              </w:rPr>
            </w:pPr>
            <w:r w:rsidRPr="00AC3044">
              <w:rPr>
                <w:rFonts w:eastAsia="SimSun"/>
              </w:rPr>
              <w:t>–1,+7,+14,+28</w:t>
            </w:r>
          </w:p>
        </w:tc>
        <w:tc>
          <w:tcPr>
            <w:tcW w:w="2835" w:type="dxa"/>
            <w:vAlign w:val="center"/>
          </w:tcPr>
          <w:p w14:paraId="79D2E2DE" w14:textId="77777777" w:rsidR="008143D9" w:rsidRPr="00AC3044" w:rsidRDefault="008143D9" w:rsidP="005A428D">
            <w:pPr>
              <w:rPr>
                <w:rFonts w:eastAsia="SimSun"/>
              </w:rPr>
            </w:pPr>
            <w:r w:rsidRPr="00AC3044">
              <w:rPr>
                <w:rFonts w:eastAsia="SimSun"/>
              </w:rPr>
              <w:t>В/в, в течение 30 мин</w:t>
            </w:r>
          </w:p>
        </w:tc>
      </w:tr>
      <w:tr w:rsidR="008143D9" w:rsidRPr="00AC3044" w14:paraId="2E6A2B71" w14:textId="77777777" w:rsidTr="005A428D">
        <w:trPr>
          <w:cantSplit/>
          <w:trHeight w:val="1482"/>
        </w:trPr>
        <w:tc>
          <w:tcPr>
            <w:tcW w:w="851" w:type="dxa"/>
            <w:textDirection w:val="btLr"/>
            <w:vAlign w:val="center"/>
          </w:tcPr>
          <w:p w14:paraId="4D0BF3C1" w14:textId="77777777" w:rsidR="008143D9" w:rsidRPr="00AC3044" w:rsidRDefault="008143D9" w:rsidP="005A428D">
            <w:pPr>
              <w:rPr>
                <w:rFonts w:eastAsia="SimSun"/>
              </w:rPr>
            </w:pPr>
            <w:r w:rsidRPr="00AC3044">
              <w:rPr>
                <w:rFonts w:eastAsia="SimSun"/>
              </w:rPr>
              <w:t xml:space="preserve">Ex vivo манипуляция с трансплантатом </w:t>
            </w:r>
          </w:p>
        </w:tc>
        <w:tc>
          <w:tcPr>
            <w:tcW w:w="2268" w:type="dxa"/>
            <w:vAlign w:val="center"/>
          </w:tcPr>
          <w:p w14:paraId="5E93121F" w14:textId="77777777" w:rsidR="008143D9" w:rsidRPr="00AC3044" w:rsidRDefault="008143D9" w:rsidP="005A428D">
            <w:pPr>
              <w:rPr>
                <w:rFonts w:eastAsia="SimSun"/>
              </w:rPr>
            </w:pPr>
            <w:r w:rsidRPr="00AC3044">
              <w:rPr>
                <w:rFonts w:eastAsia="SimSun"/>
              </w:rPr>
              <w:t>Комплексная услуга TCRαβ/CD19 деплеция</w:t>
            </w:r>
          </w:p>
        </w:tc>
        <w:tc>
          <w:tcPr>
            <w:tcW w:w="1276" w:type="dxa"/>
            <w:vAlign w:val="center"/>
          </w:tcPr>
          <w:p w14:paraId="4B2B1563" w14:textId="77777777" w:rsidR="008143D9" w:rsidRPr="00AC3044" w:rsidRDefault="008143D9" w:rsidP="005A428D">
            <w:pPr>
              <w:rPr>
                <w:rFonts w:eastAsia="SimSun"/>
              </w:rPr>
            </w:pPr>
            <w:r w:rsidRPr="00AC3044">
              <w:rPr>
                <w:rFonts w:eastAsia="SimSun"/>
              </w:rPr>
              <w:t>–</w:t>
            </w:r>
          </w:p>
        </w:tc>
        <w:tc>
          <w:tcPr>
            <w:tcW w:w="1417" w:type="dxa"/>
            <w:vAlign w:val="center"/>
          </w:tcPr>
          <w:p w14:paraId="4EE066E8" w14:textId="77777777" w:rsidR="008143D9" w:rsidRPr="00AC3044" w:rsidRDefault="008143D9" w:rsidP="005A428D">
            <w:pPr>
              <w:rPr>
                <w:rFonts w:eastAsia="SimSun"/>
              </w:rPr>
            </w:pPr>
            <w:r w:rsidRPr="00AC3044">
              <w:rPr>
                <w:rFonts w:eastAsia="SimSun"/>
              </w:rPr>
              <w:t>–</w:t>
            </w:r>
          </w:p>
        </w:tc>
        <w:tc>
          <w:tcPr>
            <w:tcW w:w="1843" w:type="dxa"/>
            <w:vAlign w:val="center"/>
          </w:tcPr>
          <w:p w14:paraId="11D8BA5C" w14:textId="77777777" w:rsidR="008143D9" w:rsidRPr="00AC3044" w:rsidRDefault="008143D9" w:rsidP="005A428D">
            <w:pPr>
              <w:rPr>
                <w:rFonts w:eastAsia="SimSun"/>
              </w:rPr>
            </w:pPr>
            <w:r w:rsidRPr="00AC3044">
              <w:rPr>
                <w:rFonts w:eastAsia="SimSun"/>
              </w:rPr>
              <w:t>0</w:t>
            </w:r>
          </w:p>
        </w:tc>
        <w:tc>
          <w:tcPr>
            <w:tcW w:w="2835" w:type="dxa"/>
            <w:vAlign w:val="center"/>
          </w:tcPr>
          <w:p w14:paraId="42721A5D" w14:textId="77777777" w:rsidR="008143D9" w:rsidRPr="00AC3044" w:rsidRDefault="008143D9" w:rsidP="005A428D">
            <w:pPr>
              <w:rPr>
                <w:rFonts w:eastAsia="SimSun"/>
              </w:rPr>
            </w:pPr>
            <w:r w:rsidRPr="00AC3044">
              <w:rPr>
                <w:rFonts w:eastAsia="SimSun"/>
              </w:rPr>
              <w:t>-</w:t>
            </w:r>
          </w:p>
        </w:tc>
      </w:tr>
      <w:tr w:rsidR="008143D9" w:rsidRPr="00AC3044" w14:paraId="1951B9EE" w14:textId="77777777" w:rsidTr="005A428D">
        <w:trPr>
          <w:trHeight w:val="20"/>
        </w:trPr>
        <w:tc>
          <w:tcPr>
            <w:tcW w:w="10490" w:type="dxa"/>
            <w:gridSpan w:val="6"/>
          </w:tcPr>
          <w:p w14:paraId="3A1156BB" w14:textId="77777777" w:rsidR="008143D9" w:rsidRPr="00AC3044" w:rsidRDefault="008143D9" w:rsidP="005A428D">
            <w:pPr>
              <w:rPr>
                <w:rFonts w:eastAsia="SimSun"/>
              </w:rPr>
            </w:pPr>
            <w:r w:rsidRPr="00AC3044">
              <w:rPr>
                <w:rFonts w:eastAsia="SimSun"/>
              </w:rPr>
              <w:t>1 Раствор абатацепта нельзя использовать с оборудованием, имеющим в своём составе силикон.  Содержимое одного флакона растворяют в 10 мл воды для инъекций, используя одноразовый бессиликоновый шприц, имеющийся в комплекте с препаратом. Полученный концентрат немедленно разбавляют 0.9% раствором натрия хлорида для инъекций для получения инфузионного раствора, который немедленно вводится в/в за 30мин через инфузионную систему.  Абатацепт нельзя вводить одновременно с другими препаратами через одну инфузионную систему.</w:t>
            </w:r>
          </w:p>
          <w:p w14:paraId="4639251E" w14:textId="77777777" w:rsidR="008143D9" w:rsidRPr="00AC3044" w:rsidRDefault="008143D9" w:rsidP="005A428D">
            <w:pPr>
              <w:rPr>
                <w:rFonts w:eastAsia="SimSun"/>
              </w:rPr>
            </w:pPr>
          </w:p>
        </w:tc>
      </w:tr>
    </w:tbl>
    <w:p w14:paraId="6F56A49E" w14:textId="77777777" w:rsidR="008143D9" w:rsidRPr="00C07B2E" w:rsidRDefault="008143D9" w:rsidP="008143D9">
      <w:pPr>
        <w:rPr>
          <w:rFonts w:eastAsia="SimSun"/>
        </w:rPr>
      </w:pPr>
    </w:p>
    <w:p w14:paraId="69F63456" w14:textId="77777777" w:rsidR="008143D9" w:rsidRPr="00C07B2E" w:rsidRDefault="008143D9" w:rsidP="008143D9">
      <w:pPr>
        <w:rPr>
          <w:rFonts w:eastAsia="SimSun"/>
        </w:rPr>
      </w:pPr>
      <w:bookmarkStart w:id="201" w:name="_Toc44401244"/>
      <w:r>
        <w:rPr>
          <w:rFonts w:eastAsia="SimSun"/>
        </w:rPr>
        <w:t>Таблица</w:t>
      </w:r>
      <w:r w:rsidRPr="00C07B2E">
        <w:rPr>
          <w:rFonts w:eastAsia="SimSun"/>
        </w:rPr>
        <w:t xml:space="preserve"> </w:t>
      </w:r>
      <w:r>
        <w:rPr>
          <w:rFonts w:eastAsia="SimSun"/>
        </w:rPr>
        <w:t>5.</w:t>
      </w:r>
      <w:r w:rsidRPr="00C07B2E">
        <w:rPr>
          <w:rFonts w:eastAsia="SimSun"/>
        </w:rPr>
        <w:t>4.2.  – Flu150+Treo42+Mel140 / TCRαβ-CD19</w:t>
      </w:r>
      <w:bookmarkEnd w:id="201"/>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410"/>
        <w:gridCol w:w="1276"/>
        <w:gridCol w:w="1417"/>
        <w:gridCol w:w="1843"/>
        <w:gridCol w:w="2835"/>
      </w:tblGrid>
      <w:tr w:rsidR="008143D9" w:rsidRPr="00AC3044" w14:paraId="10B5061D" w14:textId="77777777" w:rsidTr="005A428D">
        <w:trPr>
          <w:cantSplit/>
          <w:trHeight w:val="20"/>
          <w:tblHeader/>
        </w:trPr>
        <w:tc>
          <w:tcPr>
            <w:tcW w:w="709" w:type="dxa"/>
          </w:tcPr>
          <w:p w14:paraId="2542B9A9" w14:textId="77777777" w:rsidR="008143D9" w:rsidRPr="00AC3044" w:rsidRDefault="008143D9" w:rsidP="005A428D">
            <w:pPr>
              <w:rPr>
                <w:rFonts w:eastAsia="SimSun"/>
              </w:rPr>
            </w:pPr>
          </w:p>
        </w:tc>
        <w:tc>
          <w:tcPr>
            <w:tcW w:w="2410" w:type="dxa"/>
            <w:vAlign w:val="center"/>
          </w:tcPr>
          <w:p w14:paraId="0BD949E3" w14:textId="77777777" w:rsidR="008143D9" w:rsidRPr="00AC3044" w:rsidRDefault="008143D9" w:rsidP="005A428D">
            <w:pPr>
              <w:rPr>
                <w:rFonts w:eastAsia="SimSun"/>
              </w:rPr>
            </w:pPr>
            <w:r w:rsidRPr="00AC3044">
              <w:rPr>
                <w:rFonts w:eastAsia="SimSun"/>
              </w:rPr>
              <w:t>Препарат</w:t>
            </w:r>
          </w:p>
        </w:tc>
        <w:tc>
          <w:tcPr>
            <w:tcW w:w="1276" w:type="dxa"/>
            <w:vAlign w:val="center"/>
          </w:tcPr>
          <w:p w14:paraId="29F43380" w14:textId="77777777" w:rsidR="008143D9" w:rsidRPr="00AC3044" w:rsidRDefault="008143D9" w:rsidP="005A428D">
            <w:pPr>
              <w:rPr>
                <w:rFonts w:eastAsia="SimSun"/>
              </w:rPr>
            </w:pPr>
            <w:r w:rsidRPr="00AC3044">
              <w:rPr>
                <w:rFonts w:eastAsia="SimSun"/>
              </w:rPr>
              <w:t>Суточная доза</w:t>
            </w:r>
          </w:p>
        </w:tc>
        <w:tc>
          <w:tcPr>
            <w:tcW w:w="1417" w:type="dxa"/>
            <w:vAlign w:val="center"/>
          </w:tcPr>
          <w:p w14:paraId="18688B85" w14:textId="77777777" w:rsidR="008143D9" w:rsidRPr="00AC3044" w:rsidRDefault="008143D9" w:rsidP="005A428D">
            <w:pPr>
              <w:rPr>
                <w:rFonts w:eastAsia="SimSun"/>
              </w:rPr>
            </w:pPr>
            <w:r w:rsidRPr="00AC3044">
              <w:rPr>
                <w:rFonts w:eastAsia="SimSun"/>
              </w:rPr>
              <w:t>Курсовая доза</w:t>
            </w:r>
          </w:p>
        </w:tc>
        <w:tc>
          <w:tcPr>
            <w:tcW w:w="1843" w:type="dxa"/>
            <w:vAlign w:val="center"/>
          </w:tcPr>
          <w:p w14:paraId="7DBD34DF" w14:textId="77777777" w:rsidR="008143D9" w:rsidRPr="00AC3044" w:rsidRDefault="008143D9" w:rsidP="005A428D">
            <w:pPr>
              <w:rPr>
                <w:rFonts w:eastAsia="SimSun"/>
              </w:rPr>
            </w:pPr>
            <w:r w:rsidRPr="00AC3044">
              <w:rPr>
                <w:rFonts w:eastAsia="SimSun"/>
              </w:rPr>
              <w:t>Дни введения</w:t>
            </w:r>
          </w:p>
        </w:tc>
        <w:tc>
          <w:tcPr>
            <w:tcW w:w="2835" w:type="dxa"/>
            <w:vAlign w:val="center"/>
          </w:tcPr>
          <w:p w14:paraId="5EA23AC2"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3322490E" w14:textId="77777777" w:rsidTr="005A428D">
        <w:trPr>
          <w:cantSplit/>
          <w:trHeight w:val="20"/>
        </w:trPr>
        <w:tc>
          <w:tcPr>
            <w:tcW w:w="709" w:type="dxa"/>
            <w:vMerge w:val="restart"/>
            <w:textDirection w:val="btLr"/>
            <w:vAlign w:val="center"/>
          </w:tcPr>
          <w:p w14:paraId="0BB82DA7" w14:textId="77777777" w:rsidR="008143D9" w:rsidRPr="00AC3044" w:rsidRDefault="008143D9" w:rsidP="005A428D">
            <w:pPr>
              <w:rPr>
                <w:rFonts w:eastAsia="SimSun"/>
              </w:rPr>
            </w:pPr>
            <w:r w:rsidRPr="00AC3044">
              <w:rPr>
                <w:rFonts w:eastAsia="SimSun"/>
              </w:rPr>
              <w:t>Кондиционирование</w:t>
            </w:r>
          </w:p>
        </w:tc>
        <w:tc>
          <w:tcPr>
            <w:tcW w:w="2410" w:type="dxa"/>
          </w:tcPr>
          <w:p w14:paraId="33BC0C1A" w14:textId="77777777" w:rsidR="008143D9" w:rsidRPr="00AC3044" w:rsidRDefault="008143D9" w:rsidP="005A428D">
            <w:pPr>
              <w:rPr>
                <w:rFonts w:eastAsia="SimSun"/>
              </w:rPr>
            </w:pPr>
            <w:r w:rsidRPr="00AC3044">
              <w:rPr>
                <w:rFonts w:eastAsia="SimSun"/>
              </w:rPr>
              <w:t>Треосульфан</w:t>
            </w:r>
          </w:p>
        </w:tc>
        <w:tc>
          <w:tcPr>
            <w:tcW w:w="1276" w:type="dxa"/>
            <w:vAlign w:val="center"/>
          </w:tcPr>
          <w:p w14:paraId="50291045" w14:textId="77777777" w:rsidR="008143D9" w:rsidRPr="00AC3044" w:rsidRDefault="008143D9" w:rsidP="005A428D">
            <w:pPr>
              <w:rPr>
                <w:rFonts w:eastAsia="SimSun"/>
              </w:rPr>
            </w:pPr>
            <w:r w:rsidRPr="00AC3044">
              <w:rPr>
                <w:rFonts w:eastAsia="SimSun"/>
              </w:rPr>
              <w:t>14 г/м</w:t>
            </w:r>
            <w:r w:rsidRPr="0074195F">
              <w:rPr>
                <w:rFonts w:eastAsia="SimSun"/>
                <w:vertAlign w:val="superscript"/>
              </w:rPr>
              <w:t>2</w:t>
            </w:r>
          </w:p>
        </w:tc>
        <w:tc>
          <w:tcPr>
            <w:tcW w:w="1417" w:type="dxa"/>
            <w:vAlign w:val="center"/>
          </w:tcPr>
          <w:p w14:paraId="52620434" w14:textId="77777777" w:rsidR="008143D9" w:rsidRPr="00AC3044" w:rsidRDefault="008143D9" w:rsidP="005A428D">
            <w:pPr>
              <w:rPr>
                <w:rFonts w:eastAsia="SimSun"/>
              </w:rPr>
            </w:pPr>
            <w:r w:rsidRPr="00AC3044">
              <w:rPr>
                <w:rFonts w:eastAsia="SimSun"/>
              </w:rPr>
              <w:t>42 г/м</w:t>
            </w:r>
            <w:r w:rsidRPr="0074195F">
              <w:rPr>
                <w:rFonts w:eastAsia="SimSun"/>
                <w:vertAlign w:val="superscript"/>
              </w:rPr>
              <w:t>2</w:t>
            </w:r>
          </w:p>
        </w:tc>
        <w:tc>
          <w:tcPr>
            <w:tcW w:w="1843" w:type="dxa"/>
            <w:vAlign w:val="center"/>
          </w:tcPr>
          <w:p w14:paraId="15481044" w14:textId="77777777" w:rsidR="008143D9" w:rsidRPr="00AC3044" w:rsidRDefault="008143D9" w:rsidP="005A428D">
            <w:pPr>
              <w:rPr>
                <w:rFonts w:eastAsia="SimSun"/>
              </w:rPr>
            </w:pPr>
            <w:r w:rsidRPr="00AC3044">
              <w:rPr>
                <w:rFonts w:eastAsia="SimSun"/>
              </w:rPr>
              <w:t>–5,–4,–3</w:t>
            </w:r>
          </w:p>
        </w:tc>
        <w:tc>
          <w:tcPr>
            <w:tcW w:w="2835" w:type="dxa"/>
            <w:vAlign w:val="center"/>
          </w:tcPr>
          <w:p w14:paraId="08A4BE39" w14:textId="77777777" w:rsidR="008143D9" w:rsidRPr="00AC3044" w:rsidRDefault="008143D9" w:rsidP="005A428D">
            <w:pPr>
              <w:rPr>
                <w:rFonts w:eastAsia="SimSun"/>
              </w:rPr>
            </w:pPr>
            <w:r w:rsidRPr="00AC3044">
              <w:rPr>
                <w:rFonts w:eastAsia="SimSun"/>
              </w:rPr>
              <w:t>В/в, в течение 2 часов</w:t>
            </w:r>
          </w:p>
        </w:tc>
      </w:tr>
      <w:tr w:rsidR="008143D9" w:rsidRPr="00AC3044" w14:paraId="4C452E43" w14:textId="77777777" w:rsidTr="005A428D">
        <w:trPr>
          <w:cantSplit/>
          <w:trHeight w:val="785"/>
        </w:trPr>
        <w:tc>
          <w:tcPr>
            <w:tcW w:w="709" w:type="dxa"/>
            <w:vMerge/>
            <w:textDirection w:val="btLr"/>
            <w:vAlign w:val="center"/>
          </w:tcPr>
          <w:p w14:paraId="45596857" w14:textId="77777777" w:rsidR="008143D9" w:rsidRPr="00AC3044" w:rsidRDefault="008143D9" w:rsidP="005A428D">
            <w:pPr>
              <w:rPr>
                <w:rFonts w:eastAsia="SimSun"/>
              </w:rPr>
            </w:pPr>
          </w:p>
        </w:tc>
        <w:tc>
          <w:tcPr>
            <w:tcW w:w="2410" w:type="dxa"/>
          </w:tcPr>
          <w:p w14:paraId="1204ABAC" w14:textId="77777777" w:rsidR="008143D9" w:rsidRPr="00AC3044" w:rsidRDefault="008143D9" w:rsidP="005A428D">
            <w:pPr>
              <w:rPr>
                <w:rFonts w:eastAsia="SimSun"/>
              </w:rPr>
            </w:pPr>
            <w:r w:rsidRPr="00AC3044">
              <w:rPr>
                <w:rFonts w:eastAsia="SimSun"/>
              </w:rPr>
              <w:t>Мелфалан</w:t>
            </w:r>
          </w:p>
        </w:tc>
        <w:tc>
          <w:tcPr>
            <w:tcW w:w="1276" w:type="dxa"/>
          </w:tcPr>
          <w:p w14:paraId="583AA5B2" w14:textId="77777777" w:rsidR="008143D9" w:rsidRPr="00AC3044" w:rsidRDefault="008143D9" w:rsidP="005A428D">
            <w:pPr>
              <w:rPr>
                <w:rFonts w:eastAsia="SimSun"/>
              </w:rPr>
            </w:pPr>
            <w:r w:rsidRPr="00AC3044">
              <w:rPr>
                <w:rFonts w:eastAsia="SimSun"/>
              </w:rPr>
              <w:t>70 мг/м</w:t>
            </w:r>
            <w:r w:rsidRPr="0074195F">
              <w:rPr>
                <w:rFonts w:eastAsia="SimSun"/>
                <w:vertAlign w:val="superscript"/>
              </w:rPr>
              <w:t>2</w:t>
            </w:r>
          </w:p>
        </w:tc>
        <w:tc>
          <w:tcPr>
            <w:tcW w:w="1417" w:type="dxa"/>
          </w:tcPr>
          <w:p w14:paraId="5CF3910D" w14:textId="77777777" w:rsidR="008143D9" w:rsidRPr="00AC3044" w:rsidRDefault="008143D9" w:rsidP="005A428D">
            <w:pPr>
              <w:rPr>
                <w:rFonts w:eastAsia="SimSun"/>
              </w:rPr>
            </w:pPr>
            <w:r w:rsidRPr="00AC3044">
              <w:rPr>
                <w:rFonts w:eastAsia="SimSun"/>
              </w:rPr>
              <w:t>140 мг/м</w:t>
            </w:r>
            <w:r w:rsidRPr="0074195F">
              <w:rPr>
                <w:rFonts w:eastAsia="SimSun"/>
                <w:vertAlign w:val="superscript"/>
              </w:rPr>
              <w:t>2</w:t>
            </w:r>
          </w:p>
        </w:tc>
        <w:tc>
          <w:tcPr>
            <w:tcW w:w="1843" w:type="dxa"/>
          </w:tcPr>
          <w:p w14:paraId="07109570" w14:textId="77777777" w:rsidR="008143D9" w:rsidRPr="00AC3044" w:rsidRDefault="008143D9" w:rsidP="005A428D">
            <w:pPr>
              <w:rPr>
                <w:rFonts w:eastAsia="SimSun"/>
              </w:rPr>
            </w:pPr>
            <w:r w:rsidRPr="00AC3044">
              <w:rPr>
                <w:rFonts w:eastAsia="SimSun"/>
              </w:rPr>
              <w:t>–3, –2</w:t>
            </w:r>
          </w:p>
        </w:tc>
        <w:tc>
          <w:tcPr>
            <w:tcW w:w="2835" w:type="dxa"/>
          </w:tcPr>
          <w:p w14:paraId="2241AAE1" w14:textId="77777777" w:rsidR="008143D9" w:rsidRPr="00AC3044" w:rsidRDefault="008143D9" w:rsidP="005A428D">
            <w:pPr>
              <w:rPr>
                <w:rFonts w:eastAsia="SimSun"/>
              </w:rPr>
            </w:pPr>
            <w:r w:rsidRPr="00AC3044">
              <w:rPr>
                <w:rFonts w:eastAsia="SimSun"/>
              </w:rPr>
              <w:t>В/в, в течение 1 часа, через 2 часа после введения флударабина</w:t>
            </w:r>
          </w:p>
        </w:tc>
      </w:tr>
      <w:tr w:rsidR="008143D9" w:rsidRPr="00AC3044" w14:paraId="79EC5C74" w14:textId="77777777" w:rsidTr="005A428D">
        <w:trPr>
          <w:cantSplit/>
          <w:trHeight w:val="56"/>
        </w:trPr>
        <w:tc>
          <w:tcPr>
            <w:tcW w:w="709" w:type="dxa"/>
            <w:vMerge/>
            <w:textDirection w:val="btLr"/>
            <w:vAlign w:val="center"/>
          </w:tcPr>
          <w:p w14:paraId="150CA6D8" w14:textId="77777777" w:rsidR="008143D9" w:rsidRPr="00AC3044" w:rsidRDefault="008143D9" w:rsidP="005A428D">
            <w:pPr>
              <w:rPr>
                <w:rFonts w:eastAsia="SimSun"/>
              </w:rPr>
            </w:pPr>
          </w:p>
        </w:tc>
        <w:tc>
          <w:tcPr>
            <w:tcW w:w="2410" w:type="dxa"/>
            <w:vAlign w:val="center"/>
          </w:tcPr>
          <w:p w14:paraId="21697287" w14:textId="77777777" w:rsidR="008143D9" w:rsidRPr="00AC3044" w:rsidRDefault="008143D9" w:rsidP="005A428D">
            <w:pPr>
              <w:rPr>
                <w:rFonts w:eastAsia="SimSun"/>
              </w:rPr>
            </w:pPr>
            <w:r w:rsidRPr="00AC3044">
              <w:rPr>
                <w:rFonts w:eastAsia="SimSun"/>
              </w:rPr>
              <w:t>Флударабин</w:t>
            </w:r>
          </w:p>
        </w:tc>
        <w:tc>
          <w:tcPr>
            <w:tcW w:w="1276" w:type="dxa"/>
            <w:vAlign w:val="center"/>
          </w:tcPr>
          <w:p w14:paraId="655B7883" w14:textId="77777777" w:rsidR="008143D9" w:rsidRPr="00AC3044" w:rsidRDefault="008143D9" w:rsidP="005A428D">
            <w:pPr>
              <w:rPr>
                <w:rFonts w:eastAsia="SimSun"/>
              </w:rPr>
            </w:pPr>
            <w:r w:rsidRPr="00AC3044">
              <w:rPr>
                <w:rFonts w:eastAsia="SimSun"/>
              </w:rPr>
              <w:t>30 мг/м</w:t>
            </w:r>
            <w:r w:rsidRPr="0074195F">
              <w:rPr>
                <w:rFonts w:eastAsia="SimSun"/>
                <w:vertAlign w:val="superscript"/>
              </w:rPr>
              <w:t>2</w:t>
            </w:r>
          </w:p>
        </w:tc>
        <w:tc>
          <w:tcPr>
            <w:tcW w:w="1417" w:type="dxa"/>
            <w:vAlign w:val="center"/>
          </w:tcPr>
          <w:p w14:paraId="012B20C5" w14:textId="77777777" w:rsidR="008143D9" w:rsidRPr="00AC3044" w:rsidRDefault="008143D9" w:rsidP="005A428D">
            <w:pPr>
              <w:rPr>
                <w:rFonts w:eastAsia="SimSun"/>
              </w:rPr>
            </w:pPr>
            <w:r w:rsidRPr="00AC3044">
              <w:rPr>
                <w:rFonts w:eastAsia="SimSun"/>
              </w:rPr>
              <w:t>150 мг/м</w:t>
            </w:r>
            <w:r w:rsidRPr="0074195F">
              <w:rPr>
                <w:rFonts w:eastAsia="SimSun"/>
                <w:vertAlign w:val="superscript"/>
              </w:rPr>
              <w:t>2</w:t>
            </w:r>
          </w:p>
        </w:tc>
        <w:tc>
          <w:tcPr>
            <w:tcW w:w="1843" w:type="dxa"/>
            <w:vAlign w:val="center"/>
          </w:tcPr>
          <w:p w14:paraId="6E94DD9C" w14:textId="77777777" w:rsidR="008143D9" w:rsidRPr="00AC3044" w:rsidRDefault="008143D9" w:rsidP="005A428D">
            <w:pPr>
              <w:rPr>
                <w:rFonts w:eastAsia="SimSun"/>
              </w:rPr>
            </w:pPr>
            <w:r w:rsidRPr="00AC3044">
              <w:rPr>
                <w:rFonts w:eastAsia="SimSun"/>
              </w:rPr>
              <w:t>–6,–5,–4, –3, –2</w:t>
            </w:r>
          </w:p>
        </w:tc>
        <w:tc>
          <w:tcPr>
            <w:tcW w:w="2835" w:type="dxa"/>
            <w:vAlign w:val="center"/>
          </w:tcPr>
          <w:p w14:paraId="6006A4C7"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20E21A80" w14:textId="77777777" w:rsidTr="005A428D">
        <w:trPr>
          <w:cantSplit/>
          <w:trHeight w:val="548"/>
        </w:trPr>
        <w:tc>
          <w:tcPr>
            <w:tcW w:w="709" w:type="dxa"/>
            <w:vMerge w:val="restart"/>
            <w:textDirection w:val="btLr"/>
            <w:vAlign w:val="center"/>
          </w:tcPr>
          <w:p w14:paraId="7BA3B923" w14:textId="77777777" w:rsidR="008143D9" w:rsidRPr="00AC3044" w:rsidRDefault="008143D9" w:rsidP="005A428D">
            <w:pPr>
              <w:rPr>
                <w:rFonts w:eastAsia="SimSun"/>
              </w:rPr>
            </w:pPr>
            <w:r w:rsidRPr="00AC3044">
              <w:rPr>
                <w:rFonts w:eastAsia="SimSun"/>
              </w:rPr>
              <w:t>Профилактика РТПХ</w:t>
            </w:r>
          </w:p>
        </w:tc>
        <w:tc>
          <w:tcPr>
            <w:tcW w:w="2410" w:type="dxa"/>
            <w:vAlign w:val="center"/>
          </w:tcPr>
          <w:p w14:paraId="53025C3D" w14:textId="77777777" w:rsidR="008143D9" w:rsidRPr="00AC3044" w:rsidRDefault="008143D9" w:rsidP="005A428D">
            <w:pPr>
              <w:rPr>
                <w:rFonts w:eastAsia="SimSun"/>
              </w:rPr>
            </w:pPr>
            <w:r w:rsidRPr="00AC3044">
              <w:rPr>
                <w:rFonts w:eastAsia="SimSun"/>
              </w:rPr>
              <w:t>Ритуксимаб</w:t>
            </w:r>
          </w:p>
        </w:tc>
        <w:tc>
          <w:tcPr>
            <w:tcW w:w="1276" w:type="dxa"/>
            <w:vAlign w:val="center"/>
          </w:tcPr>
          <w:p w14:paraId="1C9978FD" w14:textId="77777777" w:rsidR="008143D9" w:rsidRPr="00AC3044" w:rsidRDefault="008143D9" w:rsidP="005A428D">
            <w:pPr>
              <w:rPr>
                <w:rFonts w:eastAsia="SimSun"/>
              </w:rPr>
            </w:pPr>
            <w:r w:rsidRPr="00AC3044">
              <w:rPr>
                <w:rFonts w:eastAsia="SimSun"/>
              </w:rPr>
              <w:t>100  мг/м</w:t>
            </w:r>
            <w:r w:rsidRPr="0074195F">
              <w:rPr>
                <w:rFonts w:eastAsia="SimSun"/>
                <w:vertAlign w:val="superscript"/>
              </w:rPr>
              <w:t>2</w:t>
            </w:r>
          </w:p>
        </w:tc>
        <w:tc>
          <w:tcPr>
            <w:tcW w:w="1417" w:type="dxa"/>
            <w:vAlign w:val="center"/>
          </w:tcPr>
          <w:p w14:paraId="46C339CE" w14:textId="77777777" w:rsidR="008143D9" w:rsidRPr="00AC3044" w:rsidRDefault="008143D9" w:rsidP="005A428D">
            <w:pPr>
              <w:rPr>
                <w:rFonts w:eastAsia="SimSun"/>
              </w:rPr>
            </w:pPr>
            <w:r w:rsidRPr="00AC3044">
              <w:rPr>
                <w:rFonts w:eastAsia="SimSun"/>
              </w:rPr>
              <w:t>100  мг/м</w:t>
            </w:r>
            <w:r w:rsidRPr="0074195F">
              <w:rPr>
                <w:rFonts w:eastAsia="SimSun"/>
                <w:vertAlign w:val="superscript"/>
              </w:rPr>
              <w:t>2</w:t>
            </w:r>
          </w:p>
        </w:tc>
        <w:tc>
          <w:tcPr>
            <w:tcW w:w="1843" w:type="dxa"/>
            <w:vAlign w:val="center"/>
          </w:tcPr>
          <w:p w14:paraId="4A8D8102" w14:textId="77777777" w:rsidR="008143D9" w:rsidRPr="00AC3044" w:rsidRDefault="008143D9" w:rsidP="005A428D">
            <w:pPr>
              <w:rPr>
                <w:rFonts w:eastAsia="SimSun"/>
              </w:rPr>
            </w:pPr>
            <w:r w:rsidRPr="00AC3044">
              <w:rPr>
                <w:rFonts w:eastAsia="SimSun"/>
              </w:rPr>
              <w:t>–1</w:t>
            </w:r>
          </w:p>
        </w:tc>
        <w:tc>
          <w:tcPr>
            <w:tcW w:w="2835" w:type="dxa"/>
            <w:vAlign w:val="center"/>
          </w:tcPr>
          <w:p w14:paraId="319AF628" w14:textId="77777777" w:rsidR="008143D9" w:rsidRPr="00AC3044" w:rsidRDefault="008143D9" w:rsidP="005A428D">
            <w:pPr>
              <w:rPr>
                <w:rFonts w:eastAsia="SimSun"/>
              </w:rPr>
            </w:pPr>
            <w:r w:rsidRPr="00AC3044">
              <w:rPr>
                <w:rFonts w:eastAsia="SimSun"/>
              </w:rPr>
              <w:t>В/в, в течение 2 часов</w:t>
            </w:r>
          </w:p>
        </w:tc>
      </w:tr>
      <w:tr w:rsidR="008143D9" w:rsidRPr="00AC3044" w14:paraId="2EFEACCE" w14:textId="77777777" w:rsidTr="005A428D">
        <w:trPr>
          <w:cantSplit/>
          <w:trHeight w:val="20"/>
        </w:trPr>
        <w:tc>
          <w:tcPr>
            <w:tcW w:w="709" w:type="dxa"/>
            <w:vMerge/>
            <w:textDirection w:val="btLr"/>
          </w:tcPr>
          <w:p w14:paraId="1D1F5C4C" w14:textId="77777777" w:rsidR="008143D9" w:rsidRPr="00AC3044" w:rsidRDefault="008143D9" w:rsidP="005A428D">
            <w:pPr>
              <w:rPr>
                <w:rFonts w:eastAsia="SimSun"/>
              </w:rPr>
            </w:pPr>
          </w:p>
        </w:tc>
        <w:tc>
          <w:tcPr>
            <w:tcW w:w="2410" w:type="dxa"/>
            <w:vAlign w:val="center"/>
          </w:tcPr>
          <w:p w14:paraId="57248123" w14:textId="77777777" w:rsidR="008143D9" w:rsidRPr="00AC3044" w:rsidRDefault="008143D9" w:rsidP="005A428D">
            <w:pPr>
              <w:rPr>
                <w:rFonts w:eastAsia="SimSun"/>
              </w:rPr>
            </w:pPr>
            <w:r w:rsidRPr="00AC3044">
              <w:rPr>
                <w:rFonts w:eastAsia="SimSun"/>
              </w:rPr>
              <w:t>Тоцилизумаб</w:t>
            </w:r>
          </w:p>
        </w:tc>
        <w:tc>
          <w:tcPr>
            <w:tcW w:w="1276" w:type="dxa"/>
            <w:vAlign w:val="center"/>
          </w:tcPr>
          <w:p w14:paraId="2E7AF807" w14:textId="77777777" w:rsidR="008143D9" w:rsidRPr="00AC3044" w:rsidRDefault="008143D9" w:rsidP="005A428D">
            <w:pPr>
              <w:rPr>
                <w:rFonts w:eastAsia="SimSun"/>
              </w:rPr>
            </w:pPr>
            <w:r w:rsidRPr="00AC3044">
              <w:rPr>
                <w:rFonts w:eastAsia="SimSun"/>
              </w:rPr>
              <w:t>8 мг/кг</w:t>
            </w:r>
          </w:p>
        </w:tc>
        <w:tc>
          <w:tcPr>
            <w:tcW w:w="1417" w:type="dxa"/>
            <w:vAlign w:val="center"/>
          </w:tcPr>
          <w:p w14:paraId="3E89F5FE" w14:textId="77777777" w:rsidR="008143D9" w:rsidRPr="00AC3044" w:rsidRDefault="008143D9" w:rsidP="005A428D">
            <w:pPr>
              <w:rPr>
                <w:rFonts w:eastAsia="SimSun"/>
              </w:rPr>
            </w:pPr>
            <w:r w:rsidRPr="00AC3044">
              <w:rPr>
                <w:rFonts w:eastAsia="SimSun"/>
              </w:rPr>
              <w:t>8 мг/кг</w:t>
            </w:r>
          </w:p>
        </w:tc>
        <w:tc>
          <w:tcPr>
            <w:tcW w:w="1843" w:type="dxa"/>
            <w:vAlign w:val="center"/>
          </w:tcPr>
          <w:p w14:paraId="4DAED5C2" w14:textId="77777777" w:rsidR="008143D9" w:rsidRPr="00AC3044" w:rsidRDefault="008143D9" w:rsidP="005A428D">
            <w:pPr>
              <w:rPr>
                <w:rFonts w:eastAsia="SimSun"/>
              </w:rPr>
            </w:pPr>
            <w:r w:rsidRPr="00AC3044">
              <w:rPr>
                <w:rFonts w:eastAsia="SimSun"/>
              </w:rPr>
              <w:t>–1, +21</w:t>
            </w:r>
          </w:p>
        </w:tc>
        <w:tc>
          <w:tcPr>
            <w:tcW w:w="2835" w:type="dxa"/>
            <w:vAlign w:val="center"/>
          </w:tcPr>
          <w:p w14:paraId="474B4E11" w14:textId="77777777" w:rsidR="008143D9" w:rsidRPr="00AC3044" w:rsidRDefault="008143D9" w:rsidP="005A428D">
            <w:pPr>
              <w:rPr>
                <w:rFonts w:eastAsia="SimSun"/>
              </w:rPr>
            </w:pPr>
            <w:r w:rsidRPr="00AC3044">
              <w:rPr>
                <w:rFonts w:eastAsia="SimSun"/>
              </w:rPr>
              <w:t>В/в, в течение 1 часа</w:t>
            </w:r>
          </w:p>
        </w:tc>
      </w:tr>
      <w:tr w:rsidR="008143D9" w:rsidRPr="00AC3044" w14:paraId="7EAE6514" w14:textId="77777777" w:rsidTr="005A428D">
        <w:trPr>
          <w:cantSplit/>
          <w:trHeight w:val="20"/>
        </w:trPr>
        <w:tc>
          <w:tcPr>
            <w:tcW w:w="709" w:type="dxa"/>
            <w:vMerge/>
            <w:textDirection w:val="btLr"/>
          </w:tcPr>
          <w:p w14:paraId="7B383160" w14:textId="77777777" w:rsidR="008143D9" w:rsidRPr="00AC3044" w:rsidRDefault="008143D9" w:rsidP="005A428D">
            <w:pPr>
              <w:rPr>
                <w:rFonts w:eastAsia="SimSun"/>
              </w:rPr>
            </w:pPr>
          </w:p>
        </w:tc>
        <w:tc>
          <w:tcPr>
            <w:tcW w:w="2410" w:type="dxa"/>
            <w:vAlign w:val="center"/>
          </w:tcPr>
          <w:p w14:paraId="35CB2836" w14:textId="77777777" w:rsidR="008143D9" w:rsidRPr="00AC3044" w:rsidRDefault="008143D9" w:rsidP="005A428D">
            <w:pPr>
              <w:rPr>
                <w:rFonts w:eastAsia="SimSun"/>
              </w:rPr>
            </w:pPr>
            <w:r w:rsidRPr="00AC3044">
              <w:rPr>
                <w:rFonts w:eastAsia="SimSun"/>
              </w:rPr>
              <w:t>Абатацепт1</w:t>
            </w:r>
          </w:p>
        </w:tc>
        <w:tc>
          <w:tcPr>
            <w:tcW w:w="1276" w:type="dxa"/>
            <w:vAlign w:val="center"/>
          </w:tcPr>
          <w:p w14:paraId="4DD26EAB" w14:textId="77777777" w:rsidR="008143D9" w:rsidRPr="00AC3044" w:rsidRDefault="008143D9" w:rsidP="005A428D">
            <w:pPr>
              <w:rPr>
                <w:rFonts w:eastAsia="SimSun"/>
              </w:rPr>
            </w:pPr>
            <w:r w:rsidRPr="00AC3044">
              <w:rPr>
                <w:rFonts w:eastAsia="SimSun"/>
              </w:rPr>
              <w:t>10 мг/кг</w:t>
            </w:r>
          </w:p>
        </w:tc>
        <w:tc>
          <w:tcPr>
            <w:tcW w:w="1417" w:type="dxa"/>
            <w:vAlign w:val="center"/>
          </w:tcPr>
          <w:p w14:paraId="1CEC61CD" w14:textId="77777777" w:rsidR="008143D9" w:rsidRPr="00AC3044" w:rsidRDefault="008143D9" w:rsidP="005A428D">
            <w:pPr>
              <w:rPr>
                <w:rFonts w:eastAsia="SimSun"/>
              </w:rPr>
            </w:pPr>
            <w:r w:rsidRPr="00AC3044">
              <w:rPr>
                <w:rFonts w:eastAsia="SimSun"/>
              </w:rPr>
              <w:t>40 мг/кг</w:t>
            </w:r>
          </w:p>
        </w:tc>
        <w:tc>
          <w:tcPr>
            <w:tcW w:w="1843" w:type="dxa"/>
            <w:vAlign w:val="center"/>
          </w:tcPr>
          <w:p w14:paraId="3370BA7C" w14:textId="77777777" w:rsidR="008143D9" w:rsidRPr="00AC3044" w:rsidRDefault="008143D9" w:rsidP="005A428D">
            <w:pPr>
              <w:rPr>
                <w:rFonts w:eastAsia="SimSun"/>
              </w:rPr>
            </w:pPr>
            <w:r w:rsidRPr="00AC3044">
              <w:rPr>
                <w:rFonts w:eastAsia="SimSun"/>
              </w:rPr>
              <w:t>–1,+7,+14,+28</w:t>
            </w:r>
          </w:p>
        </w:tc>
        <w:tc>
          <w:tcPr>
            <w:tcW w:w="2835" w:type="dxa"/>
            <w:vAlign w:val="center"/>
          </w:tcPr>
          <w:p w14:paraId="06AEE5B1" w14:textId="77777777" w:rsidR="008143D9" w:rsidRPr="00AC3044" w:rsidRDefault="008143D9" w:rsidP="005A428D">
            <w:pPr>
              <w:rPr>
                <w:rFonts w:eastAsia="SimSun"/>
              </w:rPr>
            </w:pPr>
            <w:r w:rsidRPr="00AC3044">
              <w:rPr>
                <w:rFonts w:eastAsia="SimSun"/>
              </w:rPr>
              <w:t>В/в, в течение 30 мин</w:t>
            </w:r>
          </w:p>
        </w:tc>
      </w:tr>
      <w:tr w:rsidR="008143D9" w:rsidRPr="00AC3044" w14:paraId="0A1E0949" w14:textId="77777777" w:rsidTr="005A428D">
        <w:trPr>
          <w:cantSplit/>
          <w:trHeight w:val="1797"/>
        </w:trPr>
        <w:tc>
          <w:tcPr>
            <w:tcW w:w="709" w:type="dxa"/>
            <w:textDirection w:val="btLr"/>
            <w:vAlign w:val="center"/>
          </w:tcPr>
          <w:p w14:paraId="0368AFCC" w14:textId="77777777" w:rsidR="008143D9" w:rsidRPr="00AC3044" w:rsidRDefault="008143D9" w:rsidP="005A428D">
            <w:pPr>
              <w:rPr>
                <w:rFonts w:eastAsia="SimSun"/>
              </w:rPr>
            </w:pPr>
            <w:r w:rsidRPr="00AC3044">
              <w:rPr>
                <w:rFonts w:eastAsia="SimSun"/>
              </w:rPr>
              <w:t>Ex vivo манипуляция  с трансплантатом</w:t>
            </w:r>
          </w:p>
        </w:tc>
        <w:tc>
          <w:tcPr>
            <w:tcW w:w="2410" w:type="dxa"/>
            <w:vAlign w:val="center"/>
          </w:tcPr>
          <w:p w14:paraId="622CDE94" w14:textId="77777777" w:rsidR="008143D9" w:rsidRPr="00AC3044" w:rsidRDefault="008143D9" w:rsidP="005A428D">
            <w:pPr>
              <w:rPr>
                <w:rFonts w:eastAsia="SimSun"/>
              </w:rPr>
            </w:pPr>
            <w:r w:rsidRPr="00AC3044">
              <w:rPr>
                <w:rFonts w:eastAsia="SimSun"/>
              </w:rPr>
              <w:t>Комплексная услуга TCRαβ/CD19 деплеция</w:t>
            </w:r>
          </w:p>
        </w:tc>
        <w:tc>
          <w:tcPr>
            <w:tcW w:w="1276" w:type="dxa"/>
            <w:vAlign w:val="center"/>
          </w:tcPr>
          <w:p w14:paraId="6E63B9D1" w14:textId="77777777" w:rsidR="008143D9" w:rsidRPr="00AC3044" w:rsidRDefault="008143D9" w:rsidP="005A428D">
            <w:pPr>
              <w:rPr>
                <w:rFonts w:eastAsia="SimSun"/>
              </w:rPr>
            </w:pPr>
            <w:r w:rsidRPr="00AC3044">
              <w:rPr>
                <w:rFonts w:eastAsia="SimSun"/>
              </w:rPr>
              <w:t>–</w:t>
            </w:r>
          </w:p>
        </w:tc>
        <w:tc>
          <w:tcPr>
            <w:tcW w:w="1417" w:type="dxa"/>
            <w:vAlign w:val="center"/>
          </w:tcPr>
          <w:p w14:paraId="02DC6FE8" w14:textId="77777777" w:rsidR="008143D9" w:rsidRPr="00AC3044" w:rsidRDefault="008143D9" w:rsidP="005A428D">
            <w:pPr>
              <w:rPr>
                <w:rFonts w:eastAsia="SimSun"/>
              </w:rPr>
            </w:pPr>
            <w:r w:rsidRPr="00AC3044">
              <w:rPr>
                <w:rFonts w:eastAsia="SimSun"/>
              </w:rPr>
              <w:t>–</w:t>
            </w:r>
          </w:p>
        </w:tc>
        <w:tc>
          <w:tcPr>
            <w:tcW w:w="1843" w:type="dxa"/>
            <w:vAlign w:val="center"/>
          </w:tcPr>
          <w:p w14:paraId="5DBDB6D3" w14:textId="77777777" w:rsidR="008143D9" w:rsidRPr="00AC3044" w:rsidRDefault="008143D9" w:rsidP="005A428D">
            <w:pPr>
              <w:rPr>
                <w:rFonts w:eastAsia="SimSun"/>
              </w:rPr>
            </w:pPr>
            <w:r w:rsidRPr="00AC3044">
              <w:rPr>
                <w:rFonts w:eastAsia="SimSun"/>
              </w:rPr>
              <w:t>0</w:t>
            </w:r>
          </w:p>
        </w:tc>
        <w:tc>
          <w:tcPr>
            <w:tcW w:w="2835" w:type="dxa"/>
            <w:vAlign w:val="center"/>
          </w:tcPr>
          <w:p w14:paraId="521BA88D" w14:textId="77777777" w:rsidR="008143D9" w:rsidRPr="00AC3044" w:rsidRDefault="008143D9" w:rsidP="005A428D">
            <w:pPr>
              <w:rPr>
                <w:rFonts w:eastAsia="SimSun"/>
              </w:rPr>
            </w:pPr>
            <w:r w:rsidRPr="00AC3044">
              <w:rPr>
                <w:rFonts w:eastAsia="SimSun"/>
              </w:rPr>
              <w:t>-</w:t>
            </w:r>
          </w:p>
        </w:tc>
      </w:tr>
      <w:tr w:rsidR="008143D9" w:rsidRPr="00AC3044" w14:paraId="5315CBBE" w14:textId="77777777" w:rsidTr="005A428D">
        <w:trPr>
          <w:trHeight w:val="20"/>
        </w:trPr>
        <w:tc>
          <w:tcPr>
            <w:tcW w:w="10490" w:type="dxa"/>
            <w:gridSpan w:val="6"/>
          </w:tcPr>
          <w:p w14:paraId="3D56E3C0" w14:textId="77777777" w:rsidR="008143D9" w:rsidRPr="00AC3044" w:rsidRDefault="008143D9" w:rsidP="005A428D">
            <w:pPr>
              <w:rPr>
                <w:rFonts w:eastAsia="SimSun"/>
              </w:rPr>
            </w:pPr>
            <w:r w:rsidRPr="00AC3044">
              <w:rPr>
                <w:rFonts w:eastAsia="SimSun"/>
              </w:rPr>
              <w:t>1 Раствор абатацепта нельзя использовать с оборудованием, имеющим в своём составе силикон.  Содержимое одного флакона растворяют в 10 мл воды для инъекций, используя одноразовый бессиликоновый шприц, имеющийся в комплекте с препаратом. Полученный концентрат немедленно разбавляют 0.9% раствором натрия хлорида для инъекций для получения инфузионного раствора, который немедленно вводится в/в за 30мин через инфузионную систему.  Абатацепт нельзя вводить одновременно с другими препаратами через одну инфузионную систему.</w:t>
            </w:r>
          </w:p>
          <w:p w14:paraId="496C195C" w14:textId="77777777" w:rsidR="008143D9" w:rsidRPr="00AC3044" w:rsidRDefault="008143D9" w:rsidP="005A428D">
            <w:pPr>
              <w:rPr>
                <w:rFonts w:eastAsia="SimSun"/>
              </w:rPr>
            </w:pPr>
          </w:p>
        </w:tc>
      </w:tr>
    </w:tbl>
    <w:p w14:paraId="06361264" w14:textId="77777777" w:rsidR="008143D9" w:rsidRDefault="008143D9" w:rsidP="008143D9">
      <w:pPr>
        <w:rPr>
          <w:rFonts w:eastAsia="SimSun"/>
        </w:rPr>
      </w:pPr>
      <w:bookmarkStart w:id="202" w:name="_Toc44401245"/>
    </w:p>
    <w:p w14:paraId="636C3C0D" w14:textId="77777777" w:rsidR="008143D9" w:rsidRPr="00C07B2E" w:rsidRDefault="008143D9" w:rsidP="008143D9">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4.3  – Flu150+Bu12+Thio / TCRαβ-CD19</w:t>
      </w:r>
      <w:bookmarkEnd w:id="202"/>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410"/>
        <w:gridCol w:w="1276"/>
        <w:gridCol w:w="1417"/>
        <w:gridCol w:w="1843"/>
        <w:gridCol w:w="2835"/>
      </w:tblGrid>
      <w:tr w:rsidR="008143D9" w:rsidRPr="00AC3044" w14:paraId="187DC113" w14:textId="77777777" w:rsidTr="005A428D">
        <w:trPr>
          <w:cantSplit/>
          <w:trHeight w:val="20"/>
          <w:tblHeader/>
        </w:trPr>
        <w:tc>
          <w:tcPr>
            <w:tcW w:w="709" w:type="dxa"/>
          </w:tcPr>
          <w:p w14:paraId="4A48A1A1" w14:textId="77777777" w:rsidR="008143D9" w:rsidRPr="006A5E21" w:rsidRDefault="008143D9" w:rsidP="005A428D">
            <w:pPr>
              <w:rPr>
                <w:rFonts w:eastAsia="SimSun"/>
              </w:rPr>
            </w:pPr>
          </w:p>
        </w:tc>
        <w:tc>
          <w:tcPr>
            <w:tcW w:w="2410" w:type="dxa"/>
            <w:vAlign w:val="center"/>
          </w:tcPr>
          <w:p w14:paraId="5F6D6E56" w14:textId="77777777" w:rsidR="008143D9" w:rsidRPr="00AC3044" w:rsidRDefault="008143D9" w:rsidP="005A428D">
            <w:pPr>
              <w:rPr>
                <w:rFonts w:eastAsia="SimSun"/>
              </w:rPr>
            </w:pPr>
            <w:r w:rsidRPr="00AC3044">
              <w:rPr>
                <w:rFonts w:eastAsia="SimSun"/>
              </w:rPr>
              <w:t>Препарат</w:t>
            </w:r>
          </w:p>
        </w:tc>
        <w:tc>
          <w:tcPr>
            <w:tcW w:w="1276" w:type="dxa"/>
            <w:vAlign w:val="center"/>
          </w:tcPr>
          <w:p w14:paraId="042EB2B6" w14:textId="77777777" w:rsidR="008143D9" w:rsidRPr="00AC3044" w:rsidRDefault="008143D9" w:rsidP="005A428D">
            <w:pPr>
              <w:rPr>
                <w:rFonts w:eastAsia="SimSun"/>
              </w:rPr>
            </w:pPr>
            <w:r w:rsidRPr="00AC3044">
              <w:rPr>
                <w:rFonts w:eastAsia="SimSun"/>
              </w:rPr>
              <w:t>Суточная доза</w:t>
            </w:r>
          </w:p>
        </w:tc>
        <w:tc>
          <w:tcPr>
            <w:tcW w:w="1417" w:type="dxa"/>
            <w:vAlign w:val="center"/>
          </w:tcPr>
          <w:p w14:paraId="0E8A9EF3" w14:textId="77777777" w:rsidR="008143D9" w:rsidRPr="00AC3044" w:rsidRDefault="008143D9" w:rsidP="005A428D">
            <w:pPr>
              <w:rPr>
                <w:rFonts w:eastAsia="SimSun"/>
              </w:rPr>
            </w:pPr>
            <w:r w:rsidRPr="00AC3044">
              <w:rPr>
                <w:rFonts w:eastAsia="SimSun"/>
              </w:rPr>
              <w:t>Курсовая доза</w:t>
            </w:r>
          </w:p>
        </w:tc>
        <w:tc>
          <w:tcPr>
            <w:tcW w:w="1843" w:type="dxa"/>
            <w:vAlign w:val="center"/>
          </w:tcPr>
          <w:p w14:paraId="770097E8" w14:textId="77777777" w:rsidR="008143D9" w:rsidRPr="00AC3044" w:rsidRDefault="008143D9" w:rsidP="005A428D">
            <w:pPr>
              <w:rPr>
                <w:rFonts w:eastAsia="SimSun"/>
              </w:rPr>
            </w:pPr>
            <w:r w:rsidRPr="00AC3044">
              <w:rPr>
                <w:rFonts w:eastAsia="SimSun"/>
              </w:rPr>
              <w:t>Дни введения</w:t>
            </w:r>
          </w:p>
        </w:tc>
        <w:tc>
          <w:tcPr>
            <w:tcW w:w="2835" w:type="dxa"/>
            <w:vAlign w:val="center"/>
          </w:tcPr>
          <w:p w14:paraId="6CD091FE"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7EBE8AE0" w14:textId="77777777" w:rsidTr="005A428D">
        <w:trPr>
          <w:cantSplit/>
          <w:trHeight w:val="20"/>
        </w:trPr>
        <w:tc>
          <w:tcPr>
            <w:tcW w:w="709" w:type="dxa"/>
            <w:vMerge w:val="restart"/>
            <w:textDirection w:val="btLr"/>
            <w:vAlign w:val="center"/>
          </w:tcPr>
          <w:p w14:paraId="2B64BCDC" w14:textId="77777777" w:rsidR="008143D9" w:rsidRPr="00AC3044" w:rsidRDefault="008143D9" w:rsidP="005A428D">
            <w:pPr>
              <w:rPr>
                <w:rFonts w:eastAsia="SimSun"/>
              </w:rPr>
            </w:pPr>
            <w:r w:rsidRPr="00AC3044">
              <w:rPr>
                <w:rFonts w:eastAsia="SimSun"/>
              </w:rPr>
              <w:t>Кондиционирование</w:t>
            </w:r>
          </w:p>
        </w:tc>
        <w:tc>
          <w:tcPr>
            <w:tcW w:w="2410" w:type="dxa"/>
          </w:tcPr>
          <w:p w14:paraId="52AE1E49" w14:textId="77777777" w:rsidR="008143D9" w:rsidRPr="00AC3044" w:rsidRDefault="008143D9" w:rsidP="005A428D">
            <w:pPr>
              <w:rPr>
                <w:rFonts w:eastAsia="SimSun"/>
              </w:rPr>
            </w:pPr>
            <w:r w:rsidRPr="00AC3044">
              <w:rPr>
                <w:rFonts w:eastAsia="SimSun"/>
              </w:rPr>
              <w:t>Бусульфан</w:t>
            </w:r>
          </w:p>
        </w:tc>
        <w:tc>
          <w:tcPr>
            <w:tcW w:w="1276" w:type="dxa"/>
          </w:tcPr>
          <w:p w14:paraId="7CCCB29A" w14:textId="77777777" w:rsidR="008143D9" w:rsidRPr="00AC3044" w:rsidRDefault="008143D9" w:rsidP="005A428D">
            <w:pPr>
              <w:rPr>
                <w:rFonts w:eastAsia="SimSun"/>
              </w:rPr>
            </w:pPr>
            <w:r w:rsidRPr="00AC3044">
              <w:rPr>
                <w:rFonts w:eastAsia="SimSun"/>
              </w:rPr>
              <w:t>4 мг/кг</w:t>
            </w:r>
          </w:p>
        </w:tc>
        <w:tc>
          <w:tcPr>
            <w:tcW w:w="1417" w:type="dxa"/>
          </w:tcPr>
          <w:p w14:paraId="53ECC737" w14:textId="77777777" w:rsidR="008143D9" w:rsidRPr="00AC3044" w:rsidRDefault="008143D9" w:rsidP="005A428D">
            <w:pPr>
              <w:rPr>
                <w:rFonts w:eastAsia="SimSun"/>
              </w:rPr>
            </w:pPr>
            <w:r w:rsidRPr="00AC3044">
              <w:rPr>
                <w:rFonts w:eastAsia="SimSun"/>
              </w:rPr>
              <w:t>12мг/кг</w:t>
            </w:r>
          </w:p>
        </w:tc>
        <w:tc>
          <w:tcPr>
            <w:tcW w:w="1843" w:type="dxa"/>
          </w:tcPr>
          <w:p w14:paraId="3DA359D4" w14:textId="77777777" w:rsidR="008143D9" w:rsidRPr="00AC3044" w:rsidRDefault="008143D9" w:rsidP="005A428D">
            <w:pPr>
              <w:rPr>
                <w:rFonts w:eastAsia="SimSun"/>
              </w:rPr>
            </w:pPr>
            <w:r w:rsidRPr="00AC3044">
              <w:rPr>
                <w:rFonts w:eastAsia="SimSun"/>
              </w:rPr>
              <w:t>–5,–4,–3</w:t>
            </w:r>
          </w:p>
        </w:tc>
        <w:tc>
          <w:tcPr>
            <w:tcW w:w="2835" w:type="dxa"/>
          </w:tcPr>
          <w:p w14:paraId="3EB9F37B" w14:textId="77777777" w:rsidR="008143D9" w:rsidRPr="00AC3044" w:rsidRDefault="008143D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8143D9" w:rsidRPr="00AC3044" w14:paraId="7C40F72F" w14:textId="77777777" w:rsidTr="005A428D">
        <w:trPr>
          <w:cantSplit/>
          <w:trHeight w:val="458"/>
        </w:trPr>
        <w:tc>
          <w:tcPr>
            <w:tcW w:w="709" w:type="dxa"/>
            <w:vMerge/>
            <w:textDirection w:val="btLr"/>
            <w:vAlign w:val="center"/>
          </w:tcPr>
          <w:p w14:paraId="6EE2A15E" w14:textId="77777777" w:rsidR="008143D9" w:rsidRPr="00AC3044" w:rsidRDefault="008143D9" w:rsidP="005A428D">
            <w:pPr>
              <w:rPr>
                <w:rFonts w:eastAsia="SimSun"/>
              </w:rPr>
            </w:pPr>
          </w:p>
        </w:tc>
        <w:tc>
          <w:tcPr>
            <w:tcW w:w="2410" w:type="dxa"/>
            <w:vAlign w:val="center"/>
          </w:tcPr>
          <w:p w14:paraId="075585DE" w14:textId="77777777" w:rsidR="008143D9" w:rsidRPr="00AC3044" w:rsidRDefault="008143D9" w:rsidP="005A428D">
            <w:pPr>
              <w:rPr>
                <w:rFonts w:eastAsia="SimSun"/>
              </w:rPr>
            </w:pPr>
            <w:r w:rsidRPr="00AC3044">
              <w:rPr>
                <w:rFonts w:eastAsia="SimSun"/>
              </w:rPr>
              <w:t>Тиотепа</w:t>
            </w:r>
          </w:p>
        </w:tc>
        <w:tc>
          <w:tcPr>
            <w:tcW w:w="1276" w:type="dxa"/>
            <w:vAlign w:val="center"/>
          </w:tcPr>
          <w:p w14:paraId="76FD4CB8" w14:textId="77777777" w:rsidR="008143D9" w:rsidRPr="00AC3044" w:rsidRDefault="008143D9" w:rsidP="005A428D">
            <w:pPr>
              <w:rPr>
                <w:rFonts w:eastAsia="SimSun"/>
              </w:rPr>
            </w:pPr>
            <w:r w:rsidRPr="00AC3044">
              <w:rPr>
                <w:rFonts w:eastAsia="SimSun"/>
              </w:rPr>
              <w:t xml:space="preserve">5мг/кг </w:t>
            </w:r>
          </w:p>
        </w:tc>
        <w:tc>
          <w:tcPr>
            <w:tcW w:w="1417" w:type="dxa"/>
            <w:vAlign w:val="center"/>
          </w:tcPr>
          <w:p w14:paraId="6E751C16" w14:textId="77777777" w:rsidR="008143D9" w:rsidRPr="00AC3044" w:rsidRDefault="008143D9" w:rsidP="005A428D">
            <w:pPr>
              <w:rPr>
                <w:rFonts w:eastAsia="SimSun"/>
              </w:rPr>
            </w:pPr>
            <w:r w:rsidRPr="00AC3044">
              <w:rPr>
                <w:rFonts w:eastAsia="SimSun"/>
              </w:rPr>
              <w:t>10 мг/кг</w:t>
            </w:r>
          </w:p>
        </w:tc>
        <w:tc>
          <w:tcPr>
            <w:tcW w:w="1843" w:type="dxa"/>
            <w:vAlign w:val="center"/>
          </w:tcPr>
          <w:p w14:paraId="1DC371E7" w14:textId="77777777" w:rsidR="008143D9" w:rsidRPr="00AC3044" w:rsidRDefault="008143D9" w:rsidP="005A428D">
            <w:pPr>
              <w:rPr>
                <w:rFonts w:eastAsia="SimSun"/>
              </w:rPr>
            </w:pPr>
            <w:r w:rsidRPr="00AC3044">
              <w:rPr>
                <w:rFonts w:eastAsia="SimSun"/>
              </w:rPr>
              <w:t>–6,–5</w:t>
            </w:r>
          </w:p>
        </w:tc>
        <w:tc>
          <w:tcPr>
            <w:tcW w:w="2835" w:type="dxa"/>
            <w:vAlign w:val="center"/>
          </w:tcPr>
          <w:p w14:paraId="6DF572C6" w14:textId="77777777" w:rsidR="008143D9" w:rsidRPr="00AC3044" w:rsidRDefault="008143D9" w:rsidP="005A428D">
            <w:pPr>
              <w:rPr>
                <w:rFonts w:eastAsia="SimSun"/>
              </w:rPr>
            </w:pPr>
            <w:r w:rsidRPr="00AC3044">
              <w:rPr>
                <w:rFonts w:eastAsia="SimSun"/>
              </w:rPr>
              <w:t>В/в, в течение 2 часов</w:t>
            </w:r>
          </w:p>
        </w:tc>
      </w:tr>
      <w:tr w:rsidR="008143D9" w:rsidRPr="00AC3044" w14:paraId="38A7B00F" w14:textId="77777777" w:rsidTr="005A428D">
        <w:trPr>
          <w:cantSplit/>
          <w:trHeight w:val="550"/>
        </w:trPr>
        <w:tc>
          <w:tcPr>
            <w:tcW w:w="709" w:type="dxa"/>
            <w:vMerge/>
            <w:textDirection w:val="btLr"/>
            <w:vAlign w:val="center"/>
          </w:tcPr>
          <w:p w14:paraId="6357BD95" w14:textId="77777777" w:rsidR="008143D9" w:rsidRPr="00AC3044" w:rsidRDefault="008143D9" w:rsidP="005A428D">
            <w:pPr>
              <w:rPr>
                <w:rFonts w:eastAsia="SimSun"/>
              </w:rPr>
            </w:pPr>
          </w:p>
        </w:tc>
        <w:tc>
          <w:tcPr>
            <w:tcW w:w="2410" w:type="dxa"/>
            <w:vAlign w:val="center"/>
          </w:tcPr>
          <w:p w14:paraId="3810F28B" w14:textId="77777777" w:rsidR="008143D9" w:rsidRPr="00AC3044" w:rsidRDefault="008143D9" w:rsidP="005A428D">
            <w:pPr>
              <w:rPr>
                <w:rFonts w:eastAsia="SimSun"/>
              </w:rPr>
            </w:pPr>
            <w:r w:rsidRPr="00AC3044">
              <w:rPr>
                <w:rFonts w:eastAsia="SimSun"/>
              </w:rPr>
              <w:t>Флударабин</w:t>
            </w:r>
          </w:p>
        </w:tc>
        <w:tc>
          <w:tcPr>
            <w:tcW w:w="1276" w:type="dxa"/>
            <w:vAlign w:val="center"/>
          </w:tcPr>
          <w:p w14:paraId="7D358A2C" w14:textId="77777777" w:rsidR="008143D9" w:rsidRPr="00AC3044" w:rsidRDefault="008143D9" w:rsidP="005A428D">
            <w:pPr>
              <w:rPr>
                <w:rFonts w:eastAsia="SimSun"/>
              </w:rPr>
            </w:pPr>
            <w:r w:rsidRPr="00AC3044">
              <w:rPr>
                <w:rFonts w:eastAsia="SimSun"/>
              </w:rPr>
              <w:t>30 мг/м</w:t>
            </w:r>
            <w:r w:rsidRPr="0074195F">
              <w:rPr>
                <w:rFonts w:eastAsia="SimSun"/>
                <w:vertAlign w:val="superscript"/>
              </w:rPr>
              <w:t>2</w:t>
            </w:r>
          </w:p>
        </w:tc>
        <w:tc>
          <w:tcPr>
            <w:tcW w:w="1417" w:type="dxa"/>
            <w:vAlign w:val="center"/>
          </w:tcPr>
          <w:p w14:paraId="0A02A55C" w14:textId="77777777" w:rsidR="008143D9" w:rsidRPr="00AC3044" w:rsidRDefault="008143D9" w:rsidP="005A428D">
            <w:pPr>
              <w:rPr>
                <w:rFonts w:eastAsia="SimSun"/>
              </w:rPr>
            </w:pPr>
            <w:r w:rsidRPr="00AC3044">
              <w:rPr>
                <w:rFonts w:eastAsia="SimSun"/>
              </w:rPr>
              <w:t>150 мг/м</w:t>
            </w:r>
            <w:r w:rsidRPr="0074195F">
              <w:rPr>
                <w:rFonts w:eastAsia="SimSun"/>
                <w:vertAlign w:val="superscript"/>
              </w:rPr>
              <w:t>2</w:t>
            </w:r>
          </w:p>
        </w:tc>
        <w:tc>
          <w:tcPr>
            <w:tcW w:w="1843" w:type="dxa"/>
            <w:vAlign w:val="center"/>
          </w:tcPr>
          <w:p w14:paraId="228E7924" w14:textId="77777777" w:rsidR="008143D9" w:rsidRPr="00AC3044" w:rsidRDefault="008143D9" w:rsidP="005A428D">
            <w:pPr>
              <w:rPr>
                <w:rFonts w:eastAsia="SimSun"/>
              </w:rPr>
            </w:pPr>
            <w:r w:rsidRPr="00AC3044">
              <w:rPr>
                <w:rFonts w:eastAsia="SimSun"/>
              </w:rPr>
              <w:t>–6,–5,–4, –3, –2</w:t>
            </w:r>
          </w:p>
        </w:tc>
        <w:tc>
          <w:tcPr>
            <w:tcW w:w="2835" w:type="dxa"/>
            <w:vAlign w:val="center"/>
          </w:tcPr>
          <w:p w14:paraId="4ECA0ED4" w14:textId="77777777" w:rsidR="008143D9" w:rsidRPr="00AC3044" w:rsidRDefault="008143D9" w:rsidP="005A428D">
            <w:pPr>
              <w:rPr>
                <w:rFonts w:eastAsia="SimSun"/>
              </w:rPr>
            </w:pPr>
            <w:r w:rsidRPr="00AC3044">
              <w:rPr>
                <w:rFonts w:eastAsia="SimSun"/>
              </w:rPr>
              <w:t>В/в, в течение 30 -60 мин</w:t>
            </w:r>
          </w:p>
        </w:tc>
      </w:tr>
      <w:tr w:rsidR="008143D9" w:rsidRPr="00AC3044" w14:paraId="6B5CC72E" w14:textId="77777777" w:rsidTr="005A428D">
        <w:trPr>
          <w:cantSplit/>
          <w:trHeight w:val="416"/>
        </w:trPr>
        <w:tc>
          <w:tcPr>
            <w:tcW w:w="709" w:type="dxa"/>
            <w:vMerge w:val="restart"/>
            <w:textDirection w:val="btLr"/>
            <w:vAlign w:val="center"/>
          </w:tcPr>
          <w:p w14:paraId="141A0F83" w14:textId="77777777" w:rsidR="008143D9" w:rsidRPr="00AC3044" w:rsidRDefault="008143D9" w:rsidP="005A428D">
            <w:pPr>
              <w:rPr>
                <w:rFonts w:eastAsia="SimSun"/>
              </w:rPr>
            </w:pPr>
            <w:r w:rsidRPr="00AC3044">
              <w:rPr>
                <w:rFonts w:eastAsia="SimSun"/>
              </w:rPr>
              <w:t>Профилактика РТПХ</w:t>
            </w:r>
          </w:p>
        </w:tc>
        <w:tc>
          <w:tcPr>
            <w:tcW w:w="2410" w:type="dxa"/>
            <w:vAlign w:val="center"/>
          </w:tcPr>
          <w:p w14:paraId="46D1C2D2" w14:textId="77777777" w:rsidR="008143D9" w:rsidRPr="00AC3044" w:rsidRDefault="008143D9" w:rsidP="005A428D">
            <w:pPr>
              <w:rPr>
                <w:rFonts w:eastAsia="SimSun"/>
              </w:rPr>
            </w:pPr>
            <w:r w:rsidRPr="00AC3044">
              <w:rPr>
                <w:rFonts w:eastAsia="SimSun"/>
              </w:rPr>
              <w:t>Ритуксимаб</w:t>
            </w:r>
          </w:p>
        </w:tc>
        <w:tc>
          <w:tcPr>
            <w:tcW w:w="1276" w:type="dxa"/>
            <w:vAlign w:val="center"/>
          </w:tcPr>
          <w:p w14:paraId="782BCEE6" w14:textId="77777777" w:rsidR="008143D9" w:rsidRPr="00AC3044" w:rsidRDefault="008143D9" w:rsidP="005A428D">
            <w:pPr>
              <w:rPr>
                <w:rFonts w:eastAsia="SimSun"/>
              </w:rPr>
            </w:pPr>
            <w:r w:rsidRPr="00AC3044">
              <w:rPr>
                <w:rFonts w:eastAsia="SimSun"/>
              </w:rPr>
              <w:t>100 мг/м</w:t>
            </w:r>
            <w:r w:rsidRPr="0074195F">
              <w:rPr>
                <w:rFonts w:eastAsia="SimSun"/>
                <w:vertAlign w:val="superscript"/>
              </w:rPr>
              <w:t>2</w:t>
            </w:r>
          </w:p>
        </w:tc>
        <w:tc>
          <w:tcPr>
            <w:tcW w:w="1417" w:type="dxa"/>
            <w:vAlign w:val="center"/>
          </w:tcPr>
          <w:p w14:paraId="43AD3AE0" w14:textId="77777777" w:rsidR="008143D9" w:rsidRPr="00AC3044" w:rsidRDefault="008143D9" w:rsidP="005A428D">
            <w:pPr>
              <w:rPr>
                <w:rFonts w:eastAsia="SimSun"/>
              </w:rPr>
            </w:pPr>
            <w:r w:rsidRPr="00AC3044">
              <w:rPr>
                <w:rFonts w:eastAsia="SimSun"/>
              </w:rPr>
              <w:t>100 мг/м</w:t>
            </w:r>
            <w:r w:rsidRPr="0074195F">
              <w:rPr>
                <w:rFonts w:eastAsia="SimSun"/>
                <w:vertAlign w:val="superscript"/>
              </w:rPr>
              <w:t>2</w:t>
            </w:r>
          </w:p>
        </w:tc>
        <w:tc>
          <w:tcPr>
            <w:tcW w:w="1843" w:type="dxa"/>
            <w:vAlign w:val="center"/>
          </w:tcPr>
          <w:p w14:paraId="67B87DD0" w14:textId="77777777" w:rsidR="008143D9" w:rsidRPr="00AC3044" w:rsidRDefault="008143D9" w:rsidP="005A428D">
            <w:pPr>
              <w:rPr>
                <w:rFonts w:eastAsia="SimSun"/>
              </w:rPr>
            </w:pPr>
            <w:r w:rsidRPr="00AC3044">
              <w:rPr>
                <w:rFonts w:eastAsia="SimSun"/>
              </w:rPr>
              <w:t>–1</w:t>
            </w:r>
          </w:p>
        </w:tc>
        <w:tc>
          <w:tcPr>
            <w:tcW w:w="2835" w:type="dxa"/>
            <w:vAlign w:val="center"/>
          </w:tcPr>
          <w:p w14:paraId="2BBF779F" w14:textId="77777777" w:rsidR="008143D9" w:rsidRPr="00AC3044" w:rsidRDefault="008143D9" w:rsidP="005A428D">
            <w:pPr>
              <w:rPr>
                <w:rFonts w:eastAsia="SimSun"/>
              </w:rPr>
            </w:pPr>
            <w:r w:rsidRPr="00AC3044">
              <w:rPr>
                <w:rFonts w:eastAsia="SimSun"/>
              </w:rPr>
              <w:t>В/в, в течение 2 часов</w:t>
            </w:r>
          </w:p>
        </w:tc>
      </w:tr>
      <w:tr w:rsidR="008143D9" w:rsidRPr="00AC3044" w14:paraId="06078457" w14:textId="77777777" w:rsidTr="005A428D">
        <w:trPr>
          <w:cantSplit/>
          <w:trHeight w:val="20"/>
        </w:trPr>
        <w:tc>
          <w:tcPr>
            <w:tcW w:w="709" w:type="dxa"/>
            <w:vMerge/>
            <w:textDirection w:val="btLr"/>
          </w:tcPr>
          <w:p w14:paraId="6152274B" w14:textId="77777777" w:rsidR="008143D9" w:rsidRPr="00AC3044" w:rsidRDefault="008143D9" w:rsidP="005A428D">
            <w:pPr>
              <w:rPr>
                <w:rFonts w:eastAsia="SimSun"/>
              </w:rPr>
            </w:pPr>
          </w:p>
        </w:tc>
        <w:tc>
          <w:tcPr>
            <w:tcW w:w="2410" w:type="dxa"/>
            <w:vAlign w:val="center"/>
          </w:tcPr>
          <w:p w14:paraId="27BA648E" w14:textId="77777777" w:rsidR="008143D9" w:rsidRPr="00AC3044" w:rsidRDefault="008143D9" w:rsidP="005A428D">
            <w:pPr>
              <w:rPr>
                <w:rFonts w:eastAsia="SimSun"/>
              </w:rPr>
            </w:pPr>
            <w:r w:rsidRPr="00AC3044">
              <w:rPr>
                <w:rFonts w:eastAsia="SimSun"/>
              </w:rPr>
              <w:t>Тоцилизумаб</w:t>
            </w:r>
          </w:p>
        </w:tc>
        <w:tc>
          <w:tcPr>
            <w:tcW w:w="1276" w:type="dxa"/>
            <w:vAlign w:val="center"/>
          </w:tcPr>
          <w:p w14:paraId="34B05C2D" w14:textId="77777777" w:rsidR="008143D9" w:rsidRPr="00AC3044" w:rsidRDefault="008143D9" w:rsidP="005A428D">
            <w:pPr>
              <w:rPr>
                <w:rFonts w:eastAsia="SimSun"/>
              </w:rPr>
            </w:pPr>
            <w:r w:rsidRPr="00AC3044">
              <w:rPr>
                <w:rFonts w:eastAsia="SimSun"/>
              </w:rPr>
              <w:t>8 мг/кг</w:t>
            </w:r>
          </w:p>
        </w:tc>
        <w:tc>
          <w:tcPr>
            <w:tcW w:w="1417" w:type="dxa"/>
            <w:vAlign w:val="center"/>
          </w:tcPr>
          <w:p w14:paraId="6CCCF3DA" w14:textId="77777777" w:rsidR="008143D9" w:rsidRPr="00AC3044" w:rsidRDefault="008143D9" w:rsidP="005A428D">
            <w:pPr>
              <w:rPr>
                <w:rFonts w:eastAsia="SimSun"/>
              </w:rPr>
            </w:pPr>
            <w:r w:rsidRPr="00AC3044">
              <w:rPr>
                <w:rFonts w:eastAsia="SimSun"/>
              </w:rPr>
              <w:t>8 мг/кг</w:t>
            </w:r>
          </w:p>
        </w:tc>
        <w:tc>
          <w:tcPr>
            <w:tcW w:w="1843" w:type="dxa"/>
            <w:vAlign w:val="center"/>
          </w:tcPr>
          <w:p w14:paraId="0DB3D34E" w14:textId="77777777" w:rsidR="008143D9" w:rsidRPr="00AC3044" w:rsidRDefault="008143D9" w:rsidP="005A428D">
            <w:pPr>
              <w:rPr>
                <w:rFonts w:eastAsia="SimSun"/>
              </w:rPr>
            </w:pPr>
            <w:r w:rsidRPr="00AC3044">
              <w:rPr>
                <w:rFonts w:eastAsia="SimSun"/>
              </w:rPr>
              <w:t>–1, +21</w:t>
            </w:r>
          </w:p>
        </w:tc>
        <w:tc>
          <w:tcPr>
            <w:tcW w:w="2835" w:type="dxa"/>
            <w:vAlign w:val="center"/>
          </w:tcPr>
          <w:p w14:paraId="46BE1A66" w14:textId="77777777" w:rsidR="008143D9" w:rsidRPr="00AC3044" w:rsidRDefault="008143D9" w:rsidP="005A428D">
            <w:pPr>
              <w:rPr>
                <w:rFonts w:eastAsia="SimSun"/>
              </w:rPr>
            </w:pPr>
            <w:r w:rsidRPr="00AC3044">
              <w:rPr>
                <w:rFonts w:eastAsia="SimSun"/>
              </w:rPr>
              <w:t>В/в, в течение 1 часа</w:t>
            </w:r>
          </w:p>
        </w:tc>
      </w:tr>
      <w:tr w:rsidR="008143D9" w:rsidRPr="00AC3044" w14:paraId="5F069AF7" w14:textId="77777777" w:rsidTr="005A428D">
        <w:trPr>
          <w:cantSplit/>
          <w:trHeight w:val="20"/>
        </w:trPr>
        <w:tc>
          <w:tcPr>
            <w:tcW w:w="709" w:type="dxa"/>
            <w:vMerge/>
            <w:textDirection w:val="btLr"/>
          </w:tcPr>
          <w:p w14:paraId="696CA371" w14:textId="77777777" w:rsidR="008143D9" w:rsidRPr="00AC3044" w:rsidRDefault="008143D9" w:rsidP="005A428D">
            <w:pPr>
              <w:rPr>
                <w:rFonts w:eastAsia="SimSun"/>
              </w:rPr>
            </w:pPr>
          </w:p>
        </w:tc>
        <w:tc>
          <w:tcPr>
            <w:tcW w:w="2410" w:type="dxa"/>
            <w:vAlign w:val="center"/>
          </w:tcPr>
          <w:p w14:paraId="07C71BD8" w14:textId="77777777" w:rsidR="008143D9" w:rsidRPr="00AC3044" w:rsidRDefault="008143D9" w:rsidP="005A428D">
            <w:pPr>
              <w:rPr>
                <w:rFonts w:eastAsia="SimSun"/>
              </w:rPr>
            </w:pPr>
            <w:r w:rsidRPr="00AC3044">
              <w:rPr>
                <w:rFonts w:eastAsia="SimSun"/>
              </w:rPr>
              <w:t>Абатацепт1</w:t>
            </w:r>
          </w:p>
        </w:tc>
        <w:tc>
          <w:tcPr>
            <w:tcW w:w="1276" w:type="dxa"/>
            <w:vAlign w:val="center"/>
          </w:tcPr>
          <w:p w14:paraId="7C83CF42" w14:textId="77777777" w:rsidR="008143D9" w:rsidRPr="00AC3044" w:rsidRDefault="008143D9" w:rsidP="005A428D">
            <w:pPr>
              <w:rPr>
                <w:rFonts w:eastAsia="SimSun"/>
              </w:rPr>
            </w:pPr>
            <w:r w:rsidRPr="00AC3044">
              <w:rPr>
                <w:rFonts w:eastAsia="SimSun"/>
              </w:rPr>
              <w:t>10 мг/кг</w:t>
            </w:r>
          </w:p>
        </w:tc>
        <w:tc>
          <w:tcPr>
            <w:tcW w:w="1417" w:type="dxa"/>
            <w:vAlign w:val="center"/>
          </w:tcPr>
          <w:p w14:paraId="67B3141B" w14:textId="77777777" w:rsidR="008143D9" w:rsidRPr="00AC3044" w:rsidRDefault="008143D9" w:rsidP="005A428D">
            <w:pPr>
              <w:rPr>
                <w:rFonts w:eastAsia="SimSun"/>
              </w:rPr>
            </w:pPr>
            <w:r w:rsidRPr="00AC3044">
              <w:rPr>
                <w:rFonts w:eastAsia="SimSun"/>
              </w:rPr>
              <w:t>40 мг/кг</w:t>
            </w:r>
          </w:p>
        </w:tc>
        <w:tc>
          <w:tcPr>
            <w:tcW w:w="1843" w:type="dxa"/>
            <w:vAlign w:val="center"/>
          </w:tcPr>
          <w:p w14:paraId="5C1736D5" w14:textId="77777777" w:rsidR="008143D9" w:rsidRPr="00AC3044" w:rsidRDefault="008143D9" w:rsidP="005A428D">
            <w:pPr>
              <w:rPr>
                <w:rFonts w:eastAsia="SimSun"/>
              </w:rPr>
            </w:pPr>
            <w:r w:rsidRPr="00AC3044">
              <w:rPr>
                <w:rFonts w:eastAsia="SimSun"/>
              </w:rPr>
              <w:t>–1,+7,+14,+28</w:t>
            </w:r>
          </w:p>
        </w:tc>
        <w:tc>
          <w:tcPr>
            <w:tcW w:w="2835" w:type="dxa"/>
            <w:vAlign w:val="center"/>
          </w:tcPr>
          <w:p w14:paraId="019F8038" w14:textId="77777777" w:rsidR="008143D9" w:rsidRPr="00AC3044" w:rsidRDefault="008143D9" w:rsidP="005A428D">
            <w:pPr>
              <w:rPr>
                <w:rFonts w:eastAsia="SimSun"/>
              </w:rPr>
            </w:pPr>
            <w:r w:rsidRPr="00AC3044">
              <w:rPr>
                <w:rFonts w:eastAsia="SimSun"/>
              </w:rPr>
              <w:t>В/в, в течение 30 мин</w:t>
            </w:r>
          </w:p>
        </w:tc>
      </w:tr>
      <w:tr w:rsidR="008143D9" w:rsidRPr="00AC3044" w14:paraId="4F07AAF5" w14:textId="77777777" w:rsidTr="005A428D">
        <w:trPr>
          <w:cantSplit/>
          <w:trHeight w:val="1797"/>
        </w:trPr>
        <w:tc>
          <w:tcPr>
            <w:tcW w:w="709" w:type="dxa"/>
            <w:textDirection w:val="btLr"/>
            <w:vAlign w:val="center"/>
          </w:tcPr>
          <w:p w14:paraId="1B73DF88" w14:textId="77777777" w:rsidR="008143D9" w:rsidRPr="00AC3044" w:rsidRDefault="008143D9" w:rsidP="005A428D">
            <w:pPr>
              <w:rPr>
                <w:rFonts w:eastAsia="SimSun"/>
              </w:rPr>
            </w:pPr>
            <w:r w:rsidRPr="00AC3044">
              <w:rPr>
                <w:rFonts w:eastAsia="SimSun"/>
              </w:rPr>
              <w:t>Ex vivo манипуляция  с трансплантатом</w:t>
            </w:r>
          </w:p>
        </w:tc>
        <w:tc>
          <w:tcPr>
            <w:tcW w:w="2410" w:type="dxa"/>
            <w:vAlign w:val="center"/>
          </w:tcPr>
          <w:p w14:paraId="475335A1" w14:textId="77777777" w:rsidR="008143D9" w:rsidRPr="00AC3044" w:rsidRDefault="008143D9" w:rsidP="005A428D">
            <w:pPr>
              <w:rPr>
                <w:rFonts w:eastAsia="SimSun"/>
              </w:rPr>
            </w:pPr>
            <w:r w:rsidRPr="00AC3044">
              <w:rPr>
                <w:rFonts w:eastAsia="SimSun"/>
              </w:rPr>
              <w:t>Комплексная услуга TCRαβ/CD19 деплеция</w:t>
            </w:r>
          </w:p>
        </w:tc>
        <w:tc>
          <w:tcPr>
            <w:tcW w:w="1276" w:type="dxa"/>
            <w:vAlign w:val="center"/>
          </w:tcPr>
          <w:p w14:paraId="5E3D376E" w14:textId="77777777" w:rsidR="008143D9" w:rsidRPr="00AC3044" w:rsidRDefault="008143D9" w:rsidP="005A428D">
            <w:pPr>
              <w:rPr>
                <w:rFonts w:eastAsia="SimSun"/>
              </w:rPr>
            </w:pPr>
            <w:r w:rsidRPr="00AC3044">
              <w:rPr>
                <w:rFonts w:eastAsia="SimSun"/>
              </w:rPr>
              <w:t>–</w:t>
            </w:r>
          </w:p>
        </w:tc>
        <w:tc>
          <w:tcPr>
            <w:tcW w:w="1417" w:type="dxa"/>
            <w:vAlign w:val="center"/>
          </w:tcPr>
          <w:p w14:paraId="6D845DE9" w14:textId="77777777" w:rsidR="008143D9" w:rsidRPr="00AC3044" w:rsidRDefault="008143D9" w:rsidP="005A428D">
            <w:pPr>
              <w:rPr>
                <w:rFonts w:eastAsia="SimSun"/>
              </w:rPr>
            </w:pPr>
            <w:r w:rsidRPr="00AC3044">
              <w:rPr>
                <w:rFonts w:eastAsia="SimSun"/>
              </w:rPr>
              <w:t>–</w:t>
            </w:r>
          </w:p>
        </w:tc>
        <w:tc>
          <w:tcPr>
            <w:tcW w:w="1843" w:type="dxa"/>
            <w:vAlign w:val="center"/>
          </w:tcPr>
          <w:p w14:paraId="0A13A384" w14:textId="77777777" w:rsidR="008143D9" w:rsidRPr="00AC3044" w:rsidRDefault="008143D9" w:rsidP="005A428D">
            <w:pPr>
              <w:rPr>
                <w:rFonts w:eastAsia="SimSun"/>
              </w:rPr>
            </w:pPr>
            <w:r w:rsidRPr="00AC3044">
              <w:rPr>
                <w:rFonts w:eastAsia="SimSun"/>
              </w:rPr>
              <w:t>0</w:t>
            </w:r>
          </w:p>
        </w:tc>
        <w:tc>
          <w:tcPr>
            <w:tcW w:w="2835" w:type="dxa"/>
            <w:vAlign w:val="center"/>
          </w:tcPr>
          <w:p w14:paraId="2E74B9C6" w14:textId="77777777" w:rsidR="008143D9" w:rsidRPr="00AC3044" w:rsidRDefault="008143D9" w:rsidP="005A428D">
            <w:pPr>
              <w:rPr>
                <w:rFonts w:eastAsia="SimSun"/>
              </w:rPr>
            </w:pPr>
            <w:r w:rsidRPr="00AC3044">
              <w:rPr>
                <w:rFonts w:eastAsia="SimSun"/>
              </w:rPr>
              <w:t>-</w:t>
            </w:r>
          </w:p>
        </w:tc>
      </w:tr>
      <w:tr w:rsidR="008143D9" w:rsidRPr="00AC3044" w14:paraId="5FB6AED0" w14:textId="77777777" w:rsidTr="005A428D">
        <w:trPr>
          <w:trHeight w:val="20"/>
        </w:trPr>
        <w:tc>
          <w:tcPr>
            <w:tcW w:w="10490" w:type="dxa"/>
            <w:gridSpan w:val="6"/>
          </w:tcPr>
          <w:p w14:paraId="74366486" w14:textId="77777777" w:rsidR="008143D9" w:rsidRPr="00AC3044" w:rsidRDefault="008143D9" w:rsidP="005A428D">
            <w:pPr>
              <w:rPr>
                <w:rFonts w:eastAsia="SimSun"/>
              </w:rPr>
            </w:pPr>
            <w:r w:rsidRPr="00AC3044">
              <w:rPr>
                <w:rFonts w:eastAsia="SimSun"/>
              </w:rPr>
              <w:t>1 Раствор абатацепта нельзя использовать с оборудованием, имеющим в своём составе силикон.  Содержимое одного флакона растворяют в 10 мл воды для инъекций, используя одноразовый бессиликоновый шприц, имеющийся в комплекте с препаратом. Полученный концентрат немедленно разбавляют 0.9% раствором натрия хлорида для инъекций для получения инфузионного раствора, который немедленно вводится в/в за 30мин через инфузионную систему.  Абатацепт нельзя вводить одновременно с другими препаратами через одну инфузионную систему.</w:t>
            </w:r>
          </w:p>
          <w:p w14:paraId="65BB5B9E" w14:textId="77777777" w:rsidR="008143D9" w:rsidRPr="00AC3044" w:rsidRDefault="008143D9" w:rsidP="005A428D">
            <w:pPr>
              <w:rPr>
                <w:rFonts w:eastAsia="SimSun"/>
              </w:rPr>
            </w:pPr>
          </w:p>
        </w:tc>
      </w:tr>
    </w:tbl>
    <w:p w14:paraId="7E5D4969" w14:textId="77777777" w:rsidR="008143D9" w:rsidRDefault="008143D9" w:rsidP="008143D9">
      <w:pPr>
        <w:rPr>
          <w:rFonts w:eastAsia="SimSun"/>
        </w:rPr>
      </w:pPr>
      <w:bookmarkStart w:id="203" w:name="_Toc44401246"/>
    </w:p>
    <w:p w14:paraId="5BD637E8" w14:textId="77777777" w:rsidR="008143D9" w:rsidRPr="00C07B2E" w:rsidRDefault="008143D9" w:rsidP="008143D9">
      <w:pPr>
        <w:rPr>
          <w:rFonts w:eastAsia="SimSun"/>
        </w:rPr>
      </w:pPr>
      <w:r>
        <w:rPr>
          <w:rFonts w:eastAsia="SimSun"/>
        </w:rPr>
        <w:t>Таблица</w:t>
      </w:r>
      <w:r w:rsidRPr="00C07B2E">
        <w:rPr>
          <w:rFonts w:eastAsia="SimSun"/>
        </w:rPr>
        <w:t xml:space="preserve"> </w:t>
      </w:r>
      <w:r>
        <w:rPr>
          <w:rFonts w:eastAsia="SimSun"/>
        </w:rPr>
        <w:t>5.</w:t>
      </w:r>
      <w:r w:rsidRPr="00C07B2E">
        <w:rPr>
          <w:rFonts w:eastAsia="SimSun"/>
        </w:rPr>
        <w:t>4.4.  – CD34+ ("boost")</w:t>
      </w:r>
      <w:bookmarkEnd w:id="203"/>
    </w:p>
    <w:p w14:paraId="442B9560" w14:textId="77777777" w:rsidR="008143D9" w:rsidRPr="00C07B2E" w:rsidRDefault="008143D9" w:rsidP="008143D9">
      <w:pPr>
        <w:rPr>
          <w:rFonts w:eastAsia="SimSun"/>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843"/>
        <w:gridCol w:w="1843"/>
        <w:gridCol w:w="1417"/>
        <w:gridCol w:w="1843"/>
        <w:gridCol w:w="2835"/>
      </w:tblGrid>
      <w:tr w:rsidR="008143D9" w:rsidRPr="00AC3044" w14:paraId="433487CB" w14:textId="77777777" w:rsidTr="005A428D">
        <w:trPr>
          <w:cantSplit/>
          <w:trHeight w:val="20"/>
          <w:tblHeader/>
        </w:trPr>
        <w:tc>
          <w:tcPr>
            <w:tcW w:w="709" w:type="dxa"/>
          </w:tcPr>
          <w:p w14:paraId="570E5266" w14:textId="77777777" w:rsidR="008143D9" w:rsidRPr="00AC3044" w:rsidRDefault="008143D9" w:rsidP="005A428D">
            <w:pPr>
              <w:rPr>
                <w:rFonts w:eastAsia="SimSun"/>
              </w:rPr>
            </w:pPr>
          </w:p>
        </w:tc>
        <w:tc>
          <w:tcPr>
            <w:tcW w:w="1843" w:type="dxa"/>
            <w:vAlign w:val="center"/>
          </w:tcPr>
          <w:p w14:paraId="5B7BFAAE" w14:textId="77777777" w:rsidR="008143D9" w:rsidRPr="00AC3044" w:rsidRDefault="008143D9" w:rsidP="005A428D">
            <w:pPr>
              <w:rPr>
                <w:rFonts w:eastAsia="SimSun"/>
              </w:rPr>
            </w:pPr>
            <w:r w:rsidRPr="00AC3044">
              <w:rPr>
                <w:rFonts w:eastAsia="SimSun"/>
              </w:rPr>
              <w:t>Препарат</w:t>
            </w:r>
          </w:p>
        </w:tc>
        <w:tc>
          <w:tcPr>
            <w:tcW w:w="1843" w:type="dxa"/>
            <w:vAlign w:val="center"/>
          </w:tcPr>
          <w:p w14:paraId="3E4CC711" w14:textId="77777777" w:rsidR="008143D9" w:rsidRPr="00AC3044" w:rsidRDefault="008143D9" w:rsidP="005A428D">
            <w:pPr>
              <w:rPr>
                <w:rFonts w:eastAsia="SimSun"/>
              </w:rPr>
            </w:pPr>
            <w:r w:rsidRPr="00AC3044">
              <w:rPr>
                <w:rFonts w:eastAsia="SimSun"/>
              </w:rPr>
              <w:t>Суточная доза</w:t>
            </w:r>
          </w:p>
        </w:tc>
        <w:tc>
          <w:tcPr>
            <w:tcW w:w="1417" w:type="dxa"/>
            <w:vAlign w:val="center"/>
          </w:tcPr>
          <w:p w14:paraId="227DB98F" w14:textId="77777777" w:rsidR="008143D9" w:rsidRPr="00AC3044" w:rsidRDefault="008143D9" w:rsidP="005A428D">
            <w:pPr>
              <w:rPr>
                <w:rFonts w:eastAsia="SimSun"/>
              </w:rPr>
            </w:pPr>
            <w:r w:rsidRPr="00AC3044">
              <w:rPr>
                <w:rFonts w:eastAsia="SimSun"/>
              </w:rPr>
              <w:t>Курсовая доза</w:t>
            </w:r>
          </w:p>
        </w:tc>
        <w:tc>
          <w:tcPr>
            <w:tcW w:w="1843" w:type="dxa"/>
            <w:vAlign w:val="center"/>
          </w:tcPr>
          <w:p w14:paraId="4C446962" w14:textId="77777777" w:rsidR="008143D9" w:rsidRPr="00AC3044" w:rsidRDefault="008143D9" w:rsidP="005A428D">
            <w:pPr>
              <w:rPr>
                <w:rFonts w:eastAsia="SimSun"/>
              </w:rPr>
            </w:pPr>
            <w:r w:rsidRPr="00AC3044">
              <w:rPr>
                <w:rFonts w:eastAsia="SimSun"/>
              </w:rPr>
              <w:t>Дни введения</w:t>
            </w:r>
          </w:p>
        </w:tc>
        <w:tc>
          <w:tcPr>
            <w:tcW w:w="2835" w:type="dxa"/>
            <w:vAlign w:val="center"/>
          </w:tcPr>
          <w:p w14:paraId="778BA48C"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7CCAF706" w14:textId="77777777" w:rsidTr="005A428D">
        <w:trPr>
          <w:cantSplit/>
          <w:trHeight w:val="1831"/>
        </w:trPr>
        <w:tc>
          <w:tcPr>
            <w:tcW w:w="709" w:type="dxa"/>
            <w:textDirection w:val="btLr"/>
            <w:vAlign w:val="center"/>
          </w:tcPr>
          <w:p w14:paraId="514A572E" w14:textId="77777777" w:rsidR="008143D9" w:rsidRPr="00AC3044" w:rsidRDefault="008143D9" w:rsidP="005A428D">
            <w:pPr>
              <w:rPr>
                <w:rFonts w:eastAsia="SimSun"/>
              </w:rPr>
            </w:pPr>
            <w:r w:rsidRPr="00AC3044">
              <w:rPr>
                <w:rFonts w:eastAsia="SimSun"/>
              </w:rPr>
              <w:t>Кондиционирование</w:t>
            </w:r>
          </w:p>
        </w:tc>
        <w:tc>
          <w:tcPr>
            <w:tcW w:w="9781" w:type="dxa"/>
            <w:gridSpan w:val="5"/>
            <w:vAlign w:val="center"/>
          </w:tcPr>
          <w:p w14:paraId="2BFF50C9" w14:textId="77777777" w:rsidR="008143D9" w:rsidRPr="00AC3044" w:rsidRDefault="008143D9" w:rsidP="005A428D">
            <w:pPr>
              <w:rPr>
                <w:rFonts w:eastAsia="SimSun"/>
              </w:rPr>
            </w:pPr>
            <w:r w:rsidRPr="00AC3044">
              <w:rPr>
                <w:rFonts w:eastAsia="SimSun"/>
              </w:rPr>
              <w:t>Без предварительного кондиционирования</w:t>
            </w:r>
          </w:p>
        </w:tc>
      </w:tr>
      <w:tr w:rsidR="008143D9" w:rsidRPr="00AC3044" w14:paraId="0E0771A6" w14:textId="77777777" w:rsidTr="005A428D">
        <w:trPr>
          <w:cantSplit/>
          <w:trHeight w:val="1688"/>
        </w:trPr>
        <w:tc>
          <w:tcPr>
            <w:tcW w:w="709" w:type="dxa"/>
            <w:vMerge w:val="restart"/>
            <w:textDirection w:val="btLr"/>
            <w:vAlign w:val="center"/>
          </w:tcPr>
          <w:p w14:paraId="11739060" w14:textId="77777777" w:rsidR="008143D9" w:rsidRPr="00AC3044" w:rsidRDefault="008143D9" w:rsidP="005A428D">
            <w:pPr>
              <w:rPr>
                <w:rFonts w:eastAsia="SimSun"/>
              </w:rPr>
            </w:pPr>
            <w:r w:rsidRPr="00AC3044">
              <w:rPr>
                <w:rFonts w:eastAsia="SimSun"/>
              </w:rPr>
              <w:t>Профилактика РТПХ</w:t>
            </w:r>
          </w:p>
        </w:tc>
        <w:tc>
          <w:tcPr>
            <w:tcW w:w="1843" w:type="dxa"/>
            <w:vAlign w:val="center"/>
          </w:tcPr>
          <w:p w14:paraId="19767BA2" w14:textId="77777777" w:rsidR="008143D9" w:rsidRPr="00AC3044" w:rsidRDefault="008143D9" w:rsidP="005A428D">
            <w:pPr>
              <w:rPr>
                <w:rFonts w:eastAsia="SimSun"/>
              </w:rPr>
            </w:pPr>
            <w:r w:rsidRPr="00AC3044">
              <w:rPr>
                <w:rFonts w:eastAsia="SimSun"/>
              </w:rPr>
              <w:t>Циклоспорин</w:t>
            </w:r>
          </w:p>
        </w:tc>
        <w:tc>
          <w:tcPr>
            <w:tcW w:w="1843" w:type="dxa"/>
            <w:vAlign w:val="center"/>
          </w:tcPr>
          <w:p w14:paraId="7171B7A3" w14:textId="77777777" w:rsidR="008143D9" w:rsidRPr="00AC3044" w:rsidRDefault="008143D9" w:rsidP="005A428D">
            <w:pPr>
              <w:rPr>
                <w:rFonts w:eastAsia="SimSun"/>
              </w:rPr>
            </w:pPr>
            <w:r w:rsidRPr="00AC3044">
              <w:rPr>
                <w:rFonts w:eastAsia="SimSun"/>
              </w:rPr>
              <w:t>3 мг/кг</w:t>
            </w:r>
          </w:p>
        </w:tc>
        <w:tc>
          <w:tcPr>
            <w:tcW w:w="1417" w:type="dxa"/>
            <w:vAlign w:val="center"/>
          </w:tcPr>
          <w:p w14:paraId="329ED47D" w14:textId="77777777" w:rsidR="008143D9" w:rsidRPr="00AC3044" w:rsidRDefault="008143D9" w:rsidP="005A428D">
            <w:pPr>
              <w:rPr>
                <w:rFonts w:eastAsia="SimSun"/>
              </w:rPr>
            </w:pPr>
            <w:r w:rsidRPr="00AC3044">
              <w:rPr>
                <w:rFonts w:eastAsia="SimSun"/>
              </w:rPr>
              <w:t>–</w:t>
            </w:r>
          </w:p>
        </w:tc>
        <w:tc>
          <w:tcPr>
            <w:tcW w:w="1843" w:type="dxa"/>
            <w:vAlign w:val="center"/>
          </w:tcPr>
          <w:p w14:paraId="124A8506" w14:textId="77777777" w:rsidR="008143D9" w:rsidRPr="00AC3044" w:rsidRDefault="008143D9" w:rsidP="005A428D">
            <w:pPr>
              <w:rPr>
                <w:rFonts w:eastAsia="SimSun"/>
              </w:rPr>
            </w:pPr>
            <w:r w:rsidRPr="00AC3044">
              <w:rPr>
                <w:rFonts w:eastAsia="SimSun"/>
              </w:rPr>
              <w:t>С +5 дня по +90 день затем постепенное снижение к +180 дню</w:t>
            </w:r>
          </w:p>
        </w:tc>
        <w:tc>
          <w:tcPr>
            <w:tcW w:w="2835" w:type="dxa"/>
            <w:vAlign w:val="center"/>
          </w:tcPr>
          <w:p w14:paraId="4FDDE0D7" w14:textId="77777777" w:rsidR="008143D9" w:rsidRPr="00AC3044" w:rsidRDefault="008143D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72099">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8143D9" w:rsidRPr="00AC3044" w14:paraId="5B778090" w14:textId="77777777" w:rsidTr="005A428D">
        <w:trPr>
          <w:cantSplit/>
          <w:trHeight w:val="20"/>
        </w:trPr>
        <w:tc>
          <w:tcPr>
            <w:tcW w:w="709" w:type="dxa"/>
            <w:vMerge/>
            <w:textDirection w:val="btLr"/>
          </w:tcPr>
          <w:p w14:paraId="4E9FA31A" w14:textId="77777777" w:rsidR="008143D9" w:rsidRPr="00AC3044" w:rsidRDefault="008143D9" w:rsidP="005A428D">
            <w:pPr>
              <w:rPr>
                <w:rFonts w:eastAsia="SimSun"/>
              </w:rPr>
            </w:pPr>
          </w:p>
        </w:tc>
        <w:tc>
          <w:tcPr>
            <w:tcW w:w="1843" w:type="dxa"/>
            <w:vAlign w:val="center"/>
          </w:tcPr>
          <w:p w14:paraId="5D410651" w14:textId="77777777" w:rsidR="008143D9" w:rsidRPr="00AC3044" w:rsidRDefault="008143D9" w:rsidP="005A428D">
            <w:pPr>
              <w:rPr>
                <w:rFonts w:eastAsia="SimSun"/>
              </w:rPr>
            </w:pPr>
            <w:r w:rsidRPr="00AC3044">
              <w:rPr>
                <w:rFonts w:eastAsia="SimSun"/>
              </w:rPr>
              <w:t>Микофенолата мофетил</w:t>
            </w:r>
          </w:p>
        </w:tc>
        <w:tc>
          <w:tcPr>
            <w:tcW w:w="1843" w:type="dxa"/>
            <w:vAlign w:val="center"/>
          </w:tcPr>
          <w:p w14:paraId="229C4485" w14:textId="77777777" w:rsidR="008143D9" w:rsidRPr="00AC3044" w:rsidRDefault="008143D9" w:rsidP="005A428D">
            <w:pPr>
              <w:rPr>
                <w:rFonts w:eastAsia="SimSun"/>
              </w:rPr>
            </w:pPr>
            <w:r w:rsidRPr="00AC3044">
              <w:rPr>
                <w:rFonts w:eastAsia="SimSun"/>
              </w:rPr>
              <w:t>30 мг/кг</w:t>
            </w:r>
          </w:p>
        </w:tc>
        <w:tc>
          <w:tcPr>
            <w:tcW w:w="1417" w:type="dxa"/>
            <w:vAlign w:val="center"/>
          </w:tcPr>
          <w:p w14:paraId="5FFD55CA" w14:textId="77777777" w:rsidR="008143D9" w:rsidRPr="00AC3044" w:rsidRDefault="008143D9" w:rsidP="005A428D">
            <w:pPr>
              <w:rPr>
                <w:rFonts w:eastAsia="SimSun"/>
              </w:rPr>
            </w:pPr>
            <w:r w:rsidRPr="00AC3044">
              <w:rPr>
                <w:rFonts w:eastAsia="SimSun"/>
              </w:rPr>
              <w:t>–</w:t>
            </w:r>
          </w:p>
        </w:tc>
        <w:tc>
          <w:tcPr>
            <w:tcW w:w="1843" w:type="dxa"/>
            <w:vAlign w:val="center"/>
          </w:tcPr>
          <w:p w14:paraId="14D11E6C" w14:textId="77777777" w:rsidR="008143D9" w:rsidRPr="00AC3044" w:rsidRDefault="008143D9" w:rsidP="005A428D">
            <w:pPr>
              <w:rPr>
                <w:rFonts w:eastAsia="SimSun"/>
              </w:rPr>
            </w:pPr>
            <w:r w:rsidRPr="00AC3044">
              <w:rPr>
                <w:rFonts w:eastAsia="SimSun"/>
              </w:rPr>
              <w:t>С +5 по +90 день</w:t>
            </w:r>
          </w:p>
        </w:tc>
        <w:tc>
          <w:tcPr>
            <w:tcW w:w="2835" w:type="dxa"/>
            <w:vAlign w:val="center"/>
          </w:tcPr>
          <w:p w14:paraId="3588C843" w14:textId="77777777" w:rsidR="008143D9" w:rsidRPr="00AC3044" w:rsidRDefault="008143D9" w:rsidP="005A428D">
            <w:pPr>
              <w:rPr>
                <w:rFonts w:eastAsia="SimSun"/>
              </w:rPr>
            </w:pPr>
            <w:r w:rsidRPr="00AC3044">
              <w:rPr>
                <w:rFonts w:eastAsia="SimSun"/>
              </w:rPr>
              <w:t xml:space="preserve">Внутрь, суммарная суточная доза разделяется на 2- 4 приема (не более 3г/сут).  </w:t>
            </w:r>
          </w:p>
        </w:tc>
      </w:tr>
      <w:tr w:rsidR="008143D9" w:rsidRPr="00AC3044" w14:paraId="41832C40" w14:textId="77777777" w:rsidTr="005A428D">
        <w:trPr>
          <w:cantSplit/>
          <w:trHeight w:val="1797"/>
        </w:trPr>
        <w:tc>
          <w:tcPr>
            <w:tcW w:w="709" w:type="dxa"/>
            <w:textDirection w:val="btLr"/>
            <w:vAlign w:val="center"/>
          </w:tcPr>
          <w:p w14:paraId="128C066E" w14:textId="77777777" w:rsidR="008143D9" w:rsidRPr="00AC3044" w:rsidRDefault="008143D9" w:rsidP="005A428D">
            <w:pPr>
              <w:rPr>
                <w:rFonts w:eastAsia="SimSun"/>
              </w:rPr>
            </w:pPr>
            <w:r w:rsidRPr="00AC3044">
              <w:rPr>
                <w:rFonts w:eastAsia="SimSun"/>
              </w:rPr>
              <w:t>Ex vivo манипуляция  с трансплантатом</w:t>
            </w:r>
          </w:p>
        </w:tc>
        <w:tc>
          <w:tcPr>
            <w:tcW w:w="1843" w:type="dxa"/>
            <w:vAlign w:val="center"/>
          </w:tcPr>
          <w:p w14:paraId="20DF75F1" w14:textId="77777777" w:rsidR="008143D9" w:rsidRPr="00AC3044" w:rsidRDefault="008143D9" w:rsidP="005A428D">
            <w:pPr>
              <w:rPr>
                <w:rFonts w:eastAsia="SimSun"/>
              </w:rPr>
            </w:pPr>
            <w:r w:rsidRPr="00AC3044">
              <w:rPr>
                <w:rFonts w:eastAsia="SimSun"/>
              </w:rPr>
              <w:t>CD34+ селекция (A18.05.017.004)</w:t>
            </w:r>
          </w:p>
        </w:tc>
        <w:tc>
          <w:tcPr>
            <w:tcW w:w="1843" w:type="dxa"/>
            <w:vAlign w:val="center"/>
          </w:tcPr>
          <w:p w14:paraId="37BC5912" w14:textId="77777777" w:rsidR="008143D9" w:rsidRPr="00AC3044" w:rsidRDefault="008143D9" w:rsidP="005A428D">
            <w:pPr>
              <w:rPr>
                <w:rFonts w:eastAsia="SimSun"/>
              </w:rPr>
            </w:pPr>
            <w:r w:rsidRPr="00AC3044">
              <w:rPr>
                <w:rFonts w:eastAsia="SimSun"/>
              </w:rPr>
              <w:t>–</w:t>
            </w:r>
          </w:p>
        </w:tc>
        <w:tc>
          <w:tcPr>
            <w:tcW w:w="1417" w:type="dxa"/>
            <w:vAlign w:val="center"/>
          </w:tcPr>
          <w:p w14:paraId="4FB1DC0F" w14:textId="77777777" w:rsidR="008143D9" w:rsidRPr="00AC3044" w:rsidRDefault="008143D9" w:rsidP="005A428D">
            <w:pPr>
              <w:rPr>
                <w:rFonts w:eastAsia="SimSun"/>
              </w:rPr>
            </w:pPr>
            <w:r w:rsidRPr="00AC3044">
              <w:rPr>
                <w:rFonts w:eastAsia="SimSun"/>
              </w:rPr>
              <w:t>–</w:t>
            </w:r>
          </w:p>
        </w:tc>
        <w:tc>
          <w:tcPr>
            <w:tcW w:w="1843" w:type="dxa"/>
            <w:vAlign w:val="center"/>
          </w:tcPr>
          <w:p w14:paraId="75540117" w14:textId="77777777" w:rsidR="008143D9" w:rsidRPr="00AC3044" w:rsidRDefault="008143D9" w:rsidP="005A428D">
            <w:pPr>
              <w:rPr>
                <w:rFonts w:eastAsia="SimSun"/>
              </w:rPr>
            </w:pPr>
            <w:r w:rsidRPr="00AC3044">
              <w:rPr>
                <w:rFonts w:eastAsia="SimSun"/>
              </w:rPr>
              <w:t>0</w:t>
            </w:r>
          </w:p>
        </w:tc>
        <w:tc>
          <w:tcPr>
            <w:tcW w:w="2835" w:type="dxa"/>
            <w:vAlign w:val="center"/>
          </w:tcPr>
          <w:p w14:paraId="32BAC0CC" w14:textId="77777777" w:rsidR="008143D9" w:rsidRPr="00AC3044" w:rsidRDefault="008143D9" w:rsidP="005A428D">
            <w:pPr>
              <w:rPr>
                <w:rFonts w:eastAsia="SimSun"/>
              </w:rPr>
            </w:pPr>
            <w:r w:rsidRPr="00AC3044">
              <w:rPr>
                <w:rFonts w:eastAsia="SimSun"/>
              </w:rPr>
              <w:t>–</w:t>
            </w:r>
          </w:p>
        </w:tc>
      </w:tr>
      <w:tr w:rsidR="008143D9" w:rsidRPr="00AC3044" w14:paraId="45017908" w14:textId="77777777" w:rsidTr="005A428D">
        <w:trPr>
          <w:cantSplit/>
          <w:trHeight w:val="1420"/>
        </w:trPr>
        <w:tc>
          <w:tcPr>
            <w:tcW w:w="709" w:type="dxa"/>
            <w:textDirection w:val="btLr"/>
            <w:vAlign w:val="center"/>
          </w:tcPr>
          <w:p w14:paraId="60455A6E" w14:textId="77777777" w:rsidR="008143D9" w:rsidRPr="00AC3044" w:rsidRDefault="008143D9" w:rsidP="005A428D">
            <w:pPr>
              <w:rPr>
                <w:rFonts w:eastAsia="SimSun"/>
              </w:rPr>
            </w:pPr>
            <w:r w:rsidRPr="00AC3044">
              <w:rPr>
                <w:rFonts w:eastAsia="SimSun"/>
              </w:rPr>
              <w:t>Сопроводительная терапия</w:t>
            </w:r>
          </w:p>
        </w:tc>
        <w:tc>
          <w:tcPr>
            <w:tcW w:w="1843" w:type="dxa"/>
            <w:vAlign w:val="center"/>
          </w:tcPr>
          <w:p w14:paraId="5FAB1D3A" w14:textId="77777777" w:rsidR="008143D9" w:rsidRPr="00AC3044" w:rsidRDefault="008143D9" w:rsidP="005A428D">
            <w:pPr>
              <w:rPr>
                <w:rFonts w:eastAsia="SimSun"/>
              </w:rPr>
            </w:pPr>
            <w:r w:rsidRPr="00AC3044">
              <w:rPr>
                <w:rFonts w:eastAsia="SimSun"/>
              </w:rPr>
              <w:t>Урсодезоксихолевая кислота</w:t>
            </w:r>
          </w:p>
        </w:tc>
        <w:tc>
          <w:tcPr>
            <w:tcW w:w="1843" w:type="dxa"/>
            <w:vAlign w:val="center"/>
          </w:tcPr>
          <w:p w14:paraId="428D3028" w14:textId="77777777" w:rsidR="008143D9" w:rsidRPr="00AC3044" w:rsidRDefault="008143D9" w:rsidP="005A428D">
            <w:pPr>
              <w:rPr>
                <w:rFonts w:eastAsia="SimSun"/>
              </w:rPr>
            </w:pPr>
            <w:r w:rsidRPr="00AC3044">
              <w:rPr>
                <w:rFonts w:eastAsia="SimSun"/>
              </w:rPr>
              <w:t>12 мг/кг</w:t>
            </w:r>
          </w:p>
        </w:tc>
        <w:tc>
          <w:tcPr>
            <w:tcW w:w="1417" w:type="dxa"/>
            <w:vAlign w:val="center"/>
          </w:tcPr>
          <w:p w14:paraId="3D7D5290" w14:textId="77777777" w:rsidR="008143D9" w:rsidRPr="00AC3044" w:rsidRDefault="008143D9" w:rsidP="005A428D">
            <w:pPr>
              <w:rPr>
                <w:rFonts w:eastAsia="SimSun"/>
              </w:rPr>
            </w:pPr>
            <w:r w:rsidRPr="00AC3044">
              <w:rPr>
                <w:rFonts w:eastAsia="SimSun"/>
              </w:rPr>
              <w:t>–</w:t>
            </w:r>
          </w:p>
        </w:tc>
        <w:tc>
          <w:tcPr>
            <w:tcW w:w="1843" w:type="dxa"/>
            <w:vAlign w:val="center"/>
          </w:tcPr>
          <w:p w14:paraId="0BD52499" w14:textId="77777777" w:rsidR="008143D9" w:rsidRPr="00AC3044" w:rsidRDefault="008143D9" w:rsidP="005A428D">
            <w:pPr>
              <w:rPr>
                <w:rFonts w:eastAsia="SimSun"/>
              </w:rPr>
            </w:pPr>
            <w:r w:rsidRPr="00AC3044">
              <w:rPr>
                <w:rFonts w:eastAsia="SimSun"/>
              </w:rPr>
              <w:t>С 0 по +180 день</w:t>
            </w:r>
          </w:p>
        </w:tc>
        <w:tc>
          <w:tcPr>
            <w:tcW w:w="2835" w:type="dxa"/>
            <w:vAlign w:val="center"/>
          </w:tcPr>
          <w:p w14:paraId="0AE9C399" w14:textId="77777777" w:rsidR="008143D9" w:rsidRPr="00AC3044" w:rsidRDefault="008143D9" w:rsidP="005A428D">
            <w:pPr>
              <w:rPr>
                <w:rFonts w:eastAsia="SimSun"/>
              </w:rPr>
            </w:pPr>
            <w:r w:rsidRPr="00AC3044">
              <w:rPr>
                <w:rFonts w:eastAsia="SimSun"/>
              </w:rPr>
              <w:t>Внутрь, суточная доза разделяется на 1–2 приема (вечер или день и вечер)</w:t>
            </w:r>
          </w:p>
        </w:tc>
      </w:tr>
    </w:tbl>
    <w:p w14:paraId="648D0770" w14:textId="77777777" w:rsidR="008143D9" w:rsidRPr="00C07B2E" w:rsidRDefault="008143D9" w:rsidP="008143D9">
      <w:pPr>
        <w:rPr>
          <w:rFonts w:eastAsia="SimSun"/>
        </w:rPr>
        <w:sectPr w:rsidR="008143D9" w:rsidRPr="00C07B2E" w:rsidSect="00980822">
          <w:type w:val="continuous"/>
          <w:pgSz w:w="11907" w:h="16839" w:code="9"/>
          <w:pgMar w:top="1134" w:right="850" w:bottom="1134" w:left="1701" w:header="709" w:footer="567" w:gutter="0"/>
          <w:cols w:space="708"/>
          <w:docGrid w:linePitch="360"/>
        </w:sectPr>
      </w:pPr>
    </w:p>
    <w:p w14:paraId="1163443C" w14:textId="77777777" w:rsidR="008143D9" w:rsidRDefault="008143D9" w:rsidP="008143D9">
      <w:pPr>
        <w:rPr>
          <w:rFonts w:eastAsia="SimSun"/>
        </w:rPr>
      </w:pPr>
      <w:bookmarkStart w:id="204" w:name="_Toc44401247"/>
    </w:p>
    <w:p w14:paraId="283D5E88" w14:textId="77777777" w:rsidR="008143D9" w:rsidRPr="000F445E" w:rsidRDefault="008143D9" w:rsidP="008143D9">
      <w:pPr>
        <w:rPr>
          <w:rFonts w:eastAsia="SimSun"/>
          <w:b/>
        </w:rPr>
      </w:pPr>
      <w:r>
        <w:rPr>
          <w:rFonts w:eastAsia="SimSun"/>
          <w:b/>
        </w:rPr>
        <w:t>6</w:t>
      </w:r>
      <w:r w:rsidRPr="000F445E">
        <w:rPr>
          <w:rFonts w:eastAsia="SimSun"/>
          <w:b/>
        </w:rPr>
        <w:t>.  Сопроводительная терапия</w:t>
      </w:r>
      <w:bookmarkEnd w:id="204"/>
    </w:p>
    <w:p w14:paraId="55604BBD" w14:textId="77777777" w:rsidR="008143D9" w:rsidRDefault="008143D9" w:rsidP="008143D9">
      <w:pPr>
        <w:rPr>
          <w:rFonts w:eastAsia="SimSun"/>
        </w:rPr>
      </w:pPr>
      <w:bookmarkStart w:id="205" w:name="_Toc44401249"/>
    </w:p>
    <w:bookmarkEnd w:id="205"/>
    <w:p w14:paraId="6A4684AC" w14:textId="77777777" w:rsidR="008143D9" w:rsidRPr="00C07B2E" w:rsidRDefault="008143D9" w:rsidP="008143D9">
      <w:pPr>
        <w:rPr>
          <w:rFonts w:eastAsia="SimSun"/>
        </w:rPr>
      </w:pPr>
      <w:r w:rsidRPr="00C07B2E">
        <w:rPr>
          <w:rFonts w:eastAsia="SimSun"/>
        </w:rPr>
        <w:t xml:space="preserve">Основные препараты для сопроводительной терапии и их варианты применения указаны в </w:t>
      </w:r>
      <w:r>
        <w:rPr>
          <w:rFonts w:eastAsia="SimSun"/>
        </w:rPr>
        <w:t>Таблице</w:t>
      </w:r>
      <w:r w:rsidRPr="00C07B2E">
        <w:rPr>
          <w:rFonts w:eastAsia="SimSun"/>
        </w:rPr>
        <w:t xml:space="preserve"> </w:t>
      </w:r>
      <w:r>
        <w:rPr>
          <w:rFonts w:eastAsia="SimSun"/>
        </w:rPr>
        <w:t>6</w:t>
      </w:r>
      <w:r w:rsidRPr="00C07B2E">
        <w:rPr>
          <w:rFonts w:eastAsia="SimSun"/>
        </w:rPr>
        <w:t>.1. Допускается использование как отдельных вариантнов так и их комбинаций.</w:t>
      </w:r>
    </w:p>
    <w:p w14:paraId="2E5CB3B8" w14:textId="77777777" w:rsidR="008143D9" w:rsidRPr="00C07B2E" w:rsidRDefault="008143D9" w:rsidP="008143D9">
      <w:pPr>
        <w:rPr>
          <w:rFonts w:eastAsia="SimSun"/>
        </w:rPr>
      </w:pPr>
    </w:p>
    <w:p w14:paraId="35676FA3" w14:textId="77777777" w:rsidR="008143D9" w:rsidRPr="000F445E" w:rsidRDefault="008143D9" w:rsidP="008143D9">
      <w:pPr>
        <w:rPr>
          <w:rFonts w:eastAsia="SimSun"/>
        </w:rPr>
      </w:pPr>
      <w:bookmarkStart w:id="206" w:name="_Toc44401250"/>
      <w:r w:rsidRPr="000F445E">
        <w:rPr>
          <w:rFonts w:eastAsia="SimSun"/>
        </w:rPr>
        <w:t xml:space="preserve">Таблица </w:t>
      </w:r>
      <w:r>
        <w:rPr>
          <w:rFonts w:eastAsia="SimSun"/>
        </w:rPr>
        <w:t>6</w:t>
      </w:r>
      <w:r w:rsidRPr="000F445E">
        <w:rPr>
          <w:rFonts w:eastAsia="SimSun"/>
        </w:rPr>
        <w:t>.1 Основные препараты для сопроводительной терапии и их варианты применения</w:t>
      </w:r>
      <w:bookmarkEnd w:id="206"/>
    </w:p>
    <w:p w14:paraId="5C32993A" w14:textId="77777777" w:rsidR="008143D9" w:rsidRPr="00C07B2E" w:rsidRDefault="008143D9" w:rsidP="008143D9">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
        <w:gridCol w:w="1952"/>
        <w:gridCol w:w="1350"/>
        <w:gridCol w:w="1002"/>
        <w:gridCol w:w="2427"/>
        <w:gridCol w:w="1697"/>
      </w:tblGrid>
      <w:tr w:rsidR="008143D9" w:rsidRPr="00AC3044" w14:paraId="12F4B467" w14:textId="77777777" w:rsidTr="005A428D">
        <w:trPr>
          <w:cantSplit/>
          <w:trHeight w:val="464"/>
        </w:trPr>
        <w:tc>
          <w:tcPr>
            <w:tcW w:w="168" w:type="pct"/>
            <w:tcBorders>
              <w:top w:val="single" w:sz="4" w:space="0" w:color="auto"/>
              <w:left w:val="single" w:sz="4" w:space="0" w:color="auto"/>
              <w:bottom w:val="single" w:sz="4" w:space="0" w:color="auto"/>
              <w:right w:val="single" w:sz="4" w:space="0" w:color="auto"/>
            </w:tcBorders>
            <w:vAlign w:val="center"/>
          </w:tcPr>
          <w:p w14:paraId="1C2D3E2F" w14:textId="77777777" w:rsidR="008143D9" w:rsidRPr="00AC3044" w:rsidRDefault="008143D9" w:rsidP="005A428D">
            <w:pPr>
              <w:rPr>
                <w:rFonts w:eastAsia="SimSun"/>
              </w:rPr>
            </w:pPr>
            <w:r w:rsidRPr="00AC3044">
              <w:rPr>
                <w:rFonts w:eastAsia="SimSun"/>
              </w:rPr>
              <w:t>Вариант</w:t>
            </w:r>
          </w:p>
        </w:tc>
        <w:tc>
          <w:tcPr>
            <w:tcW w:w="1133" w:type="pct"/>
            <w:tcBorders>
              <w:top w:val="single" w:sz="4" w:space="0" w:color="auto"/>
              <w:left w:val="single" w:sz="4" w:space="0" w:color="auto"/>
              <w:bottom w:val="single" w:sz="4" w:space="0" w:color="auto"/>
              <w:right w:val="single" w:sz="4" w:space="0" w:color="auto"/>
            </w:tcBorders>
            <w:vAlign w:val="center"/>
          </w:tcPr>
          <w:p w14:paraId="0EB74B12" w14:textId="77777777" w:rsidR="008143D9" w:rsidRPr="00AC3044" w:rsidRDefault="008143D9" w:rsidP="005A428D">
            <w:pPr>
              <w:rPr>
                <w:rFonts w:eastAsia="SimSun"/>
              </w:rPr>
            </w:pPr>
            <w:r w:rsidRPr="00AC3044">
              <w:rPr>
                <w:rFonts w:eastAsia="SimSun"/>
              </w:rPr>
              <w:t>Препарат</w:t>
            </w:r>
          </w:p>
        </w:tc>
        <w:tc>
          <w:tcPr>
            <w:tcW w:w="614" w:type="pct"/>
            <w:tcBorders>
              <w:top w:val="single" w:sz="4" w:space="0" w:color="auto"/>
              <w:left w:val="single" w:sz="4" w:space="0" w:color="auto"/>
              <w:bottom w:val="single" w:sz="4" w:space="0" w:color="auto"/>
              <w:right w:val="single" w:sz="4" w:space="0" w:color="auto"/>
            </w:tcBorders>
            <w:vAlign w:val="center"/>
          </w:tcPr>
          <w:p w14:paraId="28C7BBA5" w14:textId="77777777" w:rsidR="008143D9" w:rsidRPr="00AC3044" w:rsidRDefault="008143D9" w:rsidP="005A428D">
            <w:pPr>
              <w:rPr>
                <w:rFonts w:eastAsia="SimSun"/>
              </w:rPr>
            </w:pPr>
            <w:r w:rsidRPr="00AC3044">
              <w:rPr>
                <w:rFonts w:eastAsia="SimSun"/>
              </w:rPr>
              <w:t>Суточная доза</w:t>
            </w:r>
          </w:p>
        </w:tc>
        <w:tc>
          <w:tcPr>
            <w:tcW w:w="486" w:type="pct"/>
            <w:tcBorders>
              <w:top w:val="single" w:sz="4" w:space="0" w:color="auto"/>
              <w:left w:val="single" w:sz="4" w:space="0" w:color="auto"/>
              <w:bottom w:val="single" w:sz="4" w:space="0" w:color="auto"/>
              <w:right w:val="single" w:sz="4" w:space="0" w:color="auto"/>
            </w:tcBorders>
            <w:vAlign w:val="center"/>
          </w:tcPr>
          <w:p w14:paraId="11767512" w14:textId="77777777" w:rsidR="008143D9" w:rsidRPr="00AC3044" w:rsidRDefault="008143D9" w:rsidP="005A428D">
            <w:pPr>
              <w:rPr>
                <w:rFonts w:eastAsia="SimSun"/>
              </w:rPr>
            </w:pPr>
            <w:r w:rsidRPr="00AC3044">
              <w:rPr>
                <w:rFonts w:eastAsia="SimSun"/>
              </w:rPr>
              <w:t>Курсовая доза</w:t>
            </w:r>
          </w:p>
        </w:tc>
        <w:tc>
          <w:tcPr>
            <w:tcW w:w="1370" w:type="pct"/>
            <w:tcBorders>
              <w:top w:val="single" w:sz="4" w:space="0" w:color="auto"/>
              <w:left w:val="single" w:sz="4" w:space="0" w:color="auto"/>
              <w:bottom w:val="single" w:sz="4" w:space="0" w:color="auto"/>
              <w:right w:val="single" w:sz="4" w:space="0" w:color="auto"/>
            </w:tcBorders>
            <w:vAlign w:val="center"/>
          </w:tcPr>
          <w:p w14:paraId="0875FC00" w14:textId="77777777" w:rsidR="008143D9" w:rsidRPr="00AC3044" w:rsidRDefault="008143D9" w:rsidP="005A428D">
            <w:pPr>
              <w:rPr>
                <w:rFonts w:eastAsia="SimSun"/>
              </w:rPr>
            </w:pPr>
            <w:r w:rsidRPr="00AC3044">
              <w:rPr>
                <w:rFonts w:eastAsia="SimSun"/>
              </w:rPr>
              <w:t>Дни введения</w:t>
            </w:r>
          </w:p>
        </w:tc>
        <w:tc>
          <w:tcPr>
            <w:tcW w:w="1229" w:type="pct"/>
            <w:tcBorders>
              <w:top w:val="single" w:sz="4" w:space="0" w:color="auto"/>
              <w:left w:val="single" w:sz="4" w:space="0" w:color="auto"/>
              <w:bottom w:val="single" w:sz="4" w:space="0" w:color="auto"/>
              <w:right w:val="single" w:sz="4" w:space="0" w:color="auto"/>
            </w:tcBorders>
            <w:vAlign w:val="center"/>
          </w:tcPr>
          <w:p w14:paraId="315131EA" w14:textId="77777777" w:rsidR="008143D9" w:rsidRPr="00AC3044" w:rsidRDefault="008143D9" w:rsidP="005A428D">
            <w:pPr>
              <w:rPr>
                <w:rFonts w:eastAsia="SimSun"/>
              </w:rPr>
            </w:pPr>
            <w:r w:rsidRPr="00AC3044">
              <w:rPr>
                <w:rFonts w:eastAsia="SimSun"/>
              </w:rPr>
              <w:t>Порядок введения</w:t>
            </w:r>
          </w:p>
        </w:tc>
      </w:tr>
      <w:tr w:rsidR="008143D9" w:rsidRPr="00AC3044" w14:paraId="7AF41447" w14:textId="77777777" w:rsidTr="005A428D">
        <w:trPr>
          <w:cantSplit/>
          <w:trHeight w:val="464"/>
        </w:trPr>
        <w:tc>
          <w:tcPr>
            <w:tcW w:w="5000" w:type="pct"/>
            <w:gridSpan w:val="6"/>
          </w:tcPr>
          <w:p w14:paraId="50B99774" w14:textId="77777777" w:rsidR="008143D9" w:rsidRPr="00AC3044" w:rsidRDefault="008143D9" w:rsidP="005A428D">
            <w:pPr>
              <w:rPr>
                <w:rFonts w:eastAsia="SimSun"/>
              </w:rPr>
            </w:pPr>
            <w:r w:rsidRPr="00AC3044">
              <w:rPr>
                <w:rFonts w:eastAsia="SimSun"/>
              </w:rPr>
              <w:t>Инфузионная терапия</w:t>
            </w:r>
          </w:p>
        </w:tc>
      </w:tr>
      <w:tr w:rsidR="008143D9" w:rsidRPr="00AC3044" w14:paraId="3067D0B4" w14:textId="77777777" w:rsidTr="005A428D">
        <w:trPr>
          <w:cantSplit/>
          <w:trHeight w:val="464"/>
        </w:trPr>
        <w:tc>
          <w:tcPr>
            <w:tcW w:w="168" w:type="pct"/>
          </w:tcPr>
          <w:p w14:paraId="00BAF184" w14:textId="77777777" w:rsidR="008143D9" w:rsidRPr="00AC3044" w:rsidRDefault="008143D9" w:rsidP="005A428D">
            <w:pPr>
              <w:rPr>
                <w:rFonts w:eastAsia="SimSun"/>
              </w:rPr>
            </w:pPr>
            <w:r w:rsidRPr="00AC3044">
              <w:rPr>
                <w:rFonts w:eastAsia="SimSun"/>
              </w:rPr>
              <w:t>1</w:t>
            </w:r>
          </w:p>
        </w:tc>
        <w:tc>
          <w:tcPr>
            <w:tcW w:w="1133" w:type="pct"/>
            <w:vAlign w:val="center"/>
          </w:tcPr>
          <w:p w14:paraId="1ED00309" w14:textId="77777777" w:rsidR="008143D9" w:rsidRPr="00AC3044" w:rsidRDefault="008143D9" w:rsidP="005A428D">
            <w:pPr>
              <w:rPr>
                <w:rFonts w:eastAsia="SimSun"/>
              </w:rPr>
            </w:pPr>
            <w:r w:rsidRPr="00AC3044">
              <w:rPr>
                <w:rFonts w:eastAsia="SimSun"/>
              </w:rPr>
              <w:t xml:space="preserve">Натрия бикарбонат </w:t>
            </w:r>
          </w:p>
        </w:tc>
        <w:tc>
          <w:tcPr>
            <w:tcW w:w="614" w:type="pct"/>
            <w:vAlign w:val="center"/>
          </w:tcPr>
          <w:p w14:paraId="2D113EF2" w14:textId="77777777" w:rsidR="008143D9" w:rsidRPr="00AC3044" w:rsidRDefault="008143D9" w:rsidP="005A428D">
            <w:pPr>
              <w:rPr>
                <w:rFonts w:eastAsia="SimSun"/>
              </w:rPr>
            </w:pPr>
            <w:r w:rsidRPr="00AC3044">
              <w:rPr>
                <w:rFonts w:eastAsia="SimSun"/>
              </w:rPr>
              <w:t>1200 мг/литр инфузионной терапии</w:t>
            </w:r>
          </w:p>
        </w:tc>
        <w:tc>
          <w:tcPr>
            <w:tcW w:w="486" w:type="pct"/>
            <w:vAlign w:val="center"/>
          </w:tcPr>
          <w:p w14:paraId="09A8A49E" w14:textId="77777777" w:rsidR="008143D9" w:rsidRPr="00AC3044" w:rsidRDefault="008143D9" w:rsidP="005A428D">
            <w:pPr>
              <w:rPr>
                <w:rFonts w:eastAsia="SimSun"/>
              </w:rPr>
            </w:pPr>
            <w:r w:rsidRPr="00AC3044">
              <w:rPr>
                <w:rFonts w:eastAsia="SimSun"/>
              </w:rPr>
              <w:t>–</w:t>
            </w:r>
          </w:p>
        </w:tc>
        <w:tc>
          <w:tcPr>
            <w:tcW w:w="1370" w:type="pct"/>
            <w:vAlign w:val="center"/>
          </w:tcPr>
          <w:p w14:paraId="25C0034D" w14:textId="77777777" w:rsidR="008143D9" w:rsidRPr="00AC3044" w:rsidRDefault="008143D9" w:rsidP="005A428D">
            <w:pPr>
              <w:rPr>
                <w:rFonts w:eastAsia="SimSun"/>
              </w:rPr>
            </w:pPr>
            <w:r w:rsidRPr="00AC3044">
              <w:rPr>
                <w:rFonts w:eastAsia="SimSun"/>
              </w:rPr>
              <w:t xml:space="preserve">С дня -7 по -2 день </w:t>
            </w:r>
          </w:p>
        </w:tc>
        <w:tc>
          <w:tcPr>
            <w:tcW w:w="1229" w:type="pct"/>
            <w:vAlign w:val="center"/>
          </w:tcPr>
          <w:p w14:paraId="524B5E27" w14:textId="77777777" w:rsidR="008143D9" w:rsidRPr="00AC3044" w:rsidRDefault="008143D9" w:rsidP="005A428D">
            <w:pPr>
              <w:rPr>
                <w:rFonts w:eastAsia="SimSun"/>
              </w:rPr>
            </w:pPr>
            <w:r w:rsidRPr="00AC3044">
              <w:rPr>
                <w:rFonts w:eastAsia="SimSun"/>
              </w:rPr>
              <w:t>В/в инфузия в течение 3 часов, 30 мл 4% р-ра натрия бикарбоната на 1 литр инфузионной терапии сразу после внутривенного введения химиопрепаратов</w:t>
            </w:r>
          </w:p>
        </w:tc>
      </w:tr>
      <w:tr w:rsidR="008143D9" w:rsidRPr="00AC3044" w14:paraId="2D397FCC" w14:textId="77777777" w:rsidTr="005A428D">
        <w:trPr>
          <w:cantSplit/>
          <w:trHeight w:val="464"/>
        </w:trPr>
        <w:tc>
          <w:tcPr>
            <w:tcW w:w="168" w:type="pct"/>
          </w:tcPr>
          <w:p w14:paraId="19BE52F9" w14:textId="77777777" w:rsidR="008143D9" w:rsidRPr="00AC3044" w:rsidRDefault="008143D9" w:rsidP="005A428D">
            <w:pPr>
              <w:rPr>
                <w:rFonts w:eastAsia="SimSun"/>
              </w:rPr>
            </w:pPr>
            <w:r w:rsidRPr="00AC3044">
              <w:rPr>
                <w:rFonts w:eastAsia="SimSun"/>
              </w:rPr>
              <w:t>2</w:t>
            </w:r>
          </w:p>
        </w:tc>
        <w:tc>
          <w:tcPr>
            <w:tcW w:w="1133" w:type="pct"/>
            <w:vAlign w:val="center"/>
          </w:tcPr>
          <w:p w14:paraId="3581DC2C" w14:textId="77777777" w:rsidR="008143D9" w:rsidRPr="00AC3044" w:rsidRDefault="008143D9" w:rsidP="005A428D">
            <w:pPr>
              <w:rPr>
                <w:rFonts w:eastAsia="SimSun"/>
              </w:rPr>
            </w:pPr>
            <w:r w:rsidRPr="00AC3044">
              <w:rPr>
                <w:rFonts w:eastAsia="SimSun"/>
              </w:rPr>
              <w:t xml:space="preserve">Раствор 5% глюкозы </w:t>
            </w:r>
          </w:p>
        </w:tc>
        <w:tc>
          <w:tcPr>
            <w:tcW w:w="2470" w:type="pct"/>
            <w:gridSpan w:val="3"/>
            <w:vAlign w:val="center"/>
          </w:tcPr>
          <w:p w14:paraId="51E842EC" w14:textId="77777777" w:rsidR="008143D9" w:rsidRPr="00AC3044" w:rsidRDefault="008143D9" w:rsidP="005A428D">
            <w:pPr>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14:paraId="565C47C0" w14:textId="77777777" w:rsidR="008143D9" w:rsidRPr="00AC3044" w:rsidRDefault="008143D9" w:rsidP="005A428D">
            <w:pPr>
              <w:rPr>
                <w:rFonts w:eastAsia="SimSun"/>
              </w:rPr>
            </w:pPr>
            <w:r w:rsidRPr="00AC3044">
              <w:rPr>
                <w:rFonts w:eastAsia="SimSun"/>
              </w:rPr>
              <w:t>В/в инфузия</w:t>
            </w:r>
          </w:p>
        </w:tc>
      </w:tr>
      <w:tr w:rsidR="008143D9" w:rsidRPr="00AC3044" w14:paraId="38787D52" w14:textId="77777777" w:rsidTr="005A428D">
        <w:trPr>
          <w:cantSplit/>
          <w:trHeight w:val="464"/>
        </w:trPr>
        <w:tc>
          <w:tcPr>
            <w:tcW w:w="168" w:type="pct"/>
          </w:tcPr>
          <w:p w14:paraId="11E86FEE" w14:textId="77777777" w:rsidR="008143D9" w:rsidRPr="00AC3044" w:rsidRDefault="008143D9" w:rsidP="005A428D">
            <w:pPr>
              <w:rPr>
                <w:rFonts w:eastAsia="SimSun"/>
              </w:rPr>
            </w:pPr>
            <w:r w:rsidRPr="00AC3044">
              <w:rPr>
                <w:rFonts w:eastAsia="SimSun"/>
              </w:rPr>
              <w:t>3</w:t>
            </w:r>
          </w:p>
        </w:tc>
        <w:tc>
          <w:tcPr>
            <w:tcW w:w="1133" w:type="pct"/>
            <w:vAlign w:val="center"/>
          </w:tcPr>
          <w:p w14:paraId="1D1AC77E" w14:textId="77777777" w:rsidR="008143D9" w:rsidRPr="00AC3044" w:rsidRDefault="008143D9" w:rsidP="005A428D">
            <w:pPr>
              <w:rPr>
                <w:rFonts w:eastAsia="SimSun"/>
              </w:rPr>
            </w:pPr>
            <w:r w:rsidRPr="00AC3044">
              <w:rPr>
                <w:rFonts w:eastAsia="SimSun"/>
              </w:rPr>
              <w:t>Раствор хлорида натрия (0,9% NaCl)</w:t>
            </w:r>
          </w:p>
        </w:tc>
        <w:tc>
          <w:tcPr>
            <w:tcW w:w="2470" w:type="pct"/>
            <w:gridSpan w:val="3"/>
            <w:vAlign w:val="center"/>
          </w:tcPr>
          <w:p w14:paraId="2763F1EF" w14:textId="77777777" w:rsidR="008143D9" w:rsidRPr="00AC3044" w:rsidRDefault="008143D9" w:rsidP="005A428D">
            <w:pPr>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14:paraId="40452A67" w14:textId="77777777" w:rsidR="008143D9" w:rsidRPr="00AC3044" w:rsidRDefault="008143D9" w:rsidP="005A428D">
            <w:pPr>
              <w:rPr>
                <w:rFonts w:eastAsia="SimSun"/>
              </w:rPr>
            </w:pPr>
            <w:r w:rsidRPr="00AC3044">
              <w:rPr>
                <w:rFonts w:eastAsia="SimSun"/>
              </w:rPr>
              <w:t>В/в инфузия</w:t>
            </w:r>
          </w:p>
        </w:tc>
      </w:tr>
      <w:tr w:rsidR="008143D9" w:rsidRPr="00AC3044" w14:paraId="7B8088B8" w14:textId="77777777" w:rsidTr="005A428D">
        <w:trPr>
          <w:cantSplit/>
          <w:trHeight w:val="464"/>
        </w:trPr>
        <w:tc>
          <w:tcPr>
            <w:tcW w:w="168" w:type="pct"/>
          </w:tcPr>
          <w:p w14:paraId="016C8CB5" w14:textId="77777777" w:rsidR="008143D9" w:rsidRPr="00AC3044" w:rsidRDefault="008143D9" w:rsidP="005A428D">
            <w:pPr>
              <w:rPr>
                <w:rFonts w:eastAsia="SimSun"/>
              </w:rPr>
            </w:pPr>
            <w:r w:rsidRPr="00AC3044">
              <w:rPr>
                <w:rFonts w:eastAsia="SimSun"/>
              </w:rPr>
              <w:t>4</w:t>
            </w:r>
          </w:p>
        </w:tc>
        <w:tc>
          <w:tcPr>
            <w:tcW w:w="1133" w:type="pct"/>
            <w:vAlign w:val="center"/>
          </w:tcPr>
          <w:p w14:paraId="3C5EAE08" w14:textId="77777777" w:rsidR="008143D9" w:rsidRPr="00AC3044" w:rsidRDefault="008143D9" w:rsidP="005A428D">
            <w:pPr>
              <w:rPr>
                <w:rFonts w:eastAsia="SimSun"/>
              </w:rPr>
            </w:pPr>
            <w:r w:rsidRPr="00AC3044">
              <w:rPr>
                <w:rFonts w:eastAsia="SimSun"/>
              </w:rPr>
              <w:t>Раствор Рингера</w:t>
            </w:r>
          </w:p>
        </w:tc>
        <w:tc>
          <w:tcPr>
            <w:tcW w:w="2470" w:type="pct"/>
            <w:gridSpan w:val="3"/>
            <w:vAlign w:val="center"/>
          </w:tcPr>
          <w:p w14:paraId="17473E2E" w14:textId="77777777" w:rsidR="008143D9" w:rsidRPr="00AC3044" w:rsidRDefault="008143D9" w:rsidP="005A428D">
            <w:pPr>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14:paraId="23291E6A" w14:textId="77777777" w:rsidR="008143D9" w:rsidRPr="00AC3044" w:rsidRDefault="008143D9" w:rsidP="005A428D">
            <w:pPr>
              <w:rPr>
                <w:rFonts w:eastAsia="SimSun"/>
              </w:rPr>
            </w:pPr>
            <w:r w:rsidRPr="00AC3044">
              <w:rPr>
                <w:rFonts w:eastAsia="SimSun"/>
              </w:rPr>
              <w:t>В/в инфузия</w:t>
            </w:r>
          </w:p>
        </w:tc>
      </w:tr>
      <w:tr w:rsidR="008143D9" w:rsidRPr="00AC3044" w14:paraId="638C3B65" w14:textId="77777777" w:rsidTr="005A428D">
        <w:trPr>
          <w:cantSplit/>
          <w:trHeight w:val="464"/>
        </w:trPr>
        <w:tc>
          <w:tcPr>
            <w:tcW w:w="168" w:type="pct"/>
          </w:tcPr>
          <w:p w14:paraId="0D09EE3D" w14:textId="77777777" w:rsidR="008143D9" w:rsidRPr="00AC3044" w:rsidRDefault="008143D9" w:rsidP="005A428D">
            <w:pPr>
              <w:rPr>
                <w:rFonts w:eastAsia="SimSun"/>
              </w:rPr>
            </w:pPr>
            <w:r w:rsidRPr="00AC3044">
              <w:rPr>
                <w:rFonts w:eastAsia="SimSun"/>
              </w:rPr>
              <w:t>5</w:t>
            </w:r>
          </w:p>
        </w:tc>
        <w:tc>
          <w:tcPr>
            <w:tcW w:w="1133" w:type="pct"/>
            <w:vAlign w:val="center"/>
          </w:tcPr>
          <w:p w14:paraId="51054325" w14:textId="77777777" w:rsidR="008143D9" w:rsidRPr="00AC3044" w:rsidRDefault="008143D9" w:rsidP="005A428D">
            <w:pPr>
              <w:rPr>
                <w:rFonts w:eastAsia="SimSun"/>
              </w:rPr>
            </w:pPr>
            <w:r w:rsidRPr="00AC3044">
              <w:rPr>
                <w:rFonts w:eastAsia="SimSun"/>
              </w:rPr>
              <w:t>Калия и магния аспарагинат</w:t>
            </w:r>
          </w:p>
        </w:tc>
        <w:tc>
          <w:tcPr>
            <w:tcW w:w="2470" w:type="pct"/>
            <w:gridSpan w:val="3"/>
            <w:vAlign w:val="center"/>
          </w:tcPr>
          <w:p w14:paraId="51EDC9FE" w14:textId="77777777" w:rsidR="008143D9" w:rsidRPr="00AC3044" w:rsidRDefault="008143D9" w:rsidP="005A428D">
            <w:pPr>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14:paraId="2A6AF02A" w14:textId="77777777" w:rsidR="008143D9" w:rsidRPr="00AC3044" w:rsidRDefault="008143D9" w:rsidP="005A428D">
            <w:pPr>
              <w:rPr>
                <w:rFonts w:eastAsia="SimSun"/>
              </w:rPr>
            </w:pPr>
            <w:r w:rsidRPr="00AC3044">
              <w:rPr>
                <w:rFonts w:eastAsia="SimSun"/>
              </w:rPr>
              <w:t>В/в инфузия</w:t>
            </w:r>
          </w:p>
        </w:tc>
      </w:tr>
      <w:tr w:rsidR="008143D9" w:rsidRPr="00AC3044" w14:paraId="43BF743D" w14:textId="77777777" w:rsidTr="005A428D">
        <w:trPr>
          <w:cantSplit/>
          <w:trHeight w:val="464"/>
        </w:trPr>
        <w:tc>
          <w:tcPr>
            <w:tcW w:w="168" w:type="pct"/>
          </w:tcPr>
          <w:p w14:paraId="15CF7E1E" w14:textId="77777777" w:rsidR="008143D9" w:rsidRPr="00AC3044" w:rsidRDefault="008143D9" w:rsidP="005A428D">
            <w:pPr>
              <w:rPr>
                <w:rFonts w:eastAsia="SimSun"/>
              </w:rPr>
            </w:pPr>
            <w:r w:rsidRPr="00AC3044">
              <w:rPr>
                <w:rFonts w:eastAsia="SimSun"/>
              </w:rPr>
              <w:t>6</w:t>
            </w:r>
          </w:p>
        </w:tc>
        <w:tc>
          <w:tcPr>
            <w:tcW w:w="1133" w:type="pct"/>
            <w:vAlign w:val="center"/>
          </w:tcPr>
          <w:p w14:paraId="5425F201" w14:textId="77777777" w:rsidR="008143D9" w:rsidRPr="00AC3044" w:rsidRDefault="008143D9" w:rsidP="005A428D">
            <w:pPr>
              <w:rPr>
                <w:rFonts w:eastAsia="SimSun"/>
              </w:rPr>
            </w:pPr>
            <w:r w:rsidRPr="00AC3044">
              <w:rPr>
                <w:rFonts w:eastAsia="SimSun"/>
              </w:rPr>
              <w:t>4% хлорида калия (KCl)</w:t>
            </w:r>
          </w:p>
        </w:tc>
        <w:tc>
          <w:tcPr>
            <w:tcW w:w="2470" w:type="pct"/>
            <w:gridSpan w:val="3"/>
            <w:vAlign w:val="center"/>
          </w:tcPr>
          <w:p w14:paraId="4EC1F78A" w14:textId="77777777" w:rsidR="008143D9" w:rsidRPr="00AC3044" w:rsidRDefault="008143D9" w:rsidP="005A428D">
            <w:pPr>
              <w:rPr>
                <w:rFonts w:eastAsia="SimSun"/>
              </w:rPr>
            </w:pPr>
            <w:r w:rsidRPr="00AC3044">
              <w:rPr>
                <w:rFonts w:eastAsia="SimSun"/>
              </w:rPr>
              <w:t>В соответсвии с лабораторными показателями, в среднем 14-52 дня</w:t>
            </w:r>
          </w:p>
        </w:tc>
        <w:tc>
          <w:tcPr>
            <w:tcW w:w="1229" w:type="pct"/>
            <w:vAlign w:val="center"/>
          </w:tcPr>
          <w:p w14:paraId="0242478C" w14:textId="77777777" w:rsidR="008143D9" w:rsidRPr="00AC3044" w:rsidRDefault="008143D9" w:rsidP="005A428D">
            <w:pPr>
              <w:rPr>
                <w:rFonts w:eastAsia="SimSun"/>
              </w:rPr>
            </w:pPr>
            <w:r w:rsidRPr="00AC3044">
              <w:rPr>
                <w:rFonts w:eastAsia="SimSun"/>
              </w:rPr>
              <w:t>В/в инфузия</w:t>
            </w:r>
          </w:p>
        </w:tc>
      </w:tr>
      <w:tr w:rsidR="008143D9" w:rsidRPr="00AC3044" w14:paraId="3A88DA62" w14:textId="77777777" w:rsidTr="005A428D">
        <w:trPr>
          <w:cantSplit/>
          <w:trHeight w:val="464"/>
        </w:trPr>
        <w:tc>
          <w:tcPr>
            <w:tcW w:w="168" w:type="pct"/>
          </w:tcPr>
          <w:p w14:paraId="22DB32B6" w14:textId="77777777" w:rsidR="008143D9" w:rsidRPr="00AC3044" w:rsidRDefault="008143D9" w:rsidP="005A428D">
            <w:pPr>
              <w:rPr>
                <w:rFonts w:eastAsia="SimSun"/>
              </w:rPr>
            </w:pPr>
            <w:r w:rsidRPr="00AC3044">
              <w:rPr>
                <w:rFonts w:eastAsia="SimSun"/>
              </w:rPr>
              <w:t>7</w:t>
            </w:r>
          </w:p>
        </w:tc>
        <w:tc>
          <w:tcPr>
            <w:tcW w:w="1133" w:type="pct"/>
            <w:vAlign w:val="center"/>
          </w:tcPr>
          <w:p w14:paraId="4E3545D6" w14:textId="77777777" w:rsidR="008143D9" w:rsidRPr="00AC3044" w:rsidRDefault="008143D9" w:rsidP="005A428D">
            <w:pPr>
              <w:rPr>
                <w:rFonts w:eastAsia="SimSun"/>
              </w:rPr>
            </w:pPr>
            <w:r w:rsidRPr="00AC3044">
              <w:rPr>
                <w:rFonts w:eastAsia="SimSun"/>
              </w:rPr>
              <w:t>25% сульфат магния (MgSO4)</w:t>
            </w:r>
          </w:p>
        </w:tc>
        <w:tc>
          <w:tcPr>
            <w:tcW w:w="2470" w:type="pct"/>
            <w:gridSpan w:val="3"/>
            <w:vAlign w:val="center"/>
          </w:tcPr>
          <w:p w14:paraId="6CC4F4C9" w14:textId="77777777" w:rsidR="008143D9" w:rsidRPr="00AC3044" w:rsidRDefault="008143D9" w:rsidP="005A428D">
            <w:pPr>
              <w:rPr>
                <w:rFonts w:eastAsia="SimSun"/>
              </w:rPr>
            </w:pPr>
            <w:r w:rsidRPr="00AC3044">
              <w:rPr>
                <w:rFonts w:eastAsia="SimSun"/>
              </w:rPr>
              <w:t>В соответсвии с лабораторными показателями, в среднем 14-52 дня</w:t>
            </w:r>
          </w:p>
        </w:tc>
        <w:tc>
          <w:tcPr>
            <w:tcW w:w="1229" w:type="pct"/>
            <w:vAlign w:val="center"/>
          </w:tcPr>
          <w:p w14:paraId="5AEFBF40" w14:textId="77777777" w:rsidR="008143D9" w:rsidRPr="00AC3044" w:rsidRDefault="008143D9" w:rsidP="005A428D">
            <w:pPr>
              <w:rPr>
                <w:rFonts w:eastAsia="SimSun"/>
              </w:rPr>
            </w:pPr>
            <w:r w:rsidRPr="00AC3044">
              <w:rPr>
                <w:rFonts w:eastAsia="SimSun"/>
              </w:rPr>
              <w:t>В/в инфузия</w:t>
            </w:r>
          </w:p>
        </w:tc>
      </w:tr>
      <w:tr w:rsidR="008143D9" w:rsidRPr="00AC3044" w14:paraId="2F1BCCC0" w14:textId="77777777" w:rsidTr="005A428D">
        <w:trPr>
          <w:cantSplit/>
          <w:trHeight w:val="464"/>
        </w:trPr>
        <w:tc>
          <w:tcPr>
            <w:tcW w:w="5000" w:type="pct"/>
            <w:gridSpan w:val="6"/>
          </w:tcPr>
          <w:p w14:paraId="2F2EBD2A" w14:textId="77777777" w:rsidR="008143D9" w:rsidRPr="00AC3044" w:rsidRDefault="008143D9" w:rsidP="005A428D">
            <w:pPr>
              <w:rPr>
                <w:rFonts w:eastAsia="SimSun"/>
              </w:rPr>
            </w:pPr>
            <w:r w:rsidRPr="00AC3044">
              <w:rPr>
                <w:rFonts w:eastAsia="SimSun"/>
              </w:rPr>
              <w:t>Антиэметическая терапия</w:t>
            </w:r>
          </w:p>
        </w:tc>
      </w:tr>
      <w:tr w:rsidR="008143D9" w:rsidRPr="00AC3044" w14:paraId="1237A3D8" w14:textId="77777777" w:rsidTr="005A428D">
        <w:trPr>
          <w:cantSplit/>
          <w:trHeight w:val="464"/>
        </w:trPr>
        <w:tc>
          <w:tcPr>
            <w:tcW w:w="168" w:type="pct"/>
          </w:tcPr>
          <w:p w14:paraId="588AA915" w14:textId="77777777" w:rsidR="008143D9" w:rsidRPr="00AC3044" w:rsidRDefault="008143D9" w:rsidP="005A428D">
            <w:pPr>
              <w:rPr>
                <w:rFonts w:eastAsia="SimSun"/>
              </w:rPr>
            </w:pPr>
            <w:r w:rsidRPr="00AC3044">
              <w:rPr>
                <w:rFonts w:eastAsia="SimSun"/>
              </w:rPr>
              <w:t>1</w:t>
            </w:r>
          </w:p>
        </w:tc>
        <w:tc>
          <w:tcPr>
            <w:tcW w:w="1133" w:type="pct"/>
            <w:vAlign w:val="center"/>
          </w:tcPr>
          <w:p w14:paraId="5A856178" w14:textId="77777777" w:rsidR="008143D9" w:rsidRPr="00AC3044" w:rsidRDefault="008143D9" w:rsidP="005A428D">
            <w:pPr>
              <w:rPr>
                <w:rFonts w:eastAsia="SimSun"/>
              </w:rPr>
            </w:pPr>
            <w:r w:rsidRPr="00AC3044">
              <w:rPr>
                <w:rFonts w:eastAsia="SimSun"/>
              </w:rPr>
              <w:t xml:space="preserve">Ондансетрон </w:t>
            </w:r>
          </w:p>
        </w:tc>
        <w:tc>
          <w:tcPr>
            <w:tcW w:w="614" w:type="pct"/>
            <w:vAlign w:val="center"/>
          </w:tcPr>
          <w:p w14:paraId="49F92670" w14:textId="77777777" w:rsidR="008143D9" w:rsidRPr="00AC3044" w:rsidRDefault="008143D9" w:rsidP="005A428D">
            <w:pPr>
              <w:rPr>
                <w:rFonts w:eastAsia="SimSun"/>
              </w:rPr>
            </w:pPr>
            <w:r w:rsidRPr="00AC3044">
              <w:rPr>
                <w:rFonts w:eastAsia="SimSun"/>
              </w:rPr>
              <w:t>24 мг</w:t>
            </w:r>
          </w:p>
        </w:tc>
        <w:tc>
          <w:tcPr>
            <w:tcW w:w="486" w:type="pct"/>
            <w:vAlign w:val="center"/>
          </w:tcPr>
          <w:p w14:paraId="76447B77" w14:textId="77777777" w:rsidR="008143D9" w:rsidRPr="00AC3044" w:rsidRDefault="008143D9" w:rsidP="005A428D">
            <w:pPr>
              <w:rPr>
                <w:rFonts w:eastAsia="SimSun"/>
              </w:rPr>
            </w:pPr>
            <w:r w:rsidRPr="00AC3044">
              <w:rPr>
                <w:rFonts w:eastAsia="SimSun"/>
              </w:rPr>
              <w:t>–</w:t>
            </w:r>
          </w:p>
        </w:tc>
        <w:tc>
          <w:tcPr>
            <w:tcW w:w="1370" w:type="pct"/>
            <w:vAlign w:val="center"/>
          </w:tcPr>
          <w:p w14:paraId="3C4169D5" w14:textId="77777777" w:rsidR="008143D9" w:rsidRPr="00AC3044" w:rsidRDefault="008143D9" w:rsidP="005A428D">
            <w:pPr>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3485F5E8" w14:textId="77777777" w:rsidR="008143D9" w:rsidRPr="00AC3044" w:rsidRDefault="008143D9" w:rsidP="005A428D">
            <w:pPr>
              <w:rPr>
                <w:rFonts w:eastAsia="SimSun"/>
              </w:rPr>
            </w:pPr>
            <w:r w:rsidRPr="00AC3044">
              <w:rPr>
                <w:rFonts w:eastAsia="SimSun"/>
              </w:rPr>
              <w:t xml:space="preserve">В/в, 8 мг 3 раза/сут  </w:t>
            </w:r>
          </w:p>
        </w:tc>
      </w:tr>
      <w:tr w:rsidR="008143D9" w:rsidRPr="00AC3044" w14:paraId="01F65A1C" w14:textId="77777777" w:rsidTr="005A428D">
        <w:trPr>
          <w:cantSplit/>
          <w:trHeight w:val="464"/>
        </w:trPr>
        <w:tc>
          <w:tcPr>
            <w:tcW w:w="168" w:type="pct"/>
          </w:tcPr>
          <w:p w14:paraId="7B9551C8" w14:textId="77777777" w:rsidR="008143D9" w:rsidRPr="00AC3044" w:rsidRDefault="008143D9" w:rsidP="005A428D">
            <w:pPr>
              <w:rPr>
                <w:rFonts w:eastAsia="SimSun"/>
              </w:rPr>
            </w:pPr>
            <w:r w:rsidRPr="00AC3044">
              <w:rPr>
                <w:rFonts w:eastAsia="SimSun"/>
              </w:rPr>
              <w:t>2</w:t>
            </w:r>
          </w:p>
        </w:tc>
        <w:tc>
          <w:tcPr>
            <w:tcW w:w="1133" w:type="pct"/>
            <w:vAlign w:val="center"/>
          </w:tcPr>
          <w:p w14:paraId="2A6F6E54" w14:textId="77777777" w:rsidR="008143D9" w:rsidRPr="00AC3044" w:rsidRDefault="008143D9" w:rsidP="005A428D">
            <w:pPr>
              <w:rPr>
                <w:rFonts w:eastAsia="SimSun"/>
              </w:rPr>
            </w:pPr>
            <w:r w:rsidRPr="00AC3044">
              <w:rPr>
                <w:rFonts w:eastAsia="SimSun"/>
              </w:rPr>
              <w:t>Гранисетрон</w:t>
            </w:r>
          </w:p>
        </w:tc>
        <w:tc>
          <w:tcPr>
            <w:tcW w:w="614" w:type="pct"/>
            <w:vAlign w:val="center"/>
          </w:tcPr>
          <w:p w14:paraId="0FE84BFC" w14:textId="77777777" w:rsidR="008143D9" w:rsidRPr="00AC3044" w:rsidRDefault="008143D9" w:rsidP="005A428D">
            <w:pPr>
              <w:rPr>
                <w:rFonts w:eastAsia="SimSun"/>
              </w:rPr>
            </w:pPr>
            <w:r w:rsidRPr="00AC3044">
              <w:rPr>
                <w:rFonts w:eastAsia="SimSun"/>
              </w:rPr>
              <w:t>9 мг</w:t>
            </w:r>
          </w:p>
        </w:tc>
        <w:tc>
          <w:tcPr>
            <w:tcW w:w="486" w:type="pct"/>
            <w:vAlign w:val="center"/>
          </w:tcPr>
          <w:p w14:paraId="5DB7B040" w14:textId="77777777" w:rsidR="008143D9" w:rsidRPr="00AC3044" w:rsidRDefault="008143D9" w:rsidP="005A428D">
            <w:pPr>
              <w:rPr>
                <w:rFonts w:eastAsia="SimSun"/>
              </w:rPr>
            </w:pPr>
            <w:r w:rsidRPr="00AC3044">
              <w:rPr>
                <w:rFonts w:eastAsia="SimSun"/>
              </w:rPr>
              <w:t>–</w:t>
            </w:r>
          </w:p>
        </w:tc>
        <w:tc>
          <w:tcPr>
            <w:tcW w:w="1370" w:type="pct"/>
            <w:vAlign w:val="center"/>
          </w:tcPr>
          <w:p w14:paraId="6AF17FCF" w14:textId="77777777" w:rsidR="008143D9" w:rsidRPr="00AC3044" w:rsidRDefault="008143D9" w:rsidP="005A428D">
            <w:pPr>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4DC10C01" w14:textId="77777777" w:rsidR="008143D9" w:rsidRPr="00AC3044" w:rsidRDefault="008143D9" w:rsidP="005A428D">
            <w:pPr>
              <w:rPr>
                <w:rFonts w:eastAsia="SimSun"/>
              </w:rPr>
            </w:pPr>
            <w:r w:rsidRPr="00AC3044">
              <w:rPr>
                <w:rFonts w:eastAsia="SimSun"/>
              </w:rPr>
              <w:t xml:space="preserve">В/в, 3 мг 3 раза/сут  </w:t>
            </w:r>
          </w:p>
        </w:tc>
      </w:tr>
      <w:tr w:rsidR="008143D9" w:rsidRPr="00AC3044" w14:paraId="1CDA6F61" w14:textId="77777777" w:rsidTr="005A428D">
        <w:trPr>
          <w:cantSplit/>
          <w:trHeight w:val="464"/>
        </w:trPr>
        <w:tc>
          <w:tcPr>
            <w:tcW w:w="168" w:type="pct"/>
          </w:tcPr>
          <w:p w14:paraId="62EB8C2F" w14:textId="77777777" w:rsidR="008143D9" w:rsidRPr="00AC3044" w:rsidRDefault="008143D9" w:rsidP="005A428D">
            <w:pPr>
              <w:rPr>
                <w:rFonts w:eastAsia="SimSun"/>
              </w:rPr>
            </w:pPr>
            <w:r w:rsidRPr="00AC3044">
              <w:rPr>
                <w:rFonts w:eastAsia="SimSun"/>
              </w:rPr>
              <w:t>3</w:t>
            </w:r>
          </w:p>
        </w:tc>
        <w:tc>
          <w:tcPr>
            <w:tcW w:w="1133" w:type="pct"/>
            <w:vAlign w:val="center"/>
          </w:tcPr>
          <w:p w14:paraId="016DC0C5" w14:textId="77777777" w:rsidR="008143D9" w:rsidRPr="00AC3044" w:rsidRDefault="008143D9" w:rsidP="005A428D">
            <w:pPr>
              <w:rPr>
                <w:rFonts w:eastAsia="SimSun"/>
              </w:rPr>
            </w:pPr>
            <w:r w:rsidRPr="00AC3044">
              <w:rPr>
                <w:rFonts w:eastAsia="SimSun"/>
              </w:rPr>
              <w:t>Трописетрон</w:t>
            </w:r>
          </w:p>
        </w:tc>
        <w:tc>
          <w:tcPr>
            <w:tcW w:w="614" w:type="pct"/>
            <w:vAlign w:val="center"/>
          </w:tcPr>
          <w:p w14:paraId="6A88F9F0" w14:textId="77777777" w:rsidR="008143D9" w:rsidRPr="00AC3044" w:rsidRDefault="008143D9" w:rsidP="005A428D">
            <w:pPr>
              <w:rPr>
                <w:rFonts w:eastAsia="SimSun"/>
              </w:rPr>
            </w:pPr>
            <w:r w:rsidRPr="00AC3044">
              <w:rPr>
                <w:rFonts w:eastAsia="SimSun"/>
              </w:rPr>
              <w:t>5 мг</w:t>
            </w:r>
          </w:p>
        </w:tc>
        <w:tc>
          <w:tcPr>
            <w:tcW w:w="486" w:type="pct"/>
            <w:vAlign w:val="center"/>
          </w:tcPr>
          <w:p w14:paraId="23E96B1F" w14:textId="77777777" w:rsidR="008143D9" w:rsidRPr="00AC3044" w:rsidRDefault="008143D9" w:rsidP="005A428D">
            <w:pPr>
              <w:rPr>
                <w:rFonts w:eastAsia="SimSun"/>
              </w:rPr>
            </w:pPr>
            <w:r w:rsidRPr="00AC3044">
              <w:rPr>
                <w:rFonts w:eastAsia="SimSun"/>
              </w:rPr>
              <w:t>–</w:t>
            </w:r>
          </w:p>
        </w:tc>
        <w:tc>
          <w:tcPr>
            <w:tcW w:w="1370" w:type="pct"/>
            <w:vAlign w:val="center"/>
          </w:tcPr>
          <w:p w14:paraId="4CBF37A9" w14:textId="77777777" w:rsidR="008143D9" w:rsidRPr="00AC3044" w:rsidRDefault="008143D9" w:rsidP="005A428D">
            <w:pPr>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5EC73F76" w14:textId="77777777" w:rsidR="008143D9" w:rsidRPr="00AC3044" w:rsidRDefault="008143D9" w:rsidP="005A428D">
            <w:pPr>
              <w:rPr>
                <w:rFonts w:eastAsia="SimSun"/>
              </w:rPr>
            </w:pPr>
            <w:r w:rsidRPr="00AC3044">
              <w:rPr>
                <w:rFonts w:eastAsia="SimSun"/>
              </w:rPr>
              <w:t>В/в, 5 мг 1 раз/сут</w:t>
            </w:r>
          </w:p>
        </w:tc>
      </w:tr>
      <w:tr w:rsidR="008143D9" w:rsidRPr="00AC3044" w14:paraId="37628FA0" w14:textId="77777777" w:rsidTr="005A428D">
        <w:trPr>
          <w:cantSplit/>
          <w:trHeight w:val="464"/>
        </w:trPr>
        <w:tc>
          <w:tcPr>
            <w:tcW w:w="168" w:type="pct"/>
          </w:tcPr>
          <w:p w14:paraId="02EFAA18" w14:textId="77777777" w:rsidR="008143D9" w:rsidRPr="00AC3044" w:rsidRDefault="008143D9" w:rsidP="005A428D">
            <w:pPr>
              <w:rPr>
                <w:rFonts w:eastAsia="SimSun"/>
              </w:rPr>
            </w:pPr>
            <w:r w:rsidRPr="00AC3044">
              <w:rPr>
                <w:rFonts w:eastAsia="SimSun"/>
              </w:rPr>
              <w:t>4</w:t>
            </w:r>
          </w:p>
        </w:tc>
        <w:tc>
          <w:tcPr>
            <w:tcW w:w="1133" w:type="pct"/>
            <w:vAlign w:val="center"/>
          </w:tcPr>
          <w:p w14:paraId="3F5D03A1" w14:textId="77777777" w:rsidR="008143D9" w:rsidRPr="00AC3044" w:rsidRDefault="008143D9" w:rsidP="005A428D">
            <w:pPr>
              <w:rPr>
                <w:rFonts w:eastAsia="SimSun"/>
              </w:rPr>
            </w:pPr>
            <w:r w:rsidRPr="00AC3044">
              <w:rPr>
                <w:rFonts w:eastAsia="SimSun"/>
              </w:rPr>
              <w:t>Палоносетрон</w:t>
            </w:r>
          </w:p>
        </w:tc>
        <w:tc>
          <w:tcPr>
            <w:tcW w:w="614" w:type="pct"/>
            <w:vAlign w:val="center"/>
          </w:tcPr>
          <w:p w14:paraId="6E611812" w14:textId="77777777" w:rsidR="008143D9" w:rsidRPr="00AC3044" w:rsidRDefault="008143D9" w:rsidP="005A428D">
            <w:pPr>
              <w:rPr>
                <w:rFonts w:eastAsia="SimSun"/>
              </w:rPr>
            </w:pPr>
            <w:r w:rsidRPr="00AC3044">
              <w:rPr>
                <w:rFonts w:eastAsia="SimSun"/>
              </w:rPr>
              <w:t>0,25 мг</w:t>
            </w:r>
          </w:p>
        </w:tc>
        <w:tc>
          <w:tcPr>
            <w:tcW w:w="486" w:type="pct"/>
            <w:vAlign w:val="center"/>
          </w:tcPr>
          <w:p w14:paraId="1DE5608E" w14:textId="77777777" w:rsidR="008143D9" w:rsidRPr="00AC3044" w:rsidRDefault="008143D9" w:rsidP="005A428D">
            <w:pPr>
              <w:rPr>
                <w:rFonts w:eastAsia="SimSun"/>
              </w:rPr>
            </w:pPr>
            <w:r w:rsidRPr="00AC3044">
              <w:rPr>
                <w:rFonts w:eastAsia="SimSun"/>
              </w:rPr>
              <w:t>–</w:t>
            </w:r>
          </w:p>
        </w:tc>
        <w:tc>
          <w:tcPr>
            <w:tcW w:w="1370" w:type="pct"/>
            <w:vAlign w:val="center"/>
          </w:tcPr>
          <w:p w14:paraId="03B5DE5D" w14:textId="77777777" w:rsidR="008143D9" w:rsidRPr="00AC3044" w:rsidRDefault="008143D9" w:rsidP="005A428D">
            <w:pPr>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732040CB" w14:textId="77777777" w:rsidR="008143D9" w:rsidRPr="00AC3044" w:rsidRDefault="008143D9" w:rsidP="005A428D">
            <w:pPr>
              <w:rPr>
                <w:rFonts w:eastAsia="SimSun"/>
              </w:rPr>
            </w:pPr>
            <w:r w:rsidRPr="00AC3044">
              <w:rPr>
                <w:rFonts w:eastAsia="SimSun"/>
              </w:rPr>
              <w:t>В/в</w:t>
            </w:r>
          </w:p>
        </w:tc>
      </w:tr>
      <w:tr w:rsidR="008143D9" w:rsidRPr="00AC3044" w14:paraId="6287B08F" w14:textId="77777777" w:rsidTr="005A428D">
        <w:trPr>
          <w:cantSplit/>
          <w:trHeight w:val="464"/>
        </w:trPr>
        <w:tc>
          <w:tcPr>
            <w:tcW w:w="168" w:type="pct"/>
          </w:tcPr>
          <w:p w14:paraId="5B2CCBE8" w14:textId="77777777" w:rsidR="008143D9" w:rsidRPr="00AC3044" w:rsidRDefault="008143D9" w:rsidP="005A428D">
            <w:pPr>
              <w:rPr>
                <w:rFonts w:eastAsia="SimSun"/>
              </w:rPr>
            </w:pPr>
            <w:r w:rsidRPr="00AC3044">
              <w:rPr>
                <w:rFonts w:eastAsia="SimSun"/>
              </w:rPr>
              <w:t>5</w:t>
            </w:r>
          </w:p>
        </w:tc>
        <w:tc>
          <w:tcPr>
            <w:tcW w:w="1133" w:type="pct"/>
            <w:vAlign w:val="center"/>
          </w:tcPr>
          <w:p w14:paraId="60977ADD" w14:textId="77777777" w:rsidR="008143D9" w:rsidRPr="00AC3044" w:rsidRDefault="008143D9" w:rsidP="005A428D">
            <w:pPr>
              <w:rPr>
                <w:rFonts w:eastAsia="SimSun"/>
              </w:rPr>
            </w:pPr>
            <w:r w:rsidRPr="00AC3044">
              <w:rPr>
                <w:rFonts w:eastAsia="SimSun"/>
              </w:rPr>
              <w:t>Апрепитант</w:t>
            </w:r>
          </w:p>
        </w:tc>
        <w:tc>
          <w:tcPr>
            <w:tcW w:w="614" w:type="pct"/>
            <w:vAlign w:val="center"/>
          </w:tcPr>
          <w:p w14:paraId="2E516C98" w14:textId="77777777" w:rsidR="008143D9" w:rsidRPr="00AC3044" w:rsidRDefault="008143D9" w:rsidP="005A428D">
            <w:pPr>
              <w:rPr>
                <w:rFonts w:eastAsia="SimSun"/>
              </w:rPr>
            </w:pPr>
            <w:r w:rsidRPr="00AC3044">
              <w:rPr>
                <w:rFonts w:eastAsia="SimSun"/>
              </w:rPr>
              <w:t>125, 80, 80 мг</w:t>
            </w:r>
          </w:p>
        </w:tc>
        <w:tc>
          <w:tcPr>
            <w:tcW w:w="486" w:type="pct"/>
            <w:vAlign w:val="center"/>
          </w:tcPr>
          <w:p w14:paraId="04BFC3D0" w14:textId="77777777" w:rsidR="008143D9" w:rsidRPr="00AC3044" w:rsidRDefault="008143D9" w:rsidP="005A428D">
            <w:pPr>
              <w:rPr>
                <w:rFonts w:eastAsia="SimSun"/>
              </w:rPr>
            </w:pPr>
            <w:r w:rsidRPr="00AC3044">
              <w:rPr>
                <w:rFonts w:eastAsia="SimSun"/>
              </w:rPr>
              <w:t>–</w:t>
            </w:r>
          </w:p>
        </w:tc>
        <w:tc>
          <w:tcPr>
            <w:tcW w:w="1370" w:type="pct"/>
            <w:vAlign w:val="center"/>
          </w:tcPr>
          <w:p w14:paraId="4BC7A5B4" w14:textId="77777777" w:rsidR="008143D9" w:rsidRPr="00AC3044" w:rsidRDefault="008143D9" w:rsidP="005A428D">
            <w:pPr>
              <w:rPr>
                <w:rFonts w:eastAsia="SimSun"/>
              </w:rPr>
            </w:pPr>
            <w:r w:rsidRPr="00AC3044">
              <w:rPr>
                <w:rFonts w:eastAsia="SimSun"/>
              </w:rPr>
              <w:t>При проведении ТТО -3 по -1 дни</w:t>
            </w:r>
          </w:p>
        </w:tc>
        <w:tc>
          <w:tcPr>
            <w:tcW w:w="1229" w:type="pct"/>
            <w:vAlign w:val="center"/>
          </w:tcPr>
          <w:p w14:paraId="452CCB7F" w14:textId="77777777" w:rsidR="008143D9" w:rsidRPr="00AC3044" w:rsidRDefault="008143D9" w:rsidP="005A428D">
            <w:pPr>
              <w:rPr>
                <w:rFonts w:eastAsia="SimSun"/>
              </w:rPr>
            </w:pPr>
            <w:r w:rsidRPr="00AC3044">
              <w:rPr>
                <w:rFonts w:eastAsia="SimSun"/>
              </w:rPr>
              <w:t>Внутрь, перед  утренней фракцией ТТО</w:t>
            </w:r>
          </w:p>
        </w:tc>
      </w:tr>
      <w:tr w:rsidR="008143D9" w:rsidRPr="00AC3044" w14:paraId="4D7A07EB" w14:textId="77777777" w:rsidTr="005A428D">
        <w:trPr>
          <w:cantSplit/>
          <w:trHeight w:val="464"/>
        </w:trPr>
        <w:tc>
          <w:tcPr>
            <w:tcW w:w="168" w:type="pct"/>
          </w:tcPr>
          <w:p w14:paraId="0A8D4D99" w14:textId="77777777" w:rsidR="008143D9" w:rsidRPr="00AC3044" w:rsidRDefault="008143D9" w:rsidP="005A428D">
            <w:pPr>
              <w:rPr>
                <w:rFonts w:eastAsia="SimSun"/>
              </w:rPr>
            </w:pPr>
            <w:r w:rsidRPr="00AC3044">
              <w:rPr>
                <w:rFonts w:eastAsia="SimSun"/>
              </w:rPr>
              <w:t>6</w:t>
            </w:r>
          </w:p>
        </w:tc>
        <w:tc>
          <w:tcPr>
            <w:tcW w:w="1133" w:type="pct"/>
            <w:vAlign w:val="center"/>
          </w:tcPr>
          <w:p w14:paraId="69E68C6B" w14:textId="77777777" w:rsidR="008143D9" w:rsidRPr="00AC3044" w:rsidRDefault="008143D9" w:rsidP="005A428D">
            <w:pPr>
              <w:rPr>
                <w:rFonts w:eastAsia="SimSun"/>
              </w:rPr>
            </w:pPr>
            <w:r w:rsidRPr="00AC3044">
              <w:rPr>
                <w:rFonts w:eastAsia="SimSun"/>
              </w:rPr>
              <w:t>Фосапрепитант</w:t>
            </w:r>
            <w:r w:rsidRPr="00AC3044">
              <w:rPr>
                <w:rFonts w:eastAsia="SimSun"/>
              </w:rPr>
              <w:tab/>
            </w:r>
          </w:p>
        </w:tc>
        <w:tc>
          <w:tcPr>
            <w:tcW w:w="614" w:type="pct"/>
            <w:vAlign w:val="center"/>
          </w:tcPr>
          <w:p w14:paraId="4CA5DAA8" w14:textId="77777777" w:rsidR="008143D9" w:rsidRPr="00AC3044" w:rsidRDefault="008143D9" w:rsidP="005A428D">
            <w:pPr>
              <w:rPr>
                <w:rFonts w:eastAsia="SimSun"/>
              </w:rPr>
            </w:pPr>
            <w:r w:rsidRPr="00AC3044">
              <w:rPr>
                <w:rFonts w:eastAsia="SimSun"/>
              </w:rPr>
              <w:t>150 мг</w:t>
            </w:r>
          </w:p>
        </w:tc>
        <w:tc>
          <w:tcPr>
            <w:tcW w:w="486" w:type="pct"/>
            <w:vAlign w:val="center"/>
          </w:tcPr>
          <w:p w14:paraId="11C24D8E" w14:textId="77777777" w:rsidR="008143D9" w:rsidRPr="00AC3044" w:rsidRDefault="008143D9" w:rsidP="005A428D">
            <w:pPr>
              <w:rPr>
                <w:rFonts w:eastAsia="SimSun"/>
              </w:rPr>
            </w:pPr>
            <w:r w:rsidRPr="00AC3044">
              <w:rPr>
                <w:rFonts w:eastAsia="SimSun"/>
              </w:rPr>
              <w:t>–</w:t>
            </w:r>
          </w:p>
        </w:tc>
        <w:tc>
          <w:tcPr>
            <w:tcW w:w="1370" w:type="pct"/>
            <w:vAlign w:val="center"/>
          </w:tcPr>
          <w:p w14:paraId="6625F0FD" w14:textId="77777777" w:rsidR="008143D9" w:rsidRPr="00AC3044" w:rsidRDefault="008143D9" w:rsidP="005A428D">
            <w:pPr>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589B00C9" w14:textId="77777777" w:rsidR="008143D9" w:rsidRPr="00AC3044" w:rsidRDefault="008143D9" w:rsidP="005A428D">
            <w:pPr>
              <w:rPr>
                <w:rFonts w:eastAsia="SimSun"/>
              </w:rPr>
            </w:pPr>
            <w:r w:rsidRPr="00AC3044">
              <w:rPr>
                <w:rFonts w:eastAsia="SimSun"/>
              </w:rPr>
              <w:t>В/в, однократно</w:t>
            </w:r>
          </w:p>
        </w:tc>
      </w:tr>
      <w:tr w:rsidR="008143D9" w:rsidRPr="00AC3044" w14:paraId="44C081A2" w14:textId="77777777" w:rsidTr="005A428D">
        <w:trPr>
          <w:cantSplit/>
          <w:trHeight w:val="464"/>
        </w:trPr>
        <w:tc>
          <w:tcPr>
            <w:tcW w:w="5000" w:type="pct"/>
            <w:gridSpan w:val="6"/>
          </w:tcPr>
          <w:p w14:paraId="5D8EA799" w14:textId="77777777" w:rsidR="008143D9" w:rsidRPr="00AC3044" w:rsidRDefault="008143D9" w:rsidP="005A428D">
            <w:pPr>
              <w:rPr>
                <w:rFonts w:eastAsia="SimSun"/>
              </w:rPr>
            </w:pPr>
            <w:r w:rsidRPr="00AC3044">
              <w:rPr>
                <w:rFonts w:eastAsia="SimSun"/>
              </w:rPr>
              <w:t>Антикоагулянтная терапия</w:t>
            </w:r>
          </w:p>
        </w:tc>
      </w:tr>
      <w:tr w:rsidR="008143D9" w:rsidRPr="00AC3044" w14:paraId="687703A7" w14:textId="77777777" w:rsidTr="005A428D">
        <w:trPr>
          <w:cantSplit/>
          <w:trHeight w:val="464"/>
        </w:trPr>
        <w:tc>
          <w:tcPr>
            <w:tcW w:w="168" w:type="pct"/>
          </w:tcPr>
          <w:p w14:paraId="2839F0A8" w14:textId="77777777" w:rsidR="008143D9" w:rsidRPr="00AC3044" w:rsidRDefault="008143D9" w:rsidP="005A428D">
            <w:pPr>
              <w:rPr>
                <w:rFonts w:eastAsia="SimSun"/>
              </w:rPr>
            </w:pPr>
            <w:r w:rsidRPr="00AC3044">
              <w:rPr>
                <w:rFonts w:eastAsia="SimSun"/>
              </w:rPr>
              <w:t>1</w:t>
            </w:r>
          </w:p>
        </w:tc>
        <w:tc>
          <w:tcPr>
            <w:tcW w:w="1133" w:type="pct"/>
            <w:vAlign w:val="center"/>
          </w:tcPr>
          <w:p w14:paraId="51D21779" w14:textId="77777777" w:rsidR="008143D9" w:rsidRPr="00AC3044" w:rsidRDefault="008143D9" w:rsidP="005A428D">
            <w:pPr>
              <w:rPr>
                <w:rFonts w:eastAsia="SimSun"/>
              </w:rPr>
            </w:pPr>
            <w:r w:rsidRPr="00AC3044">
              <w:rPr>
                <w:rFonts w:eastAsia="SimSun"/>
              </w:rPr>
              <w:t>Гепарин</w:t>
            </w:r>
          </w:p>
        </w:tc>
        <w:tc>
          <w:tcPr>
            <w:tcW w:w="614" w:type="pct"/>
            <w:vAlign w:val="center"/>
          </w:tcPr>
          <w:p w14:paraId="03DB70E0" w14:textId="77777777" w:rsidR="008143D9" w:rsidRPr="00AC3044" w:rsidRDefault="008143D9" w:rsidP="005A428D">
            <w:pPr>
              <w:rPr>
                <w:rFonts w:eastAsia="SimSun"/>
              </w:rPr>
            </w:pPr>
            <w:r w:rsidRPr="00AC3044">
              <w:rPr>
                <w:rFonts w:eastAsia="SimSun"/>
              </w:rPr>
              <w:t xml:space="preserve">12000 ЕД/сут </w:t>
            </w:r>
          </w:p>
        </w:tc>
        <w:tc>
          <w:tcPr>
            <w:tcW w:w="486" w:type="pct"/>
            <w:vAlign w:val="center"/>
          </w:tcPr>
          <w:p w14:paraId="1485F4C7" w14:textId="77777777" w:rsidR="008143D9" w:rsidRPr="00AC3044" w:rsidRDefault="008143D9" w:rsidP="005A428D">
            <w:pPr>
              <w:rPr>
                <w:rFonts w:eastAsia="SimSun"/>
              </w:rPr>
            </w:pPr>
            <w:r w:rsidRPr="00AC3044">
              <w:rPr>
                <w:rFonts w:eastAsia="SimSun"/>
              </w:rPr>
              <w:t>–</w:t>
            </w:r>
          </w:p>
        </w:tc>
        <w:tc>
          <w:tcPr>
            <w:tcW w:w="1370" w:type="pct"/>
            <w:vAlign w:val="center"/>
          </w:tcPr>
          <w:p w14:paraId="720C40FE" w14:textId="77777777" w:rsidR="008143D9" w:rsidRPr="00AC3044" w:rsidRDefault="008143D9" w:rsidP="005A428D">
            <w:pPr>
              <w:rPr>
                <w:rFonts w:eastAsia="SimSun"/>
              </w:rPr>
            </w:pPr>
            <w:r w:rsidRPr="00AC3044">
              <w:rPr>
                <w:rFonts w:eastAsia="SimSun"/>
              </w:rPr>
              <w:t>За день до начала кондиционирования по +14 день (до +28 дня включительно при инфицировании гепатитом В, С и/или тромбозах в анамнезе)</w:t>
            </w:r>
          </w:p>
        </w:tc>
        <w:tc>
          <w:tcPr>
            <w:tcW w:w="1229" w:type="pct"/>
            <w:vAlign w:val="center"/>
          </w:tcPr>
          <w:p w14:paraId="5B265425" w14:textId="77777777" w:rsidR="008143D9" w:rsidRPr="00AC3044" w:rsidRDefault="008143D9" w:rsidP="005A428D">
            <w:pPr>
              <w:rPr>
                <w:rFonts w:eastAsia="SimSun"/>
              </w:rPr>
            </w:pPr>
            <w:r w:rsidRPr="00AC3044">
              <w:rPr>
                <w:rFonts w:eastAsia="SimSun"/>
              </w:rPr>
              <w:t>В/в, инфузия в течение 24 ч</w:t>
            </w:r>
          </w:p>
        </w:tc>
      </w:tr>
      <w:tr w:rsidR="008143D9" w:rsidRPr="00AC3044" w14:paraId="6D859701" w14:textId="77777777" w:rsidTr="005A428D">
        <w:trPr>
          <w:cantSplit/>
          <w:trHeight w:val="464"/>
        </w:trPr>
        <w:tc>
          <w:tcPr>
            <w:tcW w:w="168" w:type="pct"/>
          </w:tcPr>
          <w:p w14:paraId="38D4134E" w14:textId="77777777" w:rsidR="008143D9" w:rsidRPr="00AC3044" w:rsidRDefault="008143D9" w:rsidP="005A428D">
            <w:pPr>
              <w:rPr>
                <w:rFonts w:eastAsia="SimSun"/>
              </w:rPr>
            </w:pPr>
            <w:r w:rsidRPr="00AC3044">
              <w:rPr>
                <w:rFonts w:eastAsia="SimSun"/>
              </w:rPr>
              <w:t>2</w:t>
            </w:r>
          </w:p>
        </w:tc>
        <w:tc>
          <w:tcPr>
            <w:tcW w:w="1133" w:type="pct"/>
            <w:vAlign w:val="center"/>
          </w:tcPr>
          <w:p w14:paraId="3AF577EB" w14:textId="77777777" w:rsidR="008143D9" w:rsidRPr="00AC3044" w:rsidRDefault="008143D9" w:rsidP="005A428D">
            <w:pPr>
              <w:rPr>
                <w:rFonts w:eastAsia="SimSun"/>
              </w:rPr>
            </w:pPr>
            <w:r w:rsidRPr="00AC3044">
              <w:rPr>
                <w:rFonts w:eastAsia="SimSun"/>
              </w:rPr>
              <w:t>Гепарин</w:t>
            </w:r>
          </w:p>
        </w:tc>
        <w:tc>
          <w:tcPr>
            <w:tcW w:w="614" w:type="pct"/>
            <w:vAlign w:val="center"/>
          </w:tcPr>
          <w:p w14:paraId="76065161" w14:textId="77777777" w:rsidR="008143D9" w:rsidRPr="00AC3044" w:rsidRDefault="008143D9" w:rsidP="005A428D">
            <w:pPr>
              <w:rPr>
                <w:rFonts w:eastAsia="SimSun"/>
              </w:rPr>
            </w:pPr>
            <w:r w:rsidRPr="00AC3044">
              <w:rPr>
                <w:rFonts w:eastAsia="SimSun"/>
              </w:rPr>
              <w:t xml:space="preserve">100 ЕД/кг </w:t>
            </w:r>
          </w:p>
        </w:tc>
        <w:tc>
          <w:tcPr>
            <w:tcW w:w="486" w:type="pct"/>
            <w:vAlign w:val="center"/>
          </w:tcPr>
          <w:p w14:paraId="6B6CDC5D" w14:textId="77777777" w:rsidR="008143D9" w:rsidRPr="00AC3044" w:rsidRDefault="008143D9" w:rsidP="005A428D">
            <w:pPr>
              <w:rPr>
                <w:rFonts w:eastAsia="SimSun"/>
              </w:rPr>
            </w:pPr>
            <w:r w:rsidRPr="00AC3044">
              <w:rPr>
                <w:rFonts w:eastAsia="SimSun"/>
              </w:rPr>
              <w:t>–</w:t>
            </w:r>
          </w:p>
        </w:tc>
        <w:tc>
          <w:tcPr>
            <w:tcW w:w="1370" w:type="pct"/>
            <w:vAlign w:val="center"/>
          </w:tcPr>
          <w:p w14:paraId="4A4ECBCD" w14:textId="77777777" w:rsidR="008143D9" w:rsidRPr="00AC3044" w:rsidRDefault="008143D9" w:rsidP="005A428D">
            <w:pPr>
              <w:rPr>
                <w:rFonts w:eastAsia="SimSun"/>
              </w:rPr>
            </w:pPr>
            <w:r w:rsidRPr="00AC3044">
              <w:rPr>
                <w:rFonts w:eastAsia="SimSun"/>
              </w:rPr>
              <w:t>Весь период использования ЦВК</w:t>
            </w:r>
          </w:p>
        </w:tc>
        <w:tc>
          <w:tcPr>
            <w:tcW w:w="1229" w:type="pct"/>
            <w:vAlign w:val="center"/>
          </w:tcPr>
          <w:p w14:paraId="4BED6697" w14:textId="77777777" w:rsidR="008143D9" w:rsidRPr="00AC3044" w:rsidRDefault="008143D9" w:rsidP="005A428D">
            <w:pPr>
              <w:rPr>
                <w:rFonts w:eastAsia="SimSun"/>
              </w:rPr>
            </w:pPr>
            <w:r w:rsidRPr="00AC3044">
              <w:rPr>
                <w:rFonts w:eastAsia="SimSun"/>
              </w:rPr>
              <w:t>В/в, инфузия в течение 24 ч</w:t>
            </w:r>
          </w:p>
        </w:tc>
      </w:tr>
      <w:tr w:rsidR="008143D9" w:rsidRPr="00AC3044" w14:paraId="2F2B994E" w14:textId="77777777" w:rsidTr="005A428D">
        <w:trPr>
          <w:cantSplit/>
          <w:trHeight w:val="464"/>
        </w:trPr>
        <w:tc>
          <w:tcPr>
            <w:tcW w:w="168" w:type="pct"/>
          </w:tcPr>
          <w:p w14:paraId="38FEEDA3" w14:textId="77777777" w:rsidR="008143D9" w:rsidRPr="00AC3044" w:rsidRDefault="008143D9" w:rsidP="005A428D">
            <w:pPr>
              <w:rPr>
                <w:rFonts w:eastAsia="SimSun"/>
              </w:rPr>
            </w:pPr>
            <w:r w:rsidRPr="00AC3044">
              <w:rPr>
                <w:rFonts w:eastAsia="SimSun"/>
              </w:rPr>
              <w:t>3</w:t>
            </w:r>
          </w:p>
        </w:tc>
        <w:tc>
          <w:tcPr>
            <w:tcW w:w="1133" w:type="pct"/>
            <w:vAlign w:val="center"/>
          </w:tcPr>
          <w:p w14:paraId="26EF4BD3" w14:textId="77777777" w:rsidR="008143D9" w:rsidRPr="00AC3044" w:rsidRDefault="008143D9" w:rsidP="005A428D">
            <w:pPr>
              <w:rPr>
                <w:rFonts w:eastAsia="SimSun"/>
              </w:rPr>
            </w:pPr>
            <w:r w:rsidRPr="00AC3044">
              <w:rPr>
                <w:rFonts w:eastAsia="SimSun"/>
              </w:rPr>
              <w:t>Гепарин</w:t>
            </w:r>
          </w:p>
        </w:tc>
        <w:tc>
          <w:tcPr>
            <w:tcW w:w="614" w:type="pct"/>
            <w:vAlign w:val="center"/>
          </w:tcPr>
          <w:p w14:paraId="453CADAD" w14:textId="77777777" w:rsidR="008143D9" w:rsidRPr="00AC3044" w:rsidRDefault="008143D9" w:rsidP="005A428D">
            <w:pPr>
              <w:rPr>
                <w:rFonts w:eastAsia="SimSun"/>
              </w:rPr>
            </w:pPr>
            <w:r w:rsidRPr="00AC3044">
              <w:rPr>
                <w:rFonts w:eastAsia="SimSun"/>
              </w:rPr>
              <w:t xml:space="preserve">100-500 ЕД/кг </w:t>
            </w:r>
          </w:p>
        </w:tc>
        <w:tc>
          <w:tcPr>
            <w:tcW w:w="486" w:type="pct"/>
            <w:vAlign w:val="center"/>
          </w:tcPr>
          <w:p w14:paraId="43DF9F63" w14:textId="77777777" w:rsidR="008143D9" w:rsidRPr="00AC3044" w:rsidRDefault="008143D9" w:rsidP="005A428D">
            <w:pPr>
              <w:rPr>
                <w:rFonts w:eastAsia="SimSun"/>
              </w:rPr>
            </w:pPr>
            <w:r w:rsidRPr="00AC3044">
              <w:rPr>
                <w:rFonts w:eastAsia="SimSun"/>
              </w:rPr>
              <w:t>–</w:t>
            </w:r>
          </w:p>
        </w:tc>
        <w:tc>
          <w:tcPr>
            <w:tcW w:w="1370" w:type="pct"/>
            <w:vAlign w:val="center"/>
          </w:tcPr>
          <w:p w14:paraId="74F27520" w14:textId="77777777" w:rsidR="008143D9" w:rsidRPr="00AC3044" w:rsidRDefault="008143D9" w:rsidP="005A428D">
            <w:pPr>
              <w:rPr>
                <w:rFonts w:eastAsia="SimSun"/>
              </w:rPr>
            </w:pPr>
            <w:r w:rsidRPr="00AC3044">
              <w:rPr>
                <w:rFonts w:eastAsia="SimSun"/>
              </w:rPr>
              <w:t>Под контролем АЧТВ, в среднем 14-42 дня</w:t>
            </w:r>
          </w:p>
        </w:tc>
        <w:tc>
          <w:tcPr>
            <w:tcW w:w="1229" w:type="pct"/>
            <w:vAlign w:val="center"/>
          </w:tcPr>
          <w:p w14:paraId="14843680" w14:textId="77777777" w:rsidR="008143D9" w:rsidRPr="00AC3044" w:rsidRDefault="008143D9" w:rsidP="005A428D">
            <w:pPr>
              <w:rPr>
                <w:rFonts w:eastAsia="SimSun"/>
              </w:rPr>
            </w:pPr>
            <w:r w:rsidRPr="00AC3044">
              <w:rPr>
                <w:rFonts w:eastAsia="SimSun"/>
              </w:rPr>
              <w:t>В/в, инфузия в течение 24 ч</w:t>
            </w:r>
          </w:p>
        </w:tc>
      </w:tr>
      <w:tr w:rsidR="008143D9" w:rsidRPr="00AC3044" w14:paraId="4FF1BAAB" w14:textId="77777777" w:rsidTr="005A428D">
        <w:trPr>
          <w:cantSplit/>
          <w:trHeight w:val="464"/>
        </w:trPr>
        <w:tc>
          <w:tcPr>
            <w:tcW w:w="168" w:type="pct"/>
          </w:tcPr>
          <w:p w14:paraId="36A4FFC8" w14:textId="77777777" w:rsidR="008143D9" w:rsidRPr="00AC3044" w:rsidRDefault="008143D9" w:rsidP="005A428D">
            <w:pPr>
              <w:rPr>
                <w:rFonts w:eastAsia="SimSun"/>
              </w:rPr>
            </w:pPr>
            <w:r w:rsidRPr="00AC3044">
              <w:rPr>
                <w:rFonts w:eastAsia="SimSun"/>
              </w:rPr>
              <w:t>4</w:t>
            </w:r>
          </w:p>
        </w:tc>
        <w:tc>
          <w:tcPr>
            <w:tcW w:w="1133" w:type="pct"/>
            <w:vAlign w:val="center"/>
          </w:tcPr>
          <w:p w14:paraId="72F56934" w14:textId="77777777" w:rsidR="008143D9" w:rsidRPr="00AC3044" w:rsidRDefault="008143D9" w:rsidP="005A428D">
            <w:pPr>
              <w:rPr>
                <w:rFonts w:eastAsia="SimSun"/>
              </w:rPr>
            </w:pPr>
            <w:r w:rsidRPr="00AC3044">
              <w:rPr>
                <w:rFonts w:eastAsia="SimSun"/>
              </w:rPr>
              <w:t>Низкомолекулряные гепарины</w:t>
            </w:r>
          </w:p>
        </w:tc>
        <w:tc>
          <w:tcPr>
            <w:tcW w:w="3699" w:type="pct"/>
            <w:gridSpan w:val="4"/>
            <w:vAlign w:val="center"/>
          </w:tcPr>
          <w:p w14:paraId="4BD1F005" w14:textId="77777777" w:rsidR="008143D9" w:rsidRPr="00AC3044" w:rsidRDefault="008143D9" w:rsidP="005A428D">
            <w:pPr>
              <w:rPr>
                <w:rFonts w:eastAsia="SimSun"/>
              </w:rPr>
            </w:pPr>
            <w:r w:rsidRPr="00AC3044">
              <w:rPr>
                <w:rFonts w:eastAsia="SimSun"/>
              </w:rPr>
              <w:t>В соответсвии с рекомендациями производителя и клинической ситуации, в среднем 14-42 дня.</w:t>
            </w:r>
          </w:p>
        </w:tc>
      </w:tr>
      <w:tr w:rsidR="008143D9" w:rsidRPr="00AC3044" w14:paraId="31E22FA6" w14:textId="77777777" w:rsidTr="005A428D">
        <w:trPr>
          <w:cantSplit/>
          <w:trHeight w:val="464"/>
        </w:trPr>
        <w:tc>
          <w:tcPr>
            <w:tcW w:w="5000" w:type="pct"/>
            <w:gridSpan w:val="6"/>
          </w:tcPr>
          <w:p w14:paraId="07931D92" w14:textId="77777777" w:rsidR="008143D9" w:rsidRPr="00AC3044" w:rsidRDefault="008143D9" w:rsidP="005A428D">
            <w:pPr>
              <w:rPr>
                <w:rFonts w:eastAsia="SimSun"/>
              </w:rPr>
            </w:pPr>
            <w:r w:rsidRPr="00AC3044">
              <w:rPr>
                <w:rFonts w:eastAsia="SimSun"/>
              </w:rPr>
              <w:t>Противосудорожная терапия</w:t>
            </w:r>
          </w:p>
        </w:tc>
      </w:tr>
      <w:tr w:rsidR="008143D9" w:rsidRPr="00AC3044" w14:paraId="1369CCA1" w14:textId="77777777" w:rsidTr="005A428D">
        <w:trPr>
          <w:cantSplit/>
          <w:trHeight w:val="464"/>
        </w:trPr>
        <w:tc>
          <w:tcPr>
            <w:tcW w:w="168" w:type="pct"/>
          </w:tcPr>
          <w:p w14:paraId="4D4AC354" w14:textId="77777777" w:rsidR="008143D9" w:rsidRPr="00AC3044" w:rsidRDefault="008143D9" w:rsidP="005A428D">
            <w:pPr>
              <w:rPr>
                <w:rFonts w:eastAsia="SimSun"/>
              </w:rPr>
            </w:pPr>
            <w:r w:rsidRPr="00AC3044">
              <w:rPr>
                <w:rFonts w:eastAsia="SimSun"/>
              </w:rPr>
              <w:t>1</w:t>
            </w:r>
          </w:p>
        </w:tc>
        <w:tc>
          <w:tcPr>
            <w:tcW w:w="1133" w:type="pct"/>
            <w:vAlign w:val="center"/>
          </w:tcPr>
          <w:p w14:paraId="4834470E" w14:textId="77777777" w:rsidR="008143D9" w:rsidRPr="00AC3044" w:rsidRDefault="008143D9" w:rsidP="005A428D">
            <w:pPr>
              <w:rPr>
                <w:rFonts w:eastAsia="SimSun"/>
              </w:rPr>
            </w:pPr>
            <w:r w:rsidRPr="00AC3044">
              <w:rPr>
                <w:rFonts w:eastAsia="SimSun"/>
              </w:rPr>
              <w:t>Карбамазепин</w:t>
            </w:r>
          </w:p>
        </w:tc>
        <w:tc>
          <w:tcPr>
            <w:tcW w:w="614" w:type="pct"/>
            <w:vAlign w:val="center"/>
          </w:tcPr>
          <w:p w14:paraId="1896C040" w14:textId="77777777" w:rsidR="008143D9" w:rsidRPr="00AC3044" w:rsidRDefault="008143D9" w:rsidP="005A428D">
            <w:pPr>
              <w:rPr>
                <w:rFonts w:eastAsia="SimSun"/>
              </w:rPr>
            </w:pPr>
            <w:r w:rsidRPr="00AC3044">
              <w:rPr>
                <w:rFonts w:eastAsia="SimSun"/>
              </w:rPr>
              <w:t>200 мг</w:t>
            </w:r>
          </w:p>
        </w:tc>
        <w:tc>
          <w:tcPr>
            <w:tcW w:w="486" w:type="pct"/>
            <w:vAlign w:val="center"/>
          </w:tcPr>
          <w:p w14:paraId="6A5A1AC2" w14:textId="77777777" w:rsidR="008143D9" w:rsidRPr="00AC3044" w:rsidRDefault="008143D9" w:rsidP="005A428D">
            <w:pPr>
              <w:rPr>
                <w:rFonts w:eastAsia="SimSun"/>
              </w:rPr>
            </w:pPr>
            <w:r w:rsidRPr="00AC3044">
              <w:rPr>
                <w:rFonts w:eastAsia="SimSun"/>
              </w:rPr>
              <w:t>–</w:t>
            </w:r>
          </w:p>
        </w:tc>
        <w:tc>
          <w:tcPr>
            <w:tcW w:w="1370" w:type="pct"/>
            <w:vAlign w:val="center"/>
          </w:tcPr>
          <w:p w14:paraId="1DC17792" w14:textId="77777777" w:rsidR="008143D9" w:rsidRPr="00AC3044" w:rsidRDefault="008143D9" w:rsidP="005A428D">
            <w:pPr>
              <w:rPr>
                <w:rFonts w:eastAsia="SimSun"/>
              </w:rPr>
            </w:pPr>
            <w:r w:rsidRPr="00AC3044">
              <w:rPr>
                <w:rFonts w:eastAsia="SimSun"/>
              </w:rPr>
              <w:t xml:space="preserve">За сутки до введения бусульфана, в дни приема бусульфана, день следующий после окончания приема бусульфана </w:t>
            </w:r>
          </w:p>
        </w:tc>
        <w:tc>
          <w:tcPr>
            <w:tcW w:w="1229" w:type="pct"/>
            <w:vAlign w:val="center"/>
          </w:tcPr>
          <w:p w14:paraId="2214CF84" w14:textId="77777777" w:rsidR="008143D9" w:rsidRPr="00AC3044" w:rsidRDefault="008143D9" w:rsidP="005A428D">
            <w:pPr>
              <w:rPr>
                <w:rFonts w:eastAsia="SimSun"/>
              </w:rPr>
            </w:pPr>
            <w:r w:rsidRPr="00AC3044">
              <w:rPr>
                <w:rFonts w:eastAsia="SimSun"/>
              </w:rPr>
              <w:t>Внутрь, 100 мг 2 раза/сут</w:t>
            </w:r>
          </w:p>
        </w:tc>
      </w:tr>
      <w:tr w:rsidR="008143D9" w:rsidRPr="00AC3044" w14:paraId="1068F6A5" w14:textId="77777777" w:rsidTr="005A428D">
        <w:trPr>
          <w:cantSplit/>
          <w:trHeight w:val="464"/>
        </w:trPr>
        <w:tc>
          <w:tcPr>
            <w:tcW w:w="168" w:type="pct"/>
          </w:tcPr>
          <w:p w14:paraId="5CDBEF83" w14:textId="77777777" w:rsidR="008143D9" w:rsidRPr="00AC3044" w:rsidRDefault="008143D9" w:rsidP="005A428D">
            <w:pPr>
              <w:rPr>
                <w:rFonts w:eastAsia="SimSun"/>
              </w:rPr>
            </w:pPr>
            <w:r w:rsidRPr="00AC3044">
              <w:rPr>
                <w:rFonts w:eastAsia="SimSun"/>
              </w:rPr>
              <w:t>2</w:t>
            </w:r>
          </w:p>
        </w:tc>
        <w:tc>
          <w:tcPr>
            <w:tcW w:w="1133" w:type="pct"/>
            <w:vAlign w:val="center"/>
          </w:tcPr>
          <w:p w14:paraId="7C80692D" w14:textId="77777777" w:rsidR="008143D9" w:rsidRPr="00AC3044" w:rsidRDefault="008143D9" w:rsidP="005A428D">
            <w:pPr>
              <w:rPr>
                <w:rFonts w:eastAsia="SimSun"/>
              </w:rPr>
            </w:pPr>
            <w:r w:rsidRPr="00AC3044">
              <w:rPr>
                <w:rFonts w:eastAsia="SimSun"/>
              </w:rPr>
              <w:t>Диазепам (допускается, особенно при наличии судорожного синдрома в анамнезе)</w:t>
            </w:r>
          </w:p>
        </w:tc>
        <w:tc>
          <w:tcPr>
            <w:tcW w:w="614" w:type="pct"/>
            <w:vAlign w:val="center"/>
          </w:tcPr>
          <w:p w14:paraId="654FD576" w14:textId="77777777" w:rsidR="008143D9" w:rsidRPr="00AC3044" w:rsidRDefault="008143D9" w:rsidP="005A428D">
            <w:pPr>
              <w:rPr>
                <w:rFonts w:eastAsia="SimSun"/>
              </w:rPr>
            </w:pPr>
            <w:r w:rsidRPr="00AC3044">
              <w:rPr>
                <w:rFonts w:eastAsia="SimSun"/>
              </w:rPr>
              <w:t>10 мг</w:t>
            </w:r>
          </w:p>
        </w:tc>
        <w:tc>
          <w:tcPr>
            <w:tcW w:w="486" w:type="pct"/>
            <w:vAlign w:val="center"/>
          </w:tcPr>
          <w:p w14:paraId="42BD0248" w14:textId="77777777" w:rsidR="008143D9" w:rsidRPr="00AC3044" w:rsidRDefault="008143D9" w:rsidP="005A428D">
            <w:pPr>
              <w:rPr>
                <w:rFonts w:eastAsia="SimSun"/>
              </w:rPr>
            </w:pPr>
            <w:r w:rsidRPr="00AC3044">
              <w:rPr>
                <w:rFonts w:eastAsia="SimSun"/>
              </w:rPr>
              <w:t>–</w:t>
            </w:r>
          </w:p>
        </w:tc>
        <w:tc>
          <w:tcPr>
            <w:tcW w:w="1370" w:type="pct"/>
            <w:vAlign w:val="center"/>
          </w:tcPr>
          <w:p w14:paraId="680D6C01" w14:textId="77777777" w:rsidR="008143D9" w:rsidRPr="00AC3044" w:rsidRDefault="008143D9" w:rsidP="005A428D">
            <w:pPr>
              <w:rPr>
                <w:rFonts w:eastAsia="SimSun"/>
              </w:rPr>
            </w:pPr>
            <w:r w:rsidRPr="00AC3044">
              <w:rPr>
                <w:rFonts w:eastAsia="SimSun"/>
              </w:rPr>
              <w:t>В дни введения ЦФ</w:t>
            </w:r>
          </w:p>
        </w:tc>
        <w:tc>
          <w:tcPr>
            <w:tcW w:w="1229" w:type="pct"/>
            <w:vAlign w:val="center"/>
          </w:tcPr>
          <w:p w14:paraId="65F5591F" w14:textId="77777777" w:rsidR="008143D9" w:rsidRPr="00AC3044" w:rsidRDefault="008143D9" w:rsidP="005A428D">
            <w:pPr>
              <w:rPr>
                <w:rFonts w:eastAsia="SimSun"/>
              </w:rPr>
            </w:pPr>
            <w:r w:rsidRPr="00AC3044">
              <w:rPr>
                <w:rFonts w:eastAsia="SimSun"/>
              </w:rPr>
              <w:t>В/в, на ночь</w:t>
            </w:r>
          </w:p>
        </w:tc>
      </w:tr>
      <w:tr w:rsidR="008143D9" w:rsidRPr="00AC3044" w14:paraId="71844F4A" w14:textId="77777777" w:rsidTr="005A428D">
        <w:trPr>
          <w:cantSplit/>
          <w:trHeight w:val="464"/>
        </w:trPr>
        <w:tc>
          <w:tcPr>
            <w:tcW w:w="168" w:type="pct"/>
          </w:tcPr>
          <w:p w14:paraId="25CADF80" w14:textId="77777777" w:rsidR="008143D9" w:rsidRPr="00AC3044" w:rsidRDefault="008143D9" w:rsidP="005A428D">
            <w:pPr>
              <w:rPr>
                <w:rFonts w:eastAsia="SimSun"/>
              </w:rPr>
            </w:pPr>
            <w:r w:rsidRPr="00AC3044">
              <w:rPr>
                <w:rFonts w:eastAsia="SimSun"/>
              </w:rPr>
              <w:t>3</w:t>
            </w:r>
          </w:p>
        </w:tc>
        <w:tc>
          <w:tcPr>
            <w:tcW w:w="1133" w:type="pct"/>
            <w:vAlign w:val="center"/>
          </w:tcPr>
          <w:p w14:paraId="72ECF6E1" w14:textId="77777777" w:rsidR="008143D9" w:rsidRPr="00AC3044" w:rsidRDefault="008143D9" w:rsidP="005A428D">
            <w:pPr>
              <w:rPr>
                <w:rFonts w:eastAsia="SimSun"/>
              </w:rPr>
            </w:pPr>
            <w:r w:rsidRPr="00AC3044">
              <w:rPr>
                <w:rFonts w:eastAsia="SimSun"/>
              </w:rPr>
              <w:t>Левитирацетам</w:t>
            </w:r>
          </w:p>
        </w:tc>
        <w:tc>
          <w:tcPr>
            <w:tcW w:w="614" w:type="pct"/>
            <w:vAlign w:val="center"/>
          </w:tcPr>
          <w:p w14:paraId="07C81D96" w14:textId="77777777" w:rsidR="008143D9" w:rsidRPr="00AC3044" w:rsidRDefault="008143D9" w:rsidP="005A428D">
            <w:pPr>
              <w:rPr>
                <w:rFonts w:eastAsia="SimSun"/>
              </w:rPr>
            </w:pPr>
            <w:r w:rsidRPr="00AC3044">
              <w:rPr>
                <w:rFonts w:eastAsia="SimSun"/>
              </w:rPr>
              <w:t>500 мг</w:t>
            </w:r>
          </w:p>
        </w:tc>
        <w:tc>
          <w:tcPr>
            <w:tcW w:w="486" w:type="pct"/>
            <w:vAlign w:val="center"/>
          </w:tcPr>
          <w:p w14:paraId="2323C31C" w14:textId="77777777" w:rsidR="008143D9" w:rsidRPr="00AC3044" w:rsidRDefault="008143D9" w:rsidP="005A428D">
            <w:pPr>
              <w:rPr>
                <w:rFonts w:eastAsia="SimSun"/>
              </w:rPr>
            </w:pPr>
            <w:r w:rsidRPr="00AC3044">
              <w:rPr>
                <w:rFonts w:eastAsia="SimSun"/>
              </w:rPr>
              <w:t>–</w:t>
            </w:r>
          </w:p>
        </w:tc>
        <w:tc>
          <w:tcPr>
            <w:tcW w:w="1370" w:type="pct"/>
            <w:vAlign w:val="center"/>
          </w:tcPr>
          <w:p w14:paraId="2E00C4D1" w14:textId="77777777" w:rsidR="008143D9" w:rsidRPr="00AC3044" w:rsidRDefault="008143D9" w:rsidP="005A428D">
            <w:pPr>
              <w:rPr>
                <w:rFonts w:eastAsia="SimSun"/>
              </w:rPr>
            </w:pPr>
            <w:r w:rsidRPr="00AC3044">
              <w:rPr>
                <w:rFonts w:eastAsia="SimSun"/>
              </w:rPr>
              <w:t>За сутки до введения бусульфана, в дни приема бусульфана, день следующий после окончания приема бусульфана</w:t>
            </w:r>
          </w:p>
        </w:tc>
        <w:tc>
          <w:tcPr>
            <w:tcW w:w="1229" w:type="pct"/>
            <w:vAlign w:val="center"/>
          </w:tcPr>
          <w:p w14:paraId="6E8B4FE1" w14:textId="77777777" w:rsidR="008143D9" w:rsidRPr="00AC3044" w:rsidRDefault="008143D9" w:rsidP="005A428D">
            <w:pPr>
              <w:rPr>
                <w:rFonts w:eastAsia="SimSun"/>
              </w:rPr>
            </w:pPr>
            <w:r w:rsidRPr="00AC3044">
              <w:rPr>
                <w:rFonts w:eastAsia="SimSun"/>
              </w:rPr>
              <w:t>Внутрь, по 250 мг 2 раза/сут</w:t>
            </w:r>
          </w:p>
        </w:tc>
      </w:tr>
      <w:tr w:rsidR="008143D9" w:rsidRPr="00AC3044" w14:paraId="2BE5AC23" w14:textId="77777777" w:rsidTr="005A428D">
        <w:trPr>
          <w:cantSplit/>
          <w:trHeight w:val="464"/>
        </w:trPr>
        <w:tc>
          <w:tcPr>
            <w:tcW w:w="168" w:type="pct"/>
          </w:tcPr>
          <w:p w14:paraId="7BE2C117" w14:textId="77777777" w:rsidR="008143D9" w:rsidRPr="00AC3044" w:rsidRDefault="008143D9" w:rsidP="005A428D">
            <w:pPr>
              <w:rPr>
                <w:rFonts w:eastAsia="SimSun"/>
              </w:rPr>
            </w:pPr>
            <w:r w:rsidRPr="00AC3044">
              <w:rPr>
                <w:rFonts w:eastAsia="SimSun"/>
              </w:rPr>
              <w:t>4</w:t>
            </w:r>
          </w:p>
        </w:tc>
        <w:tc>
          <w:tcPr>
            <w:tcW w:w="1133" w:type="pct"/>
            <w:vAlign w:val="center"/>
          </w:tcPr>
          <w:p w14:paraId="45168F42" w14:textId="77777777" w:rsidR="008143D9" w:rsidRPr="00AC3044" w:rsidRDefault="008143D9" w:rsidP="005A428D">
            <w:pPr>
              <w:rPr>
                <w:rFonts w:eastAsia="SimSun"/>
              </w:rPr>
            </w:pPr>
            <w:r w:rsidRPr="00AC3044">
              <w:rPr>
                <w:rFonts w:eastAsia="SimSun"/>
              </w:rPr>
              <w:t>Левитирацетам</w:t>
            </w:r>
          </w:p>
        </w:tc>
        <w:tc>
          <w:tcPr>
            <w:tcW w:w="614" w:type="pct"/>
            <w:vAlign w:val="center"/>
          </w:tcPr>
          <w:p w14:paraId="0D82B337" w14:textId="77777777" w:rsidR="008143D9" w:rsidRPr="00AC3044" w:rsidRDefault="008143D9" w:rsidP="005A428D">
            <w:pPr>
              <w:rPr>
                <w:rFonts w:eastAsia="SimSun"/>
              </w:rPr>
            </w:pPr>
            <w:r w:rsidRPr="00AC3044">
              <w:rPr>
                <w:rFonts w:eastAsia="SimSun"/>
              </w:rPr>
              <w:t>1000 мг</w:t>
            </w:r>
          </w:p>
        </w:tc>
        <w:tc>
          <w:tcPr>
            <w:tcW w:w="486" w:type="pct"/>
            <w:vAlign w:val="center"/>
          </w:tcPr>
          <w:p w14:paraId="6A220F75" w14:textId="77777777" w:rsidR="008143D9" w:rsidRPr="00AC3044" w:rsidRDefault="008143D9" w:rsidP="005A428D">
            <w:pPr>
              <w:rPr>
                <w:rFonts w:eastAsia="SimSun"/>
              </w:rPr>
            </w:pPr>
            <w:r w:rsidRPr="00AC3044">
              <w:rPr>
                <w:rFonts w:eastAsia="SimSun"/>
              </w:rPr>
              <w:t>–</w:t>
            </w:r>
          </w:p>
        </w:tc>
        <w:tc>
          <w:tcPr>
            <w:tcW w:w="1370" w:type="pct"/>
            <w:vAlign w:val="center"/>
          </w:tcPr>
          <w:p w14:paraId="37B7EA79" w14:textId="77777777" w:rsidR="008143D9" w:rsidRPr="00AC3044" w:rsidRDefault="008143D9" w:rsidP="005A428D">
            <w:pPr>
              <w:rPr>
                <w:rFonts w:eastAsia="SimSun"/>
              </w:rPr>
            </w:pPr>
            <w:r w:rsidRPr="00AC3044">
              <w:rPr>
                <w:rFonts w:eastAsia="SimSun"/>
              </w:rPr>
              <w:t>За сутки до введения бусульфана, в дни приема бусульфана, день следующий после окончания приема бусульфана</w:t>
            </w:r>
          </w:p>
        </w:tc>
        <w:tc>
          <w:tcPr>
            <w:tcW w:w="1229" w:type="pct"/>
            <w:vAlign w:val="center"/>
          </w:tcPr>
          <w:p w14:paraId="25AAFE2C" w14:textId="77777777" w:rsidR="008143D9" w:rsidRPr="00AC3044" w:rsidRDefault="008143D9" w:rsidP="005A428D">
            <w:pPr>
              <w:rPr>
                <w:rFonts w:eastAsia="SimSun"/>
              </w:rPr>
            </w:pPr>
            <w:r w:rsidRPr="00AC3044">
              <w:rPr>
                <w:rFonts w:eastAsia="SimSun"/>
              </w:rPr>
              <w:t>Внутрь, по 1000 мг 2 раза/сут</w:t>
            </w:r>
          </w:p>
        </w:tc>
      </w:tr>
      <w:tr w:rsidR="008143D9" w:rsidRPr="00AC3044" w14:paraId="786D2198" w14:textId="77777777" w:rsidTr="005A428D">
        <w:trPr>
          <w:cantSplit/>
          <w:trHeight w:val="464"/>
        </w:trPr>
        <w:tc>
          <w:tcPr>
            <w:tcW w:w="5000" w:type="pct"/>
            <w:gridSpan w:val="6"/>
          </w:tcPr>
          <w:p w14:paraId="25097F80" w14:textId="77777777" w:rsidR="008143D9" w:rsidRPr="00AC3044" w:rsidRDefault="008143D9" w:rsidP="005A428D">
            <w:pPr>
              <w:rPr>
                <w:rFonts w:eastAsia="SimSun"/>
              </w:rPr>
            </w:pPr>
            <w:r w:rsidRPr="00AC3044">
              <w:rPr>
                <w:rFonts w:eastAsia="SimSun"/>
              </w:rPr>
              <w:t>Антисекреторная терапия</w:t>
            </w:r>
          </w:p>
        </w:tc>
      </w:tr>
      <w:tr w:rsidR="008143D9" w:rsidRPr="00AC3044" w14:paraId="0256BC93" w14:textId="77777777" w:rsidTr="005A428D">
        <w:trPr>
          <w:cantSplit/>
          <w:trHeight w:val="464"/>
        </w:trPr>
        <w:tc>
          <w:tcPr>
            <w:tcW w:w="168" w:type="pct"/>
          </w:tcPr>
          <w:p w14:paraId="0DAECB18" w14:textId="77777777" w:rsidR="008143D9" w:rsidRPr="00AC3044" w:rsidRDefault="008143D9" w:rsidP="005A428D">
            <w:pPr>
              <w:rPr>
                <w:rFonts w:eastAsia="SimSun"/>
              </w:rPr>
            </w:pPr>
            <w:r w:rsidRPr="00AC3044">
              <w:rPr>
                <w:rFonts w:eastAsia="SimSun"/>
              </w:rPr>
              <w:t>1</w:t>
            </w:r>
          </w:p>
        </w:tc>
        <w:tc>
          <w:tcPr>
            <w:tcW w:w="1133" w:type="pct"/>
            <w:vAlign w:val="center"/>
          </w:tcPr>
          <w:p w14:paraId="05B20966" w14:textId="77777777" w:rsidR="008143D9" w:rsidRPr="00AC3044" w:rsidRDefault="008143D9" w:rsidP="005A428D">
            <w:pPr>
              <w:rPr>
                <w:rFonts w:eastAsia="SimSun"/>
              </w:rPr>
            </w:pPr>
            <w:r w:rsidRPr="00AC3044">
              <w:rPr>
                <w:rFonts w:eastAsia="SimSun"/>
              </w:rPr>
              <w:t xml:space="preserve">Омепразол </w:t>
            </w:r>
          </w:p>
        </w:tc>
        <w:tc>
          <w:tcPr>
            <w:tcW w:w="614" w:type="pct"/>
            <w:vAlign w:val="center"/>
          </w:tcPr>
          <w:p w14:paraId="1A1F51F1" w14:textId="77777777" w:rsidR="008143D9" w:rsidRPr="00AC3044" w:rsidRDefault="008143D9" w:rsidP="005A428D">
            <w:pPr>
              <w:rPr>
                <w:rFonts w:eastAsia="SimSun"/>
              </w:rPr>
            </w:pPr>
            <w:r w:rsidRPr="00AC3044">
              <w:rPr>
                <w:rFonts w:eastAsia="SimSun"/>
              </w:rPr>
              <w:t>20-40 мг</w:t>
            </w:r>
          </w:p>
        </w:tc>
        <w:tc>
          <w:tcPr>
            <w:tcW w:w="486" w:type="pct"/>
            <w:vAlign w:val="center"/>
          </w:tcPr>
          <w:p w14:paraId="3E9753C2" w14:textId="77777777" w:rsidR="008143D9" w:rsidRPr="00AC3044" w:rsidRDefault="008143D9" w:rsidP="005A428D">
            <w:pPr>
              <w:rPr>
                <w:rFonts w:eastAsia="SimSun"/>
              </w:rPr>
            </w:pPr>
            <w:r w:rsidRPr="00AC3044">
              <w:rPr>
                <w:rFonts w:eastAsia="SimSun"/>
              </w:rPr>
              <w:t>–</w:t>
            </w:r>
          </w:p>
        </w:tc>
        <w:tc>
          <w:tcPr>
            <w:tcW w:w="1370" w:type="pct"/>
            <w:vAlign w:val="center"/>
          </w:tcPr>
          <w:p w14:paraId="4E74FEB6" w14:textId="77777777" w:rsidR="008143D9" w:rsidRPr="00AC3044" w:rsidRDefault="008143D9" w:rsidP="005A428D">
            <w:pPr>
              <w:rPr>
                <w:rFonts w:eastAsia="SimSun"/>
              </w:rPr>
            </w:pPr>
            <w:r w:rsidRPr="00AC3044">
              <w:rPr>
                <w:rFonts w:eastAsia="SimSun"/>
              </w:rPr>
              <w:t>В соответсвии с клинической ситуацией, в среднем 14-42 дня</w:t>
            </w:r>
          </w:p>
        </w:tc>
        <w:tc>
          <w:tcPr>
            <w:tcW w:w="1229" w:type="pct"/>
          </w:tcPr>
          <w:p w14:paraId="795C5FA9" w14:textId="77777777" w:rsidR="008143D9" w:rsidRPr="00AC3044" w:rsidRDefault="008143D9" w:rsidP="005A428D">
            <w:pPr>
              <w:rPr>
                <w:rFonts w:eastAsia="SimSun"/>
              </w:rPr>
            </w:pPr>
            <w:r w:rsidRPr="00AC3044">
              <w:rPr>
                <w:rFonts w:eastAsia="SimSun"/>
              </w:rPr>
              <w:t>Внутрь, 1 раз в сутки;</w:t>
            </w:r>
          </w:p>
          <w:p w14:paraId="67CEC489" w14:textId="77777777" w:rsidR="008143D9" w:rsidRPr="00AC3044" w:rsidRDefault="008143D9" w:rsidP="005A428D">
            <w:pPr>
              <w:rPr>
                <w:rFonts w:eastAsia="SimSun"/>
              </w:rPr>
            </w:pPr>
            <w:r w:rsidRPr="00AC3044">
              <w:rPr>
                <w:rFonts w:eastAsia="SimSun"/>
              </w:rPr>
              <w:t>в/в, 1 раз в сутки</w:t>
            </w:r>
          </w:p>
        </w:tc>
      </w:tr>
      <w:tr w:rsidR="008143D9" w:rsidRPr="00AC3044" w14:paraId="77F1FD5E" w14:textId="77777777" w:rsidTr="005A428D">
        <w:trPr>
          <w:cantSplit/>
          <w:trHeight w:val="464"/>
        </w:trPr>
        <w:tc>
          <w:tcPr>
            <w:tcW w:w="168" w:type="pct"/>
          </w:tcPr>
          <w:p w14:paraId="548D1018" w14:textId="77777777" w:rsidR="008143D9" w:rsidRPr="00AC3044" w:rsidRDefault="008143D9" w:rsidP="005A428D">
            <w:pPr>
              <w:rPr>
                <w:rFonts w:eastAsia="SimSun"/>
              </w:rPr>
            </w:pPr>
            <w:r w:rsidRPr="00AC3044">
              <w:rPr>
                <w:rFonts w:eastAsia="SimSun"/>
              </w:rPr>
              <w:t>2</w:t>
            </w:r>
          </w:p>
        </w:tc>
        <w:tc>
          <w:tcPr>
            <w:tcW w:w="1133" w:type="pct"/>
          </w:tcPr>
          <w:p w14:paraId="42AF4781" w14:textId="77777777" w:rsidR="008143D9" w:rsidRPr="00AC3044" w:rsidRDefault="008143D9" w:rsidP="005A428D">
            <w:pPr>
              <w:rPr>
                <w:rFonts w:eastAsia="SimSun"/>
              </w:rPr>
            </w:pPr>
            <w:r w:rsidRPr="00AC3044">
              <w:rPr>
                <w:rFonts w:eastAsia="SimSun"/>
              </w:rPr>
              <w:t>Лансопразол</w:t>
            </w:r>
          </w:p>
        </w:tc>
        <w:tc>
          <w:tcPr>
            <w:tcW w:w="614" w:type="pct"/>
          </w:tcPr>
          <w:p w14:paraId="59570816" w14:textId="77777777" w:rsidR="008143D9" w:rsidRPr="00AC3044" w:rsidRDefault="008143D9" w:rsidP="005A428D">
            <w:pPr>
              <w:rPr>
                <w:rFonts w:eastAsia="SimSun"/>
              </w:rPr>
            </w:pPr>
            <w:r w:rsidRPr="00AC3044">
              <w:rPr>
                <w:rFonts w:eastAsia="SimSun"/>
              </w:rPr>
              <w:t xml:space="preserve">30 </w:t>
            </w:r>
          </w:p>
        </w:tc>
        <w:tc>
          <w:tcPr>
            <w:tcW w:w="486" w:type="pct"/>
            <w:vAlign w:val="center"/>
          </w:tcPr>
          <w:p w14:paraId="7ADE273B" w14:textId="77777777" w:rsidR="008143D9" w:rsidRPr="00AC3044" w:rsidRDefault="008143D9" w:rsidP="005A428D">
            <w:pPr>
              <w:rPr>
                <w:rFonts w:eastAsia="SimSun"/>
              </w:rPr>
            </w:pPr>
            <w:r w:rsidRPr="00AC3044">
              <w:rPr>
                <w:rFonts w:eastAsia="SimSun"/>
              </w:rPr>
              <w:t>–</w:t>
            </w:r>
          </w:p>
        </w:tc>
        <w:tc>
          <w:tcPr>
            <w:tcW w:w="1370" w:type="pct"/>
            <w:vAlign w:val="center"/>
          </w:tcPr>
          <w:p w14:paraId="3793EA36" w14:textId="77777777" w:rsidR="008143D9" w:rsidRPr="00AC3044" w:rsidRDefault="008143D9" w:rsidP="005A428D">
            <w:pPr>
              <w:rPr>
                <w:rFonts w:eastAsia="SimSun"/>
              </w:rPr>
            </w:pPr>
            <w:r w:rsidRPr="00AC3044">
              <w:rPr>
                <w:rFonts w:eastAsia="SimSun"/>
              </w:rPr>
              <w:t>В соответсвии с клинической ситуацией, в среднем 14-42 дня</w:t>
            </w:r>
          </w:p>
        </w:tc>
        <w:tc>
          <w:tcPr>
            <w:tcW w:w="1229" w:type="pct"/>
          </w:tcPr>
          <w:p w14:paraId="408CE31F" w14:textId="77777777" w:rsidR="008143D9" w:rsidRPr="00AC3044" w:rsidRDefault="008143D9" w:rsidP="005A428D">
            <w:pPr>
              <w:rPr>
                <w:rFonts w:eastAsia="SimSun"/>
              </w:rPr>
            </w:pPr>
            <w:r w:rsidRPr="00AC3044">
              <w:rPr>
                <w:rFonts w:eastAsia="SimSun"/>
              </w:rPr>
              <w:t>Внутрь, 1 раз в сутки</w:t>
            </w:r>
          </w:p>
        </w:tc>
      </w:tr>
      <w:tr w:rsidR="008143D9" w:rsidRPr="00AC3044" w14:paraId="4C122C10" w14:textId="77777777" w:rsidTr="005A428D">
        <w:trPr>
          <w:cantSplit/>
          <w:trHeight w:val="464"/>
        </w:trPr>
        <w:tc>
          <w:tcPr>
            <w:tcW w:w="168" w:type="pct"/>
          </w:tcPr>
          <w:p w14:paraId="1991E893" w14:textId="77777777" w:rsidR="008143D9" w:rsidRPr="00AC3044" w:rsidRDefault="008143D9" w:rsidP="005A428D">
            <w:pPr>
              <w:rPr>
                <w:rFonts w:eastAsia="SimSun"/>
              </w:rPr>
            </w:pPr>
            <w:r w:rsidRPr="00AC3044">
              <w:rPr>
                <w:rFonts w:eastAsia="SimSun"/>
              </w:rPr>
              <w:t>3</w:t>
            </w:r>
          </w:p>
        </w:tc>
        <w:tc>
          <w:tcPr>
            <w:tcW w:w="1133" w:type="pct"/>
          </w:tcPr>
          <w:p w14:paraId="0D9418C3" w14:textId="77777777" w:rsidR="008143D9" w:rsidRPr="00AC3044" w:rsidRDefault="008143D9" w:rsidP="005A428D">
            <w:pPr>
              <w:rPr>
                <w:rFonts w:eastAsia="SimSun"/>
              </w:rPr>
            </w:pPr>
            <w:r w:rsidRPr="00AC3044">
              <w:rPr>
                <w:rFonts w:eastAsia="SimSun"/>
              </w:rPr>
              <w:t>Пантопразол</w:t>
            </w:r>
          </w:p>
        </w:tc>
        <w:tc>
          <w:tcPr>
            <w:tcW w:w="614" w:type="pct"/>
          </w:tcPr>
          <w:p w14:paraId="05869DA7" w14:textId="77777777" w:rsidR="008143D9" w:rsidRPr="00AC3044" w:rsidRDefault="008143D9" w:rsidP="005A428D">
            <w:pPr>
              <w:rPr>
                <w:rFonts w:eastAsia="SimSun"/>
              </w:rPr>
            </w:pPr>
            <w:r w:rsidRPr="00AC3044">
              <w:rPr>
                <w:rFonts w:eastAsia="SimSun"/>
              </w:rPr>
              <w:t xml:space="preserve">40 </w:t>
            </w:r>
          </w:p>
        </w:tc>
        <w:tc>
          <w:tcPr>
            <w:tcW w:w="486" w:type="pct"/>
            <w:vAlign w:val="center"/>
          </w:tcPr>
          <w:p w14:paraId="185AB49C" w14:textId="77777777" w:rsidR="008143D9" w:rsidRPr="00AC3044" w:rsidRDefault="008143D9" w:rsidP="005A428D">
            <w:pPr>
              <w:rPr>
                <w:rFonts w:eastAsia="SimSun"/>
              </w:rPr>
            </w:pPr>
            <w:r w:rsidRPr="00AC3044">
              <w:rPr>
                <w:rFonts w:eastAsia="SimSun"/>
              </w:rPr>
              <w:t>–</w:t>
            </w:r>
          </w:p>
        </w:tc>
        <w:tc>
          <w:tcPr>
            <w:tcW w:w="1370" w:type="pct"/>
            <w:vAlign w:val="center"/>
          </w:tcPr>
          <w:p w14:paraId="6ACF8D33" w14:textId="77777777" w:rsidR="008143D9" w:rsidRPr="00AC3044" w:rsidRDefault="008143D9" w:rsidP="005A428D">
            <w:pPr>
              <w:rPr>
                <w:rFonts w:eastAsia="SimSun"/>
              </w:rPr>
            </w:pPr>
            <w:r w:rsidRPr="00AC3044">
              <w:rPr>
                <w:rFonts w:eastAsia="SimSun"/>
              </w:rPr>
              <w:t>В соответсвии с клинической ситуацией, в среднем 14-42 дня</w:t>
            </w:r>
          </w:p>
        </w:tc>
        <w:tc>
          <w:tcPr>
            <w:tcW w:w="1229" w:type="pct"/>
          </w:tcPr>
          <w:p w14:paraId="3768D723" w14:textId="77777777" w:rsidR="008143D9" w:rsidRPr="00AC3044" w:rsidRDefault="008143D9" w:rsidP="005A428D">
            <w:pPr>
              <w:rPr>
                <w:rFonts w:eastAsia="SimSun"/>
              </w:rPr>
            </w:pPr>
            <w:r w:rsidRPr="00AC3044">
              <w:rPr>
                <w:rFonts w:eastAsia="SimSun"/>
              </w:rPr>
              <w:t>Внутрь, 1 раз в сутки</w:t>
            </w:r>
          </w:p>
        </w:tc>
      </w:tr>
      <w:tr w:rsidR="008143D9" w:rsidRPr="00AC3044" w14:paraId="6EDB64FB" w14:textId="77777777" w:rsidTr="005A428D">
        <w:trPr>
          <w:cantSplit/>
          <w:trHeight w:val="464"/>
        </w:trPr>
        <w:tc>
          <w:tcPr>
            <w:tcW w:w="168" w:type="pct"/>
          </w:tcPr>
          <w:p w14:paraId="70312D30" w14:textId="77777777" w:rsidR="008143D9" w:rsidRPr="00AC3044" w:rsidRDefault="008143D9" w:rsidP="005A428D">
            <w:pPr>
              <w:rPr>
                <w:rFonts w:eastAsia="SimSun"/>
              </w:rPr>
            </w:pPr>
            <w:r w:rsidRPr="00AC3044">
              <w:rPr>
                <w:rFonts w:eastAsia="SimSun"/>
              </w:rPr>
              <w:t>4</w:t>
            </w:r>
          </w:p>
        </w:tc>
        <w:tc>
          <w:tcPr>
            <w:tcW w:w="1133" w:type="pct"/>
          </w:tcPr>
          <w:p w14:paraId="299F804D" w14:textId="77777777" w:rsidR="008143D9" w:rsidRPr="00AC3044" w:rsidRDefault="008143D9" w:rsidP="005A428D">
            <w:pPr>
              <w:rPr>
                <w:rFonts w:eastAsia="SimSun"/>
              </w:rPr>
            </w:pPr>
            <w:r w:rsidRPr="00AC3044">
              <w:rPr>
                <w:rFonts w:eastAsia="SimSun"/>
              </w:rPr>
              <w:t>Рабепразол</w:t>
            </w:r>
          </w:p>
        </w:tc>
        <w:tc>
          <w:tcPr>
            <w:tcW w:w="614" w:type="pct"/>
          </w:tcPr>
          <w:p w14:paraId="6709D92B" w14:textId="77777777" w:rsidR="008143D9" w:rsidRPr="00AC3044" w:rsidRDefault="008143D9" w:rsidP="005A428D">
            <w:pPr>
              <w:rPr>
                <w:rFonts w:eastAsia="SimSun"/>
              </w:rPr>
            </w:pPr>
            <w:r w:rsidRPr="00AC3044">
              <w:rPr>
                <w:rFonts w:eastAsia="SimSun"/>
              </w:rPr>
              <w:t>20</w:t>
            </w:r>
          </w:p>
        </w:tc>
        <w:tc>
          <w:tcPr>
            <w:tcW w:w="486" w:type="pct"/>
            <w:vAlign w:val="center"/>
          </w:tcPr>
          <w:p w14:paraId="7FDD4698" w14:textId="77777777" w:rsidR="008143D9" w:rsidRPr="00AC3044" w:rsidRDefault="008143D9" w:rsidP="005A428D">
            <w:pPr>
              <w:rPr>
                <w:rFonts w:eastAsia="SimSun"/>
              </w:rPr>
            </w:pPr>
            <w:r w:rsidRPr="00AC3044">
              <w:rPr>
                <w:rFonts w:eastAsia="SimSun"/>
              </w:rPr>
              <w:t>–</w:t>
            </w:r>
          </w:p>
        </w:tc>
        <w:tc>
          <w:tcPr>
            <w:tcW w:w="1370" w:type="pct"/>
            <w:vAlign w:val="center"/>
          </w:tcPr>
          <w:p w14:paraId="66EA3EB6" w14:textId="77777777" w:rsidR="008143D9" w:rsidRPr="00AC3044" w:rsidRDefault="008143D9" w:rsidP="005A428D">
            <w:pPr>
              <w:rPr>
                <w:rFonts w:eastAsia="SimSun"/>
              </w:rPr>
            </w:pPr>
            <w:r w:rsidRPr="00AC3044">
              <w:rPr>
                <w:rFonts w:eastAsia="SimSun"/>
              </w:rPr>
              <w:t>В соответсвии с клинической ситуацией, в среднем 14-42 дня</w:t>
            </w:r>
          </w:p>
        </w:tc>
        <w:tc>
          <w:tcPr>
            <w:tcW w:w="1229" w:type="pct"/>
          </w:tcPr>
          <w:p w14:paraId="4374B1F2" w14:textId="77777777" w:rsidR="008143D9" w:rsidRPr="00AC3044" w:rsidRDefault="008143D9" w:rsidP="005A428D">
            <w:pPr>
              <w:rPr>
                <w:rFonts w:eastAsia="SimSun"/>
              </w:rPr>
            </w:pPr>
            <w:r w:rsidRPr="00AC3044">
              <w:rPr>
                <w:rFonts w:eastAsia="SimSun"/>
              </w:rPr>
              <w:t>Внутрь, 1 раз в сутки</w:t>
            </w:r>
          </w:p>
        </w:tc>
      </w:tr>
      <w:tr w:rsidR="008143D9" w:rsidRPr="00AC3044" w14:paraId="2CB19570" w14:textId="77777777" w:rsidTr="005A428D">
        <w:trPr>
          <w:cantSplit/>
          <w:trHeight w:val="464"/>
        </w:trPr>
        <w:tc>
          <w:tcPr>
            <w:tcW w:w="168" w:type="pct"/>
          </w:tcPr>
          <w:p w14:paraId="71BDE9BE" w14:textId="77777777" w:rsidR="008143D9" w:rsidRPr="00AC3044" w:rsidRDefault="008143D9" w:rsidP="005A428D">
            <w:pPr>
              <w:rPr>
                <w:rFonts w:eastAsia="SimSun"/>
              </w:rPr>
            </w:pPr>
            <w:r w:rsidRPr="00AC3044">
              <w:rPr>
                <w:rFonts w:eastAsia="SimSun"/>
              </w:rPr>
              <w:t>5</w:t>
            </w:r>
          </w:p>
        </w:tc>
        <w:tc>
          <w:tcPr>
            <w:tcW w:w="1133" w:type="pct"/>
          </w:tcPr>
          <w:p w14:paraId="1DBD01E8" w14:textId="77777777" w:rsidR="008143D9" w:rsidRPr="00AC3044" w:rsidRDefault="008143D9" w:rsidP="005A428D">
            <w:pPr>
              <w:rPr>
                <w:rFonts w:eastAsia="SimSun"/>
              </w:rPr>
            </w:pPr>
            <w:r w:rsidRPr="00AC3044">
              <w:rPr>
                <w:rFonts w:eastAsia="SimSun"/>
              </w:rPr>
              <w:t>Эзомепразол</w:t>
            </w:r>
          </w:p>
        </w:tc>
        <w:tc>
          <w:tcPr>
            <w:tcW w:w="614" w:type="pct"/>
          </w:tcPr>
          <w:p w14:paraId="76FED9B3" w14:textId="77777777" w:rsidR="008143D9" w:rsidRPr="00AC3044" w:rsidRDefault="008143D9" w:rsidP="005A428D">
            <w:pPr>
              <w:rPr>
                <w:rFonts w:eastAsia="SimSun"/>
              </w:rPr>
            </w:pPr>
            <w:r w:rsidRPr="00AC3044">
              <w:rPr>
                <w:rFonts w:eastAsia="SimSun"/>
              </w:rPr>
              <w:t>20</w:t>
            </w:r>
          </w:p>
        </w:tc>
        <w:tc>
          <w:tcPr>
            <w:tcW w:w="486" w:type="pct"/>
            <w:vAlign w:val="center"/>
          </w:tcPr>
          <w:p w14:paraId="29F29F9D" w14:textId="77777777" w:rsidR="008143D9" w:rsidRPr="00AC3044" w:rsidRDefault="008143D9" w:rsidP="005A428D">
            <w:pPr>
              <w:rPr>
                <w:rFonts w:eastAsia="SimSun"/>
              </w:rPr>
            </w:pPr>
            <w:r w:rsidRPr="00AC3044">
              <w:rPr>
                <w:rFonts w:eastAsia="SimSun"/>
              </w:rPr>
              <w:t>–</w:t>
            </w:r>
          </w:p>
        </w:tc>
        <w:tc>
          <w:tcPr>
            <w:tcW w:w="1370" w:type="pct"/>
            <w:vAlign w:val="center"/>
          </w:tcPr>
          <w:p w14:paraId="5BE21FFA" w14:textId="77777777" w:rsidR="008143D9" w:rsidRPr="00AC3044" w:rsidRDefault="008143D9" w:rsidP="005A428D">
            <w:pPr>
              <w:rPr>
                <w:rFonts w:eastAsia="SimSun"/>
              </w:rPr>
            </w:pPr>
            <w:r w:rsidRPr="00AC3044">
              <w:rPr>
                <w:rFonts w:eastAsia="SimSun"/>
              </w:rPr>
              <w:t>В соответсвии с клинической ситуацией, в среднем 14-42 дня</w:t>
            </w:r>
          </w:p>
        </w:tc>
        <w:tc>
          <w:tcPr>
            <w:tcW w:w="1229" w:type="pct"/>
          </w:tcPr>
          <w:p w14:paraId="0CF1A0C6" w14:textId="77777777" w:rsidR="008143D9" w:rsidRPr="00AC3044" w:rsidRDefault="008143D9" w:rsidP="005A428D">
            <w:pPr>
              <w:rPr>
                <w:rFonts w:eastAsia="SimSun"/>
              </w:rPr>
            </w:pPr>
            <w:r w:rsidRPr="00AC3044">
              <w:rPr>
                <w:rFonts w:eastAsia="SimSun"/>
              </w:rPr>
              <w:t>Внутрь или в/в, 1 раз в сутки</w:t>
            </w:r>
          </w:p>
        </w:tc>
      </w:tr>
      <w:tr w:rsidR="008143D9" w:rsidRPr="00AC3044" w14:paraId="5AD15054" w14:textId="77777777" w:rsidTr="005A428D">
        <w:trPr>
          <w:cantSplit/>
          <w:trHeight w:val="464"/>
        </w:trPr>
        <w:tc>
          <w:tcPr>
            <w:tcW w:w="168" w:type="pct"/>
          </w:tcPr>
          <w:p w14:paraId="33BEA46F" w14:textId="77777777" w:rsidR="008143D9" w:rsidRPr="00AC3044" w:rsidRDefault="008143D9" w:rsidP="005A428D">
            <w:pPr>
              <w:rPr>
                <w:rFonts w:eastAsia="SimSun"/>
              </w:rPr>
            </w:pPr>
            <w:r w:rsidRPr="00AC3044">
              <w:rPr>
                <w:rFonts w:eastAsia="SimSun"/>
              </w:rPr>
              <w:t>6</w:t>
            </w:r>
          </w:p>
        </w:tc>
        <w:tc>
          <w:tcPr>
            <w:tcW w:w="1133" w:type="pct"/>
          </w:tcPr>
          <w:p w14:paraId="33B6F963" w14:textId="77777777" w:rsidR="008143D9" w:rsidRPr="00AC3044" w:rsidRDefault="008143D9" w:rsidP="005A428D">
            <w:pPr>
              <w:rPr>
                <w:rFonts w:eastAsia="SimSun"/>
              </w:rPr>
            </w:pPr>
            <w:r w:rsidRPr="00AC3044">
              <w:rPr>
                <w:rFonts w:eastAsia="SimSun"/>
              </w:rPr>
              <w:t>Ранитидин</w:t>
            </w:r>
          </w:p>
        </w:tc>
        <w:tc>
          <w:tcPr>
            <w:tcW w:w="614" w:type="pct"/>
          </w:tcPr>
          <w:p w14:paraId="0D8A1440" w14:textId="77777777" w:rsidR="008143D9" w:rsidRPr="00AC3044" w:rsidRDefault="008143D9" w:rsidP="005A428D">
            <w:pPr>
              <w:rPr>
                <w:rFonts w:eastAsia="SimSun"/>
              </w:rPr>
            </w:pPr>
            <w:r w:rsidRPr="00AC3044">
              <w:rPr>
                <w:rFonts w:eastAsia="SimSun"/>
              </w:rPr>
              <w:t>150</w:t>
            </w:r>
          </w:p>
        </w:tc>
        <w:tc>
          <w:tcPr>
            <w:tcW w:w="486" w:type="pct"/>
            <w:vAlign w:val="center"/>
          </w:tcPr>
          <w:p w14:paraId="05378118" w14:textId="77777777" w:rsidR="008143D9" w:rsidRPr="00AC3044" w:rsidRDefault="008143D9" w:rsidP="005A428D">
            <w:pPr>
              <w:rPr>
                <w:rFonts w:eastAsia="SimSun"/>
              </w:rPr>
            </w:pPr>
            <w:r w:rsidRPr="00AC3044">
              <w:rPr>
                <w:rFonts w:eastAsia="SimSun"/>
              </w:rPr>
              <w:t>–</w:t>
            </w:r>
          </w:p>
        </w:tc>
        <w:tc>
          <w:tcPr>
            <w:tcW w:w="1370" w:type="pct"/>
            <w:vAlign w:val="center"/>
          </w:tcPr>
          <w:p w14:paraId="3D601EC8" w14:textId="77777777" w:rsidR="008143D9" w:rsidRPr="00AC3044" w:rsidRDefault="008143D9" w:rsidP="005A428D">
            <w:pPr>
              <w:rPr>
                <w:rFonts w:eastAsia="SimSun"/>
              </w:rPr>
            </w:pPr>
            <w:r w:rsidRPr="00AC3044">
              <w:rPr>
                <w:rFonts w:eastAsia="SimSun"/>
              </w:rPr>
              <w:t>В соответсвии с клинической ситуацией, в среднем 14-42 дня</w:t>
            </w:r>
          </w:p>
        </w:tc>
        <w:tc>
          <w:tcPr>
            <w:tcW w:w="1229" w:type="pct"/>
          </w:tcPr>
          <w:p w14:paraId="2B89A6D0" w14:textId="77777777" w:rsidR="008143D9" w:rsidRPr="00AC3044" w:rsidRDefault="008143D9" w:rsidP="005A428D">
            <w:pPr>
              <w:rPr>
                <w:rFonts w:eastAsia="SimSun"/>
              </w:rPr>
            </w:pPr>
            <w:r w:rsidRPr="00AC3044">
              <w:rPr>
                <w:rFonts w:eastAsia="SimSun"/>
              </w:rPr>
              <w:t>Внутрь, 1 раз в сутки, на ночь</w:t>
            </w:r>
          </w:p>
        </w:tc>
      </w:tr>
      <w:tr w:rsidR="008143D9" w:rsidRPr="00AC3044" w14:paraId="12D61C03" w14:textId="77777777" w:rsidTr="005A428D">
        <w:trPr>
          <w:cantSplit/>
          <w:trHeight w:val="464"/>
        </w:trPr>
        <w:tc>
          <w:tcPr>
            <w:tcW w:w="168" w:type="pct"/>
          </w:tcPr>
          <w:p w14:paraId="2B038D65" w14:textId="77777777" w:rsidR="008143D9" w:rsidRPr="00AC3044" w:rsidRDefault="008143D9" w:rsidP="005A428D">
            <w:pPr>
              <w:rPr>
                <w:rFonts w:eastAsia="SimSun"/>
              </w:rPr>
            </w:pPr>
            <w:r w:rsidRPr="00AC3044">
              <w:rPr>
                <w:rFonts w:eastAsia="SimSun"/>
              </w:rPr>
              <w:t>7</w:t>
            </w:r>
          </w:p>
        </w:tc>
        <w:tc>
          <w:tcPr>
            <w:tcW w:w="1133" w:type="pct"/>
          </w:tcPr>
          <w:p w14:paraId="42541E3A" w14:textId="77777777" w:rsidR="008143D9" w:rsidRPr="00AC3044" w:rsidRDefault="008143D9" w:rsidP="005A428D">
            <w:pPr>
              <w:rPr>
                <w:rFonts w:eastAsia="SimSun"/>
              </w:rPr>
            </w:pPr>
            <w:r w:rsidRPr="00AC3044">
              <w:rPr>
                <w:rFonts w:eastAsia="SimSun"/>
              </w:rPr>
              <w:t>Фамотидин</w:t>
            </w:r>
          </w:p>
        </w:tc>
        <w:tc>
          <w:tcPr>
            <w:tcW w:w="614" w:type="pct"/>
          </w:tcPr>
          <w:p w14:paraId="30187C4D" w14:textId="77777777" w:rsidR="008143D9" w:rsidRPr="00AC3044" w:rsidRDefault="008143D9" w:rsidP="005A428D">
            <w:pPr>
              <w:rPr>
                <w:rFonts w:eastAsia="SimSun"/>
              </w:rPr>
            </w:pPr>
            <w:r w:rsidRPr="00AC3044">
              <w:rPr>
                <w:rFonts w:eastAsia="SimSun"/>
              </w:rPr>
              <w:t xml:space="preserve">20 </w:t>
            </w:r>
          </w:p>
        </w:tc>
        <w:tc>
          <w:tcPr>
            <w:tcW w:w="486" w:type="pct"/>
            <w:vAlign w:val="center"/>
          </w:tcPr>
          <w:p w14:paraId="366558A9" w14:textId="77777777" w:rsidR="008143D9" w:rsidRPr="00AC3044" w:rsidRDefault="008143D9" w:rsidP="005A428D">
            <w:pPr>
              <w:rPr>
                <w:rFonts w:eastAsia="SimSun"/>
              </w:rPr>
            </w:pPr>
            <w:r w:rsidRPr="00AC3044">
              <w:rPr>
                <w:rFonts w:eastAsia="SimSun"/>
              </w:rPr>
              <w:t>–</w:t>
            </w:r>
          </w:p>
        </w:tc>
        <w:tc>
          <w:tcPr>
            <w:tcW w:w="1370" w:type="pct"/>
            <w:vAlign w:val="center"/>
          </w:tcPr>
          <w:p w14:paraId="69071832" w14:textId="77777777" w:rsidR="008143D9" w:rsidRPr="00AC3044" w:rsidRDefault="008143D9" w:rsidP="005A428D">
            <w:pPr>
              <w:rPr>
                <w:rFonts w:eastAsia="SimSun"/>
              </w:rPr>
            </w:pPr>
            <w:r w:rsidRPr="00AC3044">
              <w:rPr>
                <w:rFonts w:eastAsia="SimSun"/>
              </w:rPr>
              <w:t>В соответсвии с клинической ситуацией, в среднем 14-42 дня</w:t>
            </w:r>
          </w:p>
        </w:tc>
        <w:tc>
          <w:tcPr>
            <w:tcW w:w="1229" w:type="pct"/>
          </w:tcPr>
          <w:p w14:paraId="503816F9" w14:textId="77777777" w:rsidR="008143D9" w:rsidRPr="00AC3044" w:rsidRDefault="008143D9" w:rsidP="005A428D">
            <w:pPr>
              <w:rPr>
                <w:rFonts w:eastAsia="SimSun"/>
              </w:rPr>
            </w:pPr>
            <w:r w:rsidRPr="00AC3044">
              <w:rPr>
                <w:rFonts w:eastAsia="SimSun"/>
              </w:rPr>
              <w:t>Внутрь, 1 раз в сутки, на ночь</w:t>
            </w:r>
          </w:p>
        </w:tc>
      </w:tr>
      <w:tr w:rsidR="008143D9" w:rsidRPr="00AC3044" w14:paraId="2352767B" w14:textId="77777777" w:rsidTr="005A428D">
        <w:trPr>
          <w:cantSplit/>
          <w:trHeight w:val="20"/>
        </w:trPr>
        <w:tc>
          <w:tcPr>
            <w:tcW w:w="5000" w:type="pct"/>
            <w:gridSpan w:val="6"/>
          </w:tcPr>
          <w:p w14:paraId="3AFD527E" w14:textId="77777777" w:rsidR="008143D9" w:rsidRPr="00AC3044" w:rsidRDefault="008143D9" w:rsidP="005A428D">
            <w:pPr>
              <w:rPr>
                <w:rFonts w:eastAsia="SimSun"/>
              </w:rPr>
            </w:pPr>
            <w:r w:rsidRPr="00AC3044">
              <w:rPr>
                <w:rFonts w:eastAsia="SimSun"/>
              </w:rPr>
              <w:t>Наркотическая обезболивающая терапия</w:t>
            </w:r>
          </w:p>
        </w:tc>
      </w:tr>
      <w:tr w:rsidR="008143D9" w:rsidRPr="00AC3044" w14:paraId="37E62841" w14:textId="77777777" w:rsidTr="005A428D">
        <w:trPr>
          <w:cantSplit/>
          <w:trHeight w:val="20"/>
        </w:trPr>
        <w:tc>
          <w:tcPr>
            <w:tcW w:w="168" w:type="pct"/>
          </w:tcPr>
          <w:p w14:paraId="2D9803D5" w14:textId="77777777" w:rsidR="008143D9" w:rsidRPr="00AC3044" w:rsidRDefault="008143D9" w:rsidP="005A428D">
            <w:pPr>
              <w:rPr>
                <w:rFonts w:eastAsia="SimSun"/>
              </w:rPr>
            </w:pPr>
            <w:r w:rsidRPr="00AC3044">
              <w:rPr>
                <w:rFonts w:eastAsia="SimSun"/>
              </w:rPr>
              <w:t>1</w:t>
            </w:r>
          </w:p>
        </w:tc>
        <w:tc>
          <w:tcPr>
            <w:tcW w:w="1133" w:type="pct"/>
            <w:vAlign w:val="center"/>
          </w:tcPr>
          <w:p w14:paraId="3BD7D03B" w14:textId="77777777" w:rsidR="008143D9" w:rsidRPr="00AC3044" w:rsidRDefault="008143D9" w:rsidP="005A428D">
            <w:pPr>
              <w:rPr>
                <w:rFonts w:eastAsia="SimSun"/>
              </w:rPr>
            </w:pPr>
            <w:r w:rsidRPr="00AC3044">
              <w:rPr>
                <w:rFonts w:eastAsia="SimSun"/>
              </w:rPr>
              <w:t xml:space="preserve">Промедол </w:t>
            </w:r>
          </w:p>
        </w:tc>
        <w:tc>
          <w:tcPr>
            <w:tcW w:w="2470" w:type="pct"/>
            <w:gridSpan w:val="3"/>
            <w:vAlign w:val="center"/>
          </w:tcPr>
          <w:p w14:paraId="615C36B5" w14:textId="77777777" w:rsidR="008143D9" w:rsidRPr="00AC3044" w:rsidRDefault="008143D9" w:rsidP="005A428D">
            <w:pPr>
              <w:rPr>
                <w:rFonts w:eastAsia="SimSun"/>
              </w:rPr>
            </w:pPr>
            <w:r w:rsidRPr="00AC3044">
              <w:rPr>
                <w:rFonts w:eastAsia="SimSun"/>
              </w:rPr>
              <w:t>В соответсвии с клинической ситуацией</w:t>
            </w:r>
          </w:p>
        </w:tc>
        <w:tc>
          <w:tcPr>
            <w:tcW w:w="1229" w:type="pct"/>
            <w:vAlign w:val="center"/>
          </w:tcPr>
          <w:p w14:paraId="29AB9E57" w14:textId="77777777" w:rsidR="008143D9" w:rsidRPr="00AC3044" w:rsidRDefault="008143D9" w:rsidP="005A428D">
            <w:pPr>
              <w:rPr>
                <w:rFonts w:eastAsia="SimSun"/>
              </w:rPr>
            </w:pPr>
            <w:r w:rsidRPr="00AC3044">
              <w:rPr>
                <w:rFonts w:eastAsia="SimSun"/>
              </w:rPr>
              <w:t>В/в</w:t>
            </w:r>
          </w:p>
        </w:tc>
      </w:tr>
      <w:tr w:rsidR="008143D9" w:rsidRPr="00AC3044" w14:paraId="5006C3DD" w14:textId="77777777" w:rsidTr="005A428D">
        <w:trPr>
          <w:cantSplit/>
          <w:trHeight w:val="20"/>
        </w:trPr>
        <w:tc>
          <w:tcPr>
            <w:tcW w:w="168" w:type="pct"/>
          </w:tcPr>
          <w:p w14:paraId="13A30561" w14:textId="77777777" w:rsidR="008143D9" w:rsidRPr="00AC3044" w:rsidRDefault="008143D9" w:rsidP="005A428D">
            <w:pPr>
              <w:rPr>
                <w:rFonts w:eastAsia="SimSun"/>
              </w:rPr>
            </w:pPr>
            <w:r w:rsidRPr="00AC3044">
              <w:rPr>
                <w:rFonts w:eastAsia="SimSun"/>
              </w:rPr>
              <w:t>2</w:t>
            </w:r>
          </w:p>
        </w:tc>
        <w:tc>
          <w:tcPr>
            <w:tcW w:w="1133" w:type="pct"/>
            <w:vAlign w:val="center"/>
          </w:tcPr>
          <w:p w14:paraId="701223D1" w14:textId="77777777" w:rsidR="008143D9" w:rsidRPr="00AC3044" w:rsidRDefault="008143D9" w:rsidP="005A428D">
            <w:pPr>
              <w:rPr>
                <w:rFonts w:eastAsia="SimSun"/>
              </w:rPr>
            </w:pPr>
            <w:r w:rsidRPr="00AC3044">
              <w:rPr>
                <w:rFonts w:eastAsia="SimSun"/>
              </w:rPr>
              <w:t>Трамадол</w:t>
            </w:r>
          </w:p>
        </w:tc>
        <w:tc>
          <w:tcPr>
            <w:tcW w:w="2470" w:type="pct"/>
            <w:gridSpan w:val="3"/>
            <w:vAlign w:val="center"/>
          </w:tcPr>
          <w:p w14:paraId="02F4F101" w14:textId="77777777" w:rsidR="008143D9" w:rsidRPr="00AC3044" w:rsidRDefault="008143D9" w:rsidP="005A428D">
            <w:pPr>
              <w:rPr>
                <w:rFonts w:eastAsia="SimSun"/>
              </w:rPr>
            </w:pPr>
            <w:r w:rsidRPr="00AC3044">
              <w:rPr>
                <w:rFonts w:eastAsia="SimSun"/>
              </w:rPr>
              <w:t>В соответсвии с клинической ситуацией</w:t>
            </w:r>
          </w:p>
        </w:tc>
        <w:tc>
          <w:tcPr>
            <w:tcW w:w="1229" w:type="pct"/>
            <w:vAlign w:val="center"/>
          </w:tcPr>
          <w:p w14:paraId="09CE7262" w14:textId="77777777" w:rsidR="008143D9" w:rsidRPr="00AC3044" w:rsidRDefault="008143D9" w:rsidP="005A428D">
            <w:pPr>
              <w:rPr>
                <w:rFonts w:eastAsia="SimSun"/>
              </w:rPr>
            </w:pPr>
            <w:r w:rsidRPr="00AC3044">
              <w:rPr>
                <w:rFonts w:eastAsia="SimSun"/>
              </w:rPr>
              <w:t>В/в</w:t>
            </w:r>
          </w:p>
        </w:tc>
      </w:tr>
      <w:tr w:rsidR="008143D9" w:rsidRPr="00AC3044" w14:paraId="4189E850" w14:textId="77777777" w:rsidTr="005A428D">
        <w:trPr>
          <w:cantSplit/>
          <w:trHeight w:val="20"/>
        </w:trPr>
        <w:tc>
          <w:tcPr>
            <w:tcW w:w="168" w:type="pct"/>
          </w:tcPr>
          <w:p w14:paraId="2E94D0D7" w14:textId="77777777" w:rsidR="008143D9" w:rsidRPr="00AC3044" w:rsidRDefault="008143D9" w:rsidP="005A428D">
            <w:pPr>
              <w:rPr>
                <w:rFonts w:eastAsia="SimSun"/>
              </w:rPr>
            </w:pPr>
            <w:r w:rsidRPr="00AC3044">
              <w:rPr>
                <w:rFonts w:eastAsia="SimSun"/>
              </w:rPr>
              <w:t>3</w:t>
            </w:r>
          </w:p>
        </w:tc>
        <w:tc>
          <w:tcPr>
            <w:tcW w:w="1133" w:type="pct"/>
            <w:vAlign w:val="center"/>
          </w:tcPr>
          <w:p w14:paraId="1E1C9150" w14:textId="77777777" w:rsidR="008143D9" w:rsidRPr="00AC3044" w:rsidRDefault="008143D9" w:rsidP="005A428D">
            <w:pPr>
              <w:rPr>
                <w:rFonts w:eastAsia="SimSun"/>
              </w:rPr>
            </w:pPr>
            <w:r w:rsidRPr="00AC3044">
              <w:rPr>
                <w:rFonts w:eastAsia="SimSun"/>
              </w:rPr>
              <w:t>Фентанил</w:t>
            </w:r>
          </w:p>
        </w:tc>
        <w:tc>
          <w:tcPr>
            <w:tcW w:w="2470" w:type="pct"/>
            <w:gridSpan w:val="3"/>
            <w:vAlign w:val="center"/>
          </w:tcPr>
          <w:p w14:paraId="48FF6F4C" w14:textId="77777777" w:rsidR="008143D9" w:rsidRPr="00AC3044" w:rsidRDefault="008143D9" w:rsidP="005A428D">
            <w:pPr>
              <w:rPr>
                <w:rFonts w:eastAsia="SimSun"/>
              </w:rPr>
            </w:pPr>
            <w:r w:rsidRPr="00AC3044">
              <w:rPr>
                <w:rFonts w:eastAsia="SimSun"/>
              </w:rPr>
              <w:t>В соответсвии с клинической ситуацией</w:t>
            </w:r>
          </w:p>
        </w:tc>
        <w:tc>
          <w:tcPr>
            <w:tcW w:w="1229" w:type="pct"/>
            <w:vAlign w:val="center"/>
          </w:tcPr>
          <w:p w14:paraId="0A5D8A28" w14:textId="77777777" w:rsidR="008143D9" w:rsidRPr="00AC3044" w:rsidRDefault="008143D9" w:rsidP="005A428D">
            <w:pPr>
              <w:rPr>
                <w:rFonts w:eastAsia="SimSun"/>
              </w:rPr>
            </w:pPr>
            <w:r w:rsidRPr="00AC3044">
              <w:rPr>
                <w:rFonts w:eastAsia="SimSun"/>
              </w:rPr>
              <w:t>Трансдермально</w:t>
            </w:r>
          </w:p>
        </w:tc>
      </w:tr>
      <w:tr w:rsidR="008143D9" w:rsidRPr="00AC3044" w14:paraId="01439202" w14:textId="77777777" w:rsidTr="005A428D">
        <w:trPr>
          <w:cantSplit/>
          <w:trHeight w:val="20"/>
        </w:trPr>
        <w:tc>
          <w:tcPr>
            <w:tcW w:w="168" w:type="pct"/>
          </w:tcPr>
          <w:p w14:paraId="62A21F59" w14:textId="77777777" w:rsidR="008143D9" w:rsidRPr="00AC3044" w:rsidRDefault="008143D9" w:rsidP="005A428D">
            <w:pPr>
              <w:rPr>
                <w:rFonts w:eastAsia="SimSun"/>
              </w:rPr>
            </w:pPr>
            <w:r w:rsidRPr="00AC3044">
              <w:rPr>
                <w:rFonts w:eastAsia="SimSun"/>
              </w:rPr>
              <w:t>4</w:t>
            </w:r>
          </w:p>
        </w:tc>
        <w:tc>
          <w:tcPr>
            <w:tcW w:w="1133" w:type="pct"/>
            <w:vAlign w:val="center"/>
          </w:tcPr>
          <w:p w14:paraId="009994D1" w14:textId="77777777" w:rsidR="008143D9" w:rsidRPr="00AC3044" w:rsidRDefault="008143D9" w:rsidP="005A428D">
            <w:pPr>
              <w:rPr>
                <w:rFonts w:eastAsia="SimSun"/>
              </w:rPr>
            </w:pPr>
            <w:r w:rsidRPr="00AC3044">
              <w:rPr>
                <w:rFonts w:eastAsia="SimSun"/>
              </w:rPr>
              <w:t>Морфин</w:t>
            </w:r>
          </w:p>
        </w:tc>
        <w:tc>
          <w:tcPr>
            <w:tcW w:w="2470" w:type="pct"/>
            <w:gridSpan w:val="3"/>
            <w:vAlign w:val="center"/>
          </w:tcPr>
          <w:p w14:paraId="1EEED697" w14:textId="77777777" w:rsidR="008143D9" w:rsidRPr="00AC3044" w:rsidRDefault="008143D9" w:rsidP="005A428D">
            <w:pPr>
              <w:rPr>
                <w:rFonts w:eastAsia="SimSun"/>
              </w:rPr>
            </w:pPr>
            <w:r w:rsidRPr="00AC3044">
              <w:rPr>
                <w:rFonts w:eastAsia="SimSun"/>
              </w:rPr>
              <w:t>В соответсвии с клинической ситуацией</w:t>
            </w:r>
          </w:p>
        </w:tc>
        <w:tc>
          <w:tcPr>
            <w:tcW w:w="1229" w:type="pct"/>
            <w:vAlign w:val="center"/>
          </w:tcPr>
          <w:p w14:paraId="4BAB2F54" w14:textId="77777777" w:rsidR="008143D9" w:rsidRPr="00AC3044" w:rsidRDefault="008143D9" w:rsidP="005A428D">
            <w:pPr>
              <w:rPr>
                <w:rFonts w:eastAsia="SimSun"/>
              </w:rPr>
            </w:pPr>
            <w:r w:rsidRPr="00AC3044">
              <w:rPr>
                <w:rFonts w:eastAsia="SimSun"/>
              </w:rPr>
              <w:t>В/в</w:t>
            </w:r>
          </w:p>
        </w:tc>
      </w:tr>
      <w:tr w:rsidR="008143D9" w:rsidRPr="00AC3044" w14:paraId="2A7D2BE3" w14:textId="77777777" w:rsidTr="005A428D">
        <w:trPr>
          <w:cantSplit/>
          <w:trHeight w:val="20"/>
        </w:trPr>
        <w:tc>
          <w:tcPr>
            <w:tcW w:w="5000" w:type="pct"/>
            <w:gridSpan w:val="6"/>
          </w:tcPr>
          <w:p w14:paraId="1845027D" w14:textId="77777777" w:rsidR="008143D9" w:rsidRPr="00AC3044" w:rsidRDefault="008143D9" w:rsidP="005A428D">
            <w:pPr>
              <w:rPr>
                <w:rFonts w:eastAsia="SimSun"/>
              </w:rPr>
            </w:pPr>
            <w:r w:rsidRPr="00AC3044">
              <w:rPr>
                <w:rFonts w:eastAsia="SimSun"/>
              </w:rPr>
              <w:t>Другое</w:t>
            </w:r>
          </w:p>
        </w:tc>
      </w:tr>
      <w:tr w:rsidR="008143D9" w:rsidRPr="00AC3044" w14:paraId="649D7D57" w14:textId="77777777" w:rsidTr="005A428D">
        <w:trPr>
          <w:cantSplit/>
          <w:trHeight w:val="20"/>
        </w:trPr>
        <w:tc>
          <w:tcPr>
            <w:tcW w:w="168" w:type="pct"/>
          </w:tcPr>
          <w:p w14:paraId="1F096478" w14:textId="77777777" w:rsidR="008143D9" w:rsidRPr="00AC3044" w:rsidRDefault="008143D9" w:rsidP="005A428D">
            <w:pPr>
              <w:rPr>
                <w:rFonts w:eastAsia="SimSun"/>
              </w:rPr>
            </w:pPr>
            <w:r w:rsidRPr="00AC3044">
              <w:rPr>
                <w:rFonts w:eastAsia="SimSun"/>
              </w:rPr>
              <w:t>1</w:t>
            </w:r>
          </w:p>
        </w:tc>
        <w:tc>
          <w:tcPr>
            <w:tcW w:w="1133" w:type="pct"/>
            <w:vAlign w:val="center"/>
          </w:tcPr>
          <w:p w14:paraId="466005E1" w14:textId="77777777" w:rsidR="008143D9" w:rsidRPr="00AC3044" w:rsidRDefault="008143D9" w:rsidP="005A428D">
            <w:pPr>
              <w:rPr>
                <w:rFonts w:eastAsia="SimSun"/>
              </w:rPr>
            </w:pPr>
            <w:r w:rsidRPr="00AC3044">
              <w:rPr>
                <w:rFonts w:eastAsia="SimSun"/>
              </w:rPr>
              <w:t>Месна</w:t>
            </w:r>
          </w:p>
        </w:tc>
        <w:tc>
          <w:tcPr>
            <w:tcW w:w="614" w:type="pct"/>
            <w:vAlign w:val="center"/>
          </w:tcPr>
          <w:p w14:paraId="6CCE665C" w14:textId="77777777" w:rsidR="008143D9" w:rsidRPr="00AC3044" w:rsidRDefault="008143D9" w:rsidP="005A428D">
            <w:pPr>
              <w:rPr>
                <w:rFonts w:eastAsia="SimSun"/>
              </w:rPr>
            </w:pPr>
            <w:r w:rsidRPr="00AC3044">
              <w:rPr>
                <w:rFonts w:eastAsia="SimSun"/>
              </w:rPr>
              <w:t>120% от дозы ЦФ</w:t>
            </w:r>
          </w:p>
        </w:tc>
        <w:tc>
          <w:tcPr>
            <w:tcW w:w="486" w:type="pct"/>
            <w:vAlign w:val="center"/>
          </w:tcPr>
          <w:p w14:paraId="4539C2DE" w14:textId="77777777" w:rsidR="008143D9" w:rsidRPr="00AC3044" w:rsidRDefault="008143D9" w:rsidP="005A428D">
            <w:pPr>
              <w:rPr>
                <w:rFonts w:eastAsia="SimSun"/>
              </w:rPr>
            </w:pPr>
            <w:r w:rsidRPr="00AC3044">
              <w:rPr>
                <w:rFonts w:eastAsia="SimSun"/>
              </w:rPr>
              <w:t>–</w:t>
            </w:r>
          </w:p>
        </w:tc>
        <w:tc>
          <w:tcPr>
            <w:tcW w:w="1370" w:type="pct"/>
            <w:vAlign w:val="center"/>
          </w:tcPr>
          <w:p w14:paraId="53F5AAC5" w14:textId="77777777" w:rsidR="008143D9" w:rsidRPr="00AC3044" w:rsidRDefault="008143D9" w:rsidP="005A428D">
            <w:pPr>
              <w:rPr>
                <w:rFonts w:eastAsia="SimSun"/>
              </w:rPr>
            </w:pPr>
            <w:r w:rsidRPr="00AC3044">
              <w:rPr>
                <w:rFonts w:eastAsia="SimSun"/>
              </w:rPr>
              <w:t>В дни введения ЦФ</w:t>
            </w:r>
          </w:p>
        </w:tc>
        <w:tc>
          <w:tcPr>
            <w:tcW w:w="1229" w:type="pct"/>
            <w:vAlign w:val="center"/>
          </w:tcPr>
          <w:p w14:paraId="12A52588" w14:textId="77777777" w:rsidR="008143D9" w:rsidRPr="00AC3044" w:rsidRDefault="008143D9" w:rsidP="005A428D">
            <w:pPr>
              <w:rPr>
                <w:rFonts w:eastAsia="SimSun"/>
              </w:rPr>
            </w:pPr>
            <w:r w:rsidRPr="00AC3044">
              <w:rPr>
                <w:rFonts w:eastAsia="SimSun"/>
              </w:rPr>
              <w:t xml:space="preserve">В/в, инфузия в течение 24 ч, начиная за 2 ч до введения ЦФ </w:t>
            </w:r>
          </w:p>
        </w:tc>
      </w:tr>
      <w:tr w:rsidR="008143D9" w:rsidRPr="00AC3044" w14:paraId="2E46529B" w14:textId="77777777" w:rsidTr="005A428D">
        <w:trPr>
          <w:cantSplit/>
          <w:trHeight w:val="20"/>
        </w:trPr>
        <w:tc>
          <w:tcPr>
            <w:tcW w:w="168" w:type="pct"/>
          </w:tcPr>
          <w:p w14:paraId="08DE4F85" w14:textId="77777777" w:rsidR="008143D9" w:rsidRPr="00AC3044" w:rsidRDefault="008143D9" w:rsidP="005A428D">
            <w:pPr>
              <w:rPr>
                <w:rFonts w:eastAsia="SimSun"/>
              </w:rPr>
            </w:pPr>
            <w:r w:rsidRPr="00AC3044">
              <w:rPr>
                <w:rFonts w:eastAsia="SimSun"/>
              </w:rPr>
              <w:t>2</w:t>
            </w:r>
          </w:p>
        </w:tc>
        <w:tc>
          <w:tcPr>
            <w:tcW w:w="1133" w:type="pct"/>
            <w:vAlign w:val="center"/>
          </w:tcPr>
          <w:p w14:paraId="539D5DC8" w14:textId="77777777" w:rsidR="008143D9" w:rsidRPr="00AC3044" w:rsidRDefault="008143D9" w:rsidP="005A428D">
            <w:pPr>
              <w:rPr>
                <w:rFonts w:eastAsia="SimSun"/>
              </w:rPr>
            </w:pPr>
            <w:r w:rsidRPr="00AC3044">
              <w:rPr>
                <w:rFonts w:eastAsia="SimSun"/>
              </w:rPr>
              <w:t>Кальция фолинат</w:t>
            </w:r>
          </w:p>
        </w:tc>
        <w:tc>
          <w:tcPr>
            <w:tcW w:w="614" w:type="pct"/>
            <w:vAlign w:val="center"/>
          </w:tcPr>
          <w:p w14:paraId="5723B1E6" w14:textId="77777777" w:rsidR="008143D9" w:rsidRPr="00AC3044" w:rsidRDefault="008143D9" w:rsidP="005A428D">
            <w:pPr>
              <w:rPr>
                <w:rFonts w:eastAsia="SimSun"/>
              </w:rPr>
            </w:pPr>
            <w:r w:rsidRPr="00AC3044">
              <w:rPr>
                <w:rFonts w:eastAsia="SimSun"/>
              </w:rPr>
              <w:t>50 мг</w:t>
            </w:r>
          </w:p>
        </w:tc>
        <w:tc>
          <w:tcPr>
            <w:tcW w:w="486" w:type="pct"/>
            <w:vAlign w:val="center"/>
          </w:tcPr>
          <w:p w14:paraId="0F6CA225" w14:textId="77777777" w:rsidR="008143D9" w:rsidRPr="00AC3044" w:rsidRDefault="008143D9" w:rsidP="005A428D">
            <w:pPr>
              <w:rPr>
                <w:rFonts w:eastAsia="SimSun"/>
              </w:rPr>
            </w:pPr>
            <w:r w:rsidRPr="00AC3044">
              <w:rPr>
                <w:rFonts w:eastAsia="SimSun"/>
              </w:rPr>
              <w:t>–</w:t>
            </w:r>
          </w:p>
        </w:tc>
        <w:tc>
          <w:tcPr>
            <w:tcW w:w="1370" w:type="pct"/>
            <w:vAlign w:val="center"/>
          </w:tcPr>
          <w:p w14:paraId="559513E5" w14:textId="77777777" w:rsidR="008143D9" w:rsidRPr="00AC3044" w:rsidRDefault="008143D9" w:rsidP="005A428D">
            <w:pPr>
              <w:rPr>
                <w:rFonts w:eastAsia="SimSun"/>
              </w:rPr>
            </w:pPr>
            <w:r w:rsidRPr="00AC3044">
              <w:rPr>
                <w:rFonts w:eastAsia="SimSun"/>
              </w:rPr>
              <w:t>В случае применения метотрексата в качестве профилактики РТПХ</w:t>
            </w:r>
          </w:p>
          <w:p w14:paraId="532929B5" w14:textId="77777777" w:rsidR="008143D9" w:rsidRPr="00AC3044" w:rsidRDefault="008143D9" w:rsidP="005A428D">
            <w:pPr>
              <w:rPr>
                <w:rFonts w:eastAsia="SimSun"/>
              </w:rPr>
            </w:pPr>
            <w:r w:rsidRPr="00AC3044">
              <w:rPr>
                <w:rFonts w:eastAsia="SimSun"/>
              </w:rPr>
              <w:t xml:space="preserve">+2, +4, +7, +12 дни </w:t>
            </w:r>
          </w:p>
        </w:tc>
        <w:tc>
          <w:tcPr>
            <w:tcW w:w="1229" w:type="pct"/>
            <w:vAlign w:val="center"/>
          </w:tcPr>
          <w:p w14:paraId="6D31E5B5" w14:textId="77777777" w:rsidR="008143D9" w:rsidRPr="00AC3044" w:rsidRDefault="008143D9" w:rsidP="005A428D">
            <w:pPr>
              <w:rPr>
                <w:rFonts w:eastAsia="SimSun"/>
              </w:rPr>
            </w:pPr>
            <w:r w:rsidRPr="00AC3044">
              <w:rPr>
                <w:rFonts w:eastAsia="SimSun"/>
              </w:rPr>
              <w:t xml:space="preserve">В/в, в 20 мл физ. р-ра  </w:t>
            </w:r>
          </w:p>
        </w:tc>
      </w:tr>
      <w:tr w:rsidR="008143D9" w:rsidRPr="00AC3044" w14:paraId="7E9E08F6" w14:textId="77777777" w:rsidTr="005A428D">
        <w:trPr>
          <w:trHeight w:val="20"/>
        </w:trPr>
        <w:tc>
          <w:tcPr>
            <w:tcW w:w="168" w:type="pct"/>
          </w:tcPr>
          <w:p w14:paraId="5ADBD5E7" w14:textId="77777777" w:rsidR="008143D9" w:rsidRPr="00AC3044" w:rsidRDefault="008143D9" w:rsidP="005A428D">
            <w:pPr>
              <w:rPr>
                <w:rFonts w:eastAsia="SimSun"/>
              </w:rPr>
            </w:pPr>
            <w:r w:rsidRPr="00AC3044">
              <w:rPr>
                <w:rFonts w:eastAsia="SimSun"/>
              </w:rPr>
              <w:t>3</w:t>
            </w:r>
          </w:p>
        </w:tc>
        <w:tc>
          <w:tcPr>
            <w:tcW w:w="1133" w:type="pct"/>
            <w:vAlign w:val="center"/>
          </w:tcPr>
          <w:p w14:paraId="3EA9F7B4" w14:textId="77777777" w:rsidR="008143D9" w:rsidRPr="00AC3044" w:rsidRDefault="008143D9" w:rsidP="005A428D">
            <w:pPr>
              <w:rPr>
                <w:rFonts w:eastAsia="SimSun"/>
              </w:rPr>
            </w:pPr>
            <w:r w:rsidRPr="00AC3044">
              <w:rPr>
                <w:rFonts w:eastAsia="SimSun"/>
              </w:rPr>
              <w:t xml:space="preserve">Аллопуринол </w:t>
            </w:r>
          </w:p>
        </w:tc>
        <w:tc>
          <w:tcPr>
            <w:tcW w:w="614" w:type="pct"/>
            <w:vAlign w:val="center"/>
          </w:tcPr>
          <w:p w14:paraId="199086BD" w14:textId="77777777" w:rsidR="008143D9" w:rsidRPr="00AC3044" w:rsidRDefault="008143D9" w:rsidP="005A428D">
            <w:pPr>
              <w:rPr>
                <w:rFonts w:eastAsia="SimSun"/>
              </w:rPr>
            </w:pPr>
            <w:r w:rsidRPr="00AC3044">
              <w:rPr>
                <w:rFonts w:eastAsia="SimSun"/>
              </w:rPr>
              <w:t>200 мг/м</w:t>
            </w:r>
            <w:r w:rsidRPr="00271D11">
              <w:rPr>
                <w:rFonts w:eastAsia="SimSun"/>
                <w:vertAlign w:val="superscript"/>
              </w:rPr>
              <w:t>2</w:t>
            </w:r>
            <w:r w:rsidRPr="00AC3044">
              <w:rPr>
                <w:rFonts w:eastAsia="SimSun"/>
              </w:rPr>
              <w:t xml:space="preserve"> </w:t>
            </w:r>
          </w:p>
        </w:tc>
        <w:tc>
          <w:tcPr>
            <w:tcW w:w="486" w:type="pct"/>
            <w:vAlign w:val="center"/>
          </w:tcPr>
          <w:p w14:paraId="588DCC09" w14:textId="77777777" w:rsidR="008143D9" w:rsidRPr="00AC3044" w:rsidRDefault="008143D9" w:rsidP="005A428D">
            <w:pPr>
              <w:rPr>
                <w:rFonts w:eastAsia="SimSun"/>
              </w:rPr>
            </w:pPr>
            <w:r w:rsidRPr="00AC3044">
              <w:rPr>
                <w:rFonts w:eastAsia="SimSun"/>
              </w:rPr>
              <w:t>–</w:t>
            </w:r>
          </w:p>
        </w:tc>
        <w:tc>
          <w:tcPr>
            <w:tcW w:w="1370" w:type="pct"/>
            <w:vAlign w:val="center"/>
          </w:tcPr>
          <w:p w14:paraId="52D96B22" w14:textId="77777777" w:rsidR="008143D9" w:rsidRPr="00AC3044" w:rsidRDefault="008143D9" w:rsidP="005A428D">
            <w:pPr>
              <w:rPr>
                <w:rFonts w:eastAsia="SimSun"/>
              </w:rPr>
            </w:pPr>
            <w:r w:rsidRPr="00AC3044">
              <w:rPr>
                <w:rFonts w:eastAsia="SimSun"/>
              </w:rPr>
              <w:t>За день до начала кондиционирования по –1 день кондиционирования, а также в дни введения посттрансплантационного циклофосфамида</w:t>
            </w:r>
          </w:p>
        </w:tc>
        <w:tc>
          <w:tcPr>
            <w:tcW w:w="1229" w:type="pct"/>
            <w:vAlign w:val="center"/>
          </w:tcPr>
          <w:p w14:paraId="79EFC679" w14:textId="77777777" w:rsidR="008143D9" w:rsidRPr="00AC3044" w:rsidRDefault="008143D9" w:rsidP="005A428D">
            <w:pPr>
              <w:rPr>
                <w:rFonts w:eastAsia="SimSun"/>
              </w:rPr>
            </w:pPr>
            <w:r w:rsidRPr="00AC3044">
              <w:rPr>
                <w:rFonts w:eastAsia="SimSun"/>
              </w:rPr>
              <w:t>Внутрь, однократно или доза разделяется на 2 приема</w:t>
            </w:r>
          </w:p>
        </w:tc>
      </w:tr>
      <w:tr w:rsidR="008143D9" w:rsidRPr="00AC3044" w14:paraId="4D9CB26F" w14:textId="77777777" w:rsidTr="005A428D">
        <w:trPr>
          <w:trHeight w:val="20"/>
        </w:trPr>
        <w:tc>
          <w:tcPr>
            <w:tcW w:w="168" w:type="pct"/>
          </w:tcPr>
          <w:p w14:paraId="0FCAD30F" w14:textId="77777777" w:rsidR="008143D9" w:rsidRPr="00AC3044" w:rsidRDefault="008143D9" w:rsidP="005A428D">
            <w:pPr>
              <w:rPr>
                <w:rFonts w:eastAsia="SimSun"/>
              </w:rPr>
            </w:pPr>
            <w:r w:rsidRPr="00AC3044">
              <w:rPr>
                <w:rFonts w:eastAsia="SimSun"/>
              </w:rPr>
              <w:t>4</w:t>
            </w:r>
          </w:p>
        </w:tc>
        <w:tc>
          <w:tcPr>
            <w:tcW w:w="1133" w:type="pct"/>
            <w:vAlign w:val="center"/>
          </w:tcPr>
          <w:p w14:paraId="730FAC81" w14:textId="77777777" w:rsidR="008143D9" w:rsidRPr="00AC3044" w:rsidRDefault="008143D9" w:rsidP="005A428D">
            <w:pPr>
              <w:rPr>
                <w:rFonts w:eastAsia="SimSun"/>
              </w:rPr>
            </w:pPr>
            <w:r w:rsidRPr="00AC3044">
              <w:rPr>
                <w:rFonts w:eastAsia="SimSun"/>
              </w:rPr>
              <w:t xml:space="preserve">Аллопуринол </w:t>
            </w:r>
          </w:p>
        </w:tc>
        <w:tc>
          <w:tcPr>
            <w:tcW w:w="614" w:type="pct"/>
            <w:vAlign w:val="center"/>
          </w:tcPr>
          <w:p w14:paraId="3B59CAB3" w14:textId="77777777" w:rsidR="008143D9" w:rsidRPr="00AC3044" w:rsidRDefault="008143D9" w:rsidP="005A428D">
            <w:pPr>
              <w:rPr>
                <w:rFonts w:eastAsia="SimSun"/>
              </w:rPr>
            </w:pPr>
            <w:r w:rsidRPr="00AC3044">
              <w:rPr>
                <w:rFonts w:eastAsia="SimSun"/>
              </w:rPr>
              <w:t xml:space="preserve">300мг </w:t>
            </w:r>
          </w:p>
        </w:tc>
        <w:tc>
          <w:tcPr>
            <w:tcW w:w="486" w:type="pct"/>
            <w:vAlign w:val="center"/>
          </w:tcPr>
          <w:p w14:paraId="7EC1F5FD" w14:textId="77777777" w:rsidR="008143D9" w:rsidRPr="00AC3044" w:rsidRDefault="008143D9" w:rsidP="005A428D">
            <w:pPr>
              <w:rPr>
                <w:rFonts w:eastAsia="SimSun"/>
              </w:rPr>
            </w:pPr>
            <w:r w:rsidRPr="00AC3044">
              <w:rPr>
                <w:rFonts w:eastAsia="SimSun"/>
              </w:rPr>
              <w:t>–</w:t>
            </w:r>
          </w:p>
        </w:tc>
        <w:tc>
          <w:tcPr>
            <w:tcW w:w="1370" w:type="pct"/>
            <w:vAlign w:val="center"/>
          </w:tcPr>
          <w:p w14:paraId="7206D741" w14:textId="77777777" w:rsidR="008143D9" w:rsidRPr="00AC3044" w:rsidRDefault="008143D9" w:rsidP="005A428D">
            <w:pPr>
              <w:rPr>
                <w:rFonts w:eastAsia="SimSun"/>
              </w:rPr>
            </w:pPr>
            <w:r w:rsidRPr="00AC3044">
              <w:rPr>
                <w:rFonts w:eastAsia="SimSun"/>
              </w:rPr>
              <w:t>За день до начала кондиционирования по –1 день кондиционирования, а также в дни введения посттрансплантационного циклофосфамида</w:t>
            </w:r>
          </w:p>
        </w:tc>
        <w:tc>
          <w:tcPr>
            <w:tcW w:w="1229" w:type="pct"/>
            <w:vAlign w:val="center"/>
          </w:tcPr>
          <w:p w14:paraId="0B7CCBA2" w14:textId="77777777" w:rsidR="008143D9" w:rsidRPr="00AC3044" w:rsidRDefault="008143D9" w:rsidP="005A428D">
            <w:pPr>
              <w:rPr>
                <w:rFonts w:eastAsia="SimSun"/>
              </w:rPr>
            </w:pPr>
            <w:r w:rsidRPr="00AC3044">
              <w:rPr>
                <w:rFonts w:eastAsia="SimSun"/>
              </w:rPr>
              <w:t>Внутрь, однократно или доза разделяется на 2 приема</w:t>
            </w:r>
          </w:p>
        </w:tc>
      </w:tr>
      <w:tr w:rsidR="008143D9" w:rsidRPr="00AC3044" w14:paraId="395A285F" w14:textId="77777777" w:rsidTr="005A428D">
        <w:trPr>
          <w:trHeight w:val="20"/>
        </w:trPr>
        <w:tc>
          <w:tcPr>
            <w:tcW w:w="168" w:type="pct"/>
          </w:tcPr>
          <w:p w14:paraId="0F762917" w14:textId="77777777" w:rsidR="008143D9" w:rsidRPr="00AC3044" w:rsidRDefault="008143D9" w:rsidP="005A428D">
            <w:pPr>
              <w:rPr>
                <w:rFonts w:eastAsia="SimSun"/>
              </w:rPr>
            </w:pPr>
            <w:r w:rsidRPr="00AC3044">
              <w:rPr>
                <w:rFonts w:eastAsia="SimSun"/>
              </w:rPr>
              <w:t>5</w:t>
            </w:r>
          </w:p>
        </w:tc>
        <w:tc>
          <w:tcPr>
            <w:tcW w:w="1133" w:type="pct"/>
            <w:vAlign w:val="center"/>
          </w:tcPr>
          <w:p w14:paraId="431305E3" w14:textId="77777777" w:rsidR="008143D9" w:rsidRPr="00AC3044" w:rsidRDefault="008143D9" w:rsidP="005A428D">
            <w:pPr>
              <w:rPr>
                <w:rFonts w:eastAsia="SimSun"/>
              </w:rPr>
            </w:pPr>
            <w:r w:rsidRPr="00AC3044">
              <w:rPr>
                <w:rFonts w:eastAsia="SimSun"/>
              </w:rPr>
              <w:t>Урсодезоксихолевая кислота (рекомендуется)</w:t>
            </w:r>
          </w:p>
        </w:tc>
        <w:tc>
          <w:tcPr>
            <w:tcW w:w="614" w:type="pct"/>
            <w:vAlign w:val="center"/>
          </w:tcPr>
          <w:p w14:paraId="4BD5A796" w14:textId="77777777" w:rsidR="008143D9" w:rsidRPr="00AC3044" w:rsidRDefault="008143D9" w:rsidP="005A428D">
            <w:pPr>
              <w:rPr>
                <w:rFonts w:eastAsia="SimSun"/>
              </w:rPr>
            </w:pPr>
            <w:r w:rsidRPr="00AC3044">
              <w:rPr>
                <w:rFonts w:eastAsia="SimSun"/>
              </w:rPr>
              <w:t>12 мг/кг</w:t>
            </w:r>
          </w:p>
        </w:tc>
        <w:tc>
          <w:tcPr>
            <w:tcW w:w="486" w:type="pct"/>
            <w:vAlign w:val="center"/>
          </w:tcPr>
          <w:p w14:paraId="5E8B0254" w14:textId="77777777" w:rsidR="008143D9" w:rsidRPr="00AC3044" w:rsidRDefault="008143D9" w:rsidP="005A428D">
            <w:pPr>
              <w:rPr>
                <w:rFonts w:eastAsia="SimSun"/>
              </w:rPr>
            </w:pPr>
            <w:r w:rsidRPr="00AC3044">
              <w:rPr>
                <w:rFonts w:eastAsia="SimSun"/>
              </w:rPr>
              <w:t>–</w:t>
            </w:r>
          </w:p>
        </w:tc>
        <w:tc>
          <w:tcPr>
            <w:tcW w:w="1370" w:type="pct"/>
            <w:vAlign w:val="center"/>
          </w:tcPr>
          <w:p w14:paraId="15E52C61" w14:textId="77777777" w:rsidR="008143D9" w:rsidRPr="00AC3044" w:rsidRDefault="008143D9" w:rsidP="005A428D">
            <w:pPr>
              <w:rPr>
                <w:rFonts w:eastAsia="SimSun"/>
              </w:rPr>
            </w:pPr>
            <w:r w:rsidRPr="00AC3044">
              <w:rPr>
                <w:rFonts w:eastAsia="SimSun"/>
              </w:rPr>
              <w:t>C –6 по +180 день</w:t>
            </w:r>
          </w:p>
        </w:tc>
        <w:tc>
          <w:tcPr>
            <w:tcW w:w="1229" w:type="pct"/>
            <w:vAlign w:val="center"/>
          </w:tcPr>
          <w:p w14:paraId="13E4533E" w14:textId="77777777" w:rsidR="008143D9" w:rsidRPr="00AC3044" w:rsidRDefault="008143D9" w:rsidP="005A428D">
            <w:pPr>
              <w:rPr>
                <w:rFonts w:eastAsia="SimSun"/>
              </w:rPr>
            </w:pPr>
            <w:r w:rsidRPr="00AC3044">
              <w:rPr>
                <w:rFonts w:eastAsia="SimSun"/>
              </w:rPr>
              <w:t>Внутрь, суточная доза разделяется на 1–2 приема (вечер или день и вечер)</w:t>
            </w:r>
          </w:p>
        </w:tc>
      </w:tr>
      <w:tr w:rsidR="008143D9" w:rsidRPr="00AC3044" w14:paraId="02155F4F" w14:textId="77777777" w:rsidTr="005A428D">
        <w:trPr>
          <w:trHeight w:val="20"/>
        </w:trPr>
        <w:tc>
          <w:tcPr>
            <w:tcW w:w="168" w:type="pct"/>
          </w:tcPr>
          <w:p w14:paraId="52CB9CDA" w14:textId="77777777" w:rsidR="008143D9" w:rsidRPr="00AC3044" w:rsidRDefault="008143D9" w:rsidP="005A428D">
            <w:pPr>
              <w:rPr>
                <w:rFonts w:eastAsia="SimSun"/>
              </w:rPr>
            </w:pPr>
            <w:r w:rsidRPr="00AC3044">
              <w:rPr>
                <w:rFonts w:eastAsia="SimSun"/>
              </w:rPr>
              <w:t>6</w:t>
            </w:r>
          </w:p>
        </w:tc>
        <w:tc>
          <w:tcPr>
            <w:tcW w:w="1133" w:type="pct"/>
            <w:vAlign w:val="center"/>
          </w:tcPr>
          <w:p w14:paraId="684D36F4" w14:textId="77777777" w:rsidR="008143D9" w:rsidRPr="00AC3044" w:rsidRDefault="008143D9" w:rsidP="005A428D">
            <w:pPr>
              <w:rPr>
                <w:rFonts w:eastAsia="SimSun"/>
              </w:rPr>
            </w:pPr>
            <w:r w:rsidRPr="00AC3044">
              <w:rPr>
                <w:rFonts w:eastAsia="SimSun"/>
              </w:rPr>
              <w:t xml:space="preserve">Метилпреднизолон </w:t>
            </w:r>
          </w:p>
        </w:tc>
        <w:tc>
          <w:tcPr>
            <w:tcW w:w="3699" w:type="pct"/>
            <w:gridSpan w:val="4"/>
            <w:vAlign w:val="center"/>
          </w:tcPr>
          <w:p w14:paraId="75420DB9" w14:textId="77777777" w:rsidR="008143D9" w:rsidRPr="00AC3044" w:rsidRDefault="008143D9" w:rsidP="005A428D">
            <w:pPr>
              <w:rPr>
                <w:rFonts w:eastAsia="SimSun"/>
              </w:rPr>
            </w:pPr>
            <w:r w:rsidRPr="00AC3044">
              <w:rPr>
                <w:rFonts w:eastAsia="SimSun"/>
              </w:rPr>
              <w:t>см. «Инфузия АТГ»</w:t>
            </w:r>
          </w:p>
        </w:tc>
      </w:tr>
      <w:tr w:rsidR="008143D9" w:rsidRPr="00AC3044" w14:paraId="37BA8A9D" w14:textId="77777777" w:rsidTr="005A428D">
        <w:trPr>
          <w:trHeight w:val="20"/>
        </w:trPr>
        <w:tc>
          <w:tcPr>
            <w:tcW w:w="168" w:type="pct"/>
          </w:tcPr>
          <w:p w14:paraId="08F5F8CC" w14:textId="77777777" w:rsidR="008143D9" w:rsidRPr="00AC3044" w:rsidRDefault="008143D9" w:rsidP="005A428D">
            <w:pPr>
              <w:rPr>
                <w:rFonts w:eastAsia="SimSun"/>
              </w:rPr>
            </w:pPr>
            <w:r w:rsidRPr="00AC3044">
              <w:rPr>
                <w:rFonts w:eastAsia="SimSun"/>
              </w:rPr>
              <w:t>7</w:t>
            </w:r>
          </w:p>
        </w:tc>
        <w:tc>
          <w:tcPr>
            <w:tcW w:w="1133" w:type="pct"/>
            <w:vAlign w:val="center"/>
          </w:tcPr>
          <w:p w14:paraId="5F566C32" w14:textId="77777777" w:rsidR="008143D9" w:rsidRPr="00AC3044" w:rsidRDefault="008143D9" w:rsidP="005A428D">
            <w:pPr>
              <w:rPr>
                <w:rFonts w:eastAsia="SimSun"/>
              </w:rPr>
            </w:pPr>
            <w:r w:rsidRPr="00AC3044">
              <w:rPr>
                <w:rFonts w:eastAsia="SimSun"/>
              </w:rPr>
              <w:t>Преднизолон</w:t>
            </w:r>
          </w:p>
        </w:tc>
        <w:tc>
          <w:tcPr>
            <w:tcW w:w="3699" w:type="pct"/>
            <w:gridSpan w:val="4"/>
            <w:vAlign w:val="center"/>
          </w:tcPr>
          <w:p w14:paraId="1181B2F1" w14:textId="77777777" w:rsidR="008143D9" w:rsidRPr="00AC3044" w:rsidRDefault="008143D9" w:rsidP="005A428D">
            <w:pPr>
              <w:rPr>
                <w:rFonts w:eastAsia="SimSun"/>
              </w:rPr>
            </w:pPr>
            <w:r w:rsidRPr="00AC3044">
              <w:rPr>
                <w:rFonts w:eastAsia="SimSun"/>
              </w:rPr>
              <w:t>см. «Инфузия АТГ»</w:t>
            </w:r>
          </w:p>
        </w:tc>
      </w:tr>
    </w:tbl>
    <w:p w14:paraId="0A647252" w14:textId="77777777" w:rsidR="008143D9" w:rsidRPr="00C07B2E" w:rsidRDefault="008143D9" w:rsidP="008143D9">
      <w:pPr>
        <w:rPr>
          <w:rFonts w:eastAsia="SimSun"/>
        </w:rPr>
      </w:pPr>
    </w:p>
    <w:p w14:paraId="6C41EABD" w14:textId="77777777" w:rsidR="00F20CFD" w:rsidRPr="00C413F9" w:rsidRDefault="00BB4583" w:rsidP="00C413F9">
      <w:pPr>
        <w:pStyle w:val="2"/>
        <w:jc w:val="center"/>
        <w:rPr>
          <w:sz w:val="28"/>
          <w:szCs w:val="28"/>
          <w:u w:val="none"/>
        </w:rPr>
      </w:pPr>
      <w:r>
        <w:rPr>
          <w:sz w:val="28"/>
          <w:szCs w:val="28"/>
          <w:u w:val="none"/>
        </w:rPr>
        <w:br w:type="page"/>
      </w:r>
      <w:bookmarkStart w:id="207" w:name="_Toc65104131"/>
      <w:r w:rsidR="00F20CFD" w:rsidRPr="00C413F9">
        <w:rPr>
          <w:sz w:val="28"/>
          <w:szCs w:val="28"/>
          <w:u w:val="none"/>
        </w:rPr>
        <w:t>Приложение Б. Алгоритмы</w:t>
      </w:r>
      <w:r w:rsidR="00F20CFD">
        <w:rPr>
          <w:sz w:val="28"/>
          <w:szCs w:val="28"/>
          <w:u w:val="none"/>
        </w:rPr>
        <w:t xml:space="preserve"> действий врача</w:t>
      </w:r>
      <w:bookmarkEnd w:id="207"/>
    </w:p>
    <w:p w14:paraId="37D73C5D" w14:textId="77777777" w:rsidR="00F20CFD" w:rsidRPr="006A377C" w:rsidRDefault="00F20CFD" w:rsidP="0004401F">
      <w:pPr>
        <w:jc w:val="center"/>
        <w:rPr>
          <w:b/>
          <w:szCs w:val="24"/>
        </w:rPr>
      </w:pPr>
      <w:r w:rsidRPr="006A377C">
        <w:rPr>
          <w:b/>
          <w:szCs w:val="24"/>
        </w:rPr>
        <w:t>Общий алгоритм ведения пациентов с подозрением на МДС</w:t>
      </w:r>
    </w:p>
    <w:p w14:paraId="57337E3F" w14:textId="77777777" w:rsidR="00F20CFD" w:rsidRPr="006A377C" w:rsidRDefault="00F20CFD" w:rsidP="00EA7BF5">
      <w:pPr>
        <w:rPr>
          <w:szCs w:val="24"/>
        </w:rPr>
      </w:pPr>
    </w:p>
    <w:p w14:paraId="6D7F1525" w14:textId="77777777" w:rsidR="00F20CFD" w:rsidRPr="006A377C" w:rsidRDefault="00EF53EA" w:rsidP="00EA7BF5">
      <w:pPr>
        <w:rPr>
          <w:szCs w:val="24"/>
        </w:rPr>
      </w:pPr>
      <w:r>
        <w:rPr>
          <w:noProof/>
          <w:szCs w:val="24"/>
          <w:lang w:eastAsia="ru-RU"/>
        </w:rPr>
        <w:drawing>
          <wp:inline distT="0" distB="0" distL="0" distR="0" wp14:anchorId="56698CA2" wp14:editId="2A44FE91">
            <wp:extent cx="5920740" cy="2854325"/>
            <wp:effectExtent l="0" t="0" r="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20740" cy="2854325"/>
                    </a:xfrm>
                    <a:prstGeom prst="rect">
                      <a:avLst/>
                    </a:prstGeom>
                    <a:noFill/>
                    <a:ln>
                      <a:noFill/>
                    </a:ln>
                  </pic:spPr>
                </pic:pic>
              </a:graphicData>
            </a:graphic>
          </wp:inline>
        </w:drawing>
      </w:r>
    </w:p>
    <w:p w14:paraId="3F5B199D" w14:textId="77777777" w:rsidR="00F20CFD" w:rsidRPr="006A377C" w:rsidRDefault="00F20CFD" w:rsidP="00EA7BF5">
      <w:pPr>
        <w:ind w:firstLine="709"/>
        <w:rPr>
          <w:szCs w:val="24"/>
        </w:rPr>
      </w:pPr>
    </w:p>
    <w:p w14:paraId="24F2688A" w14:textId="77777777" w:rsidR="00F20CFD" w:rsidRDefault="00F20CFD" w:rsidP="00EA7BF5">
      <w:pPr>
        <w:ind w:firstLine="709"/>
        <w:jc w:val="center"/>
        <w:rPr>
          <w:b/>
          <w:szCs w:val="24"/>
        </w:rPr>
      </w:pPr>
    </w:p>
    <w:p w14:paraId="02A13B12" w14:textId="77777777" w:rsidR="00F20CFD" w:rsidRPr="006A377C" w:rsidRDefault="00F20CFD" w:rsidP="00EA7BF5">
      <w:pPr>
        <w:ind w:firstLine="709"/>
        <w:jc w:val="center"/>
        <w:rPr>
          <w:b/>
          <w:szCs w:val="24"/>
        </w:rPr>
      </w:pPr>
      <w:r w:rsidRPr="006A377C">
        <w:rPr>
          <w:b/>
          <w:szCs w:val="24"/>
        </w:rPr>
        <w:t>Алгоритм ведения пациентов МДС низкого риска:</w:t>
      </w:r>
    </w:p>
    <w:p w14:paraId="7E63D935" w14:textId="77777777" w:rsidR="00F20CFD" w:rsidRPr="006A377C" w:rsidRDefault="00F20CFD" w:rsidP="00EA7BF5">
      <w:pPr>
        <w:ind w:firstLine="709"/>
        <w:rPr>
          <w:szCs w:val="24"/>
        </w:rPr>
      </w:pPr>
      <w:r w:rsidRPr="006A377C">
        <w:rPr>
          <w:szCs w:val="24"/>
        </w:rPr>
        <w:t>– группы низкого и промежуточного-1 риска по шкале IPSS;</w:t>
      </w:r>
    </w:p>
    <w:p w14:paraId="5790C4E2" w14:textId="77777777" w:rsidR="00F20CFD" w:rsidRPr="006A377C" w:rsidRDefault="00F20CFD" w:rsidP="00EA7BF5">
      <w:pPr>
        <w:ind w:firstLine="709"/>
        <w:rPr>
          <w:szCs w:val="24"/>
        </w:rPr>
      </w:pPr>
      <w:r w:rsidRPr="006A377C">
        <w:rPr>
          <w:szCs w:val="24"/>
        </w:rPr>
        <w:t>– группы очень низкого, низкого и промежуточного риска по шкале IPSS-</w:t>
      </w:r>
      <w:r w:rsidRPr="006A377C">
        <w:rPr>
          <w:szCs w:val="24"/>
          <w:lang w:val="en-US"/>
        </w:rPr>
        <w:t>R</w:t>
      </w:r>
      <w:r w:rsidRPr="006A377C">
        <w:rPr>
          <w:szCs w:val="24"/>
        </w:rPr>
        <w:t>;</w:t>
      </w:r>
    </w:p>
    <w:p w14:paraId="67DE01F8" w14:textId="77777777" w:rsidR="00F20CFD" w:rsidRPr="006A377C" w:rsidRDefault="00F20CFD" w:rsidP="00EA7BF5">
      <w:pPr>
        <w:ind w:firstLine="709"/>
        <w:rPr>
          <w:szCs w:val="24"/>
        </w:rPr>
      </w:pPr>
      <w:r w:rsidRPr="006A377C">
        <w:rPr>
          <w:szCs w:val="24"/>
        </w:rPr>
        <w:t xml:space="preserve">– группы очень низкого, низкого и промежуточного риска по шкале </w:t>
      </w:r>
      <w:r w:rsidRPr="006A377C">
        <w:rPr>
          <w:szCs w:val="24"/>
          <w:lang w:val="en-US"/>
        </w:rPr>
        <w:t>W</w:t>
      </w:r>
      <w:r w:rsidRPr="006A377C">
        <w:rPr>
          <w:szCs w:val="24"/>
        </w:rPr>
        <w:t>PSS.</w:t>
      </w:r>
    </w:p>
    <w:p w14:paraId="4AFE6833" w14:textId="77777777" w:rsidR="00F20CFD" w:rsidRPr="006A377C" w:rsidRDefault="00F20CFD" w:rsidP="00EA7BF5">
      <w:pPr>
        <w:ind w:firstLine="709"/>
        <w:rPr>
          <w:szCs w:val="24"/>
        </w:rPr>
      </w:pPr>
    </w:p>
    <w:p w14:paraId="1CF055F4" w14:textId="77777777" w:rsidR="00F20CFD" w:rsidRPr="006A377C" w:rsidRDefault="00EF53EA" w:rsidP="00EA7BF5">
      <w:pPr>
        <w:rPr>
          <w:szCs w:val="24"/>
        </w:rPr>
      </w:pPr>
      <w:r>
        <w:rPr>
          <w:noProof/>
          <w:szCs w:val="24"/>
          <w:lang w:eastAsia="ru-RU"/>
        </w:rPr>
        <w:drawing>
          <wp:inline distT="0" distB="0" distL="0" distR="0" wp14:anchorId="33E6C0BE" wp14:editId="367CF81D">
            <wp:extent cx="5864860" cy="2955925"/>
            <wp:effectExtent l="0" t="0" r="0" b="0"/>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64860" cy="2955925"/>
                    </a:xfrm>
                    <a:prstGeom prst="rect">
                      <a:avLst/>
                    </a:prstGeom>
                    <a:noFill/>
                    <a:ln>
                      <a:noFill/>
                    </a:ln>
                  </pic:spPr>
                </pic:pic>
              </a:graphicData>
            </a:graphic>
          </wp:inline>
        </w:drawing>
      </w:r>
    </w:p>
    <w:p w14:paraId="4B1E3AEC" w14:textId="77777777" w:rsidR="00F20CFD" w:rsidRPr="006A377C" w:rsidRDefault="00F20CFD" w:rsidP="00EA7BF5">
      <w:pPr>
        <w:rPr>
          <w:szCs w:val="24"/>
        </w:rPr>
      </w:pPr>
    </w:p>
    <w:p w14:paraId="61C73BEF" w14:textId="77777777" w:rsidR="00F20CFD" w:rsidRPr="006A377C" w:rsidRDefault="00F20CFD" w:rsidP="00EA7BF5">
      <w:pPr>
        <w:rPr>
          <w:szCs w:val="24"/>
        </w:rPr>
      </w:pPr>
    </w:p>
    <w:p w14:paraId="3353359D" w14:textId="77777777" w:rsidR="00F20CFD" w:rsidRPr="006A377C" w:rsidRDefault="00F20CFD" w:rsidP="002A545C">
      <w:pPr>
        <w:ind w:firstLine="709"/>
        <w:jc w:val="center"/>
        <w:rPr>
          <w:b/>
          <w:szCs w:val="24"/>
        </w:rPr>
      </w:pPr>
      <w:r w:rsidRPr="006A377C">
        <w:rPr>
          <w:b/>
          <w:szCs w:val="24"/>
        </w:rPr>
        <w:t>Алгоритм ведения пациентов МДС высокого риска:</w:t>
      </w:r>
    </w:p>
    <w:p w14:paraId="1A3C9032" w14:textId="77777777" w:rsidR="00F20CFD" w:rsidRPr="006A377C" w:rsidRDefault="00F20CFD" w:rsidP="00EA7BF5">
      <w:pPr>
        <w:ind w:firstLine="709"/>
        <w:rPr>
          <w:szCs w:val="24"/>
        </w:rPr>
      </w:pPr>
      <w:r w:rsidRPr="006A377C">
        <w:rPr>
          <w:szCs w:val="24"/>
        </w:rPr>
        <w:t>– группы промежуточного-2 и высокого риска по шкале IPSS;</w:t>
      </w:r>
    </w:p>
    <w:p w14:paraId="20747E92" w14:textId="77777777" w:rsidR="00F20CFD" w:rsidRPr="006A377C" w:rsidRDefault="00F20CFD" w:rsidP="00EA7BF5">
      <w:pPr>
        <w:ind w:firstLine="709"/>
        <w:rPr>
          <w:szCs w:val="24"/>
        </w:rPr>
      </w:pPr>
      <w:r w:rsidRPr="006A377C">
        <w:rPr>
          <w:szCs w:val="24"/>
        </w:rPr>
        <w:t>– группы промежуточного, высокого и очень высокого риска по шкале IPSS-</w:t>
      </w:r>
      <w:r w:rsidRPr="006A377C">
        <w:rPr>
          <w:szCs w:val="24"/>
          <w:lang w:val="en-US"/>
        </w:rPr>
        <w:t>R</w:t>
      </w:r>
      <w:r w:rsidRPr="006A377C">
        <w:rPr>
          <w:szCs w:val="24"/>
        </w:rPr>
        <w:t>;</w:t>
      </w:r>
    </w:p>
    <w:p w14:paraId="3028678E" w14:textId="77777777" w:rsidR="00F20CFD" w:rsidRPr="006A377C" w:rsidRDefault="00F20CFD" w:rsidP="00EA7BF5">
      <w:pPr>
        <w:ind w:firstLine="709"/>
        <w:rPr>
          <w:szCs w:val="24"/>
        </w:rPr>
      </w:pPr>
      <w:r w:rsidRPr="006A377C">
        <w:rPr>
          <w:szCs w:val="24"/>
        </w:rPr>
        <w:t xml:space="preserve">– группы промежуточного, высокого и очень высокого риска по шкале </w:t>
      </w:r>
      <w:r w:rsidRPr="006A377C">
        <w:rPr>
          <w:szCs w:val="24"/>
          <w:lang w:val="en-US"/>
        </w:rPr>
        <w:t>W</w:t>
      </w:r>
      <w:r w:rsidRPr="006A377C">
        <w:rPr>
          <w:szCs w:val="24"/>
        </w:rPr>
        <w:t>PSS.</w:t>
      </w:r>
    </w:p>
    <w:p w14:paraId="19197520" w14:textId="77777777" w:rsidR="00F20CFD" w:rsidRPr="006A377C" w:rsidRDefault="00F20CFD" w:rsidP="00EA7BF5">
      <w:pPr>
        <w:ind w:firstLine="709"/>
        <w:rPr>
          <w:szCs w:val="24"/>
        </w:rPr>
      </w:pPr>
    </w:p>
    <w:p w14:paraId="00AF0B7E" w14:textId="77777777" w:rsidR="00F20CFD" w:rsidRPr="006A377C" w:rsidRDefault="00EF53EA" w:rsidP="00EA7BF5">
      <w:pPr>
        <w:rPr>
          <w:szCs w:val="24"/>
        </w:rPr>
      </w:pPr>
      <w:r>
        <w:rPr>
          <w:noProof/>
          <w:szCs w:val="24"/>
          <w:lang w:eastAsia="ru-RU"/>
        </w:rPr>
        <w:drawing>
          <wp:inline distT="0" distB="0" distL="0" distR="0" wp14:anchorId="73474820" wp14:editId="10A6DA6E">
            <wp:extent cx="5846445" cy="3121660"/>
            <wp:effectExtent l="0" t="0" r="0" b="0"/>
            <wp:docPr id="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46445" cy="3121660"/>
                    </a:xfrm>
                    <a:prstGeom prst="rect">
                      <a:avLst/>
                    </a:prstGeom>
                    <a:noFill/>
                    <a:ln>
                      <a:noFill/>
                    </a:ln>
                  </pic:spPr>
                </pic:pic>
              </a:graphicData>
            </a:graphic>
          </wp:inline>
        </w:drawing>
      </w:r>
    </w:p>
    <w:p w14:paraId="5658A375" w14:textId="77777777" w:rsidR="00F20CFD" w:rsidRPr="006A377C" w:rsidRDefault="00F20CFD" w:rsidP="00EA7BF5">
      <w:pPr>
        <w:rPr>
          <w:szCs w:val="24"/>
        </w:rPr>
      </w:pPr>
    </w:p>
    <w:p w14:paraId="2183B2AC" w14:textId="77777777" w:rsidR="00F20CFD" w:rsidRPr="006A377C" w:rsidRDefault="00F20CFD" w:rsidP="00EA7BF5">
      <w:pPr>
        <w:rPr>
          <w:szCs w:val="24"/>
        </w:rPr>
      </w:pPr>
    </w:p>
    <w:p w14:paraId="546A3664" w14:textId="77777777" w:rsidR="00F20CFD" w:rsidRPr="006A377C" w:rsidRDefault="00F20CFD" w:rsidP="00EA7BF5">
      <w:pPr>
        <w:rPr>
          <w:szCs w:val="24"/>
        </w:rPr>
      </w:pPr>
    </w:p>
    <w:p w14:paraId="09B5863A" w14:textId="77777777" w:rsidR="00F20CFD" w:rsidRDefault="00F20CFD" w:rsidP="004C69FE"/>
    <w:p w14:paraId="13EB2821" w14:textId="77777777" w:rsidR="00F20CFD" w:rsidRDefault="00F20CFD" w:rsidP="004C69FE"/>
    <w:p w14:paraId="3F6F3149" w14:textId="77777777" w:rsidR="00F20CFD" w:rsidRDefault="00F20CFD" w:rsidP="004C69FE"/>
    <w:p w14:paraId="27C2994F" w14:textId="77777777" w:rsidR="00F20CFD" w:rsidRDefault="00F20CFD" w:rsidP="004C69FE"/>
    <w:p w14:paraId="6F8032BB" w14:textId="77777777" w:rsidR="00F20CFD" w:rsidRDefault="00F20CFD" w:rsidP="004C69FE"/>
    <w:p w14:paraId="24271144" w14:textId="77777777" w:rsidR="00F20CFD" w:rsidRDefault="00F20CFD" w:rsidP="004C69FE"/>
    <w:p w14:paraId="09CE35BF" w14:textId="77777777" w:rsidR="00F20CFD" w:rsidRDefault="00F20CFD" w:rsidP="004C69FE"/>
    <w:p w14:paraId="46F0A446" w14:textId="77777777" w:rsidR="00F20CFD" w:rsidRDefault="00F20CFD" w:rsidP="004C69FE"/>
    <w:p w14:paraId="18DADAA3" w14:textId="77777777" w:rsidR="00F20CFD" w:rsidRPr="00C413F9" w:rsidRDefault="00BB4583" w:rsidP="00C413F9">
      <w:pPr>
        <w:pStyle w:val="2"/>
        <w:jc w:val="center"/>
        <w:rPr>
          <w:sz w:val="28"/>
          <w:szCs w:val="28"/>
          <w:u w:val="none"/>
        </w:rPr>
      </w:pPr>
      <w:r>
        <w:rPr>
          <w:sz w:val="28"/>
          <w:szCs w:val="28"/>
          <w:u w:val="none"/>
        </w:rPr>
        <w:br w:type="page"/>
      </w:r>
      <w:bookmarkStart w:id="208" w:name="_Toc65104132"/>
      <w:r w:rsidR="00F20CFD" w:rsidRPr="00C413F9">
        <w:rPr>
          <w:sz w:val="28"/>
          <w:szCs w:val="28"/>
          <w:u w:val="none"/>
        </w:rPr>
        <w:t>Приложение В. Информация для пациентов</w:t>
      </w:r>
      <w:bookmarkEnd w:id="208"/>
    </w:p>
    <w:p w14:paraId="1F026473" w14:textId="77777777" w:rsidR="00F20CFD" w:rsidRPr="006A377C" w:rsidRDefault="00F20CFD" w:rsidP="00EA7BF5">
      <w:pPr>
        <w:ind w:firstLine="709"/>
        <w:rPr>
          <w:szCs w:val="24"/>
        </w:rPr>
      </w:pPr>
      <w:r w:rsidRPr="006A377C">
        <w:rPr>
          <w:szCs w:val="24"/>
        </w:rPr>
        <w:t>Миелодиспластические синдромы (МДС) – это группа различных заболеваний костного мозга (КМ), проявляющихся в том, что КМ не вырабатывает достаточного количества здоровых клеток крови. МДС часто называют «болезнью недостаточности костного мозга». МДС страдают главным образом пожилые люди (возраст большинства пациентов превышает 65 лет), однако и среди лиц моложе 40 лет возможно выявление этого заболевания.</w:t>
      </w:r>
    </w:p>
    <w:p w14:paraId="39D46353" w14:textId="77777777" w:rsidR="00F20CFD" w:rsidRPr="006A377C" w:rsidRDefault="00F20CFD" w:rsidP="00EA7BF5">
      <w:pPr>
        <w:ind w:firstLine="709"/>
        <w:rPr>
          <w:szCs w:val="24"/>
        </w:rPr>
      </w:pPr>
      <w:r w:rsidRPr="006A377C">
        <w:rPr>
          <w:szCs w:val="24"/>
        </w:rPr>
        <w:t>Основными признаками МДС является цитопения – это снижение количества эритроцитов и гемоглобина, лейкоцитов и тромбоцитов; помимо низкого количества клеток крови, зрелые клетки крови, циркулирующие в системе кровообращения, могут неправильно функционировать из-за так называемой дисплазии. Несмотря на то, что МДС – это не синдром, а болезнь, и даже группа заболеваний, обозначение «синдром» до сих пор остается в силе.</w:t>
      </w:r>
    </w:p>
    <w:p w14:paraId="23F32EF0" w14:textId="77777777" w:rsidR="00F20CFD" w:rsidRPr="006A377C" w:rsidRDefault="00F20CFD" w:rsidP="002A545C">
      <w:pPr>
        <w:ind w:firstLine="709"/>
        <w:rPr>
          <w:szCs w:val="24"/>
        </w:rPr>
      </w:pPr>
      <w:r w:rsidRPr="006A377C">
        <w:rPr>
          <w:szCs w:val="24"/>
        </w:rPr>
        <w:t>Основными типами цитопений являются:</w:t>
      </w:r>
    </w:p>
    <w:p w14:paraId="435C611D" w14:textId="77777777" w:rsidR="00F20CFD" w:rsidRPr="006A377C" w:rsidRDefault="00F20CFD" w:rsidP="005F2F2B">
      <w:pPr>
        <w:pStyle w:val="aff"/>
        <w:numPr>
          <w:ilvl w:val="0"/>
          <w:numId w:val="21"/>
        </w:numPr>
        <w:rPr>
          <w:szCs w:val="24"/>
        </w:rPr>
      </w:pPr>
      <w:r w:rsidRPr="006A377C">
        <w:rPr>
          <w:szCs w:val="24"/>
        </w:rPr>
        <w:t>Анемия – сниженное содержание эритроцитов в 1 мкл крови, но чаще используют параметры гемоглобина:у пациентов проявлениями анемии являются бледность кожных покровов, слабость, повышенная утомляемость, сонливость, головокружение, сердцебиение, одышка, как в покое, так и при физической нагрузке. Для каждого пациента существует свое, пороговое значение гемоглобина, при котором начинают появляться и усиливаться данные симптомы, которые заставляют обратиться к врачу и в дальнейшем помогают оценивать состояние пациента.</w:t>
      </w:r>
    </w:p>
    <w:p w14:paraId="4A066AA7" w14:textId="77777777" w:rsidR="00F20CFD" w:rsidRPr="006A377C" w:rsidRDefault="00F20CFD" w:rsidP="005F2F2B">
      <w:pPr>
        <w:pStyle w:val="aff"/>
        <w:numPr>
          <w:ilvl w:val="0"/>
          <w:numId w:val="21"/>
        </w:numPr>
        <w:rPr>
          <w:szCs w:val="24"/>
        </w:rPr>
      </w:pPr>
      <w:r w:rsidRPr="006A377C">
        <w:rPr>
          <w:szCs w:val="24"/>
        </w:rPr>
        <w:t>Лейкопения – низкое содержание лейкоцитов в 1 мкл крови. Снижение показателей лейкоцитов и нейтрофилов, а также нарушение их функции не сказывается на общем самочувствии пациентов, однако приводит к увеличению частоты инфекционных осложнений.</w:t>
      </w:r>
    </w:p>
    <w:p w14:paraId="73366FB1" w14:textId="77777777" w:rsidR="00F20CFD" w:rsidRPr="006A377C" w:rsidRDefault="00F20CFD" w:rsidP="005F2F2B">
      <w:pPr>
        <w:pStyle w:val="aff"/>
        <w:numPr>
          <w:ilvl w:val="0"/>
          <w:numId w:val="21"/>
        </w:numPr>
        <w:rPr>
          <w:szCs w:val="24"/>
        </w:rPr>
      </w:pPr>
      <w:r w:rsidRPr="006A377C">
        <w:rPr>
          <w:szCs w:val="24"/>
        </w:rPr>
        <w:t>Тромбоцитопения – низкое содержание тромбоцитов в 1 мкл крови; у пациентов с тромбоцитопенией нередко выявляется геморрагический синдром (появление на коже и слизистых красных пятен-геморрагий, кровоточивость десен, чаще во время проведения гигиенических процедур, кровотечения из носа, желудочно-кишечного тракта и т. д.). С учетом нарушенной функции тромбоцитов эти проявления могут быть при уровне тромбоцитов &gt;20×10</w:t>
      </w:r>
      <w:r w:rsidRPr="006A377C">
        <w:rPr>
          <w:szCs w:val="24"/>
          <w:vertAlign w:val="superscript"/>
        </w:rPr>
        <w:t>9</w:t>
      </w:r>
      <w:r w:rsidRPr="006A377C">
        <w:rPr>
          <w:szCs w:val="24"/>
        </w:rPr>
        <w:t>/л, однако чаще они встречаются при показателях менее 20×10</w:t>
      </w:r>
      <w:r w:rsidRPr="006A377C">
        <w:rPr>
          <w:szCs w:val="24"/>
          <w:vertAlign w:val="superscript"/>
        </w:rPr>
        <w:t>9</w:t>
      </w:r>
      <w:r w:rsidRPr="006A377C">
        <w:rPr>
          <w:szCs w:val="24"/>
        </w:rPr>
        <w:t>/л.</w:t>
      </w:r>
    </w:p>
    <w:p w14:paraId="0A67D024" w14:textId="77777777" w:rsidR="00F20CFD" w:rsidRPr="006A377C" w:rsidRDefault="00F20CFD" w:rsidP="004A4D7C">
      <w:pPr>
        <w:ind w:firstLine="709"/>
        <w:rPr>
          <w:szCs w:val="24"/>
        </w:rPr>
      </w:pPr>
      <w:r w:rsidRPr="006A377C">
        <w:rPr>
          <w:szCs w:val="24"/>
        </w:rPr>
        <w:t>Для диагностики МДС необходимо выполнить исследование крови, КМ с определением особенностей кариотипа (определить – есть поломки хромосом или нет), а также провести полное терапевтическое обследование. Это поможет врачу подтвердить наличие или отсутствие МДС, выяснить наличие сопутствующей патологии, а также выбрать тактику дальнейшей терапии.</w:t>
      </w:r>
    </w:p>
    <w:p w14:paraId="4BA8ABDA" w14:textId="77777777" w:rsidR="00F20CFD" w:rsidRPr="006A377C" w:rsidRDefault="00F20CFD" w:rsidP="00EA7BF5">
      <w:pPr>
        <w:ind w:firstLine="709"/>
        <w:rPr>
          <w:szCs w:val="24"/>
        </w:rPr>
      </w:pPr>
      <w:r w:rsidRPr="006A377C">
        <w:rPr>
          <w:szCs w:val="24"/>
        </w:rPr>
        <w:t>В настоящее время существует много методов лечения МДС. Выбор зависит от варианта МДС, особенностей кроветворения, группы риска, возраста пациента, наличия и тяжести сопутствующей патологии, наличия подходящего по HLA-системе донора.</w:t>
      </w:r>
    </w:p>
    <w:p w14:paraId="20D59B92" w14:textId="77777777" w:rsidR="00F20CFD" w:rsidRPr="006A377C" w:rsidRDefault="00F20CFD" w:rsidP="00EA7BF5">
      <w:pPr>
        <w:ind w:firstLine="709"/>
        <w:rPr>
          <w:szCs w:val="24"/>
        </w:rPr>
      </w:pPr>
      <w:r w:rsidRPr="006A377C">
        <w:rPr>
          <w:szCs w:val="24"/>
        </w:rPr>
        <w:t>Решение о начале той или иной терапии, особенно о начале реализации программы трансплантации аллогенных гемопоэтических стволовых клеток, принимается врачом совместно с пациентом и его родственниками.</w:t>
      </w:r>
    </w:p>
    <w:p w14:paraId="3DBDED8E" w14:textId="77777777" w:rsidR="00F20CFD" w:rsidRPr="006A377C" w:rsidRDefault="00F20CFD" w:rsidP="00EA7BF5">
      <w:pPr>
        <w:ind w:firstLine="709"/>
        <w:rPr>
          <w:szCs w:val="24"/>
        </w:rPr>
      </w:pPr>
      <w:r w:rsidRPr="006A377C">
        <w:rPr>
          <w:szCs w:val="24"/>
        </w:rPr>
        <w:t>Адекватное выполнение пациентом назначений врача, своевременное соблюдение всех установленных правил позволяет получить максимально возможный результат.</w:t>
      </w:r>
    </w:p>
    <w:p w14:paraId="3A4F3F4C" w14:textId="77777777" w:rsidR="00F20CFD" w:rsidRPr="006A377C" w:rsidRDefault="00F20CFD" w:rsidP="00EA7BF5">
      <w:pPr>
        <w:ind w:firstLine="709"/>
        <w:rPr>
          <w:szCs w:val="24"/>
        </w:rPr>
      </w:pPr>
      <w:r w:rsidRPr="006A377C">
        <w:rPr>
          <w:szCs w:val="24"/>
        </w:rPr>
        <w:t>Всем пациентам с МДС</w:t>
      </w:r>
      <w:r w:rsidRPr="006A377C">
        <w:rPr>
          <w:b/>
          <w:szCs w:val="24"/>
        </w:rPr>
        <w:t xml:space="preserve"> </w:t>
      </w:r>
      <w:r w:rsidRPr="006A377C">
        <w:rPr>
          <w:bCs/>
          <w:szCs w:val="24"/>
        </w:rPr>
        <w:t>рекомендуется</w:t>
      </w:r>
      <w:r w:rsidRPr="006A377C">
        <w:rPr>
          <w:szCs w:val="24"/>
        </w:rPr>
        <w:t xml:space="preserve"> соблюдать предписания гематолога по лечению и не заниматься самолечением, исключить инсоляцию, посещение сауны /бани и физиотерапевтические процедуры. При наличии вредных условий труда желательна смена условий работы. </w:t>
      </w:r>
      <w:r w:rsidRPr="006A377C">
        <w:rPr>
          <w:bCs/>
          <w:szCs w:val="24"/>
        </w:rPr>
        <w:t>К</w:t>
      </w:r>
      <w:r w:rsidRPr="006A377C">
        <w:rPr>
          <w:szCs w:val="24"/>
        </w:rPr>
        <w:t xml:space="preserve"> вредным условиям труда относятся:работа, связанная с тяжелым физическим и значительным нервно-психическим напряжением, воздействием токсических агентов, вибрации, пребыванием на высоте, обслуживанием движущихся механизмов, вождением транспортных средств, диспетчерские профессии и т. п.</w:t>
      </w:r>
    </w:p>
    <w:p w14:paraId="0D3C10DE" w14:textId="77777777" w:rsidR="00F20CFD" w:rsidRPr="006A377C" w:rsidRDefault="00F20CFD" w:rsidP="00EA7BF5">
      <w:pPr>
        <w:ind w:firstLine="709"/>
        <w:rPr>
          <w:szCs w:val="24"/>
        </w:rPr>
      </w:pPr>
    </w:p>
    <w:p w14:paraId="545FC859" w14:textId="77777777" w:rsidR="00F20CFD" w:rsidRDefault="00F20CFD" w:rsidP="004C69FE"/>
    <w:p w14:paraId="7995E4E8" w14:textId="77777777" w:rsidR="00F20CFD" w:rsidRDefault="00F20CFD" w:rsidP="004C69FE"/>
    <w:p w14:paraId="067B8BAD" w14:textId="77777777" w:rsidR="00F20CFD" w:rsidRDefault="00F20CFD" w:rsidP="004C69FE"/>
    <w:p w14:paraId="4CAA14D5" w14:textId="77777777" w:rsidR="00F20CFD" w:rsidRDefault="00F20CFD" w:rsidP="004C69FE"/>
    <w:p w14:paraId="33EE16EE" w14:textId="77777777" w:rsidR="00F20CFD" w:rsidRDefault="00F20CFD" w:rsidP="004C69FE"/>
    <w:p w14:paraId="4FF28359" w14:textId="77777777" w:rsidR="00F20CFD" w:rsidRDefault="00F20CFD" w:rsidP="004C69FE"/>
    <w:p w14:paraId="25A5D3D6" w14:textId="77777777" w:rsidR="00F20CFD" w:rsidRDefault="00F20CFD" w:rsidP="004C69FE"/>
    <w:p w14:paraId="65BC7ECC" w14:textId="77777777" w:rsidR="00F20CFD" w:rsidRDefault="00F20CFD" w:rsidP="004C69FE">
      <w:pPr>
        <w:rPr>
          <w:sz w:val="28"/>
          <w:szCs w:val="28"/>
        </w:rPr>
      </w:pPr>
    </w:p>
    <w:p w14:paraId="0B5951F2" w14:textId="77777777" w:rsidR="00F20CFD" w:rsidRPr="00C413F9" w:rsidRDefault="00BB4583" w:rsidP="00B63F37">
      <w:pPr>
        <w:pStyle w:val="2"/>
        <w:jc w:val="center"/>
        <w:rPr>
          <w:sz w:val="28"/>
          <w:szCs w:val="28"/>
          <w:u w:val="none"/>
        </w:rPr>
      </w:pPr>
      <w:r>
        <w:rPr>
          <w:sz w:val="28"/>
          <w:szCs w:val="28"/>
          <w:u w:val="none"/>
        </w:rPr>
        <w:br w:type="page"/>
      </w:r>
      <w:r w:rsidR="00B63F37" w:rsidRPr="00C413F9" w:rsidDel="00B63F37">
        <w:rPr>
          <w:sz w:val="28"/>
          <w:szCs w:val="28"/>
          <w:u w:val="none"/>
        </w:rPr>
        <w:t xml:space="preserve"> </w:t>
      </w:r>
      <w:bookmarkStart w:id="209" w:name="_Toc65104133"/>
      <w:r w:rsidR="00F20CFD" w:rsidRPr="00C413F9">
        <w:rPr>
          <w:sz w:val="28"/>
          <w:szCs w:val="28"/>
          <w:u w:val="none"/>
        </w:rPr>
        <w:t>Приложение Г</w:t>
      </w:r>
      <w:r w:rsidR="00B63F37">
        <w:rPr>
          <w:sz w:val="28"/>
          <w:szCs w:val="28"/>
          <w:u w:val="none"/>
        </w:rPr>
        <w:t>1</w:t>
      </w:r>
      <w:r w:rsidR="00F20CFD" w:rsidRPr="00C413F9">
        <w:rPr>
          <w:sz w:val="28"/>
          <w:szCs w:val="28"/>
          <w:u w:val="none"/>
        </w:rPr>
        <w:t>. Оценка эффективности терапии МДС</w:t>
      </w:r>
      <w:bookmarkEnd w:id="209"/>
    </w:p>
    <w:p w14:paraId="7CA971B9" w14:textId="77777777" w:rsidR="0025128E" w:rsidRPr="00AE1E12" w:rsidRDefault="0025128E" w:rsidP="00AE1E12">
      <w:pPr>
        <w:ind w:firstLine="709"/>
        <w:rPr>
          <w:lang w:val="en-US"/>
        </w:rPr>
      </w:pPr>
      <w:r>
        <w:rPr>
          <w:szCs w:val="24"/>
        </w:rPr>
        <w:t xml:space="preserve">Эффективность терапии МДС должна </w:t>
      </w:r>
      <w:r w:rsidRPr="0025128E">
        <w:rPr>
          <w:szCs w:val="24"/>
        </w:rPr>
        <w:t>оцениваться</w:t>
      </w:r>
      <w:r w:rsidRPr="00AE1E12">
        <w:rPr>
          <w:szCs w:val="24"/>
        </w:rPr>
        <w:t xml:space="preserve"> соглас</w:t>
      </w:r>
      <w:r w:rsidRPr="0025128E">
        <w:rPr>
          <w:szCs w:val="24"/>
        </w:rPr>
        <w:t>но критериям ответа на лечения Международной рабочей группы (</w:t>
      </w:r>
      <w:r w:rsidRPr="0025128E">
        <w:rPr>
          <w:szCs w:val="24"/>
          <w:lang w:val="en-US"/>
        </w:rPr>
        <w:t>IWG</w:t>
      </w:r>
      <w:r w:rsidRPr="00AE1E12">
        <w:rPr>
          <w:szCs w:val="24"/>
        </w:rPr>
        <w:t xml:space="preserve"> 2006)</w:t>
      </w:r>
      <w:r w:rsidRPr="0025128E">
        <w:rPr>
          <w:szCs w:val="24"/>
        </w:rPr>
        <w:t xml:space="preserve"> </w:t>
      </w:r>
      <w:r w:rsidRPr="00AE1E12">
        <w:rPr>
          <w:iCs/>
          <w:szCs w:val="24"/>
        </w:rPr>
        <w:fldChar w:fldCharType="begin" w:fldLock="1"/>
      </w:r>
      <w:r w:rsidRPr="00AE1E12">
        <w:rPr>
          <w:iCs/>
          <w:szCs w:val="24"/>
        </w:rPr>
        <w:instrText>ADDIN CSL_CITATION {"citationItems":[{"id":"ITEM-1","itemData":{"DOI":"10.1002/ajh.24102","ISSN":"1096-8652","PMID":"26294090","abstract":"DISEASE OVERVIEW The myelodysplastic syndromes (MDS) are a very heterogeneous group of myeloid disorders characterized by peripheral blood cytopenias and increased risk of transformation to acute myelogenous leukemia (AML). MDS occurs more frequently in older males and in individuals with prior exposure to cytotoxic therapy. DIAGNOSIS Diagnosis of MDS is based on morphological evidence of dysplasia upon visual examination of a bone marrow aspirate and biopsy. Information obtained from additional studies such as karyotype, flow cytometry, or molecular genetics is complementary but not diagnostic. Risk-stratification: Prognosis of patients with MDS can be calculated using a number of scoring systems. In general, all these scoring systems include analysis of peripheral cytopenias, percentage of blasts in the bone marrow, and cytogenetic characteristics. The most commonly used system still is probably the International Prognostic Scoring System (IPSS). IPSS is being replaced by the new revised score IPSS-R. RISK-ADAPTED THERAPY Therapy is selected based on risk, transfusion needs, percent of bone marrow blasts, and more recently cytogenetic and mutational profiles. Goals of therapy are different in lower risk patients than in higher risk. In lower risk, the goal is to decrease transfusion needs and transformation to higher risk disease or AML, as well as to improve survival. In higher risk, the goal is to prolong survival. Current available therapies include growth factor support, lenalidomide, hypomethylating agents, intensive chemotherapy, and allogeneic stem cell transplantation. The use of lenalidomide has significant clinical activity in patients with l</w:instrText>
      </w:r>
      <w:r w:rsidRPr="00AE1E12">
        <w:rPr>
          <w:iCs/>
          <w:szCs w:val="24"/>
          <w:lang w:val="en-US"/>
        </w:rPr>
        <w:instrText>ower</w:instrText>
      </w:r>
      <w:r w:rsidRPr="008143D9">
        <w:rPr>
          <w:iCs/>
          <w:szCs w:val="24"/>
          <w:lang w:val="en-US"/>
        </w:rPr>
        <w:instrText xml:space="preserve"> </w:instrText>
      </w:r>
      <w:r w:rsidRPr="00AE1E12">
        <w:rPr>
          <w:iCs/>
          <w:szCs w:val="24"/>
          <w:lang w:val="en-US"/>
        </w:rPr>
        <w:instrText>risk</w:instrText>
      </w:r>
      <w:r w:rsidRPr="008143D9">
        <w:rPr>
          <w:iCs/>
          <w:szCs w:val="24"/>
          <w:lang w:val="en-US"/>
        </w:rPr>
        <w:instrText xml:space="preserve"> </w:instrText>
      </w:r>
      <w:r w:rsidRPr="00AE1E12">
        <w:rPr>
          <w:iCs/>
          <w:szCs w:val="24"/>
          <w:lang w:val="en-US"/>
        </w:rPr>
        <w:instrText>disease</w:instrText>
      </w:r>
      <w:r w:rsidRPr="008143D9">
        <w:rPr>
          <w:iCs/>
          <w:szCs w:val="24"/>
          <w:lang w:val="en-US"/>
        </w:rPr>
        <w:instrText xml:space="preserve">, </w:instrText>
      </w:r>
      <w:r w:rsidRPr="00AE1E12">
        <w:rPr>
          <w:iCs/>
          <w:szCs w:val="24"/>
          <w:lang w:val="en-US"/>
        </w:rPr>
        <w:instrText>anemia</w:instrText>
      </w:r>
      <w:r w:rsidRPr="008143D9">
        <w:rPr>
          <w:iCs/>
          <w:szCs w:val="24"/>
          <w:lang w:val="en-US"/>
        </w:rPr>
        <w:instrText xml:space="preserve">, </w:instrText>
      </w:r>
      <w:r w:rsidRPr="00AE1E12">
        <w:rPr>
          <w:iCs/>
          <w:szCs w:val="24"/>
          <w:lang w:val="en-US"/>
        </w:rPr>
        <w:instrText>and</w:instrText>
      </w:r>
      <w:r w:rsidRPr="008143D9">
        <w:rPr>
          <w:iCs/>
          <w:szCs w:val="24"/>
          <w:lang w:val="en-US"/>
        </w:rPr>
        <w:instrText xml:space="preserve"> </w:instrText>
      </w:r>
      <w:r w:rsidRPr="00AE1E12">
        <w:rPr>
          <w:iCs/>
          <w:szCs w:val="24"/>
          <w:lang w:val="en-US"/>
        </w:rPr>
        <w:instrText>a</w:instrText>
      </w:r>
      <w:r w:rsidRPr="008143D9">
        <w:rPr>
          <w:iCs/>
          <w:szCs w:val="24"/>
          <w:lang w:val="en-US"/>
        </w:rPr>
        <w:instrText xml:space="preserve"> </w:instrText>
      </w:r>
      <w:r w:rsidRPr="00AE1E12">
        <w:rPr>
          <w:iCs/>
          <w:szCs w:val="24"/>
          <w:lang w:val="en-US"/>
        </w:rPr>
        <w:instrText>chromosome</w:instrText>
      </w:r>
      <w:r w:rsidRPr="008143D9">
        <w:rPr>
          <w:iCs/>
          <w:szCs w:val="24"/>
          <w:lang w:val="en-US"/>
        </w:rPr>
        <w:instrText xml:space="preserve"> 5 </w:instrText>
      </w:r>
      <w:r w:rsidRPr="00AE1E12">
        <w:rPr>
          <w:iCs/>
          <w:szCs w:val="24"/>
          <w:lang w:val="en-US"/>
        </w:rPr>
        <w:instrText>alteration</w:instrText>
      </w:r>
      <w:r w:rsidRPr="008143D9">
        <w:rPr>
          <w:iCs/>
          <w:szCs w:val="24"/>
          <w:lang w:val="en-US"/>
        </w:rPr>
        <w:instrText>. 5-</w:instrText>
      </w:r>
      <w:r w:rsidRPr="00AE1E12">
        <w:rPr>
          <w:iCs/>
          <w:szCs w:val="24"/>
          <w:lang w:val="en-US"/>
        </w:rPr>
        <w:instrText>Azacitidine</w:instrText>
      </w:r>
      <w:r w:rsidRPr="008143D9">
        <w:rPr>
          <w:iCs/>
          <w:szCs w:val="24"/>
          <w:lang w:val="en-US"/>
        </w:rPr>
        <w:instrText xml:space="preserve"> </w:instrText>
      </w:r>
      <w:r w:rsidRPr="00AE1E12">
        <w:rPr>
          <w:iCs/>
          <w:szCs w:val="24"/>
          <w:lang w:val="en-US"/>
        </w:rPr>
        <w:instrText>and</w:instrText>
      </w:r>
      <w:r w:rsidRPr="008143D9">
        <w:rPr>
          <w:iCs/>
          <w:szCs w:val="24"/>
          <w:lang w:val="en-US"/>
        </w:rPr>
        <w:instrText xml:space="preserve"> </w:instrText>
      </w:r>
      <w:r w:rsidRPr="00AE1E12">
        <w:rPr>
          <w:iCs/>
          <w:szCs w:val="24"/>
          <w:lang w:val="en-US"/>
        </w:rPr>
        <w:instrText>decitabine</w:instrText>
      </w:r>
      <w:r w:rsidRPr="008143D9">
        <w:rPr>
          <w:iCs/>
          <w:szCs w:val="24"/>
          <w:lang w:val="en-US"/>
        </w:rPr>
        <w:instrText xml:space="preserve"> </w:instrText>
      </w:r>
      <w:r w:rsidRPr="00AE1E12">
        <w:rPr>
          <w:iCs/>
          <w:szCs w:val="24"/>
          <w:lang w:val="en-US"/>
        </w:rPr>
        <w:instrText>have</w:instrText>
      </w:r>
      <w:r w:rsidRPr="008143D9">
        <w:rPr>
          <w:iCs/>
          <w:szCs w:val="24"/>
          <w:lang w:val="en-US"/>
        </w:rPr>
        <w:instrText xml:space="preserve"> </w:instrText>
      </w:r>
      <w:r w:rsidRPr="00AE1E12">
        <w:rPr>
          <w:iCs/>
          <w:szCs w:val="24"/>
          <w:lang w:val="en-US"/>
        </w:rPr>
        <w:instrText>activity</w:instrText>
      </w:r>
      <w:r w:rsidRPr="008143D9">
        <w:rPr>
          <w:iCs/>
          <w:szCs w:val="24"/>
          <w:lang w:val="en-US"/>
        </w:rPr>
        <w:instrText xml:space="preserve"> </w:instrText>
      </w:r>
      <w:r w:rsidRPr="00AE1E12">
        <w:rPr>
          <w:iCs/>
          <w:szCs w:val="24"/>
          <w:lang w:val="en-US"/>
        </w:rPr>
        <w:instrText>in</w:instrText>
      </w:r>
      <w:r w:rsidRPr="008143D9">
        <w:rPr>
          <w:iCs/>
          <w:szCs w:val="24"/>
          <w:lang w:val="en-US"/>
        </w:rPr>
        <w:instrText xml:space="preserve"> </w:instrText>
      </w:r>
      <w:r w:rsidRPr="00AE1E12">
        <w:rPr>
          <w:iCs/>
          <w:szCs w:val="24"/>
          <w:lang w:val="en-US"/>
        </w:rPr>
        <w:instrText>higher</w:instrText>
      </w:r>
      <w:r w:rsidRPr="008143D9">
        <w:rPr>
          <w:iCs/>
          <w:szCs w:val="24"/>
          <w:lang w:val="en-US"/>
        </w:rPr>
        <w:instrText xml:space="preserve"> </w:instrText>
      </w:r>
      <w:r w:rsidRPr="00AE1E12">
        <w:rPr>
          <w:iCs/>
          <w:szCs w:val="24"/>
          <w:lang w:val="en-US"/>
        </w:rPr>
        <w:instrText>risk</w:instrText>
      </w:r>
      <w:r w:rsidRPr="008143D9">
        <w:rPr>
          <w:iCs/>
          <w:szCs w:val="24"/>
          <w:lang w:val="en-US"/>
        </w:rPr>
        <w:instrText xml:space="preserve"> </w:instrText>
      </w:r>
      <w:r w:rsidRPr="00AE1E12">
        <w:rPr>
          <w:iCs/>
          <w:szCs w:val="24"/>
          <w:lang w:val="en-US"/>
        </w:rPr>
        <w:instrText>MDS</w:instrText>
      </w:r>
      <w:r w:rsidRPr="008143D9">
        <w:rPr>
          <w:iCs/>
          <w:szCs w:val="24"/>
          <w:lang w:val="en-US"/>
        </w:rPr>
        <w:instrText>. 5-</w:instrText>
      </w:r>
      <w:r w:rsidRPr="00AE1E12">
        <w:rPr>
          <w:iCs/>
          <w:szCs w:val="24"/>
          <w:lang w:val="en-US"/>
        </w:rPr>
        <w:instrText>Azacitidine</w:instrText>
      </w:r>
      <w:r w:rsidRPr="008143D9">
        <w:rPr>
          <w:iCs/>
          <w:szCs w:val="24"/>
          <w:lang w:val="en-US"/>
        </w:rPr>
        <w:instrText xml:space="preserve"> </w:instrText>
      </w:r>
      <w:r w:rsidRPr="00AE1E12">
        <w:rPr>
          <w:iCs/>
          <w:szCs w:val="24"/>
          <w:lang w:val="en-US"/>
        </w:rPr>
        <w:instrText>has</w:instrText>
      </w:r>
      <w:r w:rsidRPr="008143D9">
        <w:rPr>
          <w:iCs/>
          <w:szCs w:val="24"/>
          <w:lang w:val="en-US"/>
        </w:rPr>
        <w:instrText xml:space="preserve"> </w:instrText>
      </w:r>
      <w:r w:rsidRPr="00AE1E12">
        <w:rPr>
          <w:iCs/>
          <w:szCs w:val="24"/>
          <w:lang w:val="en-US"/>
        </w:rPr>
        <w:instrText>been</w:instrText>
      </w:r>
      <w:r w:rsidRPr="008143D9">
        <w:rPr>
          <w:iCs/>
          <w:szCs w:val="24"/>
          <w:lang w:val="en-US"/>
        </w:rPr>
        <w:instrText xml:space="preserve"> </w:instrText>
      </w:r>
      <w:r w:rsidRPr="00AE1E12">
        <w:rPr>
          <w:iCs/>
          <w:szCs w:val="24"/>
          <w:lang w:val="en-US"/>
        </w:rPr>
        <w:instrText>shown</w:instrText>
      </w:r>
      <w:r w:rsidRPr="008143D9">
        <w:rPr>
          <w:iCs/>
          <w:szCs w:val="24"/>
          <w:lang w:val="en-US"/>
        </w:rPr>
        <w:instrText xml:space="preserve"> </w:instrText>
      </w:r>
      <w:r w:rsidRPr="00AE1E12">
        <w:rPr>
          <w:iCs/>
          <w:szCs w:val="24"/>
          <w:lang w:val="en-US"/>
        </w:rPr>
        <w:instrText>to</w:instrText>
      </w:r>
      <w:r w:rsidRPr="008143D9">
        <w:rPr>
          <w:iCs/>
          <w:szCs w:val="24"/>
          <w:lang w:val="en-US"/>
        </w:rPr>
        <w:instrText xml:space="preserve"> </w:instrText>
      </w:r>
      <w:r w:rsidRPr="00AE1E12">
        <w:rPr>
          <w:iCs/>
          <w:szCs w:val="24"/>
          <w:lang w:val="en-US"/>
        </w:rPr>
        <w:instrText>improve</w:instrText>
      </w:r>
      <w:r w:rsidRPr="008143D9">
        <w:rPr>
          <w:iCs/>
          <w:szCs w:val="24"/>
          <w:lang w:val="en-US"/>
        </w:rPr>
        <w:instrText xml:space="preserve"> </w:instrText>
      </w:r>
      <w:r w:rsidRPr="00AE1E12">
        <w:rPr>
          <w:iCs/>
          <w:szCs w:val="24"/>
          <w:lang w:val="en-US"/>
        </w:rPr>
        <w:instrText>survival</w:instrText>
      </w:r>
      <w:r w:rsidRPr="008143D9">
        <w:rPr>
          <w:iCs/>
          <w:szCs w:val="24"/>
          <w:lang w:val="en-US"/>
        </w:rPr>
        <w:instrText xml:space="preserve"> </w:instrText>
      </w:r>
      <w:r w:rsidRPr="00AE1E12">
        <w:rPr>
          <w:iCs/>
          <w:szCs w:val="24"/>
          <w:lang w:val="en-US"/>
        </w:rPr>
        <w:instrText>in</w:instrText>
      </w:r>
      <w:r w:rsidRPr="008143D9">
        <w:rPr>
          <w:iCs/>
          <w:szCs w:val="24"/>
          <w:lang w:val="en-US"/>
        </w:rPr>
        <w:instrText xml:space="preserve"> </w:instrText>
      </w:r>
      <w:r w:rsidRPr="00AE1E12">
        <w:rPr>
          <w:iCs/>
          <w:szCs w:val="24"/>
          <w:lang w:val="en-US"/>
        </w:rPr>
        <w:instrText>higher</w:instrText>
      </w:r>
      <w:r w:rsidRPr="008143D9">
        <w:rPr>
          <w:iCs/>
          <w:szCs w:val="24"/>
          <w:lang w:val="en-US"/>
        </w:rPr>
        <w:instrText xml:space="preserve"> </w:instrText>
      </w:r>
      <w:r w:rsidRPr="00AE1E12">
        <w:rPr>
          <w:iCs/>
          <w:szCs w:val="24"/>
          <w:lang w:val="en-US"/>
        </w:rPr>
        <w:instrText>risk</w:instrText>
      </w:r>
      <w:r w:rsidRPr="008143D9">
        <w:rPr>
          <w:iCs/>
          <w:szCs w:val="24"/>
          <w:lang w:val="en-US"/>
        </w:rPr>
        <w:instrText xml:space="preserve"> </w:instrText>
      </w:r>
      <w:r w:rsidRPr="00AE1E12">
        <w:rPr>
          <w:iCs/>
          <w:szCs w:val="24"/>
          <w:lang w:val="en-US"/>
        </w:rPr>
        <w:instrText>MDS</w:instrText>
      </w:r>
      <w:r w:rsidRPr="008143D9">
        <w:rPr>
          <w:iCs/>
          <w:szCs w:val="24"/>
          <w:lang w:val="en-US"/>
        </w:rPr>
        <w:instrText xml:space="preserve">. </w:instrText>
      </w:r>
      <w:r w:rsidRPr="00AE1E12">
        <w:rPr>
          <w:iCs/>
          <w:szCs w:val="24"/>
          <w:lang w:val="en-US"/>
        </w:rPr>
        <w:instrText>A</w:instrText>
      </w:r>
      <w:r w:rsidRPr="008143D9">
        <w:rPr>
          <w:iCs/>
          <w:szCs w:val="24"/>
          <w:lang w:val="en-US"/>
        </w:rPr>
        <w:instrText xml:space="preserve"> </w:instrText>
      </w:r>
      <w:r w:rsidRPr="00AE1E12">
        <w:rPr>
          <w:iCs/>
          <w:szCs w:val="24"/>
          <w:lang w:val="en-US"/>
        </w:rPr>
        <w:instrText>number</w:instrText>
      </w:r>
      <w:r w:rsidRPr="008143D9">
        <w:rPr>
          <w:iCs/>
          <w:szCs w:val="24"/>
          <w:lang w:val="en-US"/>
        </w:rPr>
        <w:instrText xml:space="preserve"> </w:instrText>
      </w:r>
      <w:r w:rsidRPr="00AE1E12">
        <w:rPr>
          <w:iCs/>
          <w:szCs w:val="24"/>
          <w:lang w:val="en-US"/>
        </w:rPr>
        <w:instrText>of</w:instrText>
      </w:r>
      <w:r w:rsidRPr="008143D9">
        <w:rPr>
          <w:iCs/>
          <w:szCs w:val="24"/>
          <w:lang w:val="en-US"/>
        </w:rPr>
        <w:instrText xml:space="preserve"> </w:instrText>
      </w:r>
      <w:r w:rsidRPr="00AE1E12">
        <w:rPr>
          <w:iCs/>
          <w:szCs w:val="24"/>
          <w:lang w:val="en-US"/>
        </w:rPr>
        <w:instrText>new</w:instrText>
      </w:r>
      <w:r w:rsidRPr="008143D9">
        <w:rPr>
          <w:iCs/>
          <w:szCs w:val="24"/>
          <w:lang w:val="en-US"/>
        </w:rPr>
        <w:instrText xml:space="preserve"> </w:instrText>
      </w:r>
      <w:r w:rsidRPr="00AE1E12">
        <w:rPr>
          <w:iCs/>
          <w:szCs w:val="24"/>
          <w:lang w:val="en-US"/>
        </w:rPr>
        <w:instrText>molecular</w:instrText>
      </w:r>
      <w:r w:rsidRPr="008143D9">
        <w:rPr>
          <w:iCs/>
          <w:szCs w:val="24"/>
          <w:lang w:val="en-US"/>
        </w:rPr>
        <w:instrText xml:space="preserve"> </w:instrText>
      </w:r>
      <w:r w:rsidRPr="00AE1E12">
        <w:rPr>
          <w:iCs/>
          <w:szCs w:val="24"/>
          <w:lang w:val="en-US"/>
        </w:rPr>
        <w:instrText>lesions</w:instrText>
      </w:r>
      <w:r w:rsidRPr="008143D9">
        <w:rPr>
          <w:iCs/>
          <w:szCs w:val="24"/>
          <w:lang w:val="en-US"/>
        </w:rPr>
        <w:instrText xml:space="preserve"> </w:instrText>
      </w:r>
      <w:r w:rsidRPr="00AE1E12">
        <w:rPr>
          <w:iCs/>
          <w:szCs w:val="24"/>
          <w:lang w:val="en-US"/>
        </w:rPr>
        <w:instrText>have</w:instrText>
      </w:r>
      <w:r w:rsidRPr="008143D9">
        <w:rPr>
          <w:iCs/>
          <w:szCs w:val="24"/>
          <w:lang w:val="en-US"/>
        </w:rPr>
        <w:instrText xml:space="preserve"> </w:instrText>
      </w:r>
      <w:r w:rsidRPr="00AE1E12">
        <w:rPr>
          <w:iCs/>
          <w:szCs w:val="24"/>
          <w:lang w:val="en-US"/>
        </w:rPr>
        <w:instrText>been</w:instrText>
      </w:r>
      <w:r w:rsidRPr="008143D9">
        <w:rPr>
          <w:iCs/>
          <w:szCs w:val="24"/>
          <w:lang w:val="en-US"/>
        </w:rPr>
        <w:instrText xml:space="preserve"> </w:instrText>
      </w:r>
      <w:r w:rsidRPr="00AE1E12">
        <w:rPr>
          <w:iCs/>
          <w:szCs w:val="24"/>
          <w:lang w:val="en-US"/>
        </w:rPr>
        <w:instrText>described</w:instrText>
      </w:r>
      <w:r w:rsidRPr="008143D9">
        <w:rPr>
          <w:iCs/>
          <w:szCs w:val="24"/>
          <w:lang w:val="en-US"/>
        </w:rPr>
        <w:instrText xml:space="preserve"> </w:instrText>
      </w:r>
      <w:r w:rsidRPr="00AE1E12">
        <w:rPr>
          <w:iCs/>
          <w:szCs w:val="24"/>
          <w:lang w:val="en-US"/>
        </w:rPr>
        <w:instrText>in</w:instrText>
      </w:r>
      <w:r w:rsidRPr="008143D9">
        <w:rPr>
          <w:iCs/>
          <w:szCs w:val="24"/>
          <w:lang w:val="en-US"/>
        </w:rPr>
        <w:instrText xml:space="preserve"> </w:instrText>
      </w:r>
      <w:r w:rsidRPr="00AE1E12">
        <w:rPr>
          <w:iCs/>
          <w:szCs w:val="24"/>
          <w:lang w:val="en-US"/>
        </w:rPr>
        <w:instrText>MDS</w:instrText>
      </w:r>
      <w:r w:rsidRPr="008143D9">
        <w:rPr>
          <w:iCs/>
          <w:szCs w:val="24"/>
          <w:lang w:val="en-US"/>
        </w:rPr>
        <w:instrText xml:space="preserve"> </w:instrText>
      </w:r>
      <w:r w:rsidRPr="00AE1E12">
        <w:rPr>
          <w:iCs/>
          <w:szCs w:val="24"/>
          <w:lang w:val="en-US"/>
        </w:rPr>
        <w:instrText>that</w:instrText>
      </w:r>
      <w:r w:rsidRPr="008143D9">
        <w:rPr>
          <w:iCs/>
          <w:szCs w:val="24"/>
          <w:lang w:val="en-US"/>
        </w:rPr>
        <w:instrText xml:space="preserve"> </w:instrText>
      </w:r>
      <w:r w:rsidRPr="00AE1E12">
        <w:rPr>
          <w:iCs/>
          <w:szCs w:val="24"/>
          <w:lang w:val="en-US"/>
        </w:rPr>
        <w:instrText>may</w:instrText>
      </w:r>
      <w:r w:rsidRPr="008143D9">
        <w:rPr>
          <w:iCs/>
          <w:szCs w:val="24"/>
          <w:lang w:val="en-US"/>
        </w:rPr>
        <w:instrText xml:space="preserve"> </w:instrText>
      </w:r>
      <w:r w:rsidRPr="00AE1E12">
        <w:rPr>
          <w:iCs/>
          <w:szCs w:val="24"/>
          <w:lang w:val="en-US"/>
        </w:rPr>
        <w:instrText>serve</w:instrText>
      </w:r>
      <w:r w:rsidRPr="008143D9">
        <w:rPr>
          <w:iCs/>
          <w:szCs w:val="24"/>
          <w:lang w:val="en-US"/>
        </w:rPr>
        <w:instrText xml:space="preserve"> </w:instrText>
      </w:r>
      <w:r w:rsidRPr="00AE1E12">
        <w:rPr>
          <w:iCs/>
          <w:szCs w:val="24"/>
          <w:lang w:val="en-US"/>
        </w:rPr>
        <w:instrText>as</w:instrText>
      </w:r>
      <w:r w:rsidRPr="008143D9">
        <w:rPr>
          <w:iCs/>
          <w:szCs w:val="24"/>
          <w:lang w:val="en-US"/>
        </w:rPr>
        <w:instrText xml:space="preserve"> </w:instrText>
      </w:r>
      <w:r w:rsidRPr="00AE1E12">
        <w:rPr>
          <w:iCs/>
          <w:szCs w:val="24"/>
          <w:lang w:val="en-US"/>
        </w:rPr>
        <w:instrText>new</w:instrText>
      </w:r>
      <w:r w:rsidRPr="008143D9">
        <w:rPr>
          <w:iCs/>
          <w:szCs w:val="24"/>
          <w:lang w:val="en-US"/>
        </w:rPr>
        <w:instrText xml:space="preserve"> </w:instrText>
      </w:r>
      <w:r w:rsidRPr="00AE1E12">
        <w:rPr>
          <w:iCs/>
          <w:szCs w:val="24"/>
          <w:lang w:val="en-US"/>
        </w:rPr>
        <w:instrText>therapeutic</w:instrText>
      </w:r>
      <w:r w:rsidRPr="008143D9">
        <w:rPr>
          <w:iCs/>
          <w:szCs w:val="24"/>
          <w:lang w:val="en-US"/>
        </w:rPr>
        <w:instrText xml:space="preserve"> </w:instrText>
      </w:r>
      <w:r w:rsidRPr="00AE1E12">
        <w:rPr>
          <w:iCs/>
          <w:szCs w:val="24"/>
          <w:lang w:val="en-US"/>
        </w:rPr>
        <w:instrText>targets</w:instrText>
      </w:r>
      <w:r w:rsidRPr="008143D9">
        <w:rPr>
          <w:iCs/>
          <w:szCs w:val="24"/>
          <w:lang w:val="en-US"/>
        </w:rPr>
        <w:instrText xml:space="preserve"> </w:instrText>
      </w:r>
      <w:r w:rsidRPr="00AE1E12">
        <w:rPr>
          <w:iCs/>
          <w:szCs w:val="24"/>
          <w:lang w:val="en-US"/>
        </w:rPr>
        <w:instrText>or</w:instrText>
      </w:r>
      <w:r w:rsidRPr="008143D9">
        <w:rPr>
          <w:iCs/>
          <w:szCs w:val="24"/>
          <w:lang w:val="en-US"/>
        </w:rPr>
        <w:instrText xml:space="preserve"> </w:instrText>
      </w:r>
      <w:r w:rsidRPr="00AE1E12">
        <w:rPr>
          <w:iCs/>
          <w:szCs w:val="24"/>
          <w:lang w:val="en-US"/>
        </w:rPr>
        <w:instrText>aid</w:instrText>
      </w:r>
      <w:r w:rsidRPr="008143D9">
        <w:rPr>
          <w:iCs/>
          <w:szCs w:val="24"/>
          <w:lang w:val="en-US"/>
        </w:rPr>
        <w:instrText xml:space="preserve"> </w:instrText>
      </w:r>
      <w:r w:rsidRPr="00AE1E12">
        <w:rPr>
          <w:iCs/>
          <w:szCs w:val="24"/>
          <w:lang w:val="en-US"/>
        </w:rPr>
        <w:instrText>in</w:instrText>
      </w:r>
      <w:r w:rsidRPr="008143D9">
        <w:rPr>
          <w:iCs/>
          <w:szCs w:val="24"/>
          <w:lang w:val="en-US"/>
        </w:rPr>
        <w:instrText xml:space="preserve"> </w:instrText>
      </w:r>
      <w:r w:rsidRPr="00AE1E12">
        <w:rPr>
          <w:iCs/>
          <w:szCs w:val="24"/>
          <w:lang w:val="en-US"/>
        </w:rPr>
        <w:instrText>the</w:instrText>
      </w:r>
      <w:r w:rsidRPr="008143D9">
        <w:rPr>
          <w:iCs/>
          <w:szCs w:val="24"/>
          <w:lang w:val="en-US"/>
        </w:rPr>
        <w:instrText xml:space="preserve"> </w:instrText>
      </w:r>
      <w:r w:rsidRPr="00AE1E12">
        <w:rPr>
          <w:iCs/>
          <w:szCs w:val="24"/>
          <w:lang w:val="en-US"/>
        </w:rPr>
        <w:instrText>selection</w:instrText>
      </w:r>
      <w:r w:rsidRPr="008143D9">
        <w:rPr>
          <w:iCs/>
          <w:szCs w:val="24"/>
          <w:lang w:val="en-US"/>
        </w:rPr>
        <w:instrText xml:space="preserve"> </w:instrText>
      </w:r>
      <w:r w:rsidRPr="00AE1E12">
        <w:rPr>
          <w:iCs/>
          <w:szCs w:val="24"/>
          <w:lang w:val="en-US"/>
        </w:rPr>
        <w:instrText>of</w:instrText>
      </w:r>
      <w:r w:rsidRPr="008143D9">
        <w:rPr>
          <w:iCs/>
          <w:szCs w:val="24"/>
          <w:lang w:val="en-US"/>
        </w:rPr>
        <w:instrText xml:space="preserve"> </w:instrText>
      </w:r>
      <w:r w:rsidRPr="00AE1E12">
        <w:rPr>
          <w:iCs/>
          <w:szCs w:val="24"/>
          <w:lang w:val="en-US"/>
        </w:rPr>
        <w:instrText>currently</w:instrText>
      </w:r>
      <w:r w:rsidRPr="008143D9">
        <w:rPr>
          <w:iCs/>
          <w:szCs w:val="24"/>
          <w:lang w:val="en-US"/>
        </w:rPr>
        <w:instrText xml:space="preserve"> </w:instrText>
      </w:r>
      <w:r w:rsidRPr="00AE1E12">
        <w:rPr>
          <w:iCs/>
          <w:szCs w:val="24"/>
          <w:lang w:val="en-US"/>
        </w:rPr>
        <w:instrText>available</w:instrText>
      </w:r>
      <w:r w:rsidRPr="008143D9">
        <w:rPr>
          <w:iCs/>
          <w:szCs w:val="24"/>
          <w:lang w:val="en-US"/>
        </w:rPr>
        <w:instrText xml:space="preserve"> </w:instrText>
      </w:r>
      <w:r w:rsidRPr="00AE1E12">
        <w:rPr>
          <w:iCs/>
          <w:szCs w:val="24"/>
          <w:lang w:val="en-US"/>
        </w:rPr>
        <w:instrText>agents</w:instrText>
      </w:r>
      <w:r w:rsidRPr="008143D9">
        <w:rPr>
          <w:iCs/>
          <w:szCs w:val="24"/>
          <w:lang w:val="en-US"/>
        </w:rPr>
        <w:instrText xml:space="preserve">. </w:instrText>
      </w:r>
      <w:r w:rsidRPr="00AE1E12">
        <w:rPr>
          <w:iCs/>
          <w:szCs w:val="24"/>
          <w:lang w:val="en-US"/>
        </w:rPr>
        <w:instrText>Additional</w:instrText>
      </w:r>
      <w:r w:rsidRPr="008143D9">
        <w:rPr>
          <w:iCs/>
          <w:szCs w:val="24"/>
          <w:lang w:val="en-US"/>
        </w:rPr>
        <w:instrText xml:space="preserve"> </w:instrText>
      </w:r>
      <w:r w:rsidRPr="00AE1E12">
        <w:rPr>
          <w:iCs/>
          <w:szCs w:val="24"/>
          <w:lang w:val="en-US"/>
        </w:rPr>
        <w:instrText>supportive</w:instrText>
      </w:r>
      <w:r w:rsidRPr="008143D9">
        <w:rPr>
          <w:iCs/>
          <w:szCs w:val="24"/>
          <w:lang w:val="en-US"/>
        </w:rPr>
        <w:instrText xml:space="preserve"> </w:instrText>
      </w:r>
      <w:r w:rsidRPr="00AE1E12">
        <w:rPr>
          <w:iCs/>
          <w:szCs w:val="24"/>
          <w:lang w:val="en-US"/>
        </w:rPr>
        <w:instrText>care</w:instrText>
      </w:r>
      <w:r w:rsidRPr="008143D9">
        <w:rPr>
          <w:iCs/>
          <w:szCs w:val="24"/>
          <w:lang w:val="en-US"/>
        </w:rPr>
        <w:instrText xml:space="preserve"> </w:instrText>
      </w:r>
      <w:r w:rsidRPr="00AE1E12">
        <w:rPr>
          <w:iCs/>
          <w:szCs w:val="24"/>
          <w:lang w:val="en-US"/>
        </w:rPr>
        <w:instrText>measures</w:instrText>
      </w:r>
      <w:r w:rsidRPr="008143D9">
        <w:rPr>
          <w:iCs/>
          <w:szCs w:val="24"/>
          <w:lang w:val="en-US"/>
        </w:rPr>
        <w:instrText xml:space="preserve"> </w:instrText>
      </w:r>
      <w:r w:rsidRPr="00AE1E12">
        <w:rPr>
          <w:iCs/>
          <w:szCs w:val="24"/>
          <w:lang w:val="en-US"/>
        </w:rPr>
        <w:instrText>may</w:instrText>
      </w:r>
      <w:r w:rsidRPr="008143D9">
        <w:rPr>
          <w:iCs/>
          <w:szCs w:val="24"/>
          <w:lang w:val="en-US"/>
        </w:rPr>
        <w:instrText xml:space="preserve"> </w:instrText>
      </w:r>
      <w:r w:rsidRPr="00AE1E12">
        <w:rPr>
          <w:iCs/>
          <w:szCs w:val="24"/>
          <w:lang w:val="en-US"/>
        </w:rPr>
        <w:instrText>include</w:instrText>
      </w:r>
      <w:r w:rsidRPr="008143D9">
        <w:rPr>
          <w:iCs/>
          <w:szCs w:val="24"/>
          <w:lang w:val="en-US"/>
        </w:rPr>
        <w:instrText xml:space="preserve"> </w:instrText>
      </w:r>
      <w:r w:rsidRPr="00AE1E12">
        <w:rPr>
          <w:iCs/>
          <w:szCs w:val="24"/>
          <w:lang w:val="en-US"/>
        </w:rPr>
        <w:instrText>the</w:instrText>
      </w:r>
      <w:r w:rsidRPr="008143D9">
        <w:rPr>
          <w:iCs/>
          <w:szCs w:val="24"/>
          <w:lang w:val="en-US"/>
        </w:rPr>
        <w:instrText xml:space="preserve"> </w:instrText>
      </w:r>
      <w:r w:rsidRPr="00AE1E12">
        <w:rPr>
          <w:iCs/>
          <w:szCs w:val="24"/>
          <w:lang w:val="en-US"/>
        </w:rPr>
        <w:instrText>use</w:instrText>
      </w:r>
      <w:r w:rsidRPr="008143D9">
        <w:rPr>
          <w:iCs/>
          <w:szCs w:val="24"/>
          <w:lang w:val="en-US"/>
        </w:rPr>
        <w:instrText xml:space="preserve"> </w:instrText>
      </w:r>
      <w:r w:rsidRPr="00AE1E12">
        <w:rPr>
          <w:iCs/>
          <w:szCs w:val="24"/>
          <w:lang w:val="en-US"/>
        </w:rPr>
        <w:instrText>of</w:instrText>
      </w:r>
      <w:r w:rsidRPr="008143D9">
        <w:rPr>
          <w:iCs/>
          <w:szCs w:val="24"/>
          <w:lang w:val="en-US"/>
        </w:rPr>
        <w:instrText xml:space="preserve"> </w:instrText>
      </w:r>
      <w:r w:rsidRPr="00AE1E12">
        <w:rPr>
          <w:iCs/>
          <w:szCs w:val="24"/>
          <w:lang w:val="en-US"/>
        </w:rPr>
        <w:instrText>prophylactic</w:instrText>
      </w:r>
      <w:r w:rsidRPr="008143D9">
        <w:rPr>
          <w:iCs/>
          <w:szCs w:val="24"/>
          <w:lang w:val="en-US"/>
        </w:rPr>
        <w:instrText xml:space="preserve"> </w:instrText>
      </w:r>
      <w:r w:rsidRPr="00AE1E12">
        <w:rPr>
          <w:iCs/>
          <w:szCs w:val="24"/>
          <w:lang w:val="en-US"/>
        </w:rPr>
        <w:instrText>antibiotics</w:instrText>
      </w:r>
      <w:r w:rsidRPr="008143D9">
        <w:rPr>
          <w:iCs/>
          <w:szCs w:val="24"/>
          <w:lang w:val="en-US"/>
        </w:rPr>
        <w:instrText xml:space="preserve"> </w:instrText>
      </w:r>
      <w:r w:rsidRPr="00AE1E12">
        <w:rPr>
          <w:iCs/>
          <w:szCs w:val="24"/>
          <w:lang w:val="en-US"/>
        </w:rPr>
        <w:instrText>and</w:instrText>
      </w:r>
      <w:r w:rsidRPr="008143D9">
        <w:rPr>
          <w:iCs/>
          <w:szCs w:val="24"/>
          <w:lang w:val="en-US"/>
        </w:rPr>
        <w:instrText xml:space="preserve"> </w:instrText>
      </w:r>
      <w:r w:rsidRPr="00AE1E12">
        <w:rPr>
          <w:iCs/>
          <w:szCs w:val="24"/>
          <w:lang w:val="en-US"/>
        </w:rPr>
        <w:instrText>iron</w:instrText>
      </w:r>
      <w:r w:rsidRPr="008143D9">
        <w:rPr>
          <w:iCs/>
          <w:szCs w:val="24"/>
          <w:lang w:val="en-US"/>
        </w:rPr>
        <w:instrText xml:space="preserve"> </w:instrText>
      </w:r>
      <w:r w:rsidRPr="00AE1E12">
        <w:rPr>
          <w:iCs/>
          <w:szCs w:val="24"/>
          <w:lang w:val="en-US"/>
        </w:rPr>
        <w:instrText>chelation</w:instrText>
      </w:r>
      <w:r w:rsidRPr="008143D9">
        <w:rPr>
          <w:iCs/>
          <w:szCs w:val="24"/>
          <w:lang w:val="en-US"/>
        </w:rPr>
        <w:instrText xml:space="preserve">. </w:instrText>
      </w:r>
      <w:r w:rsidRPr="00AE1E12">
        <w:rPr>
          <w:iCs/>
          <w:szCs w:val="24"/>
          <w:lang w:val="en-US"/>
        </w:rPr>
        <w:instrText>Management</w:instrText>
      </w:r>
      <w:r w:rsidRPr="008143D9">
        <w:rPr>
          <w:iCs/>
          <w:szCs w:val="24"/>
          <w:lang w:val="en-US"/>
        </w:rPr>
        <w:instrText xml:space="preserve"> </w:instrText>
      </w:r>
      <w:r w:rsidRPr="00AE1E12">
        <w:rPr>
          <w:iCs/>
          <w:szCs w:val="24"/>
          <w:lang w:val="en-US"/>
        </w:rPr>
        <w:instrText>of</w:instrText>
      </w:r>
      <w:r w:rsidRPr="008143D9">
        <w:rPr>
          <w:iCs/>
          <w:szCs w:val="24"/>
          <w:lang w:val="en-US"/>
        </w:rPr>
        <w:instrText xml:space="preserve"> </w:instrText>
      </w:r>
      <w:r w:rsidRPr="00AE1E12">
        <w:rPr>
          <w:iCs/>
          <w:szCs w:val="24"/>
          <w:lang w:val="en-US"/>
        </w:rPr>
        <w:instrText>progressive</w:instrText>
      </w:r>
      <w:r w:rsidRPr="008143D9">
        <w:rPr>
          <w:iCs/>
          <w:szCs w:val="24"/>
          <w:lang w:val="en-US"/>
        </w:rPr>
        <w:instrText xml:space="preserve"> </w:instrText>
      </w:r>
      <w:r w:rsidRPr="00AE1E12">
        <w:rPr>
          <w:iCs/>
          <w:szCs w:val="24"/>
          <w:lang w:val="en-US"/>
        </w:rPr>
        <w:instrText>or</w:instrText>
      </w:r>
      <w:r w:rsidRPr="008143D9">
        <w:rPr>
          <w:iCs/>
          <w:szCs w:val="24"/>
          <w:lang w:val="en-US"/>
        </w:rPr>
        <w:instrText xml:space="preserve"> </w:instrText>
      </w:r>
      <w:r w:rsidRPr="00AE1E12">
        <w:rPr>
          <w:iCs/>
          <w:szCs w:val="24"/>
          <w:lang w:val="en-US"/>
        </w:rPr>
        <w:instrText>refractory</w:instrText>
      </w:r>
      <w:r w:rsidRPr="008143D9">
        <w:rPr>
          <w:iCs/>
          <w:szCs w:val="24"/>
          <w:lang w:val="en-US"/>
        </w:rPr>
        <w:instrText xml:space="preserve"> </w:instrText>
      </w:r>
      <w:r w:rsidRPr="00AE1E12">
        <w:rPr>
          <w:iCs/>
          <w:szCs w:val="24"/>
          <w:lang w:val="en-US"/>
        </w:rPr>
        <w:instrText>disease</w:instrText>
      </w:r>
      <w:r w:rsidRPr="008143D9">
        <w:rPr>
          <w:iCs/>
          <w:szCs w:val="24"/>
          <w:lang w:val="en-US"/>
        </w:rPr>
        <w:instrText xml:space="preserve">: </w:instrText>
      </w:r>
      <w:r w:rsidRPr="00AE1E12">
        <w:rPr>
          <w:iCs/>
          <w:szCs w:val="24"/>
          <w:lang w:val="en-US"/>
        </w:rPr>
        <w:instrText>At</w:instrText>
      </w:r>
      <w:r w:rsidRPr="008143D9">
        <w:rPr>
          <w:iCs/>
          <w:szCs w:val="24"/>
          <w:lang w:val="en-US"/>
        </w:rPr>
        <w:instrText xml:space="preserve"> </w:instrText>
      </w:r>
      <w:r w:rsidRPr="00AE1E12">
        <w:rPr>
          <w:iCs/>
          <w:szCs w:val="24"/>
          <w:lang w:val="en-US"/>
        </w:rPr>
        <w:instrText>the</w:instrText>
      </w:r>
      <w:r w:rsidRPr="008143D9">
        <w:rPr>
          <w:iCs/>
          <w:szCs w:val="24"/>
          <w:lang w:val="en-US"/>
        </w:rPr>
        <w:instrText xml:space="preserve"> </w:instrText>
      </w:r>
      <w:r w:rsidRPr="00AE1E12">
        <w:rPr>
          <w:iCs/>
          <w:szCs w:val="24"/>
          <w:lang w:val="en-US"/>
        </w:rPr>
        <w:instrText>present</w:instrText>
      </w:r>
      <w:r w:rsidRPr="008143D9">
        <w:rPr>
          <w:iCs/>
          <w:szCs w:val="24"/>
          <w:lang w:val="en-US"/>
        </w:rPr>
        <w:instrText xml:space="preserve"> </w:instrText>
      </w:r>
      <w:r w:rsidRPr="00AE1E12">
        <w:rPr>
          <w:iCs/>
          <w:szCs w:val="24"/>
          <w:lang w:val="en-US"/>
        </w:rPr>
        <w:instrText>time</w:instrText>
      </w:r>
      <w:r w:rsidRPr="008143D9">
        <w:rPr>
          <w:iCs/>
          <w:szCs w:val="24"/>
          <w:lang w:val="en-US"/>
        </w:rPr>
        <w:instrText xml:space="preserve"> </w:instrText>
      </w:r>
      <w:r w:rsidRPr="00AE1E12">
        <w:rPr>
          <w:iCs/>
          <w:szCs w:val="24"/>
          <w:lang w:val="en-US"/>
        </w:rPr>
        <w:instrText>there</w:instrText>
      </w:r>
      <w:r w:rsidRPr="008143D9">
        <w:rPr>
          <w:iCs/>
          <w:szCs w:val="24"/>
          <w:lang w:val="en-US"/>
        </w:rPr>
        <w:instrText xml:space="preserve"> </w:instrText>
      </w:r>
      <w:r w:rsidRPr="00AE1E12">
        <w:rPr>
          <w:iCs/>
          <w:szCs w:val="24"/>
          <w:lang w:val="en-US"/>
        </w:rPr>
        <w:instrText>are</w:instrText>
      </w:r>
      <w:r w:rsidRPr="008143D9">
        <w:rPr>
          <w:iCs/>
          <w:szCs w:val="24"/>
          <w:lang w:val="en-US"/>
        </w:rPr>
        <w:instrText xml:space="preserve"> </w:instrText>
      </w:r>
      <w:r w:rsidRPr="00AE1E12">
        <w:rPr>
          <w:iCs/>
          <w:szCs w:val="24"/>
          <w:lang w:val="en-US"/>
        </w:rPr>
        <w:instrText>no</w:instrText>
      </w:r>
      <w:r w:rsidRPr="008143D9">
        <w:rPr>
          <w:iCs/>
          <w:szCs w:val="24"/>
          <w:lang w:val="en-US"/>
        </w:rPr>
        <w:instrText xml:space="preserve"> </w:instrText>
      </w:r>
      <w:r w:rsidRPr="00AE1E12">
        <w:rPr>
          <w:iCs/>
          <w:szCs w:val="24"/>
          <w:lang w:val="en-US"/>
        </w:rPr>
        <w:instrText>approved</w:instrText>
      </w:r>
      <w:r w:rsidRPr="008143D9">
        <w:rPr>
          <w:iCs/>
          <w:szCs w:val="24"/>
          <w:lang w:val="en-US"/>
        </w:rPr>
        <w:instrText xml:space="preserve"> </w:instrText>
      </w:r>
      <w:r w:rsidRPr="00AE1E12">
        <w:rPr>
          <w:iCs/>
          <w:szCs w:val="24"/>
          <w:lang w:val="en-US"/>
        </w:rPr>
        <w:instrText>interventions</w:instrText>
      </w:r>
      <w:r w:rsidRPr="008143D9">
        <w:rPr>
          <w:iCs/>
          <w:szCs w:val="24"/>
          <w:lang w:val="en-US"/>
        </w:rPr>
        <w:instrText xml:space="preserve"> </w:instrText>
      </w:r>
      <w:r w:rsidRPr="00AE1E12">
        <w:rPr>
          <w:iCs/>
          <w:szCs w:val="24"/>
          <w:lang w:val="en-US"/>
        </w:rPr>
        <w:instrText>for</w:instrText>
      </w:r>
      <w:r w:rsidRPr="008143D9">
        <w:rPr>
          <w:iCs/>
          <w:szCs w:val="24"/>
          <w:lang w:val="en-US"/>
        </w:rPr>
        <w:instrText xml:space="preserve"> </w:instrText>
      </w:r>
      <w:r w:rsidRPr="00AE1E12">
        <w:rPr>
          <w:iCs/>
          <w:szCs w:val="24"/>
          <w:lang w:val="en-US"/>
        </w:rPr>
        <w:instrText>patients</w:instrText>
      </w:r>
      <w:r w:rsidRPr="008143D9">
        <w:rPr>
          <w:iCs/>
          <w:szCs w:val="24"/>
          <w:lang w:val="en-US"/>
        </w:rPr>
        <w:instrText xml:space="preserve"> </w:instrText>
      </w:r>
      <w:r w:rsidRPr="00AE1E12">
        <w:rPr>
          <w:iCs/>
          <w:szCs w:val="24"/>
          <w:lang w:val="en-US"/>
        </w:rPr>
        <w:instrText>with</w:instrText>
      </w:r>
      <w:r w:rsidRPr="008143D9">
        <w:rPr>
          <w:iCs/>
          <w:szCs w:val="24"/>
          <w:lang w:val="en-US"/>
        </w:rPr>
        <w:instrText xml:space="preserve"> </w:instrText>
      </w:r>
      <w:r w:rsidRPr="00AE1E12">
        <w:rPr>
          <w:iCs/>
          <w:szCs w:val="24"/>
          <w:lang w:val="en-US"/>
        </w:rPr>
        <w:instrText>progressive</w:instrText>
      </w:r>
      <w:r w:rsidRPr="008143D9">
        <w:rPr>
          <w:iCs/>
          <w:szCs w:val="24"/>
          <w:lang w:val="en-US"/>
        </w:rPr>
        <w:instrText xml:space="preserve"> </w:instrText>
      </w:r>
      <w:r w:rsidRPr="00AE1E12">
        <w:rPr>
          <w:iCs/>
          <w:szCs w:val="24"/>
          <w:lang w:val="en-US"/>
        </w:rPr>
        <w:instrText>or</w:instrText>
      </w:r>
      <w:r w:rsidRPr="008143D9">
        <w:rPr>
          <w:iCs/>
          <w:szCs w:val="24"/>
          <w:lang w:val="en-US"/>
        </w:rPr>
        <w:instrText xml:space="preserve"> </w:instrText>
      </w:r>
      <w:r w:rsidRPr="00AE1E12">
        <w:rPr>
          <w:iCs/>
          <w:szCs w:val="24"/>
          <w:lang w:val="en-US"/>
        </w:rPr>
        <w:instrText>refractory</w:instrText>
      </w:r>
      <w:r w:rsidRPr="008143D9">
        <w:rPr>
          <w:iCs/>
          <w:szCs w:val="24"/>
          <w:lang w:val="en-US"/>
        </w:rPr>
        <w:instrText xml:space="preserve"> </w:instrText>
      </w:r>
      <w:r w:rsidRPr="00AE1E12">
        <w:rPr>
          <w:iCs/>
          <w:szCs w:val="24"/>
          <w:lang w:val="en-US"/>
        </w:rPr>
        <w:instrText>disease</w:instrText>
      </w:r>
      <w:r w:rsidRPr="008143D9">
        <w:rPr>
          <w:iCs/>
          <w:szCs w:val="24"/>
          <w:lang w:val="en-US"/>
        </w:rPr>
        <w:instrText xml:space="preserve"> </w:instrText>
      </w:r>
      <w:r w:rsidRPr="00AE1E12">
        <w:rPr>
          <w:iCs/>
          <w:szCs w:val="24"/>
          <w:lang w:val="en-US"/>
        </w:rPr>
        <w:instrText>particularly</w:instrText>
      </w:r>
      <w:r w:rsidRPr="008143D9">
        <w:rPr>
          <w:iCs/>
          <w:szCs w:val="24"/>
          <w:lang w:val="en-US"/>
        </w:rPr>
        <w:instrText xml:space="preserve"> </w:instrText>
      </w:r>
      <w:r w:rsidRPr="00AE1E12">
        <w:rPr>
          <w:iCs/>
          <w:szCs w:val="24"/>
          <w:lang w:val="en-US"/>
        </w:rPr>
        <w:instrText>after</w:instrText>
      </w:r>
      <w:r w:rsidRPr="008143D9">
        <w:rPr>
          <w:iCs/>
          <w:szCs w:val="24"/>
          <w:lang w:val="en-US"/>
        </w:rPr>
        <w:instrText xml:space="preserve"> </w:instrText>
      </w:r>
      <w:r w:rsidRPr="00AE1E12">
        <w:rPr>
          <w:iCs/>
          <w:szCs w:val="24"/>
          <w:lang w:val="en-US"/>
        </w:rPr>
        <w:instrText>hypomethylating</w:instrText>
      </w:r>
      <w:r w:rsidRPr="008143D9">
        <w:rPr>
          <w:iCs/>
          <w:szCs w:val="24"/>
          <w:lang w:val="en-US"/>
        </w:rPr>
        <w:instrText xml:space="preserve"> </w:instrText>
      </w:r>
      <w:r w:rsidRPr="00AE1E12">
        <w:rPr>
          <w:iCs/>
          <w:szCs w:val="24"/>
          <w:lang w:val="en-US"/>
        </w:rPr>
        <w:instrText>based</w:instrText>
      </w:r>
      <w:r w:rsidRPr="008143D9">
        <w:rPr>
          <w:iCs/>
          <w:szCs w:val="24"/>
          <w:lang w:val="en-US"/>
        </w:rPr>
        <w:instrText xml:space="preserve"> </w:instrText>
      </w:r>
      <w:r w:rsidRPr="00AE1E12">
        <w:rPr>
          <w:iCs/>
          <w:szCs w:val="24"/>
          <w:lang w:val="en-US"/>
        </w:rPr>
        <w:instrText>therapy</w:instrText>
      </w:r>
      <w:r w:rsidRPr="008143D9">
        <w:rPr>
          <w:iCs/>
          <w:szCs w:val="24"/>
          <w:lang w:val="en-US"/>
        </w:rPr>
        <w:instrText xml:space="preserve">. </w:instrText>
      </w:r>
      <w:r w:rsidRPr="00AE1E12">
        <w:rPr>
          <w:iCs/>
          <w:szCs w:val="24"/>
          <w:lang w:val="en-US"/>
        </w:rPr>
        <w:instrText>Options</w:instrText>
      </w:r>
      <w:r w:rsidRPr="008143D9">
        <w:rPr>
          <w:iCs/>
          <w:szCs w:val="24"/>
          <w:lang w:val="en-US"/>
        </w:rPr>
        <w:instrText xml:space="preserve"> </w:instrText>
      </w:r>
      <w:r w:rsidRPr="00AE1E12">
        <w:rPr>
          <w:iCs/>
          <w:szCs w:val="24"/>
          <w:lang w:val="en-US"/>
        </w:rPr>
        <w:instrText>include</w:instrText>
      </w:r>
      <w:r w:rsidRPr="008143D9">
        <w:rPr>
          <w:iCs/>
          <w:szCs w:val="24"/>
          <w:lang w:val="en-US"/>
        </w:rPr>
        <w:instrText xml:space="preserve"> </w:instrText>
      </w:r>
      <w:r w:rsidRPr="00AE1E12">
        <w:rPr>
          <w:iCs/>
          <w:szCs w:val="24"/>
          <w:lang w:val="en-US"/>
        </w:rPr>
        <w:instrText>participation</w:instrText>
      </w:r>
      <w:r w:rsidRPr="008143D9">
        <w:rPr>
          <w:iCs/>
          <w:szCs w:val="24"/>
          <w:lang w:val="en-US"/>
        </w:rPr>
        <w:instrText xml:space="preserve"> </w:instrText>
      </w:r>
      <w:r w:rsidRPr="00AE1E12">
        <w:rPr>
          <w:iCs/>
          <w:szCs w:val="24"/>
          <w:lang w:val="en-US"/>
        </w:rPr>
        <w:instrText>in</w:instrText>
      </w:r>
      <w:r w:rsidRPr="008143D9">
        <w:rPr>
          <w:iCs/>
          <w:szCs w:val="24"/>
          <w:lang w:val="en-US"/>
        </w:rPr>
        <w:instrText xml:space="preserve"> </w:instrText>
      </w:r>
      <w:r w:rsidRPr="00AE1E12">
        <w:rPr>
          <w:iCs/>
          <w:szCs w:val="24"/>
          <w:lang w:val="en-US"/>
        </w:rPr>
        <w:instrText>a</w:instrText>
      </w:r>
      <w:r w:rsidRPr="008143D9">
        <w:rPr>
          <w:iCs/>
          <w:szCs w:val="24"/>
          <w:lang w:val="en-US"/>
        </w:rPr>
        <w:instrText xml:space="preserve"> </w:instrText>
      </w:r>
      <w:r w:rsidRPr="00AE1E12">
        <w:rPr>
          <w:iCs/>
          <w:szCs w:val="24"/>
          <w:lang w:val="en-US"/>
        </w:rPr>
        <w:instrText>clinical</w:instrText>
      </w:r>
      <w:r w:rsidRPr="008143D9">
        <w:rPr>
          <w:iCs/>
          <w:szCs w:val="24"/>
          <w:lang w:val="en-US"/>
        </w:rPr>
        <w:instrText xml:space="preserve"> </w:instrText>
      </w:r>
      <w:r w:rsidRPr="00AE1E12">
        <w:rPr>
          <w:iCs/>
          <w:szCs w:val="24"/>
          <w:lang w:val="en-US"/>
        </w:rPr>
        <w:instrText>trial</w:instrText>
      </w:r>
      <w:r w:rsidRPr="008143D9">
        <w:rPr>
          <w:iCs/>
          <w:szCs w:val="24"/>
          <w:lang w:val="en-US"/>
        </w:rPr>
        <w:instrText xml:space="preserve"> </w:instrText>
      </w:r>
      <w:r w:rsidRPr="00AE1E12">
        <w:rPr>
          <w:iCs/>
          <w:szCs w:val="24"/>
          <w:lang w:val="en-US"/>
        </w:rPr>
        <w:instrText>or</w:instrText>
      </w:r>
      <w:r w:rsidRPr="008143D9">
        <w:rPr>
          <w:iCs/>
          <w:szCs w:val="24"/>
          <w:lang w:val="en-US"/>
        </w:rPr>
        <w:instrText xml:space="preserve"> </w:instrText>
      </w:r>
      <w:r w:rsidRPr="00AE1E12">
        <w:rPr>
          <w:iCs/>
          <w:szCs w:val="24"/>
          <w:lang w:val="en-US"/>
        </w:rPr>
        <w:instrText>cytarabine</w:instrText>
      </w:r>
      <w:r w:rsidRPr="008143D9">
        <w:rPr>
          <w:iCs/>
          <w:szCs w:val="24"/>
          <w:lang w:val="en-US"/>
        </w:rPr>
        <w:instrText xml:space="preserve"> </w:instrText>
      </w:r>
      <w:r w:rsidRPr="00AE1E12">
        <w:rPr>
          <w:iCs/>
          <w:szCs w:val="24"/>
          <w:lang w:val="en-US"/>
        </w:rPr>
        <w:instrText>based</w:instrText>
      </w:r>
      <w:r w:rsidRPr="008143D9">
        <w:rPr>
          <w:iCs/>
          <w:szCs w:val="24"/>
          <w:lang w:val="en-US"/>
        </w:rPr>
        <w:instrText xml:space="preserve"> </w:instrText>
      </w:r>
      <w:r w:rsidRPr="00AE1E12">
        <w:rPr>
          <w:iCs/>
          <w:szCs w:val="24"/>
          <w:lang w:val="en-US"/>
        </w:rPr>
        <w:instrText>therapy</w:instrText>
      </w:r>
      <w:r w:rsidRPr="008143D9">
        <w:rPr>
          <w:iCs/>
          <w:szCs w:val="24"/>
          <w:lang w:val="en-US"/>
        </w:rPr>
        <w:instrText xml:space="preserve"> </w:instrText>
      </w:r>
      <w:r w:rsidRPr="00AE1E12">
        <w:rPr>
          <w:iCs/>
          <w:szCs w:val="24"/>
          <w:lang w:val="en-US"/>
        </w:rPr>
        <w:instrText>and</w:instrText>
      </w:r>
      <w:r w:rsidRPr="008143D9">
        <w:rPr>
          <w:iCs/>
          <w:szCs w:val="24"/>
          <w:lang w:val="en-US"/>
        </w:rPr>
        <w:instrText xml:space="preserve"> </w:instrText>
      </w:r>
      <w:r w:rsidRPr="00AE1E12">
        <w:rPr>
          <w:iCs/>
          <w:szCs w:val="24"/>
          <w:lang w:val="en-US"/>
        </w:rPr>
        <w:instrText>stem</w:instrText>
      </w:r>
      <w:r w:rsidRPr="008143D9">
        <w:rPr>
          <w:iCs/>
          <w:szCs w:val="24"/>
          <w:lang w:val="en-US"/>
        </w:rPr>
        <w:instrText xml:space="preserve"> </w:instrText>
      </w:r>
      <w:r w:rsidRPr="00AE1E12">
        <w:rPr>
          <w:iCs/>
          <w:szCs w:val="24"/>
          <w:lang w:val="en-US"/>
        </w:rPr>
        <w:instrText>cell</w:instrText>
      </w:r>
      <w:r w:rsidRPr="008143D9">
        <w:rPr>
          <w:iCs/>
          <w:szCs w:val="24"/>
          <w:lang w:val="en-US"/>
        </w:rPr>
        <w:instrText xml:space="preserve"> </w:instrText>
      </w:r>
      <w:r w:rsidRPr="00AE1E12">
        <w:rPr>
          <w:iCs/>
          <w:szCs w:val="24"/>
          <w:lang w:val="en-US"/>
        </w:rPr>
        <w:instrText>transplantation</w:instrText>
      </w:r>
      <w:r w:rsidRPr="008143D9">
        <w:rPr>
          <w:iCs/>
          <w:szCs w:val="24"/>
          <w:lang w:val="en-US"/>
        </w:rPr>
        <w:instrText>.","</w:instrText>
      </w:r>
      <w:r w:rsidRPr="00AE1E12">
        <w:rPr>
          <w:iCs/>
          <w:szCs w:val="24"/>
          <w:lang w:val="en-US"/>
        </w:rPr>
        <w:instrText>author</w:instrText>
      </w:r>
      <w:r w:rsidRPr="008143D9">
        <w:rPr>
          <w:iCs/>
          <w:szCs w:val="24"/>
          <w:lang w:val="en-US"/>
        </w:rPr>
        <w:instrText>":[{"</w:instrText>
      </w:r>
      <w:r w:rsidRPr="00AE1E12">
        <w:rPr>
          <w:iCs/>
          <w:szCs w:val="24"/>
          <w:lang w:val="en-US"/>
        </w:rPr>
        <w:instrText>dropping</w:instrText>
      </w:r>
      <w:r w:rsidRPr="008143D9">
        <w:rPr>
          <w:iCs/>
          <w:szCs w:val="24"/>
          <w:lang w:val="en-US"/>
        </w:rPr>
        <w:instrText>-</w:instrText>
      </w:r>
      <w:r w:rsidRPr="00AE1E12">
        <w:rPr>
          <w:iCs/>
          <w:szCs w:val="24"/>
          <w:lang w:val="en-US"/>
        </w:rPr>
        <w:instrText>particle</w:instrText>
      </w:r>
      <w:r w:rsidRPr="008143D9">
        <w:rPr>
          <w:iCs/>
          <w:szCs w:val="24"/>
          <w:lang w:val="en-US"/>
        </w:rPr>
        <w:instrText>":"","</w:instrText>
      </w:r>
      <w:r w:rsidRPr="00AE1E12">
        <w:rPr>
          <w:iCs/>
          <w:szCs w:val="24"/>
          <w:lang w:val="en-US"/>
        </w:rPr>
        <w:instrText>family</w:instrText>
      </w:r>
      <w:r w:rsidRPr="008143D9">
        <w:rPr>
          <w:iCs/>
          <w:szCs w:val="24"/>
          <w:lang w:val="en-US"/>
        </w:rPr>
        <w:instrText>":"</w:instrText>
      </w:r>
      <w:r w:rsidRPr="00AE1E12">
        <w:rPr>
          <w:iCs/>
          <w:szCs w:val="24"/>
          <w:lang w:val="en-US"/>
        </w:rPr>
        <w:instrText>Garcia</w:instrText>
      </w:r>
      <w:r w:rsidRPr="008143D9">
        <w:rPr>
          <w:iCs/>
          <w:szCs w:val="24"/>
          <w:lang w:val="en-US"/>
        </w:rPr>
        <w:instrText>-</w:instrText>
      </w:r>
      <w:r w:rsidRPr="00AE1E12">
        <w:rPr>
          <w:iCs/>
          <w:szCs w:val="24"/>
          <w:lang w:val="en-US"/>
        </w:rPr>
        <w:instrText>Manero</w:instrText>
      </w:r>
      <w:r w:rsidRPr="008143D9">
        <w:rPr>
          <w:iCs/>
          <w:szCs w:val="24"/>
          <w:lang w:val="en-US"/>
        </w:rPr>
        <w:instrText>","</w:instrText>
      </w:r>
      <w:r w:rsidRPr="00AE1E12">
        <w:rPr>
          <w:iCs/>
          <w:szCs w:val="24"/>
          <w:lang w:val="en-US"/>
        </w:rPr>
        <w:instrText>given</w:instrText>
      </w:r>
      <w:r w:rsidRPr="008143D9">
        <w:rPr>
          <w:iCs/>
          <w:szCs w:val="24"/>
          <w:lang w:val="en-US"/>
        </w:rPr>
        <w:instrText>":"</w:instrText>
      </w:r>
      <w:r w:rsidRPr="00AE1E12">
        <w:rPr>
          <w:iCs/>
          <w:szCs w:val="24"/>
          <w:lang w:val="en-US"/>
        </w:rPr>
        <w:instrText>Guillermo</w:instrText>
      </w:r>
      <w:r w:rsidRPr="008143D9">
        <w:rPr>
          <w:iCs/>
          <w:szCs w:val="24"/>
          <w:lang w:val="en-US"/>
        </w:rPr>
        <w:instrText>","</w:instrText>
      </w:r>
      <w:r w:rsidRPr="00AE1E12">
        <w:rPr>
          <w:iCs/>
          <w:szCs w:val="24"/>
          <w:lang w:val="en-US"/>
        </w:rPr>
        <w:instrText>non</w:instrText>
      </w:r>
      <w:r w:rsidRPr="008143D9">
        <w:rPr>
          <w:iCs/>
          <w:szCs w:val="24"/>
          <w:lang w:val="en-US"/>
        </w:rPr>
        <w:instrText>-</w:instrText>
      </w:r>
      <w:r w:rsidRPr="00AE1E12">
        <w:rPr>
          <w:iCs/>
          <w:szCs w:val="24"/>
          <w:lang w:val="en-US"/>
        </w:rPr>
        <w:instrText>dropping</w:instrText>
      </w:r>
      <w:r w:rsidRPr="008143D9">
        <w:rPr>
          <w:iCs/>
          <w:szCs w:val="24"/>
          <w:lang w:val="en-US"/>
        </w:rPr>
        <w:instrText>-</w:instrText>
      </w:r>
      <w:r w:rsidRPr="00AE1E12">
        <w:rPr>
          <w:iCs/>
          <w:szCs w:val="24"/>
          <w:lang w:val="en-US"/>
        </w:rPr>
        <w:instrText>particle</w:instrText>
      </w:r>
      <w:r w:rsidRPr="008143D9">
        <w:rPr>
          <w:iCs/>
          <w:szCs w:val="24"/>
          <w:lang w:val="en-US"/>
        </w:rPr>
        <w:instrText>":"","</w:instrText>
      </w:r>
      <w:r w:rsidRPr="00AE1E12">
        <w:rPr>
          <w:iCs/>
          <w:szCs w:val="24"/>
          <w:lang w:val="en-US"/>
        </w:rPr>
        <w:instrText>parse</w:instrText>
      </w:r>
      <w:r w:rsidRPr="008143D9">
        <w:rPr>
          <w:iCs/>
          <w:szCs w:val="24"/>
          <w:lang w:val="en-US"/>
        </w:rPr>
        <w:instrText>-</w:instrText>
      </w:r>
      <w:r w:rsidRPr="00AE1E12">
        <w:rPr>
          <w:iCs/>
          <w:szCs w:val="24"/>
          <w:lang w:val="en-US"/>
        </w:rPr>
        <w:instrText>names</w:instrText>
      </w:r>
      <w:r w:rsidRPr="008143D9">
        <w:rPr>
          <w:iCs/>
          <w:szCs w:val="24"/>
          <w:lang w:val="en-US"/>
        </w:rPr>
        <w:instrText>":</w:instrText>
      </w:r>
      <w:r w:rsidRPr="00AE1E12">
        <w:rPr>
          <w:iCs/>
          <w:szCs w:val="24"/>
          <w:lang w:val="en-US"/>
        </w:rPr>
        <w:instrText>false</w:instrText>
      </w:r>
      <w:r w:rsidRPr="008143D9">
        <w:rPr>
          <w:iCs/>
          <w:szCs w:val="24"/>
          <w:lang w:val="en-US"/>
        </w:rPr>
        <w:instrText>,"</w:instrText>
      </w:r>
      <w:r w:rsidRPr="00AE1E12">
        <w:rPr>
          <w:iCs/>
          <w:szCs w:val="24"/>
          <w:lang w:val="en-US"/>
        </w:rPr>
        <w:instrText>suffix</w:instrText>
      </w:r>
      <w:r w:rsidRPr="008143D9">
        <w:rPr>
          <w:iCs/>
          <w:szCs w:val="24"/>
          <w:lang w:val="en-US"/>
        </w:rPr>
        <w:instrText>":""}],"</w:instrText>
      </w:r>
      <w:r w:rsidRPr="00AE1E12">
        <w:rPr>
          <w:iCs/>
          <w:szCs w:val="24"/>
          <w:lang w:val="en-US"/>
        </w:rPr>
        <w:instrText>container</w:instrText>
      </w:r>
      <w:r w:rsidRPr="008143D9">
        <w:rPr>
          <w:iCs/>
          <w:szCs w:val="24"/>
          <w:lang w:val="en-US"/>
        </w:rPr>
        <w:instrText>-</w:instrText>
      </w:r>
      <w:r w:rsidRPr="00AE1E12">
        <w:rPr>
          <w:iCs/>
          <w:szCs w:val="24"/>
          <w:lang w:val="en-US"/>
        </w:rPr>
        <w:instrText>title</w:instrText>
      </w:r>
      <w:r w:rsidRPr="008143D9">
        <w:rPr>
          <w:iCs/>
          <w:szCs w:val="24"/>
          <w:lang w:val="en-US"/>
        </w:rPr>
        <w:instrText>":"</w:instrText>
      </w:r>
      <w:r w:rsidRPr="00AE1E12">
        <w:rPr>
          <w:iCs/>
          <w:szCs w:val="24"/>
          <w:lang w:val="en-US"/>
        </w:rPr>
        <w:instrText>American</w:instrText>
      </w:r>
      <w:r w:rsidRPr="008143D9">
        <w:rPr>
          <w:iCs/>
          <w:szCs w:val="24"/>
          <w:lang w:val="en-US"/>
        </w:rPr>
        <w:instrText xml:space="preserve"> </w:instrText>
      </w:r>
      <w:r w:rsidRPr="00AE1E12">
        <w:rPr>
          <w:iCs/>
          <w:szCs w:val="24"/>
          <w:lang w:val="en-US"/>
        </w:rPr>
        <w:instrText>journal</w:instrText>
      </w:r>
      <w:r w:rsidRPr="008143D9">
        <w:rPr>
          <w:iCs/>
          <w:szCs w:val="24"/>
          <w:lang w:val="en-US"/>
        </w:rPr>
        <w:instrText xml:space="preserve"> </w:instrText>
      </w:r>
      <w:r w:rsidRPr="00AE1E12">
        <w:rPr>
          <w:iCs/>
          <w:szCs w:val="24"/>
          <w:lang w:val="en-US"/>
        </w:rPr>
        <w:instrText>of</w:instrText>
      </w:r>
      <w:r w:rsidRPr="008143D9">
        <w:rPr>
          <w:iCs/>
          <w:szCs w:val="24"/>
          <w:lang w:val="en-US"/>
        </w:rPr>
        <w:instrText xml:space="preserve"> </w:instrText>
      </w:r>
      <w:r w:rsidRPr="00AE1E12">
        <w:rPr>
          <w:iCs/>
          <w:szCs w:val="24"/>
          <w:lang w:val="en-US"/>
        </w:rPr>
        <w:instrText>hematology</w:instrText>
      </w:r>
      <w:r w:rsidRPr="008143D9">
        <w:rPr>
          <w:iCs/>
          <w:szCs w:val="24"/>
          <w:lang w:val="en-US"/>
        </w:rPr>
        <w:instrText>","</w:instrText>
      </w:r>
      <w:r w:rsidRPr="00AE1E12">
        <w:rPr>
          <w:iCs/>
          <w:szCs w:val="24"/>
          <w:lang w:val="en-US"/>
        </w:rPr>
        <w:instrText>id</w:instrText>
      </w:r>
      <w:r w:rsidRPr="008143D9">
        <w:rPr>
          <w:iCs/>
          <w:szCs w:val="24"/>
          <w:lang w:val="en-US"/>
        </w:rPr>
        <w:instrText>":"</w:instrText>
      </w:r>
      <w:r w:rsidRPr="00AE1E12">
        <w:rPr>
          <w:iCs/>
          <w:szCs w:val="24"/>
          <w:lang w:val="en-US"/>
        </w:rPr>
        <w:instrText>ITEM</w:instrText>
      </w:r>
      <w:r w:rsidRPr="008143D9">
        <w:rPr>
          <w:iCs/>
          <w:szCs w:val="24"/>
          <w:lang w:val="en-US"/>
        </w:rPr>
        <w:instrText>-1","</w:instrText>
      </w:r>
      <w:r w:rsidRPr="00AE1E12">
        <w:rPr>
          <w:iCs/>
          <w:szCs w:val="24"/>
          <w:lang w:val="en-US"/>
        </w:rPr>
        <w:instrText>issue</w:instrText>
      </w:r>
      <w:r w:rsidRPr="008143D9">
        <w:rPr>
          <w:iCs/>
          <w:szCs w:val="24"/>
          <w:lang w:val="en-US"/>
        </w:rPr>
        <w:instrText>":"9","</w:instrText>
      </w:r>
      <w:r w:rsidRPr="00AE1E12">
        <w:rPr>
          <w:iCs/>
          <w:szCs w:val="24"/>
          <w:lang w:val="en-US"/>
        </w:rPr>
        <w:instrText>issued</w:instrText>
      </w:r>
      <w:r w:rsidRPr="008143D9">
        <w:rPr>
          <w:iCs/>
          <w:szCs w:val="24"/>
          <w:lang w:val="en-US"/>
        </w:rPr>
        <w:instrText>":{"</w:instrText>
      </w:r>
      <w:r w:rsidRPr="00AE1E12">
        <w:rPr>
          <w:iCs/>
          <w:szCs w:val="24"/>
          <w:lang w:val="en-US"/>
        </w:rPr>
        <w:instrText>date</w:instrText>
      </w:r>
      <w:r w:rsidRPr="008143D9">
        <w:rPr>
          <w:iCs/>
          <w:szCs w:val="24"/>
          <w:lang w:val="en-US"/>
        </w:rPr>
        <w:instrText>-</w:instrText>
      </w:r>
      <w:r w:rsidRPr="00AE1E12">
        <w:rPr>
          <w:iCs/>
          <w:szCs w:val="24"/>
          <w:lang w:val="en-US"/>
        </w:rPr>
        <w:instrText>parts</w:instrText>
      </w:r>
      <w:r w:rsidRPr="008143D9">
        <w:rPr>
          <w:iCs/>
          <w:szCs w:val="24"/>
          <w:lang w:val="en-US"/>
        </w:rPr>
        <w:instrText>":[["2015","9"]]},"</w:instrText>
      </w:r>
      <w:r w:rsidRPr="00AE1E12">
        <w:rPr>
          <w:iCs/>
          <w:szCs w:val="24"/>
          <w:lang w:val="en-US"/>
        </w:rPr>
        <w:instrText>page</w:instrText>
      </w:r>
      <w:r w:rsidRPr="008143D9">
        <w:rPr>
          <w:iCs/>
          <w:szCs w:val="24"/>
          <w:lang w:val="en-US"/>
        </w:rPr>
        <w:instrText>":"831-41","</w:instrText>
      </w:r>
      <w:r w:rsidRPr="00AE1E12">
        <w:rPr>
          <w:iCs/>
          <w:szCs w:val="24"/>
          <w:lang w:val="en-US"/>
        </w:rPr>
        <w:instrText>title</w:instrText>
      </w:r>
      <w:r w:rsidRPr="008143D9">
        <w:rPr>
          <w:iCs/>
          <w:szCs w:val="24"/>
          <w:lang w:val="en-US"/>
        </w:rPr>
        <w:instrText>":"</w:instrText>
      </w:r>
      <w:r w:rsidRPr="00AE1E12">
        <w:rPr>
          <w:iCs/>
          <w:szCs w:val="24"/>
          <w:lang w:val="en-US"/>
        </w:rPr>
        <w:instrText>Myelodysplastic syndromes: 2015 Update on diagnosis, risk-stratification and management.","type":"article-journal","volume":"90"},"uris":["http://www.mendeley.com/documents/?uuid=f71f5ed5-dc93-3fd3-b1f1-68c1270ac29e"]}],"mendeley":{"formattedCitation":"[3]","plainTextFormattedCitation":"[3]","previouslyFormattedCitation":"[3]"},"properties":{"noteIndex":0},"schema":"https://github.com/citation-style-language/schema/raw/master/csl-citation.json"}</w:instrText>
      </w:r>
      <w:r w:rsidRPr="00AE1E12">
        <w:rPr>
          <w:iCs/>
          <w:szCs w:val="24"/>
        </w:rPr>
        <w:fldChar w:fldCharType="separate"/>
      </w:r>
      <w:r w:rsidRPr="00AE1E12">
        <w:rPr>
          <w:iCs/>
          <w:noProof/>
          <w:szCs w:val="24"/>
          <w:lang w:val="en-US"/>
        </w:rPr>
        <w:t>[3]</w:t>
      </w:r>
      <w:r w:rsidRPr="00AE1E12">
        <w:rPr>
          <w:iCs/>
          <w:szCs w:val="24"/>
        </w:rPr>
        <w:fldChar w:fldCharType="end"/>
      </w:r>
      <w:r w:rsidRPr="00AE1E12">
        <w:rPr>
          <w:iCs/>
          <w:szCs w:val="24"/>
          <w:lang w:val="en-US"/>
        </w:rPr>
        <w:t>.</w:t>
      </w:r>
      <w:r w:rsidRPr="0025128E">
        <w:rPr>
          <w:szCs w:val="24"/>
          <w:lang w:val="en-US"/>
        </w:rPr>
        <w:t xml:space="preserve"> </w:t>
      </w:r>
    </w:p>
    <w:p w14:paraId="0B7CCAFC" w14:textId="77777777" w:rsidR="0025128E" w:rsidRPr="003F6018" w:rsidRDefault="0025128E" w:rsidP="00F860F1">
      <w:r>
        <w:t>Оригинальное</w:t>
      </w:r>
      <w:r w:rsidRPr="00AE1E12">
        <w:rPr>
          <w:lang w:val="en-US"/>
        </w:rPr>
        <w:t xml:space="preserve"> </w:t>
      </w:r>
      <w:r>
        <w:t>название</w:t>
      </w:r>
      <w:r w:rsidRPr="00AE1E12">
        <w:rPr>
          <w:lang w:val="en-US"/>
        </w:rPr>
        <w:t xml:space="preserve">: </w:t>
      </w:r>
      <w:r>
        <w:rPr>
          <w:lang w:val="en-US"/>
        </w:rPr>
        <w:t xml:space="preserve">International Working Group (IWG) response criteria in myelodysplasia </w:t>
      </w:r>
      <w:r>
        <w:rPr>
          <w:lang w:val="en-US"/>
        </w:rPr>
        <w:fldChar w:fldCharType="begin" w:fldLock="1"/>
      </w:r>
      <w:r w:rsidR="00AE1E12">
        <w:rPr>
          <w:lang w:val="en-US"/>
        </w:rPr>
        <w:instrText>ADDIN CSL_CITATION {"citationItems":[{"id":"ITEM-1","itemData":{"DOI":"10.1182/blood-2005-10-4149","ISSN":"0006-4971","PMID":"16609072","abstract":"The myelodysplastic syndromes (MDSs) are heterogeneous with respect to clinical characteristics, pathologic features, and cytogenetic abnormalities. This heterogeneity is a challenge for evaluating response to treatment. Therapeutic trials in MDS have used various criteria to assess results, making cross-study comparisons problematic. In 2000, an International Working Group (IWG) proposed standardized response criteria for evaluating clinically significant responses in MDS. These criteria included measures of alteration in the natural history of disease, hematologic improvement, cytogenetic response, and improvement in health-related quality of life. The relevance of the response criteria has now been validated prospectively in MDS clinical trials, and they have gained acceptance in research studies and in clinical practice. Because limitations of the IWG criteria have surfaced, based on practical and reported experience, some modifications were warranted. In this report, we present recommendations for revisions of some of the initial criteria.","author":[{"dropping-particle":"","family":"Cheson","given":"Bruce D","non-dropping-particle":"","parse-names":false,"suffix":""},{"dropping-particle":"","family":"Greenberg","given":"Peter L","non-dropping-particle":"","parse-names":false,"suffix":""},{"dropping-particle":"","family":"Bennett","given":"John M","non-dropping-particle":"","parse-names":false,"suffix":""},{"dropping-particle":"","family":"Lowenberg","given":"Bob","non-dropping-particle":"","parse-names":false,"suffix":""},{"dropping-particle":"","family":"Wijermans","given":"Pierre W","non-dropping-particle":"","parse-names":false,"suffix":""},{"dropping-particle":"","family":"Nimer","given":"Stephen D","non-dropping-particle":"","parse-names":false,"suffix":""},{"dropping-particle":"","family":"Pinto","given":"Antonio","non-dropping-particle":"","parse-names":false,"suffix":""},{"dropping-particle":"","family":"Beran","given":"Miloslav","non-dropping-particle":"</w:instrText>
      </w:r>
      <w:r w:rsidR="00AE1E12" w:rsidRPr="008143D9">
        <w:instrText>","</w:instrText>
      </w:r>
      <w:r w:rsidR="00AE1E12">
        <w:rPr>
          <w:lang w:val="en-US"/>
        </w:rPr>
        <w:instrText>parse</w:instrText>
      </w:r>
      <w:r w:rsidR="00AE1E12" w:rsidRPr="008143D9">
        <w:instrText>-</w:instrText>
      </w:r>
      <w:r w:rsidR="00AE1E12">
        <w:rPr>
          <w:lang w:val="en-US"/>
        </w:rPr>
        <w:instrText>names</w:instrText>
      </w:r>
      <w:r w:rsidR="00AE1E12" w:rsidRPr="008143D9">
        <w:instrText>":</w:instrText>
      </w:r>
      <w:r w:rsidR="00AE1E12">
        <w:rPr>
          <w:lang w:val="en-US"/>
        </w:rPr>
        <w:instrText>false</w:instrText>
      </w:r>
      <w:r w:rsidR="00AE1E12" w:rsidRPr="008143D9">
        <w:instrText>,"</w:instrText>
      </w:r>
      <w:r w:rsidR="00AE1E12">
        <w:rPr>
          <w:lang w:val="en-US"/>
        </w:rPr>
        <w:instrText>suffix</w:instrText>
      </w:r>
      <w:r w:rsidR="00AE1E12" w:rsidRPr="008143D9">
        <w:instrText>":""},{"</w:instrText>
      </w:r>
      <w:r w:rsidR="00AE1E12">
        <w:rPr>
          <w:lang w:val="en-US"/>
        </w:rPr>
        <w:instrText>dropping</w:instrText>
      </w:r>
      <w:r w:rsidR="00AE1E12" w:rsidRPr="008143D9">
        <w:instrText>-</w:instrText>
      </w:r>
      <w:r w:rsidR="00AE1E12">
        <w:rPr>
          <w:lang w:val="en-US"/>
        </w:rPr>
        <w:instrText>particle</w:instrText>
      </w:r>
      <w:r w:rsidR="00AE1E12" w:rsidRPr="008143D9">
        <w:instrText>":"","</w:instrText>
      </w:r>
      <w:r w:rsidR="00AE1E12">
        <w:rPr>
          <w:lang w:val="en-US"/>
        </w:rPr>
        <w:instrText>family</w:instrText>
      </w:r>
      <w:r w:rsidR="00AE1E12" w:rsidRPr="008143D9">
        <w:instrText>":"</w:instrText>
      </w:r>
      <w:r w:rsidR="00AE1E12">
        <w:rPr>
          <w:lang w:val="en-US"/>
        </w:rPr>
        <w:instrText>Witte</w:instrText>
      </w:r>
      <w:r w:rsidR="00AE1E12" w:rsidRPr="008143D9">
        <w:instrText>","</w:instrText>
      </w:r>
      <w:r w:rsidR="00AE1E12">
        <w:rPr>
          <w:lang w:val="en-US"/>
        </w:rPr>
        <w:instrText>given</w:instrText>
      </w:r>
      <w:r w:rsidR="00AE1E12" w:rsidRPr="008143D9">
        <w:instrText>":"</w:instrText>
      </w:r>
      <w:r w:rsidR="00AE1E12">
        <w:rPr>
          <w:lang w:val="en-US"/>
        </w:rPr>
        <w:instrText>Theo</w:instrText>
      </w:r>
      <w:r w:rsidR="00AE1E12" w:rsidRPr="008143D9">
        <w:instrText xml:space="preserve"> </w:instrText>
      </w:r>
      <w:r w:rsidR="00AE1E12">
        <w:rPr>
          <w:lang w:val="en-US"/>
        </w:rPr>
        <w:instrText>M</w:instrText>
      </w:r>
      <w:r w:rsidR="00AE1E12" w:rsidRPr="008143D9">
        <w:instrText>","</w:instrText>
      </w:r>
      <w:r w:rsidR="00AE1E12">
        <w:rPr>
          <w:lang w:val="en-US"/>
        </w:rPr>
        <w:instrText>non</w:instrText>
      </w:r>
      <w:r w:rsidR="00AE1E12" w:rsidRPr="008143D9">
        <w:instrText>-</w:instrText>
      </w:r>
      <w:r w:rsidR="00AE1E12">
        <w:rPr>
          <w:lang w:val="en-US"/>
        </w:rPr>
        <w:instrText>dropping</w:instrText>
      </w:r>
      <w:r w:rsidR="00AE1E12" w:rsidRPr="008143D9">
        <w:instrText>-</w:instrText>
      </w:r>
      <w:r w:rsidR="00AE1E12">
        <w:rPr>
          <w:lang w:val="en-US"/>
        </w:rPr>
        <w:instrText>particle</w:instrText>
      </w:r>
      <w:r w:rsidR="00AE1E12" w:rsidRPr="008143D9">
        <w:instrText>":"</w:instrText>
      </w:r>
      <w:r w:rsidR="00AE1E12">
        <w:rPr>
          <w:lang w:val="en-US"/>
        </w:rPr>
        <w:instrText>de</w:instrText>
      </w:r>
      <w:r w:rsidR="00AE1E12" w:rsidRPr="008143D9">
        <w:instrText>","</w:instrText>
      </w:r>
      <w:r w:rsidR="00AE1E12">
        <w:rPr>
          <w:lang w:val="en-US"/>
        </w:rPr>
        <w:instrText>parse</w:instrText>
      </w:r>
      <w:r w:rsidR="00AE1E12" w:rsidRPr="008143D9">
        <w:instrText>-</w:instrText>
      </w:r>
      <w:r w:rsidR="00AE1E12">
        <w:rPr>
          <w:lang w:val="en-US"/>
        </w:rPr>
        <w:instrText>names</w:instrText>
      </w:r>
      <w:r w:rsidR="00AE1E12" w:rsidRPr="008143D9">
        <w:instrText>":</w:instrText>
      </w:r>
      <w:r w:rsidR="00AE1E12">
        <w:rPr>
          <w:lang w:val="en-US"/>
        </w:rPr>
        <w:instrText>false</w:instrText>
      </w:r>
      <w:r w:rsidR="00AE1E12" w:rsidRPr="008143D9">
        <w:instrText>,"</w:instrText>
      </w:r>
      <w:r w:rsidR="00AE1E12">
        <w:rPr>
          <w:lang w:val="en-US"/>
        </w:rPr>
        <w:instrText>suffix</w:instrText>
      </w:r>
      <w:r w:rsidR="00AE1E12" w:rsidRPr="008143D9">
        <w:instrText>":""},{"</w:instrText>
      </w:r>
      <w:r w:rsidR="00AE1E12">
        <w:rPr>
          <w:lang w:val="en-US"/>
        </w:rPr>
        <w:instrText>dropping</w:instrText>
      </w:r>
      <w:r w:rsidR="00AE1E12" w:rsidRPr="008143D9">
        <w:instrText>-</w:instrText>
      </w:r>
      <w:r w:rsidR="00AE1E12">
        <w:rPr>
          <w:lang w:val="en-US"/>
        </w:rPr>
        <w:instrText>particle</w:instrText>
      </w:r>
      <w:r w:rsidR="00AE1E12" w:rsidRPr="008143D9">
        <w:instrText>":"","</w:instrText>
      </w:r>
      <w:r w:rsidR="00AE1E12">
        <w:rPr>
          <w:lang w:val="en-US"/>
        </w:rPr>
        <w:instrText>family</w:instrText>
      </w:r>
      <w:r w:rsidR="00AE1E12" w:rsidRPr="008143D9">
        <w:instrText>":"</w:instrText>
      </w:r>
      <w:r w:rsidR="00AE1E12">
        <w:rPr>
          <w:lang w:val="en-US"/>
        </w:rPr>
        <w:instrText>Stone</w:instrText>
      </w:r>
      <w:r w:rsidR="00AE1E12" w:rsidRPr="008143D9">
        <w:instrText>","</w:instrText>
      </w:r>
      <w:r w:rsidR="00AE1E12">
        <w:rPr>
          <w:lang w:val="en-US"/>
        </w:rPr>
        <w:instrText>given</w:instrText>
      </w:r>
      <w:r w:rsidR="00AE1E12" w:rsidRPr="008143D9">
        <w:instrText>":"</w:instrText>
      </w:r>
      <w:r w:rsidR="00AE1E12">
        <w:rPr>
          <w:lang w:val="en-US"/>
        </w:rPr>
        <w:instrText>Richard</w:instrText>
      </w:r>
      <w:r w:rsidR="00AE1E12" w:rsidRPr="008143D9">
        <w:instrText xml:space="preserve"> </w:instrText>
      </w:r>
      <w:r w:rsidR="00AE1E12">
        <w:rPr>
          <w:lang w:val="en-US"/>
        </w:rPr>
        <w:instrText>M</w:instrText>
      </w:r>
      <w:r w:rsidR="00AE1E12" w:rsidRPr="008143D9">
        <w:instrText>","</w:instrText>
      </w:r>
      <w:r w:rsidR="00AE1E12">
        <w:rPr>
          <w:lang w:val="en-US"/>
        </w:rPr>
        <w:instrText>non</w:instrText>
      </w:r>
      <w:r w:rsidR="00AE1E12" w:rsidRPr="008143D9">
        <w:instrText>-</w:instrText>
      </w:r>
      <w:r w:rsidR="00AE1E12">
        <w:rPr>
          <w:lang w:val="en-US"/>
        </w:rPr>
        <w:instrText>dropping</w:instrText>
      </w:r>
      <w:r w:rsidR="00AE1E12" w:rsidRPr="008143D9">
        <w:instrText>-</w:instrText>
      </w:r>
      <w:r w:rsidR="00AE1E12">
        <w:rPr>
          <w:lang w:val="en-US"/>
        </w:rPr>
        <w:instrText>particle</w:instrText>
      </w:r>
      <w:r w:rsidR="00AE1E12" w:rsidRPr="008143D9">
        <w:instrText>":"","</w:instrText>
      </w:r>
      <w:r w:rsidR="00AE1E12">
        <w:rPr>
          <w:lang w:val="en-US"/>
        </w:rPr>
        <w:instrText>parse</w:instrText>
      </w:r>
      <w:r w:rsidR="00AE1E12" w:rsidRPr="008143D9">
        <w:instrText>-</w:instrText>
      </w:r>
      <w:r w:rsidR="00AE1E12">
        <w:rPr>
          <w:lang w:val="en-US"/>
        </w:rPr>
        <w:instrText>names</w:instrText>
      </w:r>
      <w:r w:rsidR="00AE1E12" w:rsidRPr="008143D9">
        <w:instrText>":</w:instrText>
      </w:r>
      <w:r w:rsidR="00AE1E12">
        <w:rPr>
          <w:lang w:val="en-US"/>
        </w:rPr>
        <w:instrText>false</w:instrText>
      </w:r>
      <w:r w:rsidR="00AE1E12" w:rsidRPr="008143D9">
        <w:instrText>,"</w:instrText>
      </w:r>
      <w:r w:rsidR="00AE1E12">
        <w:rPr>
          <w:lang w:val="en-US"/>
        </w:rPr>
        <w:instrText>suffix</w:instrText>
      </w:r>
      <w:r w:rsidR="00AE1E12" w:rsidRPr="008143D9">
        <w:instrText>":""},{"</w:instrText>
      </w:r>
      <w:r w:rsidR="00AE1E12">
        <w:rPr>
          <w:lang w:val="en-US"/>
        </w:rPr>
        <w:instrText>dropping</w:instrText>
      </w:r>
      <w:r w:rsidR="00AE1E12" w:rsidRPr="008143D9">
        <w:instrText>-</w:instrText>
      </w:r>
      <w:r w:rsidR="00AE1E12">
        <w:rPr>
          <w:lang w:val="en-US"/>
        </w:rPr>
        <w:instrText>particle</w:instrText>
      </w:r>
      <w:r w:rsidR="00AE1E12" w:rsidRPr="008143D9">
        <w:instrText>":"","</w:instrText>
      </w:r>
      <w:r w:rsidR="00AE1E12">
        <w:rPr>
          <w:lang w:val="en-US"/>
        </w:rPr>
        <w:instrText>family</w:instrText>
      </w:r>
      <w:r w:rsidR="00AE1E12" w:rsidRPr="008143D9">
        <w:instrText>":"</w:instrText>
      </w:r>
      <w:r w:rsidR="00AE1E12">
        <w:rPr>
          <w:lang w:val="en-US"/>
        </w:rPr>
        <w:instrText>Mittelman</w:instrText>
      </w:r>
      <w:r w:rsidR="00AE1E12" w:rsidRPr="008143D9">
        <w:instrText>","</w:instrText>
      </w:r>
      <w:r w:rsidR="00AE1E12">
        <w:rPr>
          <w:lang w:val="en-US"/>
        </w:rPr>
        <w:instrText>given</w:instrText>
      </w:r>
      <w:r w:rsidR="00AE1E12" w:rsidRPr="008143D9">
        <w:instrText>":"</w:instrText>
      </w:r>
      <w:r w:rsidR="00AE1E12">
        <w:rPr>
          <w:lang w:val="en-US"/>
        </w:rPr>
        <w:instrText>Moshe</w:instrText>
      </w:r>
      <w:r w:rsidR="00AE1E12" w:rsidRPr="008143D9">
        <w:instrText>","</w:instrText>
      </w:r>
      <w:r w:rsidR="00AE1E12">
        <w:rPr>
          <w:lang w:val="en-US"/>
        </w:rPr>
        <w:instrText>non</w:instrText>
      </w:r>
      <w:r w:rsidR="00AE1E12" w:rsidRPr="008143D9">
        <w:instrText>-</w:instrText>
      </w:r>
      <w:r w:rsidR="00AE1E12">
        <w:rPr>
          <w:lang w:val="en-US"/>
        </w:rPr>
        <w:instrText>dropping</w:instrText>
      </w:r>
      <w:r w:rsidR="00AE1E12" w:rsidRPr="008143D9">
        <w:instrText>-</w:instrText>
      </w:r>
      <w:r w:rsidR="00AE1E12">
        <w:rPr>
          <w:lang w:val="en-US"/>
        </w:rPr>
        <w:instrText>particle</w:instrText>
      </w:r>
      <w:r w:rsidR="00AE1E12" w:rsidRPr="008143D9">
        <w:instrText>":"","</w:instrText>
      </w:r>
      <w:r w:rsidR="00AE1E12">
        <w:rPr>
          <w:lang w:val="en-US"/>
        </w:rPr>
        <w:instrText>parse</w:instrText>
      </w:r>
      <w:r w:rsidR="00AE1E12" w:rsidRPr="008143D9">
        <w:instrText>-</w:instrText>
      </w:r>
      <w:r w:rsidR="00AE1E12">
        <w:rPr>
          <w:lang w:val="en-US"/>
        </w:rPr>
        <w:instrText>names</w:instrText>
      </w:r>
      <w:r w:rsidR="00AE1E12" w:rsidRPr="008143D9">
        <w:instrText>":</w:instrText>
      </w:r>
      <w:r w:rsidR="00AE1E12">
        <w:rPr>
          <w:lang w:val="en-US"/>
        </w:rPr>
        <w:instrText>false</w:instrText>
      </w:r>
      <w:r w:rsidR="00AE1E12" w:rsidRPr="008143D9">
        <w:instrText>,"</w:instrText>
      </w:r>
      <w:r w:rsidR="00AE1E12">
        <w:rPr>
          <w:lang w:val="en-US"/>
        </w:rPr>
        <w:instrText>suffix</w:instrText>
      </w:r>
      <w:r w:rsidR="00AE1E12" w:rsidRPr="008143D9">
        <w:instrText>":""},{"</w:instrText>
      </w:r>
      <w:r w:rsidR="00AE1E12">
        <w:rPr>
          <w:lang w:val="en-US"/>
        </w:rPr>
        <w:instrText>dropping</w:instrText>
      </w:r>
      <w:r w:rsidR="00AE1E12" w:rsidRPr="008143D9">
        <w:instrText>-</w:instrText>
      </w:r>
      <w:r w:rsidR="00AE1E12">
        <w:rPr>
          <w:lang w:val="en-US"/>
        </w:rPr>
        <w:instrText>particle</w:instrText>
      </w:r>
      <w:r w:rsidR="00AE1E12" w:rsidRPr="008143D9">
        <w:instrText>":"","</w:instrText>
      </w:r>
      <w:r w:rsidR="00AE1E12">
        <w:rPr>
          <w:lang w:val="en-US"/>
        </w:rPr>
        <w:instrText>family</w:instrText>
      </w:r>
      <w:r w:rsidR="00AE1E12" w:rsidRPr="008143D9">
        <w:instrText>":"</w:instrText>
      </w:r>
      <w:r w:rsidR="00AE1E12">
        <w:rPr>
          <w:lang w:val="en-US"/>
        </w:rPr>
        <w:instrText>Sanz</w:instrText>
      </w:r>
      <w:r w:rsidR="00AE1E12" w:rsidRPr="008143D9">
        <w:instrText>","</w:instrText>
      </w:r>
      <w:r w:rsidR="00AE1E12">
        <w:rPr>
          <w:lang w:val="en-US"/>
        </w:rPr>
        <w:instrText>given</w:instrText>
      </w:r>
      <w:r w:rsidR="00AE1E12" w:rsidRPr="008143D9">
        <w:instrText>":"</w:instrText>
      </w:r>
      <w:r w:rsidR="00AE1E12">
        <w:rPr>
          <w:lang w:val="en-US"/>
        </w:rPr>
        <w:instrText>Guillermo</w:instrText>
      </w:r>
      <w:r w:rsidR="00AE1E12" w:rsidRPr="008143D9">
        <w:instrText xml:space="preserve"> </w:instrText>
      </w:r>
      <w:r w:rsidR="00AE1E12">
        <w:rPr>
          <w:lang w:val="en-US"/>
        </w:rPr>
        <w:instrText>F</w:instrText>
      </w:r>
      <w:r w:rsidR="00AE1E12" w:rsidRPr="008143D9">
        <w:instrText>","</w:instrText>
      </w:r>
      <w:r w:rsidR="00AE1E12">
        <w:rPr>
          <w:lang w:val="en-US"/>
        </w:rPr>
        <w:instrText>non</w:instrText>
      </w:r>
      <w:r w:rsidR="00AE1E12" w:rsidRPr="008143D9">
        <w:instrText>-</w:instrText>
      </w:r>
      <w:r w:rsidR="00AE1E12">
        <w:rPr>
          <w:lang w:val="en-US"/>
        </w:rPr>
        <w:instrText>dropping</w:instrText>
      </w:r>
      <w:r w:rsidR="00AE1E12" w:rsidRPr="008143D9">
        <w:instrText>-</w:instrText>
      </w:r>
      <w:r w:rsidR="00AE1E12">
        <w:rPr>
          <w:lang w:val="en-US"/>
        </w:rPr>
        <w:instrText>particle</w:instrText>
      </w:r>
      <w:r w:rsidR="00AE1E12" w:rsidRPr="008143D9">
        <w:instrText>":"","</w:instrText>
      </w:r>
      <w:r w:rsidR="00AE1E12">
        <w:rPr>
          <w:lang w:val="en-US"/>
        </w:rPr>
        <w:instrText>parse</w:instrText>
      </w:r>
      <w:r w:rsidR="00AE1E12" w:rsidRPr="008143D9">
        <w:instrText>-</w:instrText>
      </w:r>
      <w:r w:rsidR="00AE1E12">
        <w:rPr>
          <w:lang w:val="en-US"/>
        </w:rPr>
        <w:instrText>names</w:instrText>
      </w:r>
      <w:r w:rsidR="00AE1E12" w:rsidRPr="008143D9">
        <w:instrText>":</w:instrText>
      </w:r>
      <w:r w:rsidR="00AE1E12">
        <w:rPr>
          <w:lang w:val="en-US"/>
        </w:rPr>
        <w:instrText>false</w:instrText>
      </w:r>
      <w:r w:rsidR="00AE1E12" w:rsidRPr="008143D9">
        <w:instrText>,"</w:instrText>
      </w:r>
      <w:r w:rsidR="00AE1E12">
        <w:rPr>
          <w:lang w:val="en-US"/>
        </w:rPr>
        <w:instrText>suffix</w:instrText>
      </w:r>
      <w:r w:rsidR="00AE1E12" w:rsidRPr="008143D9">
        <w:instrText>":""},{"</w:instrText>
      </w:r>
      <w:r w:rsidR="00AE1E12">
        <w:rPr>
          <w:lang w:val="en-US"/>
        </w:rPr>
        <w:instrText>dropping</w:instrText>
      </w:r>
      <w:r w:rsidR="00AE1E12" w:rsidRPr="008143D9">
        <w:instrText>-</w:instrText>
      </w:r>
      <w:r w:rsidR="00AE1E12">
        <w:rPr>
          <w:lang w:val="en-US"/>
        </w:rPr>
        <w:instrText>particle</w:instrText>
      </w:r>
      <w:r w:rsidR="00AE1E12" w:rsidRPr="008143D9">
        <w:instrText>":"","</w:instrText>
      </w:r>
      <w:r w:rsidR="00AE1E12">
        <w:rPr>
          <w:lang w:val="en-US"/>
        </w:rPr>
        <w:instrText>family</w:instrText>
      </w:r>
      <w:r w:rsidR="00AE1E12" w:rsidRPr="008143D9">
        <w:instrText>":"</w:instrText>
      </w:r>
      <w:r w:rsidR="00AE1E12">
        <w:rPr>
          <w:lang w:val="en-US"/>
        </w:rPr>
        <w:instrText>Gore</w:instrText>
      </w:r>
      <w:r w:rsidR="00AE1E12" w:rsidRPr="008143D9">
        <w:instrText>","</w:instrText>
      </w:r>
      <w:r w:rsidR="00AE1E12">
        <w:rPr>
          <w:lang w:val="en-US"/>
        </w:rPr>
        <w:instrText>given</w:instrText>
      </w:r>
      <w:r w:rsidR="00AE1E12" w:rsidRPr="008143D9">
        <w:instrText>":"</w:instrText>
      </w:r>
      <w:r w:rsidR="00AE1E12">
        <w:rPr>
          <w:lang w:val="en-US"/>
        </w:rPr>
        <w:instrText>Steven</w:instrText>
      </w:r>
      <w:r w:rsidR="00AE1E12" w:rsidRPr="008143D9">
        <w:instrText xml:space="preserve"> </w:instrText>
      </w:r>
      <w:r w:rsidR="00AE1E12">
        <w:rPr>
          <w:lang w:val="en-US"/>
        </w:rPr>
        <w:instrText>D</w:instrText>
      </w:r>
      <w:r w:rsidR="00AE1E12" w:rsidRPr="008143D9">
        <w:instrText>","</w:instrText>
      </w:r>
      <w:r w:rsidR="00AE1E12">
        <w:rPr>
          <w:lang w:val="en-US"/>
        </w:rPr>
        <w:instrText>non</w:instrText>
      </w:r>
      <w:r w:rsidR="00AE1E12" w:rsidRPr="008143D9">
        <w:instrText>-</w:instrText>
      </w:r>
      <w:r w:rsidR="00AE1E12">
        <w:rPr>
          <w:lang w:val="en-US"/>
        </w:rPr>
        <w:instrText>dropping</w:instrText>
      </w:r>
      <w:r w:rsidR="00AE1E12" w:rsidRPr="008143D9">
        <w:instrText>-</w:instrText>
      </w:r>
      <w:r w:rsidR="00AE1E12">
        <w:rPr>
          <w:lang w:val="en-US"/>
        </w:rPr>
        <w:instrText>particle</w:instrText>
      </w:r>
      <w:r w:rsidR="00AE1E12" w:rsidRPr="008143D9">
        <w:instrText>":"","</w:instrText>
      </w:r>
      <w:r w:rsidR="00AE1E12">
        <w:rPr>
          <w:lang w:val="en-US"/>
        </w:rPr>
        <w:instrText>parse</w:instrText>
      </w:r>
      <w:r w:rsidR="00AE1E12" w:rsidRPr="008143D9">
        <w:instrText>-</w:instrText>
      </w:r>
      <w:r w:rsidR="00AE1E12">
        <w:rPr>
          <w:lang w:val="en-US"/>
        </w:rPr>
        <w:instrText>names</w:instrText>
      </w:r>
      <w:r w:rsidR="00AE1E12" w:rsidRPr="008143D9">
        <w:instrText>":</w:instrText>
      </w:r>
      <w:r w:rsidR="00AE1E12">
        <w:rPr>
          <w:lang w:val="en-US"/>
        </w:rPr>
        <w:instrText>false</w:instrText>
      </w:r>
      <w:r w:rsidR="00AE1E12" w:rsidRPr="008143D9">
        <w:instrText>,"</w:instrText>
      </w:r>
      <w:r w:rsidR="00AE1E12">
        <w:rPr>
          <w:lang w:val="en-US"/>
        </w:rPr>
        <w:instrText>suffix</w:instrText>
      </w:r>
      <w:r w:rsidR="00AE1E12" w:rsidRPr="008143D9">
        <w:instrText>":""},{"</w:instrText>
      </w:r>
      <w:r w:rsidR="00AE1E12">
        <w:rPr>
          <w:lang w:val="en-US"/>
        </w:rPr>
        <w:instrText>dropping</w:instrText>
      </w:r>
      <w:r w:rsidR="00AE1E12" w:rsidRPr="008143D9">
        <w:instrText>-</w:instrText>
      </w:r>
      <w:r w:rsidR="00AE1E12">
        <w:rPr>
          <w:lang w:val="en-US"/>
        </w:rPr>
        <w:instrText>particle</w:instrText>
      </w:r>
      <w:r w:rsidR="00AE1E12" w:rsidRPr="008143D9">
        <w:instrText>":"","</w:instrText>
      </w:r>
      <w:r w:rsidR="00AE1E12">
        <w:rPr>
          <w:lang w:val="en-US"/>
        </w:rPr>
        <w:instrText>family</w:instrText>
      </w:r>
      <w:r w:rsidR="00AE1E12" w:rsidRPr="008143D9">
        <w:instrText>":"</w:instrText>
      </w:r>
      <w:r w:rsidR="00AE1E12">
        <w:rPr>
          <w:lang w:val="en-US"/>
        </w:rPr>
        <w:instrText>Schiffer</w:instrText>
      </w:r>
      <w:r w:rsidR="00AE1E12" w:rsidRPr="008143D9">
        <w:instrText>","</w:instrText>
      </w:r>
      <w:r w:rsidR="00AE1E12">
        <w:rPr>
          <w:lang w:val="en-US"/>
        </w:rPr>
        <w:instrText>given</w:instrText>
      </w:r>
      <w:r w:rsidR="00AE1E12" w:rsidRPr="008143D9">
        <w:instrText>":"</w:instrText>
      </w:r>
      <w:r w:rsidR="00AE1E12">
        <w:rPr>
          <w:lang w:val="en-US"/>
        </w:rPr>
        <w:instrText>Charles</w:instrText>
      </w:r>
      <w:r w:rsidR="00AE1E12" w:rsidRPr="008143D9">
        <w:instrText xml:space="preserve"> </w:instrText>
      </w:r>
      <w:r w:rsidR="00AE1E12">
        <w:rPr>
          <w:lang w:val="en-US"/>
        </w:rPr>
        <w:instrText>A</w:instrText>
      </w:r>
      <w:r w:rsidR="00AE1E12" w:rsidRPr="008143D9">
        <w:instrText>","</w:instrText>
      </w:r>
      <w:r w:rsidR="00AE1E12">
        <w:rPr>
          <w:lang w:val="en-US"/>
        </w:rPr>
        <w:instrText>non</w:instrText>
      </w:r>
      <w:r w:rsidR="00AE1E12" w:rsidRPr="008143D9">
        <w:instrText>-</w:instrText>
      </w:r>
      <w:r w:rsidR="00AE1E12">
        <w:rPr>
          <w:lang w:val="en-US"/>
        </w:rPr>
        <w:instrText>dropping</w:instrText>
      </w:r>
      <w:r w:rsidR="00AE1E12" w:rsidRPr="008143D9">
        <w:instrText>-</w:instrText>
      </w:r>
      <w:r w:rsidR="00AE1E12">
        <w:rPr>
          <w:lang w:val="en-US"/>
        </w:rPr>
        <w:instrText>particle</w:instrText>
      </w:r>
      <w:r w:rsidR="00AE1E12" w:rsidRPr="008143D9">
        <w:instrText>":"","</w:instrText>
      </w:r>
      <w:r w:rsidR="00AE1E12">
        <w:rPr>
          <w:lang w:val="en-US"/>
        </w:rPr>
        <w:instrText>parse</w:instrText>
      </w:r>
      <w:r w:rsidR="00AE1E12" w:rsidRPr="008143D9">
        <w:instrText>-</w:instrText>
      </w:r>
      <w:r w:rsidR="00AE1E12">
        <w:rPr>
          <w:lang w:val="en-US"/>
        </w:rPr>
        <w:instrText>names</w:instrText>
      </w:r>
      <w:r w:rsidR="00AE1E12" w:rsidRPr="008143D9">
        <w:instrText>":</w:instrText>
      </w:r>
      <w:r w:rsidR="00AE1E12">
        <w:rPr>
          <w:lang w:val="en-US"/>
        </w:rPr>
        <w:instrText>false</w:instrText>
      </w:r>
      <w:r w:rsidR="00AE1E12" w:rsidRPr="008143D9">
        <w:instrText>,"</w:instrText>
      </w:r>
      <w:r w:rsidR="00AE1E12">
        <w:rPr>
          <w:lang w:val="en-US"/>
        </w:rPr>
        <w:instrText>suffix</w:instrText>
      </w:r>
      <w:r w:rsidR="00AE1E12" w:rsidRPr="00E7317D">
        <w:instrText>":""},{"</w:instrText>
      </w:r>
      <w:r w:rsidR="00AE1E12">
        <w:rPr>
          <w:lang w:val="en-US"/>
        </w:rPr>
        <w:instrText>dropping</w:instrText>
      </w:r>
      <w:r w:rsidR="00AE1E12" w:rsidRPr="00E7317D">
        <w:instrText>-</w:instrText>
      </w:r>
      <w:r w:rsidR="00AE1E12">
        <w:rPr>
          <w:lang w:val="en-US"/>
        </w:rPr>
        <w:instrText>particle</w:instrText>
      </w:r>
      <w:r w:rsidR="00AE1E12" w:rsidRPr="00E7317D">
        <w:instrText>":"","</w:instrText>
      </w:r>
      <w:r w:rsidR="00AE1E12">
        <w:rPr>
          <w:lang w:val="en-US"/>
        </w:rPr>
        <w:instrText>family</w:instrText>
      </w:r>
      <w:r w:rsidR="00AE1E12" w:rsidRPr="00E7317D">
        <w:instrText>":"</w:instrText>
      </w:r>
      <w:r w:rsidR="00AE1E12">
        <w:rPr>
          <w:lang w:val="en-US"/>
        </w:rPr>
        <w:instrText>Kantarjian</w:instrText>
      </w:r>
      <w:r w:rsidR="00AE1E12" w:rsidRPr="00E7317D">
        <w:instrText>","</w:instrText>
      </w:r>
      <w:r w:rsidR="00AE1E12">
        <w:rPr>
          <w:lang w:val="en-US"/>
        </w:rPr>
        <w:instrText>given</w:instrText>
      </w:r>
      <w:r w:rsidR="00AE1E12" w:rsidRPr="00E7317D">
        <w:instrText>":"</w:instrText>
      </w:r>
      <w:r w:rsidR="00AE1E12">
        <w:rPr>
          <w:lang w:val="en-US"/>
        </w:rPr>
        <w:instrText>Hagop</w:instrText>
      </w:r>
      <w:r w:rsidR="00AE1E12" w:rsidRPr="00E7317D">
        <w:instrText>","</w:instrText>
      </w:r>
      <w:r w:rsidR="00AE1E12">
        <w:rPr>
          <w:lang w:val="en-US"/>
        </w:rPr>
        <w:instrText>non</w:instrText>
      </w:r>
      <w:r w:rsidR="00AE1E12" w:rsidRPr="00E7317D">
        <w:instrText>-</w:instrText>
      </w:r>
      <w:r w:rsidR="00AE1E12">
        <w:rPr>
          <w:lang w:val="en-US"/>
        </w:rPr>
        <w:instrText>dropping</w:instrText>
      </w:r>
      <w:r w:rsidR="00AE1E12" w:rsidRPr="00E7317D">
        <w:instrText>-</w:instrText>
      </w:r>
      <w:r w:rsidR="00AE1E12">
        <w:rPr>
          <w:lang w:val="en-US"/>
        </w:rPr>
        <w:instrText>particle</w:instrText>
      </w:r>
      <w:r w:rsidR="00AE1E12" w:rsidRPr="00E7317D">
        <w:instrText>":"","</w:instrText>
      </w:r>
      <w:r w:rsidR="00AE1E12">
        <w:rPr>
          <w:lang w:val="en-US"/>
        </w:rPr>
        <w:instrText>parse</w:instrText>
      </w:r>
      <w:r w:rsidR="00AE1E12" w:rsidRPr="00E7317D">
        <w:instrText>-</w:instrText>
      </w:r>
      <w:r w:rsidR="00AE1E12">
        <w:rPr>
          <w:lang w:val="en-US"/>
        </w:rPr>
        <w:instrText>names</w:instrText>
      </w:r>
      <w:r w:rsidR="00AE1E12" w:rsidRPr="00E7317D">
        <w:instrText>":</w:instrText>
      </w:r>
      <w:r w:rsidR="00AE1E12">
        <w:rPr>
          <w:lang w:val="en-US"/>
        </w:rPr>
        <w:instrText>false</w:instrText>
      </w:r>
      <w:r w:rsidR="00AE1E12" w:rsidRPr="00E7317D">
        <w:instrText>,"</w:instrText>
      </w:r>
      <w:r w:rsidR="00AE1E12">
        <w:rPr>
          <w:lang w:val="en-US"/>
        </w:rPr>
        <w:instrText>suffix</w:instrText>
      </w:r>
      <w:r w:rsidR="00AE1E12" w:rsidRPr="00E7317D">
        <w:instrText>":""}],"</w:instrText>
      </w:r>
      <w:r w:rsidR="00AE1E12">
        <w:rPr>
          <w:lang w:val="en-US"/>
        </w:rPr>
        <w:instrText>container</w:instrText>
      </w:r>
      <w:r w:rsidR="00AE1E12" w:rsidRPr="00E7317D">
        <w:instrText>-</w:instrText>
      </w:r>
      <w:r w:rsidR="00AE1E12">
        <w:rPr>
          <w:lang w:val="en-US"/>
        </w:rPr>
        <w:instrText>title</w:instrText>
      </w:r>
      <w:r w:rsidR="00AE1E12" w:rsidRPr="00E7317D">
        <w:instrText>":"</w:instrText>
      </w:r>
      <w:r w:rsidR="00AE1E12">
        <w:rPr>
          <w:lang w:val="en-US"/>
        </w:rPr>
        <w:instrText>Blood</w:instrText>
      </w:r>
      <w:r w:rsidR="00AE1E12" w:rsidRPr="00E7317D">
        <w:instrText>","</w:instrText>
      </w:r>
      <w:r w:rsidR="00AE1E12">
        <w:rPr>
          <w:lang w:val="en-US"/>
        </w:rPr>
        <w:instrText>id</w:instrText>
      </w:r>
      <w:r w:rsidR="00AE1E12" w:rsidRPr="00E7317D">
        <w:instrText>":"</w:instrText>
      </w:r>
      <w:r w:rsidR="00AE1E12">
        <w:rPr>
          <w:lang w:val="en-US"/>
        </w:rPr>
        <w:instrText>ITEM</w:instrText>
      </w:r>
      <w:r w:rsidR="00AE1E12" w:rsidRPr="00E7317D">
        <w:instrText>-1","</w:instrText>
      </w:r>
      <w:r w:rsidR="00AE1E12">
        <w:rPr>
          <w:lang w:val="en-US"/>
        </w:rPr>
        <w:instrText>issue</w:instrText>
      </w:r>
      <w:r w:rsidR="00AE1E12" w:rsidRPr="00E7317D">
        <w:instrText>":"2","</w:instrText>
      </w:r>
      <w:r w:rsidR="00AE1E12">
        <w:rPr>
          <w:lang w:val="en-US"/>
        </w:rPr>
        <w:instrText>issued</w:instrText>
      </w:r>
      <w:r w:rsidR="00AE1E12" w:rsidRPr="00E7317D">
        <w:instrText>":{"</w:instrText>
      </w:r>
      <w:r w:rsidR="00AE1E12">
        <w:rPr>
          <w:lang w:val="en-US"/>
        </w:rPr>
        <w:instrText>date</w:instrText>
      </w:r>
      <w:r w:rsidR="00AE1E12" w:rsidRPr="00E7317D">
        <w:instrText>-</w:instrText>
      </w:r>
      <w:r w:rsidR="00AE1E12">
        <w:rPr>
          <w:lang w:val="en-US"/>
        </w:rPr>
        <w:instrText>parts</w:instrText>
      </w:r>
      <w:r w:rsidR="00AE1E12" w:rsidRPr="00E7317D">
        <w:instrText>":[["2006","7","15"]]},"</w:instrText>
      </w:r>
      <w:r w:rsidR="00AE1E12">
        <w:rPr>
          <w:lang w:val="en-US"/>
        </w:rPr>
        <w:instrText>page</w:instrText>
      </w:r>
      <w:r w:rsidR="00AE1E12" w:rsidRPr="00E7317D">
        <w:instrText>":"419-25","</w:instrText>
      </w:r>
      <w:r w:rsidR="00AE1E12">
        <w:rPr>
          <w:lang w:val="en-US"/>
        </w:rPr>
        <w:instrText>title</w:instrText>
      </w:r>
      <w:r w:rsidR="00AE1E12" w:rsidRPr="00E7317D">
        <w:instrText>":"</w:instrText>
      </w:r>
      <w:r w:rsidR="00AE1E12">
        <w:rPr>
          <w:lang w:val="en-US"/>
        </w:rPr>
        <w:instrText>Clinical</w:instrText>
      </w:r>
      <w:r w:rsidR="00AE1E12" w:rsidRPr="00E7317D">
        <w:instrText xml:space="preserve"> </w:instrText>
      </w:r>
      <w:r w:rsidR="00AE1E12">
        <w:rPr>
          <w:lang w:val="en-US"/>
        </w:rPr>
        <w:instrText>application</w:instrText>
      </w:r>
      <w:r w:rsidR="00AE1E12" w:rsidRPr="00E7317D">
        <w:instrText xml:space="preserve"> </w:instrText>
      </w:r>
      <w:r w:rsidR="00AE1E12">
        <w:rPr>
          <w:lang w:val="en-US"/>
        </w:rPr>
        <w:instrText>and</w:instrText>
      </w:r>
      <w:r w:rsidR="00AE1E12" w:rsidRPr="00E7317D">
        <w:instrText xml:space="preserve"> </w:instrText>
      </w:r>
      <w:r w:rsidR="00AE1E12">
        <w:rPr>
          <w:lang w:val="en-US"/>
        </w:rPr>
        <w:instrText>proposal</w:instrText>
      </w:r>
      <w:r w:rsidR="00AE1E12" w:rsidRPr="00E7317D">
        <w:instrText xml:space="preserve"> </w:instrText>
      </w:r>
      <w:r w:rsidR="00AE1E12">
        <w:rPr>
          <w:lang w:val="en-US"/>
        </w:rPr>
        <w:instrText>for</w:instrText>
      </w:r>
      <w:r w:rsidR="00AE1E12" w:rsidRPr="00E7317D">
        <w:instrText xml:space="preserve"> </w:instrText>
      </w:r>
      <w:r w:rsidR="00AE1E12">
        <w:rPr>
          <w:lang w:val="en-US"/>
        </w:rPr>
        <w:instrText>modification</w:instrText>
      </w:r>
      <w:r w:rsidR="00AE1E12" w:rsidRPr="00E7317D">
        <w:instrText xml:space="preserve"> </w:instrText>
      </w:r>
      <w:r w:rsidR="00AE1E12">
        <w:rPr>
          <w:lang w:val="en-US"/>
        </w:rPr>
        <w:instrText>of</w:instrText>
      </w:r>
      <w:r w:rsidR="00AE1E12" w:rsidRPr="00E7317D">
        <w:instrText xml:space="preserve"> </w:instrText>
      </w:r>
      <w:r w:rsidR="00AE1E12">
        <w:rPr>
          <w:lang w:val="en-US"/>
        </w:rPr>
        <w:instrText>the</w:instrText>
      </w:r>
      <w:r w:rsidR="00AE1E12" w:rsidRPr="00E7317D">
        <w:instrText xml:space="preserve"> </w:instrText>
      </w:r>
      <w:r w:rsidR="00AE1E12">
        <w:rPr>
          <w:lang w:val="en-US"/>
        </w:rPr>
        <w:instrText>International</w:instrText>
      </w:r>
      <w:r w:rsidR="00AE1E12" w:rsidRPr="00E7317D">
        <w:instrText xml:space="preserve"> </w:instrText>
      </w:r>
      <w:r w:rsidR="00AE1E12">
        <w:rPr>
          <w:lang w:val="en-US"/>
        </w:rPr>
        <w:instrText>Working</w:instrText>
      </w:r>
      <w:r w:rsidR="00AE1E12" w:rsidRPr="00E7317D">
        <w:instrText xml:space="preserve"> </w:instrText>
      </w:r>
      <w:r w:rsidR="00AE1E12">
        <w:rPr>
          <w:lang w:val="en-US"/>
        </w:rPr>
        <w:instrText>Group</w:instrText>
      </w:r>
      <w:r w:rsidR="00AE1E12" w:rsidRPr="00E7317D">
        <w:instrText xml:space="preserve"> (</w:instrText>
      </w:r>
      <w:r w:rsidR="00AE1E12">
        <w:rPr>
          <w:lang w:val="en-US"/>
        </w:rPr>
        <w:instrText>IWG</w:instrText>
      </w:r>
      <w:r w:rsidR="00AE1E12" w:rsidRPr="00E7317D">
        <w:instrText xml:space="preserve">) </w:instrText>
      </w:r>
      <w:r w:rsidR="00AE1E12">
        <w:rPr>
          <w:lang w:val="en-US"/>
        </w:rPr>
        <w:instrText>response</w:instrText>
      </w:r>
      <w:r w:rsidR="00AE1E12" w:rsidRPr="00E7317D">
        <w:instrText xml:space="preserve"> </w:instrText>
      </w:r>
      <w:r w:rsidR="00AE1E12">
        <w:rPr>
          <w:lang w:val="en-US"/>
        </w:rPr>
        <w:instrText>criteria</w:instrText>
      </w:r>
      <w:r w:rsidR="00AE1E12" w:rsidRPr="00E7317D">
        <w:instrText xml:space="preserve"> </w:instrText>
      </w:r>
      <w:r w:rsidR="00AE1E12">
        <w:rPr>
          <w:lang w:val="en-US"/>
        </w:rPr>
        <w:instrText>in</w:instrText>
      </w:r>
      <w:r w:rsidR="00AE1E12" w:rsidRPr="00E7317D">
        <w:instrText xml:space="preserve"> </w:instrText>
      </w:r>
      <w:r w:rsidR="00AE1E12">
        <w:rPr>
          <w:lang w:val="en-US"/>
        </w:rPr>
        <w:instrText>myelodysplasia</w:instrText>
      </w:r>
      <w:r w:rsidR="00AE1E12" w:rsidRPr="00E7317D">
        <w:instrText>.","</w:instrText>
      </w:r>
      <w:r w:rsidR="00AE1E12">
        <w:rPr>
          <w:lang w:val="en-US"/>
        </w:rPr>
        <w:instrText>type</w:instrText>
      </w:r>
      <w:r w:rsidR="00AE1E12" w:rsidRPr="00E7317D">
        <w:instrText>":"</w:instrText>
      </w:r>
      <w:r w:rsidR="00AE1E12">
        <w:rPr>
          <w:lang w:val="en-US"/>
        </w:rPr>
        <w:instrText>article</w:instrText>
      </w:r>
      <w:r w:rsidR="00AE1E12" w:rsidRPr="00E7317D">
        <w:instrText>-</w:instrText>
      </w:r>
      <w:r w:rsidR="00AE1E12">
        <w:rPr>
          <w:lang w:val="en-US"/>
        </w:rPr>
        <w:instrText>journal</w:instrText>
      </w:r>
      <w:r w:rsidR="00AE1E12" w:rsidRPr="00E7317D">
        <w:instrText>","</w:instrText>
      </w:r>
      <w:r w:rsidR="00AE1E12">
        <w:rPr>
          <w:lang w:val="en-US"/>
        </w:rPr>
        <w:instrText>volume</w:instrText>
      </w:r>
      <w:r w:rsidR="00AE1E12" w:rsidRPr="00E7317D">
        <w:instrText>":"108"},"</w:instrText>
      </w:r>
      <w:r w:rsidR="00AE1E12">
        <w:rPr>
          <w:lang w:val="en-US"/>
        </w:rPr>
        <w:instrText>uris</w:instrText>
      </w:r>
      <w:r w:rsidR="00AE1E12" w:rsidRPr="00E7317D">
        <w:instrText>":["</w:instrText>
      </w:r>
      <w:r w:rsidR="00AE1E12">
        <w:rPr>
          <w:lang w:val="en-US"/>
        </w:rPr>
        <w:instrText>http</w:instrText>
      </w:r>
      <w:r w:rsidR="00AE1E12" w:rsidRPr="00E7317D">
        <w:instrText>://</w:instrText>
      </w:r>
      <w:r w:rsidR="00AE1E12">
        <w:rPr>
          <w:lang w:val="en-US"/>
        </w:rPr>
        <w:instrText>www</w:instrText>
      </w:r>
      <w:r w:rsidR="00AE1E12" w:rsidRPr="00E7317D">
        <w:instrText>.</w:instrText>
      </w:r>
      <w:r w:rsidR="00AE1E12">
        <w:rPr>
          <w:lang w:val="en-US"/>
        </w:rPr>
        <w:instrText>mendeley</w:instrText>
      </w:r>
      <w:r w:rsidR="00AE1E12" w:rsidRPr="00E7317D">
        <w:instrText>.</w:instrText>
      </w:r>
      <w:r w:rsidR="00AE1E12">
        <w:rPr>
          <w:lang w:val="en-US"/>
        </w:rPr>
        <w:instrText>com</w:instrText>
      </w:r>
      <w:r w:rsidR="00AE1E12" w:rsidRPr="00E7317D">
        <w:instrText>/</w:instrText>
      </w:r>
      <w:r w:rsidR="00AE1E12">
        <w:rPr>
          <w:lang w:val="en-US"/>
        </w:rPr>
        <w:instrText>documents</w:instrText>
      </w:r>
      <w:r w:rsidR="00AE1E12" w:rsidRPr="00E7317D">
        <w:instrText>/?</w:instrText>
      </w:r>
      <w:r w:rsidR="00AE1E12">
        <w:rPr>
          <w:lang w:val="en-US"/>
        </w:rPr>
        <w:instrText>uuid</w:instrText>
      </w:r>
      <w:r w:rsidR="00AE1E12" w:rsidRPr="00E7317D">
        <w:instrText>=</w:instrText>
      </w:r>
      <w:r w:rsidR="00AE1E12">
        <w:rPr>
          <w:lang w:val="en-US"/>
        </w:rPr>
        <w:instrText>b</w:instrText>
      </w:r>
      <w:r w:rsidR="00AE1E12" w:rsidRPr="00E7317D">
        <w:instrText>6826143-5</w:instrText>
      </w:r>
      <w:r w:rsidR="00AE1E12">
        <w:rPr>
          <w:lang w:val="en-US"/>
        </w:rPr>
        <w:instrText>ffa</w:instrText>
      </w:r>
      <w:r w:rsidR="00AE1E12" w:rsidRPr="00E7317D">
        <w:instrText>-3</w:instrText>
      </w:r>
      <w:r w:rsidR="00AE1E12">
        <w:rPr>
          <w:lang w:val="en-US"/>
        </w:rPr>
        <w:instrText>b</w:instrText>
      </w:r>
      <w:r w:rsidR="00AE1E12" w:rsidRPr="00E7317D">
        <w:instrText>6</w:instrText>
      </w:r>
      <w:r w:rsidR="00AE1E12">
        <w:rPr>
          <w:lang w:val="en-US"/>
        </w:rPr>
        <w:instrText>f</w:instrText>
      </w:r>
      <w:r w:rsidR="00AE1E12" w:rsidRPr="00E7317D">
        <w:instrText>-86</w:instrText>
      </w:r>
      <w:r w:rsidR="00AE1E12">
        <w:rPr>
          <w:lang w:val="en-US"/>
        </w:rPr>
        <w:instrText>d</w:instrText>
      </w:r>
      <w:r w:rsidR="00AE1E12" w:rsidRPr="00E7317D">
        <w:instrText>3-9</w:instrText>
      </w:r>
      <w:r w:rsidR="00AE1E12">
        <w:rPr>
          <w:lang w:val="en-US"/>
        </w:rPr>
        <w:instrText>ff</w:instrText>
      </w:r>
      <w:r w:rsidR="00AE1E12" w:rsidRPr="00E7317D">
        <w:instrText>3285389</w:instrText>
      </w:r>
      <w:r w:rsidR="00AE1E12">
        <w:rPr>
          <w:lang w:val="en-US"/>
        </w:rPr>
        <w:instrText>b</w:instrText>
      </w:r>
      <w:r w:rsidR="00AE1E12" w:rsidRPr="00E7317D">
        <w:instrText>0"]}],"</w:instrText>
      </w:r>
      <w:r w:rsidR="00AE1E12">
        <w:rPr>
          <w:lang w:val="en-US"/>
        </w:rPr>
        <w:instrText>mendeley</w:instrText>
      </w:r>
      <w:r w:rsidR="00AE1E12" w:rsidRPr="00E7317D">
        <w:instrText>":{"</w:instrText>
      </w:r>
      <w:r w:rsidR="00AE1E12">
        <w:rPr>
          <w:lang w:val="en-US"/>
        </w:rPr>
        <w:instrText>formattedCitation</w:instrText>
      </w:r>
      <w:r w:rsidR="00AE1E12" w:rsidRPr="00E7317D">
        <w:instrText>":"[65]","</w:instrText>
      </w:r>
      <w:r w:rsidR="00AE1E12">
        <w:rPr>
          <w:lang w:val="en-US"/>
        </w:rPr>
        <w:instrText>plainTextFormattedCitation</w:instrText>
      </w:r>
      <w:r w:rsidR="00AE1E12" w:rsidRPr="00E7317D">
        <w:instrText>":"[65]","</w:instrText>
      </w:r>
      <w:r w:rsidR="00AE1E12">
        <w:rPr>
          <w:lang w:val="en-US"/>
        </w:rPr>
        <w:instrText>previouslyFormattedCitation</w:instrText>
      </w:r>
      <w:r w:rsidR="00AE1E12" w:rsidRPr="00E7317D">
        <w:instrText>":"[65]"},"</w:instrText>
      </w:r>
      <w:r w:rsidR="00AE1E12">
        <w:rPr>
          <w:lang w:val="en-US"/>
        </w:rPr>
        <w:instrText>properties</w:instrText>
      </w:r>
      <w:r w:rsidR="00AE1E12" w:rsidRPr="00E7317D">
        <w:instrText>":{"</w:instrText>
      </w:r>
      <w:r w:rsidR="00AE1E12">
        <w:rPr>
          <w:lang w:val="en-US"/>
        </w:rPr>
        <w:instrText>noteIndex</w:instrText>
      </w:r>
      <w:r w:rsidR="00AE1E12" w:rsidRPr="00E7317D">
        <w:instrText>":0},"</w:instrText>
      </w:r>
      <w:r w:rsidR="00AE1E12">
        <w:rPr>
          <w:lang w:val="en-US"/>
        </w:rPr>
        <w:instrText>schema</w:instrText>
      </w:r>
      <w:r w:rsidR="00AE1E12" w:rsidRPr="00E7317D">
        <w:instrText>":"</w:instrText>
      </w:r>
      <w:r w:rsidR="00AE1E12">
        <w:rPr>
          <w:lang w:val="en-US"/>
        </w:rPr>
        <w:instrText>https</w:instrText>
      </w:r>
      <w:r w:rsidR="00AE1E12" w:rsidRPr="00E7317D">
        <w:instrText>://</w:instrText>
      </w:r>
      <w:r w:rsidR="00AE1E12">
        <w:rPr>
          <w:lang w:val="en-US"/>
        </w:rPr>
        <w:instrText>github</w:instrText>
      </w:r>
      <w:r w:rsidR="00AE1E12" w:rsidRPr="00E7317D">
        <w:instrText>.</w:instrText>
      </w:r>
      <w:r w:rsidR="00AE1E12">
        <w:rPr>
          <w:lang w:val="en-US"/>
        </w:rPr>
        <w:instrText>com</w:instrText>
      </w:r>
      <w:r w:rsidR="00AE1E12" w:rsidRPr="00E7317D">
        <w:instrText>/</w:instrText>
      </w:r>
      <w:r w:rsidR="00AE1E12">
        <w:rPr>
          <w:lang w:val="en-US"/>
        </w:rPr>
        <w:instrText>citation</w:instrText>
      </w:r>
      <w:r w:rsidR="00AE1E12" w:rsidRPr="00E7317D">
        <w:instrText>-</w:instrText>
      </w:r>
      <w:r w:rsidR="00AE1E12">
        <w:rPr>
          <w:lang w:val="en-US"/>
        </w:rPr>
        <w:instrText>style</w:instrText>
      </w:r>
      <w:r w:rsidR="00AE1E12" w:rsidRPr="00E7317D">
        <w:instrText>-</w:instrText>
      </w:r>
      <w:r w:rsidR="00AE1E12">
        <w:rPr>
          <w:lang w:val="en-US"/>
        </w:rPr>
        <w:instrText>language</w:instrText>
      </w:r>
      <w:r w:rsidR="00AE1E12" w:rsidRPr="00E7317D">
        <w:instrText>/</w:instrText>
      </w:r>
      <w:r w:rsidR="00AE1E12">
        <w:rPr>
          <w:lang w:val="en-US"/>
        </w:rPr>
        <w:instrText>schema</w:instrText>
      </w:r>
      <w:r w:rsidR="00AE1E12" w:rsidRPr="00E7317D">
        <w:instrText>/</w:instrText>
      </w:r>
      <w:r w:rsidR="00AE1E12">
        <w:rPr>
          <w:lang w:val="en-US"/>
        </w:rPr>
        <w:instrText>raw</w:instrText>
      </w:r>
      <w:r w:rsidR="00AE1E12" w:rsidRPr="00E7317D">
        <w:instrText>/</w:instrText>
      </w:r>
      <w:r w:rsidR="00AE1E12">
        <w:rPr>
          <w:lang w:val="en-US"/>
        </w:rPr>
        <w:instrText>master</w:instrText>
      </w:r>
      <w:r w:rsidR="00AE1E12" w:rsidRPr="00E7317D">
        <w:instrText>/</w:instrText>
      </w:r>
      <w:r w:rsidR="00AE1E12">
        <w:rPr>
          <w:lang w:val="en-US"/>
        </w:rPr>
        <w:instrText>csl</w:instrText>
      </w:r>
      <w:r w:rsidR="00AE1E12" w:rsidRPr="00E7317D">
        <w:instrText>-</w:instrText>
      </w:r>
      <w:r w:rsidR="00AE1E12">
        <w:rPr>
          <w:lang w:val="en-US"/>
        </w:rPr>
        <w:instrText>citation</w:instrText>
      </w:r>
      <w:r w:rsidR="00AE1E12" w:rsidRPr="00E7317D">
        <w:instrText>.</w:instrText>
      </w:r>
      <w:r w:rsidR="00AE1E12">
        <w:rPr>
          <w:lang w:val="en-US"/>
        </w:rPr>
        <w:instrText>json</w:instrText>
      </w:r>
      <w:r w:rsidR="00AE1E12" w:rsidRPr="00E7317D">
        <w:instrText>"}</w:instrText>
      </w:r>
      <w:r>
        <w:rPr>
          <w:lang w:val="en-US"/>
        </w:rPr>
        <w:fldChar w:fldCharType="separate"/>
      </w:r>
      <w:r w:rsidR="00AE1E12" w:rsidRPr="00AE1E12">
        <w:rPr>
          <w:noProof/>
        </w:rPr>
        <w:t>[65]</w:t>
      </w:r>
      <w:r>
        <w:rPr>
          <w:lang w:val="en-US"/>
        </w:rPr>
        <w:fldChar w:fldCharType="end"/>
      </w:r>
    </w:p>
    <w:p w14:paraId="4D83D3ED" w14:textId="77777777" w:rsidR="0025128E" w:rsidRPr="0025128E" w:rsidRDefault="0025128E" w:rsidP="00F860F1">
      <w:r>
        <w:t>Тип</w:t>
      </w:r>
      <w:r w:rsidRPr="00086CF8">
        <w:t xml:space="preserve">: </w:t>
      </w:r>
      <w:r w:rsidRPr="00AE1E12">
        <w:t>друг</w:t>
      </w:r>
      <w:r>
        <w:t>ое – критерии оценки ответа на лечение</w:t>
      </w:r>
    </w:p>
    <w:p w14:paraId="556615A5" w14:textId="77777777" w:rsidR="0025128E" w:rsidRDefault="0025128E" w:rsidP="00F860F1">
      <w:r>
        <w:t xml:space="preserve">Назначение: </w:t>
      </w:r>
      <w:r w:rsidRPr="00AE1E12">
        <w:t>оценка</w:t>
      </w:r>
      <w:r>
        <w:t xml:space="preserve"> эффективности терапии МДС </w:t>
      </w:r>
    </w:p>
    <w:p w14:paraId="48594005" w14:textId="77777777" w:rsidR="0025128E" w:rsidRDefault="0025128E" w:rsidP="00F860F1">
      <w:r>
        <w:t xml:space="preserve">Содержание и интерпретация: </w:t>
      </w:r>
    </w:p>
    <w:p w14:paraId="22F9DAEE" w14:textId="77777777" w:rsidR="0025128E" w:rsidRDefault="0025128E" w:rsidP="000A34C7">
      <w:pPr>
        <w:ind w:firstLine="708"/>
        <w:rPr>
          <w:b/>
          <w:bCs/>
          <w:iCs/>
          <w:szCs w:val="24"/>
        </w:rPr>
      </w:pPr>
    </w:p>
    <w:p w14:paraId="6650B181" w14:textId="77777777" w:rsidR="00F20CFD" w:rsidRPr="006A377C" w:rsidRDefault="00F20CFD" w:rsidP="000A34C7">
      <w:pPr>
        <w:ind w:firstLine="708"/>
        <w:rPr>
          <w:b/>
          <w:bCs/>
          <w:iCs/>
          <w:szCs w:val="24"/>
        </w:rPr>
      </w:pPr>
      <w:r w:rsidRPr="006A377C">
        <w:rPr>
          <w:b/>
          <w:bCs/>
          <w:iCs/>
          <w:szCs w:val="24"/>
        </w:rPr>
        <w:t xml:space="preserve">Оценка эффективности терапии (IWG 2006) </w:t>
      </w:r>
      <w:r w:rsidRPr="006A377C">
        <w:rPr>
          <w:b/>
          <w:bCs/>
          <w:iCs/>
          <w:szCs w:val="24"/>
        </w:rPr>
        <w:fldChar w:fldCharType="begin" w:fldLock="1"/>
      </w:r>
      <w:r w:rsidR="00ED6675">
        <w:rPr>
          <w:b/>
          <w:bCs/>
          <w:iCs/>
          <w:szCs w:val="24"/>
        </w:rPr>
        <w:instrText>ADDIN CSL_CITATION {"citationItems":[{"id":"ITEM-1","itemData":{"DOI":"10.1002/ajh.24102","ISSN":"1096-8652","PMID":"26294090","abstract":"DISEASE OVERVIEW The myelodysplastic syndromes (MDS) are a very heterogeneous group of myeloid disorders characterized by peripheral blood cytopenias and increased risk of transformation to acute myelogenous leukemia (AML). MDS occurs more frequently in older males and in individuals with prior exposure to cytotoxic therapy. DIAGNOSIS Diagnosis of MDS is based on morphological evidence of dysplasia upon visual examination of a bone marrow aspirate and biopsy. Information obtained from additional studies such as karyotype, flow cytometry, or molecular genetics is complementary but not diagnostic. Risk-stratification: Prognosis of patients with MDS can be calculated using a number of scoring systems. In general, all these scoring systems include analysis of peripheral cytopenias, percentage of blasts in the bone marrow, and cytogenetic characteristics. The most commonly used system still is probably the International Prognostic Scoring System (IPSS). IPSS is being replaced by the new revised score IPSS-R. RISK-ADAPTED THERAPY Therapy is selected based on risk, transfusion needs, percent of bone marrow blasts, and more recently cytogenetic and mutational profiles. Goals of therapy are different in lower risk patients than in higher risk. In lower risk, the goal is to decrease transfusion needs and transformation to higher risk disease or AML, as well as to improve survival. In higher risk, the goal is to prolong survival. Current available therapies include growth factor support, lenalidomide, hypomethylating agents, intensive chemotherapy, and allogeneic stem cell transplantation. The use of lenalidomide has significant clinical activity in patients with lower risk disease, anemia, and a chromosome 5 alteration. 5-Azacitidine and decitabine have activity in higher risk MDS. 5-Azacitidine has been shown to improve survival in higher risk MDS. A number of new molecular lesions have been described in MDS that may serve as new therapeutic targets or aid in the selection of currently available agents. Additional supportive care measures may include the use of prophylactic antibiotics and iron chelation. Management of progressive or refractory disease: At the present time there are no approved interventions for patients with progressive or refractory disease particularly after hypomethylating based therapy. Options include participation in a clinical trial or cytarabine based therapy and stem cell transplantation.","author":[{"dropping-particle":"","family":"Garcia-Manero","given":"Guillermo","non-dropping-particle":"","parse-names":false,"suffix":""}],"container-title":"American journal of hematology","id":"ITEM-1","issue":"9","issued":{"date-parts":[["2015","9"]]},"page":"831-41","title":"Myelodysplastic syndromes: 2015 Update on diagnosis, risk-stratification and management.","type":"article-journal","volume":"90"},"uris":["http://www.mendeley.com/documents/?uuid=f71f5ed5-dc93-3fd3-b1f1-68c1270ac29e"]}],"mendeley":{"formattedCitation":"[3]","plainTextFormattedCitation":"[3]","previouslyFormattedCitation":"[3]"},"properties":{"noteIndex":0},"schema":"https://github.com/citation-style-language/schema/raw/master/csl-citation.json"}</w:instrText>
      </w:r>
      <w:r w:rsidRPr="006A377C">
        <w:rPr>
          <w:b/>
          <w:bCs/>
          <w:iCs/>
          <w:szCs w:val="24"/>
        </w:rPr>
        <w:fldChar w:fldCharType="separate"/>
      </w:r>
      <w:r w:rsidRPr="006A377C">
        <w:rPr>
          <w:b/>
          <w:bCs/>
          <w:iCs/>
          <w:noProof/>
          <w:szCs w:val="24"/>
        </w:rPr>
        <w:t>[3]</w:t>
      </w:r>
      <w:r w:rsidRPr="006A377C">
        <w:rPr>
          <w:b/>
          <w:bCs/>
          <w:iCs/>
          <w:szCs w:val="24"/>
        </w:rPr>
        <w:fldChar w:fldCharType="end"/>
      </w:r>
    </w:p>
    <w:tbl>
      <w:tblPr>
        <w:tblW w:w="9506" w:type="dxa"/>
        <w:tblInd w:w="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A0" w:firstRow="1" w:lastRow="0" w:firstColumn="1" w:lastColumn="0" w:noHBand="0" w:noVBand="0"/>
      </w:tblPr>
      <w:tblGrid>
        <w:gridCol w:w="2369"/>
        <w:gridCol w:w="7137"/>
      </w:tblGrid>
      <w:tr w:rsidR="00F20CFD" w:rsidRPr="001E3EF7" w14:paraId="6E8FE620" w14:textId="77777777">
        <w:trPr>
          <w:trHeight w:val="525"/>
        </w:trPr>
        <w:tc>
          <w:tcPr>
            <w:tcW w:w="2369" w:type="dxa"/>
            <w:tcBorders>
              <w:top w:val="single" w:sz="6" w:space="0" w:color="000000"/>
              <w:left w:val="single" w:sz="6" w:space="0" w:color="000000"/>
              <w:bottom w:val="single" w:sz="6" w:space="0" w:color="000000"/>
              <w:right w:val="single" w:sz="6" w:space="0" w:color="000000"/>
            </w:tcBorders>
          </w:tcPr>
          <w:p w14:paraId="40B681EC" w14:textId="77777777" w:rsidR="00F20CFD" w:rsidRPr="008D7156" w:rsidRDefault="00F20CFD" w:rsidP="00EA7BF5">
            <w:pPr>
              <w:ind w:firstLine="709"/>
              <w:rPr>
                <w:b/>
                <w:sz w:val="22"/>
                <w:szCs w:val="24"/>
              </w:rPr>
            </w:pPr>
            <w:r w:rsidRPr="008D7156">
              <w:rPr>
                <w:b/>
                <w:sz w:val="22"/>
                <w:szCs w:val="24"/>
              </w:rPr>
              <w:t>Вид ответа</w:t>
            </w:r>
          </w:p>
        </w:tc>
        <w:tc>
          <w:tcPr>
            <w:tcW w:w="7137" w:type="dxa"/>
            <w:tcBorders>
              <w:top w:val="single" w:sz="6" w:space="0" w:color="000000"/>
              <w:left w:val="single" w:sz="6" w:space="0" w:color="000000"/>
              <w:bottom w:val="single" w:sz="6" w:space="0" w:color="000000"/>
              <w:right w:val="single" w:sz="6" w:space="0" w:color="000000"/>
            </w:tcBorders>
          </w:tcPr>
          <w:p w14:paraId="34A30F54" w14:textId="77777777" w:rsidR="00F20CFD" w:rsidRPr="008D7156" w:rsidRDefault="00F20CFD" w:rsidP="00EA7BF5">
            <w:pPr>
              <w:ind w:firstLine="709"/>
              <w:rPr>
                <w:b/>
                <w:sz w:val="22"/>
                <w:szCs w:val="24"/>
              </w:rPr>
            </w:pPr>
            <w:r w:rsidRPr="008D7156">
              <w:rPr>
                <w:b/>
                <w:sz w:val="22"/>
                <w:szCs w:val="24"/>
              </w:rPr>
              <w:t>Критерии</w:t>
            </w:r>
          </w:p>
        </w:tc>
      </w:tr>
      <w:tr w:rsidR="00F20CFD" w:rsidRPr="001E3EF7" w14:paraId="4CAC1389" w14:textId="77777777">
        <w:trPr>
          <w:trHeight w:val="1335"/>
        </w:trPr>
        <w:tc>
          <w:tcPr>
            <w:tcW w:w="2369" w:type="dxa"/>
            <w:tcBorders>
              <w:top w:val="single" w:sz="6" w:space="0" w:color="000000"/>
              <w:left w:val="single" w:sz="6" w:space="0" w:color="000000"/>
              <w:bottom w:val="single" w:sz="6" w:space="0" w:color="000000"/>
              <w:right w:val="single" w:sz="6" w:space="0" w:color="000000"/>
            </w:tcBorders>
          </w:tcPr>
          <w:p w14:paraId="217C46F3" w14:textId="77777777" w:rsidR="00F20CFD" w:rsidRPr="008D7156" w:rsidRDefault="00F20CFD" w:rsidP="00EA7BF5">
            <w:pPr>
              <w:rPr>
                <w:sz w:val="22"/>
                <w:szCs w:val="24"/>
              </w:rPr>
            </w:pPr>
            <w:r w:rsidRPr="008D7156">
              <w:rPr>
                <w:sz w:val="22"/>
                <w:szCs w:val="24"/>
              </w:rPr>
              <w:t>Полная ремиссия</w:t>
            </w:r>
          </w:p>
        </w:tc>
        <w:tc>
          <w:tcPr>
            <w:tcW w:w="7137" w:type="dxa"/>
            <w:tcBorders>
              <w:top w:val="single" w:sz="6" w:space="0" w:color="000000"/>
              <w:left w:val="single" w:sz="6" w:space="0" w:color="000000"/>
              <w:bottom w:val="single" w:sz="6" w:space="0" w:color="000000"/>
              <w:right w:val="single" w:sz="6" w:space="0" w:color="000000"/>
            </w:tcBorders>
          </w:tcPr>
          <w:p w14:paraId="37BA8C5A" w14:textId="77777777" w:rsidR="00F20CFD" w:rsidRPr="008D7156" w:rsidRDefault="00F20CFD" w:rsidP="000A34C7">
            <w:pPr>
              <w:rPr>
                <w:sz w:val="22"/>
                <w:szCs w:val="24"/>
              </w:rPr>
            </w:pPr>
            <w:r w:rsidRPr="008D7156">
              <w:rPr>
                <w:sz w:val="22"/>
                <w:szCs w:val="24"/>
              </w:rPr>
              <w:t>КМ: 5% и менее бластных клеток с нормальным созреванием всех типов клеточных линий; возможна персистирующая дисплазия</w:t>
            </w:r>
          </w:p>
          <w:p w14:paraId="0AA73BC1" w14:textId="77777777" w:rsidR="00F20CFD" w:rsidRPr="008D7156" w:rsidRDefault="00F20CFD" w:rsidP="000A34C7">
            <w:pPr>
              <w:rPr>
                <w:sz w:val="22"/>
                <w:szCs w:val="24"/>
              </w:rPr>
            </w:pPr>
            <w:r w:rsidRPr="008D7156">
              <w:rPr>
                <w:sz w:val="22"/>
                <w:szCs w:val="24"/>
              </w:rPr>
              <w:t>Периферическая кровь: Hb ≥110 г/л, тромбоциты ≥100×10</w:t>
            </w:r>
            <w:r w:rsidRPr="008D7156">
              <w:rPr>
                <w:sz w:val="22"/>
                <w:szCs w:val="24"/>
                <w:vertAlign w:val="superscript"/>
              </w:rPr>
              <w:t>9</w:t>
            </w:r>
            <w:r w:rsidRPr="008D7156">
              <w:rPr>
                <w:sz w:val="22"/>
                <w:szCs w:val="24"/>
              </w:rPr>
              <w:t>/л, нейтрофилы ≥1,0×10</w:t>
            </w:r>
            <w:r w:rsidRPr="008D7156">
              <w:rPr>
                <w:sz w:val="22"/>
                <w:szCs w:val="24"/>
                <w:vertAlign w:val="superscript"/>
              </w:rPr>
              <w:t>9</w:t>
            </w:r>
            <w:r w:rsidRPr="008D7156">
              <w:rPr>
                <w:sz w:val="22"/>
                <w:szCs w:val="24"/>
              </w:rPr>
              <w:t>/л, бластные клетки 0%</w:t>
            </w:r>
          </w:p>
        </w:tc>
      </w:tr>
      <w:tr w:rsidR="00F20CFD" w:rsidRPr="001E3EF7" w14:paraId="6E828ACA" w14:textId="77777777">
        <w:trPr>
          <w:trHeight w:val="1275"/>
        </w:trPr>
        <w:tc>
          <w:tcPr>
            <w:tcW w:w="2369" w:type="dxa"/>
            <w:tcBorders>
              <w:top w:val="single" w:sz="6" w:space="0" w:color="000000"/>
              <w:left w:val="single" w:sz="6" w:space="0" w:color="000000"/>
              <w:bottom w:val="single" w:sz="6" w:space="0" w:color="000000"/>
              <w:right w:val="single" w:sz="6" w:space="0" w:color="000000"/>
            </w:tcBorders>
          </w:tcPr>
          <w:p w14:paraId="00763FFF" w14:textId="77777777" w:rsidR="00F20CFD" w:rsidRPr="008D7156" w:rsidRDefault="00F20CFD" w:rsidP="00EA7BF5">
            <w:pPr>
              <w:rPr>
                <w:sz w:val="22"/>
                <w:szCs w:val="24"/>
              </w:rPr>
            </w:pPr>
            <w:r w:rsidRPr="008D7156">
              <w:rPr>
                <w:sz w:val="22"/>
                <w:szCs w:val="24"/>
              </w:rPr>
              <w:t>Частичная ремиссия</w:t>
            </w:r>
          </w:p>
        </w:tc>
        <w:tc>
          <w:tcPr>
            <w:tcW w:w="7137" w:type="dxa"/>
            <w:tcBorders>
              <w:top w:val="single" w:sz="6" w:space="0" w:color="000000"/>
              <w:left w:val="single" w:sz="6" w:space="0" w:color="000000"/>
              <w:bottom w:val="single" w:sz="6" w:space="0" w:color="000000"/>
              <w:right w:val="single" w:sz="6" w:space="0" w:color="000000"/>
            </w:tcBorders>
          </w:tcPr>
          <w:p w14:paraId="5381C937" w14:textId="77777777" w:rsidR="00F20CFD" w:rsidRPr="008D7156" w:rsidRDefault="00F20CFD" w:rsidP="000A34C7">
            <w:pPr>
              <w:rPr>
                <w:sz w:val="22"/>
                <w:szCs w:val="24"/>
              </w:rPr>
            </w:pPr>
            <w:r w:rsidRPr="008D7156">
              <w:rPr>
                <w:sz w:val="22"/>
                <w:szCs w:val="24"/>
              </w:rPr>
              <w:t>Все критерии полной ремиссии соблюдаются за исключением того, что количество бластных клеток в КМ снизилось на 50% и более от исходного значения, но остается более 5%.</w:t>
            </w:r>
          </w:p>
          <w:p w14:paraId="351129EF" w14:textId="77777777" w:rsidR="00F20CFD" w:rsidRPr="008D7156" w:rsidRDefault="00F20CFD" w:rsidP="000A34C7">
            <w:pPr>
              <w:rPr>
                <w:sz w:val="22"/>
                <w:szCs w:val="24"/>
              </w:rPr>
            </w:pPr>
            <w:r w:rsidRPr="008D7156">
              <w:rPr>
                <w:sz w:val="22"/>
                <w:szCs w:val="24"/>
              </w:rPr>
              <w:t>Клеточность и морфология не актуальны</w:t>
            </w:r>
          </w:p>
        </w:tc>
      </w:tr>
      <w:tr w:rsidR="00F20CFD" w:rsidRPr="001E3EF7" w14:paraId="5A68B965" w14:textId="77777777">
        <w:trPr>
          <w:trHeight w:val="1275"/>
        </w:trPr>
        <w:tc>
          <w:tcPr>
            <w:tcW w:w="2369" w:type="dxa"/>
            <w:tcBorders>
              <w:top w:val="single" w:sz="6" w:space="0" w:color="000000"/>
              <w:left w:val="single" w:sz="6" w:space="0" w:color="000000"/>
              <w:bottom w:val="single" w:sz="6" w:space="0" w:color="000000"/>
              <w:right w:val="single" w:sz="6" w:space="0" w:color="000000"/>
            </w:tcBorders>
          </w:tcPr>
          <w:p w14:paraId="211366D7" w14:textId="77777777" w:rsidR="00F20CFD" w:rsidRPr="008D7156" w:rsidRDefault="00F20CFD" w:rsidP="00EA7BF5">
            <w:pPr>
              <w:rPr>
                <w:sz w:val="22"/>
                <w:szCs w:val="24"/>
              </w:rPr>
            </w:pPr>
            <w:r w:rsidRPr="008D7156">
              <w:rPr>
                <w:sz w:val="22"/>
                <w:szCs w:val="24"/>
              </w:rPr>
              <w:t>Костно-мозговая ремиссия</w:t>
            </w:r>
          </w:p>
        </w:tc>
        <w:tc>
          <w:tcPr>
            <w:tcW w:w="7137" w:type="dxa"/>
            <w:tcBorders>
              <w:top w:val="single" w:sz="6" w:space="0" w:color="000000"/>
              <w:left w:val="single" w:sz="6" w:space="0" w:color="000000"/>
              <w:bottom w:val="single" w:sz="6" w:space="0" w:color="000000"/>
              <w:right w:val="single" w:sz="6" w:space="0" w:color="000000"/>
            </w:tcBorders>
          </w:tcPr>
          <w:p w14:paraId="005CF889" w14:textId="77777777" w:rsidR="00F20CFD" w:rsidRPr="008D7156" w:rsidRDefault="00F20CFD" w:rsidP="000A34C7">
            <w:pPr>
              <w:rPr>
                <w:sz w:val="22"/>
                <w:szCs w:val="24"/>
              </w:rPr>
            </w:pPr>
            <w:r w:rsidRPr="008D7156">
              <w:rPr>
                <w:sz w:val="22"/>
                <w:szCs w:val="24"/>
              </w:rPr>
              <w:t>КМ: 5% и менее бластных клеток и их количество в процессе терапии снизилось на 50% и более от исходного значения</w:t>
            </w:r>
          </w:p>
          <w:p w14:paraId="09B75C9D" w14:textId="77777777" w:rsidR="00F20CFD" w:rsidRPr="008D7156" w:rsidRDefault="00F20CFD" w:rsidP="000A34C7">
            <w:pPr>
              <w:rPr>
                <w:sz w:val="22"/>
                <w:szCs w:val="24"/>
              </w:rPr>
            </w:pPr>
            <w:r w:rsidRPr="008D7156">
              <w:rPr>
                <w:sz w:val="22"/>
                <w:szCs w:val="24"/>
              </w:rPr>
              <w:t>Периферическая кровь: если наблюдается гематологическое улучшение, его следует добавлять к костно-мозговому ответу</w:t>
            </w:r>
          </w:p>
        </w:tc>
      </w:tr>
      <w:tr w:rsidR="00F20CFD" w:rsidRPr="001E3EF7" w14:paraId="246C5127" w14:textId="77777777">
        <w:trPr>
          <w:trHeight w:val="720"/>
        </w:trPr>
        <w:tc>
          <w:tcPr>
            <w:tcW w:w="2369" w:type="dxa"/>
            <w:tcBorders>
              <w:top w:val="single" w:sz="6" w:space="0" w:color="000000"/>
              <w:left w:val="single" w:sz="6" w:space="0" w:color="000000"/>
              <w:bottom w:val="single" w:sz="6" w:space="0" w:color="000000"/>
              <w:right w:val="single" w:sz="6" w:space="0" w:color="000000"/>
            </w:tcBorders>
          </w:tcPr>
          <w:p w14:paraId="7E9D2F0C" w14:textId="77777777" w:rsidR="00F20CFD" w:rsidRPr="008D7156" w:rsidRDefault="00F20CFD" w:rsidP="00EA7BF5">
            <w:pPr>
              <w:rPr>
                <w:sz w:val="22"/>
                <w:szCs w:val="24"/>
              </w:rPr>
            </w:pPr>
            <w:r w:rsidRPr="008D7156">
              <w:rPr>
                <w:sz w:val="22"/>
                <w:szCs w:val="24"/>
              </w:rPr>
              <w:t>Стабилизация</w:t>
            </w:r>
          </w:p>
        </w:tc>
        <w:tc>
          <w:tcPr>
            <w:tcW w:w="7137" w:type="dxa"/>
            <w:tcBorders>
              <w:top w:val="single" w:sz="6" w:space="0" w:color="000000"/>
              <w:left w:val="single" w:sz="6" w:space="0" w:color="000000"/>
              <w:bottom w:val="single" w:sz="6" w:space="0" w:color="000000"/>
              <w:right w:val="single" w:sz="6" w:space="0" w:color="000000"/>
            </w:tcBorders>
          </w:tcPr>
          <w:p w14:paraId="6F22C855" w14:textId="77777777" w:rsidR="00F20CFD" w:rsidRPr="008D7156" w:rsidRDefault="00F20CFD" w:rsidP="000A34C7">
            <w:pPr>
              <w:rPr>
                <w:sz w:val="22"/>
                <w:szCs w:val="24"/>
              </w:rPr>
            </w:pPr>
            <w:r w:rsidRPr="008D7156">
              <w:rPr>
                <w:sz w:val="22"/>
                <w:szCs w:val="24"/>
              </w:rPr>
              <w:t>Отсутствие частичной ремиссии, но нет признаков прогрессирования в течение более 8 недель</w:t>
            </w:r>
          </w:p>
        </w:tc>
      </w:tr>
      <w:tr w:rsidR="00F20CFD" w:rsidRPr="001E3EF7" w14:paraId="088DB0F8" w14:textId="77777777">
        <w:trPr>
          <w:trHeight w:val="1110"/>
        </w:trPr>
        <w:tc>
          <w:tcPr>
            <w:tcW w:w="2369" w:type="dxa"/>
            <w:tcBorders>
              <w:top w:val="single" w:sz="6" w:space="0" w:color="000000"/>
              <w:left w:val="single" w:sz="6" w:space="0" w:color="000000"/>
              <w:bottom w:val="single" w:sz="6" w:space="0" w:color="000000"/>
              <w:right w:val="single" w:sz="6" w:space="0" w:color="000000"/>
            </w:tcBorders>
          </w:tcPr>
          <w:p w14:paraId="6A720AC6" w14:textId="77777777" w:rsidR="00F20CFD" w:rsidRPr="008D7156" w:rsidRDefault="00F20CFD" w:rsidP="00EA7BF5">
            <w:pPr>
              <w:rPr>
                <w:sz w:val="22"/>
                <w:szCs w:val="24"/>
              </w:rPr>
            </w:pPr>
            <w:r w:rsidRPr="008D7156">
              <w:rPr>
                <w:sz w:val="22"/>
                <w:szCs w:val="24"/>
              </w:rPr>
              <w:t>Без эффекта</w:t>
            </w:r>
          </w:p>
        </w:tc>
        <w:tc>
          <w:tcPr>
            <w:tcW w:w="7137" w:type="dxa"/>
            <w:tcBorders>
              <w:top w:val="single" w:sz="6" w:space="0" w:color="000000"/>
              <w:left w:val="single" w:sz="6" w:space="0" w:color="000000"/>
              <w:bottom w:val="single" w:sz="6" w:space="0" w:color="000000"/>
              <w:right w:val="single" w:sz="6" w:space="0" w:color="000000"/>
            </w:tcBorders>
          </w:tcPr>
          <w:p w14:paraId="34144451" w14:textId="77777777" w:rsidR="00F20CFD" w:rsidRPr="008D7156" w:rsidRDefault="00F20CFD" w:rsidP="000A34C7">
            <w:pPr>
              <w:rPr>
                <w:sz w:val="22"/>
                <w:szCs w:val="24"/>
              </w:rPr>
            </w:pPr>
            <w:r w:rsidRPr="008D7156">
              <w:rPr>
                <w:sz w:val="22"/>
                <w:szCs w:val="24"/>
              </w:rPr>
              <w:t>Летальный исход на фоне терапии или прогрессирование заболевания, характеризующиеся усугублением цитопении, увеличением количества бластных клеток в КМ или прогрессирование в более «продвинутый» морфологический вариант МДС по сравнению с тем вариантом, что был до терапии</w:t>
            </w:r>
          </w:p>
        </w:tc>
      </w:tr>
      <w:tr w:rsidR="00F20CFD" w:rsidRPr="001E3EF7" w14:paraId="7DB47723" w14:textId="77777777">
        <w:trPr>
          <w:trHeight w:val="1995"/>
        </w:trPr>
        <w:tc>
          <w:tcPr>
            <w:tcW w:w="2369" w:type="dxa"/>
            <w:tcBorders>
              <w:top w:val="single" w:sz="6" w:space="0" w:color="000000"/>
              <w:left w:val="single" w:sz="6" w:space="0" w:color="000000"/>
              <w:bottom w:val="single" w:sz="6" w:space="0" w:color="000000"/>
              <w:right w:val="single" w:sz="6" w:space="0" w:color="000000"/>
            </w:tcBorders>
          </w:tcPr>
          <w:p w14:paraId="3ECACFE5" w14:textId="77777777" w:rsidR="00F20CFD" w:rsidRPr="008D7156" w:rsidRDefault="00F20CFD" w:rsidP="00EA7BF5">
            <w:pPr>
              <w:rPr>
                <w:sz w:val="22"/>
                <w:szCs w:val="24"/>
              </w:rPr>
            </w:pPr>
            <w:r w:rsidRPr="008D7156">
              <w:rPr>
                <w:sz w:val="22"/>
                <w:szCs w:val="24"/>
              </w:rPr>
              <w:t>Рецидив после полной или частичной ремиссии</w:t>
            </w:r>
          </w:p>
        </w:tc>
        <w:tc>
          <w:tcPr>
            <w:tcW w:w="7137" w:type="dxa"/>
            <w:tcBorders>
              <w:top w:val="single" w:sz="6" w:space="0" w:color="000000"/>
              <w:left w:val="single" w:sz="6" w:space="0" w:color="000000"/>
              <w:bottom w:val="single" w:sz="6" w:space="0" w:color="000000"/>
              <w:right w:val="single" w:sz="6" w:space="0" w:color="000000"/>
            </w:tcBorders>
          </w:tcPr>
          <w:p w14:paraId="059647B5" w14:textId="77777777" w:rsidR="00F20CFD" w:rsidRPr="008D7156" w:rsidRDefault="00F20CFD" w:rsidP="000A34C7">
            <w:pPr>
              <w:rPr>
                <w:sz w:val="22"/>
                <w:szCs w:val="24"/>
              </w:rPr>
            </w:pPr>
            <w:r w:rsidRPr="008D7156">
              <w:rPr>
                <w:sz w:val="22"/>
                <w:szCs w:val="24"/>
              </w:rPr>
              <w:t>Необходимо наличие хотя бы 1 из следующих признаков:</w:t>
            </w:r>
          </w:p>
          <w:p w14:paraId="7149911D" w14:textId="77777777" w:rsidR="00F20CFD" w:rsidRPr="008D7156" w:rsidRDefault="00F20CFD" w:rsidP="000A34C7">
            <w:pPr>
              <w:ind w:left="616"/>
              <w:rPr>
                <w:sz w:val="22"/>
                <w:szCs w:val="24"/>
              </w:rPr>
            </w:pPr>
            <w:r w:rsidRPr="008D7156">
              <w:rPr>
                <w:sz w:val="22"/>
                <w:szCs w:val="24"/>
              </w:rPr>
              <w:t>– процент бластных клеток вернулся к исходному значению до лечения;</w:t>
            </w:r>
          </w:p>
          <w:p w14:paraId="2E5105BD" w14:textId="77777777" w:rsidR="00F20CFD" w:rsidRPr="008D7156" w:rsidRDefault="00F20CFD" w:rsidP="000A34C7">
            <w:pPr>
              <w:ind w:left="616"/>
              <w:rPr>
                <w:sz w:val="22"/>
                <w:szCs w:val="24"/>
              </w:rPr>
            </w:pPr>
            <w:r w:rsidRPr="008D7156">
              <w:rPr>
                <w:sz w:val="22"/>
                <w:szCs w:val="24"/>
              </w:rPr>
              <w:t>– снижение на 50% и более от максимального количества гранулоцитов или тромбоцитов во время ремиссии/ответа;</w:t>
            </w:r>
          </w:p>
          <w:p w14:paraId="7555F567" w14:textId="77777777" w:rsidR="00F20CFD" w:rsidRPr="008D7156" w:rsidRDefault="00F20CFD" w:rsidP="000A34C7">
            <w:pPr>
              <w:ind w:left="616"/>
              <w:rPr>
                <w:sz w:val="22"/>
                <w:szCs w:val="24"/>
              </w:rPr>
            </w:pPr>
            <w:r w:rsidRPr="008D7156">
              <w:rPr>
                <w:sz w:val="22"/>
                <w:szCs w:val="24"/>
              </w:rPr>
              <w:t>– снижение концентрации Hb на 15 г/л и более или присоединение трансфузионной зависимости.</w:t>
            </w:r>
          </w:p>
        </w:tc>
      </w:tr>
      <w:tr w:rsidR="00F20CFD" w:rsidRPr="001E3EF7" w14:paraId="3008E265" w14:textId="77777777">
        <w:trPr>
          <w:trHeight w:val="360"/>
        </w:trPr>
        <w:tc>
          <w:tcPr>
            <w:tcW w:w="2369" w:type="dxa"/>
            <w:tcBorders>
              <w:top w:val="single" w:sz="6" w:space="0" w:color="000000"/>
              <w:left w:val="single" w:sz="6" w:space="0" w:color="000000"/>
              <w:bottom w:val="single" w:sz="6" w:space="0" w:color="000000"/>
              <w:right w:val="single" w:sz="6" w:space="0" w:color="000000"/>
            </w:tcBorders>
          </w:tcPr>
          <w:p w14:paraId="0F4B6A56" w14:textId="77777777" w:rsidR="00F20CFD" w:rsidRPr="008D7156" w:rsidRDefault="00F20CFD" w:rsidP="00EA7BF5">
            <w:pPr>
              <w:rPr>
                <w:sz w:val="22"/>
                <w:szCs w:val="24"/>
              </w:rPr>
            </w:pPr>
            <w:r w:rsidRPr="008D7156">
              <w:rPr>
                <w:sz w:val="22"/>
                <w:szCs w:val="24"/>
              </w:rPr>
              <w:t>Цитогенетический ответ</w:t>
            </w:r>
          </w:p>
        </w:tc>
        <w:tc>
          <w:tcPr>
            <w:tcW w:w="7137" w:type="dxa"/>
            <w:tcBorders>
              <w:top w:val="single" w:sz="6" w:space="0" w:color="000000"/>
              <w:left w:val="single" w:sz="6" w:space="0" w:color="000000"/>
              <w:bottom w:val="single" w:sz="6" w:space="0" w:color="000000"/>
              <w:right w:val="single" w:sz="6" w:space="0" w:color="000000"/>
            </w:tcBorders>
          </w:tcPr>
          <w:tbl>
            <w:tblPr>
              <w:tblW w:w="7500" w:type="dxa"/>
              <w:tblInd w:w="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A0" w:firstRow="1" w:lastRow="0" w:firstColumn="1" w:lastColumn="0" w:noHBand="0" w:noVBand="0"/>
            </w:tblPr>
            <w:tblGrid>
              <w:gridCol w:w="7500"/>
            </w:tblGrid>
            <w:tr w:rsidR="00F20CFD" w:rsidRPr="001E3EF7" w14:paraId="5ADC74E7" w14:textId="77777777">
              <w:trPr>
                <w:trHeight w:val="396"/>
              </w:trPr>
              <w:tc>
                <w:tcPr>
                  <w:tcW w:w="7500" w:type="dxa"/>
                  <w:tcBorders>
                    <w:top w:val="single" w:sz="6" w:space="0" w:color="000000"/>
                    <w:left w:val="single" w:sz="6" w:space="0" w:color="000000"/>
                    <w:bottom w:val="single" w:sz="6" w:space="0" w:color="000000"/>
                    <w:right w:val="single" w:sz="6" w:space="0" w:color="000000"/>
                  </w:tcBorders>
                </w:tcPr>
                <w:p w14:paraId="5B3B1904" w14:textId="77777777" w:rsidR="00F20CFD" w:rsidRPr="008D7156" w:rsidRDefault="00F20CFD" w:rsidP="000A34C7">
                  <w:pPr>
                    <w:rPr>
                      <w:sz w:val="22"/>
                      <w:szCs w:val="24"/>
                    </w:rPr>
                  </w:pPr>
                  <w:r w:rsidRPr="008D7156">
                    <w:rPr>
                      <w:sz w:val="22"/>
                      <w:szCs w:val="24"/>
                    </w:rPr>
                    <w:t>Полный: исчезновение хромосомных изменений и отсутствие новых</w:t>
                  </w:r>
                </w:p>
                <w:p w14:paraId="053B9C01" w14:textId="77777777" w:rsidR="00F20CFD" w:rsidRPr="008D7156" w:rsidRDefault="00F20CFD" w:rsidP="000A34C7">
                  <w:pPr>
                    <w:rPr>
                      <w:sz w:val="22"/>
                      <w:szCs w:val="24"/>
                    </w:rPr>
                  </w:pPr>
                  <w:r w:rsidRPr="008D7156">
                    <w:rPr>
                      <w:sz w:val="22"/>
                      <w:szCs w:val="24"/>
                    </w:rPr>
                    <w:t>Частичный: уменьшение количества клеток с хромосомными нарушениями минимум на 50%</w:t>
                  </w:r>
                </w:p>
              </w:tc>
            </w:tr>
          </w:tbl>
          <w:p w14:paraId="567DB801" w14:textId="77777777" w:rsidR="00F20CFD" w:rsidRPr="008D7156" w:rsidRDefault="00F20CFD" w:rsidP="00EA7BF5">
            <w:pPr>
              <w:ind w:firstLine="709"/>
              <w:rPr>
                <w:sz w:val="22"/>
                <w:szCs w:val="24"/>
              </w:rPr>
            </w:pPr>
          </w:p>
        </w:tc>
      </w:tr>
      <w:tr w:rsidR="00F20CFD" w:rsidRPr="001E3EF7" w14:paraId="04953F33" w14:textId="77777777">
        <w:trPr>
          <w:trHeight w:val="3064"/>
        </w:trPr>
        <w:tc>
          <w:tcPr>
            <w:tcW w:w="2369" w:type="dxa"/>
            <w:tcBorders>
              <w:top w:val="single" w:sz="6" w:space="0" w:color="000000"/>
              <w:left w:val="single" w:sz="6" w:space="0" w:color="000000"/>
              <w:bottom w:val="single" w:sz="6" w:space="0" w:color="000000"/>
              <w:right w:val="single" w:sz="6" w:space="0" w:color="000000"/>
            </w:tcBorders>
          </w:tcPr>
          <w:p w14:paraId="5FE202F9" w14:textId="77777777" w:rsidR="00F20CFD" w:rsidRPr="008D7156" w:rsidRDefault="00F20CFD" w:rsidP="00EA7BF5">
            <w:pPr>
              <w:rPr>
                <w:sz w:val="22"/>
                <w:szCs w:val="24"/>
              </w:rPr>
            </w:pPr>
            <w:r w:rsidRPr="008D7156">
              <w:rPr>
                <w:sz w:val="22"/>
                <w:szCs w:val="24"/>
              </w:rPr>
              <w:t>Прогрессия заболевания</w:t>
            </w:r>
          </w:p>
        </w:tc>
        <w:tc>
          <w:tcPr>
            <w:tcW w:w="7137" w:type="dxa"/>
            <w:tcBorders>
              <w:top w:val="single" w:sz="6" w:space="0" w:color="000000"/>
              <w:left w:val="single" w:sz="6" w:space="0" w:color="000000"/>
              <w:bottom w:val="single" w:sz="6" w:space="0" w:color="000000"/>
              <w:right w:val="single" w:sz="6" w:space="0" w:color="000000"/>
            </w:tcBorders>
          </w:tcPr>
          <w:p w14:paraId="7C98F2D4" w14:textId="77777777" w:rsidR="00F20CFD" w:rsidRPr="008D7156" w:rsidRDefault="00F20CFD" w:rsidP="000A34C7">
            <w:pPr>
              <w:rPr>
                <w:sz w:val="22"/>
                <w:szCs w:val="24"/>
              </w:rPr>
            </w:pPr>
            <w:r w:rsidRPr="008D7156">
              <w:rPr>
                <w:sz w:val="22"/>
                <w:szCs w:val="24"/>
              </w:rPr>
              <w:t>Для пациентов с количеством бластных клеток:</w:t>
            </w:r>
          </w:p>
          <w:p w14:paraId="12A8B032" w14:textId="77777777" w:rsidR="00F20CFD" w:rsidRPr="008D7156" w:rsidRDefault="00F20CFD" w:rsidP="00EA7BF5">
            <w:pPr>
              <w:ind w:firstLine="709"/>
              <w:rPr>
                <w:sz w:val="22"/>
                <w:szCs w:val="24"/>
              </w:rPr>
            </w:pPr>
            <w:r w:rsidRPr="008D7156">
              <w:rPr>
                <w:sz w:val="22"/>
                <w:szCs w:val="24"/>
              </w:rPr>
              <w:t>– менее 5% – увеличение на 50% и более, т. е. более 5%;</w:t>
            </w:r>
          </w:p>
          <w:p w14:paraId="6C7C2755" w14:textId="77777777" w:rsidR="00F20CFD" w:rsidRPr="008D7156" w:rsidRDefault="00F20CFD" w:rsidP="00EA7BF5">
            <w:pPr>
              <w:ind w:firstLine="709"/>
              <w:rPr>
                <w:sz w:val="22"/>
                <w:szCs w:val="24"/>
              </w:rPr>
            </w:pPr>
            <w:r w:rsidRPr="008D7156">
              <w:rPr>
                <w:sz w:val="22"/>
                <w:szCs w:val="24"/>
              </w:rPr>
              <w:t>– 5–10% – увеличение на 50% и более, т. е. более 10%;</w:t>
            </w:r>
          </w:p>
          <w:p w14:paraId="71FDD86B" w14:textId="77777777" w:rsidR="00F20CFD" w:rsidRPr="008D7156" w:rsidRDefault="00F20CFD" w:rsidP="00EA7BF5">
            <w:pPr>
              <w:ind w:firstLine="709"/>
              <w:rPr>
                <w:sz w:val="22"/>
                <w:szCs w:val="24"/>
              </w:rPr>
            </w:pPr>
            <w:r w:rsidRPr="008D7156">
              <w:rPr>
                <w:sz w:val="22"/>
                <w:szCs w:val="24"/>
              </w:rPr>
              <w:t>– 10–20% – увеличение на 50% и более, т. е. более 20%;</w:t>
            </w:r>
          </w:p>
          <w:p w14:paraId="32647A7B" w14:textId="77777777" w:rsidR="00F20CFD" w:rsidRPr="008D7156" w:rsidRDefault="00F20CFD" w:rsidP="00EA7BF5">
            <w:pPr>
              <w:ind w:firstLine="709"/>
              <w:rPr>
                <w:sz w:val="22"/>
                <w:szCs w:val="24"/>
              </w:rPr>
            </w:pPr>
            <w:r w:rsidRPr="008D7156">
              <w:rPr>
                <w:sz w:val="22"/>
                <w:szCs w:val="24"/>
              </w:rPr>
              <w:t>– 20–30% – увеличение на 50% и более, т. е. более 30%.</w:t>
            </w:r>
          </w:p>
          <w:p w14:paraId="53BB9307" w14:textId="77777777" w:rsidR="00F20CFD" w:rsidRPr="008D7156" w:rsidRDefault="00F20CFD" w:rsidP="00EA7BF5">
            <w:pPr>
              <w:rPr>
                <w:sz w:val="22"/>
                <w:szCs w:val="24"/>
              </w:rPr>
            </w:pPr>
            <w:r w:rsidRPr="008D7156">
              <w:rPr>
                <w:sz w:val="22"/>
                <w:szCs w:val="24"/>
              </w:rPr>
              <w:t>Наличие любого из следующих признаков:</w:t>
            </w:r>
          </w:p>
          <w:p w14:paraId="5E046548" w14:textId="77777777" w:rsidR="00F20CFD" w:rsidRPr="008D7156" w:rsidRDefault="00F20CFD" w:rsidP="00EA7BF5">
            <w:pPr>
              <w:ind w:firstLine="709"/>
              <w:rPr>
                <w:sz w:val="22"/>
                <w:szCs w:val="24"/>
              </w:rPr>
            </w:pPr>
            <w:r w:rsidRPr="008D7156">
              <w:rPr>
                <w:sz w:val="22"/>
                <w:szCs w:val="24"/>
              </w:rPr>
              <w:t>– снижение количества гранулоцитов или тромбоцитов как минимум на 50% от максимального значения во время ремиссии/ответа;</w:t>
            </w:r>
          </w:p>
          <w:p w14:paraId="69AE7104" w14:textId="77777777" w:rsidR="00F20CFD" w:rsidRPr="008D7156" w:rsidRDefault="00F20CFD" w:rsidP="00EA7BF5">
            <w:pPr>
              <w:ind w:firstLine="709"/>
              <w:rPr>
                <w:sz w:val="22"/>
                <w:szCs w:val="24"/>
              </w:rPr>
            </w:pPr>
            <w:r w:rsidRPr="008D7156">
              <w:rPr>
                <w:sz w:val="22"/>
                <w:szCs w:val="24"/>
              </w:rPr>
              <w:t>– снижение концентрации Hb на 20 г/л и более;</w:t>
            </w:r>
          </w:p>
          <w:p w14:paraId="64329BF0" w14:textId="77777777" w:rsidR="00F20CFD" w:rsidRPr="008D7156" w:rsidRDefault="00F20CFD" w:rsidP="00EA7BF5">
            <w:pPr>
              <w:ind w:firstLine="709"/>
              <w:rPr>
                <w:sz w:val="22"/>
                <w:szCs w:val="24"/>
              </w:rPr>
            </w:pPr>
            <w:r w:rsidRPr="008D7156">
              <w:rPr>
                <w:sz w:val="22"/>
                <w:szCs w:val="24"/>
              </w:rPr>
              <w:t>– зависимость от трансфузионной терапии.</w:t>
            </w:r>
          </w:p>
        </w:tc>
      </w:tr>
      <w:tr w:rsidR="00F20CFD" w:rsidRPr="001E3EF7" w14:paraId="03E3A82B" w14:textId="77777777">
        <w:trPr>
          <w:trHeight w:val="648"/>
        </w:trPr>
        <w:tc>
          <w:tcPr>
            <w:tcW w:w="2369" w:type="dxa"/>
            <w:tcBorders>
              <w:top w:val="single" w:sz="6" w:space="0" w:color="000000"/>
              <w:left w:val="single" w:sz="6" w:space="0" w:color="000000"/>
              <w:bottom w:val="single" w:sz="6" w:space="0" w:color="000000"/>
              <w:right w:val="single" w:sz="6" w:space="0" w:color="000000"/>
            </w:tcBorders>
          </w:tcPr>
          <w:p w14:paraId="6CA6486A" w14:textId="77777777" w:rsidR="00F20CFD" w:rsidRPr="008D7156" w:rsidRDefault="00F20CFD" w:rsidP="00EA7BF5">
            <w:pPr>
              <w:rPr>
                <w:sz w:val="22"/>
                <w:szCs w:val="24"/>
              </w:rPr>
            </w:pPr>
            <w:r w:rsidRPr="008D7156">
              <w:rPr>
                <w:sz w:val="22"/>
                <w:szCs w:val="24"/>
              </w:rPr>
              <w:t>Гематологическое улучшение</w:t>
            </w:r>
          </w:p>
        </w:tc>
        <w:tc>
          <w:tcPr>
            <w:tcW w:w="7137" w:type="dxa"/>
            <w:tcBorders>
              <w:top w:val="single" w:sz="6" w:space="0" w:color="000000"/>
              <w:left w:val="single" w:sz="6" w:space="0" w:color="000000"/>
              <w:bottom w:val="single" w:sz="6" w:space="0" w:color="000000"/>
              <w:right w:val="single" w:sz="6" w:space="0" w:color="000000"/>
            </w:tcBorders>
          </w:tcPr>
          <w:p w14:paraId="4234EFE3" w14:textId="77777777" w:rsidR="00F20CFD" w:rsidRPr="008D7156" w:rsidRDefault="00F20CFD" w:rsidP="000A34C7">
            <w:pPr>
              <w:rPr>
                <w:sz w:val="22"/>
                <w:szCs w:val="24"/>
              </w:rPr>
            </w:pPr>
            <w:r w:rsidRPr="008D7156">
              <w:rPr>
                <w:sz w:val="22"/>
                <w:szCs w:val="24"/>
              </w:rPr>
              <w:t>Критерии ответа (ответ должен сохраняться не менее 8 недель)</w:t>
            </w:r>
          </w:p>
        </w:tc>
      </w:tr>
      <w:tr w:rsidR="00F20CFD" w:rsidRPr="001E3EF7" w14:paraId="7DA47FA0" w14:textId="77777777">
        <w:trPr>
          <w:trHeight w:val="1830"/>
        </w:trPr>
        <w:tc>
          <w:tcPr>
            <w:tcW w:w="2369" w:type="dxa"/>
            <w:tcBorders>
              <w:top w:val="single" w:sz="6" w:space="0" w:color="000000"/>
              <w:left w:val="single" w:sz="6" w:space="0" w:color="000000"/>
              <w:bottom w:val="single" w:sz="6" w:space="0" w:color="000000"/>
              <w:right w:val="single" w:sz="6" w:space="0" w:color="000000"/>
            </w:tcBorders>
          </w:tcPr>
          <w:p w14:paraId="4FB71EC9" w14:textId="77777777" w:rsidR="00F20CFD" w:rsidRPr="008D7156" w:rsidRDefault="00F20CFD" w:rsidP="00EA7BF5">
            <w:pPr>
              <w:rPr>
                <w:sz w:val="22"/>
                <w:szCs w:val="24"/>
              </w:rPr>
            </w:pPr>
            <w:r w:rsidRPr="008D7156">
              <w:rPr>
                <w:sz w:val="22"/>
                <w:szCs w:val="24"/>
              </w:rPr>
              <w:t>Эритроидный ответ (исходно менее 110 г/л)</w:t>
            </w:r>
          </w:p>
        </w:tc>
        <w:tc>
          <w:tcPr>
            <w:tcW w:w="7137" w:type="dxa"/>
            <w:tcBorders>
              <w:top w:val="single" w:sz="6" w:space="0" w:color="000000"/>
              <w:left w:val="single" w:sz="6" w:space="0" w:color="000000"/>
              <w:bottom w:val="single" w:sz="6" w:space="0" w:color="000000"/>
              <w:right w:val="single" w:sz="6" w:space="0" w:color="000000"/>
            </w:tcBorders>
          </w:tcPr>
          <w:p w14:paraId="3F24E275" w14:textId="77777777" w:rsidR="00F20CFD" w:rsidRPr="008D7156" w:rsidRDefault="00F20CFD" w:rsidP="000A34C7">
            <w:pPr>
              <w:rPr>
                <w:sz w:val="22"/>
                <w:szCs w:val="24"/>
              </w:rPr>
            </w:pPr>
            <w:r w:rsidRPr="008D7156">
              <w:rPr>
                <w:sz w:val="22"/>
                <w:szCs w:val="24"/>
              </w:rPr>
              <w:t>Повышение Hb на 15 г/л и более;</w:t>
            </w:r>
          </w:p>
          <w:p w14:paraId="05106964" w14:textId="77777777" w:rsidR="00F20CFD" w:rsidRPr="008D7156" w:rsidRDefault="00F20CFD" w:rsidP="000A34C7">
            <w:pPr>
              <w:rPr>
                <w:sz w:val="22"/>
                <w:szCs w:val="24"/>
              </w:rPr>
            </w:pPr>
            <w:r w:rsidRPr="008D7156">
              <w:rPr>
                <w:sz w:val="22"/>
                <w:szCs w:val="24"/>
              </w:rPr>
              <w:t>Снижение абсолютного числа единиц переливаемой эритроцитной массы, по крайней мере, на 4 единицы в течение 8 недель, по сравнению с исходным числом переливаемых единиц за предшествующие 8 недель;</w:t>
            </w:r>
          </w:p>
          <w:p w14:paraId="61A7CE5C" w14:textId="77777777" w:rsidR="00F20CFD" w:rsidRPr="008D7156" w:rsidRDefault="00F20CFD" w:rsidP="000A34C7">
            <w:pPr>
              <w:rPr>
                <w:sz w:val="22"/>
                <w:szCs w:val="24"/>
              </w:rPr>
            </w:pPr>
            <w:r w:rsidRPr="008D7156">
              <w:rPr>
                <w:sz w:val="22"/>
                <w:szCs w:val="24"/>
              </w:rPr>
              <w:t>При оценке интенсивности трансфузионной терапии необходимо учитывать трансфузии, выполненные при Hb ≤90 г/л</w:t>
            </w:r>
          </w:p>
        </w:tc>
      </w:tr>
      <w:tr w:rsidR="00F20CFD" w:rsidRPr="001E3EF7" w14:paraId="13F32FA8" w14:textId="77777777">
        <w:trPr>
          <w:trHeight w:val="1110"/>
        </w:trPr>
        <w:tc>
          <w:tcPr>
            <w:tcW w:w="2369" w:type="dxa"/>
            <w:tcBorders>
              <w:top w:val="single" w:sz="6" w:space="0" w:color="000000"/>
              <w:left w:val="single" w:sz="6" w:space="0" w:color="000000"/>
              <w:bottom w:val="single" w:sz="6" w:space="0" w:color="000000"/>
              <w:right w:val="single" w:sz="6" w:space="0" w:color="000000"/>
            </w:tcBorders>
          </w:tcPr>
          <w:p w14:paraId="2AC12605" w14:textId="77777777" w:rsidR="00F20CFD" w:rsidRPr="008D7156" w:rsidRDefault="00F20CFD" w:rsidP="00EA7BF5">
            <w:pPr>
              <w:rPr>
                <w:sz w:val="22"/>
                <w:szCs w:val="24"/>
              </w:rPr>
            </w:pPr>
            <w:r w:rsidRPr="008D7156">
              <w:rPr>
                <w:sz w:val="22"/>
                <w:szCs w:val="24"/>
              </w:rPr>
              <w:t>Тромбоцитарный ответ (исходно менее 100×10</w:t>
            </w:r>
            <w:r w:rsidRPr="008D7156">
              <w:rPr>
                <w:sz w:val="22"/>
                <w:szCs w:val="24"/>
                <w:vertAlign w:val="superscript"/>
              </w:rPr>
              <w:t>9</w:t>
            </w:r>
            <w:r w:rsidRPr="008D7156">
              <w:rPr>
                <w:sz w:val="22"/>
                <w:szCs w:val="24"/>
              </w:rPr>
              <w:t>/л)</w:t>
            </w:r>
          </w:p>
        </w:tc>
        <w:tc>
          <w:tcPr>
            <w:tcW w:w="7137" w:type="dxa"/>
            <w:tcBorders>
              <w:top w:val="single" w:sz="6" w:space="0" w:color="000000"/>
              <w:left w:val="single" w:sz="6" w:space="0" w:color="000000"/>
              <w:bottom w:val="single" w:sz="6" w:space="0" w:color="000000"/>
              <w:right w:val="single" w:sz="6" w:space="0" w:color="000000"/>
            </w:tcBorders>
          </w:tcPr>
          <w:p w14:paraId="4EDC6243" w14:textId="77777777" w:rsidR="00F20CFD" w:rsidRPr="008D7156" w:rsidRDefault="00F20CFD" w:rsidP="000A34C7">
            <w:pPr>
              <w:rPr>
                <w:sz w:val="22"/>
                <w:szCs w:val="24"/>
              </w:rPr>
            </w:pPr>
            <w:r w:rsidRPr="008D7156">
              <w:rPr>
                <w:sz w:val="22"/>
                <w:szCs w:val="24"/>
              </w:rPr>
              <w:t>Абсолютное число тромбоцитов увеличивается ≥30×10</w:t>
            </w:r>
            <w:r w:rsidRPr="008D7156">
              <w:rPr>
                <w:sz w:val="22"/>
                <w:szCs w:val="24"/>
                <w:vertAlign w:val="superscript"/>
              </w:rPr>
              <w:t>9</w:t>
            </w:r>
            <w:r w:rsidRPr="008D7156">
              <w:rPr>
                <w:sz w:val="22"/>
                <w:szCs w:val="24"/>
              </w:rPr>
              <w:t>/л, при исходных значениях более 20×10</w:t>
            </w:r>
            <w:r w:rsidRPr="008D7156">
              <w:rPr>
                <w:sz w:val="22"/>
                <w:szCs w:val="24"/>
                <w:vertAlign w:val="superscript"/>
              </w:rPr>
              <w:t>9</w:t>
            </w:r>
            <w:r w:rsidRPr="008D7156">
              <w:rPr>
                <w:sz w:val="22"/>
                <w:szCs w:val="24"/>
              </w:rPr>
              <w:t>/л;</w:t>
            </w:r>
          </w:p>
          <w:p w14:paraId="77B27303" w14:textId="77777777" w:rsidR="00F20CFD" w:rsidRPr="008D7156" w:rsidRDefault="00F20CFD" w:rsidP="000A34C7">
            <w:pPr>
              <w:rPr>
                <w:sz w:val="22"/>
                <w:szCs w:val="24"/>
              </w:rPr>
            </w:pPr>
            <w:r w:rsidRPr="008D7156">
              <w:rPr>
                <w:sz w:val="22"/>
                <w:szCs w:val="24"/>
              </w:rPr>
              <w:t>Увеличение с менее 20×10</w:t>
            </w:r>
            <w:r w:rsidRPr="008D7156">
              <w:rPr>
                <w:sz w:val="22"/>
                <w:szCs w:val="24"/>
                <w:vertAlign w:val="superscript"/>
              </w:rPr>
              <w:t>9</w:t>
            </w:r>
            <w:r w:rsidRPr="008D7156">
              <w:rPr>
                <w:sz w:val="22"/>
                <w:szCs w:val="24"/>
              </w:rPr>
              <w:t>/л до более 20×10</w:t>
            </w:r>
            <w:r w:rsidRPr="008D7156">
              <w:rPr>
                <w:sz w:val="22"/>
                <w:szCs w:val="24"/>
                <w:vertAlign w:val="superscript"/>
              </w:rPr>
              <w:t>9</w:t>
            </w:r>
            <w:r w:rsidRPr="008D7156">
              <w:rPr>
                <w:sz w:val="22"/>
                <w:szCs w:val="24"/>
              </w:rPr>
              <w:t>/л и минимум на 100%</w:t>
            </w:r>
          </w:p>
        </w:tc>
      </w:tr>
      <w:tr w:rsidR="00F20CFD" w:rsidRPr="001E3EF7" w14:paraId="693AE429" w14:textId="77777777">
        <w:trPr>
          <w:trHeight w:val="945"/>
        </w:trPr>
        <w:tc>
          <w:tcPr>
            <w:tcW w:w="2369" w:type="dxa"/>
            <w:tcBorders>
              <w:top w:val="single" w:sz="6" w:space="0" w:color="000000"/>
              <w:left w:val="single" w:sz="6" w:space="0" w:color="000000"/>
              <w:bottom w:val="single" w:sz="6" w:space="0" w:color="000000"/>
              <w:right w:val="single" w:sz="6" w:space="0" w:color="000000"/>
            </w:tcBorders>
          </w:tcPr>
          <w:p w14:paraId="7377F35B" w14:textId="77777777" w:rsidR="00F20CFD" w:rsidRPr="008D7156" w:rsidRDefault="00F20CFD" w:rsidP="00EA7BF5">
            <w:pPr>
              <w:rPr>
                <w:sz w:val="22"/>
                <w:szCs w:val="24"/>
              </w:rPr>
            </w:pPr>
            <w:r w:rsidRPr="008D7156">
              <w:rPr>
                <w:sz w:val="22"/>
                <w:szCs w:val="24"/>
              </w:rPr>
              <w:t>Нейтрофильный ответ (исходно менее 1,0×10</w:t>
            </w:r>
            <w:r w:rsidRPr="008D7156">
              <w:rPr>
                <w:sz w:val="22"/>
                <w:szCs w:val="24"/>
                <w:vertAlign w:val="superscript"/>
              </w:rPr>
              <w:t>9</w:t>
            </w:r>
            <w:r w:rsidRPr="008D7156">
              <w:rPr>
                <w:sz w:val="22"/>
                <w:szCs w:val="24"/>
              </w:rPr>
              <w:t>/л)</w:t>
            </w:r>
          </w:p>
        </w:tc>
        <w:tc>
          <w:tcPr>
            <w:tcW w:w="7137" w:type="dxa"/>
            <w:tcBorders>
              <w:top w:val="single" w:sz="6" w:space="0" w:color="000000"/>
              <w:left w:val="single" w:sz="6" w:space="0" w:color="000000"/>
              <w:bottom w:val="single" w:sz="6" w:space="0" w:color="000000"/>
              <w:right w:val="single" w:sz="6" w:space="0" w:color="000000"/>
            </w:tcBorders>
          </w:tcPr>
          <w:p w14:paraId="5BBFD428" w14:textId="77777777" w:rsidR="00F20CFD" w:rsidRPr="008D7156" w:rsidRDefault="00F20CFD" w:rsidP="000A34C7">
            <w:pPr>
              <w:rPr>
                <w:sz w:val="22"/>
                <w:szCs w:val="24"/>
              </w:rPr>
            </w:pPr>
            <w:r w:rsidRPr="008D7156">
              <w:rPr>
                <w:sz w:val="22"/>
                <w:szCs w:val="24"/>
              </w:rPr>
              <w:t>Увеличение на 100% и увеличение абсолютного числа нейтрофилов до более 0,5×10</w:t>
            </w:r>
            <w:r w:rsidRPr="008D7156">
              <w:rPr>
                <w:sz w:val="22"/>
                <w:szCs w:val="24"/>
                <w:vertAlign w:val="superscript"/>
              </w:rPr>
              <w:t>9</w:t>
            </w:r>
            <w:r w:rsidRPr="008D7156">
              <w:rPr>
                <w:sz w:val="22"/>
                <w:szCs w:val="24"/>
              </w:rPr>
              <w:t>/л</w:t>
            </w:r>
          </w:p>
        </w:tc>
      </w:tr>
      <w:tr w:rsidR="00F20CFD" w:rsidRPr="001E3EF7" w14:paraId="7768CD95" w14:textId="77777777">
        <w:trPr>
          <w:trHeight w:val="1449"/>
        </w:trPr>
        <w:tc>
          <w:tcPr>
            <w:tcW w:w="2369" w:type="dxa"/>
            <w:tcBorders>
              <w:top w:val="single" w:sz="6" w:space="0" w:color="000000"/>
              <w:left w:val="single" w:sz="6" w:space="0" w:color="000000"/>
              <w:bottom w:val="single" w:sz="6" w:space="0" w:color="000000"/>
              <w:right w:val="single" w:sz="6" w:space="0" w:color="000000"/>
            </w:tcBorders>
          </w:tcPr>
          <w:p w14:paraId="134FECBD" w14:textId="77777777" w:rsidR="00F20CFD" w:rsidRPr="008D7156" w:rsidRDefault="00F20CFD" w:rsidP="00EA7BF5">
            <w:pPr>
              <w:rPr>
                <w:sz w:val="22"/>
                <w:szCs w:val="24"/>
              </w:rPr>
            </w:pPr>
            <w:r w:rsidRPr="008D7156">
              <w:rPr>
                <w:sz w:val="22"/>
                <w:szCs w:val="24"/>
              </w:rPr>
              <w:t>Прогрессия или рецидив после гематологического улучшения</w:t>
            </w:r>
          </w:p>
        </w:tc>
        <w:tc>
          <w:tcPr>
            <w:tcW w:w="7137" w:type="dxa"/>
            <w:tcBorders>
              <w:top w:val="single" w:sz="6" w:space="0" w:color="000000"/>
              <w:left w:val="single" w:sz="6" w:space="0" w:color="000000"/>
              <w:bottom w:val="single" w:sz="6" w:space="0" w:color="000000"/>
              <w:right w:val="single" w:sz="6" w:space="0" w:color="000000"/>
            </w:tcBorders>
          </w:tcPr>
          <w:p w14:paraId="7C39BB17" w14:textId="77777777" w:rsidR="00F20CFD" w:rsidRPr="008D7156" w:rsidRDefault="00F20CFD" w:rsidP="000A34C7">
            <w:pPr>
              <w:rPr>
                <w:sz w:val="22"/>
                <w:szCs w:val="24"/>
              </w:rPr>
            </w:pPr>
            <w:r w:rsidRPr="008D7156">
              <w:rPr>
                <w:sz w:val="22"/>
                <w:szCs w:val="24"/>
              </w:rPr>
              <w:t>Доказательство хотя бы одного из следующих признаков:</w:t>
            </w:r>
          </w:p>
          <w:p w14:paraId="4DCB568B" w14:textId="77777777" w:rsidR="00F20CFD" w:rsidRPr="008D7156" w:rsidRDefault="00F20CFD" w:rsidP="00EA7BF5">
            <w:pPr>
              <w:ind w:firstLine="709"/>
              <w:rPr>
                <w:sz w:val="22"/>
                <w:szCs w:val="24"/>
              </w:rPr>
            </w:pPr>
            <w:r w:rsidRPr="008D7156">
              <w:rPr>
                <w:sz w:val="22"/>
                <w:szCs w:val="24"/>
              </w:rPr>
              <w:t>– снижение на 50% и более от максимального количества гранулоцитов или тромбоцитов;</w:t>
            </w:r>
          </w:p>
          <w:p w14:paraId="0CC3EFA3" w14:textId="77777777" w:rsidR="00F20CFD" w:rsidRPr="008D7156" w:rsidRDefault="00F20CFD" w:rsidP="00EA7BF5">
            <w:pPr>
              <w:ind w:firstLine="709"/>
              <w:rPr>
                <w:sz w:val="22"/>
                <w:szCs w:val="24"/>
              </w:rPr>
            </w:pPr>
            <w:r w:rsidRPr="008D7156">
              <w:rPr>
                <w:sz w:val="22"/>
                <w:szCs w:val="24"/>
              </w:rPr>
              <w:t>– снижение Hb на 15 г/л и более;</w:t>
            </w:r>
          </w:p>
          <w:p w14:paraId="53CCEB39" w14:textId="77777777" w:rsidR="00F20CFD" w:rsidRPr="008D7156" w:rsidRDefault="00F20CFD" w:rsidP="00EA7BF5">
            <w:pPr>
              <w:ind w:firstLine="709"/>
              <w:rPr>
                <w:sz w:val="22"/>
                <w:szCs w:val="24"/>
              </w:rPr>
            </w:pPr>
            <w:r w:rsidRPr="008D7156">
              <w:rPr>
                <w:sz w:val="22"/>
                <w:szCs w:val="24"/>
              </w:rPr>
              <w:t>– трансфузионная зависимость.</w:t>
            </w:r>
          </w:p>
        </w:tc>
      </w:tr>
    </w:tbl>
    <w:p w14:paraId="7A546881" w14:textId="4A949411" w:rsidR="00F20CFD" w:rsidRPr="00C413F9" w:rsidRDefault="00F20CFD" w:rsidP="00C413F9">
      <w:pPr>
        <w:pStyle w:val="2"/>
        <w:jc w:val="center"/>
        <w:rPr>
          <w:sz w:val="28"/>
          <w:szCs w:val="28"/>
          <w:u w:val="none"/>
        </w:rPr>
      </w:pPr>
      <w:bookmarkStart w:id="210" w:name="_Toc65104134"/>
      <w:r w:rsidRPr="00C413F9">
        <w:rPr>
          <w:sz w:val="28"/>
          <w:szCs w:val="28"/>
          <w:u w:val="none"/>
        </w:rPr>
        <w:t>Приложение Г</w:t>
      </w:r>
      <w:r w:rsidR="00B63F37">
        <w:rPr>
          <w:sz w:val="28"/>
          <w:szCs w:val="28"/>
          <w:u w:val="none"/>
        </w:rPr>
        <w:t>2</w:t>
      </w:r>
      <w:r w:rsidRPr="00C413F9">
        <w:rPr>
          <w:sz w:val="28"/>
          <w:szCs w:val="28"/>
          <w:u w:val="none"/>
        </w:rPr>
        <w:t>. Шкала коморбидности для пациентов с МДС</w:t>
      </w:r>
      <w:bookmarkEnd w:id="210"/>
    </w:p>
    <w:p w14:paraId="133A0371" w14:textId="77777777" w:rsidR="00794D61" w:rsidRDefault="00794D61" w:rsidP="00A57C24">
      <w:pPr>
        <w:ind w:firstLine="709"/>
      </w:pPr>
      <w:r w:rsidRPr="006A377C">
        <w:rPr>
          <w:szCs w:val="24"/>
        </w:rPr>
        <w:t>Для прогнозирования влияния сопутствующих заболеваний на конечные результаты лечения у больных МДС</w:t>
      </w:r>
      <w:r>
        <w:rPr>
          <w:szCs w:val="24"/>
        </w:rPr>
        <w:t xml:space="preserve"> необходимо оценивать коморбидность пациента по </w:t>
      </w:r>
      <w:r w:rsidRPr="006A377C">
        <w:rPr>
          <w:szCs w:val="24"/>
        </w:rPr>
        <w:t>МДС-специфичн</w:t>
      </w:r>
      <w:r>
        <w:rPr>
          <w:szCs w:val="24"/>
        </w:rPr>
        <w:t>ому</w:t>
      </w:r>
      <w:r w:rsidRPr="006A377C">
        <w:rPr>
          <w:szCs w:val="24"/>
        </w:rPr>
        <w:t xml:space="preserve"> индекс</w:t>
      </w:r>
      <w:r>
        <w:rPr>
          <w:szCs w:val="24"/>
        </w:rPr>
        <w:t>у</w:t>
      </w:r>
      <w:r w:rsidRPr="006A377C">
        <w:rPr>
          <w:szCs w:val="24"/>
        </w:rPr>
        <w:t xml:space="preserve"> коморбидности (MDS-CI)</w:t>
      </w:r>
      <w:r>
        <w:rPr>
          <w:szCs w:val="24"/>
        </w:rPr>
        <w:t xml:space="preserve"> </w:t>
      </w:r>
      <w:r w:rsidRPr="006A377C">
        <w:rPr>
          <w:szCs w:val="24"/>
        </w:rPr>
        <w:fldChar w:fldCharType="begin" w:fldLock="1"/>
      </w:r>
      <w:r w:rsidR="00AE1E12">
        <w:rPr>
          <w:szCs w:val="24"/>
        </w:rPr>
        <w:instrText>ADDIN CSL_CITATION {"citationItems":[{"id":"ITEM-1","itemData":{"DOI":"10.3324/haematol.2010.033506","ISBN":"0390-6078","ISSN":"03906078","PMID":"21134982","abstract":"The incidence of myelodysplastic syndromes increases with age and a high prevalence of co-morbid conditions has been reported in these patients. So far, risk assessment in myelodysplastic syndromes has been mainly based on disease status. We studied the prognostic impact of comorbidity on the natural history of myelodysplastic syndrome with the aim of developing novel tools for risk assessment. The study population included a learning cohort of 840 patients diagnosed with myelodysplastic syndrome in Pavia, Italy, and a validation cohort of 504 patients followed in Duesseldorf, Germany. Information on comorbidity was extracted from detailed review of the patients' medical charts and laboratory values at diagnosis and during the course of the disease. Univariable and multivariable survival analyses with both fixed and time-dependent covariates were performed using Cox's proportional hazards regression models. Comorbidity was present in 54% of patients in the learning cohort. Cardiac disease was the most frequent comorbidity and the main cause of non-leukemic death. In multivariable analysis, comorbidity had a significant impact on both non-leukemic death (P=0.01) and overall survival (P=0.02). Cardiac, liver, renal, pulmonary disease and solid tumors were found to independently affect the risk of non-leukemic death. A time-dependent myelodysplastic syndrome-specific comorbidity index (MDS-CI) was developed for predicting the effect of comorbidity on outcome. This identified three groups of patients which showed significantly different probabilities of non-leukemic death (P&lt;0.001) and survival (P=0.005) also in the validation cohort. Landmark survival analyses at fixed time points from diagnosis showed that the MDS-CI can better define the life expectancy of patients with myelodysplastic syndrome stratified according to the WHO-classification based Prognostic Scoring System (WPSS).Comorbidities have a significant impact on the outcome of patients with myelodysplastic syndrome. Accounting for both disease status by means of the WPSS and comorbidity through the MDS-CI considerably improves risk stratification in myelodysplastic syndromes.","author":[{"dropping-particle":"Della","family":"Porta","given":"MG","non-dropping-particle":"","parse-names":false,"suffix":""},{"dropping-particle":"","family":"Malcovati","given":"Luca","non-dropping-particle":"","parse-names":false,"suffix":""},{"dropping-particle":"","family":"Porta","given":"Matteo G.","non-dropping-particle":"Della","parse-names":false,"suffix":""},{"dropping-particle":"","family":"Malcovati","given":"Luca","non-dropping-particle":"","parse-names":false,"suffix":""},{"dropping-particle":"","family":"Strupp","given":"Corinna","non-dropping-particle":"","parse-names":false,"suffix":""},{"dropping-particle":"","family":"Ambaglio","given":"Ilaria","non-dropping-particle":"","parse-names":false,"suffix":""},{"dropping-particle":"","family":"Kuendgen","given":"Andrea","non-dropping-particle":"","parse-names":false,"suffix":""},{"dropping-particle":"","family":"Zipperer","given":"Esther","non-dropping-particle":"","parse-names":false,"suffix":""},{"dropping-particle":"","family":"Travaglino","given":"Erica","non-dropping-particle":"","parse-names":false,"suffix":""},{"dropping-particle":"","family":"Invernizzi","given":"Rosangela","non-dropping-particle":"","parse-names":false,"suffix":""},{"dropping-particle":"","family":"Pascutto","given":"Cristiana","non-dropping-particle":"","parse-names":false,"suffix":""},{"dropping-particle":"","family":"Lazzarino","given":"Mario","non-dropping-particle":"","parse-names":false,"suffix":""},{"dropping-particle":"","family":"Germing","given":"Ulrich","non-dropping-particle":"","parse-names":false,"suffix":""},{"dropping-particle":"","family":"Cazzola","given":"Mario","non-dropping-particle":"","parse-names":false,"suffix":""},{"dropping-particle":"","family":"M.G.","given":"della Porta","non-dropping-particle":"","parse-names":false,"suffix":""},{"dropping-particle":"","family":"L.","given":"Malcovati","non-dropping-particle":"","parse-names":false,"suffix":""},{"dropping-particle":"","family":"C.","given":"Strupp","non-dropping-particle":"","parse-names":false,"suffix":""},{"dropping-particle":"","family":"I.","given":"Ambaglio","non-dropping-particle":"","parse-names":false,"suffix":""},{"dropping-particle":"","family":"A.","given":"Kuendgen","non-dropping-particle":"","parse-names":false,"suffix":""},{"dropping-particle":"","family":"E.","given":"Zipperer","non-dropping-particle":"","parse-names":false,"suffix":""},{"dropping-particle":"","family":"E.","given":"Travaglino","non-dropping-particle":"","parse-names":false,"suffix":""},{"dropping-particle":"","family":"R.","given":"Invernizzi","non-dropping-particle":"","parse-names":false,"suffix":""},{"dropping-particle":"","family":"C.","given":"Pascutto","non-dropping-particle":"","parse-names":false,"suffix":""},{"dropping-particle":"","family":"M.","given":"Lazzarino","non-dropping-particle":"","parse-names":false,"suffix":""},{"dropping-particle":"","family":"U.","given":"Germing","non-dropping-particle":"","parse-names":false,"suffix":""},{"dropping-particle":"","family":"M.","given":"Cazzola","non-dropping-particle":"","parse-names":false,"suffix":""},{"dropping-particle":"","family":"Porta","given":"Matteo G.","non-dropping-particle":"Della","parse-names":false,"suffix":""},{"dropping-particle":"","family":"Malcovati","given":"Luca","non-dropping-particle":"","parse-names":false,"suffix":""},{"dropping-particle":"","family":"Strupp","given":"Corinna","non-dropping-particle":"","parse-names":false,"suffix":""},{"dropping-particle":"","family":"Ambaglio","given":"Ilaria","non-dropping-particle":"","parse-names":false,"suffix":""},{"dropping-particle":"","family":"Kuendgen","given":"Andrea","non-dropping-particle":"","parse-names":false,"suffix":""},{"dropping-particle":"","family":"Zipperer","given":"Esther","non-dropping-particle":"","parse-names":false,"suffix":""},{"dropping-particle":"","family":"Travaglino","given":"Erica","non-dropping-particle":"","parse-names":false,"suffix":""},{"dropping-particle":"","family":"Invernizzi","given":"Rosangela","non-dropping-particle":"","parse-names":false,"suffix":""},{"dropping-particle":"","family":"Pascutto","given":"Cristiana","non-dropping-particle":"","parse-names":false,"suffix":""},{"dropping-particle":"","family":"Lazzarino","given":"Mario","non-dropping-particle":"","parse-names":false,"suffix":""},{"dropping-particle":"","family":"Germing","given":"Ulrich","non-dropping-particle":"","parse-names":false,"suffix":""},{"dropping-particle":"","family":"Cazzola","given":"Mario","non-dropping-particle":"","parse-names":false,"suffix":""}],"container-title":"Haematologica","id":"ITEM-1","issue":"3","issued":{"date-parts":[["2011"]]},"page":"441-449","title":"Risk stratification based on both disease status and extra-hematologic comorbidities in patients with myelodysplastic syndrome","type":"article-journal","volume":"96"},"uris":["http://www.mendeley.com/documents/?uuid=1cb02816-5b90-3934-85c2-099397e0a235"]}],"mendeley":{"formattedCitation":"[119]","plainTextFormattedCitation":"[119]","previouslyFormattedCitation":"[119]"},"properties":{"noteIndex":0},"schema":"https://github.com/citation-style-language/schema/raw/master/csl-citation.json"}</w:instrText>
      </w:r>
      <w:r w:rsidRPr="006A377C">
        <w:rPr>
          <w:szCs w:val="24"/>
        </w:rPr>
        <w:fldChar w:fldCharType="separate"/>
      </w:r>
      <w:r w:rsidR="00AE1E12" w:rsidRPr="00AE1E12">
        <w:rPr>
          <w:noProof/>
          <w:szCs w:val="24"/>
        </w:rPr>
        <w:t>[119]</w:t>
      </w:r>
      <w:r w:rsidRPr="006A377C">
        <w:rPr>
          <w:szCs w:val="24"/>
        </w:rPr>
        <w:fldChar w:fldCharType="end"/>
      </w:r>
      <w:r w:rsidRPr="006A377C">
        <w:rPr>
          <w:szCs w:val="24"/>
        </w:rPr>
        <w:t>.</w:t>
      </w:r>
    </w:p>
    <w:p w14:paraId="33A2D327" w14:textId="77777777" w:rsidR="00F50BB1" w:rsidRPr="009C0CE5" w:rsidRDefault="00F50BB1" w:rsidP="00F50BB1">
      <w:r>
        <w:t>Оригинальное</w:t>
      </w:r>
      <w:r w:rsidRPr="009C0CE5">
        <w:t xml:space="preserve"> </w:t>
      </w:r>
      <w:r>
        <w:t>название</w:t>
      </w:r>
      <w:r w:rsidRPr="009C0CE5">
        <w:t xml:space="preserve">: </w:t>
      </w:r>
      <w:r w:rsidR="00794D61">
        <w:rPr>
          <w:lang w:val="en-US"/>
        </w:rPr>
        <w:t>MDS</w:t>
      </w:r>
      <w:r w:rsidR="00794D61" w:rsidRPr="009C0CE5">
        <w:t xml:space="preserve"> </w:t>
      </w:r>
      <w:r w:rsidR="00794D61">
        <w:rPr>
          <w:lang w:val="en-US"/>
        </w:rPr>
        <w:t>comorbidity</w:t>
      </w:r>
      <w:r w:rsidR="00794D61" w:rsidRPr="009C0CE5">
        <w:t xml:space="preserve"> </w:t>
      </w:r>
      <w:r w:rsidR="00794D61">
        <w:rPr>
          <w:lang w:val="en-US"/>
        </w:rPr>
        <w:t>index</w:t>
      </w:r>
    </w:p>
    <w:p w14:paraId="088B557D" w14:textId="77777777" w:rsidR="00F50BB1" w:rsidRPr="00086CF8" w:rsidRDefault="00F50BB1" w:rsidP="00F50BB1">
      <w:r>
        <w:t>Тип</w:t>
      </w:r>
      <w:r w:rsidRPr="00086CF8">
        <w:t xml:space="preserve">: </w:t>
      </w:r>
      <w:r>
        <w:t>шкала</w:t>
      </w:r>
      <w:r w:rsidRPr="00086CF8">
        <w:t xml:space="preserve"> </w:t>
      </w:r>
      <w:r>
        <w:t>оценки</w:t>
      </w:r>
    </w:p>
    <w:p w14:paraId="645B597A" w14:textId="77777777" w:rsidR="00F50BB1" w:rsidRDefault="00F50BB1" w:rsidP="00F50BB1">
      <w:r>
        <w:t xml:space="preserve">Назначение: клиническая оценка коморбидности </w:t>
      </w:r>
    </w:p>
    <w:p w14:paraId="1F847896" w14:textId="77777777" w:rsidR="00F50BB1" w:rsidRDefault="00F50BB1" w:rsidP="00F50BB1">
      <w:r>
        <w:t xml:space="preserve">Содержание и интерпретация: </w:t>
      </w:r>
    </w:p>
    <w:p w14:paraId="3812CF1C" w14:textId="77777777" w:rsidR="00F20CFD" w:rsidRPr="006A377C" w:rsidRDefault="00F20CFD" w:rsidP="000A34C7">
      <w:pPr>
        <w:ind w:firstLine="708"/>
        <w:rPr>
          <w:b/>
          <w:szCs w:val="24"/>
        </w:rPr>
      </w:pPr>
      <w:r w:rsidRPr="006A377C">
        <w:rPr>
          <w:b/>
          <w:szCs w:val="24"/>
        </w:rPr>
        <w:t>Шкала коморбидности для пациентов с МДС (MDS-CI)</w:t>
      </w:r>
    </w:p>
    <w:tbl>
      <w:tblPr>
        <w:tblW w:w="9285"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8175"/>
        <w:gridCol w:w="1110"/>
      </w:tblGrid>
      <w:tr w:rsidR="00F20CFD" w:rsidRPr="001E3EF7" w14:paraId="76FB122E" w14:textId="77777777">
        <w:tc>
          <w:tcPr>
            <w:tcW w:w="8175" w:type="dxa"/>
            <w:tcBorders>
              <w:top w:val="single" w:sz="6" w:space="0" w:color="000000"/>
              <w:left w:val="single" w:sz="6" w:space="0" w:color="000000"/>
              <w:bottom w:val="single" w:sz="6" w:space="0" w:color="000000"/>
              <w:right w:val="single" w:sz="6" w:space="0" w:color="000000"/>
            </w:tcBorders>
          </w:tcPr>
          <w:p w14:paraId="44A03CFD" w14:textId="77777777" w:rsidR="00F20CFD" w:rsidRPr="008D7156" w:rsidRDefault="00F20CFD" w:rsidP="000A34C7">
            <w:pPr>
              <w:ind w:firstLine="709"/>
              <w:jc w:val="center"/>
              <w:rPr>
                <w:b/>
                <w:sz w:val="22"/>
                <w:szCs w:val="24"/>
              </w:rPr>
            </w:pPr>
            <w:r w:rsidRPr="008D7156">
              <w:rPr>
                <w:b/>
                <w:sz w:val="22"/>
                <w:szCs w:val="24"/>
              </w:rPr>
              <w:t>Сопутствующие заболевания</w:t>
            </w:r>
          </w:p>
        </w:tc>
        <w:tc>
          <w:tcPr>
            <w:tcW w:w="1110" w:type="dxa"/>
            <w:tcBorders>
              <w:top w:val="single" w:sz="6" w:space="0" w:color="000000"/>
              <w:left w:val="single" w:sz="6" w:space="0" w:color="000000"/>
              <w:bottom w:val="single" w:sz="6" w:space="0" w:color="000000"/>
              <w:right w:val="single" w:sz="6" w:space="0" w:color="000000"/>
            </w:tcBorders>
          </w:tcPr>
          <w:p w14:paraId="52508B41" w14:textId="77777777" w:rsidR="00F20CFD" w:rsidRPr="008D7156" w:rsidRDefault="00F20CFD" w:rsidP="000A34C7">
            <w:pPr>
              <w:jc w:val="center"/>
              <w:rPr>
                <w:b/>
                <w:sz w:val="22"/>
                <w:szCs w:val="24"/>
              </w:rPr>
            </w:pPr>
            <w:r w:rsidRPr="008D7156">
              <w:rPr>
                <w:b/>
                <w:sz w:val="22"/>
                <w:szCs w:val="24"/>
              </w:rPr>
              <w:t>Баллы</w:t>
            </w:r>
          </w:p>
        </w:tc>
      </w:tr>
      <w:tr w:rsidR="00F20CFD" w:rsidRPr="001E3EF7" w14:paraId="4D285137" w14:textId="77777777">
        <w:trPr>
          <w:trHeight w:val="2130"/>
        </w:trPr>
        <w:tc>
          <w:tcPr>
            <w:tcW w:w="8175" w:type="dxa"/>
            <w:tcBorders>
              <w:top w:val="single" w:sz="6" w:space="0" w:color="000000"/>
              <w:left w:val="single" w:sz="6" w:space="0" w:color="000000"/>
              <w:right w:val="single" w:sz="6" w:space="0" w:color="000000"/>
            </w:tcBorders>
          </w:tcPr>
          <w:p w14:paraId="18F55930" w14:textId="77777777" w:rsidR="00F20CFD" w:rsidRPr="008D7156" w:rsidRDefault="00F20CFD" w:rsidP="00EA7BF5">
            <w:pPr>
              <w:rPr>
                <w:sz w:val="22"/>
                <w:szCs w:val="24"/>
              </w:rPr>
            </w:pPr>
            <w:r w:rsidRPr="008D7156">
              <w:rPr>
                <w:sz w:val="22"/>
                <w:szCs w:val="24"/>
              </w:rPr>
              <w:t>Болезни сердца</w:t>
            </w:r>
          </w:p>
          <w:p w14:paraId="176B3E43" w14:textId="77777777" w:rsidR="00F20CFD" w:rsidRPr="008D7156" w:rsidRDefault="00F20CFD" w:rsidP="00EA7BF5">
            <w:pPr>
              <w:ind w:firstLine="709"/>
              <w:rPr>
                <w:sz w:val="22"/>
                <w:szCs w:val="24"/>
              </w:rPr>
            </w:pPr>
            <w:r w:rsidRPr="008D7156">
              <w:rPr>
                <w:sz w:val="22"/>
                <w:szCs w:val="24"/>
              </w:rPr>
              <w:t>аритмия</w:t>
            </w:r>
          </w:p>
          <w:p w14:paraId="0840502F" w14:textId="77777777" w:rsidR="00F20CFD" w:rsidRPr="008D7156" w:rsidRDefault="00F20CFD" w:rsidP="00EA7BF5">
            <w:pPr>
              <w:ind w:firstLine="709"/>
              <w:rPr>
                <w:sz w:val="22"/>
                <w:szCs w:val="24"/>
              </w:rPr>
            </w:pPr>
            <w:r w:rsidRPr="008D7156">
              <w:rPr>
                <w:sz w:val="22"/>
                <w:szCs w:val="24"/>
              </w:rPr>
              <w:t>заболевания клапанов</w:t>
            </w:r>
          </w:p>
          <w:p w14:paraId="2650C543" w14:textId="77777777" w:rsidR="00F20CFD" w:rsidRPr="008D7156" w:rsidRDefault="00F20CFD" w:rsidP="00EA7BF5">
            <w:pPr>
              <w:ind w:firstLine="709"/>
              <w:rPr>
                <w:sz w:val="22"/>
                <w:szCs w:val="24"/>
              </w:rPr>
            </w:pPr>
            <w:r w:rsidRPr="008D7156">
              <w:rPr>
                <w:sz w:val="22"/>
                <w:szCs w:val="24"/>
              </w:rPr>
              <w:t>ишемическая болезнь или инфаркт миокарда</w:t>
            </w:r>
          </w:p>
          <w:p w14:paraId="03AC58EF" w14:textId="77777777" w:rsidR="00F20CFD" w:rsidRPr="008D7156" w:rsidRDefault="00F20CFD" w:rsidP="00EA7BF5">
            <w:pPr>
              <w:ind w:firstLine="709"/>
              <w:rPr>
                <w:sz w:val="22"/>
                <w:szCs w:val="24"/>
              </w:rPr>
            </w:pPr>
            <w:r w:rsidRPr="008D7156">
              <w:rPr>
                <w:sz w:val="22"/>
                <w:szCs w:val="24"/>
              </w:rPr>
              <w:t>застойная сердечная недостаточность</w:t>
            </w:r>
          </w:p>
        </w:tc>
        <w:tc>
          <w:tcPr>
            <w:tcW w:w="1110" w:type="dxa"/>
            <w:tcBorders>
              <w:top w:val="single" w:sz="6" w:space="0" w:color="000000"/>
              <w:left w:val="single" w:sz="6" w:space="0" w:color="000000"/>
              <w:bottom w:val="single" w:sz="6" w:space="0" w:color="000000"/>
              <w:right w:val="single" w:sz="6" w:space="0" w:color="000000"/>
            </w:tcBorders>
          </w:tcPr>
          <w:p w14:paraId="05DC8824" w14:textId="77777777" w:rsidR="00F20CFD" w:rsidRPr="008D7156" w:rsidRDefault="00F20CFD" w:rsidP="00A57C24">
            <w:pPr>
              <w:jc w:val="center"/>
              <w:rPr>
                <w:sz w:val="22"/>
                <w:szCs w:val="24"/>
              </w:rPr>
            </w:pPr>
          </w:p>
          <w:p w14:paraId="785F9335" w14:textId="77777777" w:rsidR="00F20CFD" w:rsidRPr="008D7156" w:rsidRDefault="00F20CFD" w:rsidP="00A57C24">
            <w:pPr>
              <w:jc w:val="center"/>
              <w:rPr>
                <w:sz w:val="22"/>
                <w:szCs w:val="24"/>
              </w:rPr>
            </w:pPr>
          </w:p>
          <w:p w14:paraId="059F590F" w14:textId="77777777" w:rsidR="00F20CFD" w:rsidRPr="008D7156" w:rsidRDefault="00F20CFD" w:rsidP="00A57C24">
            <w:pPr>
              <w:jc w:val="center"/>
              <w:rPr>
                <w:sz w:val="22"/>
                <w:szCs w:val="24"/>
              </w:rPr>
            </w:pPr>
            <w:r w:rsidRPr="008D7156">
              <w:rPr>
                <w:sz w:val="22"/>
                <w:szCs w:val="24"/>
              </w:rPr>
              <w:t>2</w:t>
            </w:r>
          </w:p>
        </w:tc>
      </w:tr>
      <w:tr w:rsidR="00F20CFD" w:rsidRPr="001E3EF7" w14:paraId="7556AEA5" w14:textId="77777777">
        <w:trPr>
          <w:trHeight w:val="1701"/>
        </w:trPr>
        <w:tc>
          <w:tcPr>
            <w:tcW w:w="8175" w:type="dxa"/>
            <w:tcBorders>
              <w:top w:val="single" w:sz="6" w:space="0" w:color="000000"/>
              <w:left w:val="single" w:sz="6" w:space="0" w:color="000000"/>
              <w:right w:val="single" w:sz="6" w:space="0" w:color="000000"/>
            </w:tcBorders>
          </w:tcPr>
          <w:p w14:paraId="1EC090BC" w14:textId="77777777" w:rsidR="00F20CFD" w:rsidRPr="008D7156" w:rsidRDefault="00F20CFD" w:rsidP="00EA7BF5">
            <w:pPr>
              <w:rPr>
                <w:sz w:val="22"/>
                <w:szCs w:val="24"/>
              </w:rPr>
            </w:pPr>
            <w:r w:rsidRPr="008D7156">
              <w:rPr>
                <w:sz w:val="22"/>
                <w:szCs w:val="24"/>
              </w:rPr>
              <w:t>Поражение печени средней и тяжелой степени</w:t>
            </w:r>
          </w:p>
          <w:p w14:paraId="5C7D4966" w14:textId="77777777" w:rsidR="00F20CFD" w:rsidRPr="008D7156" w:rsidRDefault="00F20CFD" w:rsidP="00EA7BF5">
            <w:pPr>
              <w:ind w:firstLine="709"/>
              <w:rPr>
                <w:sz w:val="22"/>
                <w:szCs w:val="24"/>
              </w:rPr>
            </w:pPr>
            <w:r w:rsidRPr="008D7156">
              <w:rPr>
                <w:sz w:val="22"/>
                <w:szCs w:val="24"/>
              </w:rPr>
              <w:t>цирроз</w:t>
            </w:r>
          </w:p>
          <w:p w14:paraId="4D75A45F" w14:textId="77777777" w:rsidR="00F20CFD" w:rsidRPr="008D7156" w:rsidRDefault="00F20CFD" w:rsidP="00EA7BF5">
            <w:pPr>
              <w:ind w:firstLine="709"/>
              <w:rPr>
                <w:sz w:val="22"/>
                <w:szCs w:val="24"/>
              </w:rPr>
            </w:pPr>
            <w:r w:rsidRPr="008D7156">
              <w:rPr>
                <w:sz w:val="22"/>
                <w:szCs w:val="24"/>
              </w:rPr>
              <w:t>фиброз</w:t>
            </w:r>
          </w:p>
          <w:p w14:paraId="352FB3F1" w14:textId="77777777" w:rsidR="00F20CFD" w:rsidRPr="008D7156" w:rsidRDefault="00F20CFD" w:rsidP="00F53E12">
            <w:pPr>
              <w:ind w:firstLine="717"/>
              <w:rPr>
                <w:sz w:val="22"/>
                <w:szCs w:val="24"/>
              </w:rPr>
            </w:pPr>
            <w:r w:rsidRPr="008D7156">
              <w:rPr>
                <w:sz w:val="22"/>
                <w:szCs w:val="24"/>
              </w:rPr>
              <w:t>персистирующая гипербилирубинемия &gt;1,5×ВГН или</w:t>
            </w:r>
          </w:p>
          <w:p w14:paraId="0216FFD1" w14:textId="77777777" w:rsidR="00F20CFD" w:rsidRPr="008D7156" w:rsidRDefault="00F20CFD" w:rsidP="00F53E12">
            <w:pPr>
              <w:ind w:firstLine="717"/>
              <w:rPr>
                <w:sz w:val="22"/>
                <w:szCs w:val="24"/>
              </w:rPr>
            </w:pPr>
            <w:r w:rsidRPr="008D7156">
              <w:rPr>
                <w:sz w:val="22"/>
                <w:szCs w:val="24"/>
              </w:rPr>
              <w:t>АСТ/АЛТ &gt;2,5×ВГН</w:t>
            </w:r>
          </w:p>
        </w:tc>
        <w:tc>
          <w:tcPr>
            <w:tcW w:w="1110" w:type="dxa"/>
            <w:tcBorders>
              <w:top w:val="single" w:sz="6" w:space="0" w:color="000000"/>
              <w:left w:val="single" w:sz="6" w:space="0" w:color="000000"/>
              <w:bottom w:val="single" w:sz="6" w:space="0" w:color="000000"/>
              <w:right w:val="single" w:sz="6" w:space="0" w:color="000000"/>
            </w:tcBorders>
          </w:tcPr>
          <w:p w14:paraId="4760B18B" w14:textId="77777777" w:rsidR="00F20CFD" w:rsidRPr="008D7156" w:rsidRDefault="00F20CFD" w:rsidP="00A57C24">
            <w:pPr>
              <w:jc w:val="center"/>
              <w:rPr>
                <w:sz w:val="22"/>
                <w:szCs w:val="24"/>
              </w:rPr>
            </w:pPr>
          </w:p>
          <w:p w14:paraId="6387F950" w14:textId="77777777" w:rsidR="00F20CFD" w:rsidRPr="008D7156" w:rsidRDefault="00F20CFD" w:rsidP="00A57C24">
            <w:pPr>
              <w:jc w:val="center"/>
              <w:rPr>
                <w:sz w:val="22"/>
                <w:szCs w:val="24"/>
              </w:rPr>
            </w:pPr>
          </w:p>
          <w:p w14:paraId="72745E68" w14:textId="77777777" w:rsidR="00F20CFD" w:rsidRPr="008D7156" w:rsidRDefault="00F20CFD" w:rsidP="00A57C24">
            <w:pPr>
              <w:jc w:val="center"/>
              <w:rPr>
                <w:sz w:val="22"/>
                <w:szCs w:val="24"/>
              </w:rPr>
            </w:pPr>
            <w:r w:rsidRPr="008D7156">
              <w:rPr>
                <w:sz w:val="22"/>
                <w:szCs w:val="24"/>
              </w:rPr>
              <w:t>1</w:t>
            </w:r>
          </w:p>
        </w:tc>
      </w:tr>
      <w:tr w:rsidR="00F20CFD" w:rsidRPr="001E3EF7" w14:paraId="4E8DA2A3" w14:textId="77777777">
        <w:trPr>
          <w:trHeight w:val="1257"/>
        </w:trPr>
        <w:tc>
          <w:tcPr>
            <w:tcW w:w="8175" w:type="dxa"/>
            <w:tcBorders>
              <w:top w:val="single" w:sz="6" w:space="0" w:color="000000"/>
              <w:left w:val="single" w:sz="6" w:space="0" w:color="000000"/>
              <w:right w:val="single" w:sz="6" w:space="0" w:color="000000"/>
            </w:tcBorders>
          </w:tcPr>
          <w:p w14:paraId="1976DB51" w14:textId="77777777" w:rsidR="00F20CFD" w:rsidRPr="008D7156" w:rsidRDefault="00F20CFD" w:rsidP="00EA7BF5">
            <w:pPr>
              <w:rPr>
                <w:sz w:val="22"/>
                <w:szCs w:val="24"/>
              </w:rPr>
            </w:pPr>
            <w:r w:rsidRPr="008D7156">
              <w:rPr>
                <w:sz w:val="22"/>
                <w:szCs w:val="24"/>
              </w:rPr>
              <w:t>Поражение легких тяжелой степени</w:t>
            </w:r>
          </w:p>
          <w:p w14:paraId="7FC87123" w14:textId="77777777" w:rsidR="00F20CFD" w:rsidRPr="008D7156" w:rsidRDefault="00F20CFD" w:rsidP="0083557A">
            <w:pPr>
              <w:ind w:firstLine="709"/>
              <w:rPr>
                <w:sz w:val="22"/>
                <w:szCs w:val="24"/>
              </w:rPr>
            </w:pPr>
            <w:r w:rsidRPr="008D7156">
              <w:rPr>
                <w:sz w:val="22"/>
                <w:szCs w:val="24"/>
              </w:rPr>
              <w:t>диффузная способность и/или объем форсированного выдоха</w:t>
            </w:r>
          </w:p>
          <w:p w14:paraId="47A94D31" w14:textId="77777777" w:rsidR="00F20CFD" w:rsidRPr="008D7156" w:rsidRDefault="00F20CFD" w:rsidP="0083557A">
            <w:pPr>
              <w:ind w:firstLine="709"/>
              <w:rPr>
                <w:sz w:val="22"/>
                <w:szCs w:val="24"/>
              </w:rPr>
            </w:pPr>
            <w:r w:rsidRPr="008D7156">
              <w:rPr>
                <w:sz w:val="22"/>
                <w:szCs w:val="24"/>
              </w:rPr>
              <w:t>за 1 с ≤65% или диспноэ в покое или необходимость в оксигенации</w:t>
            </w:r>
          </w:p>
        </w:tc>
        <w:tc>
          <w:tcPr>
            <w:tcW w:w="1110" w:type="dxa"/>
            <w:tcBorders>
              <w:top w:val="single" w:sz="6" w:space="0" w:color="000000"/>
              <w:left w:val="single" w:sz="6" w:space="0" w:color="000000"/>
              <w:bottom w:val="single" w:sz="6" w:space="0" w:color="000000"/>
              <w:right w:val="single" w:sz="6" w:space="0" w:color="000000"/>
            </w:tcBorders>
          </w:tcPr>
          <w:p w14:paraId="450325D8" w14:textId="77777777" w:rsidR="00F20CFD" w:rsidRPr="008D7156" w:rsidRDefault="00F20CFD" w:rsidP="00A57C24">
            <w:pPr>
              <w:jc w:val="center"/>
              <w:rPr>
                <w:sz w:val="22"/>
                <w:szCs w:val="24"/>
              </w:rPr>
            </w:pPr>
          </w:p>
          <w:p w14:paraId="24CFAF87" w14:textId="77777777" w:rsidR="00F20CFD" w:rsidRPr="008D7156" w:rsidRDefault="00F20CFD" w:rsidP="00A57C24">
            <w:pPr>
              <w:jc w:val="center"/>
              <w:rPr>
                <w:sz w:val="22"/>
                <w:szCs w:val="24"/>
              </w:rPr>
            </w:pPr>
            <w:r w:rsidRPr="008D7156">
              <w:rPr>
                <w:sz w:val="22"/>
                <w:szCs w:val="24"/>
              </w:rPr>
              <w:t>1</w:t>
            </w:r>
          </w:p>
        </w:tc>
      </w:tr>
      <w:tr w:rsidR="00F20CFD" w:rsidRPr="001E3EF7" w14:paraId="1F146854" w14:textId="77777777">
        <w:trPr>
          <w:trHeight w:val="1701"/>
        </w:trPr>
        <w:tc>
          <w:tcPr>
            <w:tcW w:w="8175" w:type="dxa"/>
            <w:tcBorders>
              <w:top w:val="single" w:sz="6" w:space="0" w:color="000000"/>
              <w:left w:val="single" w:sz="6" w:space="0" w:color="000000"/>
              <w:right w:val="single" w:sz="6" w:space="0" w:color="000000"/>
            </w:tcBorders>
          </w:tcPr>
          <w:p w14:paraId="2AA523D4" w14:textId="77777777" w:rsidR="00F20CFD" w:rsidRPr="008D7156" w:rsidRDefault="00F20CFD" w:rsidP="00EA7BF5">
            <w:pPr>
              <w:rPr>
                <w:sz w:val="22"/>
                <w:szCs w:val="24"/>
              </w:rPr>
            </w:pPr>
            <w:r w:rsidRPr="008D7156">
              <w:rPr>
                <w:sz w:val="22"/>
                <w:szCs w:val="24"/>
              </w:rPr>
              <w:t>Болезни почек</w:t>
            </w:r>
          </w:p>
          <w:p w14:paraId="1C5C42FA" w14:textId="77777777" w:rsidR="00F20CFD" w:rsidRPr="008D7156" w:rsidRDefault="00F20CFD" w:rsidP="00EA7BF5">
            <w:pPr>
              <w:ind w:firstLine="709"/>
              <w:rPr>
                <w:sz w:val="22"/>
                <w:szCs w:val="24"/>
              </w:rPr>
            </w:pPr>
            <w:r w:rsidRPr="008D7156">
              <w:rPr>
                <w:sz w:val="22"/>
                <w:szCs w:val="24"/>
              </w:rPr>
              <w:t>персистирующая креатининемия &gt;2 мг/дл</w:t>
            </w:r>
          </w:p>
          <w:p w14:paraId="1A8224D3" w14:textId="77777777" w:rsidR="00F20CFD" w:rsidRPr="008D7156" w:rsidRDefault="00F20CFD" w:rsidP="00EA7BF5">
            <w:pPr>
              <w:ind w:firstLine="709"/>
              <w:rPr>
                <w:sz w:val="22"/>
                <w:szCs w:val="24"/>
              </w:rPr>
            </w:pPr>
            <w:r w:rsidRPr="008D7156">
              <w:rPr>
                <w:sz w:val="22"/>
                <w:szCs w:val="24"/>
              </w:rPr>
              <w:t>гемодиализ</w:t>
            </w:r>
          </w:p>
          <w:p w14:paraId="0DCB6861" w14:textId="77777777" w:rsidR="00F20CFD" w:rsidRPr="008D7156" w:rsidRDefault="00F20CFD" w:rsidP="00EA7BF5">
            <w:pPr>
              <w:ind w:firstLine="709"/>
              <w:rPr>
                <w:sz w:val="22"/>
                <w:szCs w:val="24"/>
              </w:rPr>
            </w:pPr>
            <w:r w:rsidRPr="008D7156">
              <w:rPr>
                <w:sz w:val="22"/>
                <w:szCs w:val="24"/>
              </w:rPr>
              <w:t>трансплантация</w:t>
            </w:r>
          </w:p>
        </w:tc>
        <w:tc>
          <w:tcPr>
            <w:tcW w:w="1110" w:type="dxa"/>
            <w:tcBorders>
              <w:top w:val="single" w:sz="6" w:space="0" w:color="000000"/>
              <w:left w:val="single" w:sz="6" w:space="0" w:color="000000"/>
              <w:bottom w:val="single" w:sz="6" w:space="0" w:color="000000"/>
              <w:right w:val="single" w:sz="6" w:space="0" w:color="000000"/>
            </w:tcBorders>
          </w:tcPr>
          <w:p w14:paraId="4F700DC8" w14:textId="77777777" w:rsidR="00F20CFD" w:rsidRPr="008D7156" w:rsidRDefault="00F20CFD" w:rsidP="00A57C24">
            <w:pPr>
              <w:jc w:val="center"/>
              <w:rPr>
                <w:sz w:val="22"/>
                <w:szCs w:val="24"/>
              </w:rPr>
            </w:pPr>
          </w:p>
          <w:p w14:paraId="18CD8282" w14:textId="77777777" w:rsidR="00F20CFD" w:rsidRPr="008D7156" w:rsidRDefault="00F20CFD" w:rsidP="00A57C24">
            <w:pPr>
              <w:jc w:val="center"/>
              <w:rPr>
                <w:sz w:val="22"/>
                <w:szCs w:val="24"/>
              </w:rPr>
            </w:pPr>
            <w:r w:rsidRPr="008D7156">
              <w:rPr>
                <w:sz w:val="22"/>
                <w:szCs w:val="24"/>
              </w:rPr>
              <w:t>1</w:t>
            </w:r>
          </w:p>
        </w:tc>
      </w:tr>
      <w:tr w:rsidR="00F20CFD" w:rsidRPr="001E3EF7" w14:paraId="147DC51E" w14:textId="77777777">
        <w:trPr>
          <w:trHeight w:val="843"/>
        </w:trPr>
        <w:tc>
          <w:tcPr>
            <w:tcW w:w="8175" w:type="dxa"/>
            <w:tcBorders>
              <w:top w:val="single" w:sz="6" w:space="0" w:color="000000"/>
              <w:left w:val="single" w:sz="6" w:space="0" w:color="000000"/>
              <w:bottom w:val="outset" w:sz="6" w:space="0" w:color="auto"/>
              <w:right w:val="single" w:sz="6" w:space="0" w:color="000000"/>
            </w:tcBorders>
          </w:tcPr>
          <w:p w14:paraId="6CF333B5" w14:textId="77777777" w:rsidR="00F20CFD" w:rsidRPr="008D7156" w:rsidRDefault="00F20CFD" w:rsidP="00EA7BF5">
            <w:pPr>
              <w:rPr>
                <w:sz w:val="22"/>
                <w:szCs w:val="24"/>
              </w:rPr>
            </w:pPr>
            <w:r w:rsidRPr="008D7156">
              <w:rPr>
                <w:sz w:val="22"/>
                <w:szCs w:val="24"/>
              </w:rPr>
              <w:t>Солидная опухоль</w:t>
            </w:r>
          </w:p>
          <w:p w14:paraId="491394C0" w14:textId="77777777" w:rsidR="00F20CFD" w:rsidRPr="008D7156" w:rsidRDefault="00F20CFD" w:rsidP="00EA7BF5">
            <w:pPr>
              <w:ind w:firstLine="709"/>
              <w:rPr>
                <w:sz w:val="22"/>
                <w:szCs w:val="24"/>
              </w:rPr>
            </w:pPr>
            <w:r w:rsidRPr="008D7156">
              <w:rPr>
                <w:sz w:val="22"/>
                <w:szCs w:val="24"/>
              </w:rPr>
              <w:t>опухоль в анамнезе, за исключением немеланомного рака кожи</w:t>
            </w:r>
          </w:p>
        </w:tc>
        <w:tc>
          <w:tcPr>
            <w:tcW w:w="1110" w:type="dxa"/>
            <w:tcBorders>
              <w:top w:val="single" w:sz="6" w:space="0" w:color="000000"/>
              <w:left w:val="single" w:sz="6" w:space="0" w:color="000000"/>
              <w:bottom w:val="single" w:sz="6" w:space="0" w:color="000000"/>
              <w:right w:val="single" w:sz="6" w:space="0" w:color="000000"/>
            </w:tcBorders>
          </w:tcPr>
          <w:p w14:paraId="0F3E561B" w14:textId="77777777" w:rsidR="00F20CFD" w:rsidRPr="008D7156" w:rsidRDefault="00F20CFD" w:rsidP="00A57C24">
            <w:pPr>
              <w:jc w:val="center"/>
              <w:rPr>
                <w:sz w:val="22"/>
                <w:szCs w:val="24"/>
              </w:rPr>
            </w:pPr>
          </w:p>
          <w:p w14:paraId="657A00CE" w14:textId="77777777" w:rsidR="00F20CFD" w:rsidRPr="008D7156" w:rsidRDefault="00F20CFD" w:rsidP="00A57C24">
            <w:pPr>
              <w:jc w:val="center"/>
              <w:rPr>
                <w:sz w:val="22"/>
                <w:szCs w:val="24"/>
              </w:rPr>
            </w:pPr>
            <w:r w:rsidRPr="008D7156">
              <w:rPr>
                <w:sz w:val="22"/>
                <w:szCs w:val="24"/>
              </w:rPr>
              <w:t>1</w:t>
            </w:r>
          </w:p>
        </w:tc>
      </w:tr>
    </w:tbl>
    <w:p w14:paraId="37FFC10D" w14:textId="77777777" w:rsidR="00794D61" w:rsidRPr="006A377C" w:rsidRDefault="00794D61" w:rsidP="00794D61">
      <w:pPr>
        <w:ind w:firstLine="709"/>
        <w:rPr>
          <w:szCs w:val="24"/>
        </w:rPr>
      </w:pPr>
      <w:r w:rsidRPr="006A377C">
        <w:rPr>
          <w:szCs w:val="24"/>
        </w:rPr>
        <w:t>По сумме баллов, присвоенных каждому показателю, определяется прогностический вариант MDS-CI: низкий (0), промежуточный (1</w:t>
      </w:r>
      <w:r w:rsidRPr="006A377C">
        <w:rPr>
          <w:i/>
          <w:szCs w:val="24"/>
        </w:rPr>
        <w:t>–</w:t>
      </w:r>
      <w:r w:rsidRPr="006A377C">
        <w:rPr>
          <w:szCs w:val="24"/>
        </w:rPr>
        <w:t>2) и высокий (≥3 баллов). Последующее применение индекса коморбидности позволяет стратифицировать пациентов из группы низкого и промежуточного риска (но не высокого и очень высокого) на группы с разной выживаемостью. При прочих равных условиях высокое значение индекса MDS-CI как увеличивает риск смерти от причин, не связанных с трансформацией в ОЛ (HR 2,46; p &lt;0,001), так и уменьшает показатели ОВ в целом (HR 2,09; p &lt;0,001).</w:t>
      </w:r>
    </w:p>
    <w:p w14:paraId="699DEF8E" w14:textId="77777777" w:rsidR="00F20CFD" w:rsidRDefault="00F20CFD" w:rsidP="00A57C24">
      <w:pPr>
        <w:rPr>
          <w:sz w:val="28"/>
          <w:szCs w:val="28"/>
        </w:rPr>
      </w:pPr>
    </w:p>
    <w:p w14:paraId="6AFC00A3" w14:textId="77777777" w:rsidR="00F20CFD" w:rsidRPr="00A57C24" w:rsidRDefault="00F20CFD" w:rsidP="00A57C24"/>
    <w:p w14:paraId="60B15630" w14:textId="77777777" w:rsidR="00F20CFD" w:rsidRPr="00A57C24" w:rsidRDefault="00F20CFD" w:rsidP="00A57C24"/>
    <w:p w14:paraId="0E445BB6" w14:textId="77777777" w:rsidR="00F20CFD" w:rsidRPr="00A57C24" w:rsidRDefault="00F20CFD" w:rsidP="00A57C24"/>
    <w:p w14:paraId="6F7F1AA6" w14:textId="77777777" w:rsidR="00F20CFD" w:rsidRPr="00A57C24" w:rsidRDefault="00F20CFD" w:rsidP="00A57C24"/>
    <w:p w14:paraId="7A2E41B8" w14:textId="77777777" w:rsidR="00F20CFD" w:rsidRPr="00C413F9" w:rsidRDefault="00BB4583" w:rsidP="00C413F9">
      <w:pPr>
        <w:pStyle w:val="2"/>
        <w:jc w:val="center"/>
        <w:rPr>
          <w:sz w:val="28"/>
          <w:szCs w:val="28"/>
          <w:u w:val="none"/>
        </w:rPr>
      </w:pPr>
      <w:r>
        <w:rPr>
          <w:sz w:val="28"/>
          <w:szCs w:val="28"/>
          <w:u w:val="none"/>
        </w:rPr>
        <w:br w:type="page"/>
      </w:r>
      <w:bookmarkStart w:id="211" w:name="_Toc65104135"/>
      <w:r w:rsidR="00F20CFD" w:rsidRPr="00C413F9">
        <w:rPr>
          <w:sz w:val="28"/>
          <w:szCs w:val="28"/>
          <w:u w:val="none"/>
        </w:rPr>
        <w:t>Приложение Г</w:t>
      </w:r>
      <w:r w:rsidR="00B63F37">
        <w:rPr>
          <w:sz w:val="28"/>
          <w:szCs w:val="28"/>
          <w:u w:val="none"/>
        </w:rPr>
        <w:t>3</w:t>
      </w:r>
      <w:r w:rsidR="00F20CFD" w:rsidRPr="00C413F9">
        <w:rPr>
          <w:sz w:val="28"/>
          <w:szCs w:val="28"/>
          <w:u w:val="none"/>
        </w:rPr>
        <w:t>. Шкала коморбидности для пациентов, которым планируется трансплантация гемопоэтических стволовых клеток</w:t>
      </w:r>
      <w:bookmarkEnd w:id="211"/>
    </w:p>
    <w:p w14:paraId="5B9C33F1" w14:textId="40DFBB11" w:rsidR="00794D61" w:rsidRDefault="00794D61" w:rsidP="00794D61">
      <w:pPr>
        <w:ind w:firstLine="709"/>
      </w:pPr>
      <w:r>
        <w:rPr>
          <w:szCs w:val="24"/>
        </w:rPr>
        <w:t>У</w:t>
      </w:r>
      <w:r w:rsidRPr="00A57C24">
        <w:rPr>
          <w:szCs w:val="24"/>
        </w:rPr>
        <w:t xml:space="preserve"> </w:t>
      </w:r>
      <w:r>
        <w:rPr>
          <w:szCs w:val="24"/>
        </w:rPr>
        <w:t>пациентов, которым планируется трансплантация гемопоэтических стволовых клеток, необходимо оценивать коморбидность пациента по</w:t>
      </w:r>
      <w:r w:rsidRPr="00794D61">
        <w:rPr>
          <w:szCs w:val="24"/>
        </w:rPr>
        <w:t xml:space="preserve"> индексу коморбидности ТГСК (HCT-CI</w:t>
      </w:r>
      <w:r>
        <w:rPr>
          <w:szCs w:val="24"/>
        </w:rPr>
        <w:t xml:space="preserve">) </w:t>
      </w:r>
      <w:r w:rsidRPr="006A377C">
        <w:rPr>
          <w:b/>
          <w:bCs/>
          <w:szCs w:val="24"/>
        </w:rPr>
        <w:fldChar w:fldCharType="begin" w:fldLock="1"/>
      </w:r>
      <w:r w:rsidR="00F15197">
        <w:rPr>
          <w:b/>
          <w:bCs/>
          <w:szCs w:val="24"/>
        </w:rPr>
        <w:instrText>ADDIN CSL_CITATION {"citationItems":[{"id":"ITEM-1","itemData":{"DOI":"10.1182/blood-2005-05-2004","ISSN":"0006-4971","PMID":"15994282","abstract":"We previously reported that the Charlson Comorbidity Index (CCI) was useful for predicting outcomes in patients undergoing allogeneic hematopoietic cell transplantation (HCT). However, the sample size of patients with scores of 1 or more, captured by the CCI, did not exceed 35%. Further, some comorbidities were rarely found among patients who underwent HCT. Therefore, the current study was designed to (1) better define previously identified comorbidities using pretransplant laboratory data, (2) investigate additional HCT-related comorbidities, and (3) establish comorbidity scores that were suited for HCT. Data were collected from 1055 patients, and then randomly divided into training and validation sets. Weights were assigned to individual comorbidities according to their prognostic significance in Cox proportional hazard models. The new index was then validated. The new index proved to be more sensitive than the CCI since it captured 62% of patients with scores more than 0 compared with 12%, respectively. Further, the new index showed better survival prediction than the CCI (likelihood ratio of 23.7 versus 7.1 and c statistics of 0.661 versus 0.561, respectively, P &lt; .001). In conclusion, the new simple index provided valid and reliable scoring of pretransplant comorbidities that predicted nonrelapse mortality and survival. This index will be useful for clinical trials and patient counseling before HCT.","author":[{"dropping-particle":"","family":"Sorror","given":"Mohamed L","non-dropping-particle":"","parse-names":false,"suffix":""},{"dropping-particle":"","family":"Maris","given":"Michael B","non-dropping-particle":"","parse-names":false,"suffix":""},{"dropping-particle":"","family":"Storb","given":"Rainer","non-dropping-particle":"","parse-names":false,"suffix":""},{"dropping-particle":"","family":"Baron","given":"Frederic","non-dropping-particle":"","parse-names":false,"suffix":""},{"dropping-particle":"","family":"Sandmaier","given":"Brenda M","non-dropping-particle":"","parse-names":false,"suffix":""},{"dropping-particle":"","family":"Maloney","given":"David G","non-dropping-particle":"","parse-names":false,"suffix":""},{"dropping-particle":"","family":"Storer","given":"Barry","non-dropping-particle":"","parse-names":false,"suffix":""}],"container-title":"Blood","id":"ITEM-1","issue":"8","issued":{"date-parts":[["2005","10","15"]]},"page":"2912-9","publisher":"The American Society of Hematology","title":"Hematopoietic cell transplantation (HCT)-specific comorbidity index: a new tool for risk assessment before allogeneic HCT.","type":"article-journal","volume":"106"},"uris":["http://www.mendeley.com/documents/?uuid=93f8ea95-5d4b-450a-a6fa-9a8772dd6e52"]}],"mendeley":{"formattedCitation":"[105]","plainTextFormattedCitation":"[105]","previouslyFormattedCitation":"[105]"},"properties":{"noteIndex":0},"schema":"https://github.com/citation-style-language/schema/raw/master/csl-citation.json"}</w:instrText>
      </w:r>
      <w:r w:rsidRPr="006A377C">
        <w:rPr>
          <w:b/>
          <w:bCs/>
          <w:szCs w:val="24"/>
        </w:rPr>
        <w:fldChar w:fldCharType="separate"/>
      </w:r>
      <w:r w:rsidR="00AE1E12" w:rsidRPr="00AE1E12">
        <w:rPr>
          <w:bCs/>
          <w:noProof/>
          <w:szCs w:val="24"/>
        </w:rPr>
        <w:t>[105]</w:t>
      </w:r>
      <w:r w:rsidRPr="006A377C">
        <w:rPr>
          <w:b/>
          <w:bCs/>
          <w:szCs w:val="24"/>
        </w:rPr>
        <w:fldChar w:fldCharType="end"/>
      </w:r>
      <w:r w:rsidRPr="006A377C">
        <w:rPr>
          <w:szCs w:val="24"/>
        </w:rPr>
        <w:t>.</w:t>
      </w:r>
    </w:p>
    <w:p w14:paraId="12818762" w14:textId="77777777" w:rsidR="00794D61" w:rsidRPr="003D0D96" w:rsidRDefault="00794D61" w:rsidP="00794D61">
      <w:r>
        <w:t>Оригинальное</w:t>
      </w:r>
      <w:r w:rsidRPr="003D0D96">
        <w:t xml:space="preserve"> </w:t>
      </w:r>
      <w:r>
        <w:t>название</w:t>
      </w:r>
      <w:r w:rsidRPr="003D0D96">
        <w:t xml:space="preserve">: </w:t>
      </w:r>
      <w:r>
        <w:rPr>
          <w:lang w:val="en-US"/>
        </w:rPr>
        <w:t>Hematopoietic</w:t>
      </w:r>
      <w:r w:rsidRPr="003D0D96">
        <w:t xml:space="preserve"> </w:t>
      </w:r>
      <w:r>
        <w:rPr>
          <w:lang w:val="en-US"/>
        </w:rPr>
        <w:t>cell</w:t>
      </w:r>
      <w:r w:rsidRPr="003D0D96">
        <w:t xml:space="preserve"> </w:t>
      </w:r>
      <w:r>
        <w:rPr>
          <w:lang w:val="en-US"/>
        </w:rPr>
        <w:t>transplantation</w:t>
      </w:r>
      <w:r w:rsidRPr="003D0D96">
        <w:t xml:space="preserve"> </w:t>
      </w:r>
      <w:r>
        <w:rPr>
          <w:lang w:val="en-US"/>
        </w:rPr>
        <w:t>comorbidity</w:t>
      </w:r>
      <w:r w:rsidRPr="003D0D96">
        <w:t xml:space="preserve"> </w:t>
      </w:r>
      <w:r>
        <w:rPr>
          <w:lang w:val="en-US"/>
        </w:rPr>
        <w:t>index</w:t>
      </w:r>
    </w:p>
    <w:p w14:paraId="0E33847C" w14:textId="77777777" w:rsidR="00794D61" w:rsidRPr="00086CF8" w:rsidRDefault="00794D61" w:rsidP="00794D61">
      <w:r>
        <w:t>Тип</w:t>
      </w:r>
      <w:r w:rsidRPr="00086CF8">
        <w:t xml:space="preserve">: </w:t>
      </w:r>
      <w:r>
        <w:t>шкала</w:t>
      </w:r>
      <w:r w:rsidRPr="00086CF8">
        <w:t xml:space="preserve"> </w:t>
      </w:r>
      <w:r>
        <w:t>оценки</w:t>
      </w:r>
    </w:p>
    <w:p w14:paraId="696E4044" w14:textId="77777777" w:rsidR="00794D61" w:rsidRDefault="00794D61" w:rsidP="00794D61">
      <w:r>
        <w:t xml:space="preserve">Назначение: клиническая оценка коморбидности </w:t>
      </w:r>
    </w:p>
    <w:p w14:paraId="45A46BE3" w14:textId="77777777" w:rsidR="00794D61" w:rsidRDefault="00794D61" w:rsidP="00794D61">
      <w:r>
        <w:t xml:space="preserve">Содержание и интерпретация: </w:t>
      </w:r>
    </w:p>
    <w:p w14:paraId="4FCBAE9E" w14:textId="62FFBF41" w:rsidR="00F20CFD" w:rsidRPr="006A377C" w:rsidRDefault="00F20CFD" w:rsidP="009F6451">
      <w:pPr>
        <w:rPr>
          <w:b/>
          <w:bCs/>
          <w:szCs w:val="24"/>
        </w:rPr>
      </w:pPr>
      <w:r w:rsidRPr="006A377C">
        <w:rPr>
          <w:b/>
          <w:bCs/>
          <w:szCs w:val="24"/>
        </w:rPr>
        <w:t>Шкала коморбидности для пациентов, которым планируется трансплантация гемопоэтических стволовых клеток (</w:t>
      </w:r>
      <w:r w:rsidRPr="006A377C">
        <w:rPr>
          <w:b/>
          <w:bCs/>
          <w:szCs w:val="24"/>
          <w:lang w:val="en-US"/>
        </w:rPr>
        <w:t>HSC</w:t>
      </w:r>
      <w:r w:rsidRPr="006A377C">
        <w:rPr>
          <w:b/>
          <w:bCs/>
          <w:szCs w:val="24"/>
        </w:rPr>
        <w:t>-</w:t>
      </w:r>
      <w:r w:rsidRPr="006A377C">
        <w:rPr>
          <w:b/>
          <w:bCs/>
          <w:szCs w:val="24"/>
          <w:lang w:val="en-US"/>
        </w:rPr>
        <w:t>CI</w:t>
      </w:r>
      <w:r w:rsidRPr="006A377C">
        <w:rPr>
          <w:b/>
          <w:bCs/>
          <w:szCs w:val="24"/>
        </w:rPr>
        <w:t xml:space="preserve">) </w:t>
      </w:r>
      <w:r w:rsidRPr="006A377C">
        <w:rPr>
          <w:b/>
          <w:bCs/>
          <w:szCs w:val="24"/>
        </w:rPr>
        <w:fldChar w:fldCharType="begin" w:fldLock="1"/>
      </w:r>
      <w:r w:rsidR="00F15197">
        <w:rPr>
          <w:b/>
          <w:bCs/>
          <w:szCs w:val="24"/>
        </w:rPr>
        <w:instrText>ADDIN CSL_CITATION {"citationItems":[{"id":"ITEM-1","itemData":{"DOI":"10.1182/blood-2005-05-2004","ISSN":"0006-4971","PMID":"15994282","abstract":"We previously reported that the Charlson Comorbidity Index (CCI) was useful for predicting outcomes in patients undergoing allogeneic hematopoietic cell transplantation (HCT). However, the sample size of patients with scores of 1 or more, captured by the CCI, did not exceed 35%. Further, some comorbidities were rarely found among patients who underwent HCT. Therefore, the current study was designed to (1) better define previously identified comorbidities using pretransplant laboratory data, (2) investigate additional HCT-related comorbidities, and (3) establish comorbidity scores that were suited for HCT. Data were collected from 1055 patients, and then randomly divided into training and validation sets. Weights were assigned to individual comorbidities according to their prognostic significance in Cox proportional hazard models. The new index was then validated. The new index proved to be more sensitive than the CCI since it captured 62% of patients with scores more than 0 compared with 12%, respectively. Further, the new index showed better survival prediction than the CCI (likelihood ratio of 23.7 versus 7.1 and c statistics of 0.661 versus 0.561, respectively, P &lt; .001). In conclusion, the new simple index provided valid and reliable scoring of pretransplant comorbidities that predicted nonrelapse mortality and survival. This index will be useful for clinical trials and patient counseling before HCT.","author":[{"dropping-particle":"","family":"Sorror","given":"Mohamed L","non-dropping-particle":"","parse-names":false,"suffix":""},{"dropping-particle":"","family":"Maris","given":"Michael B","non-dropping-particle":"","parse-names":false,"suffix":""},{"dropping-particle":"","family":"Storb","given":"Rainer","non-dropping-particle":"","parse-names":false,"suffix":""},{"dropping-particle":"","family":"Baron","given":"Frederic","non-dropping-particle":"","parse-names":false,"suffix":""},{"dropping-particle":"","family":"Sandmaier","given":"Brenda M","non-dropping-particle":"","parse-names":false,"suffix":""},{"dropping-particle":"","family":"Maloney","given":"David G","non-dropping-particle":"","parse-names":false,"suffix":""},{"dropping-particle":"","family":"Storer","given":"Barry","non-dropping-particle":"","parse-names":false,"suffix":""}],"container-title":"Blood","id":"ITEM-1","issue":"8","issued":{"date-parts":[["2005","10","15"]]},"page":"2912-9","publisher":"The American Society of Hematology","title":"Hematopoietic cell transplantation (HCT)-specific comorbidity index: a new tool for risk assessment before allogeneic HCT.","type":"article-journal","volume":"106"},"uris":["http://www.mendeley.com/documents/?uuid=93f8ea95-5d4b-450a-a6fa-9a8772dd6e52"]}],"mendeley":{"formattedCitation":"[105]","plainTextFormattedCitation":"[105]","previouslyFormattedCitation":"[105]"},"properties":{"noteIndex":0},"schema":"https://github.com/citation-style-language/schema/raw/master/csl-citation.json"}</w:instrText>
      </w:r>
      <w:r w:rsidRPr="006A377C">
        <w:rPr>
          <w:b/>
          <w:bCs/>
          <w:szCs w:val="24"/>
        </w:rPr>
        <w:fldChar w:fldCharType="separate"/>
      </w:r>
      <w:r w:rsidR="00AE1E12" w:rsidRPr="00AE1E12">
        <w:rPr>
          <w:bCs/>
          <w:noProof/>
          <w:szCs w:val="24"/>
        </w:rPr>
        <w:t>[105]</w:t>
      </w:r>
      <w:r w:rsidRPr="006A377C">
        <w:rPr>
          <w:b/>
          <w:bCs/>
          <w:szCs w:val="24"/>
        </w:rPr>
        <w:fldChar w:fldCharType="end"/>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7"/>
        <w:gridCol w:w="1166"/>
      </w:tblGrid>
      <w:tr w:rsidR="00F20CFD" w:rsidRPr="001E3EF7" w14:paraId="39E97662" w14:textId="77777777" w:rsidTr="009C0CE5">
        <w:tc>
          <w:tcPr>
            <w:tcW w:w="8394" w:type="dxa"/>
          </w:tcPr>
          <w:p w14:paraId="53F6C45B" w14:textId="77777777" w:rsidR="00F20CFD" w:rsidRPr="008D7156" w:rsidRDefault="00F20CFD" w:rsidP="001E3EF7">
            <w:pPr>
              <w:jc w:val="center"/>
              <w:rPr>
                <w:b/>
                <w:sz w:val="22"/>
                <w:szCs w:val="24"/>
              </w:rPr>
            </w:pPr>
            <w:r w:rsidRPr="008D7156">
              <w:rPr>
                <w:b/>
                <w:sz w:val="22"/>
                <w:szCs w:val="24"/>
              </w:rPr>
              <w:t>Коморбидность</w:t>
            </w:r>
          </w:p>
        </w:tc>
        <w:tc>
          <w:tcPr>
            <w:tcW w:w="1177" w:type="dxa"/>
          </w:tcPr>
          <w:p w14:paraId="3CD7B28C" w14:textId="77777777" w:rsidR="00F20CFD" w:rsidRPr="008D7156" w:rsidRDefault="00F20CFD" w:rsidP="001E3EF7">
            <w:pPr>
              <w:jc w:val="center"/>
              <w:rPr>
                <w:b/>
                <w:sz w:val="22"/>
                <w:szCs w:val="24"/>
              </w:rPr>
            </w:pPr>
            <w:r w:rsidRPr="008D7156">
              <w:rPr>
                <w:b/>
                <w:sz w:val="22"/>
                <w:szCs w:val="24"/>
              </w:rPr>
              <w:t>Баллы</w:t>
            </w:r>
          </w:p>
        </w:tc>
      </w:tr>
      <w:tr w:rsidR="00F20CFD" w:rsidRPr="001E3EF7" w14:paraId="09807CEA" w14:textId="77777777" w:rsidTr="009C0CE5">
        <w:trPr>
          <w:trHeight w:val="2645"/>
        </w:trPr>
        <w:tc>
          <w:tcPr>
            <w:tcW w:w="8394" w:type="dxa"/>
          </w:tcPr>
          <w:p w14:paraId="4C6F590E" w14:textId="77777777" w:rsidR="00F20CFD" w:rsidRPr="008D7156" w:rsidRDefault="00F20CFD" w:rsidP="00EA7BF5">
            <w:pPr>
              <w:rPr>
                <w:b/>
                <w:sz w:val="22"/>
                <w:szCs w:val="24"/>
              </w:rPr>
            </w:pPr>
            <w:r w:rsidRPr="008D7156">
              <w:rPr>
                <w:b/>
                <w:sz w:val="22"/>
                <w:szCs w:val="24"/>
              </w:rPr>
              <w:t>Патология сердечно-сосудистой системы</w:t>
            </w:r>
          </w:p>
          <w:p w14:paraId="66B8448D" w14:textId="77777777" w:rsidR="00F20CFD" w:rsidRPr="008D7156" w:rsidRDefault="00F20CFD" w:rsidP="001E3EF7">
            <w:pPr>
              <w:ind w:left="567"/>
              <w:rPr>
                <w:sz w:val="22"/>
                <w:szCs w:val="24"/>
              </w:rPr>
            </w:pPr>
            <w:r w:rsidRPr="008D7156">
              <w:rPr>
                <w:sz w:val="22"/>
                <w:szCs w:val="24"/>
              </w:rPr>
              <w:t>Мерцательная аритмия или трепетание, синдром слабости синусового узла или желудочковые аритмии</w:t>
            </w:r>
          </w:p>
          <w:p w14:paraId="462AC697" w14:textId="77777777" w:rsidR="00F20CFD" w:rsidRPr="008D7156" w:rsidRDefault="00F20CFD" w:rsidP="001E3EF7">
            <w:pPr>
              <w:ind w:left="567"/>
              <w:rPr>
                <w:sz w:val="22"/>
                <w:szCs w:val="24"/>
              </w:rPr>
            </w:pPr>
            <w:r w:rsidRPr="008D7156">
              <w:rPr>
                <w:sz w:val="22"/>
                <w:szCs w:val="24"/>
              </w:rPr>
              <w:t xml:space="preserve">ИБС, застойная сердечная недостаточность, инфаркт миокарда или ФВ </w:t>
            </w:r>
            <w:r w:rsidRPr="008D7156">
              <w:rPr>
                <w:sz w:val="22"/>
                <w:szCs w:val="24"/>
                <w:u w:val="single"/>
              </w:rPr>
              <w:t>&lt;</w:t>
            </w:r>
            <w:r w:rsidRPr="008D7156">
              <w:rPr>
                <w:sz w:val="22"/>
                <w:szCs w:val="24"/>
              </w:rPr>
              <w:t>50%:</w:t>
            </w:r>
          </w:p>
          <w:p w14:paraId="721161E0" w14:textId="77777777" w:rsidR="00F20CFD" w:rsidRPr="008D7156" w:rsidRDefault="00F20CFD" w:rsidP="001E3EF7">
            <w:pPr>
              <w:ind w:left="567"/>
              <w:rPr>
                <w:sz w:val="22"/>
                <w:szCs w:val="24"/>
              </w:rPr>
            </w:pPr>
            <w:r w:rsidRPr="008D7156">
              <w:rPr>
                <w:sz w:val="22"/>
                <w:szCs w:val="24"/>
              </w:rPr>
              <w:t>Пороки сердца за исключением пролапса митрального клапана</w:t>
            </w:r>
          </w:p>
        </w:tc>
        <w:tc>
          <w:tcPr>
            <w:tcW w:w="1177" w:type="dxa"/>
          </w:tcPr>
          <w:p w14:paraId="1FE4B21B" w14:textId="77777777" w:rsidR="00F20CFD" w:rsidRPr="008D7156" w:rsidRDefault="00F20CFD" w:rsidP="001E3EF7">
            <w:pPr>
              <w:jc w:val="center"/>
              <w:rPr>
                <w:b/>
                <w:sz w:val="22"/>
                <w:szCs w:val="24"/>
              </w:rPr>
            </w:pPr>
          </w:p>
          <w:p w14:paraId="239186A9" w14:textId="77777777" w:rsidR="00F20CFD" w:rsidRPr="008D7156" w:rsidRDefault="00F20CFD" w:rsidP="001E3EF7">
            <w:pPr>
              <w:jc w:val="center"/>
              <w:rPr>
                <w:b/>
                <w:sz w:val="22"/>
                <w:szCs w:val="24"/>
              </w:rPr>
            </w:pPr>
          </w:p>
          <w:p w14:paraId="20E7B47F" w14:textId="77777777" w:rsidR="00F20CFD" w:rsidRPr="008D7156" w:rsidRDefault="00F20CFD" w:rsidP="001E3EF7">
            <w:pPr>
              <w:jc w:val="center"/>
              <w:rPr>
                <w:b/>
                <w:sz w:val="22"/>
                <w:szCs w:val="24"/>
              </w:rPr>
            </w:pPr>
            <w:r w:rsidRPr="008D7156">
              <w:rPr>
                <w:b/>
                <w:sz w:val="22"/>
                <w:szCs w:val="24"/>
              </w:rPr>
              <w:t>1</w:t>
            </w:r>
          </w:p>
          <w:p w14:paraId="74044154" w14:textId="77777777" w:rsidR="00F20CFD" w:rsidRPr="008D7156" w:rsidRDefault="00F20CFD" w:rsidP="001E3EF7">
            <w:pPr>
              <w:jc w:val="center"/>
              <w:rPr>
                <w:b/>
                <w:sz w:val="22"/>
                <w:szCs w:val="24"/>
              </w:rPr>
            </w:pPr>
          </w:p>
          <w:p w14:paraId="624B2182" w14:textId="77777777" w:rsidR="00F20CFD" w:rsidRPr="008D7156" w:rsidRDefault="00F20CFD" w:rsidP="001E3EF7">
            <w:pPr>
              <w:jc w:val="center"/>
              <w:rPr>
                <w:b/>
                <w:sz w:val="22"/>
                <w:szCs w:val="24"/>
              </w:rPr>
            </w:pPr>
            <w:r w:rsidRPr="008D7156">
              <w:rPr>
                <w:b/>
                <w:sz w:val="22"/>
                <w:szCs w:val="24"/>
              </w:rPr>
              <w:t>1</w:t>
            </w:r>
          </w:p>
          <w:p w14:paraId="77516AF0" w14:textId="77777777" w:rsidR="00F20CFD" w:rsidRPr="008D7156" w:rsidRDefault="00F20CFD" w:rsidP="001E3EF7">
            <w:pPr>
              <w:jc w:val="center"/>
              <w:rPr>
                <w:b/>
                <w:sz w:val="22"/>
                <w:szCs w:val="24"/>
              </w:rPr>
            </w:pPr>
            <w:r w:rsidRPr="008D7156">
              <w:rPr>
                <w:b/>
                <w:sz w:val="22"/>
                <w:szCs w:val="24"/>
              </w:rPr>
              <w:t>3</w:t>
            </w:r>
          </w:p>
        </w:tc>
      </w:tr>
      <w:tr w:rsidR="00F20CFD" w:rsidRPr="001E3EF7" w14:paraId="664D5071" w14:textId="77777777" w:rsidTr="009C0CE5">
        <w:trPr>
          <w:trHeight w:val="2070"/>
        </w:trPr>
        <w:tc>
          <w:tcPr>
            <w:tcW w:w="8394" w:type="dxa"/>
          </w:tcPr>
          <w:p w14:paraId="2144DD13" w14:textId="77777777" w:rsidR="00F20CFD" w:rsidRPr="008D7156" w:rsidRDefault="00F20CFD" w:rsidP="00EA7BF5">
            <w:pPr>
              <w:rPr>
                <w:b/>
                <w:sz w:val="22"/>
                <w:szCs w:val="24"/>
              </w:rPr>
            </w:pPr>
            <w:r w:rsidRPr="008D7156">
              <w:rPr>
                <w:b/>
                <w:sz w:val="22"/>
                <w:szCs w:val="24"/>
              </w:rPr>
              <w:t>Патология дыхательной системы</w:t>
            </w:r>
          </w:p>
          <w:p w14:paraId="69E1E0FD" w14:textId="77777777" w:rsidR="00F20CFD" w:rsidRPr="008D7156" w:rsidRDefault="00F20CFD" w:rsidP="001E3EF7">
            <w:pPr>
              <w:ind w:left="567"/>
              <w:rPr>
                <w:b/>
                <w:sz w:val="22"/>
                <w:szCs w:val="24"/>
              </w:rPr>
            </w:pPr>
            <w:r w:rsidRPr="008D7156">
              <w:rPr>
                <w:sz w:val="22"/>
                <w:szCs w:val="24"/>
              </w:rPr>
              <w:t xml:space="preserve">Объем форсированного выдоха за первую секунду </w:t>
            </w:r>
            <w:r w:rsidRPr="008D7156">
              <w:rPr>
                <w:sz w:val="22"/>
                <w:szCs w:val="24"/>
                <w:u w:val="single"/>
              </w:rPr>
              <w:t>&lt;</w:t>
            </w:r>
            <w:r w:rsidRPr="008D7156">
              <w:rPr>
                <w:sz w:val="22"/>
                <w:szCs w:val="24"/>
              </w:rPr>
              <w:t>65% или одышка в покое или потребность в кислородной поддержке</w:t>
            </w:r>
          </w:p>
          <w:p w14:paraId="198147DE" w14:textId="77777777" w:rsidR="00F20CFD" w:rsidRPr="008D7156" w:rsidRDefault="00F20CFD" w:rsidP="001E3EF7">
            <w:pPr>
              <w:ind w:left="567"/>
              <w:rPr>
                <w:b/>
                <w:sz w:val="22"/>
                <w:szCs w:val="24"/>
              </w:rPr>
            </w:pPr>
            <w:r w:rsidRPr="008D7156">
              <w:rPr>
                <w:sz w:val="22"/>
                <w:szCs w:val="24"/>
              </w:rPr>
              <w:t>Объем форсированного выдоха за первую секунду 66–80% или одышка при небольшой физической нагрузке</w:t>
            </w:r>
          </w:p>
        </w:tc>
        <w:tc>
          <w:tcPr>
            <w:tcW w:w="1177" w:type="dxa"/>
          </w:tcPr>
          <w:p w14:paraId="0FAED017" w14:textId="77777777" w:rsidR="00F20CFD" w:rsidRPr="008D7156" w:rsidRDefault="00F20CFD" w:rsidP="001E3EF7">
            <w:pPr>
              <w:jc w:val="center"/>
              <w:rPr>
                <w:b/>
                <w:sz w:val="22"/>
                <w:szCs w:val="24"/>
              </w:rPr>
            </w:pPr>
          </w:p>
          <w:p w14:paraId="4071BDEC" w14:textId="77777777" w:rsidR="00F20CFD" w:rsidRPr="008D7156" w:rsidRDefault="00F20CFD" w:rsidP="001E3EF7">
            <w:pPr>
              <w:jc w:val="center"/>
              <w:rPr>
                <w:b/>
                <w:sz w:val="22"/>
                <w:szCs w:val="24"/>
              </w:rPr>
            </w:pPr>
          </w:p>
          <w:p w14:paraId="668FF015" w14:textId="77777777" w:rsidR="00F20CFD" w:rsidRPr="008D7156" w:rsidRDefault="00F20CFD" w:rsidP="001E3EF7">
            <w:pPr>
              <w:jc w:val="center"/>
              <w:rPr>
                <w:b/>
                <w:sz w:val="22"/>
                <w:szCs w:val="24"/>
              </w:rPr>
            </w:pPr>
            <w:r w:rsidRPr="008D7156">
              <w:rPr>
                <w:b/>
                <w:sz w:val="22"/>
                <w:szCs w:val="24"/>
              </w:rPr>
              <w:t>3</w:t>
            </w:r>
          </w:p>
          <w:p w14:paraId="3AFA3E4E" w14:textId="77777777" w:rsidR="00F20CFD" w:rsidRPr="008D7156" w:rsidRDefault="00F20CFD" w:rsidP="001E3EF7">
            <w:pPr>
              <w:jc w:val="center"/>
              <w:rPr>
                <w:b/>
                <w:sz w:val="22"/>
                <w:szCs w:val="24"/>
              </w:rPr>
            </w:pPr>
          </w:p>
          <w:p w14:paraId="2D3506A9" w14:textId="77777777" w:rsidR="00F20CFD" w:rsidRPr="008D7156" w:rsidRDefault="00F20CFD" w:rsidP="001E3EF7">
            <w:pPr>
              <w:jc w:val="center"/>
              <w:rPr>
                <w:b/>
                <w:sz w:val="22"/>
                <w:szCs w:val="24"/>
              </w:rPr>
            </w:pPr>
            <w:r w:rsidRPr="008D7156">
              <w:rPr>
                <w:b/>
                <w:sz w:val="22"/>
                <w:szCs w:val="24"/>
              </w:rPr>
              <w:t>2</w:t>
            </w:r>
          </w:p>
        </w:tc>
      </w:tr>
      <w:tr w:rsidR="00F20CFD" w:rsidRPr="001E3EF7" w14:paraId="7CAAB638" w14:textId="77777777" w:rsidTr="009C0CE5">
        <w:trPr>
          <w:trHeight w:val="2484"/>
        </w:trPr>
        <w:tc>
          <w:tcPr>
            <w:tcW w:w="8394" w:type="dxa"/>
          </w:tcPr>
          <w:p w14:paraId="3F13F118" w14:textId="77777777" w:rsidR="00F20CFD" w:rsidRPr="008D7156" w:rsidRDefault="00F20CFD" w:rsidP="00EA7BF5">
            <w:pPr>
              <w:rPr>
                <w:b/>
                <w:sz w:val="22"/>
                <w:szCs w:val="24"/>
              </w:rPr>
            </w:pPr>
            <w:r w:rsidRPr="008D7156">
              <w:rPr>
                <w:b/>
                <w:sz w:val="22"/>
                <w:szCs w:val="24"/>
              </w:rPr>
              <w:t>Патология ЖКТ</w:t>
            </w:r>
          </w:p>
          <w:p w14:paraId="7B14EAB9" w14:textId="77777777" w:rsidR="00F20CFD" w:rsidRPr="008D7156" w:rsidRDefault="00F20CFD" w:rsidP="001E3EF7">
            <w:pPr>
              <w:ind w:left="567"/>
              <w:rPr>
                <w:sz w:val="22"/>
                <w:szCs w:val="24"/>
              </w:rPr>
            </w:pPr>
            <w:r w:rsidRPr="008D7156">
              <w:rPr>
                <w:sz w:val="22"/>
                <w:szCs w:val="24"/>
              </w:rPr>
              <w:t>Хронический гепатит, повышение билирубина до 1,5 норм или АЛТ/АСТ до 2,5 норм</w:t>
            </w:r>
          </w:p>
          <w:p w14:paraId="6C7DC692" w14:textId="77777777" w:rsidR="00F20CFD" w:rsidRPr="008D7156" w:rsidRDefault="00F20CFD" w:rsidP="001E3EF7">
            <w:pPr>
              <w:ind w:left="567"/>
              <w:rPr>
                <w:sz w:val="22"/>
                <w:szCs w:val="24"/>
              </w:rPr>
            </w:pPr>
            <w:r w:rsidRPr="008D7156">
              <w:rPr>
                <w:sz w:val="22"/>
                <w:szCs w:val="24"/>
              </w:rPr>
              <w:t>Цирроз печени, билирубин &gt;1,5 норм или АЛТ/АСТ &gt;2,5 норм</w:t>
            </w:r>
          </w:p>
          <w:p w14:paraId="3037C98C" w14:textId="77777777" w:rsidR="00F20CFD" w:rsidRPr="008D7156" w:rsidRDefault="00F20CFD" w:rsidP="001E3EF7">
            <w:pPr>
              <w:ind w:left="567"/>
              <w:rPr>
                <w:sz w:val="22"/>
                <w:szCs w:val="24"/>
              </w:rPr>
            </w:pPr>
            <w:r w:rsidRPr="008D7156">
              <w:rPr>
                <w:sz w:val="22"/>
                <w:szCs w:val="24"/>
              </w:rPr>
              <w:t>Болезнь Крона или язвенный колит</w:t>
            </w:r>
          </w:p>
          <w:p w14:paraId="673BD919" w14:textId="77777777" w:rsidR="00F20CFD" w:rsidRPr="008D7156" w:rsidRDefault="00F20CFD" w:rsidP="001E3EF7">
            <w:pPr>
              <w:ind w:left="567"/>
              <w:rPr>
                <w:b/>
                <w:sz w:val="22"/>
                <w:szCs w:val="24"/>
              </w:rPr>
            </w:pPr>
            <w:r w:rsidRPr="008D7156">
              <w:rPr>
                <w:sz w:val="22"/>
                <w:szCs w:val="24"/>
              </w:rPr>
              <w:t>Язвы ЖКТ, требующие лечения</w:t>
            </w:r>
          </w:p>
        </w:tc>
        <w:tc>
          <w:tcPr>
            <w:tcW w:w="1177" w:type="dxa"/>
          </w:tcPr>
          <w:p w14:paraId="7E047ABB" w14:textId="77777777" w:rsidR="00F20CFD" w:rsidRPr="008D7156" w:rsidRDefault="00F20CFD" w:rsidP="001E3EF7">
            <w:pPr>
              <w:jc w:val="center"/>
              <w:rPr>
                <w:b/>
                <w:sz w:val="22"/>
                <w:szCs w:val="24"/>
              </w:rPr>
            </w:pPr>
          </w:p>
          <w:p w14:paraId="0CE5524C" w14:textId="77777777" w:rsidR="00F20CFD" w:rsidRPr="008D7156" w:rsidRDefault="00F20CFD" w:rsidP="001E3EF7">
            <w:pPr>
              <w:jc w:val="center"/>
              <w:rPr>
                <w:b/>
                <w:sz w:val="22"/>
                <w:szCs w:val="24"/>
              </w:rPr>
            </w:pPr>
          </w:p>
          <w:p w14:paraId="5492D28C" w14:textId="77777777" w:rsidR="00F20CFD" w:rsidRPr="008D7156" w:rsidRDefault="00F20CFD" w:rsidP="001E3EF7">
            <w:pPr>
              <w:jc w:val="center"/>
              <w:rPr>
                <w:b/>
                <w:sz w:val="22"/>
                <w:szCs w:val="24"/>
              </w:rPr>
            </w:pPr>
            <w:r w:rsidRPr="008D7156">
              <w:rPr>
                <w:b/>
                <w:sz w:val="22"/>
                <w:szCs w:val="24"/>
              </w:rPr>
              <w:t>1</w:t>
            </w:r>
          </w:p>
          <w:p w14:paraId="1FA433C1" w14:textId="77777777" w:rsidR="00F20CFD" w:rsidRPr="008D7156" w:rsidRDefault="00F20CFD" w:rsidP="001E3EF7">
            <w:pPr>
              <w:jc w:val="center"/>
              <w:rPr>
                <w:b/>
                <w:sz w:val="22"/>
                <w:szCs w:val="24"/>
              </w:rPr>
            </w:pPr>
            <w:r w:rsidRPr="008D7156">
              <w:rPr>
                <w:b/>
                <w:sz w:val="22"/>
                <w:szCs w:val="24"/>
              </w:rPr>
              <w:t>3</w:t>
            </w:r>
          </w:p>
          <w:p w14:paraId="7962465B" w14:textId="77777777" w:rsidR="00F20CFD" w:rsidRPr="008D7156" w:rsidRDefault="00F20CFD" w:rsidP="001E3EF7">
            <w:pPr>
              <w:jc w:val="center"/>
              <w:rPr>
                <w:b/>
                <w:sz w:val="22"/>
                <w:szCs w:val="24"/>
              </w:rPr>
            </w:pPr>
            <w:r w:rsidRPr="008D7156">
              <w:rPr>
                <w:b/>
                <w:sz w:val="22"/>
                <w:szCs w:val="24"/>
              </w:rPr>
              <w:t>1</w:t>
            </w:r>
          </w:p>
          <w:p w14:paraId="4A3209B1" w14:textId="77777777" w:rsidR="00F20CFD" w:rsidRPr="008D7156" w:rsidRDefault="00F20CFD" w:rsidP="001E3EF7">
            <w:pPr>
              <w:jc w:val="center"/>
              <w:rPr>
                <w:b/>
                <w:sz w:val="22"/>
                <w:szCs w:val="24"/>
              </w:rPr>
            </w:pPr>
            <w:r w:rsidRPr="008D7156">
              <w:rPr>
                <w:b/>
                <w:sz w:val="22"/>
                <w:szCs w:val="24"/>
              </w:rPr>
              <w:t>2</w:t>
            </w:r>
          </w:p>
        </w:tc>
      </w:tr>
      <w:tr w:rsidR="00F20CFD" w:rsidRPr="001E3EF7" w14:paraId="7CC17E67" w14:textId="77777777" w:rsidTr="009C0CE5">
        <w:trPr>
          <w:trHeight w:val="838"/>
        </w:trPr>
        <w:tc>
          <w:tcPr>
            <w:tcW w:w="8394" w:type="dxa"/>
          </w:tcPr>
          <w:p w14:paraId="3C1D8A44" w14:textId="77777777" w:rsidR="00F20CFD" w:rsidRPr="008D7156" w:rsidRDefault="00F20CFD" w:rsidP="00EA7BF5">
            <w:pPr>
              <w:rPr>
                <w:b/>
                <w:sz w:val="22"/>
                <w:szCs w:val="24"/>
              </w:rPr>
            </w:pPr>
            <w:r w:rsidRPr="008D7156">
              <w:rPr>
                <w:b/>
                <w:sz w:val="22"/>
                <w:szCs w:val="24"/>
              </w:rPr>
              <w:t>Патология мочевыделительной системы</w:t>
            </w:r>
          </w:p>
          <w:p w14:paraId="544E195C" w14:textId="77777777" w:rsidR="00F20CFD" w:rsidRPr="008D7156" w:rsidRDefault="00F20CFD" w:rsidP="001E3EF7">
            <w:pPr>
              <w:ind w:firstLine="567"/>
              <w:rPr>
                <w:b/>
                <w:sz w:val="22"/>
                <w:szCs w:val="24"/>
              </w:rPr>
            </w:pPr>
            <w:r w:rsidRPr="008D7156">
              <w:rPr>
                <w:sz w:val="22"/>
                <w:szCs w:val="24"/>
              </w:rPr>
              <w:t>Креатинин более 200 мкмоль/л, диализ или почечный трансплантат</w:t>
            </w:r>
          </w:p>
        </w:tc>
        <w:tc>
          <w:tcPr>
            <w:tcW w:w="1177" w:type="dxa"/>
          </w:tcPr>
          <w:p w14:paraId="532FC346" w14:textId="77777777" w:rsidR="00F20CFD" w:rsidRPr="008D7156" w:rsidRDefault="00F20CFD" w:rsidP="001E3EF7">
            <w:pPr>
              <w:jc w:val="center"/>
              <w:rPr>
                <w:b/>
                <w:sz w:val="22"/>
                <w:szCs w:val="24"/>
              </w:rPr>
            </w:pPr>
          </w:p>
          <w:p w14:paraId="6A634100" w14:textId="77777777" w:rsidR="00F20CFD" w:rsidRPr="008D7156" w:rsidRDefault="00F20CFD" w:rsidP="001E3EF7">
            <w:pPr>
              <w:jc w:val="center"/>
              <w:rPr>
                <w:b/>
                <w:sz w:val="22"/>
                <w:szCs w:val="24"/>
              </w:rPr>
            </w:pPr>
            <w:r w:rsidRPr="008D7156">
              <w:rPr>
                <w:b/>
                <w:sz w:val="22"/>
                <w:szCs w:val="24"/>
              </w:rPr>
              <w:t>2</w:t>
            </w:r>
          </w:p>
        </w:tc>
      </w:tr>
      <w:tr w:rsidR="00F20CFD" w:rsidRPr="001E3EF7" w14:paraId="1EB8021D" w14:textId="77777777" w:rsidTr="009C0CE5">
        <w:trPr>
          <w:trHeight w:val="1656"/>
        </w:trPr>
        <w:tc>
          <w:tcPr>
            <w:tcW w:w="8394" w:type="dxa"/>
          </w:tcPr>
          <w:p w14:paraId="261B3AB8" w14:textId="77777777" w:rsidR="00F20CFD" w:rsidRPr="008D7156" w:rsidRDefault="00F20CFD" w:rsidP="00EA7BF5">
            <w:pPr>
              <w:rPr>
                <w:b/>
                <w:sz w:val="22"/>
                <w:szCs w:val="24"/>
              </w:rPr>
            </w:pPr>
            <w:r w:rsidRPr="008D7156">
              <w:rPr>
                <w:b/>
                <w:sz w:val="22"/>
                <w:szCs w:val="24"/>
              </w:rPr>
              <w:t>Патология эндокринной системы</w:t>
            </w:r>
          </w:p>
          <w:p w14:paraId="7DA85DB6" w14:textId="77777777" w:rsidR="00F20CFD" w:rsidRPr="008D7156" w:rsidRDefault="00F20CFD" w:rsidP="001E3EF7">
            <w:pPr>
              <w:ind w:left="567"/>
              <w:rPr>
                <w:sz w:val="22"/>
                <w:szCs w:val="24"/>
              </w:rPr>
            </w:pPr>
            <w:r w:rsidRPr="008D7156">
              <w:rPr>
                <w:sz w:val="22"/>
                <w:szCs w:val="24"/>
              </w:rPr>
              <w:t>Сахарный диабет, требующий лечения инсулином или пероральными препаратами</w:t>
            </w:r>
          </w:p>
          <w:p w14:paraId="3F200A26" w14:textId="77777777" w:rsidR="00F20CFD" w:rsidRPr="008D7156" w:rsidRDefault="00F20CFD" w:rsidP="001E3EF7">
            <w:pPr>
              <w:ind w:left="567"/>
              <w:rPr>
                <w:b/>
                <w:sz w:val="22"/>
                <w:szCs w:val="24"/>
              </w:rPr>
            </w:pPr>
            <w:r w:rsidRPr="008D7156">
              <w:rPr>
                <w:sz w:val="22"/>
                <w:szCs w:val="24"/>
              </w:rPr>
              <w:t>ИМТ более 35 кг/м</w:t>
            </w:r>
            <w:r w:rsidRPr="008D7156">
              <w:rPr>
                <w:sz w:val="22"/>
                <w:szCs w:val="24"/>
                <w:vertAlign w:val="superscript"/>
              </w:rPr>
              <w:t>2</w:t>
            </w:r>
          </w:p>
        </w:tc>
        <w:tc>
          <w:tcPr>
            <w:tcW w:w="1177" w:type="dxa"/>
          </w:tcPr>
          <w:p w14:paraId="4B323789" w14:textId="77777777" w:rsidR="00F20CFD" w:rsidRPr="008D7156" w:rsidRDefault="00F20CFD" w:rsidP="001E3EF7">
            <w:pPr>
              <w:jc w:val="center"/>
              <w:rPr>
                <w:b/>
                <w:sz w:val="22"/>
                <w:szCs w:val="24"/>
              </w:rPr>
            </w:pPr>
          </w:p>
          <w:p w14:paraId="6089538A" w14:textId="77777777" w:rsidR="00F20CFD" w:rsidRPr="008D7156" w:rsidRDefault="00F20CFD" w:rsidP="001E3EF7">
            <w:pPr>
              <w:jc w:val="center"/>
              <w:rPr>
                <w:b/>
                <w:sz w:val="22"/>
                <w:szCs w:val="24"/>
              </w:rPr>
            </w:pPr>
          </w:p>
          <w:p w14:paraId="0F56CDFF" w14:textId="77777777" w:rsidR="00F20CFD" w:rsidRPr="008D7156" w:rsidRDefault="00F20CFD" w:rsidP="001E3EF7">
            <w:pPr>
              <w:jc w:val="center"/>
              <w:rPr>
                <w:b/>
                <w:sz w:val="22"/>
                <w:szCs w:val="24"/>
              </w:rPr>
            </w:pPr>
            <w:r w:rsidRPr="008D7156">
              <w:rPr>
                <w:b/>
                <w:sz w:val="22"/>
                <w:szCs w:val="24"/>
              </w:rPr>
              <w:t>1</w:t>
            </w:r>
          </w:p>
          <w:p w14:paraId="10296297" w14:textId="77777777" w:rsidR="00F20CFD" w:rsidRPr="008D7156" w:rsidRDefault="00F20CFD" w:rsidP="001E3EF7">
            <w:pPr>
              <w:jc w:val="center"/>
              <w:rPr>
                <w:b/>
                <w:sz w:val="22"/>
                <w:szCs w:val="24"/>
              </w:rPr>
            </w:pPr>
            <w:r w:rsidRPr="008D7156">
              <w:rPr>
                <w:b/>
                <w:sz w:val="22"/>
                <w:szCs w:val="24"/>
              </w:rPr>
              <w:t>1</w:t>
            </w:r>
          </w:p>
        </w:tc>
      </w:tr>
      <w:tr w:rsidR="00F20CFD" w:rsidRPr="001E3EF7" w14:paraId="19006745" w14:textId="77777777" w:rsidTr="009C0CE5">
        <w:trPr>
          <w:trHeight w:val="1242"/>
        </w:trPr>
        <w:tc>
          <w:tcPr>
            <w:tcW w:w="8394" w:type="dxa"/>
          </w:tcPr>
          <w:p w14:paraId="1435E269" w14:textId="77777777" w:rsidR="00F20CFD" w:rsidRPr="008D7156" w:rsidRDefault="00F20CFD" w:rsidP="00EA7BF5">
            <w:pPr>
              <w:rPr>
                <w:b/>
                <w:sz w:val="22"/>
                <w:szCs w:val="24"/>
              </w:rPr>
            </w:pPr>
            <w:r w:rsidRPr="008D7156">
              <w:rPr>
                <w:b/>
                <w:sz w:val="22"/>
                <w:szCs w:val="24"/>
              </w:rPr>
              <w:t>Патология соединительной ткани</w:t>
            </w:r>
          </w:p>
          <w:p w14:paraId="723BA1BF" w14:textId="77777777" w:rsidR="00F20CFD" w:rsidRPr="008D7156" w:rsidRDefault="00F20CFD" w:rsidP="001E3EF7">
            <w:pPr>
              <w:ind w:left="567"/>
              <w:rPr>
                <w:b/>
                <w:sz w:val="22"/>
                <w:szCs w:val="24"/>
              </w:rPr>
            </w:pPr>
            <w:r w:rsidRPr="008D7156">
              <w:rPr>
                <w:sz w:val="22"/>
                <w:szCs w:val="24"/>
              </w:rPr>
              <w:t>Системная красная волчанка, ревматоидный артрит, полимиозит, болезни соединительной ткани</w:t>
            </w:r>
          </w:p>
        </w:tc>
        <w:tc>
          <w:tcPr>
            <w:tcW w:w="1177" w:type="dxa"/>
          </w:tcPr>
          <w:p w14:paraId="74B900CA" w14:textId="77777777" w:rsidR="00F20CFD" w:rsidRPr="008D7156" w:rsidRDefault="00F20CFD" w:rsidP="001E3EF7">
            <w:pPr>
              <w:jc w:val="center"/>
              <w:rPr>
                <w:b/>
                <w:sz w:val="22"/>
                <w:szCs w:val="24"/>
              </w:rPr>
            </w:pPr>
          </w:p>
          <w:p w14:paraId="78602E81" w14:textId="77777777" w:rsidR="00F20CFD" w:rsidRPr="008D7156" w:rsidRDefault="00F20CFD" w:rsidP="001E3EF7">
            <w:pPr>
              <w:jc w:val="center"/>
              <w:rPr>
                <w:b/>
                <w:sz w:val="22"/>
                <w:szCs w:val="24"/>
              </w:rPr>
            </w:pPr>
            <w:r w:rsidRPr="008D7156">
              <w:rPr>
                <w:b/>
                <w:sz w:val="22"/>
                <w:szCs w:val="24"/>
              </w:rPr>
              <w:t>2</w:t>
            </w:r>
          </w:p>
          <w:p w14:paraId="1CE50513" w14:textId="77777777" w:rsidR="00F20CFD" w:rsidRPr="008D7156" w:rsidRDefault="00F20CFD" w:rsidP="001E3EF7">
            <w:pPr>
              <w:jc w:val="center"/>
              <w:rPr>
                <w:b/>
                <w:sz w:val="22"/>
                <w:szCs w:val="24"/>
              </w:rPr>
            </w:pPr>
          </w:p>
        </w:tc>
      </w:tr>
      <w:tr w:rsidR="00F20CFD" w:rsidRPr="001E3EF7" w14:paraId="3BAED3BE" w14:textId="77777777" w:rsidTr="009C0CE5">
        <w:trPr>
          <w:trHeight w:val="1656"/>
        </w:trPr>
        <w:tc>
          <w:tcPr>
            <w:tcW w:w="8394" w:type="dxa"/>
          </w:tcPr>
          <w:p w14:paraId="3F8692D7" w14:textId="77777777" w:rsidR="00F20CFD" w:rsidRPr="008D7156" w:rsidRDefault="00F20CFD" w:rsidP="00EA7BF5">
            <w:pPr>
              <w:rPr>
                <w:b/>
                <w:sz w:val="22"/>
                <w:szCs w:val="24"/>
              </w:rPr>
            </w:pPr>
            <w:r w:rsidRPr="008D7156">
              <w:rPr>
                <w:b/>
                <w:sz w:val="22"/>
                <w:szCs w:val="24"/>
              </w:rPr>
              <w:t>Неврологический и психический статус</w:t>
            </w:r>
          </w:p>
          <w:p w14:paraId="28BC149A" w14:textId="77777777" w:rsidR="00F20CFD" w:rsidRPr="008D7156" w:rsidRDefault="00F20CFD" w:rsidP="001E3EF7">
            <w:pPr>
              <w:ind w:left="567"/>
              <w:rPr>
                <w:sz w:val="22"/>
                <w:szCs w:val="24"/>
              </w:rPr>
            </w:pPr>
            <w:r w:rsidRPr="008D7156">
              <w:rPr>
                <w:sz w:val="22"/>
                <w:szCs w:val="24"/>
              </w:rPr>
              <w:t>Транзиторная ишемическая атака или цереброваскулярные "события"</w:t>
            </w:r>
          </w:p>
          <w:p w14:paraId="526F3142" w14:textId="77777777" w:rsidR="00F20CFD" w:rsidRPr="008D7156" w:rsidRDefault="00F20CFD" w:rsidP="001E3EF7">
            <w:pPr>
              <w:ind w:left="567"/>
              <w:rPr>
                <w:b/>
                <w:sz w:val="22"/>
                <w:szCs w:val="24"/>
              </w:rPr>
            </w:pPr>
            <w:r w:rsidRPr="008D7156">
              <w:rPr>
                <w:sz w:val="22"/>
                <w:szCs w:val="24"/>
              </w:rPr>
              <w:t>Депрессия или тревога, требующие психиатрической консультации или лечения</w:t>
            </w:r>
          </w:p>
        </w:tc>
        <w:tc>
          <w:tcPr>
            <w:tcW w:w="1177" w:type="dxa"/>
          </w:tcPr>
          <w:p w14:paraId="0EC19E9A" w14:textId="77777777" w:rsidR="00F20CFD" w:rsidRPr="008D7156" w:rsidRDefault="00F20CFD" w:rsidP="001E3EF7">
            <w:pPr>
              <w:jc w:val="center"/>
              <w:rPr>
                <w:b/>
                <w:sz w:val="22"/>
                <w:szCs w:val="24"/>
              </w:rPr>
            </w:pPr>
          </w:p>
          <w:p w14:paraId="34EE2375" w14:textId="77777777" w:rsidR="00F20CFD" w:rsidRPr="008D7156" w:rsidRDefault="00F20CFD" w:rsidP="001E3EF7">
            <w:pPr>
              <w:jc w:val="center"/>
              <w:rPr>
                <w:b/>
                <w:sz w:val="22"/>
                <w:szCs w:val="24"/>
              </w:rPr>
            </w:pPr>
            <w:r w:rsidRPr="008D7156">
              <w:rPr>
                <w:b/>
                <w:sz w:val="22"/>
                <w:szCs w:val="24"/>
              </w:rPr>
              <w:t>1</w:t>
            </w:r>
          </w:p>
          <w:p w14:paraId="2ED30B1C" w14:textId="77777777" w:rsidR="00F20CFD" w:rsidRPr="008D7156" w:rsidRDefault="00F20CFD" w:rsidP="001E3EF7">
            <w:pPr>
              <w:jc w:val="center"/>
              <w:rPr>
                <w:b/>
                <w:sz w:val="22"/>
                <w:szCs w:val="24"/>
              </w:rPr>
            </w:pPr>
          </w:p>
          <w:p w14:paraId="715DEF36" w14:textId="77777777" w:rsidR="00F20CFD" w:rsidRPr="008D7156" w:rsidRDefault="00F20CFD" w:rsidP="001E3EF7">
            <w:pPr>
              <w:jc w:val="center"/>
              <w:rPr>
                <w:b/>
                <w:sz w:val="22"/>
                <w:szCs w:val="24"/>
              </w:rPr>
            </w:pPr>
            <w:r w:rsidRPr="008D7156">
              <w:rPr>
                <w:b/>
                <w:sz w:val="22"/>
                <w:szCs w:val="24"/>
              </w:rPr>
              <w:t>1</w:t>
            </w:r>
          </w:p>
        </w:tc>
      </w:tr>
      <w:tr w:rsidR="00F20CFD" w:rsidRPr="001E3EF7" w14:paraId="6B14C979" w14:textId="77777777" w:rsidTr="009C0CE5">
        <w:trPr>
          <w:trHeight w:val="838"/>
        </w:trPr>
        <w:tc>
          <w:tcPr>
            <w:tcW w:w="8394" w:type="dxa"/>
          </w:tcPr>
          <w:p w14:paraId="3CFDF3DE" w14:textId="77777777" w:rsidR="00F20CFD" w:rsidRPr="008D7156" w:rsidRDefault="00F20CFD" w:rsidP="00EA7BF5">
            <w:pPr>
              <w:rPr>
                <w:b/>
                <w:sz w:val="22"/>
                <w:szCs w:val="24"/>
              </w:rPr>
            </w:pPr>
            <w:r w:rsidRPr="008D7156">
              <w:rPr>
                <w:b/>
                <w:sz w:val="22"/>
                <w:szCs w:val="24"/>
              </w:rPr>
              <w:t>Инфекционные осложнения</w:t>
            </w:r>
          </w:p>
          <w:p w14:paraId="75816F4D" w14:textId="77777777" w:rsidR="00F20CFD" w:rsidRPr="008D7156" w:rsidRDefault="00F20CFD" w:rsidP="001E3EF7">
            <w:pPr>
              <w:ind w:left="567"/>
              <w:rPr>
                <w:b/>
                <w:sz w:val="22"/>
                <w:szCs w:val="24"/>
              </w:rPr>
            </w:pPr>
            <w:r w:rsidRPr="008D7156">
              <w:rPr>
                <w:sz w:val="22"/>
                <w:szCs w:val="24"/>
              </w:rPr>
              <w:t>Инфекции, требующие продолжения терапии после дня 0</w:t>
            </w:r>
          </w:p>
        </w:tc>
        <w:tc>
          <w:tcPr>
            <w:tcW w:w="1177" w:type="dxa"/>
          </w:tcPr>
          <w:p w14:paraId="0197CD25" w14:textId="77777777" w:rsidR="00F20CFD" w:rsidRPr="008D7156" w:rsidRDefault="00F20CFD" w:rsidP="001E3EF7">
            <w:pPr>
              <w:jc w:val="center"/>
              <w:rPr>
                <w:b/>
                <w:sz w:val="22"/>
                <w:szCs w:val="24"/>
              </w:rPr>
            </w:pPr>
          </w:p>
          <w:p w14:paraId="37A5B4C5" w14:textId="77777777" w:rsidR="00F20CFD" w:rsidRPr="008D7156" w:rsidRDefault="00F20CFD" w:rsidP="001E3EF7">
            <w:pPr>
              <w:jc w:val="center"/>
              <w:rPr>
                <w:b/>
                <w:sz w:val="22"/>
                <w:szCs w:val="24"/>
              </w:rPr>
            </w:pPr>
            <w:r w:rsidRPr="008D7156">
              <w:rPr>
                <w:b/>
                <w:sz w:val="22"/>
                <w:szCs w:val="24"/>
              </w:rPr>
              <w:t>1</w:t>
            </w:r>
          </w:p>
        </w:tc>
      </w:tr>
      <w:tr w:rsidR="00F20CFD" w:rsidRPr="001E3EF7" w14:paraId="5646DEE7" w14:textId="77777777" w:rsidTr="009C0CE5">
        <w:trPr>
          <w:trHeight w:val="838"/>
        </w:trPr>
        <w:tc>
          <w:tcPr>
            <w:tcW w:w="8394" w:type="dxa"/>
          </w:tcPr>
          <w:p w14:paraId="17821F72" w14:textId="77777777" w:rsidR="00F20CFD" w:rsidRPr="008D7156" w:rsidRDefault="00F20CFD" w:rsidP="00EA7BF5">
            <w:pPr>
              <w:rPr>
                <w:b/>
                <w:sz w:val="22"/>
                <w:szCs w:val="24"/>
              </w:rPr>
            </w:pPr>
            <w:r w:rsidRPr="008D7156">
              <w:rPr>
                <w:b/>
                <w:sz w:val="22"/>
                <w:szCs w:val="24"/>
              </w:rPr>
              <w:t>Опухолевые заболевания в анамнезе</w:t>
            </w:r>
          </w:p>
          <w:p w14:paraId="75FD0EE2" w14:textId="77777777" w:rsidR="00F20CFD" w:rsidRPr="008D7156" w:rsidRDefault="00F20CFD" w:rsidP="001E3EF7">
            <w:pPr>
              <w:ind w:left="567"/>
              <w:rPr>
                <w:b/>
                <w:sz w:val="22"/>
                <w:szCs w:val="24"/>
              </w:rPr>
            </w:pPr>
            <w:r w:rsidRPr="008D7156">
              <w:rPr>
                <w:sz w:val="22"/>
                <w:szCs w:val="24"/>
              </w:rPr>
              <w:t>Терапия солидных опухолей в анамнезе, за исключением не меланомы кожи</w:t>
            </w:r>
          </w:p>
        </w:tc>
        <w:tc>
          <w:tcPr>
            <w:tcW w:w="1177" w:type="dxa"/>
          </w:tcPr>
          <w:p w14:paraId="0830F655" w14:textId="77777777" w:rsidR="00F20CFD" w:rsidRPr="008D7156" w:rsidRDefault="00F20CFD" w:rsidP="001E3EF7">
            <w:pPr>
              <w:jc w:val="center"/>
              <w:rPr>
                <w:b/>
                <w:sz w:val="22"/>
                <w:szCs w:val="24"/>
              </w:rPr>
            </w:pPr>
          </w:p>
          <w:p w14:paraId="5966C2AA" w14:textId="77777777" w:rsidR="00F20CFD" w:rsidRPr="008D7156" w:rsidRDefault="00F20CFD" w:rsidP="001E3EF7">
            <w:pPr>
              <w:jc w:val="center"/>
              <w:rPr>
                <w:b/>
                <w:sz w:val="22"/>
                <w:szCs w:val="24"/>
              </w:rPr>
            </w:pPr>
            <w:r w:rsidRPr="008D7156">
              <w:rPr>
                <w:b/>
                <w:sz w:val="22"/>
                <w:szCs w:val="24"/>
              </w:rPr>
              <w:t>3</w:t>
            </w:r>
          </w:p>
        </w:tc>
      </w:tr>
    </w:tbl>
    <w:p w14:paraId="77E23A60" w14:textId="5E945744" w:rsidR="00F20CFD" w:rsidRDefault="00F20CFD" w:rsidP="00EA7BF5">
      <w:pPr>
        <w:rPr>
          <w:szCs w:val="24"/>
        </w:rPr>
      </w:pPr>
    </w:p>
    <w:p w14:paraId="04796052" w14:textId="261DCA2F" w:rsidR="00607185" w:rsidRPr="00C413F9" w:rsidRDefault="00607185" w:rsidP="00607185">
      <w:pPr>
        <w:pStyle w:val="2"/>
        <w:jc w:val="center"/>
        <w:rPr>
          <w:sz w:val="28"/>
          <w:szCs w:val="28"/>
          <w:u w:val="none"/>
        </w:rPr>
      </w:pPr>
      <w:bookmarkStart w:id="212" w:name="_Toc65104136"/>
      <w:r w:rsidRPr="00C413F9">
        <w:rPr>
          <w:sz w:val="28"/>
          <w:szCs w:val="28"/>
          <w:u w:val="none"/>
        </w:rPr>
        <w:t>Приложение Г</w:t>
      </w:r>
      <w:r w:rsidR="006D3228" w:rsidRPr="006D3228">
        <w:rPr>
          <w:sz w:val="28"/>
          <w:szCs w:val="28"/>
          <w:u w:val="none"/>
        </w:rPr>
        <w:t>4</w:t>
      </w:r>
      <w:r w:rsidRPr="00C413F9">
        <w:rPr>
          <w:sz w:val="28"/>
          <w:szCs w:val="28"/>
          <w:u w:val="none"/>
        </w:rPr>
        <w:t>. Шкала</w:t>
      </w:r>
      <w:r w:rsidR="006D3228">
        <w:rPr>
          <w:sz w:val="28"/>
          <w:szCs w:val="28"/>
          <w:u w:val="none"/>
        </w:rPr>
        <w:t xml:space="preserve"> </w:t>
      </w:r>
      <w:r w:rsidR="006D3228">
        <w:rPr>
          <w:sz w:val="28"/>
          <w:szCs w:val="28"/>
          <w:u w:val="none"/>
          <w:lang w:val="en-US"/>
        </w:rPr>
        <w:t>EBMT</w:t>
      </w:r>
      <w:r w:rsidR="006D3228" w:rsidRPr="006D3228">
        <w:rPr>
          <w:sz w:val="28"/>
          <w:szCs w:val="28"/>
          <w:u w:val="none"/>
        </w:rPr>
        <w:t xml:space="preserve"> </w:t>
      </w:r>
      <w:r w:rsidR="006D3228">
        <w:rPr>
          <w:sz w:val="28"/>
          <w:szCs w:val="28"/>
          <w:u w:val="none"/>
        </w:rPr>
        <w:t>для расчета трансплантационного риска</w:t>
      </w:r>
      <w:bookmarkEnd w:id="212"/>
    </w:p>
    <w:p w14:paraId="5E578B05" w14:textId="6639F131" w:rsidR="006D3228" w:rsidRPr="00777124" w:rsidRDefault="006D3228" w:rsidP="00FD194A">
      <w:pPr>
        <w:ind w:firstLine="709"/>
        <w:rPr>
          <w:rFonts w:eastAsia="SimSun"/>
          <w:szCs w:val="24"/>
        </w:rPr>
      </w:pPr>
      <w:r w:rsidRPr="00777124">
        <w:rPr>
          <w:rFonts w:eastAsia="SimSun"/>
          <w:szCs w:val="24"/>
        </w:rPr>
        <w:t xml:space="preserve">Оценка трансплантационного риска проводится не более чем за 10 дней до начала предтрансплантационного кондиционирования </w:t>
      </w:r>
      <w:r w:rsidRPr="00777124">
        <w:rPr>
          <w:rFonts w:eastAsia="SimSun"/>
          <w:szCs w:val="24"/>
        </w:rPr>
        <w:fldChar w:fldCharType="begin" w:fldLock="1"/>
      </w:r>
      <w:r w:rsidR="008143D9">
        <w:rPr>
          <w:rFonts w:eastAsia="SimSun"/>
          <w:szCs w:val="24"/>
        </w:rPr>
        <w:instrText>ADDIN CSL_CITATION {"citationItems":[{"id":"ITEM-1","itemData":{"DOI":"10.1038/bmt.2011.110","ISSN":"02683369","PMID":"21643021","abstract":"The European Group for Blood and Marrow Transplantation (EBMT) risk score provides a simple tool to assess instantly chances and risks of hematopoietic SCT(HSCT) for an individual patient pre-transplant. Five factors, age of the patient, stage of the disease, time from diagnosis, donor type and donor recipient gender combination augment risk for an individual patient with increasing score from 0 as best to 7 as worst in an additive way. The score holds for all acquired hematological disorders, for allogeneic and autologous HSCT (score 0-5), is independent of the HSCT technology and is valid for standard or reduced intensity conditioning. Survival is uniformly worse for older patients, transplanted in advanced disease stage after a long-time interval and with a mismatched donor than for younger patients, transplanted soon in early stage with a well matched donor. Additional risk factors such as performance score, CMV serostatus or cytokine polymorphisms improve prediction but to different extents for low or high-risk patients. Comparative assessment of disease risk and global pre-transplant risk should guide decisions for each patient with his/her specific disease between HSCT and a non-transplant approach and replace the traditional 'donor vs no donor' with such a risk-adapted individualized strategy. © 2012 Macmillan Publishers Limited All rights reserved.","author":[{"dropping-particle":"","family":"Gratwohl","given":"A.","non-dropping-particle":"","parse-names":false,"suffix":""}],"container-title":"Bone Marrow Transplantation","id":"ITEM-1","issue":"6","issued":{"date-parts":[["2012","6","6"]]},"page":"749-756","publisher":"Nature Publishing Group","title":"The EBMT risk score","type":"article","volume":"47"},"uris":["http://www.mendeley.com/documents/?uuid=0e80be56-8f6f-3249-9016-dc0bcc819af7"]}],"mendeley":{"formattedCitation":"[231]","plainTextFormattedCitation":"[231]","previouslyFormattedCitation":"[230]"},"properties":{"noteIndex":0},"schema":"https://github.com/citation-style-language/schema/raw/master/csl-citation.json"}</w:instrText>
      </w:r>
      <w:r w:rsidRPr="00777124">
        <w:rPr>
          <w:rFonts w:eastAsia="SimSun"/>
          <w:szCs w:val="24"/>
        </w:rPr>
        <w:fldChar w:fldCharType="separate"/>
      </w:r>
      <w:r w:rsidR="008143D9" w:rsidRPr="008143D9">
        <w:rPr>
          <w:rFonts w:eastAsia="SimSun"/>
          <w:noProof/>
          <w:szCs w:val="24"/>
        </w:rPr>
        <w:t>[231]</w:t>
      </w:r>
      <w:r w:rsidRPr="00777124">
        <w:rPr>
          <w:rFonts w:eastAsia="SimSun"/>
          <w:szCs w:val="24"/>
        </w:rPr>
        <w:fldChar w:fldCharType="end"/>
      </w:r>
      <w:r w:rsidRPr="00777124">
        <w:rPr>
          <w:rFonts w:eastAsia="SimSun"/>
          <w:szCs w:val="24"/>
        </w:rPr>
        <w:t>.</w:t>
      </w:r>
    </w:p>
    <w:p w14:paraId="5F7D26AA" w14:textId="77777777" w:rsidR="006D3228" w:rsidRPr="00777124" w:rsidRDefault="006D3228" w:rsidP="006D3228">
      <w:pPr>
        <w:tabs>
          <w:tab w:val="left" w:pos="567"/>
        </w:tabs>
        <w:spacing w:line="240" w:lineRule="auto"/>
        <w:rPr>
          <w:rFonts w:eastAsia="SimSun"/>
          <w:b/>
          <w:szCs w:val="24"/>
        </w:rPr>
      </w:pPr>
    </w:p>
    <w:tbl>
      <w:tblPr>
        <w:tblW w:w="1070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820"/>
        <w:gridCol w:w="4060"/>
        <w:gridCol w:w="1829"/>
      </w:tblGrid>
      <w:tr w:rsidR="006D3228" w:rsidRPr="00777124" w14:paraId="6ADE59DB" w14:textId="77777777" w:rsidTr="00FD194A">
        <w:trPr>
          <w:trHeight w:val="374"/>
        </w:trPr>
        <w:tc>
          <w:tcPr>
            <w:tcW w:w="4820" w:type="dxa"/>
          </w:tcPr>
          <w:p w14:paraId="5F413E84" w14:textId="77777777" w:rsidR="006D3228" w:rsidRPr="00777124" w:rsidRDefault="006D3228" w:rsidP="005A428D">
            <w:pPr>
              <w:pStyle w:val="table-head-left"/>
              <w:rPr>
                <w:kern w:val="2"/>
                <w:szCs w:val="24"/>
                <w:lang w:eastAsia="zh-CN" w:bidi="hi-IN"/>
              </w:rPr>
            </w:pPr>
            <w:r w:rsidRPr="00777124">
              <w:rPr>
                <w:kern w:val="2"/>
                <w:szCs w:val="24"/>
                <w:lang w:eastAsia="zh-CN" w:bidi="hi-IN"/>
              </w:rPr>
              <w:t>Факторы риска</w:t>
            </w:r>
          </w:p>
        </w:tc>
        <w:tc>
          <w:tcPr>
            <w:tcW w:w="4060" w:type="dxa"/>
          </w:tcPr>
          <w:p w14:paraId="65084A55" w14:textId="77777777" w:rsidR="006D3228" w:rsidRPr="00777124" w:rsidRDefault="006D3228" w:rsidP="005A428D">
            <w:pPr>
              <w:pStyle w:val="table-head-left"/>
              <w:rPr>
                <w:kern w:val="2"/>
                <w:szCs w:val="24"/>
                <w:lang w:eastAsia="zh-CN" w:bidi="hi-IN"/>
              </w:rPr>
            </w:pPr>
            <w:r w:rsidRPr="00777124">
              <w:rPr>
                <w:bCs/>
                <w:kern w:val="2"/>
                <w:szCs w:val="24"/>
                <w:lang w:eastAsia="zh-CN" w:bidi="hi-IN"/>
              </w:rPr>
              <w:t>Характеристика факторов риска</w:t>
            </w:r>
          </w:p>
        </w:tc>
        <w:tc>
          <w:tcPr>
            <w:tcW w:w="1829" w:type="dxa"/>
          </w:tcPr>
          <w:p w14:paraId="0A188CCD" w14:textId="77777777" w:rsidR="006D3228" w:rsidRPr="00777124" w:rsidRDefault="006D3228" w:rsidP="005A428D">
            <w:pPr>
              <w:pStyle w:val="table-head-left"/>
              <w:rPr>
                <w:kern w:val="2"/>
                <w:szCs w:val="24"/>
                <w:lang w:eastAsia="zh-CN" w:bidi="hi-IN"/>
              </w:rPr>
            </w:pPr>
            <w:r w:rsidRPr="00777124">
              <w:rPr>
                <w:bCs/>
                <w:kern w:val="2"/>
                <w:szCs w:val="24"/>
                <w:lang w:eastAsia="zh-CN" w:bidi="hi-IN"/>
              </w:rPr>
              <w:t>Баллы</w:t>
            </w:r>
          </w:p>
        </w:tc>
      </w:tr>
      <w:tr w:rsidR="006D3228" w:rsidRPr="00777124" w14:paraId="2D122C0A" w14:textId="77777777" w:rsidTr="00FD194A">
        <w:trPr>
          <w:trHeight w:val="258"/>
        </w:trPr>
        <w:tc>
          <w:tcPr>
            <w:tcW w:w="4820" w:type="dxa"/>
            <w:vMerge w:val="restart"/>
          </w:tcPr>
          <w:p w14:paraId="6F2A080A" w14:textId="77777777" w:rsidR="006D3228" w:rsidRPr="00777124" w:rsidRDefault="006D3228" w:rsidP="005A428D">
            <w:pPr>
              <w:pStyle w:val="table-text-0"/>
              <w:rPr>
                <w:kern w:val="2"/>
                <w:sz w:val="24"/>
                <w:szCs w:val="24"/>
                <w:lang w:eastAsia="zh-CN" w:bidi="hi-IN"/>
              </w:rPr>
            </w:pPr>
            <w:r w:rsidRPr="00777124">
              <w:rPr>
                <w:kern w:val="2"/>
                <w:sz w:val="24"/>
                <w:szCs w:val="24"/>
                <w:lang w:eastAsia="zh-CN" w:bidi="hi-IN"/>
              </w:rPr>
              <w:t>Возраст</w:t>
            </w:r>
          </w:p>
        </w:tc>
        <w:tc>
          <w:tcPr>
            <w:tcW w:w="4060" w:type="dxa"/>
          </w:tcPr>
          <w:p w14:paraId="3A834D9C" w14:textId="77777777" w:rsidR="006D3228" w:rsidRPr="00777124" w:rsidRDefault="006D3228" w:rsidP="005A428D">
            <w:pPr>
              <w:pStyle w:val="table-text-0"/>
              <w:rPr>
                <w:kern w:val="2"/>
                <w:sz w:val="24"/>
                <w:szCs w:val="24"/>
                <w:lang w:eastAsia="zh-CN" w:bidi="hi-IN"/>
              </w:rPr>
            </w:pPr>
            <w:r w:rsidRPr="00777124">
              <w:rPr>
                <w:kern w:val="2"/>
                <w:sz w:val="24"/>
                <w:szCs w:val="24"/>
                <w:lang w:eastAsia="zh-CN" w:bidi="hi-IN"/>
              </w:rPr>
              <w:t xml:space="preserve">&lt; 20 лет </w:t>
            </w:r>
          </w:p>
        </w:tc>
        <w:tc>
          <w:tcPr>
            <w:tcW w:w="1829" w:type="dxa"/>
          </w:tcPr>
          <w:p w14:paraId="5A453BC0" w14:textId="77777777" w:rsidR="006D3228" w:rsidRPr="00777124" w:rsidRDefault="006D3228" w:rsidP="005A428D">
            <w:pPr>
              <w:pStyle w:val="table-text-0"/>
              <w:rPr>
                <w:kern w:val="2"/>
                <w:sz w:val="24"/>
                <w:szCs w:val="24"/>
                <w:lang w:eastAsia="zh-CN" w:bidi="hi-IN"/>
              </w:rPr>
            </w:pPr>
            <w:r w:rsidRPr="00777124">
              <w:rPr>
                <w:kern w:val="2"/>
                <w:sz w:val="24"/>
                <w:szCs w:val="24"/>
                <w:lang w:eastAsia="zh-CN" w:bidi="hi-IN"/>
              </w:rPr>
              <w:t>0</w:t>
            </w:r>
          </w:p>
        </w:tc>
      </w:tr>
      <w:tr w:rsidR="006D3228" w:rsidRPr="00777124" w14:paraId="233B98FE" w14:textId="77777777" w:rsidTr="00FD194A">
        <w:trPr>
          <w:trHeight w:val="107"/>
        </w:trPr>
        <w:tc>
          <w:tcPr>
            <w:tcW w:w="4820" w:type="dxa"/>
            <w:vMerge/>
          </w:tcPr>
          <w:p w14:paraId="2D3035B4" w14:textId="77777777" w:rsidR="006D3228" w:rsidRPr="00777124" w:rsidRDefault="006D3228" w:rsidP="005A428D">
            <w:pPr>
              <w:pStyle w:val="table-text-0"/>
              <w:rPr>
                <w:kern w:val="2"/>
                <w:sz w:val="24"/>
                <w:szCs w:val="24"/>
                <w:lang w:eastAsia="zh-CN" w:bidi="hi-IN"/>
              </w:rPr>
            </w:pPr>
          </w:p>
        </w:tc>
        <w:tc>
          <w:tcPr>
            <w:tcW w:w="4060" w:type="dxa"/>
          </w:tcPr>
          <w:p w14:paraId="2D890B77" w14:textId="77777777" w:rsidR="006D3228" w:rsidRPr="00777124" w:rsidRDefault="006D3228" w:rsidP="005A428D">
            <w:pPr>
              <w:pStyle w:val="table-text-0"/>
              <w:rPr>
                <w:kern w:val="2"/>
                <w:sz w:val="24"/>
                <w:szCs w:val="24"/>
                <w:lang w:eastAsia="zh-CN" w:bidi="hi-IN"/>
              </w:rPr>
            </w:pPr>
            <w:r w:rsidRPr="00777124">
              <w:rPr>
                <w:kern w:val="2"/>
                <w:sz w:val="24"/>
                <w:szCs w:val="24"/>
                <w:lang w:eastAsia="zh-CN" w:bidi="hi-IN"/>
              </w:rPr>
              <w:t>20–40 лет</w:t>
            </w:r>
          </w:p>
        </w:tc>
        <w:tc>
          <w:tcPr>
            <w:tcW w:w="1829" w:type="dxa"/>
          </w:tcPr>
          <w:p w14:paraId="7D899C3C" w14:textId="77777777" w:rsidR="006D3228" w:rsidRPr="00777124" w:rsidRDefault="006D3228" w:rsidP="005A428D">
            <w:pPr>
              <w:pStyle w:val="table-text-0"/>
              <w:rPr>
                <w:kern w:val="2"/>
                <w:sz w:val="24"/>
                <w:szCs w:val="24"/>
                <w:lang w:eastAsia="zh-CN" w:bidi="hi-IN"/>
              </w:rPr>
            </w:pPr>
            <w:r w:rsidRPr="00777124">
              <w:rPr>
                <w:kern w:val="2"/>
                <w:sz w:val="24"/>
                <w:szCs w:val="24"/>
                <w:lang w:eastAsia="zh-CN" w:bidi="hi-IN"/>
              </w:rPr>
              <w:t>1</w:t>
            </w:r>
          </w:p>
        </w:tc>
      </w:tr>
      <w:tr w:rsidR="006D3228" w:rsidRPr="00777124" w14:paraId="44D11FF0" w14:textId="77777777" w:rsidTr="00FD194A">
        <w:trPr>
          <w:trHeight w:val="107"/>
        </w:trPr>
        <w:tc>
          <w:tcPr>
            <w:tcW w:w="4820" w:type="dxa"/>
            <w:vMerge/>
          </w:tcPr>
          <w:p w14:paraId="40691107" w14:textId="77777777" w:rsidR="006D3228" w:rsidRPr="00777124" w:rsidRDefault="006D3228" w:rsidP="005A428D">
            <w:pPr>
              <w:pStyle w:val="table-text-0"/>
              <w:rPr>
                <w:kern w:val="2"/>
                <w:sz w:val="24"/>
                <w:szCs w:val="24"/>
                <w:lang w:eastAsia="zh-CN" w:bidi="hi-IN"/>
              </w:rPr>
            </w:pPr>
          </w:p>
        </w:tc>
        <w:tc>
          <w:tcPr>
            <w:tcW w:w="4060" w:type="dxa"/>
          </w:tcPr>
          <w:p w14:paraId="19BF21B2" w14:textId="77777777" w:rsidR="006D3228" w:rsidRPr="00777124" w:rsidRDefault="006D3228" w:rsidP="005A428D">
            <w:pPr>
              <w:pStyle w:val="table-text-0"/>
              <w:rPr>
                <w:kern w:val="2"/>
                <w:sz w:val="24"/>
                <w:szCs w:val="24"/>
                <w:lang w:eastAsia="zh-CN" w:bidi="hi-IN"/>
              </w:rPr>
            </w:pPr>
            <w:r w:rsidRPr="00777124">
              <w:rPr>
                <w:kern w:val="2"/>
                <w:sz w:val="24"/>
                <w:szCs w:val="24"/>
                <w:lang w:eastAsia="zh-CN" w:bidi="hi-IN"/>
              </w:rPr>
              <w:t>&gt; 40 лет</w:t>
            </w:r>
          </w:p>
        </w:tc>
        <w:tc>
          <w:tcPr>
            <w:tcW w:w="1829" w:type="dxa"/>
          </w:tcPr>
          <w:p w14:paraId="547C6F92" w14:textId="77777777" w:rsidR="006D3228" w:rsidRPr="00777124" w:rsidRDefault="006D3228" w:rsidP="005A428D">
            <w:pPr>
              <w:pStyle w:val="table-text-0"/>
              <w:rPr>
                <w:kern w:val="2"/>
                <w:sz w:val="24"/>
                <w:szCs w:val="24"/>
                <w:lang w:eastAsia="zh-CN" w:bidi="hi-IN"/>
              </w:rPr>
            </w:pPr>
            <w:r w:rsidRPr="00777124">
              <w:rPr>
                <w:kern w:val="2"/>
                <w:sz w:val="24"/>
                <w:szCs w:val="24"/>
                <w:lang w:eastAsia="zh-CN" w:bidi="hi-IN"/>
              </w:rPr>
              <w:t>2</w:t>
            </w:r>
          </w:p>
        </w:tc>
      </w:tr>
      <w:tr w:rsidR="006D3228" w:rsidRPr="00777124" w14:paraId="6DA0EA51" w14:textId="77777777" w:rsidTr="00FD194A">
        <w:trPr>
          <w:trHeight w:val="258"/>
        </w:trPr>
        <w:tc>
          <w:tcPr>
            <w:tcW w:w="4820" w:type="dxa"/>
            <w:vMerge w:val="restart"/>
          </w:tcPr>
          <w:p w14:paraId="25C3033F" w14:textId="77777777" w:rsidR="006D3228" w:rsidRPr="00777124" w:rsidRDefault="006D3228" w:rsidP="005A428D">
            <w:pPr>
              <w:pStyle w:val="table-text-0"/>
              <w:rPr>
                <w:kern w:val="2"/>
                <w:sz w:val="24"/>
                <w:szCs w:val="24"/>
                <w:lang w:eastAsia="zh-CN" w:bidi="hi-IN"/>
              </w:rPr>
            </w:pPr>
            <w:r w:rsidRPr="00777124">
              <w:rPr>
                <w:kern w:val="2"/>
                <w:sz w:val="24"/>
                <w:szCs w:val="24"/>
                <w:lang w:eastAsia="zh-CN" w:bidi="hi-IN"/>
              </w:rPr>
              <w:t>Статус заболевания</w:t>
            </w:r>
            <w:r w:rsidRPr="00777124">
              <w:rPr>
                <w:kern w:val="2"/>
                <w:sz w:val="24"/>
                <w:szCs w:val="24"/>
                <w:vertAlign w:val="superscript"/>
                <w:lang w:eastAsia="zh-CN" w:bidi="hi-IN"/>
              </w:rPr>
              <w:t>1</w:t>
            </w:r>
          </w:p>
        </w:tc>
        <w:tc>
          <w:tcPr>
            <w:tcW w:w="4060" w:type="dxa"/>
          </w:tcPr>
          <w:p w14:paraId="45603F2F" w14:textId="77777777" w:rsidR="006D3228" w:rsidRPr="00777124" w:rsidRDefault="006D3228" w:rsidP="005A428D">
            <w:pPr>
              <w:pStyle w:val="table-text-0"/>
              <w:rPr>
                <w:kern w:val="2"/>
                <w:sz w:val="24"/>
                <w:szCs w:val="24"/>
                <w:lang w:eastAsia="zh-CN" w:bidi="hi-IN"/>
              </w:rPr>
            </w:pPr>
            <w:r w:rsidRPr="00777124">
              <w:rPr>
                <w:kern w:val="2"/>
                <w:sz w:val="24"/>
                <w:szCs w:val="24"/>
                <w:lang w:eastAsia="zh-CN" w:bidi="hi-IN"/>
              </w:rPr>
              <w:t>Ранний</w:t>
            </w:r>
          </w:p>
        </w:tc>
        <w:tc>
          <w:tcPr>
            <w:tcW w:w="1829" w:type="dxa"/>
          </w:tcPr>
          <w:p w14:paraId="1864C9DD" w14:textId="77777777" w:rsidR="006D3228" w:rsidRPr="00777124" w:rsidRDefault="006D3228" w:rsidP="005A428D">
            <w:pPr>
              <w:pStyle w:val="table-text-0"/>
              <w:rPr>
                <w:kern w:val="2"/>
                <w:sz w:val="24"/>
                <w:szCs w:val="24"/>
                <w:lang w:eastAsia="zh-CN" w:bidi="hi-IN"/>
              </w:rPr>
            </w:pPr>
            <w:r w:rsidRPr="00777124">
              <w:rPr>
                <w:kern w:val="2"/>
                <w:sz w:val="24"/>
                <w:szCs w:val="24"/>
                <w:lang w:eastAsia="zh-CN" w:bidi="hi-IN"/>
              </w:rPr>
              <w:t>0</w:t>
            </w:r>
          </w:p>
        </w:tc>
      </w:tr>
      <w:tr w:rsidR="006D3228" w:rsidRPr="00777124" w14:paraId="092E1619" w14:textId="77777777" w:rsidTr="00FD194A">
        <w:trPr>
          <w:trHeight w:val="107"/>
        </w:trPr>
        <w:tc>
          <w:tcPr>
            <w:tcW w:w="4820" w:type="dxa"/>
            <w:vMerge/>
          </w:tcPr>
          <w:p w14:paraId="514A06C2" w14:textId="77777777" w:rsidR="006D3228" w:rsidRPr="00777124" w:rsidRDefault="006D3228" w:rsidP="005A428D">
            <w:pPr>
              <w:pStyle w:val="table-text-0"/>
              <w:rPr>
                <w:kern w:val="2"/>
                <w:sz w:val="24"/>
                <w:szCs w:val="24"/>
                <w:lang w:eastAsia="zh-CN" w:bidi="hi-IN"/>
              </w:rPr>
            </w:pPr>
          </w:p>
        </w:tc>
        <w:tc>
          <w:tcPr>
            <w:tcW w:w="4060" w:type="dxa"/>
          </w:tcPr>
          <w:p w14:paraId="1FF21885" w14:textId="77777777" w:rsidR="006D3228" w:rsidRPr="00777124" w:rsidRDefault="006D3228" w:rsidP="005A428D">
            <w:pPr>
              <w:pStyle w:val="table-text-0"/>
              <w:rPr>
                <w:kern w:val="2"/>
                <w:sz w:val="24"/>
                <w:szCs w:val="24"/>
                <w:lang w:eastAsia="zh-CN" w:bidi="hi-IN"/>
              </w:rPr>
            </w:pPr>
            <w:r w:rsidRPr="00777124">
              <w:rPr>
                <w:kern w:val="2"/>
                <w:sz w:val="24"/>
                <w:szCs w:val="24"/>
                <w:lang w:eastAsia="zh-CN" w:bidi="hi-IN"/>
              </w:rPr>
              <w:t>Промежуточный</w:t>
            </w:r>
          </w:p>
        </w:tc>
        <w:tc>
          <w:tcPr>
            <w:tcW w:w="1829" w:type="dxa"/>
          </w:tcPr>
          <w:p w14:paraId="25A36A34" w14:textId="77777777" w:rsidR="006D3228" w:rsidRPr="00777124" w:rsidRDefault="006D3228" w:rsidP="005A428D">
            <w:pPr>
              <w:pStyle w:val="table-text-0"/>
              <w:rPr>
                <w:kern w:val="2"/>
                <w:sz w:val="24"/>
                <w:szCs w:val="24"/>
                <w:lang w:eastAsia="zh-CN" w:bidi="hi-IN"/>
              </w:rPr>
            </w:pPr>
            <w:r w:rsidRPr="00777124">
              <w:rPr>
                <w:kern w:val="2"/>
                <w:sz w:val="24"/>
                <w:szCs w:val="24"/>
                <w:lang w:eastAsia="zh-CN" w:bidi="hi-IN"/>
              </w:rPr>
              <w:t>1</w:t>
            </w:r>
          </w:p>
        </w:tc>
      </w:tr>
      <w:tr w:rsidR="006D3228" w:rsidRPr="00777124" w14:paraId="2DFC6673" w14:textId="77777777" w:rsidTr="00FD194A">
        <w:trPr>
          <w:trHeight w:val="107"/>
        </w:trPr>
        <w:tc>
          <w:tcPr>
            <w:tcW w:w="4820" w:type="dxa"/>
            <w:vMerge/>
          </w:tcPr>
          <w:p w14:paraId="48128251" w14:textId="77777777" w:rsidR="006D3228" w:rsidRPr="00777124" w:rsidRDefault="006D3228" w:rsidP="005A428D">
            <w:pPr>
              <w:pStyle w:val="table-text-0"/>
              <w:rPr>
                <w:kern w:val="2"/>
                <w:sz w:val="24"/>
                <w:szCs w:val="24"/>
                <w:lang w:eastAsia="zh-CN" w:bidi="hi-IN"/>
              </w:rPr>
            </w:pPr>
          </w:p>
        </w:tc>
        <w:tc>
          <w:tcPr>
            <w:tcW w:w="4060" w:type="dxa"/>
          </w:tcPr>
          <w:p w14:paraId="091E30F9" w14:textId="77777777" w:rsidR="006D3228" w:rsidRPr="00777124" w:rsidRDefault="006D3228" w:rsidP="005A428D">
            <w:pPr>
              <w:pStyle w:val="table-text-0"/>
              <w:rPr>
                <w:kern w:val="2"/>
                <w:sz w:val="24"/>
                <w:szCs w:val="24"/>
                <w:lang w:eastAsia="zh-CN" w:bidi="hi-IN"/>
              </w:rPr>
            </w:pPr>
            <w:r w:rsidRPr="00777124">
              <w:rPr>
                <w:kern w:val="2"/>
                <w:sz w:val="24"/>
                <w:szCs w:val="24"/>
                <w:lang w:eastAsia="zh-CN" w:bidi="hi-IN"/>
              </w:rPr>
              <w:t>Развернутый</w:t>
            </w:r>
          </w:p>
        </w:tc>
        <w:tc>
          <w:tcPr>
            <w:tcW w:w="1829" w:type="dxa"/>
          </w:tcPr>
          <w:p w14:paraId="6649883C" w14:textId="77777777" w:rsidR="006D3228" w:rsidRPr="00777124" w:rsidRDefault="006D3228" w:rsidP="005A428D">
            <w:pPr>
              <w:pStyle w:val="table-text-0"/>
              <w:rPr>
                <w:kern w:val="2"/>
                <w:sz w:val="24"/>
                <w:szCs w:val="24"/>
                <w:lang w:eastAsia="zh-CN" w:bidi="hi-IN"/>
              </w:rPr>
            </w:pPr>
            <w:r w:rsidRPr="00777124">
              <w:rPr>
                <w:kern w:val="2"/>
                <w:sz w:val="24"/>
                <w:szCs w:val="24"/>
                <w:lang w:eastAsia="zh-CN" w:bidi="hi-IN"/>
              </w:rPr>
              <w:t>2</w:t>
            </w:r>
          </w:p>
        </w:tc>
      </w:tr>
      <w:tr w:rsidR="006D3228" w:rsidRPr="00777124" w14:paraId="2032A110" w14:textId="77777777" w:rsidTr="00FD194A">
        <w:trPr>
          <w:trHeight w:val="258"/>
        </w:trPr>
        <w:tc>
          <w:tcPr>
            <w:tcW w:w="4820" w:type="dxa"/>
            <w:vMerge w:val="restart"/>
          </w:tcPr>
          <w:p w14:paraId="46F31EE5" w14:textId="77777777" w:rsidR="006D3228" w:rsidRPr="006D3228" w:rsidRDefault="006D3228" w:rsidP="005A428D">
            <w:pPr>
              <w:pStyle w:val="table-text-0"/>
              <w:rPr>
                <w:kern w:val="2"/>
                <w:sz w:val="24"/>
                <w:szCs w:val="24"/>
                <w:lang w:val="ru-RU" w:eastAsia="zh-CN" w:bidi="hi-IN"/>
              </w:rPr>
            </w:pPr>
            <w:r w:rsidRPr="006D3228">
              <w:rPr>
                <w:kern w:val="2"/>
                <w:sz w:val="24"/>
                <w:szCs w:val="24"/>
                <w:lang w:val="ru-RU" w:eastAsia="zh-CN" w:bidi="hi-IN"/>
              </w:rPr>
              <w:t>Время от постановки диагноза до ТГСК</w:t>
            </w:r>
            <w:r w:rsidRPr="006D3228">
              <w:rPr>
                <w:kern w:val="2"/>
                <w:sz w:val="24"/>
                <w:szCs w:val="24"/>
                <w:vertAlign w:val="superscript"/>
                <w:lang w:val="ru-RU" w:eastAsia="zh-CN" w:bidi="hi-IN"/>
              </w:rPr>
              <w:t>2</w:t>
            </w:r>
          </w:p>
        </w:tc>
        <w:tc>
          <w:tcPr>
            <w:tcW w:w="4060" w:type="dxa"/>
          </w:tcPr>
          <w:p w14:paraId="77F51E37" w14:textId="77777777" w:rsidR="006D3228" w:rsidRPr="00777124" w:rsidRDefault="006D3228" w:rsidP="005A428D">
            <w:pPr>
              <w:pStyle w:val="table-text-0"/>
              <w:rPr>
                <w:kern w:val="2"/>
                <w:sz w:val="24"/>
                <w:szCs w:val="24"/>
                <w:lang w:eastAsia="zh-CN" w:bidi="hi-IN"/>
              </w:rPr>
            </w:pPr>
            <w:r w:rsidRPr="00777124">
              <w:rPr>
                <w:kern w:val="2"/>
                <w:sz w:val="24"/>
                <w:szCs w:val="24"/>
                <w:lang w:eastAsia="zh-CN" w:bidi="hi-IN"/>
              </w:rPr>
              <w:t>&lt; 12 мес</w:t>
            </w:r>
          </w:p>
        </w:tc>
        <w:tc>
          <w:tcPr>
            <w:tcW w:w="1829" w:type="dxa"/>
          </w:tcPr>
          <w:p w14:paraId="11951AD2" w14:textId="77777777" w:rsidR="006D3228" w:rsidRPr="00777124" w:rsidRDefault="006D3228" w:rsidP="005A428D">
            <w:pPr>
              <w:pStyle w:val="table-text-0"/>
              <w:rPr>
                <w:kern w:val="2"/>
                <w:sz w:val="24"/>
                <w:szCs w:val="24"/>
                <w:lang w:eastAsia="zh-CN" w:bidi="hi-IN"/>
              </w:rPr>
            </w:pPr>
            <w:r w:rsidRPr="00777124">
              <w:rPr>
                <w:kern w:val="2"/>
                <w:sz w:val="24"/>
                <w:szCs w:val="24"/>
                <w:lang w:eastAsia="zh-CN" w:bidi="hi-IN"/>
              </w:rPr>
              <w:t>0</w:t>
            </w:r>
          </w:p>
        </w:tc>
      </w:tr>
      <w:tr w:rsidR="006D3228" w:rsidRPr="00777124" w14:paraId="6545FBF3" w14:textId="77777777" w:rsidTr="00FD194A">
        <w:trPr>
          <w:trHeight w:val="107"/>
        </w:trPr>
        <w:tc>
          <w:tcPr>
            <w:tcW w:w="4820" w:type="dxa"/>
            <w:vMerge/>
          </w:tcPr>
          <w:p w14:paraId="5159B42F" w14:textId="77777777" w:rsidR="006D3228" w:rsidRPr="00777124" w:rsidRDefault="006D3228" w:rsidP="005A428D">
            <w:pPr>
              <w:pStyle w:val="table-text-0"/>
              <w:rPr>
                <w:kern w:val="2"/>
                <w:sz w:val="24"/>
                <w:szCs w:val="24"/>
                <w:lang w:eastAsia="zh-CN" w:bidi="hi-IN"/>
              </w:rPr>
            </w:pPr>
          </w:p>
        </w:tc>
        <w:tc>
          <w:tcPr>
            <w:tcW w:w="4060" w:type="dxa"/>
          </w:tcPr>
          <w:p w14:paraId="796252F3" w14:textId="77777777" w:rsidR="006D3228" w:rsidRPr="00777124" w:rsidRDefault="006D3228" w:rsidP="005A428D">
            <w:pPr>
              <w:pStyle w:val="table-text-0"/>
              <w:rPr>
                <w:kern w:val="2"/>
                <w:sz w:val="24"/>
                <w:szCs w:val="24"/>
                <w:lang w:eastAsia="zh-CN" w:bidi="hi-IN"/>
              </w:rPr>
            </w:pPr>
            <w:r w:rsidRPr="00777124">
              <w:rPr>
                <w:color w:val="222222"/>
                <w:kern w:val="2"/>
                <w:sz w:val="24"/>
                <w:szCs w:val="24"/>
                <w:lang w:eastAsia="zh-CN" w:bidi="hi-IN"/>
              </w:rPr>
              <w:t>≥ 12 мес</w:t>
            </w:r>
          </w:p>
        </w:tc>
        <w:tc>
          <w:tcPr>
            <w:tcW w:w="1829" w:type="dxa"/>
          </w:tcPr>
          <w:p w14:paraId="4C153959" w14:textId="77777777" w:rsidR="006D3228" w:rsidRPr="00777124" w:rsidRDefault="006D3228" w:rsidP="005A428D">
            <w:pPr>
              <w:pStyle w:val="table-text-0"/>
              <w:rPr>
                <w:kern w:val="2"/>
                <w:sz w:val="24"/>
                <w:szCs w:val="24"/>
                <w:lang w:eastAsia="zh-CN" w:bidi="hi-IN"/>
              </w:rPr>
            </w:pPr>
            <w:r w:rsidRPr="00777124">
              <w:rPr>
                <w:kern w:val="2"/>
                <w:sz w:val="24"/>
                <w:szCs w:val="24"/>
                <w:lang w:eastAsia="zh-CN" w:bidi="hi-IN"/>
              </w:rPr>
              <w:t>1</w:t>
            </w:r>
          </w:p>
        </w:tc>
      </w:tr>
      <w:tr w:rsidR="006D3228" w:rsidRPr="00777124" w14:paraId="2818DBCC" w14:textId="77777777" w:rsidTr="00FD194A">
        <w:trPr>
          <w:trHeight w:val="232"/>
        </w:trPr>
        <w:tc>
          <w:tcPr>
            <w:tcW w:w="4820" w:type="dxa"/>
            <w:vMerge w:val="restart"/>
          </w:tcPr>
          <w:p w14:paraId="48DF7357" w14:textId="77777777" w:rsidR="006D3228" w:rsidRPr="00777124" w:rsidRDefault="006D3228" w:rsidP="005A428D">
            <w:pPr>
              <w:pStyle w:val="table-text-0"/>
              <w:rPr>
                <w:kern w:val="2"/>
                <w:sz w:val="24"/>
                <w:szCs w:val="24"/>
                <w:lang w:eastAsia="zh-CN" w:bidi="hi-IN"/>
              </w:rPr>
            </w:pPr>
            <w:r w:rsidRPr="00777124">
              <w:rPr>
                <w:kern w:val="2"/>
                <w:sz w:val="24"/>
                <w:szCs w:val="24"/>
                <w:lang w:eastAsia="zh-CN" w:bidi="hi-IN"/>
              </w:rPr>
              <w:t>Донор</w:t>
            </w:r>
          </w:p>
        </w:tc>
        <w:tc>
          <w:tcPr>
            <w:tcW w:w="4060" w:type="dxa"/>
          </w:tcPr>
          <w:p w14:paraId="3F58B72F" w14:textId="77777777" w:rsidR="006D3228" w:rsidRPr="00777124" w:rsidRDefault="006D3228" w:rsidP="005A428D">
            <w:pPr>
              <w:pStyle w:val="table-text-0"/>
              <w:rPr>
                <w:kern w:val="2"/>
                <w:sz w:val="24"/>
                <w:szCs w:val="24"/>
                <w:lang w:eastAsia="zh-CN" w:bidi="hi-IN"/>
              </w:rPr>
            </w:pPr>
            <w:r w:rsidRPr="00777124">
              <w:rPr>
                <w:kern w:val="2"/>
                <w:sz w:val="24"/>
                <w:szCs w:val="24"/>
                <w:lang w:eastAsia="zh-CN" w:bidi="hi-IN"/>
              </w:rPr>
              <w:t>HLA-идентичный сиблинг</w:t>
            </w:r>
          </w:p>
        </w:tc>
        <w:tc>
          <w:tcPr>
            <w:tcW w:w="1829" w:type="dxa"/>
          </w:tcPr>
          <w:p w14:paraId="4978531A" w14:textId="77777777" w:rsidR="006D3228" w:rsidRPr="00777124" w:rsidRDefault="006D3228" w:rsidP="005A428D">
            <w:pPr>
              <w:pStyle w:val="table-text-0"/>
              <w:rPr>
                <w:kern w:val="2"/>
                <w:sz w:val="24"/>
                <w:szCs w:val="24"/>
                <w:lang w:eastAsia="zh-CN" w:bidi="hi-IN"/>
              </w:rPr>
            </w:pPr>
            <w:r w:rsidRPr="00777124">
              <w:rPr>
                <w:kern w:val="2"/>
                <w:sz w:val="24"/>
                <w:szCs w:val="24"/>
                <w:lang w:eastAsia="zh-CN" w:bidi="hi-IN"/>
              </w:rPr>
              <w:t>0</w:t>
            </w:r>
          </w:p>
        </w:tc>
      </w:tr>
      <w:tr w:rsidR="006D3228" w:rsidRPr="00777124" w14:paraId="06F9E7A4" w14:textId="77777777" w:rsidTr="00FD194A">
        <w:trPr>
          <w:trHeight w:val="107"/>
        </w:trPr>
        <w:tc>
          <w:tcPr>
            <w:tcW w:w="4820" w:type="dxa"/>
            <w:vMerge/>
          </w:tcPr>
          <w:p w14:paraId="5CB4E24C" w14:textId="77777777" w:rsidR="006D3228" w:rsidRPr="00777124" w:rsidRDefault="006D3228" w:rsidP="005A428D">
            <w:pPr>
              <w:pStyle w:val="table-text-0"/>
              <w:rPr>
                <w:kern w:val="2"/>
                <w:sz w:val="24"/>
                <w:szCs w:val="24"/>
                <w:lang w:eastAsia="zh-CN" w:bidi="hi-IN"/>
              </w:rPr>
            </w:pPr>
          </w:p>
        </w:tc>
        <w:tc>
          <w:tcPr>
            <w:tcW w:w="4060" w:type="dxa"/>
          </w:tcPr>
          <w:p w14:paraId="225A5880" w14:textId="77777777" w:rsidR="006D3228" w:rsidRPr="00777124" w:rsidRDefault="006D3228" w:rsidP="005A428D">
            <w:pPr>
              <w:pStyle w:val="table-text-0"/>
              <w:rPr>
                <w:kern w:val="2"/>
                <w:sz w:val="24"/>
                <w:szCs w:val="24"/>
                <w:lang w:eastAsia="zh-CN" w:bidi="hi-IN"/>
              </w:rPr>
            </w:pPr>
            <w:r w:rsidRPr="00777124">
              <w:rPr>
                <w:kern w:val="2"/>
                <w:sz w:val="24"/>
                <w:szCs w:val="24"/>
                <w:lang w:eastAsia="zh-CN" w:bidi="hi-IN"/>
              </w:rPr>
              <w:t>Неродственный донор</w:t>
            </w:r>
          </w:p>
        </w:tc>
        <w:tc>
          <w:tcPr>
            <w:tcW w:w="1829" w:type="dxa"/>
          </w:tcPr>
          <w:p w14:paraId="7F01E6A3" w14:textId="77777777" w:rsidR="006D3228" w:rsidRPr="00777124" w:rsidRDefault="006D3228" w:rsidP="005A428D">
            <w:pPr>
              <w:pStyle w:val="table-text-0"/>
              <w:rPr>
                <w:kern w:val="2"/>
                <w:sz w:val="24"/>
                <w:szCs w:val="24"/>
                <w:lang w:eastAsia="zh-CN" w:bidi="hi-IN"/>
              </w:rPr>
            </w:pPr>
            <w:r w:rsidRPr="00777124">
              <w:rPr>
                <w:kern w:val="2"/>
                <w:sz w:val="24"/>
                <w:szCs w:val="24"/>
                <w:lang w:eastAsia="zh-CN" w:bidi="hi-IN"/>
              </w:rPr>
              <w:t>1</w:t>
            </w:r>
          </w:p>
        </w:tc>
      </w:tr>
      <w:tr w:rsidR="006D3228" w:rsidRPr="00777124" w14:paraId="3EE0D4D7" w14:textId="77777777" w:rsidTr="00FD194A">
        <w:trPr>
          <w:trHeight w:val="242"/>
        </w:trPr>
        <w:tc>
          <w:tcPr>
            <w:tcW w:w="4820" w:type="dxa"/>
            <w:vMerge w:val="restart"/>
          </w:tcPr>
          <w:p w14:paraId="3C382BC3" w14:textId="77777777" w:rsidR="006D3228" w:rsidRPr="00777124" w:rsidRDefault="006D3228" w:rsidP="005A428D">
            <w:pPr>
              <w:pStyle w:val="table-text-0"/>
              <w:rPr>
                <w:kern w:val="2"/>
                <w:sz w:val="24"/>
                <w:szCs w:val="24"/>
                <w:lang w:eastAsia="zh-CN" w:bidi="hi-IN"/>
              </w:rPr>
            </w:pPr>
            <w:r w:rsidRPr="00777124">
              <w:rPr>
                <w:kern w:val="2"/>
                <w:sz w:val="24"/>
                <w:szCs w:val="24"/>
                <w:lang w:eastAsia="zh-CN" w:bidi="hi-IN"/>
              </w:rPr>
              <w:t>Пол донора и реципиента</w:t>
            </w:r>
          </w:p>
        </w:tc>
        <w:tc>
          <w:tcPr>
            <w:tcW w:w="4060" w:type="dxa"/>
          </w:tcPr>
          <w:p w14:paraId="51F39F9F" w14:textId="77777777" w:rsidR="006D3228" w:rsidRPr="00777124" w:rsidRDefault="006D3228" w:rsidP="005A428D">
            <w:pPr>
              <w:pStyle w:val="table-text-0"/>
              <w:rPr>
                <w:kern w:val="2"/>
                <w:sz w:val="24"/>
                <w:szCs w:val="24"/>
                <w:lang w:eastAsia="zh-CN" w:bidi="hi-IN"/>
              </w:rPr>
            </w:pPr>
            <w:r w:rsidRPr="00777124">
              <w:rPr>
                <w:kern w:val="2"/>
                <w:sz w:val="24"/>
                <w:szCs w:val="24"/>
                <w:lang w:eastAsia="zh-CN" w:bidi="hi-IN"/>
              </w:rPr>
              <w:t>Донор — женщина, реципиент —мужчина</w:t>
            </w:r>
          </w:p>
        </w:tc>
        <w:tc>
          <w:tcPr>
            <w:tcW w:w="1829" w:type="dxa"/>
          </w:tcPr>
          <w:p w14:paraId="0A3F710E" w14:textId="77777777" w:rsidR="006D3228" w:rsidRPr="00777124" w:rsidRDefault="006D3228" w:rsidP="005A428D">
            <w:pPr>
              <w:pStyle w:val="table-text-0"/>
              <w:rPr>
                <w:kern w:val="2"/>
                <w:sz w:val="24"/>
                <w:szCs w:val="24"/>
                <w:lang w:eastAsia="zh-CN" w:bidi="hi-IN"/>
              </w:rPr>
            </w:pPr>
            <w:r w:rsidRPr="00777124">
              <w:rPr>
                <w:kern w:val="2"/>
                <w:sz w:val="24"/>
                <w:szCs w:val="24"/>
                <w:lang w:eastAsia="zh-CN" w:bidi="hi-IN"/>
              </w:rPr>
              <w:t>1</w:t>
            </w:r>
          </w:p>
        </w:tc>
      </w:tr>
      <w:tr w:rsidR="006D3228" w:rsidRPr="00777124" w14:paraId="45D9DD03" w14:textId="77777777" w:rsidTr="00FD194A">
        <w:trPr>
          <w:trHeight w:val="107"/>
        </w:trPr>
        <w:tc>
          <w:tcPr>
            <w:tcW w:w="4820" w:type="dxa"/>
            <w:vMerge/>
          </w:tcPr>
          <w:p w14:paraId="52522322" w14:textId="77777777" w:rsidR="006D3228" w:rsidRPr="00777124" w:rsidRDefault="006D3228" w:rsidP="005A428D">
            <w:pPr>
              <w:pStyle w:val="table-text-0"/>
              <w:rPr>
                <w:kern w:val="2"/>
                <w:sz w:val="24"/>
                <w:szCs w:val="24"/>
                <w:lang w:eastAsia="zh-CN" w:bidi="hi-IN"/>
              </w:rPr>
            </w:pPr>
          </w:p>
        </w:tc>
        <w:tc>
          <w:tcPr>
            <w:tcW w:w="4060" w:type="dxa"/>
          </w:tcPr>
          <w:p w14:paraId="341A9FD3" w14:textId="77777777" w:rsidR="006D3228" w:rsidRPr="00777124" w:rsidRDefault="006D3228" w:rsidP="005A428D">
            <w:pPr>
              <w:pStyle w:val="table-text-0"/>
              <w:rPr>
                <w:kern w:val="2"/>
                <w:sz w:val="24"/>
                <w:szCs w:val="24"/>
                <w:lang w:eastAsia="zh-CN" w:bidi="hi-IN"/>
              </w:rPr>
            </w:pPr>
            <w:r w:rsidRPr="00777124">
              <w:rPr>
                <w:kern w:val="2"/>
                <w:sz w:val="24"/>
                <w:szCs w:val="24"/>
                <w:lang w:eastAsia="zh-CN" w:bidi="hi-IN"/>
              </w:rPr>
              <w:t>Другие сочетания</w:t>
            </w:r>
          </w:p>
        </w:tc>
        <w:tc>
          <w:tcPr>
            <w:tcW w:w="1829" w:type="dxa"/>
          </w:tcPr>
          <w:p w14:paraId="7C723EA3" w14:textId="77777777" w:rsidR="006D3228" w:rsidRPr="00777124" w:rsidRDefault="006D3228" w:rsidP="005A428D">
            <w:pPr>
              <w:pStyle w:val="table-text-0"/>
              <w:rPr>
                <w:kern w:val="2"/>
                <w:sz w:val="24"/>
                <w:szCs w:val="24"/>
                <w:lang w:eastAsia="zh-CN" w:bidi="hi-IN"/>
              </w:rPr>
            </w:pPr>
            <w:r w:rsidRPr="00777124">
              <w:rPr>
                <w:kern w:val="2"/>
                <w:sz w:val="24"/>
                <w:szCs w:val="24"/>
                <w:lang w:eastAsia="zh-CN" w:bidi="hi-IN"/>
              </w:rPr>
              <w:t>0</w:t>
            </w:r>
          </w:p>
        </w:tc>
      </w:tr>
      <w:tr w:rsidR="006D3228" w:rsidRPr="00777124" w14:paraId="7B83B966" w14:textId="77777777" w:rsidTr="00FD194A">
        <w:trPr>
          <w:trHeight w:val="107"/>
        </w:trPr>
        <w:tc>
          <w:tcPr>
            <w:tcW w:w="10709" w:type="dxa"/>
            <w:gridSpan w:val="3"/>
          </w:tcPr>
          <w:p w14:paraId="5200A836" w14:textId="77777777" w:rsidR="006D3228" w:rsidRPr="00777124" w:rsidRDefault="006D3228" w:rsidP="005A428D">
            <w:pPr>
              <w:pStyle w:val="table-ref"/>
              <w:rPr>
                <w:rFonts w:eastAsia="SimSun"/>
                <w:sz w:val="24"/>
                <w:szCs w:val="24"/>
              </w:rPr>
            </w:pPr>
            <w:r w:rsidRPr="00777124">
              <w:rPr>
                <w:rFonts w:eastAsia="SimSun"/>
                <w:sz w:val="24"/>
                <w:szCs w:val="24"/>
                <w:vertAlign w:val="superscript"/>
              </w:rPr>
              <w:t>1</w:t>
            </w:r>
            <w:r w:rsidRPr="00777124">
              <w:rPr>
                <w:rFonts w:eastAsia="SimSun"/>
                <w:sz w:val="24"/>
                <w:szCs w:val="24"/>
              </w:rPr>
              <w:t xml:space="preserve"> Не применяется у пациентов с АА. </w:t>
            </w:r>
          </w:p>
          <w:p w14:paraId="7E41FD93" w14:textId="77777777" w:rsidR="006D3228" w:rsidRPr="00777124" w:rsidRDefault="006D3228" w:rsidP="005A428D">
            <w:pPr>
              <w:pStyle w:val="table-ref"/>
              <w:rPr>
                <w:rFonts w:eastAsia="SimSun"/>
                <w:sz w:val="24"/>
                <w:szCs w:val="24"/>
              </w:rPr>
            </w:pPr>
            <w:r w:rsidRPr="00777124">
              <w:rPr>
                <w:rFonts w:eastAsia="SimSun"/>
                <w:sz w:val="24"/>
                <w:szCs w:val="24"/>
              </w:rPr>
              <w:t>Ранний — острый лейкоз в ПР1; МДС в ПР1 или без предшествующего лечения; ХМЛ в 1 хронической фазе; НХЛ нелеченная или в ПР1; ММ нелеченная или в ПР1.</w:t>
            </w:r>
          </w:p>
          <w:p w14:paraId="44A9E810" w14:textId="77777777" w:rsidR="006D3228" w:rsidRPr="00777124" w:rsidRDefault="006D3228" w:rsidP="005A428D">
            <w:pPr>
              <w:pStyle w:val="table-ref"/>
              <w:rPr>
                <w:rFonts w:eastAsia="SimSun"/>
                <w:sz w:val="24"/>
                <w:szCs w:val="24"/>
              </w:rPr>
            </w:pPr>
            <w:r w:rsidRPr="00777124">
              <w:rPr>
                <w:rFonts w:eastAsia="SimSun"/>
                <w:sz w:val="24"/>
                <w:szCs w:val="24"/>
              </w:rPr>
              <w:t>Промежуточный — острый лейкоз в ПР2; ХМЛ за исключением хронической фазы 1 и БК; МДС в ПР2 или ЧР; НХЛ в ПР2, ЧР или стабилизация заболевания; ММ в ПР2, ЧР или стабилизация заболевания.</w:t>
            </w:r>
          </w:p>
          <w:p w14:paraId="45388ACC" w14:textId="77777777" w:rsidR="006D3228" w:rsidRPr="00777124" w:rsidRDefault="006D3228" w:rsidP="005A428D">
            <w:pPr>
              <w:pStyle w:val="table-ref"/>
              <w:rPr>
                <w:rFonts w:eastAsia="SimSun"/>
                <w:sz w:val="24"/>
                <w:szCs w:val="24"/>
              </w:rPr>
            </w:pPr>
            <w:r w:rsidRPr="00777124">
              <w:rPr>
                <w:rFonts w:eastAsia="SimSun"/>
                <w:sz w:val="24"/>
                <w:szCs w:val="24"/>
              </w:rPr>
              <w:t>Развернутый — острый лейкоз в других стадиях кроме ПР1 и ПР2; ХМЛ в БК; МДС во всех других стадиях; НХЛ во всех других стадиях; ММ во всех других стадиях.</w:t>
            </w:r>
          </w:p>
          <w:p w14:paraId="25319DE9" w14:textId="77777777" w:rsidR="006D3228" w:rsidRPr="00777124" w:rsidRDefault="006D3228" w:rsidP="005A428D">
            <w:pPr>
              <w:pStyle w:val="table-ref"/>
              <w:rPr>
                <w:rFonts w:eastAsia="SimSun"/>
                <w:sz w:val="24"/>
                <w:szCs w:val="24"/>
              </w:rPr>
            </w:pPr>
            <w:r w:rsidRPr="00777124">
              <w:rPr>
                <w:rFonts w:eastAsia="SimSun"/>
                <w:sz w:val="24"/>
                <w:szCs w:val="24"/>
                <w:vertAlign w:val="superscript"/>
              </w:rPr>
              <w:t>2</w:t>
            </w:r>
            <w:r w:rsidRPr="00777124">
              <w:rPr>
                <w:rFonts w:eastAsia="SimSun"/>
                <w:sz w:val="24"/>
                <w:szCs w:val="24"/>
              </w:rPr>
              <w:t xml:space="preserve"> Не применяется у пациентов в ПР1.</w:t>
            </w:r>
          </w:p>
        </w:tc>
      </w:tr>
    </w:tbl>
    <w:p w14:paraId="076C8262" w14:textId="77777777" w:rsidR="006D3228" w:rsidRPr="00777124" w:rsidRDefault="006D3228" w:rsidP="006D3228">
      <w:pPr>
        <w:spacing w:line="240" w:lineRule="auto"/>
        <w:rPr>
          <w:rFonts w:eastAsia="SimSun"/>
          <w:szCs w:val="24"/>
        </w:rPr>
      </w:pPr>
    </w:p>
    <w:p w14:paraId="68D294AF" w14:textId="77777777" w:rsidR="006D3228" w:rsidRPr="00777124" w:rsidRDefault="006D3228" w:rsidP="00FD194A">
      <w:pPr>
        <w:pStyle w:val="table-name"/>
        <w:spacing w:before="0" w:line="360" w:lineRule="auto"/>
        <w:rPr>
          <w:rFonts w:eastAsia="SimSun"/>
          <w:szCs w:val="24"/>
        </w:rPr>
      </w:pPr>
      <w:r w:rsidRPr="00777124">
        <w:rPr>
          <w:rFonts w:eastAsia="SimSun"/>
          <w:szCs w:val="24"/>
        </w:rPr>
        <w:t>Пятилетняя летальность (%), связанная с трансплантацией, согласно шкале риска EBMT</w:t>
      </w:r>
    </w:p>
    <w:tbl>
      <w:tblPr>
        <w:tblW w:w="1072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1314"/>
        <w:gridCol w:w="1314"/>
        <w:gridCol w:w="1314"/>
        <w:gridCol w:w="1314"/>
        <w:gridCol w:w="1314"/>
        <w:gridCol w:w="1314"/>
        <w:gridCol w:w="1314"/>
      </w:tblGrid>
      <w:tr w:rsidR="006D3228" w:rsidRPr="00777124" w14:paraId="00667543" w14:textId="77777777" w:rsidTr="00FD194A">
        <w:trPr>
          <w:trHeight w:val="360"/>
        </w:trPr>
        <w:tc>
          <w:tcPr>
            <w:tcW w:w="1531" w:type="dxa"/>
          </w:tcPr>
          <w:p w14:paraId="719EE86B" w14:textId="77777777" w:rsidR="006D3228" w:rsidRPr="00777124" w:rsidRDefault="006D3228" w:rsidP="005A428D">
            <w:pPr>
              <w:pStyle w:val="table-head-left"/>
              <w:rPr>
                <w:kern w:val="2"/>
                <w:szCs w:val="24"/>
                <w:lang w:eastAsia="zh-CN" w:bidi="hi-IN"/>
              </w:rPr>
            </w:pPr>
            <w:r w:rsidRPr="00777124">
              <w:rPr>
                <w:kern w:val="2"/>
                <w:szCs w:val="24"/>
                <w:lang w:eastAsia="zh-CN" w:bidi="hi-IN"/>
              </w:rPr>
              <w:t>Баллы</w:t>
            </w:r>
          </w:p>
        </w:tc>
        <w:tc>
          <w:tcPr>
            <w:tcW w:w="1314" w:type="dxa"/>
          </w:tcPr>
          <w:p w14:paraId="784751D2" w14:textId="77777777" w:rsidR="006D3228" w:rsidRPr="00777124" w:rsidRDefault="006D3228" w:rsidP="005A428D">
            <w:pPr>
              <w:pStyle w:val="table-head-left"/>
              <w:rPr>
                <w:kern w:val="2"/>
                <w:szCs w:val="24"/>
                <w:lang w:eastAsia="zh-CN" w:bidi="hi-IN"/>
              </w:rPr>
            </w:pPr>
            <w:r w:rsidRPr="00777124">
              <w:rPr>
                <w:kern w:val="2"/>
                <w:szCs w:val="24"/>
                <w:lang w:eastAsia="zh-CN" w:bidi="hi-IN"/>
              </w:rPr>
              <w:t>0</w:t>
            </w:r>
          </w:p>
        </w:tc>
        <w:tc>
          <w:tcPr>
            <w:tcW w:w="1314" w:type="dxa"/>
          </w:tcPr>
          <w:p w14:paraId="631AD65B" w14:textId="77777777" w:rsidR="006D3228" w:rsidRPr="00777124" w:rsidRDefault="006D3228" w:rsidP="005A428D">
            <w:pPr>
              <w:pStyle w:val="table-head-left"/>
              <w:rPr>
                <w:kern w:val="2"/>
                <w:szCs w:val="24"/>
                <w:lang w:eastAsia="zh-CN" w:bidi="hi-IN"/>
              </w:rPr>
            </w:pPr>
            <w:r w:rsidRPr="00777124">
              <w:rPr>
                <w:kern w:val="2"/>
                <w:szCs w:val="24"/>
                <w:lang w:eastAsia="zh-CN" w:bidi="hi-IN"/>
              </w:rPr>
              <w:t>1</w:t>
            </w:r>
          </w:p>
        </w:tc>
        <w:tc>
          <w:tcPr>
            <w:tcW w:w="1314" w:type="dxa"/>
          </w:tcPr>
          <w:p w14:paraId="179E3EA6" w14:textId="77777777" w:rsidR="006D3228" w:rsidRPr="00777124" w:rsidRDefault="006D3228" w:rsidP="005A428D">
            <w:pPr>
              <w:pStyle w:val="table-head-left"/>
              <w:rPr>
                <w:kern w:val="2"/>
                <w:szCs w:val="24"/>
                <w:lang w:eastAsia="zh-CN" w:bidi="hi-IN"/>
              </w:rPr>
            </w:pPr>
            <w:r w:rsidRPr="00777124">
              <w:rPr>
                <w:kern w:val="2"/>
                <w:szCs w:val="24"/>
                <w:lang w:eastAsia="zh-CN" w:bidi="hi-IN"/>
              </w:rPr>
              <w:t>2</w:t>
            </w:r>
          </w:p>
        </w:tc>
        <w:tc>
          <w:tcPr>
            <w:tcW w:w="1314" w:type="dxa"/>
          </w:tcPr>
          <w:p w14:paraId="2CD614C3" w14:textId="77777777" w:rsidR="006D3228" w:rsidRPr="00777124" w:rsidRDefault="006D3228" w:rsidP="005A428D">
            <w:pPr>
              <w:pStyle w:val="table-head-left"/>
              <w:rPr>
                <w:kern w:val="2"/>
                <w:szCs w:val="24"/>
                <w:lang w:eastAsia="zh-CN" w:bidi="hi-IN"/>
              </w:rPr>
            </w:pPr>
            <w:r w:rsidRPr="00777124">
              <w:rPr>
                <w:kern w:val="2"/>
                <w:szCs w:val="24"/>
                <w:lang w:eastAsia="zh-CN" w:bidi="hi-IN"/>
              </w:rPr>
              <w:t>3</w:t>
            </w:r>
          </w:p>
        </w:tc>
        <w:tc>
          <w:tcPr>
            <w:tcW w:w="1314" w:type="dxa"/>
          </w:tcPr>
          <w:p w14:paraId="2BE747FF" w14:textId="77777777" w:rsidR="006D3228" w:rsidRPr="00777124" w:rsidRDefault="006D3228" w:rsidP="005A428D">
            <w:pPr>
              <w:pStyle w:val="table-head-left"/>
              <w:rPr>
                <w:kern w:val="2"/>
                <w:szCs w:val="24"/>
                <w:lang w:eastAsia="zh-CN" w:bidi="hi-IN"/>
              </w:rPr>
            </w:pPr>
            <w:r w:rsidRPr="00777124">
              <w:rPr>
                <w:kern w:val="2"/>
                <w:szCs w:val="24"/>
                <w:lang w:eastAsia="zh-CN" w:bidi="hi-IN"/>
              </w:rPr>
              <w:t>4</w:t>
            </w:r>
          </w:p>
        </w:tc>
        <w:tc>
          <w:tcPr>
            <w:tcW w:w="1314" w:type="dxa"/>
          </w:tcPr>
          <w:p w14:paraId="62C1BC3B" w14:textId="77777777" w:rsidR="006D3228" w:rsidRPr="00777124" w:rsidRDefault="006D3228" w:rsidP="005A428D">
            <w:pPr>
              <w:pStyle w:val="table-head-left"/>
              <w:rPr>
                <w:kern w:val="2"/>
                <w:szCs w:val="24"/>
                <w:lang w:eastAsia="zh-CN" w:bidi="hi-IN"/>
              </w:rPr>
            </w:pPr>
            <w:r w:rsidRPr="00777124">
              <w:rPr>
                <w:kern w:val="2"/>
                <w:szCs w:val="24"/>
                <w:lang w:eastAsia="zh-CN" w:bidi="hi-IN"/>
              </w:rPr>
              <w:t>5</w:t>
            </w:r>
          </w:p>
        </w:tc>
        <w:tc>
          <w:tcPr>
            <w:tcW w:w="1314" w:type="dxa"/>
          </w:tcPr>
          <w:p w14:paraId="3D5EFEEC" w14:textId="77777777" w:rsidR="006D3228" w:rsidRPr="00777124" w:rsidRDefault="006D3228" w:rsidP="005A428D">
            <w:pPr>
              <w:pStyle w:val="table-head-left"/>
              <w:rPr>
                <w:kern w:val="2"/>
                <w:szCs w:val="24"/>
                <w:lang w:eastAsia="zh-CN" w:bidi="hi-IN"/>
              </w:rPr>
            </w:pPr>
            <w:r w:rsidRPr="00777124">
              <w:rPr>
                <w:kern w:val="2"/>
                <w:szCs w:val="24"/>
                <w:lang w:eastAsia="zh-CN" w:bidi="hi-IN"/>
              </w:rPr>
              <w:t>6–7</w:t>
            </w:r>
          </w:p>
        </w:tc>
      </w:tr>
      <w:tr w:rsidR="006D3228" w:rsidRPr="00777124" w14:paraId="291C15FE" w14:textId="77777777" w:rsidTr="00FD194A">
        <w:trPr>
          <w:trHeight w:val="360"/>
        </w:trPr>
        <w:tc>
          <w:tcPr>
            <w:tcW w:w="1531" w:type="dxa"/>
          </w:tcPr>
          <w:p w14:paraId="75AD306D" w14:textId="77777777" w:rsidR="006D3228" w:rsidRPr="00777124" w:rsidRDefault="006D3228" w:rsidP="005A428D">
            <w:pPr>
              <w:pStyle w:val="table-text-0"/>
              <w:rPr>
                <w:kern w:val="2"/>
                <w:sz w:val="24"/>
                <w:szCs w:val="24"/>
                <w:lang w:eastAsia="zh-CN" w:bidi="hi-IN"/>
              </w:rPr>
            </w:pPr>
            <w:r w:rsidRPr="00777124">
              <w:rPr>
                <w:kern w:val="2"/>
                <w:sz w:val="24"/>
                <w:szCs w:val="24"/>
                <w:lang w:eastAsia="zh-CN" w:bidi="hi-IN"/>
              </w:rPr>
              <w:t>ОМЛ</w:t>
            </w:r>
          </w:p>
        </w:tc>
        <w:tc>
          <w:tcPr>
            <w:tcW w:w="1314" w:type="dxa"/>
          </w:tcPr>
          <w:p w14:paraId="1027C26F" w14:textId="77777777" w:rsidR="006D3228" w:rsidRPr="00777124" w:rsidRDefault="006D3228" w:rsidP="005A428D">
            <w:pPr>
              <w:pStyle w:val="table-text-0"/>
              <w:rPr>
                <w:kern w:val="2"/>
                <w:sz w:val="24"/>
                <w:szCs w:val="24"/>
                <w:lang w:eastAsia="zh-CN" w:bidi="hi-IN"/>
              </w:rPr>
            </w:pPr>
            <w:r w:rsidRPr="00777124">
              <w:rPr>
                <w:kern w:val="2"/>
                <w:sz w:val="24"/>
                <w:szCs w:val="24"/>
                <w:lang w:val="x-none" w:eastAsia="zh-CN" w:bidi="hi-IN"/>
              </w:rPr>
              <w:t>14</w:t>
            </w:r>
          </w:p>
        </w:tc>
        <w:tc>
          <w:tcPr>
            <w:tcW w:w="1314" w:type="dxa"/>
          </w:tcPr>
          <w:p w14:paraId="605ACF59" w14:textId="77777777" w:rsidR="006D3228" w:rsidRPr="00777124" w:rsidRDefault="006D3228" w:rsidP="005A428D">
            <w:pPr>
              <w:pStyle w:val="table-text-0"/>
              <w:rPr>
                <w:kern w:val="2"/>
                <w:sz w:val="24"/>
                <w:szCs w:val="24"/>
                <w:lang w:eastAsia="zh-CN" w:bidi="hi-IN"/>
              </w:rPr>
            </w:pPr>
            <w:r w:rsidRPr="00777124">
              <w:rPr>
                <w:kern w:val="2"/>
                <w:sz w:val="24"/>
                <w:szCs w:val="24"/>
                <w:lang w:val="x-none" w:eastAsia="zh-CN" w:bidi="hi-IN"/>
              </w:rPr>
              <w:t>20</w:t>
            </w:r>
          </w:p>
        </w:tc>
        <w:tc>
          <w:tcPr>
            <w:tcW w:w="1314" w:type="dxa"/>
          </w:tcPr>
          <w:p w14:paraId="16D17DEC" w14:textId="77777777" w:rsidR="006D3228" w:rsidRPr="00777124" w:rsidRDefault="006D3228" w:rsidP="005A428D">
            <w:pPr>
              <w:pStyle w:val="table-text-0"/>
              <w:rPr>
                <w:kern w:val="2"/>
                <w:sz w:val="24"/>
                <w:szCs w:val="24"/>
                <w:lang w:eastAsia="zh-CN" w:bidi="hi-IN"/>
              </w:rPr>
            </w:pPr>
            <w:r w:rsidRPr="00777124">
              <w:rPr>
                <w:kern w:val="2"/>
                <w:sz w:val="24"/>
                <w:szCs w:val="24"/>
                <w:lang w:val="x-none" w:eastAsia="zh-CN" w:bidi="hi-IN"/>
              </w:rPr>
              <w:t>25</w:t>
            </w:r>
          </w:p>
        </w:tc>
        <w:tc>
          <w:tcPr>
            <w:tcW w:w="1314" w:type="dxa"/>
          </w:tcPr>
          <w:p w14:paraId="7DD8927C" w14:textId="77777777" w:rsidR="006D3228" w:rsidRPr="00777124" w:rsidRDefault="006D3228" w:rsidP="005A428D">
            <w:pPr>
              <w:pStyle w:val="table-text-0"/>
              <w:rPr>
                <w:kern w:val="2"/>
                <w:sz w:val="24"/>
                <w:szCs w:val="24"/>
                <w:lang w:eastAsia="zh-CN" w:bidi="hi-IN"/>
              </w:rPr>
            </w:pPr>
            <w:r w:rsidRPr="00777124">
              <w:rPr>
                <w:kern w:val="2"/>
                <w:sz w:val="24"/>
                <w:szCs w:val="24"/>
                <w:lang w:val="x-none" w:eastAsia="zh-CN" w:bidi="hi-IN"/>
              </w:rPr>
              <w:t>30</w:t>
            </w:r>
          </w:p>
        </w:tc>
        <w:tc>
          <w:tcPr>
            <w:tcW w:w="1314" w:type="dxa"/>
          </w:tcPr>
          <w:p w14:paraId="78789162" w14:textId="77777777" w:rsidR="006D3228" w:rsidRPr="00777124" w:rsidRDefault="006D3228" w:rsidP="005A428D">
            <w:pPr>
              <w:pStyle w:val="table-text-0"/>
              <w:rPr>
                <w:kern w:val="2"/>
                <w:sz w:val="24"/>
                <w:szCs w:val="24"/>
                <w:lang w:eastAsia="zh-CN" w:bidi="hi-IN"/>
              </w:rPr>
            </w:pPr>
            <w:r w:rsidRPr="00777124">
              <w:rPr>
                <w:kern w:val="2"/>
                <w:sz w:val="24"/>
                <w:szCs w:val="24"/>
                <w:lang w:val="x-none" w:eastAsia="zh-CN" w:bidi="hi-IN"/>
              </w:rPr>
              <w:t>36</w:t>
            </w:r>
          </w:p>
        </w:tc>
        <w:tc>
          <w:tcPr>
            <w:tcW w:w="1314" w:type="dxa"/>
          </w:tcPr>
          <w:p w14:paraId="446E63FF" w14:textId="77777777" w:rsidR="006D3228" w:rsidRPr="00777124" w:rsidRDefault="006D3228" w:rsidP="005A428D">
            <w:pPr>
              <w:pStyle w:val="table-text-0"/>
              <w:rPr>
                <w:kern w:val="2"/>
                <w:sz w:val="24"/>
                <w:szCs w:val="24"/>
                <w:lang w:eastAsia="zh-CN" w:bidi="hi-IN"/>
              </w:rPr>
            </w:pPr>
            <w:r w:rsidRPr="00777124">
              <w:rPr>
                <w:kern w:val="2"/>
                <w:sz w:val="24"/>
                <w:szCs w:val="24"/>
                <w:lang w:val="x-none" w:eastAsia="zh-CN" w:bidi="hi-IN"/>
              </w:rPr>
              <w:t>40</w:t>
            </w:r>
          </w:p>
        </w:tc>
        <w:tc>
          <w:tcPr>
            <w:tcW w:w="1314" w:type="dxa"/>
          </w:tcPr>
          <w:p w14:paraId="59FF102B" w14:textId="77777777" w:rsidR="006D3228" w:rsidRPr="00777124" w:rsidRDefault="006D3228" w:rsidP="005A428D">
            <w:pPr>
              <w:pStyle w:val="table-text-0"/>
              <w:rPr>
                <w:kern w:val="2"/>
                <w:sz w:val="24"/>
                <w:szCs w:val="24"/>
                <w:lang w:eastAsia="zh-CN" w:bidi="hi-IN"/>
              </w:rPr>
            </w:pPr>
            <w:r w:rsidRPr="00777124">
              <w:rPr>
                <w:kern w:val="2"/>
                <w:sz w:val="24"/>
                <w:szCs w:val="24"/>
                <w:lang w:val="x-none" w:eastAsia="zh-CN" w:bidi="hi-IN"/>
              </w:rPr>
              <w:t>41</w:t>
            </w:r>
          </w:p>
        </w:tc>
      </w:tr>
      <w:tr w:rsidR="006D3228" w:rsidRPr="00777124" w14:paraId="440A7E97" w14:textId="77777777" w:rsidTr="00FD194A">
        <w:trPr>
          <w:trHeight w:val="360"/>
        </w:trPr>
        <w:tc>
          <w:tcPr>
            <w:tcW w:w="1531" w:type="dxa"/>
          </w:tcPr>
          <w:p w14:paraId="358478FB" w14:textId="77777777" w:rsidR="006D3228" w:rsidRPr="00777124" w:rsidRDefault="006D3228" w:rsidP="005A428D">
            <w:pPr>
              <w:pStyle w:val="table-text-0"/>
              <w:rPr>
                <w:kern w:val="2"/>
                <w:sz w:val="24"/>
                <w:szCs w:val="24"/>
                <w:lang w:eastAsia="zh-CN" w:bidi="hi-IN"/>
              </w:rPr>
            </w:pPr>
            <w:r w:rsidRPr="00777124">
              <w:rPr>
                <w:kern w:val="2"/>
                <w:sz w:val="24"/>
                <w:szCs w:val="24"/>
                <w:lang w:eastAsia="zh-CN" w:bidi="hi-IN"/>
              </w:rPr>
              <w:t>ОЛЛ</w:t>
            </w:r>
          </w:p>
        </w:tc>
        <w:tc>
          <w:tcPr>
            <w:tcW w:w="1314" w:type="dxa"/>
          </w:tcPr>
          <w:p w14:paraId="36220881" w14:textId="77777777" w:rsidR="006D3228" w:rsidRPr="00777124" w:rsidRDefault="006D3228" w:rsidP="005A428D">
            <w:pPr>
              <w:pStyle w:val="table-text-0"/>
              <w:rPr>
                <w:kern w:val="2"/>
                <w:sz w:val="24"/>
                <w:szCs w:val="24"/>
                <w:lang w:eastAsia="zh-CN" w:bidi="hi-IN"/>
              </w:rPr>
            </w:pPr>
            <w:r w:rsidRPr="00777124">
              <w:rPr>
                <w:kern w:val="2"/>
                <w:sz w:val="24"/>
                <w:szCs w:val="24"/>
                <w:lang w:val="x-none" w:eastAsia="zh-CN" w:bidi="hi-IN"/>
              </w:rPr>
              <w:t>15</w:t>
            </w:r>
          </w:p>
        </w:tc>
        <w:tc>
          <w:tcPr>
            <w:tcW w:w="1314" w:type="dxa"/>
          </w:tcPr>
          <w:p w14:paraId="52AD161A" w14:textId="77777777" w:rsidR="006D3228" w:rsidRPr="00777124" w:rsidRDefault="006D3228" w:rsidP="005A428D">
            <w:pPr>
              <w:pStyle w:val="table-text-0"/>
              <w:rPr>
                <w:kern w:val="2"/>
                <w:sz w:val="24"/>
                <w:szCs w:val="24"/>
                <w:lang w:eastAsia="zh-CN" w:bidi="hi-IN"/>
              </w:rPr>
            </w:pPr>
            <w:r w:rsidRPr="00777124">
              <w:rPr>
                <w:kern w:val="2"/>
                <w:sz w:val="24"/>
                <w:szCs w:val="24"/>
                <w:lang w:val="x-none" w:eastAsia="zh-CN" w:bidi="hi-IN"/>
              </w:rPr>
              <w:t>23</w:t>
            </w:r>
          </w:p>
        </w:tc>
        <w:tc>
          <w:tcPr>
            <w:tcW w:w="1314" w:type="dxa"/>
          </w:tcPr>
          <w:p w14:paraId="5535CA19" w14:textId="77777777" w:rsidR="006D3228" w:rsidRPr="00777124" w:rsidRDefault="006D3228" w:rsidP="005A428D">
            <w:pPr>
              <w:pStyle w:val="table-text-0"/>
              <w:rPr>
                <w:kern w:val="2"/>
                <w:sz w:val="24"/>
                <w:szCs w:val="24"/>
                <w:lang w:eastAsia="zh-CN" w:bidi="hi-IN"/>
              </w:rPr>
            </w:pPr>
            <w:r w:rsidRPr="00777124">
              <w:rPr>
                <w:kern w:val="2"/>
                <w:sz w:val="24"/>
                <w:szCs w:val="24"/>
                <w:lang w:val="x-none" w:eastAsia="zh-CN" w:bidi="hi-IN"/>
              </w:rPr>
              <w:t>24</w:t>
            </w:r>
          </w:p>
        </w:tc>
        <w:tc>
          <w:tcPr>
            <w:tcW w:w="1314" w:type="dxa"/>
          </w:tcPr>
          <w:p w14:paraId="0B96F515" w14:textId="77777777" w:rsidR="006D3228" w:rsidRPr="00777124" w:rsidRDefault="006D3228" w:rsidP="005A428D">
            <w:pPr>
              <w:pStyle w:val="table-text-0"/>
              <w:rPr>
                <w:kern w:val="2"/>
                <w:sz w:val="24"/>
                <w:szCs w:val="24"/>
                <w:lang w:eastAsia="zh-CN" w:bidi="hi-IN"/>
              </w:rPr>
            </w:pPr>
            <w:r w:rsidRPr="00777124">
              <w:rPr>
                <w:kern w:val="2"/>
                <w:sz w:val="24"/>
                <w:szCs w:val="24"/>
                <w:lang w:val="x-none" w:eastAsia="zh-CN" w:bidi="hi-IN"/>
              </w:rPr>
              <w:t>30</w:t>
            </w:r>
          </w:p>
        </w:tc>
        <w:tc>
          <w:tcPr>
            <w:tcW w:w="1314" w:type="dxa"/>
          </w:tcPr>
          <w:p w14:paraId="3944CB7F" w14:textId="77777777" w:rsidR="006D3228" w:rsidRPr="00777124" w:rsidRDefault="006D3228" w:rsidP="005A428D">
            <w:pPr>
              <w:pStyle w:val="table-text-0"/>
              <w:rPr>
                <w:kern w:val="2"/>
                <w:sz w:val="24"/>
                <w:szCs w:val="24"/>
                <w:lang w:eastAsia="zh-CN" w:bidi="hi-IN"/>
              </w:rPr>
            </w:pPr>
            <w:r w:rsidRPr="00777124">
              <w:rPr>
                <w:kern w:val="2"/>
                <w:sz w:val="24"/>
                <w:szCs w:val="24"/>
                <w:lang w:val="x-none" w:eastAsia="zh-CN" w:bidi="hi-IN"/>
              </w:rPr>
              <w:t>40</w:t>
            </w:r>
          </w:p>
        </w:tc>
        <w:tc>
          <w:tcPr>
            <w:tcW w:w="1314" w:type="dxa"/>
          </w:tcPr>
          <w:p w14:paraId="1F3F88B4" w14:textId="77777777" w:rsidR="006D3228" w:rsidRPr="00777124" w:rsidRDefault="006D3228" w:rsidP="005A428D">
            <w:pPr>
              <w:pStyle w:val="table-text-0"/>
              <w:rPr>
                <w:kern w:val="2"/>
                <w:sz w:val="24"/>
                <w:szCs w:val="24"/>
                <w:lang w:eastAsia="zh-CN" w:bidi="hi-IN"/>
              </w:rPr>
            </w:pPr>
            <w:r w:rsidRPr="00777124">
              <w:rPr>
                <w:kern w:val="2"/>
                <w:sz w:val="24"/>
                <w:szCs w:val="24"/>
                <w:lang w:val="x-none" w:eastAsia="zh-CN" w:bidi="hi-IN"/>
              </w:rPr>
              <w:t>47</w:t>
            </w:r>
          </w:p>
        </w:tc>
        <w:tc>
          <w:tcPr>
            <w:tcW w:w="1314" w:type="dxa"/>
          </w:tcPr>
          <w:p w14:paraId="636C1264" w14:textId="77777777" w:rsidR="006D3228" w:rsidRPr="00777124" w:rsidRDefault="006D3228" w:rsidP="005A428D">
            <w:pPr>
              <w:pStyle w:val="table-text-0"/>
              <w:rPr>
                <w:kern w:val="2"/>
                <w:sz w:val="24"/>
                <w:szCs w:val="24"/>
                <w:lang w:eastAsia="zh-CN" w:bidi="hi-IN"/>
              </w:rPr>
            </w:pPr>
            <w:r w:rsidRPr="00777124">
              <w:rPr>
                <w:kern w:val="2"/>
                <w:sz w:val="24"/>
                <w:szCs w:val="24"/>
                <w:lang w:val="x-none" w:eastAsia="zh-CN" w:bidi="hi-IN"/>
              </w:rPr>
              <w:t>53</w:t>
            </w:r>
          </w:p>
        </w:tc>
      </w:tr>
      <w:tr w:rsidR="006D3228" w:rsidRPr="00777124" w14:paraId="43F81AB0" w14:textId="77777777" w:rsidTr="00FD194A">
        <w:trPr>
          <w:trHeight w:val="360"/>
        </w:trPr>
        <w:tc>
          <w:tcPr>
            <w:tcW w:w="1531" w:type="dxa"/>
          </w:tcPr>
          <w:p w14:paraId="61A72EC9" w14:textId="77777777" w:rsidR="006D3228" w:rsidRPr="00777124" w:rsidRDefault="006D3228" w:rsidP="005A428D">
            <w:pPr>
              <w:pStyle w:val="table-text-0"/>
              <w:rPr>
                <w:kern w:val="2"/>
                <w:sz w:val="24"/>
                <w:szCs w:val="24"/>
                <w:lang w:eastAsia="zh-CN" w:bidi="hi-IN"/>
              </w:rPr>
            </w:pPr>
            <w:r w:rsidRPr="00777124">
              <w:rPr>
                <w:kern w:val="2"/>
                <w:sz w:val="24"/>
                <w:szCs w:val="24"/>
                <w:lang w:eastAsia="zh-CN" w:bidi="hi-IN"/>
              </w:rPr>
              <w:t>ХМЛ</w:t>
            </w:r>
          </w:p>
        </w:tc>
        <w:tc>
          <w:tcPr>
            <w:tcW w:w="1314" w:type="dxa"/>
          </w:tcPr>
          <w:p w14:paraId="65BABD3E" w14:textId="77777777" w:rsidR="006D3228" w:rsidRPr="00777124" w:rsidRDefault="006D3228" w:rsidP="005A428D">
            <w:pPr>
              <w:pStyle w:val="table-text-0"/>
              <w:rPr>
                <w:kern w:val="2"/>
                <w:sz w:val="24"/>
                <w:szCs w:val="24"/>
                <w:lang w:eastAsia="zh-CN" w:bidi="hi-IN"/>
              </w:rPr>
            </w:pPr>
            <w:r w:rsidRPr="00777124">
              <w:rPr>
                <w:kern w:val="2"/>
                <w:sz w:val="24"/>
                <w:szCs w:val="24"/>
                <w:lang w:val="x-none" w:eastAsia="zh-CN" w:bidi="hi-IN"/>
              </w:rPr>
              <w:t>15</w:t>
            </w:r>
          </w:p>
        </w:tc>
        <w:tc>
          <w:tcPr>
            <w:tcW w:w="1314" w:type="dxa"/>
          </w:tcPr>
          <w:p w14:paraId="47FAE6C3" w14:textId="77777777" w:rsidR="006D3228" w:rsidRPr="00777124" w:rsidRDefault="006D3228" w:rsidP="005A428D">
            <w:pPr>
              <w:pStyle w:val="table-text-0"/>
              <w:rPr>
                <w:kern w:val="2"/>
                <w:sz w:val="24"/>
                <w:szCs w:val="24"/>
                <w:lang w:eastAsia="zh-CN" w:bidi="hi-IN"/>
              </w:rPr>
            </w:pPr>
            <w:r w:rsidRPr="00777124">
              <w:rPr>
                <w:kern w:val="2"/>
                <w:sz w:val="24"/>
                <w:szCs w:val="24"/>
                <w:lang w:val="x-none" w:eastAsia="zh-CN" w:bidi="hi-IN"/>
              </w:rPr>
              <w:t>22</w:t>
            </w:r>
          </w:p>
        </w:tc>
        <w:tc>
          <w:tcPr>
            <w:tcW w:w="1314" w:type="dxa"/>
          </w:tcPr>
          <w:p w14:paraId="7F73AE9D" w14:textId="77777777" w:rsidR="006D3228" w:rsidRPr="00777124" w:rsidRDefault="006D3228" w:rsidP="005A428D">
            <w:pPr>
              <w:pStyle w:val="table-text-0"/>
              <w:rPr>
                <w:kern w:val="2"/>
                <w:sz w:val="24"/>
                <w:szCs w:val="24"/>
                <w:lang w:eastAsia="zh-CN" w:bidi="hi-IN"/>
              </w:rPr>
            </w:pPr>
            <w:r w:rsidRPr="00777124">
              <w:rPr>
                <w:kern w:val="2"/>
                <w:sz w:val="24"/>
                <w:szCs w:val="24"/>
                <w:lang w:val="x-none" w:eastAsia="zh-CN" w:bidi="hi-IN"/>
              </w:rPr>
              <w:t>30</w:t>
            </w:r>
          </w:p>
        </w:tc>
        <w:tc>
          <w:tcPr>
            <w:tcW w:w="1314" w:type="dxa"/>
          </w:tcPr>
          <w:p w14:paraId="13FEACD5" w14:textId="77777777" w:rsidR="006D3228" w:rsidRPr="00777124" w:rsidRDefault="006D3228" w:rsidP="005A428D">
            <w:pPr>
              <w:pStyle w:val="table-text-0"/>
              <w:rPr>
                <w:kern w:val="2"/>
                <w:sz w:val="24"/>
                <w:szCs w:val="24"/>
                <w:lang w:eastAsia="zh-CN" w:bidi="hi-IN"/>
              </w:rPr>
            </w:pPr>
            <w:r w:rsidRPr="00777124">
              <w:rPr>
                <w:kern w:val="2"/>
                <w:sz w:val="24"/>
                <w:szCs w:val="24"/>
                <w:lang w:val="x-none" w:eastAsia="zh-CN" w:bidi="hi-IN"/>
              </w:rPr>
              <w:t>38</w:t>
            </w:r>
          </w:p>
        </w:tc>
        <w:tc>
          <w:tcPr>
            <w:tcW w:w="1314" w:type="dxa"/>
          </w:tcPr>
          <w:p w14:paraId="2C391B28" w14:textId="77777777" w:rsidR="006D3228" w:rsidRPr="00777124" w:rsidRDefault="006D3228" w:rsidP="005A428D">
            <w:pPr>
              <w:pStyle w:val="table-text-0"/>
              <w:rPr>
                <w:kern w:val="2"/>
                <w:sz w:val="24"/>
                <w:szCs w:val="24"/>
                <w:lang w:eastAsia="zh-CN" w:bidi="hi-IN"/>
              </w:rPr>
            </w:pPr>
            <w:r w:rsidRPr="00777124">
              <w:rPr>
                <w:kern w:val="2"/>
                <w:sz w:val="24"/>
                <w:szCs w:val="24"/>
                <w:lang w:val="x-none" w:eastAsia="zh-CN" w:bidi="hi-IN"/>
              </w:rPr>
              <w:t>45</w:t>
            </w:r>
          </w:p>
        </w:tc>
        <w:tc>
          <w:tcPr>
            <w:tcW w:w="1314" w:type="dxa"/>
          </w:tcPr>
          <w:p w14:paraId="25D394B7" w14:textId="77777777" w:rsidR="006D3228" w:rsidRPr="00777124" w:rsidRDefault="006D3228" w:rsidP="005A428D">
            <w:pPr>
              <w:pStyle w:val="table-text-0"/>
              <w:rPr>
                <w:kern w:val="2"/>
                <w:sz w:val="24"/>
                <w:szCs w:val="24"/>
                <w:lang w:eastAsia="zh-CN" w:bidi="hi-IN"/>
              </w:rPr>
            </w:pPr>
            <w:r w:rsidRPr="00777124">
              <w:rPr>
                <w:kern w:val="2"/>
                <w:sz w:val="24"/>
                <w:szCs w:val="24"/>
                <w:lang w:val="x-none" w:eastAsia="zh-CN" w:bidi="hi-IN"/>
              </w:rPr>
              <w:t>52</w:t>
            </w:r>
          </w:p>
        </w:tc>
        <w:tc>
          <w:tcPr>
            <w:tcW w:w="1314" w:type="dxa"/>
          </w:tcPr>
          <w:p w14:paraId="40FCF963" w14:textId="77777777" w:rsidR="006D3228" w:rsidRPr="00777124" w:rsidRDefault="006D3228" w:rsidP="005A428D">
            <w:pPr>
              <w:pStyle w:val="table-text-0"/>
              <w:rPr>
                <w:kern w:val="2"/>
                <w:sz w:val="24"/>
                <w:szCs w:val="24"/>
                <w:lang w:eastAsia="zh-CN" w:bidi="hi-IN"/>
              </w:rPr>
            </w:pPr>
            <w:r w:rsidRPr="00777124">
              <w:rPr>
                <w:kern w:val="2"/>
                <w:sz w:val="24"/>
                <w:szCs w:val="24"/>
                <w:lang w:val="x-none" w:eastAsia="zh-CN" w:bidi="hi-IN"/>
              </w:rPr>
              <w:t>55</w:t>
            </w:r>
          </w:p>
        </w:tc>
      </w:tr>
      <w:tr w:rsidR="006D3228" w:rsidRPr="00777124" w14:paraId="5893C915" w14:textId="77777777" w:rsidTr="00FD194A">
        <w:trPr>
          <w:trHeight w:val="360"/>
        </w:trPr>
        <w:tc>
          <w:tcPr>
            <w:tcW w:w="1531" w:type="dxa"/>
          </w:tcPr>
          <w:p w14:paraId="2024B5F8" w14:textId="77777777" w:rsidR="006D3228" w:rsidRPr="00777124" w:rsidRDefault="006D3228" w:rsidP="005A428D">
            <w:pPr>
              <w:pStyle w:val="table-text-0"/>
              <w:rPr>
                <w:kern w:val="2"/>
                <w:sz w:val="24"/>
                <w:szCs w:val="24"/>
                <w:lang w:eastAsia="zh-CN" w:bidi="hi-IN"/>
              </w:rPr>
            </w:pPr>
            <w:r w:rsidRPr="00777124">
              <w:rPr>
                <w:kern w:val="2"/>
                <w:sz w:val="24"/>
                <w:szCs w:val="24"/>
                <w:lang w:eastAsia="zh-CN" w:bidi="hi-IN"/>
              </w:rPr>
              <w:t>АА</w:t>
            </w:r>
          </w:p>
        </w:tc>
        <w:tc>
          <w:tcPr>
            <w:tcW w:w="1314" w:type="dxa"/>
          </w:tcPr>
          <w:p w14:paraId="3B65B161" w14:textId="77777777" w:rsidR="006D3228" w:rsidRPr="00777124" w:rsidRDefault="006D3228" w:rsidP="005A428D">
            <w:pPr>
              <w:pStyle w:val="table-text-0"/>
              <w:rPr>
                <w:kern w:val="2"/>
                <w:sz w:val="24"/>
                <w:szCs w:val="24"/>
                <w:lang w:eastAsia="zh-CN" w:bidi="hi-IN"/>
              </w:rPr>
            </w:pPr>
            <w:r w:rsidRPr="00777124">
              <w:rPr>
                <w:kern w:val="2"/>
                <w:sz w:val="24"/>
                <w:szCs w:val="24"/>
                <w:lang w:val="x-none" w:eastAsia="zh-CN" w:bidi="hi-IN"/>
              </w:rPr>
              <w:t>18</w:t>
            </w:r>
          </w:p>
        </w:tc>
        <w:tc>
          <w:tcPr>
            <w:tcW w:w="1314" w:type="dxa"/>
          </w:tcPr>
          <w:p w14:paraId="47529840" w14:textId="77777777" w:rsidR="006D3228" w:rsidRPr="00777124" w:rsidRDefault="006D3228" w:rsidP="005A428D">
            <w:pPr>
              <w:pStyle w:val="table-text-0"/>
              <w:rPr>
                <w:kern w:val="2"/>
                <w:sz w:val="24"/>
                <w:szCs w:val="24"/>
                <w:lang w:eastAsia="zh-CN" w:bidi="hi-IN"/>
              </w:rPr>
            </w:pPr>
            <w:r w:rsidRPr="00777124">
              <w:rPr>
                <w:kern w:val="2"/>
                <w:sz w:val="24"/>
                <w:szCs w:val="24"/>
                <w:lang w:val="x-none" w:eastAsia="zh-CN" w:bidi="hi-IN"/>
              </w:rPr>
              <w:t>26</w:t>
            </w:r>
          </w:p>
        </w:tc>
        <w:tc>
          <w:tcPr>
            <w:tcW w:w="1314" w:type="dxa"/>
          </w:tcPr>
          <w:p w14:paraId="46A7AA10" w14:textId="77777777" w:rsidR="006D3228" w:rsidRPr="00777124" w:rsidRDefault="006D3228" w:rsidP="005A428D">
            <w:pPr>
              <w:pStyle w:val="table-text-0"/>
              <w:rPr>
                <w:kern w:val="2"/>
                <w:sz w:val="24"/>
                <w:szCs w:val="24"/>
                <w:lang w:eastAsia="zh-CN" w:bidi="hi-IN"/>
              </w:rPr>
            </w:pPr>
            <w:r w:rsidRPr="00777124">
              <w:rPr>
                <w:kern w:val="2"/>
                <w:sz w:val="24"/>
                <w:szCs w:val="24"/>
                <w:lang w:val="x-none" w:eastAsia="zh-CN" w:bidi="hi-IN"/>
              </w:rPr>
              <w:t>40</w:t>
            </w:r>
          </w:p>
        </w:tc>
        <w:tc>
          <w:tcPr>
            <w:tcW w:w="1314" w:type="dxa"/>
          </w:tcPr>
          <w:p w14:paraId="29340759" w14:textId="77777777" w:rsidR="006D3228" w:rsidRPr="00777124" w:rsidRDefault="006D3228" w:rsidP="005A428D">
            <w:pPr>
              <w:pStyle w:val="table-text-0"/>
              <w:rPr>
                <w:kern w:val="2"/>
                <w:sz w:val="24"/>
                <w:szCs w:val="24"/>
                <w:lang w:eastAsia="zh-CN" w:bidi="hi-IN"/>
              </w:rPr>
            </w:pPr>
            <w:r w:rsidRPr="00777124">
              <w:rPr>
                <w:kern w:val="2"/>
                <w:sz w:val="24"/>
                <w:szCs w:val="24"/>
                <w:lang w:val="x-none" w:eastAsia="zh-CN" w:bidi="hi-IN"/>
              </w:rPr>
              <w:t>49</w:t>
            </w:r>
          </w:p>
        </w:tc>
        <w:tc>
          <w:tcPr>
            <w:tcW w:w="1314" w:type="dxa"/>
          </w:tcPr>
          <w:p w14:paraId="4C0AAB83" w14:textId="77777777" w:rsidR="006D3228" w:rsidRPr="00777124" w:rsidRDefault="006D3228" w:rsidP="005A428D">
            <w:pPr>
              <w:pStyle w:val="table-text-0"/>
              <w:rPr>
                <w:kern w:val="2"/>
                <w:sz w:val="24"/>
                <w:szCs w:val="24"/>
                <w:lang w:eastAsia="zh-CN" w:bidi="hi-IN"/>
              </w:rPr>
            </w:pPr>
            <w:r w:rsidRPr="00777124">
              <w:rPr>
                <w:kern w:val="2"/>
                <w:sz w:val="24"/>
                <w:szCs w:val="24"/>
                <w:lang w:val="x-none" w:eastAsia="zh-CN" w:bidi="hi-IN"/>
              </w:rPr>
              <w:t>52</w:t>
            </w:r>
          </w:p>
        </w:tc>
        <w:tc>
          <w:tcPr>
            <w:tcW w:w="1314" w:type="dxa"/>
          </w:tcPr>
          <w:p w14:paraId="506293AF" w14:textId="77777777" w:rsidR="006D3228" w:rsidRPr="00777124" w:rsidRDefault="006D3228" w:rsidP="005A428D">
            <w:pPr>
              <w:pStyle w:val="table-text-0"/>
              <w:rPr>
                <w:kern w:val="2"/>
                <w:sz w:val="24"/>
                <w:szCs w:val="24"/>
                <w:lang w:eastAsia="zh-CN" w:bidi="hi-IN"/>
              </w:rPr>
            </w:pPr>
            <w:r w:rsidRPr="00777124">
              <w:rPr>
                <w:kern w:val="2"/>
                <w:sz w:val="24"/>
                <w:szCs w:val="24"/>
                <w:lang w:eastAsia="zh-CN" w:bidi="hi-IN"/>
              </w:rPr>
              <w:t>–</w:t>
            </w:r>
          </w:p>
        </w:tc>
        <w:tc>
          <w:tcPr>
            <w:tcW w:w="1314" w:type="dxa"/>
          </w:tcPr>
          <w:p w14:paraId="70C88B45" w14:textId="77777777" w:rsidR="006D3228" w:rsidRPr="00777124" w:rsidRDefault="006D3228" w:rsidP="005A428D">
            <w:pPr>
              <w:pStyle w:val="table-text-0"/>
              <w:rPr>
                <w:kern w:val="2"/>
                <w:sz w:val="24"/>
                <w:szCs w:val="24"/>
                <w:lang w:eastAsia="zh-CN" w:bidi="hi-IN"/>
              </w:rPr>
            </w:pPr>
            <w:r w:rsidRPr="00777124">
              <w:rPr>
                <w:kern w:val="2"/>
                <w:sz w:val="24"/>
                <w:szCs w:val="24"/>
                <w:lang w:eastAsia="zh-CN" w:bidi="hi-IN"/>
              </w:rPr>
              <w:t>–</w:t>
            </w:r>
          </w:p>
        </w:tc>
      </w:tr>
      <w:tr w:rsidR="006D3228" w:rsidRPr="00777124" w14:paraId="34E48166" w14:textId="77777777" w:rsidTr="00FD194A">
        <w:trPr>
          <w:trHeight w:val="360"/>
        </w:trPr>
        <w:tc>
          <w:tcPr>
            <w:tcW w:w="1531" w:type="dxa"/>
          </w:tcPr>
          <w:p w14:paraId="3895FD93" w14:textId="77777777" w:rsidR="006D3228" w:rsidRPr="00777124" w:rsidRDefault="006D3228" w:rsidP="005A428D">
            <w:pPr>
              <w:pStyle w:val="table-text-0"/>
              <w:rPr>
                <w:kern w:val="2"/>
                <w:sz w:val="24"/>
                <w:szCs w:val="24"/>
                <w:lang w:eastAsia="zh-CN" w:bidi="hi-IN"/>
              </w:rPr>
            </w:pPr>
            <w:r w:rsidRPr="00777124">
              <w:rPr>
                <w:kern w:val="2"/>
                <w:sz w:val="24"/>
                <w:szCs w:val="24"/>
                <w:lang w:eastAsia="zh-CN" w:bidi="hi-IN"/>
              </w:rPr>
              <w:t>МДС</w:t>
            </w:r>
          </w:p>
        </w:tc>
        <w:tc>
          <w:tcPr>
            <w:tcW w:w="1314" w:type="dxa"/>
          </w:tcPr>
          <w:p w14:paraId="6D2DCD29" w14:textId="77777777" w:rsidR="006D3228" w:rsidRPr="00777124" w:rsidRDefault="006D3228" w:rsidP="005A428D">
            <w:pPr>
              <w:pStyle w:val="table-text-0"/>
              <w:rPr>
                <w:kern w:val="2"/>
                <w:sz w:val="24"/>
                <w:szCs w:val="24"/>
                <w:lang w:eastAsia="zh-CN" w:bidi="hi-IN"/>
              </w:rPr>
            </w:pPr>
            <w:r w:rsidRPr="00777124">
              <w:rPr>
                <w:kern w:val="2"/>
                <w:sz w:val="24"/>
                <w:szCs w:val="24"/>
                <w:lang w:val="x-none" w:eastAsia="zh-CN" w:bidi="hi-IN"/>
              </w:rPr>
              <w:t>25</w:t>
            </w:r>
          </w:p>
        </w:tc>
        <w:tc>
          <w:tcPr>
            <w:tcW w:w="1314" w:type="dxa"/>
          </w:tcPr>
          <w:p w14:paraId="11249928" w14:textId="77777777" w:rsidR="006D3228" w:rsidRPr="00777124" w:rsidRDefault="006D3228" w:rsidP="005A428D">
            <w:pPr>
              <w:pStyle w:val="table-text-0"/>
              <w:rPr>
                <w:kern w:val="2"/>
                <w:sz w:val="24"/>
                <w:szCs w:val="24"/>
                <w:lang w:eastAsia="zh-CN" w:bidi="hi-IN"/>
              </w:rPr>
            </w:pPr>
            <w:r w:rsidRPr="00777124">
              <w:rPr>
                <w:kern w:val="2"/>
                <w:sz w:val="24"/>
                <w:szCs w:val="24"/>
                <w:lang w:val="x-none" w:eastAsia="zh-CN" w:bidi="hi-IN"/>
              </w:rPr>
              <w:t>28</w:t>
            </w:r>
          </w:p>
        </w:tc>
        <w:tc>
          <w:tcPr>
            <w:tcW w:w="1314" w:type="dxa"/>
          </w:tcPr>
          <w:p w14:paraId="44143F5D" w14:textId="77777777" w:rsidR="006D3228" w:rsidRPr="00777124" w:rsidRDefault="006D3228" w:rsidP="005A428D">
            <w:pPr>
              <w:pStyle w:val="table-text-0"/>
              <w:rPr>
                <w:kern w:val="2"/>
                <w:sz w:val="24"/>
                <w:szCs w:val="24"/>
                <w:lang w:eastAsia="zh-CN" w:bidi="hi-IN"/>
              </w:rPr>
            </w:pPr>
            <w:r w:rsidRPr="00777124">
              <w:rPr>
                <w:kern w:val="2"/>
                <w:sz w:val="24"/>
                <w:szCs w:val="24"/>
                <w:lang w:val="x-none" w:eastAsia="zh-CN" w:bidi="hi-IN"/>
              </w:rPr>
              <w:t>30</w:t>
            </w:r>
          </w:p>
        </w:tc>
        <w:tc>
          <w:tcPr>
            <w:tcW w:w="1314" w:type="dxa"/>
          </w:tcPr>
          <w:p w14:paraId="57CFB697" w14:textId="77777777" w:rsidR="006D3228" w:rsidRPr="00777124" w:rsidRDefault="006D3228" w:rsidP="005A428D">
            <w:pPr>
              <w:pStyle w:val="table-text-0"/>
              <w:rPr>
                <w:kern w:val="2"/>
                <w:sz w:val="24"/>
                <w:szCs w:val="24"/>
                <w:lang w:eastAsia="zh-CN" w:bidi="hi-IN"/>
              </w:rPr>
            </w:pPr>
            <w:r w:rsidRPr="00777124">
              <w:rPr>
                <w:kern w:val="2"/>
                <w:sz w:val="24"/>
                <w:szCs w:val="24"/>
                <w:lang w:val="x-none" w:eastAsia="zh-CN" w:bidi="hi-IN"/>
              </w:rPr>
              <w:t>35</w:t>
            </w:r>
          </w:p>
        </w:tc>
        <w:tc>
          <w:tcPr>
            <w:tcW w:w="1314" w:type="dxa"/>
          </w:tcPr>
          <w:p w14:paraId="569C9698" w14:textId="77777777" w:rsidR="006D3228" w:rsidRPr="00777124" w:rsidRDefault="006D3228" w:rsidP="005A428D">
            <w:pPr>
              <w:pStyle w:val="table-text-0"/>
              <w:rPr>
                <w:kern w:val="2"/>
                <w:sz w:val="24"/>
                <w:szCs w:val="24"/>
                <w:lang w:eastAsia="zh-CN" w:bidi="hi-IN"/>
              </w:rPr>
            </w:pPr>
            <w:r w:rsidRPr="00777124">
              <w:rPr>
                <w:kern w:val="2"/>
                <w:sz w:val="24"/>
                <w:szCs w:val="24"/>
                <w:lang w:val="x-none" w:eastAsia="zh-CN" w:bidi="hi-IN"/>
              </w:rPr>
              <w:t>38</w:t>
            </w:r>
          </w:p>
        </w:tc>
        <w:tc>
          <w:tcPr>
            <w:tcW w:w="1314" w:type="dxa"/>
          </w:tcPr>
          <w:p w14:paraId="504A39F5" w14:textId="77777777" w:rsidR="006D3228" w:rsidRPr="00777124" w:rsidRDefault="006D3228" w:rsidP="005A428D">
            <w:pPr>
              <w:pStyle w:val="table-text-0"/>
              <w:rPr>
                <w:kern w:val="2"/>
                <w:sz w:val="24"/>
                <w:szCs w:val="24"/>
                <w:lang w:eastAsia="zh-CN" w:bidi="hi-IN"/>
              </w:rPr>
            </w:pPr>
            <w:r w:rsidRPr="00777124">
              <w:rPr>
                <w:kern w:val="2"/>
                <w:sz w:val="24"/>
                <w:szCs w:val="24"/>
                <w:lang w:val="x-none" w:eastAsia="zh-CN" w:bidi="hi-IN"/>
              </w:rPr>
              <w:t>46</w:t>
            </w:r>
          </w:p>
        </w:tc>
        <w:tc>
          <w:tcPr>
            <w:tcW w:w="1314" w:type="dxa"/>
          </w:tcPr>
          <w:p w14:paraId="4A9E45B1" w14:textId="77777777" w:rsidR="006D3228" w:rsidRPr="00777124" w:rsidRDefault="006D3228" w:rsidP="005A428D">
            <w:pPr>
              <w:pStyle w:val="table-text-0"/>
              <w:rPr>
                <w:kern w:val="2"/>
                <w:sz w:val="24"/>
                <w:szCs w:val="24"/>
                <w:lang w:eastAsia="zh-CN" w:bidi="hi-IN"/>
              </w:rPr>
            </w:pPr>
            <w:r w:rsidRPr="00777124">
              <w:rPr>
                <w:kern w:val="2"/>
                <w:sz w:val="24"/>
                <w:szCs w:val="24"/>
                <w:lang w:val="x-none" w:eastAsia="zh-CN" w:bidi="hi-IN"/>
              </w:rPr>
              <w:t>50</w:t>
            </w:r>
          </w:p>
        </w:tc>
      </w:tr>
      <w:tr w:rsidR="006D3228" w:rsidRPr="00777124" w14:paraId="4AB762D5" w14:textId="77777777" w:rsidTr="00FD194A">
        <w:trPr>
          <w:trHeight w:val="360"/>
        </w:trPr>
        <w:tc>
          <w:tcPr>
            <w:tcW w:w="1531" w:type="dxa"/>
          </w:tcPr>
          <w:p w14:paraId="3D4507B0" w14:textId="77777777" w:rsidR="006D3228" w:rsidRPr="00777124" w:rsidRDefault="006D3228" w:rsidP="005A428D">
            <w:pPr>
              <w:pStyle w:val="table-text-0"/>
              <w:rPr>
                <w:kern w:val="2"/>
                <w:sz w:val="24"/>
                <w:szCs w:val="24"/>
                <w:lang w:eastAsia="zh-CN" w:bidi="hi-IN"/>
              </w:rPr>
            </w:pPr>
            <w:r w:rsidRPr="00777124">
              <w:rPr>
                <w:kern w:val="2"/>
                <w:sz w:val="24"/>
                <w:szCs w:val="24"/>
                <w:lang w:eastAsia="zh-CN" w:bidi="hi-IN"/>
              </w:rPr>
              <w:t>ММ</w:t>
            </w:r>
          </w:p>
        </w:tc>
        <w:tc>
          <w:tcPr>
            <w:tcW w:w="1314" w:type="dxa"/>
          </w:tcPr>
          <w:p w14:paraId="1C44B86A" w14:textId="77777777" w:rsidR="006D3228" w:rsidRPr="00777124" w:rsidRDefault="006D3228" w:rsidP="005A428D">
            <w:pPr>
              <w:pStyle w:val="table-text-0"/>
              <w:rPr>
                <w:kern w:val="2"/>
                <w:sz w:val="24"/>
                <w:szCs w:val="24"/>
                <w:lang w:eastAsia="zh-CN" w:bidi="hi-IN"/>
              </w:rPr>
            </w:pPr>
            <w:r w:rsidRPr="00777124">
              <w:rPr>
                <w:kern w:val="2"/>
                <w:sz w:val="24"/>
                <w:szCs w:val="24"/>
                <w:lang w:eastAsia="zh-CN" w:bidi="hi-IN"/>
              </w:rPr>
              <w:t>–</w:t>
            </w:r>
          </w:p>
        </w:tc>
        <w:tc>
          <w:tcPr>
            <w:tcW w:w="1314" w:type="dxa"/>
          </w:tcPr>
          <w:p w14:paraId="13638D4E" w14:textId="77777777" w:rsidR="006D3228" w:rsidRPr="00777124" w:rsidRDefault="006D3228" w:rsidP="005A428D">
            <w:pPr>
              <w:pStyle w:val="table-text-0"/>
              <w:rPr>
                <w:kern w:val="2"/>
                <w:sz w:val="24"/>
                <w:szCs w:val="24"/>
                <w:lang w:eastAsia="zh-CN" w:bidi="hi-IN"/>
              </w:rPr>
            </w:pPr>
            <w:r w:rsidRPr="00777124">
              <w:rPr>
                <w:kern w:val="2"/>
                <w:sz w:val="24"/>
                <w:szCs w:val="24"/>
                <w:lang w:eastAsia="zh-CN" w:bidi="hi-IN"/>
              </w:rPr>
              <w:t>–</w:t>
            </w:r>
          </w:p>
        </w:tc>
        <w:tc>
          <w:tcPr>
            <w:tcW w:w="1314" w:type="dxa"/>
          </w:tcPr>
          <w:p w14:paraId="6D30B828" w14:textId="77777777" w:rsidR="006D3228" w:rsidRPr="00777124" w:rsidRDefault="006D3228" w:rsidP="005A428D">
            <w:pPr>
              <w:pStyle w:val="table-text-0"/>
              <w:rPr>
                <w:kern w:val="2"/>
                <w:sz w:val="24"/>
                <w:szCs w:val="24"/>
                <w:lang w:eastAsia="zh-CN" w:bidi="hi-IN"/>
              </w:rPr>
            </w:pPr>
            <w:r w:rsidRPr="00777124">
              <w:rPr>
                <w:kern w:val="2"/>
                <w:sz w:val="24"/>
                <w:szCs w:val="24"/>
                <w:lang w:val="x-none" w:eastAsia="zh-CN" w:bidi="hi-IN"/>
              </w:rPr>
              <w:t>29</w:t>
            </w:r>
          </w:p>
        </w:tc>
        <w:tc>
          <w:tcPr>
            <w:tcW w:w="1314" w:type="dxa"/>
          </w:tcPr>
          <w:p w14:paraId="0115DA09" w14:textId="77777777" w:rsidR="006D3228" w:rsidRPr="00777124" w:rsidRDefault="006D3228" w:rsidP="005A428D">
            <w:pPr>
              <w:pStyle w:val="table-text-0"/>
              <w:rPr>
                <w:kern w:val="2"/>
                <w:sz w:val="24"/>
                <w:szCs w:val="24"/>
                <w:lang w:eastAsia="zh-CN" w:bidi="hi-IN"/>
              </w:rPr>
            </w:pPr>
            <w:r w:rsidRPr="00777124">
              <w:rPr>
                <w:kern w:val="2"/>
                <w:sz w:val="24"/>
                <w:szCs w:val="24"/>
                <w:lang w:val="x-none" w:eastAsia="zh-CN" w:bidi="hi-IN"/>
              </w:rPr>
              <w:t>35</w:t>
            </w:r>
          </w:p>
        </w:tc>
        <w:tc>
          <w:tcPr>
            <w:tcW w:w="1314" w:type="dxa"/>
          </w:tcPr>
          <w:p w14:paraId="3E5A365B" w14:textId="77777777" w:rsidR="006D3228" w:rsidRPr="00777124" w:rsidRDefault="006D3228" w:rsidP="005A428D">
            <w:pPr>
              <w:pStyle w:val="table-text-0"/>
              <w:rPr>
                <w:kern w:val="2"/>
                <w:sz w:val="24"/>
                <w:szCs w:val="24"/>
                <w:lang w:eastAsia="zh-CN" w:bidi="hi-IN"/>
              </w:rPr>
            </w:pPr>
            <w:r w:rsidRPr="00777124">
              <w:rPr>
                <w:kern w:val="2"/>
                <w:sz w:val="24"/>
                <w:szCs w:val="24"/>
                <w:lang w:val="x-none" w:eastAsia="zh-CN" w:bidi="hi-IN"/>
              </w:rPr>
              <w:t>40</w:t>
            </w:r>
          </w:p>
        </w:tc>
        <w:tc>
          <w:tcPr>
            <w:tcW w:w="1314" w:type="dxa"/>
          </w:tcPr>
          <w:p w14:paraId="25E4058C" w14:textId="77777777" w:rsidR="006D3228" w:rsidRPr="00777124" w:rsidRDefault="006D3228" w:rsidP="005A428D">
            <w:pPr>
              <w:pStyle w:val="table-text-0"/>
              <w:rPr>
                <w:kern w:val="2"/>
                <w:sz w:val="24"/>
                <w:szCs w:val="24"/>
                <w:lang w:eastAsia="zh-CN" w:bidi="hi-IN"/>
              </w:rPr>
            </w:pPr>
            <w:r w:rsidRPr="00777124">
              <w:rPr>
                <w:kern w:val="2"/>
                <w:sz w:val="24"/>
                <w:szCs w:val="24"/>
                <w:lang w:val="x-none" w:eastAsia="zh-CN" w:bidi="hi-IN"/>
              </w:rPr>
              <w:t>42</w:t>
            </w:r>
          </w:p>
        </w:tc>
        <w:tc>
          <w:tcPr>
            <w:tcW w:w="1314" w:type="dxa"/>
          </w:tcPr>
          <w:p w14:paraId="37B58B8D" w14:textId="77777777" w:rsidR="006D3228" w:rsidRPr="00777124" w:rsidRDefault="006D3228" w:rsidP="005A428D">
            <w:pPr>
              <w:pStyle w:val="table-text-0"/>
              <w:rPr>
                <w:kern w:val="2"/>
                <w:sz w:val="24"/>
                <w:szCs w:val="24"/>
                <w:lang w:eastAsia="zh-CN" w:bidi="hi-IN"/>
              </w:rPr>
            </w:pPr>
            <w:r w:rsidRPr="00777124">
              <w:rPr>
                <w:kern w:val="2"/>
                <w:sz w:val="24"/>
                <w:szCs w:val="24"/>
                <w:lang w:val="x-none" w:eastAsia="zh-CN" w:bidi="hi-IN"/>
              </w:rPr>
              <w:t>52</w:t>
            </w:r>
          </w:p>
        </w:tc>
      </w:tr>
      <w:tr w:rsidR="006D3228" w:rsidRPr="00777124" w14:paraId="110B4202" w14:textId="77777777" w:rsidTr="00FD194A">
        <w:trPr>
          <w:trHeight w:val="360"/>
        </w:trPr>
        <w:tc>
          <w:tcPr>
            <w:tcW w:w="1531" w:type="dxa"/>
          </w:tcPr>
          <w:p w14:paraId="78577192" w14:textId="77777777" w:rsidR="006D3228" w:rsidRPr="00777124" w:rsidRDefault="006D3228" w:rsidP="005A428D">
            <w:pPr>
              <w:pStyle w:val="table-text-0"/>
              <w:rPr>
                <w:kern w:val="2"/>
                <w:sz w:val="24"/>
                <w:szCs w:val="24"/>
                <w:lang w:eastAsia="zh-CN" w:bidi="hi-IN"/>
              </w:rPr>
            </w:pPr>
            <w:r w:rsidRPr="00777124">
              <w:rPr>
                <w:kern w:val="2"/>
                <w:sz w:val="24"/>
                <w:szCs w:val="24"/>
                <w:lang w:eastAsia="zh-CN" w:bidi="hi-IN"/>
              </w:rPr>
              <w:t>НХЛ</w:t>
            </w:r>
          </w:p>
        </w:tc>
        <w:tc>
          <w:tcPr>
            <w:tcW w:w="1314" w:type="dxa"/>
          </w:tcPr>
          <w:p w14:paraId="4DACF955" w14:textId="77777777" w:rsidR="006D3228" w:rsidRPr="00777124" w:rsidRDefault="006D3228" w:rsidP="005A428D">
            <w:pPr>
              <w:pStyle w:val="table-text-0"/>
              <w:rPr>
                <w:kern w:val="2"/>
                <w:sz w:val="24"/>
                <w:szCs w:val="24"/>
                <w:lang w:eastAsia="zh-CN" w:bidi="hi-IN"/>
              </w:rPr>
            </w:pPr>
            <w:r w:rsidRPr="00777124">
              <w:rPr>
                <w:kern w:val="2"/>
                <w:sz w:val="24"/>
                <w:szCs w:val="24"/>
                <w:lang w:val="x-none" w:eastAsia="zh-CN" w:bidi="hi-IN"/>
              </w:rPr>
              <w:t>15</w:t>
            </w:r>
          </w:p>
        </w:tc>
        <w:tc>
          <w:tcPr>
            <w:tcW w:w="1314" w:type="dxa"/>
          </w:tcPr>
          <w:p w14:paraId="7FE5FF20" w14:textId="77777777" w:rsidR="006D3228" w:rsidRPr="00777124" w:rsidRDefault="006D3228" w:rsidP="005A428D">
            <w:pPr>
              <w:pStyle w:val="table-text-0"/>
              <w:rPr>
                <w:kern w:val="2"/>
                <w:sz w:val="24"/>
                <w:szCs w:val="24"/>
                <w:lang w:eastAsia="zh-CN" w:bidi="hi-IN"/>
              </w:rPr>
            </w:pPr>
            <w:r w:rsidRPr="00777124">
              <w:rPr>
                <w:kern w:val="2"/>
                <w:sz w:val="24"/>
                <w:szCs w:val="24"/>
                <w:lang w:val="x-none" w:eastAsia="zh-CN" w:bidi="hi-IN"/>
              </w:rPr>
              <w:t>24</w:t>
            </w:r>
          </w:p>
        </w:tc>
        <w:tc>
          <w:tcPr>
            <w:tcW w:w="1314" w:type="dxa"/>
          </w:tcPr>
          <w:p w14:paraId="3579793E" w14:textId="77777777" w:rsidR="006D3228" w:rsidRPr="00777124" w:rsidRDefault="006D3228" w:rsidP="005A428D">
            <w:pPr>
              <w:pStyle w:val="table-text-0"/>
              <w:rPr>
                <w:kern w:val="2"/>
                <w:sz w:val="24"/>
                <w:szCs w:val="24"/>
                <w:lang w:eastAsia="zh-CN" w:bidi="hi-IN"/>
              </w:rPr>
            </w:pPr>
            <w:r w:rsidRPr="00777124">
              <w:rPr>
                <w:kern w:val="2"/>
                <w:sz w:val="24"/>
                <w:szCs w:val="24"/>
                <w:lang w:val="x-none" w:eastAsia="zh-CN" w:bidi="hi-IN"/>
              </w:rPr>
              <w:t>28</w:t>
            </w:r>
          </w:p>
        </w:tc>
        <w:tc>
          <w:tcPr>
            <w:tcW w:w="1314" w:type="dxa"/>
          </w:tcPr>
          <w:p w14:paraId="102D1ADD" w14:textId="77777777" w:rsidR="006D3228" w:rsidRPr="00777124" w:rsidRDefault="006D3228" w:rsidP="005A428D">
            <w:pPr>
              <w:pStyle w:val="table-text-0"/>
              <w:rPr>
                <w:kern w:val="2"/>
                <w:sz w:val="24"/>
                <w:szCs w:val="24"/>
                <w:lang w:eastAsia="zh-CN" w:bidi="hi-IN"/>
              </w:rPr>
            </w:pPr>
            <w:r w:rsidRPr="00777124">
              <w:rPr>
                <w:kern w:val="2"/>
                <w:sz w:val="24"/>
                <w:szCs w:val="24"/>
                <w:lang w:val="x-none" w:eastAsia="zh-CN" w:bidi="hi-IN"/>
              </w:rPr>
              <w:t>30</w:t>
            </w:r>
          </w:p>
        </w:tc>
        <w:tc>
          <w:tcPr>
            <w:tcW w:w="1314" w:type="dxa"/>
          </w:tcPr>
          <w:p w14:paraId="2D6C53DF" w14:textId="77777777" w:rsidR="006D3228" w:rsidRPr="00777124" w:rsidRDefault="006D3228" w:rsidP="005A428D">
            <w:pPr>
              <w:pStyle w:val="table-text-0"/>
              <w:rPr>
                <w:kern w:val="2"/>
                <w:sz w:val="24"/>
                <w:szCs w:val="24"/>
                <w:lang w:eastAsia="zh-CN" w:bidi="hi-IN"/>
              </w:rPr>
            </w:pPr>
            <w:r w:rsidRPr="00777124">
              <w:rPr>
                <w:kern w:val="2"/>
                <w:sz w:val="24"/>
                <w:szCs w:val="24"/>
                <w:lang w:val="x-none" w:eastAsia="zh-CN" w:bidi="hi-IN"/>
              </w:rPr>
              <w:t>34</w:t>
            </w:r>
          </w:p>
        </w:tc>
        <w:tc>
          <w:tcPr>
            <w:tcW w:w="1314" w:type="dxa"/>
          </w:tcPr>
          <w:p w14:paraId="2FDA65B5" w14:textId="77777777" w:rsidR="006D3228" w:rsidRPr="00777124" w:rsidRDefault="006D3228" w:rsidP="005A428D">
            <w:pPr>
              <w:pStyle w:val="table-text-0"/>
              <w:rPr>
                <w:kern w:val="2"/>
                <w:sz w:val="24"/>
                <w:szCs w:val="24"/>
                <w:lang w:eastAsia="zh-CN" w:bidi="hi-IN"/>
              </w:rPr>
            </w:pPr>
            <w:r w:rsidRPr="00777124">
              <w:rPr>
                <w:kern w:val="2"/>
                <w:sz w:val="24"/>
                <w:szCs w:val="24"/>
                <w:lang w:val="x-none" w:eastAsia="zh-CN" w:bidi="hi-IN"/>
              </w:rPr>
              <w:t>36</w:t>
            </w:r>
          </w:p>
        </w:tc>
        <w:tc>
          <w:tcPr>
            <w:tcW w:w="1314" w:type="dxa"/>
          </w:tcPr>
          <w:p w14:paraId="687CA678" w14:textId="77777777" w:rsidR="006D3228" w:rsidRPr="00777124" w:rsidRDefault="006D3228" w:rsidP="005A428D">
            <w:pPr>
              <w:pStyle w:val="table-text-0"/>
              <w:rPr>
                <w:kern w:val="2"/>
                <w:sz w:val="24"/>
                <w:szCs w:val="24"/>
                <w:lang w:eastAsia="zh-CN" w:bidi="hi-IN"/>
              </w:rPr>
            </w:pPr>
            <w:r w:rsidRPr="00777124">
              <w:rPr>
                <w:kern w:val="2"/>
                <w:sz w:val="24"/>
                <w:szCs w:val="24"/>
                <w:lang w:val="x-none" w:eastAsia="zh-CN" w:bidi="hi-IN"/>
              </w:rPr>
              <w:t>38</w:t>
            </w:r>
          </w:p>
        </w:tc>
      </w:tr>
    </w:tbl>
    <w:p w14:paraId="77EFF63A" w14:textId="77777777" w:rsidR="006D3228" w:rsidRPr="00777124" w:rsidRDefault="006D3228" w:rsidP="006D3228">
      <w:pPr>
        <w:pStyle w:val="2"/>
        <w:rPr>
          <w:rFonts w:eastAsia="SimSun"/>
        </w:rPr>
      </w:pPr>
    </w:p>
    <w:p w14:paraId="4BC6156B" w14:textId="77777777" w:rsidR="006D3228" w:rsidRPr="00777124" w:rsidRDefault="006D3228" w:rsidP="006D3228">
      <w:pPr>
        <w:rPr>
          <w:szCs w:val="24"/>
          <w:lang w:val="en-US"/>
        </w:rPr>
      </w:pPr>
    </w:p>
    <w:p w14:paraId="7BE4C682" w14:textId="77777777" w:rsidR="00607185" w:rsidRPr="006A377C" w:rsidRDefault="00607185" w:rsidP="00EA7BF5">
      <w:pPr>
        <w:rPr>
          <w:szCs w:val="24"/>
        </w:rPr>
      </w:pPr>
    </w:p>
    <w:sectPr w:rsidR="00607185" w:rsidRPr="006A377C" w:rsidSect="005353B8">
      <w:footerReference w:type="default" r:id="rId23"/>
      <w:footerReference w:type="first" r:id="rId24"/>
      <w:pgSz w:w="11906" w:h="16838"/>
      <w:pgMar w:top="1134" w:right="850" w:bottom="1134" w:left="1701" w:header="708" w:footer="708" w:gutter="0"/>
      <w:cols w:space="720"/>
      <w:formProt w:val="0"/>
      <w:titlePg/>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4CCAA8" w14:textId="77777777" w:rsidR="001C0DEA" w:rsidRDefault="001C0DEA">
      <w:pPr>
        <w:spacing w:line="240" w:lineRule="auto"/>
      </w:pPr>
      <w:r>
        <w:separator/>
      </w:r>
    </w:p>
  </w:endnote>
  <w:endnote w:type="continuationSeparator" w:id="0">
    <w:p w14:paraId="5B6C9CF0" w14:textId="77777777" w:rsidR="001C0DEA" w:rsidRDefault="001C0DEA">
      <w:pPr>
        <w:spacing w:line="240" w:lineRule="auto"/>
      </w:pPr>
      <w:r>
        <w:continuationSeparator/>
      </w:r>
    </w:p>
  </w:endnote>
  <w:endnote w:type="continuationNotice" w:id="1">
    <w:p w14:paraId="1A6137C1" w14:textId="77777777" w:rsidR="001C0DEA" w:rsidRDefault="001C0DE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Gill Sans">
    <w:altName w:val="Gill Sans"/>
    <w:charset w:val="B1"/>
    <w:family w:val="swiss"/>
    <w:pitch w:val="variable"/>
    <w:sig w:usb0="80000A67" w:usb1="00000000" w:usb2="00000000" w:usb3="00000000" w:csb0="000001F7" w:csb1="00000000"/>
  </w:font>
  <w:font w:name="OpenSymbol">
    <w:altName w:val="Times New Roman"/>
    <w:charset w:val="00"/>
    <w:family w:val="auto"/>
    <w:pitch w:val="variable"/>
    <w:sig w:usb0="800000AF" w:usb1="1807ECEA" w:usb2="00000010" w:usb3="00000000" w:csb0="00020001" w:csb1="00000000"/>
  </w:font>
  <w:font w:name="Palatino Linotype">
    <w:panose1 w:val="02040502050505030304"/>
    <w:charset w:val="CC"/>
    <w:family w:val="roman"/>
    <w:pitch w:val="variable"/>
    <w:sig w:usb0="E0000287" w:usb1="40000013" w:usb2="00000000" w:usb3="00000000" w:csb0="0000019F" w:csb1="00000000"/>
  </w:font>
  <w:font w:name="Helvetica Neue">
    <w:altName w:val="Helvetica Neue"/>
    <w:charset w:val="00"/>
    <w:family w:val="auto"/>
    <w:pitch w:val="variable"/>
    <w:sig w:usb0="E50002FF" w:usb1="500079DB" w:usb2="00000010" w:usb3="00000000" w:csb0="00000001" w:csb1="00000000"/>
  </w:font>
  <w:font w:name="TimesNewRomanPS-ItalicMT">
    <w:altName w:val="Times New Roman"/>
    <w:panose1 w:val="00000000000000000000"/>
    <w:charset w:val="00"/>
    <w:family w:val="roman"/>
    <w:notTrueType/>
    <w:pitch w:val="default"/>
  </w:font>
  <w:font w:name="Times New Roman CYR">
    <w:altName w:val="Cambria"/>
    <w:panose1 w:val="02020603050405020304"/>
    <w:charset w:val="CC"/>
    <w:family w:val="roman"/>
    <w:pitch w:val="variable"/>
    <w:sig w:usb0="E0002AEF" w:usb1="C0007841" w:usb2="00000009" w:usb3="00000000" w:csb0="000001FF" w:csb1="00000000"/>
  </w:font>
  <w:font w:name="GalsLightC">
    <w:altName w:val="MS Mincho"/>
    <w:charset w:val="80"/>
    <w:family w:val="auto"/>
    <w:pitch w:val="default"/>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GaramondC-Light">
    <w:panose1 w:val="00000000000000000000"/>
    <w:charset w:val="CC"/>
    <w:family w:val="auto"/>
    <w:notTrueType/>
    <w:pitch w:val="default"/>
    <w:sig w:usb0="00000201" w:usb1="00000000" w:usb2="00000000" w:usb3="00000000" w:csb0="00000004" w:csb1="00000000"/>
  </w:font>
  <w:font w:name="+mj-ea">
    <w:altName w:val="Times New Roman"/>
    <w:panose1 w:val="00000000000000000000"/>
    <w:charset w:val="00"/>
    <w:family w:val="roman"/>
    <w:notTrueType/>
    <w:pitch w:val="default"/>
  </w:font>
  <w:font w:name="ＭＳ 明朝 (Основной текст темы (ази">
    <w:altName w:val="MS Mincho"/>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69A0E3" w14:textId="77777777" w:rsidR="008143D9" w:rsidRDefault="008143D9">
    <w:pPr>
      <w:pStyle w:val="af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397503" w14:textId="77777777" w:rsidR="008143D9" w:rsidRDefault="008143D9">
    <w:pPr>
      <w:pStyle w:val="af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52B7C7" w14:textId="77777777" w:rsidR="008143D9" w:rsidRDefault="008143D9">
    <w:pPr>
      <w:pStyle w:val="afc"/>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810A90" w14:textId="77777777" w:rsidR="008143D9" w:rsidRDefault="008143D9">
    <w:pPr>
      <w:pStyle w:val="afc"/>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1DB52" w14:textId="77777777" w:rsidR="008143D9" w:rsidRDefault="008143D9">
    <w:pPr>
      <w:pStyle w:val="afc"/>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A23B07" w14:textId="77777777" w:rsidR="008143D9" w:rsidRDefault="008143D9">
    <w:pPr>
      <w:pStyle w:val="afc"/>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DFB84B" w14:textId="77777777" w:rsidR="007755C5" w:rsidRDefault="007755C5" w:rsidP="00351C09">
    <w:pPr>
      <w:pStyle w:val="afc"/>
      <w:jc w:val="center"/>
    </w:pPr>
    <w:r>
      <w:fldChar w:fldCharType="begin"/>
    </w:r>
    <w:r>
      <w:instrText>PAGE   \* MERGEFORMAT</w:instrText>
    </w:r>
    <w:r>
      <w:fldChar w:fldCharType="separate"/>
    </w:r>
    <w:r w:rsidR="00C614F4">
      <w:rPr>
        <w:noProof/>
      </w:rPr>
      <w:t>40</w:t>
    </w:r>
    <w:r>
      <w:rPr>
        <w:noProof/>
      </w:rPr>
      <w:fldChar w:fldCharType="end"/>
    </w:r>
  </w:p>
  <w:p w14:paraId="66ADC68C" w14:textId="77777777" w:rsidR="007755C5" w:rsidRDefault="007755C5">
    <w:pPr>
      <w:pStyle w:val="afc"/>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4BC4D" w14:textId="77777777" w:rsidR="007755C5" w:rsidRDefault="007755C5">
    <w:pPr>
      <w:pStyle w:val="afc"/>
      <w:jc w:val="right"/>
    </w:pPr>
    <w:r>
      <w:fldChar w:fldCharType="begin"/>
    </w:r>
    <w:r>
      <w:instrText>PAGE   \* MERGEFORMAT</w:instrText>
    </w:r>
    <w:r>
      <w:fldChar w:fldCharType="separate"/>
    </w:r>
    <w:r w:rsidR="00C614F4">
      <w:rPr>
        <w:noProof/>
      </w:rPr>
      <w:t>1</w:t>
    </w:r>
    <w:r>
      <w:rPr>
        <w:noProof/>
      </w:rPr>
      <w:fldChar w:fldCharType="end"/>
    </w:r>
  </w:p>
  <w:p w14:paraId="59389955" w14:textId="77777777" w:rsidR="007755C5" w:rsidRDefault="007755C5">
    <w:pPr>
      <w:pStyle w:val="a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B264D4" w14:textId="77777777" w:rsidR="001C0DEA" w:rsidRDefault="001C0DEA">
      <w:pPr>
        <w:spacing w:line="240" w:lineRule="auto"/>
      </w:pPr>
      <w:r>
        <w:separator/>
      </w:r>
    </w:p>
  </w:footnote>
  <w:footnote w:type="continuationSeparator" w:id="0">
    <w:p w14:paraId="6DFEAF50" w14:textId="77777777" w:rsidR="001C0DEA" w:rsidRDefault="001C0DEA">
      <w:pPr>
        <w:spacing w:line="240" w:lineRule="auto"/>
      </w:pPr>
      <w:r>
        <w:continuationSeparator/>
      </w:r>
    </w:p>
  </w:footnote>
  <w:footnote w:type="continuationNotice" w:id="1">
    <w:p w14:paraId="1D36DA36" w14:textId="77777777" w:rsidR="001C0DEA" w:rsidRDefault="001C0DEA">
      <w:pPr>
        <w:spacing w:line="240" w:lineRule="auto"/>
      </w:pPr>
    </w:p>
  </w:footnote>
  <w:footnote w:id="2">
    <w:p w14:paraId="16218D2B" w14:textId="77777777" w:rsidR="008143D9" w:rsidRPr="00611832" w:rsidRDefault="008143D9" w:rsidP="008143D9">
      <w:pPr>
        <w:pStyle w:val="aff8"/>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r>
        <w:rPr>
          <w:rFonts w:eastAsia="SimSun"/>
          <w:szCs w:val="24"/>
        </w:rPr>
        <w:t xml:space="preserve"> </w:t>
      </w:r>
    </w:p>
  </w:footnote>
  <w:footnote w:id="3">
    <w:p w14:paraId="20315B07" w14:textId="77777777" w:rsidR="008143D9" w:rsidRPr="00F2645D" w:rsidRDefault="008143D9" w:rsidP="008143D9">
      <w:pPr>
        <w:pStyle w:val="aff8"/>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4">
    <w:p w14:paraId="207DDC0F" w14:textId="77777777" w:rsidR="008143D9" w:rsidRPr="00F2645D" w:rsidRDefault="008143D9" w:rsidP="008143D9">
      <w:pPr>
        <w:pStyle w:val="aff8"/>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5">
    <w:p w14:paraId="176FEDFD" w14:textId="77777777" w:rsidR="008143D9" w:rsidRPr="00F2645D" w:rsidRDefault="008143D9" w:rsidP="008143D9">
      <w:pPr>
        <w:pStyle w:val="aff8"/>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6">
    <w:p w14:paraId="3C09C1C7" w14:textId="77777777" w:rsidR="008143D9" w:rsidRPr="00611832" w:rsidRDefault="008143D9" w:rsidP="008143D9">
      <w:pPr>
        <w:pStyle w:val="aff8"/>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r>
        <w:rPr>
          <w:rFonts w:eastAsia="SimSun"/>
          <w:szCs w:val="24"/>
        </w:rPr>
        <w:t xml:space="preserve"> </w:t>
      </w:r>
    </w:p>
  </w:footnote>
  <w:footnote w:id="7">
    <w:p w14:paraId="5D5BB1FA" w14:textId="77777777" w:rsidR="008143D9" w:rsidRPr="006155FD" w:rsidRDefault="008143D9" w:rsidP="008143D9">
      <w:pPr>
        <w:pStyle w:val="aff8"/>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8">
    <w:p w14:paraId="21C7B6FD" w14:textId="77777777" w:rsidR="008143D9" w:rsidRPr="006155FD" w:rsidRDefault="008143D9" w:rsidP="008143D9">
      <w:pPr>
        <w:pStyle w:val="aff8"/>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9">
    <w:p w14:paraId="05C3C25C" w14:textId="77777777" w:rsidR="008143D9" w:rsidRPr="00F2645D" w:rsidRDefault="008143D9" w:rsidP="008143D9">
      <w:pPr>
        <w:pStyle w:val="aff8"/>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10">
    <w:p w14:paraId="4203EA9C" w14:textId="77777777" w:rsidR="008143D9" w:rsidRPr="006155FD" w:rsidRDefault="008143D9" w:rsidP="008143D9">
      <w:pPr>
        <w:pStyle w:val="aff8"/>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1">
    <w:p w14:paraId="2B4C3C70" w14:textId="77777777" w:rsidR="008143D9" w:rsidRPr="006155FD" w:rsidRDefault="008143D9" w:rsidP="008143D9">
      <w:pPr>
        <w:pStyle w:val="aff8"/>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2">
    <w:p w14:paraId="26B75F65" w14:textId="77777777" w:rsidR="008143D9" w:rsidRPr="006155FD" w:rsidRDefault="008143D9" w:rsidP="008143D9">
      <w:pPr>
        <w:pStyle w:val="aff8"/>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3">
    <w:p w14:paraId="63D35CD6" w14:textId="77777777" w:rsidR="008143D9" w:rsidRPr="006155FD" w:rsidRDefault="008143D9" w:rsidP="008143D9">
      <w:pPr>
        <w:pStyle w:val="aff8"/>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4">
    <w:p w14:paraId="3E9D71F5" w14:textId="77777777" w:rsidR="008143D9" w:rsidRPr="006155FD" w:rsidRDefault="008143D9" w:rsidP="008143D9">
      <w:pPr>
        <w:pStyle w:val="aff8"/>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5">
    <w:p w14:paraId="39299347" w14:textId="77777777" w:rsidR="008143D9" w:rsidRPr="00DE2136" w:rsidRDefault="008143D9" w:rsidP="008143D9">
      <w:pPr>
        <w:pStyle w:val="aff8"/>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r>
        <w:rPr>
          <w:rFonts w:eastAsia="SimSun"/>
          <w:szCs w:val="24"/>
        </w:rPr>
        <w:t xml:space="preserve"> </w:t>
      </w:r>
    </w:p>
  </w:footnote>
  <w:footnote w:id="16">
    <w:p w14:paraId="0B03EB61" w14:textId="77777777" w:rsidR="008143D9" w:rsidRPr="00F2645D" w:rsidRDefault="008143D9" w:rsidP="008143D9">
      <w:pPr>
        <w:pStyle w:val="aff8"/>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D1C8F" w14:textId="77777777" w:rsidR="008143D9" w:rsidRPr="00A97CBF" w:rsidRDefault="008143D9" w:rsidP="0080666E">
    <w:pPr>
      <w:pStyle w:val="af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C5F437" w14:textId="77777777" w:rsidR="008143D9" w:rsidRDefault="008143D9">
    <w:pPr>
      <w:pStyle w:val="af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3E281820"/>
    <w:lvl w:ilvl="0">
      <w:numFmt w:val="bullet"/>
      <w:pStyle w:val="Bullet2"/>
      <w:lvlText w:val="*"/>
      <w:lvlJc w:val="left"/>
    </w:lvl>
  </w:abstractNum>
  <w:abstractNum w:abstractNumId="1" w15:restartNumberingAfterBreak="0">
    <w:nsid w:val="02B87A7F"/>
    <w:multiLevelType w:val="hybridMultilevel"/>
    <w:tmpl w:val="7C822F20"/>
    <w:lvl w:ilvl="0" w:tplc="FC4EE27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15:restartNumberingAfterBreak="0">
    <w:nsid w:val="05A4236C"/>
    <w:multiLevelType w:val="hybridMultilevel"/>
    <w:tmpl w:val="3B14FE3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D62440"/>
    <w:multiLevelType w:val="hybridMultilevel"/>
    <w:tmpl w:val="E0A809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6615864"/>
    <w:multiLevelType w:val="hybridMultilevel"/>
    <w:tmpl w:val="8230ED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6B5768F"/>
    <w:multiLevelType w:val="hybridMultilevel"/>
    <w:tmpl w:val="3D8EF34E"/>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6" w15:restartNumberingAfterBreak="0">
    <w:nsid w:val="077372DE"/>
    <w:multiLevelType w:val="hybridMultilevel"/>
    <w:tmpl w:val="EE34D9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926206C"/>
    <w:multiLevelType w:val="hybridMultilevel"/>
    <w:tmpl w:val="04F0CA94"/>
    <w:lvl w:ilvl="0" w:tplc="04190003">
      <w:start w:val="1"/>
      <w:numFmt w:val="bullet"/>
      <w:lvlText w:val="o"/>
      <w:lvlJc w:val="left"/>
      <w:pPr>
        <w:ind w:left="1425" w:hanging="360"/>
      </w:pPr>
      <w:rPr>
        <w:rFonts w:ascii="Courier New" w:hAnsi="Courier New" w:cs="Courier New" w:hint="default"/>
        <w:color w:val="auto"/>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8" w15:restartNumberingAfterBreak="0">
    <w:nsid w:val="0A7302E0"/>
    <w:multiLevelType w:val="multilevel"/>
    <w:tmpl w:val="F758790E"/>
    <w:lvl w:ilvl="0">
      <w:start w:val="1"/>
      <w:numFmt w:val="bullet"/>
      <w:lvlText w:val=""/>
      <w:lvlJc w:val="left"/>
      <w:pPr>
        <w:ind w:left="720" w:hanging="360"/>
      </w:pPr>
      <w:rPr>
        <w:rFonts w:ascii="Symbol" w:hAnsi="Symbol" w:cs="Symbol" w:hint="default"/>
        <w:b w:val="0"/>
        <w:sz w:val="24"/>
      </w:rPr>
    </w:lvl>
    <w:lvl w:ilvl="1">
      <w:start w:val="1"/>
      <w:numFmt w:val="decimal"/>
      <w:lvlText w:val="%2)"/>
      <w:lvlJc w:val="left"/>
      <w:pPr>
        <w:ind w:left="1440" w:hanging="360"/>
      </w:pPr>
    </w:lvl>
    <w:lvl w:ilvl="2">
      <w:start w:val="1"/>
      <w:numFmt w:val="bullet"/>
      <w:lvlText w:val=""/>
      <w:lvlJc w:val="left"/>
      <w:pPr>
        <w:ind w:left="2340" w:hanging="360"/>
      </w:pPr>
      <w:rPr>
        <w:rFonts w:ascii="Symbol" w:hAnsi="Symbol"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CEF690B"/>
    <w:multiLevelType w:val="multilevel"/>
    <w:tmpl w:val="51268A1A"/>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0" w15:restartNumberingAfterBreak="0">
    <w:nsid w:val="0D0D5CFA"/>
    <w:multiLevelType w:val="hybridMultilevel"/>
    <w:tmpl w:val="501CD3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0D16377A"/>
    <w:multiLevelType w:val="hybridMultilevel"/>
    <w:tmpl w:val="1BCEF5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D743AAD"/>
    <w:multiLevelType w:val="multilevel"/>
    <w:tmpl w:val="12BE655A"/>
    <w:lvl w:ilvl="0">
      <w:start w:val="1"/>
      <w:numFmt w:val="decimal"/>
      <w:lvlText w:val="%1)"/>
      <w:lvlJc w:val="left"/>
      <w:pPr>
        <w:tabs>
          <w:tab w:val="num" w:pos="1069"/>
        </w:tabs>
        <w:ind w:left="1069" w:hanging="360"/>
      </w:p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3" w15:restartNumberingAfterBreak="0">
    <w:nsid w:val="0EED4B52"/>
    <w:multiLevelType w:val="hybridMultilevel"/>
    <w:tmpl w:val="8DFC94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F666096"/>
    <w:multiLevelType w:val="hybridMultilevel"/>
    <w:tmpl w:val="5390363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0FD92B03"/>
    <w:multiLevelType w:val="hybridMultilevel"/>
    <w:tmpl w:val="BE6A8654"/>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6" w15:restartNumberingAfterBreak="0">
    <w:nsid w:val="105D60C4"/>
    <w:multiLevelType w:val="hybridMultilevel"/>
    <w:tmpl w:val="48C06D6C"/>
    <w:lvl w:ilvl="0" w:tplc="2AD23686">
      <w:start w:val="1"/>
      <w:numFmt w:val="bullet"/>
      <w:pStyle w:val="a"/>
      <w:lvlText w:val=""/>
      <w:lvlJc w:val="left"/>
      <w:pPr>
        <w:ind w:left="9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15:restartNumberingAfterBreak="0">
    <w:nsid w:val="1113446B"/>
    <w:multiLevelType w:val="multilevel"/>
    <w:tmpl w:val="12BE655A"/>
    <w:lvl w:ilvl="0">
      <w:start w:val="1"/>
      <w:numFmt w:val="decimal"/>
      <w:lvlText w:val="%1)"/>
      <w:lvlJc w:val="left"/>
      <w:pPr>
        <w:tabs>
          <w:tab w:val="num" w:pos="1069"/>
        </w:tabs>
        <w:ind w:left="1069" w:hanging="360"/>
      </w:p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8" w15:restartNumberingAfterBreak="0">
    <w:nsid w:val="13794F9A"/>
    <w:multiLevelType w:val="hybridMultilevel"/>
    <w:tmpl w:val="296EBB58"/>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5131C99"/>
    <w:multiLevelType w:val="hybridMultilevel"/>
    <w:tmpl w:val="3C52755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0" w15:restartNumberingAfterBreak="0">
    <w:nsid w:val="153242F3"/>
    <w:multiLevelType w:val="hybridMultilevel"/>
    <w:tmpl w:val="4F6AE4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563373B"/>
    <w:multiLevelType w:val="hybridMultilevel"/>
    <w:tmpl w:val="412C7EC0"/>
    <w:lvl w:ilvl="0" w:tplc="0120671C">
      <w:start w:val="1"/>
      <w:numFmt w:val="bullet"/>
      <w:lvlText w:val=""/>
      <w:lvlJc w:val="left"/>
      <w:pPr>
        <w:tabs>
          <w:tab w:val="num" w:pos="720"/>
        </w:tabs>
        <w:ind w:left="720" w:hanging="360"/>
      </w:pPr>
      <w:rPr>
        <w:rFonts w:ascii="Wingdings 2" w:hAnsi="Wingdings 2" w:hint="default"/>
      </w:rPr>
    </w:lvl>
    <w:lvl w:ilvl="1" w:tplc="F6CCB1E2" w:tentative="1">
      <w:start w:val="1"/>
      <w:numFmt w:val="bullet"/>
      <w:lvlText w:val=""/>
      <w:lvlJc w:val="left"/>
      <w:pPr>
        <w:tabs>
          <w:tab w:val="num" w:pos="1440"/>
        </w:tabs>
        <w:ind w:left="1440" w:hanging="360"/>
      </w:pPr>
      <w:rPr>
        <w:rFonts w:ascii="Wingdings 2" w:hAnsi="Wingdings 2" w:hint="default"/>
      </w:rPr>
    </w:lvl>
    <w:lvl w:ilvl="2" w:tplc="B0FC5F8A" w:tentative="1">
      <w:start w:val="1"/>
      <w:numFmt w:val="bullet"/>
      <w:lvlText w:val=""/>
      <w:lvlJc w:val="left"/>
      <w:pPr>
        <w:tabs>
          <w:tab w:val="num" w:pos="2160"/>
        </w:tabs>
        <w:ind w:left="2160" w:hanging="360"/>
      </w:pPr>
      <w:rPr>
        <w:rFonts w:ascii="Wingdings 2" w:hAnsi="Wingdings 2" w:hint="default"/>
      </w:rPr>
    </w:lvl>
    <w:lvl w:ilvl="3" w:tplc="A82E8348" w:tentative="1">
      <w:start w:val="1"/>
      <w:numFmt w:val="bullet"/>
      <w:lvlText w:val=""/>
      <w:lvlJc w:val="left"/>
      <w:pPr>
        <w:tabs>
          <w:tab w:val="num" w:pos="2880"/>
        </w:tabs>
        <w:ind w:left="2880" w:hanging="360"/>
      </w:pPr>
      <w:rPr>
        <w:rFonts w:ascii="Wingdings 2" w:hAnsi="Wingdings 2" w:hint="default"/>
      </w:rPr>
    </w:lvl>
    <w:lvl w:ilvl="4" w:tplc="D04EB8BE" w:tentative="1">
      <w:start w:val="1"/>
      <w:numFmt w:val="bullet"/>
      <w:lvlText w:val=""/>
      <w:lvlJc w:val="left"/>
      <w:pPr>
        <w:tabs>
          <w:tab w:val="num" w:pos="3600"/>
        </w:tabs>
        <w:ind w:left="3600" w:hanging="360"/>
      </w:pPr>
      <w:rPr>
        <w:rFonts w:ascii="Wingdings 2" w:hAnsi="Wingdings 2" w:hint="default"/>
      </w:rPr>
    </w:lvl>
    <w:lvl w:ilvl="5" w:tplc="DF9CE492" w:tentative="1">
      <w:start w:val="1"/>
      <w:numFmt w:val="bullet"/>
      <w:lvlText w:val=""/>
      <w:lvlJc w:val="left"/>
      <w:pPr>
        <w:tabs>
          <w:tab w:val="num" w:pos="4320"/>
        </w:tabs>
        <w:ind w:left="4320" w:hanging="360"/>
      </w:pPr>
      <w:rPr>
        <w:rFonts w:ascii="Wingdings 2" w:hAnsi="Wingdings 2" w:hint="default"/>
      </w:rPr>
    </w:lvl>
    <w:lvl w:ilvl="6" w:tplc="4F6C7C52" w:tentative="1">
      <w:start w:val="1"/>
      <w:numFmt w:val="bullet"/>
      <w:lvlText w:val=""/>
      <w:lvlJc w:val="left"/>
      <w:pPr>
        <w:tabs>
          <w:tab w:val="num" w:pos="5040"/>
        </w:tabs>
        <w:ind w:left="5040" w:hanging="360"/>
      </w:pPr>
      <w:rPr>
        <w:rFonts w:ascii="Wingdings 2" w:hAnsi="Wingdings 2" w:hint="default"/>
      </w:rPr>
    </w:lvl>
    <w:lvl w:ilvl="7" w:tplc="D7AEE092" w:tentative="1">
      <w:start w:val="1"/>
      <w:numFmt w:val="bullet"/>
      <w:lvlText w:val=""/>
      <w:lvlJc w:val="left"/>
      <w:pPr>
        <w:tabs>
          <w:tab w:val="num" w:pos="5760"/>
        </w:tabs>
        <w:ind w:left="5760" w:hanging="360"/>
      </w:pPr>
      <w:rPr>
        <w:rFonts w:ascii="Wingdings 2" w:hAnsi="Wingdings 2" w:hint="default"/>
      </w:rPr>
    </w:lvl>
    <w:lvl w:ilvl="8" w:tplc="EEF60CD2" w:tentative="1">
      <w:start w:val="1"/>
      <w:numFmt w:val="bullet"/>
      <w:lvlText w:val=""/>
      <w:lvlJc w:val="left"/>
      <w:pPr>
        <w:tabs>
          <w:tab w:val="num" w:pos="6480"/>
        </w:tabs>
        <w:ind w:left="6480" w:hanging="360"/>
      </w:pPr>
      <w:rPr>
        <w:rFonts w:ascii="Wingdings 2" w:hAnsi="Wingdings 2" w:hint="default"/>
      </w:rPr>
    </w:lvl>
  </w:abstractNum>
  <w:abstractNum w:abstractNumId="22" w15:restartNumberingAfterBreak="0">
    <w:nsid w:val="163F1B45"/>
    <w:multiLevelType w:val="hybridMultilevel"/>
    <w:tmpl w:val="6C78B0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65F7D7D"/>
    <w:multiLevelType w:val="hybridMultilevel"/>
    <w:tmpl w:val="F4925034"/>
    <w:lvl w:ilvl="0" w:tplc="5D6EC054">
      <w:start w:val="1"/>
      <w:numFmt w:val="bullet"/>
      <w:lvlText w:val=""/>
      <w:lvlJc w:val="left"/>
      <w:pPr>
        <w:tabs>
          <w:tab w:val="num" w:pos="720"/>
        </w:tabs>
        <w:ind w:left="720" w:hanging="360"/>
      </w:pPr>
      <w:rPr>
        <w:rFonts w:ascii="Wingdings 2" w:hAnsi="Wingdings 2" w:hint="default"/>
      </w:rPr>
    </w:lvl>
    <w:lvl w:ilvl="1" w:tplc="F946A4BC" w:tentative="1">
      <w:start w:val="1"/>
      <w:numFmt w:val="bullet"/>
      <w:lvlText w:val=""/>
      <w:lvlJc w:val="left"/>
      <w:pPr>
        <w:tabs>
          <w:tab w:val="num" w:pos="1440"/>
        </w:tabs>
        <w:ind w:left="1440" w:hanging="360"/>
      </w:pPr>
      <w:rPr>
        <w:rFonts w:ascii="Wingdings 2" w:hAnsi="Wingdings 2" w:hint="default"/>
      </w:rPr>
    </w:lvl>
    <w:lvl w:ilvl="2" w:tplc="3D6E2908" w:tentative="1">
      <w:start w:val="1"/>
      <w:numFmt w:val="bullet"/>
      <w:lvlText w:val=""/>
      <w:lvlJc w:val="left"/>
      <w:pPr>
        <w:tabs>
          <w:tab w:val="num" w:pos="2160"/>
        </w:tabs>
        <w:ind w:left="2160" w:hanging="360"/>
      </w:pPr>
      <w:rPr>
        <w:rFonts w:ascii="Wingdings 2" w:hAnsi="Wingdings 2" w:hint="default"/>
      </w:rPr>
    </w:lvl>
    <w:lvl w:ilvl="3" w:tplc="A31E3046" w:tentative="1">
      <w:start w:val="1"/>
      <w:numFmt w:val="bullet"/>
      <w:lvlText w:val=""/>
      <w:lvlJc w:val="left"/>
      <w:pPr>
        <w:tabs>
          <w:tab w:val="num" w:pos="2880"/>
        </w:tabs>
        <w:ind w:left="2880" w:hanging="360"/>
      </w:pPr>
      <w:rPr>
        <w:rFonts w:ascii="Wingdings 2" w:hAnsi="Wingdings 2" w:hint="default"/>
      </w:rPr>
    </w:lvl>
    <w:lvl w:ilvl="4" w:tplc="6382FAD6" w:tentative="1">
      <w:start w:val="1"/>
      <w:numFmt w:val="bullet"/>
      <w:lvlText w:val=""/>
      <w:lvlJc w:val="left"/>
      <w:pPr>
        <w:tabs>
          <w:tab w:val="num" w:pos="3600"/>
        </w:tabs>
        <w:ind w:left="3600" w:hanging="360"/>
      </w:pPr>
      <w:rPr>
        <w:rFonts w:ascii="Wingdings 2" w:hAnsi="Wingdings 2" w:hint="default"/>
      </w:rPr>
    </w:lvl>
    <w:lvl w:ilvl="5" w:tplc="6CC89B82" w:tentative="1">
      <w:start w:val="1"/>
      <w:numFmt w:val="bullet"/>
      <w:lvlText w:val=""/>
      <w:lvlJc w:val="left"/>
      <w:pPr>
        <w:tabs>
          <w:tab w:val="num" w:pos="4320"/>
        </w:tabs>
        <w:ind w:left="4320" w:hanging="360"/>
      </w:pPr>
      <w:rPr>
        <w:rFonts w:ascii="Wingdings 2" w:hAnsi="Wingdings 2" w:hint="default"/>
      </w:rPr>
    </w:lvl>
    <w:lvl w:ilvl="6" w:tplc="7B144F0E" w:tentative="1">
      <w:start w:val="1"/>
      <w:numFmt w:val="bullet"/>
      <w:lvlText w:val=""/>
      <w:lvlJc w:val="left"/>
      <w:pPr>
        <w:tabs>
          <w:tab w:val="num" w:pos="5040"/>
        </w:tabs>
        <w:ind w:left="5040" w:hanging="360"/>
      </w:pPr>
      <w:rPr>
        <w:rFonts w:ascii="Wingdings 2" w:hAnsi="Wingdings 2" w:hint="default"/>
      </w:rPr>
    </w:lvl>
    <w:lvl w:ilvl="7" w:tplc="3BAEE872" w:tentative="1">
      <w:start w:val="1"/>
      <w:numFmt w:val="bullet"/>
      <w:lvlText w:val=""/>
      <w:lvlJc w:val="left"/>
      <w:pPr>
        <w:tabs>
          <w:tab w:val="num" w:pos="5760"/>
        </w:tabs>
        <w:ind w:left="5760" w:hanging="360"/>
      </w:pPr>
      <w:rPr>
        <w:rFonts w:ascii="Wingdings 2" w:hAnsi="Wingdings 2" w:hint="default"/>
      </w:rPr>
    </w:lvl>
    <w:lvl w:ilvl="8" w:tplc="E47CF9FE" w:tentative="1">
      <w:start w:val="1"/>
      <w:numFmt w:val="bullet"/>
      <w:lvlText w:val=""/>
      <w:lvlJc w:val="left"/>
      <w:pPr>
        <w:tabs>
          <w:tab w:val="num" w:pos="6480"/>
        </w:tabs>
        <w:ind w:left="6480" w:hanging="360"/>
      </w:pPr>
      <w:rPr>
        <w:rFonts w:ascii="Wingdings 2" w:hAnsi="Wingdings 2" w:hint="default"/>
      </w:rPr>
    </w:lvl>
  </w:abstractNum>
  <w:abstractNum w:abstractNumId="24" w15:restartNumberingAfterBreak="0">
    <w:nsid w:val="16F57D17"/>
    <w:multiLevelType w:val="hybridMultilevel"/>
    <w:tmpl w:val="91806E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71C52BE"/>
    <w:multiLevelType w:val="hybridMultilevel"/>
    <w:tmpl w:val="E34ECE2C"/>
    <w:lvl w:ilvl="0" w:tplc="52FABE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178E4FB1"/>
    <w:multiLevelType w:val="hybridMultilevel"/>
    <w:tmpl w:val="F5509A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17B2382E"/>
    <w:multiLevelType w:val="hybridMultilevel"/>
    <w:tmpl w:val="F3BCF4E4"/>
    <w:lvl w:ilvl="0" w:tplc="5B32E066">
      <w:start w:val="1"/>
      <w:numFmt w:val="bullet"/>
      <w:lvlText w:val=""/>
      <w:lvlJc w:val="left"/>
      <w:pPr>
        <w:ind w:left="720" w:hanging="360"/>
      </w:pPr>
      <w:rPr>
        <w:rFonts w:ascii="Symbol" w:hAnsi="Symbol" w:hint="default"/>
      </w:rPr>
    </w:lvl>
    <w:lvl w:ilvl="1" w:tplc="2D36D64E">
      <w:start w:val="1"/>
      <w:numFmt w:val="bullet"/>
      <w:lvlText w:val="o"/>
      <w:lvlJc w:val="left"/>
      <w:pPr>
        <w:ind w:left="1440" w:hanging="360"/>
      </w:pPr>
      <w:rPr>
        <w:rFonts w:ascii="Courier New" w:hAnsi="Courier New" w:cs="Courier New" w:hint="default"/>
      </w:rPr>
    </w:lvl>
    <w:lvl w:ilvl="2" w:tplc="2A8C8AA0">
      <w:start w:val="1"/>
      <w:numFmt w:val="bullet"/>
      <w:lvlText w:val=""/>
      <w:lvlJc w:val="left"/>
      <w:pPr>
        <w:ind w:left="2160" w:hanging="360"/>
      </w:pPr>
      <w:rPr>
        <w:rFonts w:ascii="Wingdings" w:hAnsi="Wingdings" w:hint="default"/>
      </w:rPr>
    </w:lvl>
    <w:lvl w:ilvl="3" w:tplc="A07669B2">
      <w:start w:val="1"/>
      <w:numFmt w:val="bullet"/>
      <w:lvlText w:val=""/>
      <w:lvlJc w:val="left"/>
      <w:pPr>
        <w:ind w:left="2880" w:hanging="360"/>
      </w:pPr>
      <w:rPr>
        <w:rFonts w:ascii="Symbol" w:hAnsi="Symbol" w:hint="default"/>
      </w:rPr>
    </w:lvl>
    <w:lvl w:ilvl="4" w:tplc="6FB296FA">
      <w:start w:val="1"/>
      <w:numFmt w:val="bullet"/>
      <w:lvlText w:val="o"/>
      <w:lvlJc w:val="left"/>
      <w:pPr>
        <w:ind w:left="3600" w:hanging="360"/>
      </w:pPr>
      <w:rPr>
        <w:rFonts w:ascii="Courier New" w:hAnsi="Courier New" w:cs="Courier New" w:hint="default"/>
      </w:rPr>
    </w:lvl>
    <w:lvl w:ilvl="5" w:tplc="95320816">
      <w:start w:val="1"/>
      <w:numFmt w:val="bullet"/>
      <w:lvlText w:val=""/>
      <w:lvlJc w:val="left"/>
      <w:pPr>
        <w:ind w:left="4320" w:hanging="360"/>
      </w:pPr>
      <w:rPr>
        <w:rFonts w:ascii="Wingdings" w:hAnsi="Wingdings" w:hint="default"/>
      </w:rPr>
    </w:lvl>
    <w:lvl w:ilvl="6" w:tplc="8744C6BA">
      <w:start w:val="1"/>
      <w:numFmt w:val="bullet"/>
      <w:lvlText w:val=""/>
      <w:lvlJc w:val="left"/>
      <w:pPr>
        <w:ind w:left="5040" w:hanging="360"/>
      </w:pPr>
      <w:rPr>
        <w:rFonts w:ascii="Symbol" w:hAnsi="Symbol" w:hint="default"/>
      </w:rPr>
    </w:lvl>
    <w:lvl w:ilvl="7" w:tplc="609219F8">
      <w:start w:val="1"/>
      <w:numFmt w:val="bullet"/>
      <w:lvlText w:val="o"/>
      <w:lvlJc w:val="left"/>
      <w:pPr>
        <w:ind w:left="5760" w:hanging="360"/>
      </w:pPr>
      <w:rPr>
        <w:rFonts w:ascii="Courier New" w:hAnsi="Courier New" w:cs="Courier New" w:hint="default"/>
      </w:rPr>
    </w:lvl>
    <w:lvl w:ilvl="8" w:tplc="803E5718">
      <w:start w:val="1"/>
      <w:numFmt w:val="bullet"/>
      <w:lvlText w:val=""/>
      <w:lvlJc w:val="left"/>
      <w:pPr>
        <w:ind w:left="6480" w:hanging="360"/>
      </w:pPr>
      <w:rPr>
        <w:rFonts w:ascii="Wingdings" w:hAnsi="Wingdings" w:hint="default"/>
      </w:rPr>
    </w:lvl>
  </w:abstractNum>
  <w:abstractNum w:abstractNumId="28" w15:restartNumberingAfterBreak="0">
    <w:nsid w:val="17F83C63"/>
    <w:multiLevelType w:val="hybridMultilevel"/>
    <w:tmpl w:val="76203A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8082E01"/>
    <w:multiLevelType w:val="hybridMultilevel"/>
    <w:tmpl w:val="0B3A2E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9255EDC"/>
    <w:multiLevelType w:val="hybridMultilevel"/>
    <w:tmpl w:val="F04889CA"/>
    <w:lvl w:ilvl="0" w:tplc="504CF14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A78216E"/>
    <w:multiLevelType w:val="hybridMultilevel"/>
    <w:tmpl w:val="422AD82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2" w15:restartNumberingAfterBreak="0">
    <w:nsid w:val="1AF61062"/>
    <w:multiLevelType w:val="multilevel"/>
    <w:tmpl w:val="2F08A22E"/>
    <w:lvl w:ilvl="0">
      <w:start w:val="1"/>
      <w:numFmt w:val="bullet"/>
      <w:lvlText w:val=""/>
      <w:lvlJc w:val="left"/>
      <w:pPr>
        <w:ind w:left="142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3" w15:restartNumberingAfterBreak="0">
    <w:nsid w:val="1B827F7B"/>
    <w:multiLevelType w:val="singleLevel"/>
    <w:tmpl w:val="E3D4D3D4"/>
    <w:lvl w:ilvl="0">
      <w:numFmt w:val="bullet"/>
      <w:lvlText w:val="*"/>
      <w:lvlJc w:val="left"/>
    </w:lvl>
  </w:abstractNum>
  <w:abstractNum w:abstractNumId="34" w15:restartNumberingAfterBreak="0">
    <w:nsid w:val="1DB567F2"/>
    <w:multiLevelType w:val="hybridMultilevel"/>
    <w:tmpl w:val="809C6A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E432273"/>
    <w:multiLevelType w:val="hybridMultilevel"/>
    <w:tmpl w:val="B0AC28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1ED34941"/>
    <w:multiLevelType w:val="hybridMultilevel"/>
    <w:tmpl w:val="5FBC03FC"/>
    <w:lvl w:ilvl="0" w:tplc="C3E25982">
      <w:start w:val="1"/>
      <w:numFmt w:val="decimal"/>
      <w:lvlText w:val="%1."/>
      <w:lvlJc w:val="left"/>
      <w:pPr>
        <w:ind w:left="1060" w:hanging="7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1F2C17F6"/>
    <w:multiLevelType w:val="hybridMultilevel"/>
    <w:tmpl w:val="429E27C4"/>
    <w:lvl w:ilvl="0" w:tplc="0419000F">
      <w:start w:val="1"/>
      <w:numFmt w:val="decimal"/>
      <w:lvlText w:val="%1."/>
      <w:lvlJc w:val="left"/>
      <w:pPr>
        <w:ind w:left="360" w:hanging="360"/>
      </w:pPr>
      <w:rPr>
        <w:rFonts w:cs="Times New Roman" w:hint="default"/>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38" w15:restartNumberingAfterBreak="0">
    <w:nsid w:val="1F3E3951"/>
    <w:multiLevelType w:val="multilevel"/>
    <w:tmpl w:val="49E2D460"/>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9" w15:restartNumberingAfterBreak="0">
    <w:nsid w:val="1FDF6A5A"/>
    <w:multiLevelType w:val="hybridMultilevel"/>
    <w:tmpl w:val="AB4E4772"/>
    <w:lvl w:ilvl="0" w:tplc="D4869CE4">
      <w:start w:val="1"/>
      <w:numFmt w:val="bullet"/>
      <w:lvlText w:val=""/>
      <w:lvlJc w:val="left"/>
      <w:pPr>
        <w:ind w:left="1800" w:hanging="360"/>
      </w:pPr>
      <w:rPr>
        <w:rFonts w:ascii="Symbol" w:hAnsi="Symbol" w:hint="default"/>
      </w:rPr>
    </w:lvl>
    <w:lvl w:ilvl="1" w:tplc="5C06DB50">
      <w:start w:val="1"/>
      <w:numFmt w:val="bullet"/>
      <w:lvlText w:val="o"/>
      <w:lvlJc w:val="left"/>
      <w:pPr>
        <w:ind w:left="2520" w:hanging="360"/>
      </w:pPr>
      <w:rPr>
        <w:rFonts w:ascii="Courier New" w:hAnsi="Courier New" w:hint="default"/>
      </w:rPr>
    </w:lvl>
    <w:lvl w:ilvl="2" w:tplc="19E23D40">
      <w:start w:val="1"/>
      <w:numFmt w:val="bullet"/>
      <w:lvlText w:val="§"/>
      <w:lvlJc w:val="left"/>
      <w:pPr>
        <w:ind w:left="3240" w:hanging="360"/>
      </w:pPr>
      <w:rPr>
        <w:rFonts w:ascii="Wingdings" w:hAnsi="Wingdings" w:hint="default"/>
      </w:rPr>
    </w:lvl>
    <w:lvl w:ilvl="3" w:tplc="349A58E4">
      <w:start w:val="1"/>
      <w:numFmt w:val="bullet"/>
      <w:lvlText w:val="·"/>
      <w:lvlJc w:val="left"/>
      <w:pPr>
        <w:ind w:left="3960" w:hanging="360"/>
      </w:pPr>
      <w:rPr>
        <w:rFonts w:ascii="Symbol" w:hAnsi="Symbol" w:hint="default"/>
      </w:rPr>
    </w:lvl>
    <w:lvl w:ilvl="4" w:tplc="95CAE068">
      <w:start w:val="1"/>
      <w:numFmt w:val="bullet"/>
      <w:lvlText w:val="o"/>
      <w:lvlJc w:val="left"/>
      <w:pPr>
        <w:ind w:left="4680" w:hanging="360"/>
      </w:pPr>
      <w:rPr>
        <w:rFonts w:ascii="Courier New" w:hAnsi="Courier New" w:hint="default"/>
      </w:rPr>
    </w:lvl>
    <w:lvl w:ilvl="5" w:tplc="886C3EB4">
      <w:start w:val="1"/>
      <w:numFmt w:val="bullet"/>
      <w:lvlText w:val="§"/>
      <w:lvlJc w:val="left"/>
      <w:pPr>
        <w:ind w:left="5400" w:hanging="360"/>
      </w:pPr>
      <w:rPr>
        <w:rFonts w:ascii="Wingdings" w:hAnsi="Wingdings" w:hint="default"/>
      </w:rPr>
    </w:lvl>
    <w:lvl w:ilvl="6" w:tplc="03FAE4D8">
      <w:start w:val="1"/>
      <w:numFmt w:val="bullet"/>
      <w:lvlText w:val="·"/>
      <w:lvlJc w:val="left"/>
      <w:pPr>
        <w:ind w:left="6120" w:hanging="360"/>
      </w:pPr>
      <w:rPr>
        <w:rFonts w:ascii="Symbol" w:hAnsi="Symbol" w:hint="default"/>
      </w:rPr>
    </w:lvl>
    <w:lvl w:ilvl="7" w:tplc="E702EE44">
      <w:start w:val="1"/>
      <w:numFmt w:val="bullet"/>
      <w:lvlText w:val="o"/>
      <w:lvlJc w:val="left"/>
      <w:pPr>
        <w:ind w:left="6840" w:hanging="360"/>
      </w:pPr>
      <w:rPr>
        <w:rFonts w:ascii="Courier New" w:hAnsi="Courier New" w:hint="default"/>
      </w:rPr>
    </w:lvl>
    <w:lvl w:ilvl="8" w:tplc="3752C4D6">
      <w:start w:val="1"/>
      <w:numFmt w:val="bullet"/>
      <w:lvlText w:val="§"/>
      <w:lvlJc w:val="left"/>
      <w:pPr>
        <w:ind w:left="7560" w:hanging="360"/>
      </w:pPr>
      <w:rPr>
        <w:rFonts w:ascii="Wingdings" w:hAnsi="Wingdings" w:hint="default"/>
      </w:rPr>
    </w:lvl>
  </w:abstractNum>
  <w:abstractNum w:abstractNumId="40" w15:restartNumberingAfterBreak="0">
    <w:nsid w:val="20E11FF9"/>
    <w:multiLevelType w:val="hybridMultilevel"/>
    <w:tmpl w:val="97D44F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20FA4456"/>
    <w:multiLevelType w:val="hybridMultilevel"/>
    <w:tmpl w:val="B8DA2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20FF163F"/>
    <w:multiLevelType w:val="hybridMultilevel"/>
    <w:tmpl w:val="685ABDB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3" w15:restartNumberingAfterBreak="0">
    <w:nsid w:val="213D6439"/>
    <w:multiLevelType w:val="hybridMultilevel"/>
    <w:tmpl w:val="67FA64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2166005B"/>
    <w:multiLevelType w:val="hybridMultilevel"/>
    <w:tmpl w:val="96EEC2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24DF4A85"/>
    <w:multiLevelType w:val="hybridMultilevel"/>
    <w:tmpl w:val="241A6172"/>
    <w:lvl w:ilvl="0" w:tplc="EED2B48E">
      <w:start w:val="1"/>
      <w:numFmt w:val="bullet"/>
      <w:lvlText w:val=""/>
      <w:lvlJc w:val="left"/>
      <w:pPr>
        <w:ind w:left="1428" w:hanging="360"/>
      </w:pPr>
      <w:rPr>
        <w:rFonts w:ascii="Symbol" w:hAnsi="Symbol" w:hint="default"/>
      </w:rPr>
    </w:lvl>
    <w:lvl w:ilvl="1" w:tplc="5B5C74E4">
      <w:start w:val="1"/>
      <w:numFmt w:val="bullet"/>
      <w:lvlText w:val="o"/>
      <w:lvlJc w:val="left"/>
      <w:pPr>
        <w:ind w:left="2148" w:hanging="360"/>
      </w:pPr>
      <w:rPr>
        <w:rFonts w:ascii="Courier New" w:hAnsi="Courier New" w:cs="Courier New" w:hint="default"/>
      </w:rPr>
    </w:lvl>
    <w:lvl w:ilvl="2" w:tplc="F1029CF8">
      <w:start w:val="1"/>
      <w:numFmt w:val="bullet"/>
      <w:lvlText w:val=""/>
      <w:lvlJc w:val="left"/>
      <w:pPr>
        <w:ind w:left="2868" w:hanging="360"/>
      </w:pPr>
      <w:rPr>
        <w:rFonts w:ascii="Wingdings" w:hAnsi="Wingdings" w:hint="default"/>
      </w:rPr>
    </w:lvl>
    <w:lvl w:ilvl="3" w:tplc="80B078AE">
      <w:start w:val="1"/>
      <w:numFmt w:val="bullet"/>
      <w:lvlText w:val=""/>
      <w:lvlJc w:val="left"/>
      <w:pPr>
        <w:ind w:left="3588" w:hanging="360"/>
      </w:pPr>
      <w:rPr>
        <w:rFonts w:ascii="Symbol" w:hAnsi="Symbol" w:hint="default"/>
      </w:rPr>
    </w:lvl>
    <w:lvl w:ilvl="4" w:tplc="472A882C">
      <w:start w:val="1"/>
      <w:numFmt w:val="bullet"/>
      <w:lvlText w:val="o"/>
      <w:lvlJc w:val="left"/>
      <w:pPr>
        <w:ind w:left="4308" w:hanging="360"/>
      </w:pPr>
      <w:rPr>
        <w:rFonts w:ascii="Courier New" w:hAnsi="Courier New" w:cs="Courier New" w:hint="default"/>
      </w:rPr>
    </w:lvl>
    <w:lvl w:ilvl="5" w:tplc="A692D73C">
      <w:start w:val="1"/>
      <w:numFmt w:val="bullet"/>
      <w:lvlText w:val=""/>
      <w:lvlJc w:val="left"/>
      <w:pPr>
        <w:ind w:left="5028" w:hanging="360"/>
      </w:pPr>
      <w:rPr>
        <w:rFonts w:ascii="Wingdings" w:hAnsi="Wingdings" w:hint="default"/>
      </w:rPr>
    </w:lvl>
    <w:lvl w:ilvl="6" w:tplc="952406C0">
      <w:start w:val="1"/>
      <w:numFmt w:val="bullet"/>
      <w:lvlText w:val=""/>
      <w:lvlJc w:val="left"/>
      <w:pPr>
        <w:ind w:left="5748" w:hanging="360"/>
      </w:pPr>
      <w:rPr>
        <w:rFonts w:ascii="Symbol" w:hAnsi="Symbol" w:hint="default"/>
      </w:rPr>
    </w:lvl>
    <w:lvl w:ilvl="7" w:tplc="77767F38">
      <w:start w:val="1"/>
      <w:numFmt w:val="bullet"/>
      <w:lvlText w:val="o"/>
      <w:lvlJc w:val="left"/>
      <w:pPr>
        <w:ind w:left="6468" w:hanging="360"/>
      </w:pPr>
      <w:rPr>
        <w:rFonts w:ascii="Courier New" w:hAnsi="Courier New" w:cs="Courier New" w:hint="default"/>
      </w:rPr>
    </w:lvl>
    <w:lvl w:ilvl="8" w:tplc="0E96D622">
      <w:start w:val="1"/>
      <w:numFmt w:val="bullet"/>
      <w:lvlText w:val=""/>
      <w:lvlJc w:val="left"/>
      <w:pPr>
        <w:ind w:left="7188" w:hanging="360"/>
      </w:pPr>
      <w:rPr>
        <w:rFonts w:ascii="Wingdings" w:hAnsi="Wingdings" w:hint="default"/>
      </w:rPr>
    </w:lvl>
  </w:abstractNum>
  <w:abstractNum w:abstractNumId="46" w15:restartNumberingAfterBreak="0">
    <w:nsid w:val="258E74BE"/>
    <w:multiLevelType w:val="hybridMultilevel"/>
    <w:tmpl w:val="0AA268D6"/>
    <w:lvl w:ilvl="0" w:tplc="29E6D5D0">
      <w:start w:val="1"/>
      <w:numFmt w:val="decimal"/>
      <w:lvlText w:val="%1."/>
      <w:lvlJc w:val="left"/>
      <w:pPr>
        <w:ind w:left="1109" w:hanging="4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15:restartNumberingAfterBreak="0">
    <w:nsid w:val="25EC195C"/>
    <w:multiLevelType w:val="hybridMultilevel"/>
    <w:tmpl w:val="4D82F190"/>
    <w:styleLink w:val="1ai1"/>
    <w:lvl w:ilvl="0" w:tplc="29A64A5E">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8" w15:restartNumberingAfterBreak="0">
    <w:nsid w:val="27274BBC"/>
    <w:multiLevelType w:val="hybridMultilevel"/>
    <w:tmpl w:val="AB6CD2E6"/>
    <w:lvl w:ilvl="0" w:tplc="1A5EEBF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27B03510"/>
    <w:multiLevelType w:val="multilevel"/>
    <w:tmpl w:val="2F08A22E"/>
    <w:lvl w:ilvl="0">
      <w:start w:val="1"/>
      <w:numFmt w:val="bullet"/>
      <w:lvlText w:val=""/>
      <w:lvlJc w:val="left"/>
      <w:pPr>
        <w:ind w:left="142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0" w15:restartNumberingAfterBreak="0">
    <w:nsid w:val="28CE21F8"/>
    <w:multiLevelType w:val="hybridMultilevel"/>
    <w:tmpl w:val="A43C34CE"/>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1" w15:restartNumberingAfterBreak="0">
    <w:nsid w:val="28E51F7D"/>
    <w:multiLevelType w:val="hybridMultilevel"/>
    <w:tmpl w:val="4FD891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29845A96"/>
    <w:multiLevelType w:val="hybridMultilevel"/>
    <w:tmpl w:val="E0AE173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3" w15:restartNumberingAfterBreak="0">
    <w:nsid w:val="2A540DA4"/>
    <w:multiLevelType w:val="multilevel"/>
    <w:tmpl w:val="AEB4AA9A"/>
    <w:lvl w:ilvl="0">
      <w:start w:val="1"/>
      <w:numFmt w:val="decimal"/>
      <w:lvlText w:val="%1."/>
      <w:lvlJc w:val="left"/>
      <w:pPr>
        <w:ind w:left="720" w:hanging="360"/>
      </w:pPr>
      <w:rPr>
        <w:rFonts w:hint="default"/>
        <w:b w:val="0"/>
        <w:sz w:val="24"/>
      </w:rPr>
    </w:lvl>
    <w:lvl w:ilvl="1">
      <w:start w:val="1"/>
      <w:numFmt w:val="decimal"/>
      <w:lvlText w:val="%2)"/>
      <w:lvlJc w:val="left"/>
      <w:pPr>
        <w:ind w:left="1440" w:hanging="360"/>
      </w:pPr>
      <w:rPr>
        <w:rFonts w:hint="default"/>
      </w:rPr>
    </w:lvl>
    <w:lvl w:ilvl="2">
      <w:start w:val="1"/>
      <w:numFmt w:val="bullet"/>
      <w:lvlText w:val=""/>
      <w:lvlJc w:val="left"/>
      <w:pPr>
        <w:ind w:left="2340" w:hanging="360"/>
      </w:pPr>
      <w:rPr>
        <w:rFonts w:ascii="Symbol" w:hAnsi="Symbol"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2AB52F31"/>
    <w:multiLevelType w:val="hybridMultilevel"/>
    <w:tmpl w:val="3B989FD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2ACB6068"/>
    <w:multiLevelType w:val="hybridMultilevel"/>
    <w:tmpl w:val="186A0532"/>
    <w:lvl w:ilvl="0" w:tplc="38C65AF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6" w15:restartNumberingAfterBreak="0">
    <w:nsid w:val="2B230778"/>
    <w:multiLevelType w:val="hybridMultilevel"/>
    <w:tmpl w:val="7D104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2B657FF0"/>
    <w:multiLevelType w:val="hybridMultilevel"/>
    <w:tmpl w:val="CDB2AB66"/>
    <w:styleLink w:val="1111111"/>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2C9F7B5D"/>
    <w:multiLevelType w:val="hybridMultilevel"/>
    <w:tmpl w:val="F52C27E2"/>
    <w:lvl w:ilvl="0" w:tplc="04190001">
      <w:start w:val="1"/>
      <w:numFmt w:val="bullet"/>
      <w:lvlText w:val=""/>
      <w:lvlJc w:val="left"/>
      <w:pPr>
        <w:ind w:left="504" w:hanging="360"/>
      </w:pPr>
      <w:rPr>
        <w:rFonts w:ascii="Symbol" w:hAnsi="Symbol" w:hint="default"/>
      </w:rPr>
    </w:lvl>
    <w:lvl w:ilvl="1" w:tplc="04190003" w:tentative="1">
      <w:start w:val="1"/>
      <w:numFmt w:val="bullet"/>
      <w:lvlText w:val="o"/>
      <w:lvlJc w:val="left"/>
      <w:pPr>
        <w:ind w:left="1224" w:hanging="360"/>
      </w:pPr>
      <w:rPr>
        <w:rFonts w:ascii="Courier New" w:hAnsi="Courier New" w:cs="Courier New" w:hint="default"/>
      </w:rPr>
    </w:lvl>
    <w:lvl w:ilvl="2" w:tplc="04190005" w:tentative="1">
      <w:start w:val="1"/>
      <w:numFmt w:val="bullet"/>
      <w:lvlText w:val=""/>
      <w:lvlJc w:val="left"/>
      <w:pPr>
        <w:ind w:left="1944" w:hanging="360"/>
      </w:pPr>
      <w:rPr>
        <w:rFonts w:ascii="Wingdings" w:hAnsi="Wingdings" w:hint="default"/>
      </w:rPr>
    </w:lvl>
    <w:lvl w:ilvl="3" w:tplc="04190001" w:tentative="1">
      <w:start w:val="1"/>
      <w:numFmt w:val="bullet"/>
      <w:lvlText w:val=""/>
      <w:lvlJc w:val="left"/>
      <w:pPr>
        <w:ind w:left="2664" w:hanging="360"/>
      </w:pPr>
      <w:rPr>
        <w:rFonts w:ascii="Symbol" w:hAnsi="Symbol" w:hint="default"/>
      </w:rPr>
    </w:lvl>
    <w:lvl w:ilvl="4" w:tplc="04190003" w:tentative="1">
      <w:start w:val="1"/>
      <w:numFmt w:val="bullet"/>
      <w:lvlText w:val="o"/>
      <w:lvlJc w:val="left"/>
      <w:pPr>
        <w:ind w:left="3384" w:hanging="360"/>
      </w:pPr>
      <w:rPr>
        <w:rFonts w:ascii="Courier New" w:hAnsi="Courier New" w:cs="Courier New" w:hint="default"/>
      </w:rPr>
    </w:lvl>
    <w:lvl w:ilvl="5" w:tplc="04190005" w:tentative="1">
      <w:start w:val="1"/>
      <w:numFmt w:val="bullet"/>
      <w:lvlText w:val=""/>
      <w:lvlJc w:val="left"/>
      <w:pPr>
        <w:ind w:left="4104" w:hanging="360"/>
      </w:pPr>
      <w:rPr>
        <w:rFonts w:ascii="Wingdings" w:hAnsi="Wingdings" w:hint="default"/>
      </w:rPr>
    </w:lvl>
    <w:lvl w:ilvl="6" w:tplc="04190001" w:tentative="1">
      <w:start w:val="1"/>
      <w:numFmt w:val="bullet"/>
      <w:lvlText w:val=""/>
      <w:lvlJc w:val="left"/>
      <w:pPr>
        <w:ind w:left="4824" w:hanging="360"/>
      </w:pPr>
      <w:rPr>
        <w:rFonts w:ascii="Symbol" w:hAnsi="Symbol" w:hint="default"/>
      </w:rPr>
    </w:lvl>
    <w:lvl w:ilvl="7" w:tplc="04190003" w:tentative="1">
      <w:start w:val="1"/>
      <w:numFmt w:val="bullet"/>
      <w:lvlText w:val="o"/>
      <w:lvlJc w:val="left"/>
      <w:pPr>
        <w:ind w:left="5544" w:hanging="360"/>
      </w:pPr>
      <w:rPr>
        <w:rFonts w:ascii="Courier New" w:hAnsi="Courier New" w:cs="Courier New" w:hint="default"/>
      </w:rPr>
    </w:lvl>
    <w:lvl w:ilvl="8" w:tplc="04190005" w:tentative="1">
      <w:start w:val="1"/>
      <w:numFmt w:val="bullet"/>
      <w:lvlText w:val=""/>
      <w:lvlJc w:val="left"/>
      <w:pPr>
        <w:ind w:left="6264" w:hanging="360"/>
      </w:pPr>
      <w:rPr>
        <w:rFonts w:ascii="Wingdings" w:hAnsi="Wingdings" w:hint="default"/>
      </w:rPr>
    </w:lvl>
  </w:abstractNum>
  <w:abstractNum w:abstractNumId="59" w15:restartNumberingAfterBreak="0">
    <w:nsid w:val="2E99702F"/>
    <w:multiLevelType w:val="hybridMultilevel"/>
    <w:tmpl w:val="F462DD2C"/>
    <w:lvl w:ilvl="0" w:tplc="0BEA7BE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0" w15:restartNumberingAfterBreak="0">
    <w:nsid w:val="2F047352"/>
    <w:multiLevelType w:val="hybridMultilevel"/>
    <w:tmpl w:val="BCD4AE86"/>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1" w15:restartNumberingAfterBreak="0">
    <w:nsid w:val="2FF45E54"/>
    <w:multiLevelType w:val="multilevel"/>
    <w:tmpl w:val="AEB4AA9A"/>
    <w:lvl w:ilvl="0">
      <w:start w:val="1"/>
      <w:numFmt w:val="decimal"/>
      <w:lvlText w:val="%1."/>
      <w:lvlJc w:val="left"/>
      <w:pPr>
        <w:ind w:left="720" w:hanging="360"/>
      </w:pPr>
      <w:rPr>
        <w:rFonts w:hint="default"/>
        <w:b w:val="0"/>
        <w:sz w:val="24"/>
      </w:rPr>
    </w:lvl>
    <w:lvl w:ilvl="1">
      <w:start w:val="1"/>
      <w:numFmt w:val="decimal"/>
      <w:lvlText w:val="%2)"/>
      <w:lvlJc w:val="left"/>
      <w:pPr>
        <w:ind w:left="1440" w:hanging="360"/>
      </w:pPr>
      <w:rPr>
        <w:rFonts w:hint="default"/>
      </w:rPr>
    </w:lvl>
    <w:lvl w:ilvl="2">
      <w:start w:val="1"/>
      <w:numFmt w:val="bullet"/>
      <w:lvlText w:val=""/>
      <w:lvlJc w:val="left"/>
      <w:pPr>
        <w:ind w:left="2340" w:hanging="360"/>
      </w:pPr>
      <w:rPr>
        <w:rFonts w:ascii="Symbol" w:hAnsi="Symbol"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30393A78"/>
    <w:multiLevelType w:val="hybridMultilevel"/>
    <w:tmpl w:val="A468BD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307F2DBF"/>
    <w:multiLevelType w:val="hybridMultilevel"/>
    <w:tmpl w:val="45C4F31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64" w15:restartNumberingAfterBreak="0">
    <w:nsid w:val="31635227"/>
    <w:multiLevelType w:val="hybridMultilevel"/>
    <w:tmpl w:val="C2D4C02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5" w15:restartNumberingAfterBreak="0">
    <w:nsid w:val="33185A0E"/>
    <w:multiLevelType w:val="hybridMultilevel"/>
    <w:tmpl w:val="227E9C34"/>
    <w:lvl w:ilvl="0" w:tplc="04190001">
      <w:start w:val="1"/>
      <w:numFmt w:val="bullet"/>
      <w:lvlText w:val=""/>
      <w:lvlJc w:val="left"/>
      <w:pPr>
        <w:ind w:left="1568" w:hanging="360"/>
      </w:pPr>
      <w:rPr>
        <w:rFonts w:ascii="Symbol" w:hAnsi="Symbol" w:hint="default"/>
      </w:rPr>
    </w:lvl>
    <w:lvl w:ilvl="1" w:tplc="04190003">
      <w:start w:val="1"/>
      <w:numFmt w:val="bullet"/>
      <w:lvlText w:val="o"/>
      <w:lvlJc w:val="left"/>
      <w:pPr>
        <w:ind w:left="2288" w:hanging="360"/>
      </w:pPr>
      <w:rPr>
        <w:rFonts w:ascii="Courier New" w:hAnsi="Courier New" w:hint="default"/>
      </w:rPr>
    </w:lvl>
    <w:lvl w:ilvl="2" w:tplc="04190005">
      <w:start w:val="1"/>
      <w:numFmt w:val="bullet"/>
      <w:lvlText w:val=""/>
      <w:lvlJc w:val="left"/>
      <w:pPr>
        <w:ind w:left="3008" w:hanging="360"/>
      </w:pPr>
      <w:rPr>
        <w:rFonts w:ascii="Wingdings" w:hAnsi="Wingdings" w:hint="default"/>
      </w:rPr>
    </w:lvl>
    <w:lvl w:ilvl="3" w:tplc="04190001">
      <w:start w:val="1"/>
      <w:numFmt w:val="bullet"/>
      <w:lvlText w:val=""/>
      <w:lvlJc w:val="left"/>
      <w:pPr>
        <w:ind w:left="3728" w:hanging="360"/>
      </w:pPr>
      <w:rPr>
        <w:rFonts w:ascii="Symbol" w:hAnsi="Symbol" w:hint="default"/>
      </w:rPr>
    </w:lvl>
    <w:lvl w:ilvl="4" w:tplc="04190003">
      <w:start w:val="1"/>
      <w:numFmt w:val="bullet"/>
      <w:lvlText w:val="o"/>
      <w:lvlJc w:val="left"/>
      <w:pPr>
        <w:ind w:left="4448" w:hanging="360"/>
      </w:pPr>
      <w:rPr>
        <w:rFonts w:ascii="Courier New" w:hAnsi="Courier New" w:hint="default"/>
      </w:rPr>
    </w:lvl>
    <w:lvl w:ilvl="5" w:tplc="04190005">
      <w:start w:val="1"/>
      <w:numFmt w:val="bullet"/>
      <w:lvlText w:val=""/>
      <w:lvlJc w:val="left"/>
      <w:pPr>
        <w:ind w:left="5168" w:hanging="360"/>
      </w:pPr>
      <w:rPr>
        <w:rFonts w:ascii="Wingdings" w:hAnsi="Wingdings" w:hint="default"/>
      </w:rPr>
    </w:lvl>
    <w:lvl w:ilvl="6" w:tplc="04190001">
      <w:start w:val="1"/>
      <w:numFmt w:val="bullet"/>
      <w:lvlText w:val=""/>
      <w:lvlJc w:val="left"/>
      <w:pPr>
        <w:ind w:left="5888" w:hanging="360"/>
      </w:pPr>
      <w:rPr>
        <w:rFonts w:ascii="Symbol" w:hAnsi="Symbol" w:hint="default"/>
      </w:rPr>
    </w:lvl>
    <w:lvl w:ilvl="7" w:tplc="04190003">
      <w:start w:val="1"/>
      <w:numFmt w:val="bullet"/>
      <w:lvlText w:val="o"/>
      <w:lvlJc w:val="left"/>
      <w:pPr>
        <w:ind w:left="6608" w:hanging="360"/>
      </w:pPr>
      <w:rPr>
        <w:rFonts w:ascii="Courier New" w:hAnsi="Courier New" w:hint="default"/>
      </w:rPr>
    </w:lvl>
    <w:lvl w:ilvl="8" w:tplc="04190005">
      <w:start w:val="1"/>
      <w:numFmt w:val="bullet"/>
      <w:lvlText w:val=""/>
      <w:lvlJc w:val="left"/>
      <w:pPr>
        <w:ind w:left="7328" w:hanging="360"/>
      </w:pPr>
      <w:rPr>
        <w:rFonts w:ascii="Wingdings" w:hAnsi="Wingdings" w:hint="default"/>
      </w:rPr>
    </w:lvl>
  </w:abstractNum>
  <w:abstractNum w:abstractNumId="66" w15:restartNumberingAfterBreak="0">
    <w:nsid w:val="33477A51"/>
    <w:multiLevelType w:val="hybridMultilevel"/>
    <w:tmpl w:val="D3363C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34E90886"/>
    <w:multiLevelType w:val="hybridMultilevel"/>
    <w:tmpl w:val="F8A2FF8C"/>
    <w:lvl w:ilvl="0" w:tplc="568EEED6">
      <w:start w:val="1"/>
      <w:numFmt w:val="bullet"/>
      <w:lvlText w:val=""/>
      <w:lvlJc w:val="left"/>
      <w:pPr>
        <w:ind w:left="720" w:hanging="360"/>
      </w:pPr>
      <w:rPr>
        <w:rFonts w:ascii="Symbol" w:hAnsi="Symbol" w:hint="default"/>
        <w:sz w:val="28"/>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8" w15:restartNumberingAfterBreak="0">
    <w:nsid w:val="35BB0925"/>
    <w:multiLevelType w:val="hybridMultilevel"/>
    <w:tmpl w:val="270657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38A42892"/>
    <w:multiLevelType w:val="hybridMultilevel"/>
    <w:tmpl w:val="4CDAC1EE"/>
    <w:lvl w:ilvl="0" w:tplc="04190001">
      <w:start w:val="1"/>
      <w:numFmt w:val="bullet"/>
      <w:lvlText w:val=""/>
      <w:lvlJc w:val="left"/>
      <w:pPr>
        <w:ind w:left="864" w:hanging="360"/>
      </w:pPr>
      <w:rPr>
        <w:rFonts w:ascii="Symbol" w:hAnsi="Symbol" w:hint="default"/>
      </w:rPr>
    </w:lvl>
    <w:lvl w:ilvl="1" w:tplc="04190003" w:tentative="1">
      <w:start w:val="1"/>
      <w:numFmt w:val="bullet"/>
      <w:lvlText w:val="o"/>
      <w:lvlJc w:val="left"/>
      <w:pPr>
        <w:ind w:left="1584" w:hanging="360"/>
      </w:pPr>
      <w:rPr>
        <w:rFonts w:ascii="Courier New" w:hAnsi="Courier New" w:cs="Courier New" w:hint="default"/>
      </w:rPr>
    </w:lvl>
    <w:lvl w:ilvl="2" w:tplc="04190005" w:tentative="1">
      <w:start w:val="1"/>
      <w:numFmt w:val="bullet"/>
      <w:lvlText w:val=""/>
      <w:lvlJc w:val="left"/>
      <w:pPr>
        <w:ind w:left="2304" w:hanging="360"/>
      </w:pPr>
      <w:rPr>
        <w:rFonts w:ascii="Wingdings" w:hAnsi="Wingdings" w:hint="default"/>
      </w:rPr>
    </w:lvl>
    <w:lvl w:ilvl="3" w:tplc="04190001" w:tentative="1">
      <w:start w:val="1"/>
      <w:numFmt w:val="bullet"/>
      <w:lvlText w:val=""/>
      <w:lvlJc w:val="left"/>
      <w:pPr>
        <w:ind w:left="3024" w:hanging="360"/>
      </w:pPr>
      <w:rPr>
        <w:rFonts w:ascii="Symbol" w:hAnsi="Symbol" w:hint="default"/>
      </w:rPr>
    </w:lvl>
    <w:lvl w:ilvl="4" w:tplc="04190003" w:tentative="1">
      <w:start w:val="1"/>
      <w:numFmt w:val="bullet"/>
      <w:lvlText w:val="o"/>
      <w:lvlJc w:val="left"/>
      <w:pPr>
        <w:ind w:left="3744" w:hanging="360"/>
      </w:pPr>
      <w:rPr>
        <w:rFonts w:ascii="Courier New" w:hAnsi="Courier New" w:cs="Courier New" w:hint="default"/>
      </w:rPr>
    </w:lvl>
    <w:lvl w:ilvl="5" w:tplc="04190005" w:tentative="1">
      <w:start w:val="1"/>
      <w:numFmt w:val="bullet"/>
      <w:lvlText w:val=""/>
      <w:lvlJc w:val="left"/>
      <w:pPr>
        <w:ind w:left="4464" w:hanging="360"/>
      </w:pPr>
      <w:rPr>
        <w:rFonts w:ascii="Wingdings" w:hAnsi="Wingdings" w:hint="default"/>
      </w:rPr>
    </w:lvl>
    <w:lvl w:ilvl="6" w:tplc="04190001" w:tentative="1">
      <w:start w:val="1"/>
      <w:numFmt w:val="bullet"/>
      <w:lvlText w:val=""/>
      <w:lvlJc w:val="left"/>
      <w:pPr>
        <w:ind w:left="5184" w:hanging="360"/>
      </w:pPr>
      <w:rPr>
        <w:rFonts w:ascii="Symbol" w:hAnsi="Symbol" w:hint="default"/>
      </w:rPr>
    </w:lvl>
    <w:lvl w:ilvl="7" w:tplc="04190003" w:tentative="1">
      <w:start w:val="1"/>
      <w:numFmt w:val="bullet"/>
      <w:lvlText w:val="o"/>
      <w:lvlJc w:val="left"/>
      <w:pPr>
        <w:ind w:left="5904" w:hanging="360"/>
      </w:pPr>
      <w:rPr>
        <w:rFonts w:ascii="Courier New" w:hAnsi="Courier New" w:cs="Courier New" w:hint="default"/>
      </w:rPr>
    </w:lvl>
    <w:lvl w:ilvl="8" w:tplc="04190005" w:tentative="1">
      <w:start w:val="1"/>
      <w:numFmt w:val="bullet"/>
      <w:lvlText w:val=""/>
      <w:lvlJc w:val="left"/>
      <w:pPr>
        <w:ind w:left="6624" w:hanging="360"/>
      </w:pPr>
      <w:rPr>
        <w:rFonts w:ascii="Wingdings" w:hAnsi="Wingdings" w:hint="default"/>
      </w:rPr>
    </w:lvl>
  </w:abstractNum>
  <w:abstractNum w:abstractNumId="70" w15:restartNumberingAfterBreak="0">
    <w:nsid w:val="3A6F6659"/>
    <w:multiLevelType w:val="hybridMultilevel"/>
    <w:tmpl w:val="45A2D61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1" w15:restartNumberingAfterBreak="0">
    <w:nsid w:val="3AEE74B1"/>
    <w:multiLevelType w:val="hybridMultilevel"/>
    <w:tmpl w:val="D1702BF8"/>
    <w:lvl w:ilvl="0" w:tplc="2FC2A5E6">
      <w:start w:val="1"/>
      <w:numFmt w:val="bullet"/>
      <w:lvlText w:val="•"/>
      <w:lvlJc w:val="left"/>
      <w:pPr>
        <w:tabs>
          <w:tab w:val="num" w:pos="720"/>
        </w:tabs>
        <w:ind w:left="720" w:hanging="360"/>
      </w:pPr>
      <w:rPr>
        <w:rFonts w:ascii="Arial" w:hAnsi="Arial" w:hint="default"/>
      </w:rPr>
    </w:lvl>
    <w:lvl w:ilvl="1" w:tplc="00C842DC" w:tentative="1">
      <w:start w:val="1"/>
      <w:numFmt w:val="bullet"/>
      <w:lvlText w:val="•"/>
      <w:lvlJc w:val="left"/>
      <w:pPr>
        <w:tabs>
          <w:tab w:val="num" w:pos="1440"/>
        </w:tabs>
        <w:ind w:left="1440" w:hanging="360"/>
      </w:pPr>
      <w:rPr>
        <w:rFonts w:ascii="Arial" w:hAnsi="Arial" w:hint="default"/>
      </w:rPr>
    </w:lvl>
    <w:lvl w:ilvl="2" w:tplc="5106BF54" w:tentative="1">
      <w:start w:val="1"/>
      <w:numFmt w:val="bullet"/>
      <w:lvlText w:val="•"/>
      <w:lvlJc w:val="left"/>
      <w:pPr>
        <w:tabs>
          <w:tab w:val="num" w:pos="2160"/>
        </w:tabs>
        <w:ind w:left="2160" w:hanging="360"/>
      </w:pPr>
      <w:rPr>
        <w:rFonts w:ascii="Arial" w:hAnsi="Arial" w:hint="default"/>
      </w:rPr>
    </w:lvl>
    <w:lvl w:ilvl="3" w:tplc="80886C6E" w:tentative="1">
      <w:start w:val="1"/>
      <w:numFmt w:val="bullet"/>
      <w:lvlText w:val="•"/>
      <w:lvlJc w:val="left"/>
      <w:pPr>
        <w:tabs>
          <w:tab w:val="num" w:pos="2880"/>
        </w:tabs>
        <w:ind w:left="2880" w:hanging="360"/>
      </w:pPr>
      <w:rPr>
        <w:rFonts w:ascii="Arial" w:hAnsi="Arial" w:hint="default"/>
      </w:rPr>
    </w:lvl>
    <w:lvl w:ilvl="4" w:tplc="367A6298" w:tentative="1">
      <w:start w:val="1"/>
      <w:numFmt w:val="bullet"/>
      <w:lvlText w:val="•"/>
      <w:lvlJc w:val="left"/>
      <w:pPr>
        <w:tabs>
          <w:tab w:val="num" w:pos="3600"/>
        </w:tabs>
        <w:ind w:left="3600" w:hanging="360"/>
      </w:pPr>
      <w:rPr>
        <w:rFonts w:ascii="Arial" w:hAnsi="Arial" w:hint="default"/>
      </w:rPr>
    </w:lvl>
    <w:lvl w:ilvl="5" w:tplc="DD06D10C" w:tentative="1">
      <w:start w:val="1"/>
      <w:numFmt w:val="bullet"/>
      <w:lvlText w:val="•"/>
      <w:lvlJc w:val="left"/>
      <w:pPr>
        <w:tabs>
          <w:tab w:val="num" w:pos="4320"/>
        </w:tabs>
        <w:ind w:left="4320" w:hanging="360"/>
      </w:pPr>
      <w:rPr>
        <w:rFonts w:ascii="Arial" w:hAnsi="Arial" w:hint="default"/>
      </w:rPr>
    </w:lvl>
    <w:lvl w:ilvl="6" w:tplc="746E3562" w:tentative="1">
      <w:start w:val="1"/>
      <w:numFmt w:val="bullet"/>
      <w:lvlText w:val="•"/>
      <w:lvlJc w:val="left"/>
      <w:pPr>
        <w:tabs>
          <w:tab w:val="num" w:pos="5040"/>
        </w:tabs>
        <w:ind w:left="5040" w:hanging="360"/>
      </w:pPr>
      <w:rPr>
        <w:rFonts w:ascii="Arial" w:hAnsi="Arial" w:hint="default"/>
      </w:rPr>
    </w:lvl>
    <w:lvl w:ilvl="7" w:tplc="4F3AE39C" w:tentative="1">
      <w:start w:val="1"/>
      <w:numFmt w:val="bullet"/>
      <w:lvlText w:val="•"/>
      <w:lvlJc w:val="left"/>
      <w:pPr>
        <w:tabs>
          <w:tab w:val="num" w:pos="5760"/>
        </w:tabs>
        <w:ind w:left="5760" w:hanging="360"/>
      </w:pPr>
      <w:rPr>
        <w:rFonts w:ascii="Arial" w:hAnsi="Arial" w:hint="default"/>
      </w:rPr>
    </w:lvl>
    <w:lvl w:ilvl="8" w:tplc="7EC821FE" w:tentative="1">
      <w:start w:val="1"/>
      <w:numFmt w:val="bullet"/>
      <w:lvlText w:val="•"/>
      <w:lvlJc w:val="left"/>
      <w:pPr>
        <w:tabs>
          <w:tab w:val="num" w:pos="6480"/>
        </w:tabs>
        <w:ind w:left="6480" w:hanging="360"/>
      </w:pPr>
      <w:rPr>
        <w:rFonts w:ascii="Arial" w:hAnsi="Arial" w:hint="default"/>
      </w:rPr>
    </w:lvl>
  </w:abstractNum>
  <w:abstractNum w:abstractNumId="72" w15:restartNumberingAfterBreak="0">
    <w:nsid w:val="3BBB3B0B"/>
    <w:multiLevelType w:val="hybridMultilevel"/>
    <w:tmpl w:val="8A42A6EE"/>
    <w:lvl w:ilvl="0" w:tplc="D4869CE4">
      <w:start w:val="1"/>
      <w:numFmt w:val="bullet"/>
      <w:lvlText w:val=""/>
      <w:lvlJc w:val="left"/>
      <w:pPr>
        <w:ind w:left="1800" w:hanging="360"/>
      </w:pPr>
      <w:rPr>
        <w:rFonts w:ascii="Symbol" w:hAnsi="Symbol" w:hint="default"/>
      </w:rPr>
    </w:lvl>
    <w:lvl w:ilvl="1" w:tplc="5C06DB50">
      <w:start w:val="1"/>
      <w:numFmt w:val="bullet"/>
      <w:lvlText w:val="o"/>
      <w:lvlJc w:val="left"/>
      <w:pPr>
        <w:ind w:left="2520" w:hanging="360"/>
      </w:pPr>
      <w:rPr>
        <w:rFonts w:ascii="Courier New" w:hAnsi="Courier New" w:hint="default"/>
      </w:rPr>
    </w:lvl>
    <w:lvl w:ilvl="2" w:tplc="19E23D40">
      <w:start w:val="1"/>
      <w:numFmt w:val="bullet"/>
      <w:lvlText w:val="§"/>
      <w:lvlJc w:val="left"/>
      <w:pPr>
        <w:ind w:left="3240" w:hanging="360"/>
      </w:pPr>
      <w:rPr>
        <w:rFonts w:ascii="Wingdings" w:hAnsi="Wingdings" w:hint="default"/>
      </w:rPr>
    </w:lvl>
    <w:lvl w:ilvl="3" w:tplc="349A58E4">
      <w:start w:val="1"/>
      <w:numFmt w:val="bullet"/>
      <w:lvlText w:val="·"/>
      <w:lvlJc w:val="left"/>
      <w:pPr>
        <w:ind w:left="3960" w:hanging="360"/>
      </w:pPr>
      <w:rPr>
        <w:rFonts w:ascii="Symbol" w:hAnsi="Symbol" w:hint="default"/>
      </w:rPr>
    </w:lvl>
    <w:lvl w:ilvl="4" w:tplc="95CAE068">
      <w:start w:val="1"/>
      <w:numFmt w:val="bullet"/>
      <w:lvlText w:val="o"/>
      <w:lvlJc w:val="left"/>
      <w:pPr>
        <w:ind w:left="4680" w:hanging="360"/>
      </w:pPr>
      <w:rPr>
        <w:rFonts w:ascii="Courier New" w:hAnsi="Courier New" w:hint="default"/>
      </w:rPr>
    </w:lvl>
    <w:lvl w:ilvl="5" w:tplc="886C3EB4">
      <w:start w:val="1"/>
      <w:numFmt w:val="bullet"/>
      <w:lvlText w:val="§"/>
      <w:lvlJc w:val="left"/>
      <w:pPr>
        <w:ind w:left="5400" w:hanging="360"/>
      </w:pPr>
      <w:rPr>
        <w:rFonts w:ascii="Wingdings" w:hAnsi="Wingdings" w:hint="default"/>
      </w:rPr>
    </w:lvl>
    <w:lvl w:ilvl="6" w:tplc="03FAE4D8">
      <w:start w:val="1"/>
      <w:numFmt w:val="bullet"/>
      <w:lvlText w:val="·"/>
      <w:lvlJc w:val="left"/>
      <w:pPr>
        <w:ind w:left="6120" w:hanging="360"/>
      </w:pPr>
      <w:rPr>
        <w:rFonts w:ascii="Symbol" w:hAnsi="Symbol" w:hint="default"/>
      </w:rPr>
    </w:lvl>
    <w:lvl w:ilvl="7" w:tplc="E702EE44">
      <w:start w:val="1"/>
      <w:numFmt w:val="bullet"/>
      <w:lvlText w:val="o"/>
      <w:lvlJc w:val="left"/>
      <w:pPr>
        <w:ind w:left="6840" w:hanging="360"/>
      </w:pPr>
      <w:rPr>
        <w:rFonts w:ascii="Courier New" w:hAnsi="Courier New" w:hint="default"/>
      </w:rPr>
    </w:lvl>
    <w:lvl w:ilvl="8" w:tplc="3752C4D6">
      <w:start w:val="1"/>
      <w:numFmt w:val="bullet"/>
      <w:lvlText w:val="§"/>
      <w:lvlJc w:val="left"/>
      <w:pPr>
        <w:ind w:left="7560" w:hanging="360"/>
      </w:pPr>
      <w:rPr>
        <w:rFonts w:ascii="Wingdings" w:hAnsi="Wingdings" w:hint="default"/>
      </w:rPr>
    </w:lvl>
  </w:abstractNum>
  <w:abstractNum w:abstractNumId="73" w15:restartNumberingAfterBreak="0">
    <w:nsid w:val="3C5C4AAA"/>
    <w:multiLevelType w:val="hybridMultilevel"/>
    <w:tmpl w:val="BF06C0B0"/>
    <w:lvl w:ilvl="0" w:tplc="6AFCAB1E">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3DE112F8"/>
    <w:multiLevelType w:val="hybridMultilevel"/>
    <w:tmpl w:val="C004DFF0"/>
    <w:lvl w:ilvl="0" w:tplc="A7CA7F60">
      <w:start w:val="1"/>
      <w:numFmt w:val="bullet"/>
      <w:lvlText w:val=""/>
      <w:lvlJc w:val="left"/>
      <w:pPr>
        <w:ind w:left="720" w:hanging="360"/>
      </w:pPr>
      <w:rPr>
        <w:rFonts w:ascii="Symbol" w:hAnsi="Symbol" w:hint="default"/>
      </w:rPr>
    </w:lvl>
    <w:lvl w:ilvl="1" w:tplc="2870B0D8">
      <w:start w:val="1"/>
      <w:numFmt w:val="bullet"/>
      <w:lvlText w:val="o"/>
      <w:lvlJc w:val="left"/>
      <w:pPr>
        <w:ind w:left="1440" w:hanging="360"/>
      </w:pPr>
      <w:rPr>
        <w:rFonts w:ascii="Courier New" w:hAnsi="Courier New" w:cs="Courier New" w:hint="default"/>
      </w:rPr>
    </w:lvl>
    <w:lvl w:ilvl="2" w:tplc="D506DEB8">
      <w:start w:val="1"/>
      <w:numFmt w:val="bullet"/>
      <w:lvlText w:val=""/>
      <w:lvlJc w:val="left"/>
      <w:pPr>
        <w:ind w:left="2160" w:hanging="360"/>
      </w:pPr>
      <w:rPr>
        <w:rFonts w:ascii="Wingdings" w:hAnsi="Wingdings" w:hint="default"/>
      </w:rPr>
    </w:lvl>
    <w:lvl w:ilvl="3" w:tplc="CE8A0E88">
      <w:start w:val="1"/>
      <w:numFmt w:val="bullet"/>
      <w:lvlText w:val=""/>
      <w:lvlJc w:val="left"/>
      <w:pPr>
        <w:ind w:left="2880" w:hanging="360"/>
      </w:pPr>
      <w:rPr>
        <w:rFonts w:ascii="Symbol" w:hAnsi="Symbol" w:hint="default"/>
      </w:rPr>
    </w:lvl>
    <w:lvl w:ilvl="4" w:tplc="C5806F16">
      <w:start w:val="1"/>
      <w:numFmt w:val="bullet"/>
      <w:lvlText w:val="o"/>
      <w:lvlJc w:val="left"/>
      <w:pPr>
        <w:ind w:left="3600" w:hanging="360"/>
      </w:pPr>
      <w:rPr>
        <w:rFonts w:ascii="Courier New" w:hAnsi="Courier New" w:cs="Courier New" w:hint="default"/>
      </w:rPr>
    </w:lvl>
    <w:lvl w:ilvl="5" w:tplc="1FC4FB46">
      <w:start w:val="1"/>
      <w:numFmt w:val="bullet"/>
      <w:lvlText w:val=""/>
      <w:lvlJc w:val="left"/>
      <w:pPr>
        <w:ind w:left="4320" w:hanging="360"/>
      </w:pPr>
      <w:rPr>
        <w:rFonts w:ascii="Wingdings" w:hAnsi="Wingdings" w:hint="default"/>
      </w:rPr>
    </w:lvl>
    <w:lvl w:ilvl="6" w:tplc="39D4DDAE">
      <w:start w:val="1"/>
      <w:numFmt w:val="bullet"/>
      <w:lvlText w:val=""/>
      <w:lvlJc w:val="left"/>
      <w:pPr>
        <w:ind w:left="5040" w:hanging="360"/>
      </w:pPr>
      <w:rPr>
        <w:rFonts w:ascii="Symbol" w:hAnsi="Symbol" w:hint="default"/>
      </w:rPr>
    </w:lvl>
    <w:lvl w:ilvl="7" w:tplc="00E0E3EE">
      <w:start w:val="1"/>
      <w:numFmt w:val="bullet"/>
      <w:lvlText w:val="o"/>
      <w:lvlJc w:val="left"/>
      <w:pPr>
        <w:ind w:left="5760" w:hanging="360"/>
      </w:pPr>
      <w:rPr>
        <w:rFonts w:ascii="Courier New" w:hAnsi="Courier New" w:cs="Courier New" w:hint="default"/>
      </w:rPr>
    </w:lvl>
    <w:lvl w:ilvl="8" w:tplc="CF64A60A">
      <w:start w:val="1"/>
      <w:numFmt w:val="bullet"/>
      <w:lvlText w:val=""/>
      <w:lvlJc w:val="left"/>
      <w:pPr>
        <w:ind w:left="6480" w:hanging="360"/>
      </w:pPr>
      <w:rPr>
        <w:rFonts w:ascii="Wingdings" w:hAnsi="Wingdings" w:hint="default"/>
      </w:rPr>
    </w:lvl>
  </w:abstractNum>
  <w:abstractNum w:abstractNumId="75" w15:restartNumberingAfterBreak="0">
    <w:nsid w:val="3EAB7338"/>
    <w:multiLevelType w:val="hybridMultilevel"/>
    <w:tmpl w:val="458A317A"/>
    <w:lvl w:ilvl="0" w:tplc="AA62F688">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76" w15:restartNumberingAfterBreak="0">
    <w:nsid w:val="3EBB5F12"/>
    <w:multiLevelType w:val="hybridMultilevel"/>
    <w:tmpl w:val="F86E5E74"/>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77" w15:restartNumberingAfterBreak="0">
    <w:nsid w:val="3EC07EB8"/>
    <w:multiLevelType w:val="multilevel"/>
    <w:tmpl w:val="FFFFFFFF"/>
    <w:styleLink w:val="List1"/>
    <w:lvl w:ilvl="0">
      <w:start w:val="3"/>
      <w:numFmt w:val="bullet"/>
      <w:lvlText w:val="•"/>
      <w:lvlJc w:val="left"/>
      <w:pPr>
        <w:tabs>
          <w:tab w:val="num" w:pos="884"/>
        </w:tabs>
        <w:ind w:left="884" w:hanging="277"/>
      </w:pPr>
      <w:rPr>
        <w:caps w:val="0"/>
        <w:smallCaps w:val="0"/>
        <w:strike w:val="0"/>
        <w:dstrike w:val="0"/>
        <w:color w:val="000000"/>
        <w:spacing w:val="0"/>
        <w:kern w:val="0"/>
        <w:position w:val="0"/>
        <w:sz w:val="20"/>
        <w:u w:val="none"/>
        <w:vertAlign w:val="baseline"/>
      </w:rPr>
    </w:lvl>
    <w:lvl w:ilvl="1">
      <w:start w:val="1"/>
      <w:numFmt w:val="bullet"/>
      <w:lvlText w:val="o"/>
      <w:lvlJc w:val="left"/>
      <w:pPr>
        <w:tabs>
          <w:tab w:val="num" w:pos="1503"/>
        </w:tabs>
        <w:ind w:left="1503" w:hanging="423"/>
      </w:pPr>
      <w:rPr>
        <w:caps w:val="0"/>
        <w:smallCaps w:val="0"/>
        <w:strike w:val="0"/>
        <w:dstrike w:val="0"/>
        <w:color w:val="000000"/>
        <w:spacing w:val="0"/>
        <w:kern w:val="0"/>
        <w:position w:val="0"/>
        <w:sz w:val="26"/>
        <w:u w:val="none"/>
        <w:vertAlign w:val="baseline"/>
      </w:rPr>
    </w:lvl>
    <w:lvl w:ilvl="2">
      <w:start w:val="1"/>
      <w:numFmt w:val="bullet"/>
      <w:lvlText w:val="▪"/>
      <w:lvlJc w:val="left"/>
      <w:pPr>
        <w:tabs>
          <w:tab w:val="num" w:pos="2223"/>
        </w:tabs>
        <w:ind w:left="2223" w:hanging="423"/>
      </w:pPr>
      <w:rPr>
        <w:caps w:val="0"/>
        <w:smallCaps w:val="0"/>
        <w:strike w:val="0"/>
        <w:dstrike w:val="0"/>
        <w:color w:val="000000"/>
        <w:spacing w:val="0"/>
        <w:kern w:val="0"/>
        <w:position w:val="0"/>
        <w:sz w:val="26"/>
        <w:u w:val="none"/>
        <w:vertAlign w:val="baseline"/>
      </w:rPr>
    </w:lvl>
    <w:lvl w:ilvl="3">
      <w:start w:val="1"/>
      <w:numFmt w:val="bullet"/>
      <w:lvlText w:val="•"/>
      <w:lvlJc w:val="left"/>
      <w:pPr>
        <w:tabs>
          <w:tab w:val="num" w:pos="2943"/>
        </w:tabs>
        <w:ind w:left="2943" w:hanging="423"/>
      </w:pPr>
      <w:rPr>
        <w:caps w:val="0"/>
        <w:smallCaps w:val="0"/>
        <w:strike w:val="0"/>
        <w:dstrike w:val="0"/>
        <w:color w:val="000000"/>
        <w:spacing w:val="0"/>
        <w:kern w:val="0"/>
        <w:position w:val="0"/>
        <w:sz w:val="26"/>
        <w:u w:val="none"/>
        <w:vertAlign w:val="baseline"/>
      </w:rPr>
    </w:lvl>
    <w:lvl w:ilvl="4">
      <w:start w:val="1"/>
      <w:numFmt w:val="bullet"/>
      <w:lvlText w:val="o"/>
      <w:lvlJc w:val="left"/>
      <w:pPr>
        <w:tabs>
          <w:tab w:val="num" w:pos="3663"/>
        </w:tabs>
        <w:ind w:left="3663" w:hanging="423"/>
      </w:pPr>
      <w:rPr>
        <w:caps w:val="0"/>
        <w:smallCaps w:val="0"/>
        <w:strike w:val="0"/>
        <w:dstrike w:val="0"/>
        <w:color w:val="000000"/>
        <w:spacing w:val="0"/>
        <w:kern w:val="0"/>
        <w:position w:val="0"/>
        <w:sz w:val="26"/>
        <w:u w:val="none"/>
        <w:vertAlign w:val="baseline"/>
      </w:rPr>
    </w:lvl>
    <w:lvl w:ilvl="5">
      <w:start w:val="1"/>
      <w:numFmt w:val="bullet"/>
      <w:lvlText w:val="▪"/>
      <w:lvlJc w:val="left"/>
      <w:pPr>
        <w:tabs>
          <w:tab w:val="num" w:pos="4383"/>
        </w:tabs>
        <w:ind w:left="4383" w:hanging="423"/>
      </w:pPr>
      <w:rPr>
        <w:caps w:val="0"/>
        <w:smallCaps w:val="0"/>
        <w:strike w:val="0"/>
        <w:dstrike w:val="0"/>
        <w:color w:val="000000"/>
        <w:spacing w:val="0"/>
        <w:kern w:val="0"/>
        <w:position w:val="0"/>
        <w:sz w:val="26"/>
        <w:u w:val="none"/>
        <w:vertAlign w:val="baseline"/>
      </w:rPr>
    </w:lvl>
    <w:lvl w:ilvl="6">
      <w:start w:val="1"/>
      <w:numFmt w:val="bullet"/>
      <w:lvlText w:val="•"/>
      <w:lvlJc w:val="left"/>
      <w:pPr>
        <w:tabs>
          <w:tab w:val="num" w:pos="5103"/>
        </w:tabs>
        <w:ind w:left="5103" w:hanging="423"/>
      </w:pPr>
      <w:rPr>
        <w:caps w:val="0"/>
        <w:smallCaps w:val="0"/>
        <w:strike w:val="0"/>
        <w:dstrike w:val="0"/>
        <w:color w:val="000000"/>
        <w:spacing w:val="0"/>
        <w:kern w:val="0"/>
        <w:position w:val="0"/>
        <w:sz w:val="26"/>
        <w:u w:val="none"/>
        <w:vertAlign w:val="baseline"/>
      </w:rPr>
    </w:lvl>
    <w:lvl w:ilvl="7">
      <w:start w:val="1"/>
      <w:numFmt w:val="bullet"/>
      <w:lvlText w:val="o"/>
      <w:lvlJc w:val="left"/>
      <w:pPr>
        <w:tabs>
          <w:tab w:val="num" w:pos="5823"/>
        </w:tabs>
        <w:ind w:left="5823" w:hanging="423"/>
      </w:pPr>
      <w:rPr>
        <w:caps w:val="0"/>
        <w:smallCaps w:val="0"/>
        <w:strike w:val="0"/>
        <w:dstrike w:val="0"/>
        <w:color w:val="000000"/>
        <w:spacing w:val="0"/>
        <w:kern w:val="0"/>
        <w:position w:val="0"/>
        <w:sz w:val="26"/>
        <w:u w:val="none"/>
        <w:vertAlign w:val="baseline"/>
      </w:rPr>
    </w:lvl>
    <w:lvl w:ilvl="8">
      <w:start w:val="1"/>
      <w:numFmt w:val="bullet"/>
      <w:lvlText w:val="▪"/>
      <w:lvlJc w:val="left"/>
      <w:pPr>
        <w:tabs>
          <w:tab w:val="num" w:pos="6543"/>
        </w:tabs>
        <w:ind w:left="6543" w:hanging="423"/>
      </w:pPr>
      <w:rPr>
        <w:caps w:val="0"/>
        <w:smallCaps w:val="0"/>
        <w:strike w:val="0"/>
        <w:dstrike w:val="0"/>
        <w:color w:val="000000"/>
        <w:spacing w:val="0"/>
        <w:kern w:val="0"/>
        <w:position w:val="0"/>
        <w:sz w:val="26"/>
        <w:u w:val="none"/>
        <w:vertAlign w:val="baseline"/>
      </w:rPr>
    </w:lvl>
  </w:abstractNum>
  <w:abstractNum w:abstractNumId="78" w15:restartNumberingAfterBreak="0">
    <w:nsid w:val="3F01408C"/>
    <w:multiLevelType w:val="hybridMultilevel"/>
    <w:tmpl w:val="E02ED63A"/>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79" w15:restartNumberingAfterBreak="0">
    <w:nsid w:val="3F7D6042"/>
    <w:multiLevelType w:val="hybridMultilevel"/>
    <w:tmpl w:val="FF4234CC"/>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80" w15:restartNumberingAfterBreak="0">
    <w:nsid w:val="403D17B0"/>
    <w:multiLevelType w:val="hybridMultilevel"/>
    <w:tmpl w:val="13D0519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40843901"/>
    <w:multiLevelType w:val="multilevel"/>
    <w:tmpl w:val="FFFFFFFF"/>
    <w:styleLink w:val="List0"/>
    <w:lvl w:ilvl="0">
      <w:numFmt w:val="bullet"/>
      <w:lvlText w:val="•"/>
      <w:lvlJc w:val="left"/>
      <w:pPr>
        <w:tabs>
          <w:tab w:val="num" w:pos="884"/>
        </w:tabs>
        <w:ind w:left="884" w:hanging="277"/>
      </w:pPr>
      <w:rPr>
        <w:caps w:val="0"/>
        <w:smallCaps w:val="0"/>
        <w:strike w:val="0"/>
        <w:dstrike w:val="0"/>
        <w:color w:val="000000"/>
        <w:spacing w:val="0"/>
        <w:kern w:val="0"/>
        <w:position w:val="0"/>
        <w:sz w:val="20"/>
        <w:u w:val="none"/>
        <w:vertAlign w:val="baseline"/>
      </w:rPr>
    </w:lvl>
    <w:lvl w:ilvl="1">
      <w:start w:val="1"/>
      <w:numFmt w:val="bullet"/>
      <w:lvlText w:val="o"/>
      <w:lvlJc w:val="left"/>
      <w:pPr>
        <w:tabs>
          <w:tab w:val="num" w:pos="1503"/>
        </w:tabs>
        <w:ind w:left="1503" w:hanging="423"/>
      </w:pPr>
      <w:rPr>
        <w:caps w:val="0"/>
        <w:smallCaps w:val="0"/>
        <w:strike w:val="0"/>
        <w:dstrike w:val="0"/>
        <w:color w:val="000000"/>
        <w:spacing w:val="0"/>
        <w:kern w:val="0"/>
        <w:position w:val="0"/>
        <w:sz w:val="26"/>
        <w:u w:val="none"/>
        <w:vertAlign w:val="baseline"/>
      </w:rPr>
    </w:lvl>
    <w:lvl w:ilvl="2">
      <w:start w:val="1"/>
      <w:numFmt w:val="bullet"/>
      <w:lvlText w:val="▪"/>
      <w:lvlJc w:val="left"/>
      <w:pPr>
        <w:tabs>
          <w:tab w:val="num" w:pos="2223"/>
        </w:tabs>
        <w:ind w:left="2223" w:hanging="423"/>
      </w:pPr>
      <w:rPr>
        <w:caps w:val="0"/>
        <w:smallCaps w:val="0"/>
        <w:strike w:val="0"/>
        <w:dstrike w:val="0"/>
        <w:color w:val="000000"/>
        <w:spacing w:val="0"/>
        <w:kern w:val="0"/>
        <w:position w:val="0"/>
        <w:sz w:val="26"/>
        <w:u w:val="none"/>
        <w:vertAlign w:val="baseline"/>
      </w:rPr>
    </w:lvl>
    <w:lvl w:ilvl="3">
      <w:start w:val="1"/>
      <w:numFmt w:val="bullet"/>
      <w:lvlText w:val="•"/>
      <w:lvlJc w:val="left"/>
      <w:pPr>
        <w:tabs>
          <w:tab w:val="num" w:pos="2943"/>
        </w:tabs>
        <w:ind w:left="2943" w:hanging="423"/>
      </w:pPr>
      <w:rPr>
        <w:caps w:val="0"/>
        <w:smallCaps w:val="0"/>
        <w:strike w:val="0"/>
        <w:dstrike w:val="0"/>
        <w:color w:val="000000"/>
        <w:spacing w:val="0"/>
        <w:kern w:val="0"/>
        <w:position w:val="0"/>
        <w:sz w:val="26"/>
        <w:u w:val="none"/>
        <w:vertAlign w:val="baseline"/>
      </w:rPr>
    </w:lvl>
    <w:lvl w:ilvl="4">
      <w:start w:val="1"/>
      <w:numFmt w:val="bullet"/>
      <w:lvlText w:val="o"/>
      <w:lvlJc w:val="left"/>
      <w:pPr>
        <w:tabs>
          <w:tab w:val="num" w:pos="3663"/>
        </w:tabs>
        <w:ind w:left="3663" w:hanging="423"/>
      </w:pPr>
      <w:rPr>
        <w:caps w:val="0"/>
        <w:smallCaps w:val="0"/>
        <w:strike w:val="0"/>
        <w:dstrike w:val="0"/>
        <w:color w:val="000000"/>
        <w:spacing w:val="0"/>
        <w:kern w:val="0"/>
        <w:position w:val="0"/>
        <w:sz w:val="26"/>
        <w:u w:val="none"/>
        <w:vertAlign w:val="baseline"/>
      </w:rPr>
    </w:lvl>
    <w:lvl w:ilvl="5">
      <w:start w:val="1"/>
      <w:numFmt w:val="bullet"/>
      <w:lvlText w:val="▪"/>
      <w:lvlJc w:val="left"/>
      <w:pPr>
        <w:tabs>
          <w:tab w:val="num" w:pos="4383"/>
        </w:tabs>
        <w:ind w:left="4383" w:hanging="423"/>
      </w:pPr>
      <w:rPr>
        <w:caps w:val="0"/>
        <w:smallCaps w:val="0"/>
        <w:strike w:val="0"/>
        <w:dstrike w:val="0"/>
        <w:color w:val="000000"/>
        <w:spacing w:val="0"/>
        <w:kern w:val="0"/>
        <w:position w:val="0"/>
        <w:sz w:val="26"/>
        <w:u w:val="none"/>
        <w:vertAlign w:val="baseline"/>
      </w:rPr>
    </w:lvl>
    <w:lvl w:ilvl="6">
      <w:start w:val="1"/>
      <w:numFmt w:val="bullet"/>
      <w:lvlText w:val="•"/>
      <w:lvlJc w:val="left"/>
      <w:pPr>
        <w:tabs>
          <w:tab w:val="num" w:pos="5103"/>
        </w:tabs>
        <w:ind w:left="5103" w:hanging="423"/>
      </w:pPr>
      <w:rPr>
        <w:caps w:val="0"/>
        <w:smallCaps w:val="0"/>
        <w:strike w:val="0"/>
        <w:dstrike w:val="0"/>
        <w:color w:val="000000"/>
        <w:spacing w:val="0"/>
        <w:kern w:val="0"/>
        <w:position w:val="0"/>
        <w:sz w:val="26"/>
        <w:u w:val="none"/>
        <w:vertAlign w:val="baseline"/>
      </w:rPr>
    </w:lvl>
    <w:lvl w:ilvl="7">
      <w:start w:val="1"/>
      <w:numFmt w:val="bullet"/>
      <w:lvlText w:val="o"/>
      <w:lvlJc w:val="left"/>
      <w:pPr>
        <w:tabs>
          <w:tab w:val="num" w:pos="5823"/>
        </w:tabs>
        <w:ind w:left="5823" w:hanging="423"/>
      </w:pPr>
      <w:rPr>
        <w:caps w:val="0"/>
        <w:smallCaps w:val="0"/>
        <w:strike w:val="0"/>
        <w:dstrike w:val="0"/>
        <w:color w:val="000000"/>
        <w:spacing w:val="0"/>
        <w:kern w:val="0"/>
        <w:position w:val="0"/>
        <w:sz w:val="26"/>
        <w:u w:val="none"/>
        <w:vertAlign w:val="baseline"/>
      </w:rPr>
    </w:lvl>
    <w:lvl w:ilvl="8">
      <w:start w:val="1"/>
      <w:numFmt w:val="bullet"/>
      <w:lvlText w:val="▪"/>
      <w:lvlJc w:val="left"/>
      <w:pPr>
        <w:tabs>
          <w:tab w:val="num" w:pos="6543"/>
        </w:tabs>
        <w:ind w:left="6543" w:hanging="423"/>
      </w:pPr>
      <w:rPr>
        <w:caps w:val="0"/>
        <w:smallCaps w:val="0"/>
        <w:strike w:val="0"/>
        <w:dstrike w:val="0"/>
        <w:color w:val="000000"/>
        <w:spacing w:val="0"/>
        <w:kern w:val="0"/>
        <w:position w:val="0"/>
        <w:sz w:val="26"/>
        <w:u w:val="none"/>
        <w:vertAlign w:val="baseline"/>
      </w:rPr>
    </w:lvl>
  </w:abstractNum>
  <w:abstractNum w:abstractNumId="82" w15:restartNumberingAfterBreak="0">
    <w:nsid w:val="40F00836"/>
    <w:multiLevelType w:val="hybridMultilevel"/>
    <w:tmpl w:val="488C873E"/>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83" w15:restartNumberingAfterBreak="0">
    <w:nsid w:val="416578E1"/>
    <w:multiLevelType w:val="singleLevel"/>
    <w:tmpl w:val="2B500C1C"/>
    <w:lvl w:ilvl="0">
      <w:numFmt w:val="bullet"/>
      <w:lvlText w:val="*"/>
      <w:lvlJc w:val="left"/>
    </w:lvl>
  </w:abstractNum>
  <w:abstractNum w:abstractNumId="84" w15:restartNumberingAfterBreak="0">
    <w:nsid w:val="42991DAF"/>
    <w:multiLevelType w:val="multilevel"/>
    <w:tmpl w:val="0ADC0DBC"/>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5" w15:restartNumberingAfterBreak="0">
    <w:nsid w:val="440C4110"/>
    <w:multiLevelType w:val="hybridMultilevel"/>
    <w:tmpl w:val="A87ACD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445C2F2B"/>
    <w:multiLevelType w:val="hybridMultilevel"/>
    <w:tmpl w:val="80B4DE4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460032CD"/>
    <w:multiLevelType w:val="hybridMultilevel"/>
    <w:tmpl w:val="93A81ED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8" w15:restartNumberingAfterBreak="0">
    <w:nsid w:val="46F431F7"/>
    <w:multiLevelType w:val="hybridMultilevel"/>
    <w:tmpl w:val="11C030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474E3A23"/>
    <w:multiLevelType w:val="hybridMultilevel"/>
    <w:tmpl w:val="2CB0D62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480F1C15"/>
    <w:multiLevelType w:val="multilevel"/>
    <w:tmpl w:val="32B6D122"/>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91" w15:restartNumberingAfterBreak="0">
    <w:nsid w:val="4AA610D1"/>
    <w:multiLevelType w:val="hybridMultilevel"/>
    <w:tmpl w:val="C75EFF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4AE857F8"/>
    <w:multiLevelType w:val="multilevel"/>
    <w:tmpl w:val="2F08A22E"/>
    <w:lvl w:ilvl="0">
      <w:start w:val="1"/>
      <w:numFmt w:val="bullet"/>
      <w:lvlText w:val=""/>
      <w:lvlJc w:val="left"/>
      <w:pPr>
        <w:ind w:left="142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93" w15:restartNumberingAfterBreak="0">
    <w:nsid w:val="4AEF0A1E"/>
    <w:multiLevelType w:val="hybridMultilevel"/>
    <w:tmpl w:val="86C254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15:restartNumberingAfterBreak="0">
    <w:nsid w:val="4B912FC9"/>
    <w:multiLevelType w:val="hybridMultilevel"/>
    <w:tmpl w:val="F8BE31C4"/>
    <w:styleLink w:val="1"/>
    <w:lvl w:ilvl="0" w:tplc="B97EBB6A">
      <w:start w:val="1"/>
      <w:numFmt w:val="bullet"/>
      <w:lvlText w:val="·"/>
      <w:lvlJc w:val="left"/>
      <w:pPr>
        <w:ind w:left="967"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C182848">
      <w:start w:val="1"/>
      <w:numFmt w:val="bullet"/>
      <w:lvlText w:val="o"/>
      <w:lvlJc w:val="left"/>
      <w:pPr>
        <w:tabs>
          <w:tab w:val="num" w:pos="1761"/>
        </w:tabs>
        <w:ind w:left="1364" w:firstLine="15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0ECE9D2">
      <w:start w:val="1"/>
      <w:numFmt w:val="bullet"/>
      <w:lvlText w:val="▪"/>
      <w:lvlJc w:val="left"/>
      <w:pPr>
        <w:ind w:left="219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7745518">
      <w:start w:val="1"/>
      <w:numFmt w:val="bullet"/>
      <w:lvlText w:val="·"/>
      <w:lvlJc w:val="left"/>
      <w:pPr>
        <w:ind w:left="2914"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FB2730C">
      <w:start w:val="1"/>
      <w:numFmt w:val="bullet"/>
      <w:lvlText w:val="o"/>
      <w:lvlJc w:val="left"/>
      <w:pPr>
        <w:ind w:left="363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F60F3CA">
      <w:start w:val="1"/>
      <w:numFmt w:val="bullet"/>
      <w:lvlText w:val="▪"/>
      <w:lvlJc w:val="left"/>
      <w:pPr>
        <w:ind w:left="435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03C1838">
      <w:start w:val="1"/>
      <w:numFmt w:val="bullet"/>
      <w:lvlText w:val="·"/>
      <w:lvlJc w:val="left"/>
      <w:pPr>
        <w:ind w:left="5074"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312015A">
      <w:start w:val="1"/>
      <w:numFmt w:val="bullet"/>
      <w:lvlText w:val="o"/>
      <w:lvlJc w:val="left"/>
      <w:pPr>
        <w:ind w:left="579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ACA0E84">
      <w:start w:val="1"/>
      <w:numFmt w:val="bullet"/>
      <w:lvlText w:val="▪"/>
      <w:lvlJc w:val="left"/>
      <w:pPr>
        <w:ind w:left="651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5" w15:restartNumberingAfterBreak="0">
    <w:nsid w:val="4C150BCE"/>
    <w:multiLevelType w:val="hybridMultilevel"/>
    <w:tmpl w:val="B57CFDE0"/>
    <w:lvl w:ilvl="0" w:tplc="234C896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4C6E52F0"/>
    <w:multiLevelType w:val="hybridMultilevel"/>
    <w:tmpl w:val="00F27DB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7" w15:restartNumberingAfterBreak="0">
    <w:nsid w:val="4CC56D9C"/>
    <w:multiLevelType w:val="hybridMultilevel"/>
    <w:tmpl w:val="1F2EB1AA"/>
    <w:lvl w:ilvl="0" w:tplc="0419000F">
      <w:start w:val="1"/>
      <w:numFmt w:val="decimal"/>
      <w:lvlText w:val="%1."/>
      <w:lvlJc w:val="left"/>
      <w:pPr>
        <w:ind w:left="1429" w:hanging="360"/>
      </w:pPr>
      <w:rPr>
        <w:rFonts w:cs="Times New Roman"/>
      </w:rPr>
    </w:lvl>
    <w:lvl w:ilvl="1" w:tplc="AACE3E4C">
      <w:start w:val="1"/>
      <w:numFmt w:val="decimal"/>
      <w:lvlText w:val="%2."/>
      <w:lvlJc w:val="left"/>
      <w:pPr>
        <w:ind w:left="2779" w:hanging="990"/>
      </w:pPr>
      <w:rPr>
        <w:rFonts w:ascii="Times New Roman" w:eastAsia="Times New Roman" w:hAnsi="Times New Roman"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98" w15:restartNumberingAfterBreak="0">
    <w:nsid w:val="4EA30340"/>
    <w:multiLevelType w:val="hybridMultilevel"/>
    <w:tmpl w:val="B6F0C3DC"/>
    <w:lvl w:ilvl="0" w:tplc="0419000F">
      <w:start w:val="1"/>
      <w:numFmt w:val="decimal"/>
      <w:lvlText w:val="%1."/>
      <w:lvlJc w:val="left"/>
      <w:pPr>
        <w:ind w:left="1068" w:hanging="360"/>
      </w:pPr>
      <w:rPr>
        <w:rFonts w:hint="default"/>
      </w:rPr>
    </w:lvl>
    <w:lvl w:ilvl="1" w:tplc="0CF6ACBC">
      <w:start w:val="1"/>
      <w:numFmt w:val="decimal"/>
      <w:lvlText w:val="%2."/>
      <w:lvlJc w:val="left"/>
      <w:pPr>
        <w:ind w:left="1440" w:hanging="360"/>
      </w:pPr>
      <w:rPr>
        <w:rFonts w:hint="default"/>
      </w:rPr>
    </w:lvl>
    <w:lvl w:ilvl="2" w:tplc="58704C1C">
      <w:start w:val="1"/>
      <w:numFmt w:val="lowerRoman"/>
      <w:lvlText w:val="%3."/>
      <w:lvlJc w:val="right"/>
      <w:pPr>
        <w:ind w:left="2160" w:hanging="180"/>
      </w:pPr>
    </w:lvl>
    <w:lvl w:ilvl="3" w:tplc="547EBF6C">
      <w:start w:val="1"/>
      <w:numFmt w:val="decimal"/>
      <w:lvlText w:val="%4."/>
      <w:lvlJc w:val="left"/>
      <w:pPr>
        <w:ind w:left="2880" w:hanging="360"/>
      </w:pPr>
    </w:lvl>
    <w:lvl w:ilvl="4" w:tplc="21F628DC">
      <w:start w:val="1"/>
      <w:numFmt w:val="lowerLetter"/>
      <w:lvlText w:val="%5."/>
      <w:lvlJc w:val="left"/>
      <w:pPr>
        <w:ind w:left="3600" w:hanging="360"/>
      </w:pPr>
    </w:lvl>
    <w:lvl w:ilvl="5" w:tplc="082CFF88">
      <w:start w:val="1"/>
      <w:numFmt w:val="lowerRoman"/>
      <w:lvlText w:val="%6."/>
      <w:lvlJc w:val="right"/>
      <w:pPr>
        <w:ind w:left="4320" w:hanging="180"/>
      </w:pPr>
    </w:lvl>
    <w:lvl w:ilvl="6" w:tplc="AD2E6324">
      <w:start w:val="1"/>
      <w:numFmt w:val="decimal"/>
      <w:lvlText w:val="%7."/>
      <w:lvlJc w:val="left"/>
      <w:pPr>
        <w:ind w:left="5040" w:hanging="360"/>
      </w:pPr>
    </w:lvl>
    <w:lvl w:ilvl="7" w:tplc="E494B0C4">
      <w:start w:val="1"/>
      <w:numFmt w:val="lowerLetter"/>
      <w:lvlText w:val="%8."/>
      <w:lvlJc w:val="left"/>
      <w:pPr>
        <w:ind w:left="5760" w:hanging="360"/>
      </w:pPr>
    </w:lvl>
    <w:lvl w:ilvl="8" w:tplc="BAA87298">
      <w:start w:val="1"/>
      <w:numFmt w:val="lowerRoman"/>
      <w:lvlText w:val="%9."/>
      <w:lvlJc w:val="right"/>
      <w:pPr>
        <w:ind w:left="6480" w:hanging="180"/>
      </w:pPr>
    </w:lvl>
  </w:abstractNum>
  <w:abstractNum w:abstractNumId="99" w15:restartNumberingAfterBreak="0">
    <w:nsid w:val="4EF30506"/>
    <w:multiLevelType w:val="multilevel"/>
    <w:tmpl w:val="E2FC6E58"/>
    <w:lvl w:ilvl="0">
      <w:start w:val="1"/>
      <w:numFmt w:val="bullet"/>
      <w:lvlText w:val=""/>
      <w:lvlJc w:val="left"/>
      <w:pPr>
        <w:ind w:left="720" w:hanging="360"/>
      </w:pPr>
      <w:rPr>
        <w:rFonts w:ascii="Symbol" w:hAnsi="Symbol" w:cs="Symbol" w:hint="default"/>
        <w:b w:val="0"/>
        <w:sz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4F413584"/>
    <w:multiLevelType w:val="hybridMultilevel"/>
    <w:tmpl w:val="9D82F3E8"/>
    <w:lvl w:ilvl="0" w:tplc="B65A457C">
      <w:start w:val="1"/>
      <w:numFmt w:val="bullet"/>
      <w:lvlText w:val=""/>
      <w:lvlJc w:val="left"/>
      <w:pPr>
        <w:ind w:left="1068" w:hanging="360"/>
      </w:pPr>
      <w:rPr>
        <w:rFonts w:ascii="Symbol" w:hAnsi="Symbol" w:hint="default"/>
      </w:rPr>
    </w:lvl>
    <w:lvl w:ilvl="1" w:tplc="0CF6ACBC">
      <w:start w:val="1"/>
      <w:numFmt w:val="decimal"/>
      <w:lvlText w:val="%2."/>
      <w:lvlJc w:val="left"/>
      <w:pPr>
        <w:ind w:left="1440" w:hanging="360"/>
      </w:pPr>
      <w:rPr>
        <w:rFonts w:hint="default"/>
      </w:rPr>
    </w:lvl>
    <w:lvl w:ilvl="2" w:tplc="58704C1C">
      <w:start w:val="1"/>
      <w:numFmt w:val="lowerRoman"/>
      <w:lvlText w:val="%3."/>
      <w:lvlJc w:val="right"/>
      <w:pPr>
        <w:ind w:left="2160" w:hanging="180"/>
      </w:pPr>
    </w:lvl>
    <w:lvl w:ilvl="3" w:tplc="547EBF6C">
      <w:start w:val="1"/>
      <w:numFmt w:val="decimal"/>
      <w:lvlText w:val="%4."/>
      <w:lvlJc w:val="left"/>
      <w:pPr>
        <w:ind w:left="2880" w:hanging="360"/>
      </w:pPr>
    </w:lvl>
    <w:lvl w:ilvl="4" w:tplc="21F628DC">
      <w:start w:val="1"/>
      <w:numFmt w:val="lowerLetter"/>
      <w:lvlText w:val="%5."/>
      <w:lvlJc w:val="left"/>
      <w:pPr>
        <w:ind w:left="3600" w:hanging="360"/>
      </w:pPr>
    </w:lvl>
    <w:lvl w:ilvl="5" w:tplc="082CFF88">
      <w:start w:val="1"/>
      <w:numFmt w:val="lowerRoman"/>
      <w:lvlText w:val="%6."/>
      <w:lvlJc w:val="right"/>
      <w:pPr>
        <w:ind w:left="4320" w:hanging="180"/>
      </w:pPr>
    </w:lvl>
    <w:lvl w:ilvl="6" w:tplc="AD2E6324">
      <w:start w:val="1"/>
      <w:numFmt w:val="decimal"/>
      <w:lvlText w:val="%7."/>
      <w:lvlJc w:val="left"/>
      <w:pPr>
        <w:ind w:left="5040" w:hanging="360"/>
      </w:pPr>
    </w:lvl>
    <w:lvl w:ilvl="7" w:tplc="E494B0C4">
      <w:start w:val="1"/>
      <w:numFmt w:val="lowerLetter"/>
      <w:lvlText w:val="%8."/>
      <w:lvlJc w:val="left"/>
      <w:pPr>
        <w:ind w:left="5760" w:hanging="360"/>
      </w:pPr>
    </w:lvl>
    <w:lvl w:ilvl="8" w:tplc="BAA87298">
      <w:start w:val="1"/>
      <w:numFmt w:val="lowerRoman"/>
      <w:lvlText w:val="%9."/>
      <w:lvlJc w:val="right"/>
      <w:pPr>
        <w:ind w:left="6480" w:hanging="180"/>
      </w:pPr>
    </w:lvl>
  </w:abstractNum>
  <w:abstractNum w:abstractNumId="101" w15:restartNumberingAfterBreak="0">
    <w:nsid w:val="51557028"/>
    <w:multiLevelType w:val="hybridMultilevel"/>
    <w:tmpl w:val="E0A83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51892B20"/>
    <w:multiLevelType w:val="hybridMultilevel"/>
    <w:tmpl w:val="31C018C6"/>
    <w:lvl w:ilvl="0" w:tplc="0419000F">
      <w:start w:val="1"/>
      <w:numFmt w:val="decimal"/>
      <w:lvlText w:val="%1."/>
      <w:lvlJc w:val="left"/>
      <w:pPr>
        <w:ind w:left="720" w:hanging="360"/>
      </w:pPr>
      <w:rPr>
        <w:rFonts w:cs="Times New Roman"/>
      </w:rPr>
    </w:lvl>
    <w:lvl w:ilvl="1" w:tplc="33D49F48">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3" w15:restartNumberingAfterBreak="0">
    <w:nsid w:val="51A61388"/>
    <w:multiLevelType w:val="hybridMultilevel"/>
    <w:tmpl w:val="946A1EAE"/>
    <w:lvl w:ilvl="0" w:tplc="39EEE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4" w15:restartNumberingAfterBreak="0">
    <w:nsid w:val="51E0408F"/>
    <w:multiLevelType w:val="hybridMultilevel"/>
    <w:tmpl w:val="C5F624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15:restartNumberingAfterBreak="0">
    <w:nsid w:val="53C60F6D"/>
    <w:multiLevelType w:val="hybridMultilevel"/>
    <w:tmpl w:val="7634162C"/>
    <w:lvl w:ilvl="0" w:tplc="D48EC5BE">
      <w:start w:val="1"/>
      <w:numFmt w:val="decimal"/>
      <w:lvlText w:val="%1."/>
      <w:lvlJc w:val="left"/>
      <w:pPr>
        <w:ind w:left="1069" w:hanging="360"/>
      </w:pPr>
      <w:rPr>
        <w:rFonts w:hint="default"/>
        <w:b w:val="0"/>
        <w:bCs/>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6" w15:restartNumberingAfterBreak="0">
    <w:nsid w:val="54B55E7D"/>
    <w:multiLevelType w:val="singleLevel"/>
    <w:tmpl w:val="59D83704"/>
    <w:lvl w:ilvl="0">
      <w:numFmt w:val="bullet"/>
      <w:lvlText w:val="*"/>
      <w:lvlJc w:val="left"/>
    </w:lvl>
  </w:abstractNum>
  <w:abstractNum w:abstractNumId="107" w15:restartNumberingAfterBreak="0">
    <w:nsid w:val="55DD441C"/>
    <w:multiLevelType w:val="multilevel"/>
    <w:tmpl w:val="F758790E"/>
    <w:lvl w:ilvl="0">
      <w:start w:val="1"/>
      <w:numFmt w:val="bullet"/>
      <w:lvlText w:val=""/>
      <w:lvlJc w:val="left"/>
      <w:pPr>
        <w:ind w:left="720" w:hanging="360"/>
      </w:pPr>
      <w:rPr>
        <w:rFonts w:ascii="Symbol" w:hAnsi="Symbol" w:cs="Symbol" w:hint="default"/>
        <w:b w:val="0"/>
        <w:sz w:val="24"/>
      </w:rPr>
    </w:lvl>
    <w:lvl w:ilvl="1">
      <w:start w:val="1"/>
      <w:numFmt w:val="decimal"/>
      <w:lvlText w:val="%2)"/>
      <w:lvlJc w:val="left"/>
      <w:pPr>
        <w:ind w:left="1440" w:hanging="360"/>
      </w:pPr>
      <w:rPr>
        <w:rFonts w:hint="default"/>
      </w:rPr>
    </w:lvl>
    <w:lvl w:ilvl="2">
      <w:start w:val="1"/>
      <w:numFmt w:val="bullet"/>
      <w:lvlText w:val=""/>
      <w:lvlJc w:val="left"/>
      <w:pPr>
        <w:ind w:left="2340" w:hanging="360"/>
      </w:pPr>
      <w:rPr>
        <w:rFonts w:ascii="Symbol" w:hAnsi="Symbol"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8" w15:restartNumberingAfterBreak="0">
    <w:nsid w:val="56D57828"/>
    <w:multiLevelType w:val="hybridMultilevel"/>
    <w:tmpl w:val="051A2E54"/>
    <w:lvl w:ilvl="0" w:tplc="9CFE2CFA">
      <w:start w:val="1"/>
      <w:numFmt w:val="bullet"/>
      <w:pStyle w:val="a0"/>
      <w:lvlText w:val="o"/>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9" w15:restartNumberingAfterBreak="0">
    <w:nsid w:val="581B54C9"/>
    <w:multiLevelType w:val="hybridMultilevel"/>
    <w:tmpl w:val="D34240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15:restartNumberingAfterBreak="0">
    <w:nsid w:val="585C1AAF"/>
    <w:multiLevelType w:val="multilevel"/>
    <w:tmpl w:val="DAFEE6C4"/>
    <w:lvl w:ilvl="0">
      <w:start w:val="1"/>
      <w:numFmt w:val="decimal"/>
      <w:lvlText w:val="%1)"/>
      <w:lvlJc w:val="left"/>
      <w:pPr>
        <w:ind w:left="1428" w:hanging="360"/>
      </w:pPr>
      <w:rPr>
        <w:b w:val="0"/>
        <w:bCs/>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15:restartNumberingAfterBreak="0">
    <w:nsid w:val="58B42E4F"/>
    <w:multiLevelType w:val="hybridMultilevel"/>
    <w:tmpl w:val="9AC87A2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2" w15:restartNumberingAfterBreak="0">
    <w:nsid w:val="59A30498"/>
    <w:multiLevelType w:val="hybridMultilevel"/>
    <w:tmpl w:val="F142F3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15:restartNumberingAfterBreak="0">
    <w:nsid w:val="59C05CD2"/>
    <w:multiLevelType w:val="hybridMultilevel"/>
    <w:tmpl w:val="7C486182"/>
    <w:lvl w:ilvl="0" w:tplc="5E5A3708">
      <w:start w:val="1"/>
      <w:numFmt w:val="decimal"/>
      <w:lvlText w:val="%1."/>
      <w:lvlJc w:val="left"/>
      <w:pPr>
        <w:ind w:left="502" w:hanging="360"/>
      </w:pPr>
      <w:rPr>
        <w:rFonts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4" w15:restartNumberingAfterBreak="0">
    <w:nsid w:val="5AB35D50"/>
    <w:multiLevelType w:val="hybridMultilevel"/>
    <w:tmpl w:val="1E9A5CB6"/>
    <w:lvl w:ilvl="0" w:tplc="26B40C38">
      <w:start w:val="1"/>
      <w:numFmt w:val="bullet"/>
      <w:lvlText w:val=""/>
      <w:lvlJc w:val="left"/>
      <w:pPr>
        <w:ind w:left="1428" w:hanging="360"/>
      </w:pPr>
      <w:rPr>
        <w:rFonts w:ascii="Symbol" w:hAnsi="Symbol" w:hint="default"/>
      </w:rPr>
    </w:lvl>
    <w:lvl w:ilvl="1" w:tplc="3B2EC85C">
      <w:start w:val="1"/>
      <w:numFmt w:val="bullet"/>
      <w:lvlText w:val="o"/>
      <w:lvlJc w:val="left"/>
      <w:pPr>
        <w:ind w:left="2148" w:hanging="360"/>
      </w:pPr>
      <w:rPr>
        <w:rFonts w:ascii="Courier New" w:hAnsi="Courier New" w:cs="Courier New" w:hint="default"/>
      </w:rPr>
    </w:lvl>
    <w:lvl w:ilvl="2" w:tplc="2F9E085C">
      <w:start w:val="1"/>
      <w:numFmt w:val="bullet"/>
      <w:lvlText w:val=""/>
      <w:lvlJc w:val="left"/>
      <w:pPr>
        <w:ind w:left="2868" w:hanging="360"/>
      </w:pPr>
      <w:rPr>
        <w:rFonts w:ascii="Wingdings" w:hAnsi="Wingdings" w:hint="default"/>
      </w:rPr>
    </w:lvl>
    <w:lvl w:ilvl="3" w:tplc="340E811E">
      <w:start w:val="1"/>
      <w:numFmt w:val="bullet"/>
      <w:lvlText w:val=""/>
      <w:lvlJc w:val="left"/>
      <w:pPr>
        <w:ind w:left="3588" w:hanging="360"/>
      </w:pPr>
      <w:rPr>
        <w:rFonts w:ascii="Symbol" w:hAnsi="Symbol" w:hint="default"/>
      </w:rPr>
    </w:lvl>
    <w:lvl w:ilvl="4" w:tplc="FC366D08">
      <w:start w:val="1"/>
      <w:numFmt w:val="bullet"/>
      <w:lvlText w:val="o"/>
      <w:lvlJc w:val="left"/>
      <w:pPr>
        <w:ind w:left="4308" w:hanging="360"/>
      </w:pPr>
      <w:rPr>
        <w:rFonts w:ascii="Courier New" w:hAnsi="Courier New" w:cs="Courier New" w:hint="default"/>
      </w:rPr>
    </w:lvl>
    <w:lvl w:ilvl="5" w:tplc="29B8DC22">
      <w:start w:val="1"/>
      <w:numFmt w:val="bullet"/>
      <w:lvlText w:val=""/>
      <w:lvlJc w:val="left"/>
      <w:pPr>
        <w:ind w:left="5028" w:hanging="360"/>
      </w:pPr>
      <w:rPr>
        <w:rFonts w:ascii="Wingdings" w:hAnsi="Wingdings" w:hint="default"/>
      </w:rPr>
    </w:lvl>
    <w:lvl w:ilvl="6" w:tplc="8E0A9A3A">
      <w:start w:val="1"/>
      <w:numFmt w:val="bullet"/>
      <w:lvlText w:val=""/>
      <w:lvlJc w:val="left"/>
      <w:pPr>
        <w:ind w:left="5748" w:hanging="360"/>
      </w:pPr>
      <w:rPr>
        <w:rFonts w:ascii="Symbol" w:hAnsi="Symbol" w:hint="default"/>
      </w:rPr>
    </w:lvl>
    <w:lvl w:ilvl="7" w:tplc="2004B7FC">
      <w:start w:val="1"/>
      <w:numFmt w:val="bullet"/>
      <w:lvlText w:val="o"/>
      <w:lvlJc w:val="left"/>
      <w:pPr>
        <w:ind w:left="6468" w:hanging="360"/>
      </w:pPr>
      <w:rPr>
        <w:rFonts w:ascii="Courier New" w:hAnsi="Courier New" w:cs="Courier New" w:hint="default"/>
      </w:rPr>
    </w:lvl>
    <w:lvl w:ilvl="8" w:tplc="D71025DE">
      <w:start w:val="1"/>
      <w:numFmt w:val="bullet"/>
      <w:lvlText w:val=""/>
      <w:lvlJc w:val="left"/>
      <w:pPr>
        <w:ind w:left="7188" w:hanging="360"/>
      </w:pPr>
      <w:rPr>
        <w:rFonts w:ascii="Wingdings" w:hAnsi="Wingdings" w:hint="default"/>
      </w:rPr>
    </w:lvl>
  </w:abstractNum>
  <w:abstractNum w:abstractNumId="115" w15:restartNumberingAfterBreak="0">
    <w:nsid w:val="5B0E6EBF"/>
    <w:multiLevelType w:val="hybridMultilevel"/>
    <w:tmpl w:val="ADD2C438"/>
    <w:lvl w:ilvl="0" w:tplc="87207520">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16" w15:restartNumberingAfterBreak="0">
    <w:nsid w:val="5C8C22B6"/>
    <w:multiLevelType w:val="hybridMultilevel"/>
    <w:tmpl w:val="BB82EC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5CBA206A"/>
    <w:multiLevelType w:val="hybridMultilevel"/>
    <w:tmpl w:val="927AEB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5CF55CB1"/>
    <w:multiLevelType w:val="hybridMultilevel"/>
    <w:tmpl w:val="61543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5D0F5891"/>
    <w:multiLevelType w:val="hybridMultilevel"/>
    <w:tmpl w:val="0B704676"/>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0" w15:restartNumberingAfterBreak="0">
    <w:nsid w:val="5D787DAB"/>
    <w:multiLevelType w:val="hybridMultilevel"/>
    <w:tmpl w:val="B32C284C"/>
    <w:lvl w:ilvl="0" w:tplc="59A201B2">
      <w:start w:val="1"/>
      <w:numFmt w:val="bullet"/>
      <w:lvlText w:val=""/>
      <w:lvlJc w:val="left"/>
      <w:pPr>
        <w:ind w:left="1429" w:hanging="360"/>
      </w:pPr>
      <w:rPr>
        <w:rFonts w:ascii="Symbol" w:hAnsi="Symbol" w:hint="default"/>
      </w:rPr>
    </w:lvl>
    <w:lvl w:ilvl="1" w:tplc="04190019">
      <w:start w:val="1"/>
      <w:numFmt w:val="bullet"/>
      <w:lvlText w:val="o"/>
      <w:lvlJc w:val="left"/>
      <w:pPr>
        <w:ind w:left="2149" w:hanging="360"/>
      </w:pPr>
      <w:rPr>
        <w:rFonts w:ascii="Courier New" w:hAnsi="Courier New" w:hint="default"/>
      </w:rPr>
    </w:lvl>
    <w:lvl w:ilvl="2" w:tplc="0419001B">
      <w:start w:val="1"/>
      <w:numFmt w:val="bullet"/>
      <w:lvlText w:val=""/>
      <w:lvlJc w:val="left"/>
      <w:pPr>
        <w:ind w:left="2869" w:hanging="360"/>
      </w:pPr>
      <w:rPr>
        <w:rFonts w:ascii="Wingdings" w:hAnsi="Wingdings" w:hint="default"/>
      </w:rPr>
    </w:lvl>
    <w:lvl w:ilvl="3" w:tplc="0419000F">
      <w:start w:val="1"/>
      <w:numFmt w:val="bullet"/>
      <w:lvlText w:val=""/>
      <w:lvlJc w:val="left"/>
      <w:pPr>
        <w:ind w:left="3589" w:hanging="360"/>
      </w:pPr>
      <w:rPr>
        <w:rFonts w:ascii="Symbol" w:hAnsi="Symbol" w:hint="default"/>
      </w:rPr>
    </w:lvl>
    <w:lvl w:ilvl="4" w:tplc="04190019">
      <w:start w:val="1"/>
      <w:numFmt w:val="bullet"/>
      <w:lvlText w:val="o"/>
      <w:lvlJc w:val="left"/>
      <w:pPr>
        <w:ind w:left="4309" w:hanging="360"/>
      </w:pPr>
      <w:rPr>
        <w:rFonts w:ascii="Courier New" w:hAnsi="Courier New" w:hint="default"/>
      </w:rPr>
    </w:lvl>
    <w:lvl w:ilvl="5" w:tplc="0419001B">
      <w:start w:val="1"/>
      <w:numFmt w:val="bullet"/>
      <w:lvlText w:val=""/>
      <w:lvlJc w:val="left"/>
      <w:pPr>
        <w:ind w:left="5029" w:hanging="360"/>
      </w:pPr>
      <w:rPr>
        <w:rFonts w:ascii="Wingdings" w:hAnsi="Wingdings" w:hint="default"/>
      </w:rPr>
    </w:lvl>
    <w:lvl w:ilvl="6" w:tplc="0419000F">
      <w:start w:val="1"/>
      <w:numFmt w:val="bullet"/>
      <w:lvlText w:val=""/>
      <w:lvlJc w:val="left"/>
      <w:pPr>
        <w:ind w:left="5749" w:hanging="360"/>
      </w:pPr>
      <w:rPr>
        <w:rFonts w:ascii="Symbol" w:hAnsi="Symbol" w:hint="default"/>
      </w:rPr>
    </w:lvl>
    <w:lvl w:ilvl="7" w:tplc="04190019">
      <w:start w:val="1"/>
      <w:numFmt w:val="bullet"/>
      <w:lvlText w:val="o"/>
      <w:lvlJc w:val="left"/>
      <w:pPr>
        <w:ind w:left="6469" w:hanging="360"/>
      </w:pPr>
      <w:rPr>
        <w:rFonts w:ascii="Courier New" w:hAnsi="Courier New" w:hint="default"/>
      </w:rPr>
    </w:lvl>
    <w:lvl w:ilvl="8" w:tplc="0419001B">
      <w:start w:val="1"/>
      <w:numFmt w:val="bullet"/>
      <w:lvlText w:val=""/>
      <w:lvlJc w:val="left"/>
      <w:pPr>
        <w:ind w:left="7189" w:hanging="360"/>
      </w:pPr>
      <w:rPr>
        <w:rFonts w:ascii="Wingdings" w:hAnsi="Wingdings" w:hint="default"/>
      </w:rPr>
    </w:lvl>
  </w:abstractNum>
  <w:abstractNum w:abstractNumId="121" w15:restartNumberingAfterBreak="0">
    <w:nsid w:val="5E57728D"/>
    <w:multiLevelType w:val="hybridMultilevel"/>
    <w:tmpl w:val="57747EAE"/>
    <w:lvl w:ilvl="0" w:tplc="0419000F">
      <w:start w:val="1"/>
      <w:numFmt w:val="decimal"/>
      <w:lvlText w:val="%1."/>
      <w:lvlJc w:val="left"/>
      <w:pPr>
        <w:ind w:left="720" w:hanging="360"/>
      </w:pPr>
      <w:rPr>
        <w:rFonts w:hint="default"/>
      </w:r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15:restartNumberingAfterBreak="0">
    <w:nsid w:val="5F3834EF"/>
    <w:multiLevelType w:val="hybridMultilevel"/>
    <w:tmpl w:val="D11CB15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3" w15:restartNumberingAfterBreak="0">
    <w:nsid w:val="602776A7"/>
    <w:multiLevelType w:val="hybridMultilevel"/>
    <w:tmpl w:val="4EA802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15:restartNumberingAfterBreak="0">
    <w:nsid w:val="602B1DB1"/>
    <w:multiLevelType w:val="multilevel"/>
    <w:tmpl w:val="79CADAFC"/>
    <w:lvl w:ilvl="0">
      <w:start w:val="1"/>
      <w:numFmt w:val="bullet"/>
      <w:lvlText w:val=""/>
      <w:lvlJc w:val="left"/>
      <w:pPr>
        <w:ind w:left="1068" w:hanging="360"/>
      </w:pPr>
      <w:rPr>
        <w:rFonts w:ascii="Symbol" w:hAnsi="Symbol" w:cs="Symbol" w:hint="default"/>
        <w:sz w:val="24"/>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25" w15:restartNumberingAfterBreak="0">
    <w:nsid w:val="60514436"/>
    <w:multiLevelType w:val="hybridMultilevel"/>
    <w:tmpl w:val="91806E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15:restartNumberingAfterBreak="0">
    <w:nsid w:val="6122328E"/>
    <w:multiLevelType w:val="hybridMultilevel"/>
    <w:tmpl w:val="7F320E1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7" w15:restartNumberingAfterBreak="0">
    <w:nsid w:val="6228685B"/>
    <w:multiLevelType w:val="hybridMultilevel"/>
    <w:tmpl w:val="7264E0E6"/>
    <w:lvl w:ilvl="0" w:tplc="0419000F">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8FD68728">
      <w:start w:val="1"/>
      <w:numFmt w:val="decimal"/>
      <w:lvlText w:val="%4."/>
      <w:lvlJc w:val="left"/>
      <w:pPr>
        <w:ind w:left="3087" w:hanging="360"/>
      </w:pPr>
      <w:rPr>
        <w:rFonts w:ascii="Times New Roman" w:eastAsia="Calibri" w:hAnsi="Times New Roman" w:cs="Times New Roman"/>
      </w:r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28" w15:restartNumberingAfterBreak="0">
    <w:nsid w:val="625359FA"/>
    <w:multiLevelType w:val="hybridMultilevel"/>
    <w:tmpl w:val="43F80E00"/>
    <w:lvl w:ilvl="0" w:tplc="7FBA88A6">
      <w:start w:val="1"/>
      <w:numFmt w:val="bullet"/>
      <w:lvlText w:val=""/>
      <w:lvlJc w:val="left"/>
      <w:pPr>
        <w:ind w:left="720" w:hanging="360"/>
      </w:pPr>
      <w:rPr>
        <w:rFonts w:ascii="Symbol" w:hAnsi="Symbol" w:hint="default"/>
      </w:rPr>
    </w:lvl>
    <w:lvl w:ilvl="1" w:tplc="B3149F3E">
      <w:start w:val="1"/>
      <w:numFmt w:val="bullet"/>
      <w:lvlText w:val="o"/>
      <w:lvlJc w:val="left"/>
      <w:pPr>
        <w:ind w:left="1440" w:hanging="360"/>
      </w:pPr>
      <w:rPr>
        <w:rFonts w:ascii="Courier New" w:hAnsi="Courier New" w:cs="Courier New" w:hint="default"/>
      </w:rPr>
    </w:lvl>
    <w:lvl w:ilvl="2" w:tplc="7B7CB654">
      <w:start w:val="1"/>
      <w:numFmt w:val="bullet"/>
      <w:lvlText w:val=""/>
      <w:lvlJc w:val="left"/>
      <w:pPr>
        <w:ind w:left="2160" w:hanging="360"/>
      </w:pPr>
      <w:rPr>
        <w:rFonts w:ascii="Wingdings" w:hAnsi="Wingdings" w:hint="default"/>
      </w:rPr>
    </w:lvl>
    <w:lvl w:ilvl="3" w:tplc="42449486">
      <w:start w:val="1"/>
      <w:numFmt w:val="bullet"/>
      <w:lvlText w:val=""/>
      <w:lvlJc w:val="left"/>
      <w:pPr>
        <w:ind w:left="2880" w:hanging="360"/>
      </w:pPr>
      <w:rPr>
        <w:rFonts w:ascii="Symbol" w:hAnsi="Symbol" w:hint="default"/>
      </w:rPr>
    </w:lvl>
    <w:lvl w:ilvl="4" w:tplc="5C1ACD50">
      <w:start w:val="1"/>
      <w:numFmt w:val="bullet"/>
      <w:lvlText w:val="o"/>
      <w:lvlJc w:val="left"/>
      <w:pPr>
        <w:ind w:left="3600" w:hanging="360"/>
      </w:pPr>
      <w:rPr>
        <w:rFonts w:ascii="Courier New" w:hAnsi="Courier New" w:cs="Courier New" w:hint="default"/>
      </w:rPr>
    </w:lvl>
    <w:lvl w:ilvl="5" w:tplc="01EAC460">
      <w:start w:val="1"/>
      <w:numFmt w:val="bullet"/>
      <w:lvlText w:val=""/>
      <w:lvlJc w:val="left"/>
      <w:pPr>
        <w:ind w:left="4320" w:hanging="360"/>
      </w:pPr>
      <w:rPr>
        <w:rFonts w:ascii="Wingdings" w:hAnsi="Wingdings" w:hint="default"/>
      </w:rPr>
    </w:lvl>
    <w:lvl w:ilvl="6" w:tplc="357E813A">
      <w:start w:val="1"/>
      <w:numFmt w:val="bullet"/>
      <w:lvlText w:val=""/>
      <w:lvlJc w:val="left"/>
      <w:pPr>
        <w:ind w:left="5040" w:hanging="360"/>
      </w:pPr>
      <w:rPr>
        <w:rFonts w:ascii="Symbol" w:hAnsi="Symbol" w:hint="default"/>
      </w:rPr>
    </w:lvl>
    <w:lvl w:ilvl="7" w:tplc="1B362762">
      <w:start w:val="1"/>
      <w:numFmt w:val="bullet"/>
      <w:lvlText w:val="o"/>
      <w:lvlJc w:val="left"/>
      <w:pPr>
        <w:ind w:left="5760" w:hanging="360"/>
      </w:pPr>
      <w:rPr>
        <w:rFonts w:ascii="Courier New" w:hAnsi="Courier New" w:cs="Courier New" w:hint="default"/>
      </w:rPr>
    </w:lvl>
    <w:lvl w:ilvl="8" w:tplc="585C4590">
      <w:start w:val="1"/>
      <w:numFmt w:val="bullet"/>
      <w:lvlText w:val=""/>
      <w:lvlJc w:val="left"/>
      <w:pPr>
        <w:ind w:left="6480" w:hanging="360"/>
      </w:pPr>
      <w:rPr>
        <w:rFonts w:ascii="Wingdings" w:hAnsi="Wingdings" w:hint="default"/>
      </w:rPr>
    </w:lvl>
  </w:abstractNum>
  <w:abstractNum w:abstractNumId="129" w15:restartNumberingAfterBreak="0">
    <w:nsid w:val="62675A40"/>
    <w:multiLevelType w:val="hybridMultilevel"/>
    <w:tmpl w:val="1528F354"/>
    <w:lvl w:ilvl="0" w:tplc="89E234D0">
      <w:start w:val="1"/>
      <w:numFmt w:val="bullet"/>
      <w:lvlText w:val=""/>
      <w:lvlJc w:val="left"/>
      <w:pPr>
        <w:tabs>
          <w:tab w:val="num" w:pos="720"/>
        </w:tabs>
        <w:ind w:left="720" w:hanging="360"/>
      </w:pPr>
      <w:rPr>
        <w:rFonts w:ascii="Wingdings" w:hAnsi="Wingdings" w:hint="default"/>
      </w:rPr>
    </w:lvl>
    <w:lvl w:ilvl="1" w:tplc="83CC9474" w:tentative="1">
      <w:start w:val="1"/>
      <w:numFmt w:val="bullet"/>
      <w:lvlText w:val=""/>
      <w:lvlJc w:val="left"/>
      <w:pPr>
        <w:tabs>
          <w:tab w:val="num" w:pos="1440"/>
        </w:tabs>
        <w:ind w:left="1440" w:hanging="360"/>
      </w:pPr>
      <w:rPr>
        <w:rFonts w:ascii="Wingdings" w:hAnsi="Wingdings" w:hint="default"/>
      </w:rPr>
    </w:lvl>
    <w:lvl w:ilvl="2" w:tplc="91E45A7C" w:tentative="1">
      <w:start w:val="1"/>
      <w:numFmt w:val="bullet"/>
      <w:lvlText w:val=""/>
      <w:lvlJc w:val="left"/>
      <w:pPr>
        <w:tabs>
          <w:tab w:val="num" w:pos="2160"/>
        </w:tabs>
        <w:ind w:left="2160" w:hanging="360"/>
      </w:pPr>
      <w:rPr>
        <w:rFonts w:ascii="Wingdings" w:hAnsi="Wingdings" w:hint="default"/>
      </w:rPr>
    </w:lvl>
    <w:lvl w:ilvl="3" w:tplc="9872CDFA" w:tentative="1">
      <w:start w:val="1"/>
      <w:numFmt w:val="bullet"/>
      <w:lvlText w:val=""/>
      <w:lvlJc w:val="left"/>
      <w:pPr>
        <w:tabs>
          <w:tab w:val="num" w:pos="2880"/>
        </w:tabs>
        <w:ind w:left="2880" w:hanging="360"/>
      </w:pPr>
      <w:rPr>
        <w:rFonts w:ascii="Wingdings" w:hAnsi="Wingdings" w:hint="default"/>
      </w:rPr>
    </w:lvl>
    <w:lvl w:ilvl="4" w:tplc="6DA85EEC" w:tentative="1">
      <w:start w:val="1"/>
      <w:numFmt w:val="bullet"/>
      <w:lvlText w:val=""/>
      <w:lvlJc w:val="left"/>
      <w:pPr>
        <w:tabs>
          <w:tab w:val="num" w:pos="3600"/>
        </w:tabs>
        <w:ind w:left="3600" w:hanging="360"/>
      </w:pPr>
      <w:rPr>
        <w:rFonts w:ascii="Wingdings" w:hAnsi="Wingdings" w:hint="default"/>
      </w:rPr>
    </w:lvl>
    <w:lvl w:ilvl="5" w:tplc="EDBAB3BE" w:tentative="1">
      <w:start w:val="1"/>
      <w:numFmt w:val="bullet"/>
      <w:lvlText w:val=""/>
      <w:lvlJc w:val="left"/>
      <w:pPr>
        <w:tabs>
          <w:tab w:val="num" w:pos="4320"/>
        </w:tabs>
        <w:ind w:left="4320" w:hanging="360"/>
      </w:pPr>
      <w:rPr>
        <w:rFonts w:ascii="Wingdings" w:hAnsi="Wingdings" w:hint="default"/>
      </w:rPr>
    </w:lvl>
    <w:lvl w:ilvl="6" w:tplc="3744B4A4" w:tentative="1">
      <w:start w:val="1"/>
      <w:numFmt w:val="bullet"/>
      <w:lvlText w:val=""/>
      <w:lvlJc w:val="left"/>
      <w:pPr>
        <w:tabs>
          <w:tab w:val="num" w:pos="5040"/>
        </w:tabs>
        <w:ind w:left="5040" w:hanging="360"/>
      </w:pPr>
      <w:rPr>
        <w:rFonts w:ascii="Wingdings" w:hAnsi="Wingdings" w:hint="default"/>
      </w:rPr>
    </w:lvl>
    <w:lvl w:ilvl="7" w:tplc="6ACEDAC8" w:tentative="1">
      <w:start w:val="1"/>
      <w:numFmt w:val="bullet"/>
      <w:lvlText w:val=""/>
      <w:lvlJc w:val="left"/>
      <w:pPr>
        <w:tabs>
          <w:tab w:val="num" w:pos="5760"/>
        </w:tabs>
        <w:ind w:left="5760" w:hanging="360"/>
      </w:pPr>
      <w:rPr>
        <w:rFonts w:ascii="Wingdings" w:hAnsi="Wingdings" w:hint="default"/>
      </w:rPr>
    </w:lvl>
    <w:lvl w:ilvl="8" w:tplc="CC18735C" w:tentative="1">
      <w:start w:val="1"/>
      <w:numFmt w:val="bullet"/>
      <w:lvlText w:val=""/>
      <w:lvlJc w:val="left"/>
      <w:pPr>
        <w:tabs>
          <w:tab w:val="num" w:pos="6480"/>
        </w:tabs>
        <w:ind w:left="6480" w:hanging="360"/>
      </w:pPr>
      <w:rPr>
        <w:rFonts w:ascii="Wingdings" w:hAnsi="Wingdings" w:hint="default"/>
      </w:rPr>
    </w:lvl>
  </w:abstractNum>
  <w:abstractNum w:abstractNumId="130" w15:restartNumberingAfterBreak="0">
    <w:nsid w:val="63AA35FD"/>
    <w:multiLevelType w:val="multilevel"/>
    <w:tmpl w:val="763432BC"/>
    <w:lvl w:ilvl="0">
      <w:start w:val="1"/>
      <w:numFmt w:val="bullet"/>
      <w:pStyle w:val="10"/>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64BF4139"/>
    <w:multiLevelType w:val="hybridMultilevel"/>
    <w:tmpl w:val="BDBA2C9E"/>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2" w15:restartNumberingAfterBreak="0">
    <w:nsid w:val="64E91059"/>
    <w:multiLevelType w:val="hybridMultilevel"/>
    <w:tmpl w:val="9864A21C"/>
    <w:lvl w:ilvl="0" w:tplc="AFFE1112">
      <w:start w:val="1"/>
      <w:numFmt w:val="bullet"/>
      <w:lvlText w:val=""/>
      <w:lvlJc w:val="left"/>
      <w:pPr>
        <w:ind w:left="1428" w:hanging="360"/>
      </w:pPr>
      <w:rPr>
        <w:rFonts w:ascii="Symbol" w:hAnsi="Symbol" w:hint="default"/>
      </w:rPr>
    </w:lvl>
    <w:lvl w:ilvl="1" w:tplc="575CE84C">
      <w:start w:val="1"/>
      <w:numFmt w:val="bullet"/>
      <w:lvlText w:val="o"/>
      <w:lvlJc w:val="left"/>
      <w:pPr>
        <w:ind w:left="2148" w:hanging="360"/>
      </w:pPr>
      <w:rPr>
        <w:rFonts w:ascii="Courier New" w:hAnsi="Courier New" w:cs="Courier New" w:hint="default"/>
      </w:rPr>
    </w:lvl>
    <w:lvl w:ilvl="2" w:tplc="27F43E68">
      <w:start w:val="1"/>
      <w:numFmt w:val="bullet"/>
      <w:lvlText w:val=""/>
      <w:lvlJc w:val="left"/>
      <w:pPr>
        <w:ind w:left="2868" w:hanging="360"/>
      </w:pPr>
      <w:rPr>
        <w:rFonts w:ascii="Wingdings" w:hAnsi="Wingdings" w:hint="default"/>
      </w:rPr>
    </w:lvl>
    <w:lvl w:ilvl="3" w:tplc="6BEA662E">
      <w:start w:val="1"/>
      <w:numFmt w:val="bullet"/>
      <w:lvlText w:val=""/>
      <w:lvlJc w:val="left"/>
      <w:pPr>
        <w:ind w:left="3588" w:hanging="360"/>
      </w:pPr>
      <w:rPr>
        <w:rFonts w:ascii="Symbol" w:hAnsi="Symbol" w:hint="default"/>
      </w:rPr>
    </w:lvl>
    <w:lvl w:ilvl="4" w:tplc="64A80DBE">
      <w:start w:val="1"/>
      <w:numFmt w:val="bullet"/>
      <w:lvlText w:val="o"/>
      <w:lvlJc w:val="left"/>
      <w:pPr>
        <w:ind w:left="4308" w:hanging="360"/>
      </w:pPr>
      <w:rPr>
        <w:rFonts w:ascii="Courier New" w:hAnsi="Courier New" w:cs="Courier New" w:hint="default"/>
      </w:rPr>
    </w:lvl>
    <w:lvl w:ilvl="5" w:tplc="AE58F438">
      <w:start w:val="1"/>
      <w:numFmt w:val="bullet"/>
      <w:lvlText w:val=""/>
      <w:lvlJc w:val="left"/>
      <w:pPr>
        <w:ind w:left="5028" w:hanging="360"/>
      </w:pPr>
      <w:rPr>
        <w:rFonts w:ascii="Wingdings" w:hAnsi="Wingdings" w:hint="default"/>
      </w:rPr>
    </w:lvl>
    <w:lvl w:ilvl="6" w:tplc="B234EC7A">
      <w:start w:val="1"/>
      <w:numFmt w:val="bullet"/>
      <w:lvlText w:val=""/>
      <w:lvlJc w:val="left"/>
      <w:pPr>
        <w:ind w:left="5748" w:hanging="360"/>
      </w:pPr>
      <w:rPr>
        <w:rFonts w:ascii="Symbol" w:hAnsi="Symbol" w:hint="default"/>
      </w:rPr>
    </w:lvl>
    <w:lvl w:ilvl="7" w:tplc="82B25206">
      <w:start w:val="1"/>
      <w:numFmt w:val="bullet"/>
      <w:lvlText w:val="o"/>
      <w:lvlJc w:val="left"/>
      <w:pPr>
        <w:ind w:left="6468" w:hanging="360"/>
      </w:pPr>
      <w:rPr>
        <w:rFonts w:ascii="Courier New" w:hAnsi="Courier New" w:cs="Courier New" w:hint="default"/>
      </w:rPr>
    </w:lvl>
    <w:lvl w:ilvl="8" w:tplc="28082C5C">
      <w:start w:val="1"/>
      <w:numFmt w:val="bullet"/>
      <w:lvlText w:val=""/>
      <w:lvlJc w:val="left"/>
      <w:pPr>
        <w:ind w:left="7188" w:hanging="360"/>
      </w:pPr>
      <w:rPr>
        <w:rFonts w:ascii="Wingdings" w:hAnsi="Wingdings" w:hint="default"/>
      </w:rPr>
    </w:lvl>
  </w:abstractNum>
  <w:abstractNum w:abstractNumId="133" w15:restartNumberingAfterBreak="0">
    <w:nsid w:val="65582988"/>
    <w:multiLevelType w:val="hybridMultilevel"/>
    <w:tmpl w:val="DF66F51E"/>
    <w:lvl w:ilvl="0" w:tplc="74FC6A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4" w15:restartNumberingAfterBreak="0">
    <w:nsid w:val="65890E2C"/>
    <w:multiLevelType w:val="multilevel"/>
    <w:tmpl w:val="2F08A22E"/>
    <w:lvl w:ilvl="0">
      <w:start w:val="1"/>
      <w:numFmt w:val="bullet"/>
      <w:lvlText w:val=""/>
      <w:lvlJc w:val="left"/>
      <w:pPr>
        <w:ind w:left="142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35" w15:restartNumberingAfterBreak="0">
    <w:nsid w:val="65FC491C"/>
    <w:multiLevelType w:val="hybridMultilevel"/>
    <w:tmpl w:val="F8BE31C4"/>
    <w:numStyleLink w:val="1"/>
  </w:abstractNum>
  <w:abstractNum w:abstractNumId="136" w15:restartNumberingAfterBreak="0">
    <w:nsid w:val="66214FEB"/>
    <w:multiLevelType w:val="hybridMultilevel"/>
    <w:tmpl w:val="578E3E5C"/>
    <w:lvl w:ilvl="0" w:tplc="3E6E87E2">
      <w:start w:val="1"/>
      <w:numFmt w:val="bullet"/>
      <w:lvlText w:val=""/>
      <w:lvlJc w:val="left"/>
      <w:pPr>
        <w:ind w:left="1429" w:hanging="360"/>
      </w:pPr>
      <w:rPr>
        <w:rFonts w:ascii="Symbol" w:hAnsi="Symbol" w:hint="default"/>
      </w:rPr>
    </w:lvl>
    <w:lvl w:ilvl="1" w:tplc="86003EB8">
      <w:start w:val="1"/>
      <w:numFmt w:val="bullet"/>
      <w:lvlText w:val="o"/>
      <w:lvlJc w:val="left"/>
      <w:pPr>
        <w:ind w:left="2149" w:hanging="360"/>
      </w:pPr>
      <w:rPr>
        <w:rFonts w:ascii="Courier New" w:hAnsi="Courier New" w:hint="default"/>
      </w:rPr>
    </w:lvl>
    <w:lvl w:ilvl="2" w:tplc="6FC68F86">
      <w:start w:val="1"/>
      <w:numFmt w:val="bullet"/>
      <w:lvlText w:val=""/>
      <w:lvlJc w:val="left"/>
      <w:pPr>
        <w:ind w:left="2869" w:hanging="360"/>
      </w:pPr>
      <w:rPr>
        <w:rFonts w:ascii="Wingdings" w:hAnsi="Wingdings" w:hint="default"/>
      </w:rPr>
    </w:lvl>
    <w:lvl w:ilvl="3" w:tplc="9970F18C">
      <w:start w:val="1"/>
      <w:numFmt w:val="bullet"/>
      <w:lvlText w:val=""/>
      <w:lvlJc w:val="left"/>
      <w:pPr>
        <w:ind w:left="3589" w:hanging="360"/>
      </w:pPr>
      <w:rPr>
        <w:rFonts w:ascii="Symbol" w:hAnsi="Symbol" w:hint="default"/>
      </w:rPr>
    </w:lvl>
    <w:lvl w:ilvl="4" w:tplc="1464A646">
      <w:start w:val="1"/>
      <w:numFmt w:val="bullet"/>
      <w:lvlText w:val="o"/>
      <w:lvlJc w:val="left"/>
      <w:pPr>
        <w:ind w:left="4309" w:hanging="360"/>
      </w:pPr>
      <w:rPr>
        <w:rFonts w:ascii="Courier New" w:hAnsi="Courier New" w:hint="default"/>
      </w:rPr>
    </w:lvl>
    <w:lvl w:ilvl="5" w:tplc="7C52E0AE">
      <w:start w:val="1"/>
      <w:numFmt w:val="bullet"/>
      <w:lvlText w:val=""/>
      <w:lvlJc w:val="left"/>
      <w:pPr>
        <w:ind w:left="5029" w:hanging="360"/>
      </w:pPr>
      <w:rPr>
        <w:rFonts w:ascii="Wingdings" w:hAnsi="Wingdings" w:hint="default"/>
      </w:rPr>
    </w:lvl>
    <w:lvl w:ilvl="6" w:tplc="FE9E9A02">
      <w:start w:val="1"/>
      <w:numFmt w:val="bullet"/>
      <w:lvlText w:val=""/>
      <w:lvlJc w:val="left"/>
      <w:pPr>
        <w:ind w:left="5749" w:hanging="360"/>
      </w:pPr>
      <w:rPr>
        <w:rFonts w:ascii="Symbol" w:hAnsi="Symbol" w:hint="default"/>
      </w:rPr>
    </w:lvl>
    <w:lvl w:ilvl="7" w:tplc="ECCE4C1C">
      <w:start w:val="1"/>
      <w:numFmt w:val="bullet"/>
      <w:lvlText w:val="o"/>
      <w:lvlJc w:val="left"/>
      <w:pPr>
        <w:ind w:left="6469" w:hanging="360"/>
      </w:pPr>
      <w:rPr>
        <w:rFonts w:ascii="Courier New" w:hAnsi="Courier New" w:hint="default"/>
      </w:rPr>
    </w:lvl>
    <w:lvl w:ilvl="8" w:tplc="4F9A36AC">
      <w:start w:val="1"/>
      <w:numFmt w:val="bullet"/>
      <w:lvlText w:val=""/>
      <w:lvlJc w:val="left"/>
      <w:pPr>
        <w:ind w:left="7189" w:hanging="360"/>
      </w:pPr>
      <w:rPr>
        <w:rFonts w:ascii="Wingdings" w:hAnsi="Wingdings" w:hint="default"/>
      </w:rPr>
    </w:lvl>
  </w:abstractNum>
  <w:abstractNum w:abstractNumId="137" w15:restartNumberingAfterBreak="0">
    <w:nsid w:val="67B673E9"/>
    <w:multiLevelType w:val="hybridMultilevel"/>
    <w:tmpl w:val="EE26CB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67BE2026"/>
    <w:multiLevelType w:val="hybridMultilevel"/>
    <w:tmpl w:val="F4C00982"/>
    <w:lvl w:ilvl="0" w:tplc="0419000F">
      <w:start w:val="1"/>
      <w:numFmt w:val="decimal"/>
      <w:lvlText w:val="%1."/>
      <w:lvlJc w:val="left"/>
      <w:pPr>
        <w:ind w:left="1068" w:hanging="360"/>
      </w:pPr>
      <w:rPr>
        <w:rFonts w:hint="default"/>
      </w:rPr>
    </w:lvl>
    <w:lvl w:ilvl="1" w:tplc="0CF6ACBC">
      <w:start w:val="1"/>
      <w:numFmt w:val="decimal"/>
      <w:lvlText w:val="%2."/>
      <w:lvlJc w:val="left"/>
      <w:pPr>
        <w:ind w:left="1440" w:hanging="360"/>
      </w:pPr>
      <w:rPr>
        <w:rFonts w:hint="default"/>
      </w:rPr>
    </w:lvl>
    <w:lvl w:ilvl="2" w:tplc="58704C1C">
      <w:start w:val="1"/>
      <w:numFmt w:val="lowerRoman"/>
      <w:lvlText w:val="%3."/>
      <w:lvlJc w:val="right"/>
      <w:pPr>
        <w:ind w:left="2160" w:hanging="180"/>
      </w:pPr>
    </w:lvl>
    <w:lvl w:ilvl="3" w:tplc="547EBF6C">
      <w:start w:val="1"/>
      <w:numFmt w:val="decimal"/>
      <w:lvlText w:val="%4."/>
      <w:lvlJc w:val="left"/>
      <w:pPr>
        <w:ind w:left="2880" w:hanging="360"/>
      </w:pPr>
    </w:lvl>
    <w:lvl w:ilvl="4" w:tplc="21F628DC">
      <w:start w:val="1"/>
      <w:numFmt w:val="lowerLetter"/>
      <w:lvlText w:val="%5."/>
      <w:lvlJc w:val="left"/>
      <w:pPr>
        <w:ind w:left="3600" w:hanging="360"/>
      </w:pPr>
    </w:lvl>
    <w:lvl w:ilvl="5" w:tplc="082CFF88">
      <w:start w:val="1"/>
      <w:numFmt w:val="lowerRoman"/>
      <w:lvlText w:val="%6."/>
      <w:lvlJc w:val="right"/>
      <w:pPr>
        <w:ind w:left="4320" w:hanging="180"/>
      </w:pPr>
    </w:lvl>
    <w:lvl w:ilvl="6" w:tplc="AD2E6324">
      <w:start w:val="1"/>
      <w:numFmt w:val="decimal"/>
      <w:lvlText w:val="%7."/>
      <w:lvlJc w:val="left"/>
      <w:pPr>
        <w:ind w:left="5040" w:hanging="360"/>
      </w:pPr>
    </w:lvl>
    <w:lvl w:ilvl="7" w:tplc="E494B0C4">
      <w:start w:val="1"/>
      <w:numFmt w:val="lowerLetter"/>
      <w:lvlText w:val="%8."/>
      <w:lvlJc w:val="left"/>
      <w:pPr>
        <w:ind w:left="5760" w:hanging="360"/>
      </w:pPr>
    </w:lvl>
    <w:lvl w:ilvl="8" w:tplc="BAA87298">
      <w:start w:val="1"/>
      <w:numFmt w:val="lowerRoman"/>
      <w:lvlText w:val="%9."/>
      <w:lvlJc w:val="right"/>
      <w:pPr>
        <w:ind w:left="6480" w:hanging="180"/>
      </w:pPr>
    </w:lvl>
  </w:abstractNum>
  <w:abstractNum w:abstractNumId="139" w15:restartNumberingAfterBreak="0">
    <w:nsid w:val="688468BB"/>
    <w:multiLevelType w:val="hybridMultilevel"/>
    <w:tmpl w:val="3F5AC3C2"/>
    <w:lvl w:ilvl="0" w:tplc="9F922CDA">
      <w:start w:val="1"/>
      <w:numFmt w:val="bullet"/>
      <w:lvlText w:val=""/>
      <w:lvlJc w:val="left"/>
      <w:pPr>
        <w:ind w:left="1428" w:hanging="360"/>
      </w:pPr>
      <w:rPr>
        <w:rFonts w:ascii="Symbol" w:hAnsi="Symbol" w:hint="default"/>
      </w:rPr>
    </w:lvl>
    <w:lvl w:ilvl="1" w:tplc="F2147832">
      <w:start w:val="1"/>
      <w:numFmt w:val="bullet"/>
      <w:lvlText w:val="o"/>
      <w:lvlJc w:val="left"/>
      <w:pPr>
        <w:ind w:left="2148" w:hanging="360"/>
      </w:pPr>
      <w:rPr>
        <w:rFonts w:ascii="Courier New" w:hAnsi="Courier New" w:cs="Courier New" w:hint="default"/>
      </w:rPr>
    </w:lvl>
    <w:lvl w:ilvl="2" w:tplc="83467EFA">
      <w:start w:val="1"/>
      <w:numFmt w:val="bullet"/>
      <w:lvlText w:val=""/>
      <w:lvlJc w:val="left"/>
      <w:pPr>
        <w:ind w:left="2868" w:hanging="360"/>
      </w:pPr>
      <w:rPr>
        <w:rFonts w:ascii="Wingdings" w:hAnsi="Wingdings" w:hint="default"/>
      </w:rPr>
    </w:lvl>
    <w:lvl w:ilvl="3" w:tplc="A89E58B0">
      <w:start w:val="1"/>
      <w:numFmt w:val="bullet"/>
      <w:lvlText w:val=""/>
      <w:lvlJc w:val="left"/>
      <w:pPr>
        <w:ind w:left="3588" w:hanging="360"/>
      </w:pPr>
      <w:rPr>
        <w:rFonts w:ascii="Symbol" w:hAnsi="Symbol" w:hint="default"/>
      </w:rPr>
    </w:lvl>
    <w:lvl w:ilvl="4" w:tplc="E58CD5B2">
      <w:start w:val="1"/>
      <w:numFmt w:val="bullet"/>
      <w:lvlText w:val="o"/>
      <w:lvlJc w:val="left"/>
      <w:pPr>
        <w:ind w:left="4308" w:hanging="360"/>
      </w:pPr>
      <w:rPr>
        <w:rFonts w:ascii="Courier New" w:hAnsi="Courier New" w:cs="Courier New" w:hint="default"/>
      </w:rPr>
    </w:lvl>
    <w:lvl w:ilvl="5" w:tplc="C14038A0">
      <w:start w:val="1"/>
      <w:numFmt w:val="bullet"/>
      <w:lvlText w:val=""/>
      <w:lvlJc w:val="left"/>
      <w:pPr>
        <w:ind w:left="5028" w:hanging="360"/>
      </w:pPr>
      <w:rPr>
        <w:rFonts w:ascii="Wingdings" w:hAnsi="Wingdings" w:hint="default"/>
      </w:rPr>
    </w:lvl>
    <w:lvl w:ilvl="6" w:tplc="E1A2B50A">
      <w:start w:val="1"/>
      <w:numFmt w:val="bullet"/>
      <w:lvlText w:val=""/>
      <w:lvlJc w:val="left"/>
      <w:pPr>
        <w:ind w:left="5748" w:hanging="360"/>
      </w:pPr>
      <w:rPr>
        <w:rFonts w:ascii="Symbol" w:hAnsi="Symbol" w:hint="default"/>
      </w:rPr>
    </w:lvl>
    <w:lvl w:ilvl="7" w:tplc="BDF62C10">
      <w:start w:val="1"/>
      <w:numFmt w:val="bullet"/>
      <w:lvlText w:val="o"/>
      <w:lvlJc w:val="left"/>
      <w:pPr>
        <w:ind w:left="6468" w:hanging="360"/>
      </w:pPr>
      <w:rPr>
        <w:rFonts w:ascii="Courier New" w:hAnsi="Courier New" w:cs="Courier New" w:hint="default"/>
      </w:rPr>
    </w:lvl>
    <w:lvl w:ilvl="8" w:tplc="A7804AAE">
      <w:start w:val="1"/>
      <w:numFmt w:val="bullet"/>
      <w:lvlText w:val=""/>
      <w:lvlJc w:val="left"/>
      <w:pPr>
        <w:ind w:left="7188" w:hanging="360"/>
      </w:pPr>
      <w:rPr>
        <w:rFonts w:ascii="Wingdings" w:hAnsi="Wingdings" w:hint="default"/>
      </w:rPr>
    </w:lvl>
  </w:abstractNum>
  <w:abstractNum w:abstractNumId="140" w15:restartNumberingAfterBreak="0">
    <w:nsid w:val="691764A1"/>
    <w:multiLevelType w:val="hybridMultilevel"/>
    <w:tmpl w:val="8F0429F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1" w15:restartNumberingAfterBreak="0">
    <w:nsid w:val="698D0AC0"/>
    <w:multiLevelType w:val="hybridMultilevel"/>
    <w:tmpl w:val="11E85E72"/>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142" w15:restartNumberingAfterBreak="0">
    <w:nsid w:val="69995AA4"/>
    <w:multiLevelType w:val="hybridMultilevel"/>
    <w:tmpl w:val="34E0D3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15:restartNumberingAfterBreak="0">
    <w:nsid w:val="6A150589"/>
    <w:multiLevelType w:val="hybridMultilevel"/>
    <w:tmpl w:val="296EBB58"/>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15:restartNumberingAfterBreak="0">
    <w:nsid w:val="6AFF0605"/>
    <w:multiLevelType w:val="hybridMultilevel"/>
    <w:tmpl w:val="9F60A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6B4618B0"/>
    <w:multiLevelType w:val="hybridMultilevel"/>
    <w:tmpl w:val="46D82FCA"/>
    <w:lvl w:ilvl="0" w:tplc="04190001">
      <w:start w:val="1"/>
      <w:numFmt w:val="decimal"/>
      <w:lvlText w:val="%1."/>
      <w:lvlJc w:val="left"/>
      <w:pPr>
        <w:ind w:left="1069" w:hanging="360"/>
      </w:pPr>
      <w:rPr>
        <w:rFonts w:cs="Times New Roman" w:hint="default"/>
        <w:color w:val="000000"/>
      </w:rPr>
    </w:lvl>
    <w:lvl w:ilvl="1" w:tplc="04190003">
      <w:start w:val="1"/>
      <w:numFmt w:val="lowerLetter"/>
      <w:lvlText w:val="%2."/>
      <w:lvlJc w:val="left"/>
      <w:pPr>
        <w:ind w:left="1789" w:hanging="360"/>
      </w:pPr>
      <w:rPr>
        <w:rFonts w:cs="Times New Roman"/>
      </w:rPr>
    </w:lvl>
    <w:lvl w:ilvl="2" w:tplc="04190005">
      <w:start w:val="1"/>
      <w:numFmt w:val="lowerRoman"/>
      <w:lvlText w:val="%3."/>
      <w:lvlJc w:val="right"/>
      <w:pPr>
        <w:ind w:left="2509" w:hanging="180"/>
      </w:pPr>
      <w:rPr>
        <w:rFonts w:cs="Times New Roman"/>
      </w:rPr>
    </w:lvl>
    <w:lvl w:ilvl="3" w:tplc="04190001">
      <w:start w:val="1"/>
      <w:numFmt w:val="decimal"/>
      <w:lvlText w:val="%4."/>
      <w:lvlJc w:val="left"/>
      <w:pPr>
        <w:ind w:left="3229" w:hanging="360"/>
      </w:pPr>
      <w:rPr>
        <w:rFonts w:cs="Times New Roman"/>
      </w:rPr>
    </w:lvl>
    <w:lvl w:ilvl="4" w:tplc="04190003">
      <w:start w:val="1"/>
      <w:numFmt w:val="lowerLetter"/>
      <w:lvlText w:val="%5."/>
      <w:lvlJc w:val="left"/>
      <w:pPr>
        <w:ind w:left="3949" w:hanging="360"/>
      </w:pPr>
      <w:rPr>
        <w:rFonts w:cs="Times New Roman"/>
      </w:rPr>
    </w:lvl>
    <w:lvl w:ilvl="5" w:tplc="04190005">
      <w:start w:val="1"/>
      <w:numFmt w:val="lowerRoman"/>
      <w:lvlText w:val="%6."/>
      <w:lvlJc w:val="right"/>
      <w:pPr>
        <w:ind w:left="4669" w:hanging="180"/>
      </w:pPr>
      <w:rPr>
        <w:rFonts w:cs="Times New Roman"/>
      </w:rPr>
    </w:lvl>
    <w:lvl w:ilvl="6" w:tplc="04190001">
      <w:start w:val="1"/>
      <w:numFmt w:val="decimal"/>
      <w:lvlText w:val="%7."/>
      <w:lvlJc w:val="left"/>
      <w:pPr>
        <w:ind w:left="5389" w:hanging="360"/>
      </w:pPr>
      <w:rPr>
        <w:rFonts w:cs="Times New Roman"/>
      </w:rPr>
    </w:lvl>
    <w:lvl w:ilvl="7" w:tplc="04190003">
      <w:start w:val="1"/>
      <w:numFmt w:val="lowerLetter"/>
      <w:lvlText w:val="%8."/>
      <w:lvlJc w:val="left"/>
      <w:pPr>
        <w:ind w:left="6109" w:hanging="360"/>
      </w:pPr>
      <w:rPr>
        <w:rFonts w:cs="Times New Roman"/>
      </w:rPr>
    </w:lvl>
    <w:lvl w:ilvl="8" w:tplc="04190005">
      <w:start w:val="1"/>
      <w:numFmt w:val="lowerRoman"/>
      <w:lvlText w:val="%9."/>
      <w:lvlJc w:val="right"/>
      <w:pPr>
        <w:ind w:left="6829" w:hanging="180"/>
      </w:pPr>
      <w:rPr>
        <w:rFonts w:cs="Times New Roman"/>
      </w:rPr>
    </w:lvl>
  </w:abstractNum>
  <w:abstractNum w:abstractNumId="146" w15:restartNumberingAfterBreak="0">
    <w:nsid w:val="6CE277CD"/>
    <w:multiLevelType w:val="hybridMultilevel"/>
    <w:tmpl w:val="F6E2D132"/>
    <w:lvl w:ilvl="0" w:tplc="0419000F">
      <w:start w:val="1"/>
      <w:numFmt w:val="decimal"/>
      <w:lvlText w:val="%1."/>
      <w:lvlJc w:val="left"/>
      <w:pPr>
        <w:ind w:left="720" w:hanging="360"/>
      </w:pPr>
      <w:rPr>
        <w:rFonts w:hint="default"/>
      </w:rPr>
    </w:lvl>
    <w:lvl w:ilvl="1" w:tplc="04190001">
      <w:start w:val="1"/>
      <w:numFmt w:val="bullet"/>
      <w:lvlText w:val=""/>
      <w:lvlJc w:val="left"/>
      <w:pPr>
        <w:ind w:left="1440" w:hanging="360"/>
      </w:pPr>
      <w:rPr>
        <w:rFonts w:ascii="Symbol" w:hAnsi="Symbol"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15:restartNumberingAfterBreak="0">
    <w:nsid w:val="6CF711F5"/>
    <w:multiLevelType w:val="hybridMultilevel"/>
    <w:tmpl w:val="3FB8D84A"/>
    <w:lvl w:ilvl="0" w:tplc="0E60B5AE">
      <w:start w:val="1"/>
      <w:numFmt w:val="bullet"/>
      <w:lvlText w:val=""/>
      <w:lvlJc w:val="left"/>
      <w:pPr>
        <w:ind w:left="1080" w:hanging="360"/>
      </w:pPr>
      <w:rPr>
        <w:rFonts w:ascii="Symbol" w:hAnsi="Symbol" w:hint="default"/>
      </w:rPr>
    </w:lvl>
    <w:lvl w:ilvl="1" w:tplc="7A7E9E72">
      <w:start w:val="1"/>
      <w:numFmt w:val="bullet"/>
      <w:lvlText w:val="o"/>
      <w:lvlJc w:val="left"/>
      <w:pPr>
        <w:ind w:left="1800" w:hanging="360"/>
      </w:pPr>
      <w:rPr>
        <w:rFonts w:ascii="Courier New" w:hAnsi="Courier New" w:cs="Courier New" w:hint="default"/>
      </w:rPr>
    </w:lvl>
    <w:lvl w:ilvl="2" w:tplc="FD5696C2">
      <w:start w:val="1"/>
      <w:numFmt w:val="bullet"/>
      <w:lvlText w:val=""/>
      <w:lvlJc w:val="left"/>
      <w:pPr>
        <w:ind w:left="2520" w:hanging="360"/>
      </w:pPr>
      <w:rPr>
        <w:rFonts w:ascii="Wingdings" w:hAnsi="Wingdings" w:hint="default"/>
      </w:rPr>
    </w:lvl>
    <w:lvl w:ilvl="3" w:tplc="2F44A216">
      <w:start w:val="1"/>
      <w:numFmt w:val="bullet"/>
      <w:lvlText w:val=""/>
      <w:lvlJc w:val="left"/>
      <w:pPr>
        <w:ind w:left="3240" w:hanging="360"/>
      </w:pPr>
      <w:rPr>
        <w:rFonts w:ascii="Symbol" w:hAnsi="Symbol" w:hint="default"/>
      </w:rPr>
    </w:lvl>
    <w:lvl w:ilvl="4" w:tplc="9ECA2EA2">
      <w:start w:val="1"/>
      <w:numFmt w:val="bullet"/>
      <w:lvlText w:val="o"/>
      <w:lvlJc w:val="left"/>
      <w:pPr>
        <w:ind w:left="3960" w:hanging="360"/>
      </w:pPr>
      <w:rPr>
        <w:rFonts w:ascii="Courier New" w:hAnsi="Courier New" w:cs="Courier New" w:hint="default"/>
      </w:rPr>
    </w:lvl>
    <w:lvl w:ilvl="5" w:tplc="4A60B510">
      <w:start w:val="1"/>
      <w:numFmt w:val="bullet"/>
      <w:lvlText w:val=""/>
      <w:lvlJc w:val="left"/>
      <w:pPr>
        <w:ind w:left="4680" w:hanging="360"/>
      </w:pPr>
      <w:rPr>
        <w:rFonts w:ascii="Wingdings" w:hAnsi="Wingdings" w:hint="default"/>
      </w:rPr>
    </w:lvl>
    <w:lvl w:ilvl="6" w:tplc="9826769A">
      <w:start w:val="1"/>
      <w:numFmt w:val="bullet"/>
      <w:lvlText w:val=""/>
      <w:lvlJc w:val="left"/>
      <w:pPr>
        <w:ind w:left="5400" w:hanging="360"/>
      </w:pPr>
      <w:rPr>
        <w:rFonts w:ascii="Symbol" w:hAnsi="Symbol" w:hint="default"/>
      </w:rPr>
    </w:lvl>
    <w:lvl w:ilvl="7" w:tplc="6E52C570">
      <w:start w:val="1"/>
      <w:numFmt w:val="bullet"/>
      <w:lvlText w:val="o"/>
      <w:lvlJc w:val="left"/>
      <w:pPr>
        <w:ind w:left="6120" w:hanging="360"/>
      </w:pPr>
      <w:rPr>
        <w:rFonts w:ascii="Courier New" w:hAnsi="Courier New" w:cs="Courier New" w:hint="default"/>
      </w:rPr>
    </w:lvl>
    <w:lvl w:ilvl="8" w:tplc="DC286868">
      <w:start w:val="1"/>
      <w:numFmt w:val="bullet"/>
      <w:lvlText w:val=""/>
      <w:lvlJc w:val="left"/>
      <w:pPr>
        <w:ind w:left="6840" w:hanging="360"/>
      </w:pPr>
      <w:rPr>
        <w:rFonts w:ascii="Wingdings" w:hAnsi="Wingdings" w:hint="default"/>
      </w:rPr>
    </w:lvl>
  </w:abstractNum>
  <w:abstractNum w:abstractNumId="148" w15:restartNumberingAfterBreak="0">
    <w:nsid w:val="6EFA2964"/>
    <w:multiLevelType w:val="hybridMultilevel"/>
    <w:tmpl w:val="2EF24D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15:restartNumberingAfterBreak="0">
    <w:nsid w:val="6F2B1C15"/>
    <w:multiLevelType w:val="hybridMultilevel"/>
    <w:tmpl w:val="34F63D40"/>
    <w:lvl w:ilvl="0" w:tplc="04190001">
      <w:start w:val="1"/>
      <w:numFmt w:val="bullet"/>
      <w:lvlText w:val=""/>
      <w:lvlJc w:val="left"/>
      <w:pPr>
        <w:ind w:left="1992" w:hanging="360"/>
      </w:pPr>
      <w:rPr>
        <w:rFonts w:ascii="Symbol" w:hAnsi="Symbol" w:hint="default"/>
      </w:rPr>
    </w:lvl>
    <w:lvl w:ilvl="1" w:tplc="04190003" w:tentative="1">
      <w:start w:val="1"/>
      <w:numFmt w:val="bullet"/>
      <w:lvlText w:val="o"/>
      <w:lvlJc w:val="left"/>
      <w:pPr>
        <w:ind w:left="2712" w:hanging="360"/>
      </w:pPr>
      <w:rPr>
        <w:rFonts w:ascii="Courier New" w:hAnsi="Courier New" w:cs="Courier New" w:hint="default"/>
      </w:rPr>
    </w:lvl>
    <w:lvl w:ilvl="2" w:tplc="04190005" w:tentative="1">
      <w:start w:val="1"/>
      <w:numFmt w:val="bullet"/>
      <w:lvlText w:val=""/>
      <w:lvlJc w:val="left"/>
      <w:pPr>
        <w:ind w:left="3432" w:hanging="360"/>
      </w:pPr>
      <w:rPr>
        <w:rFonts w:ascii="Wingdings" w:hAnsi="Wingdings" w:hint="default"/>
      </w:rPr>
    </w:lvl>
    <w:lvl w:ilvl="3" w:tplc="04190001" w:tentative="1">
      <w:start w:val="1"/>
      <w:numFmt w:val="bullet"/>
      <w:lvlText w:val=""/>
      <w:lvlJc w:val="left"/>
      <w:pPr>
        <w:ind w:left="4152" w:hanging="360"/>
      </w:pPr>
      <w:rPr>
        <w:rFonts w:ascii="Symbol" w:hAnsi="Symbol" w:hint="default"/>
      </w:rPr>
    </w:lvl>
    <w:lvl w:ilvl="4" w:tplc="04190003" w:tentative="1">
      <w:start w:val="1"/>
      <w:numFmt w:val="bullet"/>
      <w:lvlText w:val="o"/>
      <w:lvlJc w:val="left"/>
      <w:pPr>
        <w:ind w:left="4872" w:hanging="360"/>
      </w:pPr>
      <w:rPr>
        <w:rFonts w:ascii="Courier New" w:hAnsi="Courier New" w:cs="Courier New" w:hint="default"/>
      </w:rPr>
    </w:lvl>
    <w:lvl w:ilvl="5" w:tplc="04190005" w:tentative="1">
      <w:start w:val="1"/>
      <w:numFmt w:val="bullet"/>
      <w:lvlText w:val=""/>
      <w:lvlJc w:val="left"/>
      <w:pPr>
        <w:ind w:left="5592" w:hanging="360"/>
      </w:pPr>
      <w:rPr>
        <w:rFonts w:ascii="Wingdings" w:hAnsi="Wingdings" w:hint="default"/>
      </w:rPr>
    </w:lvl>
    <w:lvl w:ilvl="6" w:tplc="04190001" w:tentative="1">
      <w:start w:val="1"/>
      <w:numFmt w:val="bullet"/>
      <w:lvlText w:val=""/>
      <w:lvlJc w:val="left"/>
      <w:pPr>
        <w:ind w:left="6312" w:hanging="360"/>
      </w:pPr>
      <w:rPr>
        <w:rFonts w:ascii="Symbol" w:hAnsi="Symbol" w:hint="default"/>
      </w:rPr>
    </w:lvl>
    <w:lvl w:ilvl="7" w:tplc="04190003" w:tentative="1">
      <w:start w:val="1"/>
      <w:numFmt w:val="bullet"/>
      <w:lvlText w:val="o"/>
      <w:lvlJc w:val="left"/>
      <w:pPr>
        <w:ind w:left="7032" w:hanging="360"/>
      </w:pPr>
      <w:rPr>
        <w:rFonts w:ascii="Courier New" w:hAnsi="Courier New" w:cs="Courier New" w:hint="default"/>
      </w:rPr>
    </w:lvl>
    <w:lvl w:ilvl="8" w:tplc="04190005" w:tentative="1">
      <w:start w:val="1"/>
      <w:numFmt w:val="bullet"/>
      <w:lvlText w:val=""/>
      <w:lvlJc w:val="left"/>
      <w:pPr>
        <w:ind w:left="7752" w:hanging="360"/>
      </w:pPr>
      <w:rPr>
        <w:rFonts w:ascii="Wingdings" w:hAnsi="Wingdings" w:hint="default"/>
      </w:rPr>
    </w:lvl>
  </w:abstractNum>
  <w:abstractNum w:abstractNumId="150" w15:restartNumberingAfterBreak="0">
    <w:nsid w:val="700A7B43"/>
    <w:multiLevelType w:val="hybridMultilevel"/>
    <w:tmpl w:val="32F2F2D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51" w15:restartNumberingAfterBreak="0">
    <w:nsid w:val="71470844"/>
    <w:multiLevelType w:val="hybridMultilevel"/>
    <w:tmpl w:val="0C0EAF82"/>
    <w:lvl w:ilvl="0" w:tplc="0419000F">
      <w:start w:val="1"/>
      <w:numFmt w:val="bullet"/>
      <w:lvlText w:val=""/>
      <w:lvlJc w:val="left"/>
      <w:pPr>
        <w:ind w:left="1429" w:hanging="360"/>
      </w:pPr>
      <w:rPr>
        <w:rFonts w:ascii="Symbol" w:hAnsi="Symbol" w:hint="default"/>
      </w:rPr>
    </w:lvl>
    <w:lvl w:ilvl="1" w:tplc="04190019">
      <w:start w:val="1"/>
      <w:numFmt w:val="bullet"/>
      <w:lvlText w:val="o"/>
      <w:lvlJc w:val="left"/>
      <w:pPr>
        <w:ind w:left="2149" w:hanging="360"/>
      </w:pPr>
      <w:rPr>
        <w:rFonts w:ascii="Courier New" w:hAnsi="Courier New" w:hint="default"/>
      </w:rPr>
    </w:lvl>
    <w:lvl w:ilvl="2" w:tplc="0419001B">
      <w:start w:val="1"/>
      <w:numFmt w:val="bullet"/>
      <w:lvlText w:val=""/>
      <w:lvlJc w:val="left"/>
      <w:pPr>
        <w:ind w:left="2869" w:hanging="360"/>
      </w:pPr>
      <w:rPr>
        <w:rFonts w:ascii="Wingdings" w:hAnsi="Wingdings" w:hint="default"/>
      </w:rPr>
    </w:lvl>
    <w:lvl w:ilvl="3" w:tplc="0419000F">
      <w:start w:val="1"/>
      <w:numFmt w:val="bullet"/>
      <w:lvlText w:val=""/>
      <w:lvlJc w:val="left"/>
      <w:pPr>
        <w:ind w:left="3589" w:hanging="360"/>
      </w:pPr>
      <w:rPr>
        <w:rFonts w:ascii="Symbol" w:hAnsi="Symbol" w:hint="default"/>
      </w:rPr>
    </w:lvl>
    <w:lvl w:ilvl="4" w:tplc="04190019">
      <w:start w:val="1"/>
      <w:numFmt w:val="bullet"/>
      <w:lvlText w:val="o"/>
      <w:lvlJc w:val="left"/>
      <w:pPr>
        <w:ind w:left="4309" w:hanging="360"/>
      </w:pPr>
      <w:rPr>
        <w:rFonts w:ascii="Courier New" w:hAnsi="Courier New" w:hint="default"/>
      </w:rPr>
    </w:lvl>
    <w:lvl w:ilvl="5" w:tplc="0419001B">
      <w:start w:val="1"/>
      <w:numFmt w:val="bullet"/>
      <w:lvlText w:val=""/>
      <w:lvlJc w:val="left"/>
      <w:pPr>
        <w:ind w:left="5029" w:hanging="360"/>
      </w:pPr>
      <w:rPr>
        <w:rFonts w:ascii="Wingdings" w:hAnsi="Wingdings" w:hint="default"/>
      </w:rPr>
    </w:lvl>
    <w:lvl w:ilvl="6" w:tplc="0419000F">
      <w:start w:val="1"/>
      <w:numFmt w:val="bullet"/>
      <w:lvlText w:val=""/>
      <w:lvlJc w:val="left"/>
      <w:pPr>
        <w:ind w:left="5749" w:hanging="360"/>
      </w:pPr>
      <w:rPr>
        <w:rFonts w:ascii="Symbol" w:hAnsi="Symbol" w:hint="default"/>
      </w:rPr>
    </w:lvl>
    <w:lvl w:ilvl="7" w:tplc="04190019">
      <w:start w:val="1"/>
      <w:numFmt w:val="bullet"/>
      <w:lvlText w:val="o"/>
      <w:lvlJc w:val="left"/>
      <w:pPr>
        <w:ind w:left="6469" w:hanging="360"/>
      </w:pPr>
      <w:rPr>
        <w:rFonts w:ascii="Courier New" w:hAnsi="Courier New" w:hint="default"/>
      </w:rPr>
    </w:lvl>
    <w:lvl w:ilvl="8" w:tplc="0419001B">
      <w:start w:val="1"/>
      <w:numFmt w:val="bullet"/>
      <w:lvlText w:val=""/>
      <w:lvlJc w:val="left"/>
      <w:pPr>
        <w:ind w:left="7189" w:hanging="360"/>
      </w:pPr>
      <w:rPr>
        <w:rFonts w:ascii="Wingdings" w:hAnsi="Wingdings" w:hint="default"/>
      </w:rPr>
    </w:lvl>
  </w:abstractNum>
  <w:abstractNum w:abstractNumId="152" w15:restartNumberingAfterBreak="0">
    <w:nsid w:val="7264439F"/>
    <w:multiLevelType w:val="hybridMultilevel"/>
    <w:tmpl w:val="911A3D3C"/>
    <w:lvl w:ilvl="0" w:tplc="04190001">
      <w:start w:val="1"/>
      <w:numFmt w:val="decimal"/>
      <w:lvlText w:val="%1."/>
      <w:lvlJc w:val="left"/>
      <w:pPr>
        <w:ind w:left="1069" w:hanging="360"/>
      </w:pPr>
      <w:rPr>
        <w:rFonts w:cs="Times New Roman" w:hint="default"/>
      </w:rPr>
    </w:lvl>
    <w:lvl w:ilvl="1" w:tplc="04190003">
      <w:start w:val="1"/>
      <w:numFmt w:val="lowerLetter"/>
      <w:lvlText w:val="%2."/>
      <w:lvlJc w:val="left"/>
      <w:pPr>
        <w:ind w:left="1789" w:hanging="360"/>
      </w:pPr>
      <w:rPr>
        <w:rFonts w:cs="Times New Roman"/>
      </w:rPr>
    </w:lvl>
    <w:lvl w:ilvl="2" w:tplc="04190005">
      <w:start w:val="1"/>
      <w:numFmt w:val="lowerRoman"/>
      <w:lvlText w:val="%3."/>
      <w:lvlJc w:val="right"/>
      <w:pPr>
        <w:ind w:left="2509" w:hanging="180"/>
      </w:pPr>
      <w:rPr>
        <w:rFonts w:cs="Times New Roman"/>
      </w:rPr>
    </w:lvl>
    <w:lvl w:ilvl="3" w:tplc="04190001">
      <w:start w:val="1"/>
      <w:numFmt w:val="decimal"/>
      <w:lvlText w:val="%4."/>
      <w:lvlJc w:val="left"/>
      <w:pPr>
        <w:ind w:left="3229" w:hanging="360"/>
      </w:pPr>
      <w:rPr>
        <w:rFonts w:cs="Times New Roman"/>
      </w:rPr>
    </w:lvl>
    <w:lvl w:ilvl="4" w:tplc="04190003">
      <w:start w:val="1"/>
      <w:numFmt w:val="lowerLetter"/>
      <w:lvlText w:val="%5."/>
      <w:lvlJc w:val="left"/>
      <w:pPr>
        <w:ind w:left="3949" w:hanging="360"/>
      </w:pPr>
      <w:rPr>
        <w:rFonts w:cs="Times New Roman"/>
      </w:rPr>
    </w:lvl>
    <w:lvl w:ilvl="5" w:tplc="04190005">
      <w:start w:val="1"/>
      <w:numFmt w:val="lowerRoman"/>
      <w:lvlText w:val="%6."/>
      <w:lvlJc w:val="right"/>
      <w:pPr>
        <w:ind w:left="4669" w:hanging="180"/>
      </w:pPr>
      <w:rPr>
        <w:rFonts w:cs="Times New Roman"/>
      </w:rPr>
    </w:lvl>
    <w:lvl w:ilvl="6" w:tplc="04190001">
      <w:start w:val="1"/>
      <w:numFmt w:val="decimal"/>
      <w:lvlText w:val="%7."/>
      <w:lvlJc w:val="left"/>
      <w:pPr>
        <w:ind w:left="5389" w:hanging="360"/>
      </w:pPr>
      <w:rPr>
        <w:rFonts w:cs="Times New Roman"/>
      </w:rPr>
    </w:lvl>
    <w:lvl w:ilvl="7" w:tplc="04190003">
      <w:start w:val="1"/>
      <w:numFmt w:val="lowerLetter"/>
      <w:lvlText w:val="%8."/>
      <w:lvlJc w:val="left"/>
      <w:pPr>
        <w:ind w:left="6109" w:hanging="360"/>
      </w:pPr>
      <w:rPr>
        <w:rFonts w:cs="Times New Roman"/>
      </w:rPr>
    </w:lvl>
    <w:lvl w:ilvl="8" w:tplc="04190005">
      <w:start w:val="1"/>
      <w:numFmt w:val="lowerRoman"/>
      <w:lvlText w:val="%9."/>
      <w:lvlJc w:val="right"/>
      <w:pPr>
        <w:ind w:left="6829" w:hanging="180"/>
      </w:pPr>
      <w:rPr>
        <w:rFonts w:cs="Times New Roman"/>
      </w:rPr>
    </w:lvl>
  </w:abstractNum>
  <w:abstractNum w:abstractNumId="153" w15:restartNumberingAfterBreak="0">
    <w:nsid w:val="728773B1"/>
    <w:multiLevelType w:val="hybridMultilevel"/>
    <w:tmpl w:val="98B4C9C0"/>
    <w:lvl w:ilvl="0" w:tplc="6E760F10">
      <w:start w:val="1"/>
      <w:numFmt w:val="decimal"/>
      <w:lvlText w:val="%1."/>
      <w:lvlJc w:val="left"/>
      <w:pPr>
        <w:ind w:left="720" w:hanging="360"/>
      </w:pPr>
      <w:rPr>
        <w:rFonts w:ascii="Times New Roman" w:eastAsiaTheme="minorHAns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15:restartNumberingAfterBreak="0">
    <w:nsid w:val="72D064B8"/>
    <w:multiLevelType w:val="multilevel"/>
    <w:tmpl w:val="2374A64C"/>
    <w:lvl w:ilvl="0">
      <w:start w:val="1"/>
      <w:numFmt w:val="decimal"/>
      <w:lvlText w:val="%1."/>
      <w:lvlJc w:val="left"/>
      <w:pPr>
        <w:ind w:left="1069" w:hanging="360"/>
      </w:pPr>
      <w:rPr>
        <w:rFonts w:cs="Times New Roman" w:hint="default"/>
      </w:rPr>
    </w:lvl>
    <w:lvl w:ilvl="1">
      <w:start w:val="5"/>
      <w:numFmt w:val="decimal"/>
      <w:isLgl/>
      <w:lvlText w:val="%1.%2."/>
      <w:lvlJc w:val="left"/>
      <w:pPr>
        <w:ind w:left="1069" w:hanging="360"/>
      </w:pPr>
      <w:rPr>
        <w:rFonts w:cs="Times New Roman" w:hint="default"/>
        <w:u w:val="single"/>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155" w15:restartNumberingAfterBreak="0">
    <w:nsid w:val="72D069B0"/>
    <w:multiLevelType w:val="hybridMultilevel"/>
    <w:tmpl w:val="E81AC09A"/>
    <w:lvl w:ilvl="0" w:tplc="D796411A">
      <w:start w:val="1"/>
      <w:numFmt w:val="bullet"/>
      <w:lvlText w:val=""/>
      <w:lvlJc w:val="left"/>
      <w:pPr>
        <w:ind w:left="720" w:hanging="360"/>
      </w:pPr>
      <w:rPr>
        <w:rFonts w:ascii="Symbol" w:hAnsi="Symbol" w:hint="default"/>
        <w:sz w:val="28"/>
      </w:rPr>
    </w:lvl>
    <w:lvl w:ilvl="1" w:tplc="DB303AB0">
      <w:start w:val="1"/>
      <w:numFmt w:val="bullet"/>
      <w:lvlText w:val="o"/>
      <w:lvlJc w:val="left"/>
      <w:pPr>
        <w:ind w:left="1440" w:hanging="360"/>
      </w:pPr>
      <w:rPr>
        <w:rFonts w:ascii="Courier New" w:hAnsi="Courier New" w:hint="default"/>
      </w:rPr>
    </w:lvl>
    <w:lvl w:ilvl="2" w:tplc="BC7C70F6">
      <w:start w:val="1"/>
      <w:numFmt w:val="bullet"/>
      <w:lvlText w:val=""/>
      <w:lvlJc w:val="left"/>
      <w:pPr>
        <w:ind w:left="2160" w:hanging="360"/>
      </w:pPr>
      <w:rPr>
        <w:rFonts w:ascii="Wingdings" w:hAnsi="Wingdings" w:hint="default"/>
      </w:rPr>
    </w:lvl>
    <w:lvl w:ilvl="3" w:tplc="F64E9524">
      <w:start w:val="1"/>
      <w:numFmt w:val="bullet"/>
      <w:lvlText w:val=""/>
      <w:lvlJc w:val="left"/>
      <w:pPr>
        <w:ind w:left="2880" w:hanging="360"/>
      </w:pPr>
      <w:rPr>
        <w:rFonts w:ascii="Symbol" w:hAnsi="Symbol" w:hint="default"/>
      </w:rPr>
    </w:lvl>
    <w:lvl w:ilvl="4" w:tplc="2EEED9AC">
      <w:start w:val="1"/>
      <w:numFmt w:val="bullet"/>
      <w:lvlText w:val="o"/>
      <w:lvlJc w:val="left"/>
      <w:pPr>
        <w:ind w:left="3600" w:hanging="360"/>
      </w:pPr>
      <w:rPr>
        <w:rFonts w:ascii="Courier New" w:hAnsi="Courier New" w:hint="default"/>
      </w:rPr>
    </w:lvl>
    <w:lvl w:ilvl="5" w:tplc="2C6A32E6">
      <w:start w:val="1"/>
      <w:numFmt w:val="bullet"/>
      <w:lvlText w:val=""/>
      <w:lvlJc w:val="left"/>
      <w:pPr>
        <w:ind w:left="4320" w:hanging="360"/>
      </w:pPr>
      <w:rPr>
        <w:rFonts w:ascii="Wingdings" w:hAnsi="Wingdings" w:hint="default"/>
      </w:rPr>
    </w:lvl>
    <w:lvl w:ilvl="6" w:tplc="11FAF612">
      <w:start w:val="1"/>
      <w:numFmt w:val="bullet"/>
      <w:lvlText w:val=""/>
      <w:lvlJc w:val="left"/>
      <w:pPr>
        <w:ind w:left="5040" w:hanging="360"/>
      </w:pPr>
      <w:rPr>
        <w:rFonts w:ascii="Symbol" w:hAnsi="Symbol" w:hint="default"/>
      </w:rPr>
    </w:lvl>
    <w:lvl w:ilvl="7" w:tplc="D0B085A4">
      <w:start w:val="1"/>
      <w:numFmt w:val="bullet"/>
      <w:lvlText w:val="o"/>
      <w:lvlJc w:val="left"/>
      <w:pPr>
        <w:ind w:left="5760" w:hanging="360"/>
      </w:pPr>
      <w:rPr>
        <w:rFonts w:ascii="Courier New" w:hAnsi="Courier New" w:hint="default"/>
      </w:rPr>
    </w:lvl>
    <w:lvl w:ilvl="8" w:tplc="7A929EEA">
      <w:start w:val="1"/>
      <w:numFmt w:val="bullet"/>
      <w:lvlText w:val=""/>
      <w:lvlJc w:val="left"/>
      <w:pPr>
        <w:ind w:left="6480" w:hanging="360"/>
      </w:pPr>
      <w:rPr>
        <w:rFonts w:ascii="Wingdings" w:hAnsi="Wingdings" w:hint="default"/>
      </w:rPr>
    </w:lvl>
  </w:abstractNum>
  <w:abstractNum w:abstractNumId="156" w15:restartNumberingAfterBreak="0">
    <w:nsid w:val="72DF19A5"/>
    <w:multiLevelType w:val="hybridMultilevel"/>
    <w:tmpl w:val="29B8E4BE"/>
    <w:lvl w:ilvl="0" w:tplc="0419000F">
      <w:start w:val="1"/>
      <w:numFmt w:val="decimal"/>
      <w:lvlText w:val="%1."/>
      <w:lvlJc w:val="left"/>
      <w:pPr>
        <w:ind w:left="938" w:hanging="360"/>
      </w:pPr>
      <w:rPr>
        <w:rFonts w:hint="default"/>
        <w:b w:val="0"/>
      </w:rPr>
    </w:lvl>
    <w:lvl w:ilvl="1" w:tplc="04190019">
      <w:start w:val="1"/>
      <w:numFmt w:val="lowerLetter"/>
      <w:lvlText w:val="%2."/>
      <w:lvlJc w:val="left"/>
      <w:pPr>
        <w:ind w:left="5474" w:hanging="360"/>
      </w:pPr>
    </w:lvl>
    <w:lvl w:ilvl="2" w:tplc="0419001B" w:tentative="1">
      <w:start w:val="1"/>
      <w:numFmt w:val="lowerRoman"/>
      <w:lvlText w:val="%3."/>
      <w:lvlJc w:val="right"/>
      <w:pPr>
        <w:ind w:left="2455" w:hanging="180"/>
      </w:pPr>
    </w:lvl>
    <w:lvl w:ilvl="3" w:tplc="0419000F" w:tentative="1">
      <w:start w:val="1"/>
      <w:numFmt w:val="decimal"/>
      <w:lvlText w:val="%4."/>
      <w:lvlJc w:val="left"/>
      <w:pPr>
        <w:ind w:left="3175" w:hanging="360"/>
      </w:pPr>
    </w:lvl>
    <w:lvl w:ilvl="4" w:tplc="04190019" w:tentative="1">
      <w:start w:val="1"/>
      <w:numFmt w:val="lowerLetter"/>
      <w:lvlText w:val="%5."/>
      <w:lvlJc w:val="left"/>
      <w:pPr>
        <w:ind w:left="3895" w:hanging="360"/>
      </w:pPr>
    </w:lvl>
    <w:lvl w:ilvl="5" w:tplc="0419001B" w:tentative="1">
      <w:start w:val="1"/>
      <w:numFmt w:val="lowerRoman"/>
      <w:lvlText w:val="%6."/>
      <w:lvlJc w:val="right"/>
      <w:pPr>
        <w:ind w:left="4615" w:hanging="180"/>
      </w:pPr>
    </w:lvl>
    <w:lvl w:ilvl="6" w:tplc="0419000F" w:tentative="1">
      <w:start w:val="1"/>
      <w:numFmt w:val="decimal"/>
      <w:lvlText w:val="%7."/>
      <w:lvlJc w:val="left"/>
      <w:pPr>
        <w:ind w:left="5335" w:hanging="360"/>
      </w:pPr>
    </w:lvl>
    <w:lvl w:ilvl="7" w:tplc="04190019" w:tentative="1">
      <w:start w:val="1"/>
      <w:numFmt w:val="lowerLetter"/>
      <w:lvlText w:val="%8."/>
      <w:lvlJc w:val="left"/>
      <w:pPr>
        <w:ind w:left="6055" w:hanging="360"/>
      </w:pPr>
    </w:lvl>
    <w:lvl w:ilvl="8" w:tplc="0419001B" w:tentative="1">
      <w:start w:val="1"/>
      <w:numFmt w:val="lowerRoman"/>
      <w:lvlText w:val="%9."/>
      <w:lvlJc w:val="right"/>
      <w:pPr>
        <w:ind w:left="6775" w:hanging="180"/>
      </w:pPr>
    </w:lvl>
  </w:abstractNum>
  <w:abstractNum w:abstractNumId="157" w15:restartNumberingAfterBreak="0">
    <w:nsid w:val="73781A9D"/>
    <w:multiLevelType w:val="hybridMultilevel"/>
    <w:tmpl w:val="52888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745A7484"/>
    <w:multiLevelType w:val="hybridMultilevel"/>
    <w:tmpl w:val="59B87F60"/>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15:restartNumberingAfterBreak="0">
    <w:nsid w:val="74D0303E"/>
    <w:multiLevelType w:val="singleLevel"/>
    <w:tmpl w:val="EE0031CC"/>
    <w:lvl w:ilvl="0">
      <w:numFmt w:val="bullet"/>
      <w:lvlText w:val="*"/>
      <w:lvlJc w:val="left"/>
    </w:lvl>
  </w:abstractNum>
  <w:abstractNum w:abstractNumId="160" w15:restartNumberingAfterBreak="0">
    <w:nsid w:val="757E22E8"/>
    <w:multiLevelType w:val="singleLevel"/>
    <w:tmpl w:val="8C96C890"/>
    <w:lvl w:ilvl="0">
      <w:numFmt w:val="bullet"/>
      <w:lvlText w:val="*"/>
      <w:lvlJc w:val="left"/>
    </w:lvl>
  </w:abstractNum>
  <w:abstractNum w:abstractNumId="161" w15:restartNumberingAfterBreak="0">
    <w:nsid w:val="75C2543E"/>
    <w:multiLevelType w:val="hybridMultilevel"/>
    <w:tmpl w:val="43A231CA"/>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2" w15:restartNumberingAfterBreak="0">
    <w:nsid w:val="75EC3ACA"/>
    <w:multiLevelType w:val="singleLevel"/>
    <w:tmpl w:val="52587BD6"/>
    <w:lvl w:ilvl="0">
      <w:numFmt w:val="bullet"/>
      <w:lvlText w:val="*"/>
      <w:lvlJc w:val="left"/>
    </w:lvl>
  </w:abstractNum>
  <w:abstractNum w:abstractNumId="163" w15:restartNumberingAfterBreak="0">
    <w:nsid w:val="760F7789"/>
    <w:multiLevelType w:val="hybridMultilevel"/>
    <w:tmpl w:val="CDAA66A0"/>
    <w:lvl w:ilvl="0" w:tplc="D4869CE4">
      <w:start w:val="1"/>
      <w:numFmt w:val="bullet"/>
      <w:lvlText w:val=""/>
      <w:lvlJc w:val="left"/>
      <w:pPr>
        <w:ind w:left="1800" w:hanging="360"/>
      </w:pPr>
      <w:rPr>
        <w:rFonts w:ascii="Symbol" w:hAnsi="Symbol" w:hint="default"/>
      </w:rPr>
    </w:lvl>
    <w:lvl w:ilvl="1" w:tplc="5C06DB50">
      <w:start w:val="1"/>
      <w:numFmt w:val="bullet"/>
      <w:lvlText w:val="o"/>
      <w:lvlJc w:val="left"/>
      <w:pPr>
        <w:ind w:left="2520" w:hanging="360"/>
      </w:pPr>
      <w:rPr>
        <w:rFonts w:ascii="Courier New" w:hAnsi="Courier New" w:hint="default"/>
      </w:rPr>
    </w:lvl>
    <w:lvl w:ilvl="2" w:tplc="19E23D40">
      <w:start w:val="1"/>
      <w:numFmt w:val="bullet"/>
      <w:lvlText w:val="§"/>
      <w:lvlJc w:val="left"/>
      <w:pPr>
        <w:ind w:left="3240" w:hanging="360"/>
      </w:pPr>
      <w:rPr>
        <w:rFonts w:ascii="Wingdings" w:hAnsi="Wingdings" w:hint="default"/>
      </w:rPr>
    </w:lvl>
    <w:lvl w:ilvl="3" w:tplc="349A58E4">
      <w:start w:val="1"/>
      <w:numFmt w:val="bullet"/>
      <w:lvlText w:val="·"/>
      <w:lvlJc w:val="left"/>
      <w:pPr>
        <w:ind w:left="3960" w:hanging="360"/>
      </w:pPr>
      <w:rPr>
        <w:rFonts w:ascii="Symbol" w:hAnsi="Symbol" w:hint="default"/>
      </w:rPr>
    </w:lvl>
    <w:lvl w:ilvl="4" w:tplc="95CAE068">
      <w:start w:val="1"/>
      <w:numFmt w:val="bullet"/>
      <w:lvlText w:val="o"/>
      <w:lvlJc w:val="left"/>
      <w:pPr>
        <w:ind w:left="4680" w:hanging="360"/>
      </w:pPr>
      <w:rPr>
        <w:rFonts w:ascii="Courier New" w:hAnsi="Courier New" w:hint="default"/>
      </w:rPr>
    </w:lvl>
    <w:lvl w:ilvl="5" w:tplc="886C3EB4">
      <w:start w:val="1"/>
      <w:numFmt w:val="bullet"/>
      <w:lvlText w:val="§"/>
      <w:lvlJc w:val="left"/>
      <w:pPr>
        <w:ind w:left="5400" w:hanging="360"/>
      </w:pPr>
      <w:rPr>
        <w:rFonts w:ascii="Wingdings" w:hAnsi="Wingdings" w:hint="default"/>
      </w:rPr>
    </w:lvl>
    <w:lvl w:ilvl="6" w:tplc="03FAE4D8">
      <w:start w:val="1"/>
      <w:numFmt w:val="bullet"/>
      <w:lvlText w:val="·"/>
      <w:lvlJc w:val="left"/>
      <w:pPr>
        <w:ind w:left="6120" w:hanging="360"/>
      </w:pPr>
      <w:rPr>
        <w:rFonts w:ascii="Symbol" w:hAnsi="Symbol" w:hint="default"/>
      </w:rPr>
    </w:lvl>
    <w:lvl w:ilvl="7" w:tplc="E702EE44">
      <w:start w:val="1"/>
      <w:numFmt w:val="bullet"/>
      <w:lvlText w:val="o"/>
      <w:lvlJc w:val="left"/>
      <w:pPr>
        <w:ind w:left="6840" w:hanging="360"/>
      </w:pPr>
      <w:rPr>
        <w:rFonts w:ascii="Courier New" w:hAnsi="Courier New" w:hint="default"/>
      </w:rPr>
    </w:lvl>
    <w:lvl w:ilvl="8" w:tplc="3752C4D6">
      <w:start w:val="1"/>
      <w:numFmt w:val="bullet"/>
      <w:lvlText w:val="§"/>
      <w:lvlJc w:val="left"/>
      <w:pPr>
        <w:ind w:left="7560" w:hanging="360"/>
      </w:pPr>
      <w:rPr>
        <w:rFonts w:ascii="Wingdings" w:hAnsi="Wingdings" w:hint="default"/>
      </w:rPr>
    </w:lvl>
  </w:abstractNum>
  <w:abstractNum w:abstractNumId="164" w15:restartNumberingAfterBreak="0">
    <w:nsid w:val="767717B0"/>
    <w:multiLevelType w:val="hybridMultilevel"/>
    <w:tmpl w:val="E056D2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5" w15:restartNumberingAfterBreak="0">
    <w:nsid w:val="767A098F"/>
    <w:multiLevelType w:val="hybridMultilevel"/>
    <w:tmpl w:val="CD04CE36"/>
    <w:lvl w:ilvl="0" w:tplc="04190001">
      <w:start w:val="1"/>
      <w:numFmt w:val="bullet"/>
      <w:lvlText w:val=""/>
      <w:lvlJc w:val="left"/>
      <w:pPr>
        <w:ind w:left="1145" w:hanging="360"/>
      </w:pPr>
      <w:rPr>
        <w:rFonts w:ascii="Symbol" w:hAnsi="Symbol" w:hint="default"/>
      </w:rPr>
    </w:lvl>
    <w:lvl w:ilvl="1" w:tplc="04190003">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66" w15:restartNumberingAfterBreak="0">
    <w:nsid w:val="76C81E5F"/>
    <w:multiLevelType w:val="hybridMultilevel"/>
    <w:tmpl w:val="A644ED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76E4605F"/>
    <w:multiLevelType w:val="hybridMultilevel"/>
    <w:tmpl w:val="D99A684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68" w15:restartNumberingAfterBreak="0">
    <w:nsid w:val="78F23F89"/>
    <w:multiLevelType w:val="hybridMultilevel"/>
    <w:tmpl w:val="6D200488"/>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69" w15:restartNumberingAfterBreak="0">
    <w:nsid w:val="796E5432"/>
    <w:multiLevelType w:val="hybridMultilevel"/>
    <w:tmpl w:val="91501A8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0" w15:restartNumberingAfterBreak="0">
    <w:nsid w:val="79CC6B63"/>
    <w:multiLevelType w:val="hybridMultilevel"/>
    <w:tmpl w:val="9A760E64"/>
    <w:lvl w:ilvl="0" w:tplc="A7444C9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71" w15:restartNumberingAfterBreak="0">
    <w:nsid w:val="79DD6991"/>
    <w:multiLevelType w:val="hybridMultilevel"/>
    <w:tmpl w:val="4B2E8D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15:restartNumberingAfterBreak="0">
    <w:nsid w:val="7B332143"/>
    <w:multiLevelType w:val="hybridMultilevel"/>
    <w:tmpl w:val="7FBA85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15:restartNumberingAfterBreak="0">
    <w:nsid w:val="7DBA29FE"/>
    <w:multiLevelType w:val="hybridMultilevel"/>
    <w:tmpl w:val="CDDCE8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15:restartNumberingAfterBreak="0">
    <w:nsid w:val="7EAF518E"/>
    <w:multiLevelType w:val="hybridMultilevel"/>
    <w:tmpl w:val="D0BA0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7F547EB9"/>
    <w:multiLevelType w:val="hybridMultilevel"/>
    <w:tmpl w:val="975C1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0"/>
  </w:num>
  <w:num w:numId="2">
    <w:abstractNumId w:val="163"/>
  </w:num>
  <w:num w:numId="3">
    <w:abstractNumId w:val="5"/>
  </w:num>
  <w:num w:numId="4">
    <w:abstractNumId w:val="151"/>
  </w:num>
  <w:num w:numId="5">
    <w:abstractNumId w:val="136"/>
  </w:num>
  <w:num w:numId="6">
    <w:abstractNumId w:val="31"/>
  </w:num>
  <w:num w:numId="7">
    <w:abstractNumId w:val="70"/>
  </w:num>
  <w:num w:numId="8">
    <w:abstractNumId w:val="0"/>
    <w:lvlOverride w:ilvl="0">
      <w:lvl w:ilvl="0">
        <w:start w:val="1"/>
        <w:numFmt w:val="bullet"/>
        <w:pStyle w:val="Bullet2"/>
        <w:lvlText w:val="o"/>
        <w:lvlJc w:val="left"/>
        <w:pPr>
          <w:tabs>
            <w:tab w:val="num" w:pos="927"/>
          </w:tabs>
          <w:ind w:left="927" w:hanging="360"/>
        </w:pPr>
        <w:rPr>
          <w:rFonts w:ascii="Courier New" w:hAnsi="Courier New" w:hint="default"/>
        </w:rPr>
      </w:lvl>
    </w:lvlOverride>
  </w:num>
  <w:num w:numId="9">
    <w:abstractNumId w:val="152"/>
  </w:num>
  <w:num w:numId="10">
    <w:abstractNumId w:val="162"/>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1">
    <w:abstractNumId w:val="33"/>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2">
    <w:abstractNumId w:val="83"/>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3">
    <w:abstractNumId w:val="159"/>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4">
    <w:abstractNumId w:val="106"/>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5">
    <w:abstractNumId w:val="160"/>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6">
    <w:abstractNumId w:val="87"/>
  </w:num>
  <w:num w:numId="17">
    <w:abstractNumId w:val="65"/>
  </w:num>
  <w:num w:numId="18">
    <w:abstractNumId w:val="154"/>
  </w:num>
  <w:num w:numId="19">
    <w:abstractNumId w:val="155"/>
  </w:num>
  <w:num w:numId="20">
    <w:abstractNumId w:val="37"/>
  </w:num>
  <w:num w:numId="21">
    <w:abstractNumId w:val="102"/>
  </w:num>
  <w:num w:numId="22">
    <w:abstractNumId w:val="14"/>
  </w:num>
  <w:num w:numId="23">
    <w:abstractNumId w:val="97"/>
  </w:num>
  <w:num w:numId="24">
    <w:abstractNumId w:val="145"/>
  </w:num>
  <w:num w:numId="25">
    <w:abstractNumId w:val="81"/>
  </w:num>
  <w:num w:numId="26">
    <w:abstractNumId w:val="77"/>
  </w:num>
  <w:num w:numId="27">
    <w:abstractNumId w:val="19"/>
  </w:num>
  <w:num w:numId="28">
    <w:abstractNumId w:val="120"/>
  </w:num>
  <w:num w:numId="29">
    <w:abstractNumId w:val="67"/>
  </w:num>
  <w:num w:numId="30">
    <w:abstractNumId w:val="103"/>
  </w:num>
  <w:num w:numId="31">
    <w:abstractNumId w:val="39"/>
  </w:num>
  <w:num w:numId="32">
    <w:abstractNumId w:val="72"/>
  </w:num>
  <w:num w:numId="33">
    <w:abstractNumId w:val="66"/>
  </w:num>
  <w:num w:numId="34">
    <w:abstractNumId w:val="34"/>
  </w:num>
  <w:num w:numId="35">
    <w:abstractNumId w:val="22"/>
  </w:num>
  <w:num w:numId="36">
    <w:abstractNumId w:val="144"/>
  </w:num>
  <w:num w:numId="37">
    <w:abstractNumId w:val="131"/>
  </w:num>
  <w:num w:numId="38">
    <w:abstractNumId w:val="161"/>
  </w:num>
  <w:num w:numId="39">
    <w:abstractNumId w:val="122"/>
  </w:num>
  <w:num w:numId="40">
    <w:abstractNumId w:val="99"/>
  </w:num>
  <w:num w:numId="41">
    <w:abstractNumId w:val="124"/>
  </w:num>
  <w:num w:numId="42">
    <w:abstractNumId w:val="84"/>
  </w:num>
  <w:num w:numId="43">
    <w:abstractNumId w:val="38"/>
  </w:num>
  <w:num w:numId="44">
    <w:abstractNumId w:val="9"/>
  </w:num>
  <w:num w:numId="45">
    <w:abstractNumId w:val="90"/>
  </w:num>
  <w:num w:numId="46">
    <w:abstractNumId w:val="17"/>
  </w:num>
  <w:num w:numId="47">
    <w:abstractNumId w:val="32"/>
  </w:num>
  <w:num w:numId="48">
    <w:abstractNumId w:val="110"/>
  </w:num>
  <w:num w:numId="49">
    <w:abstractNumId w:val="12"/>
  </w:num>
  <w:num w:numId="50">
    <w:abstractNumId w:val="112"/>
  </w:num>
  <w:num w:numId="51">
    <w:abstractNumId w:val="134"/>
  </w:num>
  <w:num w:numId="52">
    <w:abstractNumId w:val="49"/>
  </w:num>
  <w:num w:numId="53">
    <w:abstractNumId w:val="92"/>
  </w:num>
  <w:num w:numId="54">
    <w:abstractNumId w:val="107"/>
  </w:num>
  <w:num w:numId="55">
    <w:abstractNumId w:val="8"/>
  </w:num>
  <w:num w:numId="56">
    <w:abstractNumId w:val="21"/>
  </w:num>
  <w:num w:numId="57">
    <w:abstractNumId w:val="23"/>
  </w:num>
  <w:num w:numId="58">
    <w:abstractNumId w:val="140"/>
  </w:num>
  <w:num w:numId="59">
    <w:abstractNumId w:val="153"/>
  </w:num>
  <w:num w:numId="60">
    <w:abstractNumId w:val="80"/>
  </w:num>
  <w:num w:numId="61">
    <w:abstractNumId w:val="113"/>
  </w:num>
  <w:num w:numId="62">
    <w:abstractNumId w:val="55"/>
  </w:num>
  <w:num w:numId="63">
    <w:abstractNumId w:val="42"/>
  </w:num>
  <w:num w:numId="64">
    <w:abstractNumId w:val="10"/>
  </w:num>
  <w:num w:numId="65">
    <w:abstractNumId w:val="118"/>
  </w:num>
  <w:num w:numId="66">
    <w:abstractNumId w:val="75"/>
  </w:num>
  <w:num w:numId="67">
    <w:abstractNumId w:val="46"/>
  </w:num>
  <w:num w:numId="68">
    <w:abstractNumId w:val="108"/>
  </w:num>
  <w:num w:numId="69">
    <w:abstractNumId w:val="57"/>
  </w:num>
  <w:num w:numId="70">
    <w:abstractNumId w:val="47"/>
  </w:num>
  <w:num w:numId="71">
    <w:abstractNumId w:val="16"/>
  </w:num>
  <w:num w:numId="72">
    <w:abstractNumId w:val="85"/>
  </w:num>
  <w:num w:numId="73">
    <w:abstractNumId w:val="123"/>
  </w:num>
  <w:num w:numId="74">
    <w:abstractNumId w:val="109"/>
  </w:num>
  <w:num w:numId="75">
    <w:abstractNumId w:val="26"/>
  </w:num>
  <w:num w:numId="76">
    <w:abstractNumId w:val="78"/>
  </w:num>
  <w:num w:numId="77">
    <w:abstractNumId w:val="6"/>
  </w:num>
  <w:num w:numId="78">
    <w:abstractNumId w:val="93"/>
  </w:num>
  <w:num w:numId="79">
    <w:abstractNumId w:val="141"/>
  </w:num>
  <w:num w:numId="80">
    <w:abstractNumId w:val="104"/>
  </w:num>
  <w:num w:numId="81">
    <w:abstractNumId w:val="133"/>
  </w:num>
  <w:num w:numId="82">
    <w:abstractNumId w:val="25"/>
  </w:num>
  <w:num w:numId="83">
    <w:abstractNumId w:val="4"/>
  </w:num>
  <w:num w:numId="84">
    <w:abstractNumId w:val="43"/>
  </w:num>
  <w:num w:numId="85">
    <w:abstractNumId w:val="56"/>
  </w:num>
  <w:num w:numId="86">
    <w:abstractNumId w:val="111"/>
  </w:num>
  <w:num w:numId="87">
    <w:abstractNumId w:val="7"/>
  </w:num>
  <w:num w:numId="88">
    <w:abstractNumId w:val="29"/>
  </w:num>
  <w:num w:numId="89">
    <w:abstractNumId w:val="129"/>
  </w:num>
  <w:num w:numId="90">
    <w:abstractNumId w:val="82"/>
  </w:num>
  <w:num w:numId="91">
    <w:abstractNumId w:val="170"/>
  </w:num>
  <w:num w:numId="92">
    <w:abstractNumId w:val="1"/>
  </w:num>
  <w:num w:numId="93">
    <w:abstractNumId w:val="115"/>
  </w:num>
  <w:num w:numId="94">
    <w:abstractNumId w:val="59"/>
  </w:num>
  <w:num w:numId="95">
    <w:abstractNumId w:val="68"/>
  </w:num>
  <w:num w:numId="96">
    <w:abstractNumId w:val="53"/>
  </w:num>
  <w:num w:numId="97">
    <w:abstractNumId w:val="61"/>
  </w:num>
  <w:num w:numId="98">
    <w:abstractNumId w:val="28"/>
  </w:num>
  <w:num w:numId="99">
    <w:abstractNumId w:val="50"/>
  </w:num>
  <w:num w:numId="100">
    <w:abstractNumId w:val="60"/>
  </w:num>
  <w:num w:numId="101">
    <w:abstractNumId w:val="86"/>
  </w:num>
  <w:num w:numId="102">
    <w:abstractNumId w:val="156"/>
  </w:num>
  <w:num w:numId="103">
    <w:abstractNumId w:val="71"/>
  </w:num>
  <w:num w:numId="104">
    <w:abstractNumId w:val="13"/>
  </w:num>
  <w:num w:numId="105">
    <w:abstractNumId w:val="89"/>
  </w:num>
  <w:num w:numId="106">
    <w:abstractNumId w:val="157"/>
  </w:num>
  <w:num w:numId="107">
    <w:abstractNumId w:val="54"/>
  </w:num>
  <w:num w:numId="108">
    <w:abstractNumId w:val="164"/>
  </w:num>
  <w:num w:numId="109">
    <w:abstractNumId w:val="36"/>
  </w:num>
  <w:num w:numId="110">
    <w:abstractNumId w:val="91"/>
  </w:num>
  <w:num w:numId="111">
    <w:abstractNumId w:val="135"/>
  </w:num>
  <w:num w:numId="112">
    <w:abstractNumId w:val="94"/>
  </w:num>
  <w:num w:numId="113">
    <w:abstractNumId w:val="146"/>
  </w:num>
  <w:num w:numId="114">
    <w:abstractNumId w:val="121"/>
  </w:num>
  <w:num w:numId="115">
    <w:abstractNumId w:val="74"/>
  </w:num>
  <w:num w:numId="116">
    <w:abstractNumId w:val="27"/>
  </w:num>
  <w:num w:numId="117">
    <w:abstractNumId w:val="100"/>
  </w:num>
  <w:num w:numId="118">
    <w:abstractNumId w:val="128"/>
  </w:num>
  <w:num w:numId="119">
    <w:abstractNumId w:val="147"/>
  </w:num>
  <w:num w:numId="120">
    <w:abstractNumId w:val="139"/>
  </w:num>
  <w:num w:numId="121">
    <w:abstractNumId w:val="45"/>
  </w:num>
  <w:num w:numId="122">
    <w:abstractNumId w:val="114"/>
  </w:num>
  <w:num w:numId="123">
    <w:abstractNumId w:val="132"/>
  </w:num>
  <w:num w:numId="124">
    <w:abstractNumId w:val="105"/>
  </w:num>
  <w:num w:numId="125">
    <w:abstractNumId w:val="98"/>
  </w:num>
  <w:num w:numId="126">
    <w:abstractNumId w:val="138"/>
  </w:num>
  <w:num w:numId="127">
    <w:abstractNumId w:val="143"/>
  </w:num>
  <w:num w:numId="128">
    <w:abstractNumId w:val="158"/>
  </w:num>
  <w:num w:numId="129">
    <w:abstractNumId w:val="18"/>
  </w:num>
  <w:num w:numId="130">
    <w:abstractNumId w:val="142"/>
  </w:num>
  <w:num w:numId="131">
    <w:abstractNumId w:val="20"/>
  </w:num>
  <w:num w:numId="132">
    <w:abstractNumId w:val="73"/>
  </w:num>
  <w:num w:numId="133">
    <w:abstractNumId w:val="48"/>
  </w:num>
  <w:num w:numId="134">
    <w:abstractNumId w:val="95"/>
  </w:num>
  <w:num w:numId="135">
    <w:abstractNumId w:val="169"/>
  </w:num>
  <w:num w:numId="136">
    <w:abstractNumId w:val="96"/>
  </w:num>
  <w:num w:numId="137">
    <w:abstractNumId w:val="127"/>
  </w:num>
  <w:num w:numId="138">
    <w:abstractNumId w:val="3"/>
  </w:num>
  <w:num w:numId="139">
    <w:abstractNumId w:val="41"/>
  </w:num>
  <w:num w:numId="140">
    <w:abstractNumId w:val="11"/>
  </w:num>
  <w:num w:numId="141">
    <w:abstractNumId w:val="148"/>
  </w:num>
  <w:num w:numId="142">
    <w:abstractNumId w:val="174"/>
  </w:num>
  <w:num w:numId="143">
    <w:abstractNumId w:val="69"/>
  </w:num>
  <w:num w:numId="144">
    <w:abstractNumId w:val="58"/>
  </w:num>
  <w:num w:numId="145">
    <w:abstractNumId w:val="52"/>
  </w:num>
  <w:num w:numId="146">
    <w:abstractNumId w:val="166"/>
  </w:num>
  <w:num w:numId="147">
    <w:abstractNumId w:val="173"/>
  </w:num>
  <w:num w:numId="148">
    <w:abstractNumId w:val="30"/>
  </w:num>
  <w:num w:numId="149">
    <w:abstractNumId w:val="125"/>
  </w:num>
  <w:num w:numId="150">
    <w:abstractNumId w:val="24"/>
  </w:num>
  <w:num w:numId="151">
    <w:abstractNumId w:val="2"/>
  </w:num>
  <w:num w:numId="152">
    <w:abstractNumId w:val="64"/>
  </w:num>
  <w:num w:numId="153">
    <w:abstractNumId w:val="149"/>
  </w:num>
  <w:num w:numId="154">
    <w:abstractNumId w:val="44"/>
  </w:num>
  <w:num w:numId="155">
    <w:abstractNumId w:val="40"/>
  </w:num>
  <w:num w:numId="156">
    <w:abstractNumId w:val="88"/>
  </w:num>
  <w:num w:numId="157">
    <w:abstractNumId w:val="35"/>
  </w:num>
  <w:num w:numId="158">
    <w:abstractNumId w:val="171"/>
  </w:num>
  <w:num w:numId="159">
    <w:abstractNumId w:val="172"/>
  </w:num>
  <w:num w:numId="160">
    <w:abstractNumId w:val="116"/>
  </w:num>
  <w:num w:numId="161">
    <w:abstractNumId w:val="175"/>
  </w:num>
  <w:num w:numId="162">
    <w:abstractNumId w:val="62"/>
  </w:num>
  <w:num w:numId="163">
    <w:abstractNumId w:val="51"/>
  </w:num>
  <w:num w:numId="164">
    <w:abstractNumId w:val="137"/>
  </w:num>
  <w:num w:numId="165">
    <w:abstractNumId w:val="117"/>
  </w:num>
  <w:num w:numId="166">
    <w:abstractNumId w:val="101"/>
  </w:num>
  <w:num w:numId="167">
    <w:abstractNumId w:val="76"/>
  </w:num>
  <w:num w:numId="168">
    <w:abstractNumId w:val="165"/>
  </w:num>
  <w:num w:numId="169">
    <w:abstractNumId w:val="79"/>
  </w:num>
  <w:num w:numId="170">
    <w:abstractNumId w:val="126"/>
  </w:num>
  <w:num w:numId="171">
    <w:abstractNumId w:val="63"/>
  </w:num>
  <w:num w:numId="172">
    <w:abstractNumId w:val="168"/>
  </w:num>
  <w:num w:numId="173">
    <w:abstractNumId w:val="15"/>
  </w:num>
  <w:num w:numId="174">
    <w:abstractNumId w:val="150"/>
  </w:num>
  <w:num w:numId="175">
    <w:abstractNumId w:val="167"/>
  </w:num>
  <w:num w:numId="176">
    <w:abstractNumId w:val="119"/>
  </w:num>
  <w:numIdMacAtCleanup w:val="1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8"/>
  <w:doNotHyphenateCaps/>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BA3"/>
    <w:rsid w:val="000006A9"/>
    <w:rsid w:val="000029EB"/>
    <w:rsid w:val="00002B9A"/>
    <w:rsid w:val="000040AC"/>
    <w:rsid w:val="00012C71"/>
    <w:rsid w:val="00013A55"/>
    <w:rsid w:val="000145A7"/>
    <w:rsid w:val="00017C47"/>
    <w:rsid w:val="00021A82"/>
    <w:rsid w:val="00022F7A"/>
    <w:rsid w:val="0002357D"/>
    <w:rsid w:val="00027B9E"/>
    <w:rsid w:val="000308B0"/>
    <w:rsid w:val="00034FF0"/>
    <w:rsid w:val="000358BD"/>
    <w:rsid w:val="00040EAD"/>
    <w:rsid w:val="0004204E"/>
    <w:rsid w:val="0004401F"/>
    <w:rsid w:val="0004555D"/>
    <w:rsid w:val="00046587"/>
    <w:rsid w:val="0005025B"/>
    <w:rsid w:val="00051444"/>
    <w:rsid w:val="00052EAE"/>
    <w:rsid w:val="00054DA5"/>
    <w:rsid w:val="00056024"/>
    <w:rsid w:val="00062A47"/>
    <w:rsid w:val="00063E12"/>
    <w:rsid w:val="000651F3"/>
    <w:rsid w:val="00066AD6"/>
    <w:rsid w:val="00066ED6"/>
    <w:rsid w:val="00070CC8"/>
    <w:rsid w:val="0007124C"/>
    <w:rsid w:val="0007131B"/>
    <w:rsid w:val="000718A1"/>
    <w:rsid w:val="000718B3"/>
    <w:rsid w:val="00075D02"/>
    <w:rsid w:val="00075E30"/>
    <w:rsid w:val="000804DC"/>
    <w:rsid w:val="0008053D"/>
    <w:rsid w:val="00080E0A"/>
    <w:rsid w:val="00081310"/>
    <w:rsid w:val="00081488"/>
    <w:rsid w:val="00082C31"/>
    <w:rsid w:val="0008621C"/>
    <w:rsid w:val="00086C83"/>
    <w:rsid w:val="000942ED"/>
    <w:rsid w:val="0009447F"/>
    <w:rsid w:val="000A2016"/>
    <w:rsid w:val="000A23D0"/>
    <w:rsid w:val="000A3125"/>
    <w:rsid w:val="000A34C7"/>
    <w:rsid w:val="000A4642"/>
    <w:rsid w:val="000A716B"/>
    <w:rsid w:val="000A7346"/>
    <w:rsid w:val="000B092D"/>
    <w:rsid w:val="000B0E8B"/>
    <w:rsid w:val="000B21D9"/>
    <w:rsid w:val="000B22EE"/>
    <w:rsid w:val="000B3B25"/>
    <w:rsid w:val="000B5FA5"/>
    <w:rsid w:val="000C3B01"/>
    <w:rsid w:val="000C55A5"/>
    <w:rsid w:val="000C70A6"/>
    <w:rsid w:val="000C79F3"/>
    <w:rsid w:val="000C7EBA"/>
    <w:rsid w:val="000C7EF5"/>
    <w:rsid w:val="000D0A1B"/>
    <w:rsid w:val="000D1075"/>
    <w:rsid w:val="000D21B1"/>
    <w:rsid w:val="000D2CA0"/>
    <w:rsid w:val="000D5D23"/>
    <w:rsid w:val="000E38D2"/>
    <w:rsid w:val="000E481E"/>
    <w:rsid w:val="000E50F7"/>
    <w:rsid w:val="000E573B"/>
    <w:rsid w:val="000E6EA0"/>
    <w:rsid w:val="000E7254"/>
    <w:rsid w:val="000F18E0"/>
    <w:rsid w:val="000F24BB"/>
    <w:rsid w:val="000F3EC6"/>
    <w:rsid w:val="000F4F19"/>
    <w:rsid w:val="000F5DF0"/>
    <w:rsid w:val="000F763D"/>
    <w:rsid w:val="000F7CF2"/>
    <w:rsid w:val="0010109D"/>
    <w:rsid w:val="001028E7"/>
    <w:rsid w:val="00102D7D"/>
    <w:rsid w:val="00103F68"/>
    <w:rsid w:val="0010536B"/>
    <w:rsid w:val="00105C9D"/>
    <w:rsid w:val="00107E7B"/>
    <w:rsid w:val="00111603"/>
    <w:rsid w:val="00111E64"/>
    <w:rsid w:val="00113507"/>
    <w:rsid w:val="001137E4"/>
    <w:rsid w:val="00113DB3"/>
    <w:rsid w:val="00113EDB"/>
    <w:rsid w:val="00114B3F"/>
    <w:rsid w:val="00115F51"/>
    <w:rsid w:val="00120E8B"/>
    <w:rsid w:val="00120F30"/>
    <w:rsid w:val="001217F5"/>
    <w:rsid w:val="00121CA8"/>
    <w:rsid w:val="00121CC1"/>
    <w:rsid w:val="00121E6A"/>
    <w:rsid w:val="00122C4B"/>
    <w:rsid w:val="001236E0"/>
    <w:rsid w:val="0012388D"/>
    <w:rsid w:val="001264E7"/>
    <w:rsid w:val="00135233"/>
    <w:rsid w:val="001353C0"/>
    <w:rsid w:val="001375E2"/>
    <w:rsid w:val="001376CC"/>
    <w:rsid w:val="00140AE8"/>
    <w:rsid w:val="001410BF"/>
    <w:rsid w:val="0014278F"/>
    <w:rsid w:val="00144100"/>
    <w:rsid w:val="00145179"/>
    <w:rsid w:val="00145301"/>
    <w:rsid w:val="0014629E"/>
    <w:rsid w:val="001462C7"/>
    <w:rsid w:val="00146FA3"/>
    <w:rsid w:val="00147B51"/>
    <w:rsid w:val="00157BF3"/>
    <w:rsid w:val="00160E2E"/>
    <w:rsid w:val="0016154B"/>
    <w:rsid w:val="00166A55"/>
    <w:rsid w:val="0016750C"/>
    <w:rsid w:val="00170F52"/>
    <w:rsid w:val="00172219"/>
    <w:rsid w:val="0017286A"/>
    <w:rsid w:val="001728DA"/>
    <w:rsid w:val="00173CFB"/>
    <w:rsid w:val="00177783"/>
    <w:rsid w:val="00177B53"/>
    <w:rsid w:val="00180F03"/>
    <w:rsid w:val="00182A20"/>
    <w:rsid w:val="001838C8"/>
    <w:rsid w:val="00184339"/>
    <w:rsid w:val="0018447C"/>
    <w:rsid w:val="001847EC"/>
    <w:rsid w:val="00184BDC"/>
    <w:rsid w:val="00186E11"/>
    <w:rsid w:val="00187244"/>
    <w:rsid w:val="00187BA3"/>
    <w:rsid w:val="00190436"/>
    <w:rsid w:val="00191BBF"/>
    <w:rsid w:val="00192409"/>
    <w:rsid w:val="00193FCD"/>
    <w:rsid w:val="001953B4"/>
    <w:rsid w:val="00195A10"/>
    <w:rsid w:val="00195B9E"/>
    <w:rsid w:val="001964A8"/>
    <w:rsid w:val="001A0106"/>
    <w:rsid w:val="001A011F"/>
    <w:rsid w:val="001A23E5"/>
    <w:rsid w:val="001A5278"/>
    <w:rsid w:val="001A6C34"/>
    <w:rsid w:val="001B032A"/>
    <w:rsid w:val="001B0782"/>
    <w:rsid w:val="001B1186"/>
    <w:rsid w:val="001B1E6A"/>
    <w:rsid w:val="001B1ECE"/>
    <w:rsid w:val="001B44CD"/>
    <w:rsid w:val="001B533F"/>
    <w:rsid w:val="001B6842"/>
    <w:rsid w:val="001B6E88"/>
    <w:rsid w:val="001C093F"/>
    <w:rsid w:val="001C0DEA"/>
    <w:rsid w:val="001C1A22"/>
    <w:rsid w:val="001C2107"/>
    <w:rsid w:val="001C27F6"/>
    <w:rsid w:val="001C2B55"/>
    <w:rsid w:val="001C516C"/>
    <w:rsid w:val="001C5967"/>
    <w:rsid w:val="001C75AB"/>
    <w:rsid w:val="001D0596"/>
    <w:rsid w:val="001D08F7"/>
    <w:rsid w:val="001D0D6C"/>
    <w:rsid w:val="001D110A"/>
    <w:rsid w:val="001D4A65"/>
    <w:rsid w:val="001D50C7"/>
    <w:rsid w:val="001D5C09"/>
    <w:rsid w:val="001E001D"/>
    <w:rsid w:val="001E2688"/>
    <w:rsid w:val="001E3EF7"/>
    <w:rsid w:val="001E61B1"/>
    <w:rsid w:val="001E6752"/>
    <w:rsid w:val="001E6DAD"/>
    <w:rsid w:val="001E6E70"/>
    <w:rsid w:val="001F07E3"/>
    <w:rsid w:val="001F0D87"/>
    <w:rsid w:val="001F15A6"/>
    <w:rsid w:val="001F1C0F"/>
    <w:rsid w:val="001F1DA7"/>
    <w:rsid w:val="001F1FF9"/>
    <w:rsid w:val="001F283B"/>
    <w:rsid w:val="002008E0"/>
    <w:rsid w:val="0020105C"/>
    <w:rsid w:val="00202464"/>
    <w:rsid w:val="00202CE9"/>
    <w:rsid w:val="00203FEF"/>
    <w:rsid w:val="0020444C"/>
    <w:rsid w:val="002048B7"/>
    <w:rsid w:val="002063EF"/>
    <w:rsid w:val="00207CDE"/>
    <w:rsid w:val="002121AE"/>
    <w:rsid w:val="00213411"/>
    <w:rsid w:val="0021404B"/>
    <w:rsid w:val="0021488B"/>
    <w:rsid w:val="00215F06"/>
    <w:rsid w:val="002203BE"/>
    <w:rsid w:val="00220E3D"/>
    <w:rsid w:val="00222C3C"/>
    <w:rsid w:val="00222E83"/>
    <w:rsid w:val="00224108"/>
    <w:rsid w:val="00225C59"/>
    <w:rsid w:val="00230C1D"/>
    <w:rsid w:val="002312E3"/>
    <w:rsid w:val="00231E2C"/>
    <w:rsid w:val="00232E51"/>
    <w:rsid w:val="00234400"/>
    <w:rsid w:val="002350E0"/>
    <w:rsid w:val="002354F7"/>
    <w:rsid w:val="00235807"/>
    <w:rsid w:val="00236125"/>
    <w:rsid w:val="00241BD3"/>
    <w:rsid w:val="0024307A"/>
    <w:rsid w:val="00243805"/>
    <w:rsid w:val="002438B4"/>
    <w:rsid w:val="00244156"/>
    <w:rsid w:val="002467FA"/>
    <w:rsid w:val="00250AED"/>
    <w:rsid w:val="0025128E"/>
    <w:rsid w:val="002527D8"/>
    <w:rsid w:val="00253C2C"/>
    <w:rsid w:val="0025469D"/>
    <w:rsid w:val="00254741"/>
    <w:rsid w:val="00255EFA"/>
    <w:rsid w:val="002573FF"/>
    <w:rsid w:val="00261DE5"/>
    <w:rsid w:val="002630A6"/>
    <w:rsid w:val="002637CD"/>
    <w:rsid w:val="00263D19"/>
    <w:rsid w:val="00264E9E"/>
    <w:rsid w:val="00265186"/>
    <w:rsid w:val="002659D6"/>
    <w:rsid w:val="00266D15"/>
    <w:rsid w:val="002701C3"/>
    <w:rsid w:val="002702D4"/>
    <w:rsid w:val="002713DD"/>
    <w:rsid w:val="00273B8C"/>
    <w:rsid w:val="00274921"/>
    <w:rsid w:val="00275349"/>
    <w:rsid w:val="00275BAA"/>
    <w:rsid w:val="00277F8C"/>
    <w:rsid w:val="00280102"/>
    <w:rsid w:val="002805C4"/>
    <w:rsid w:val="002805CF"/>
    <w:rsid w:val="00280A05"/>
    <w:rsid w:val="00282C43"/>
    <w:rsid w:val="002857BD"/>
    <w:rsid w:val="002858A6"/>
    <w:rsid w:val="00285C21"/>
    <w:rsid w:val="00286CDE"/>
    <w:rsid w:val="00294F62"/>
    <w:rsid w:val="00295FD0"/>
    <w:rsid w:val="002A0017"/>
    <w:rsid w:val="002A0C02"/>
    <w:rsid w:val="002A2DB6"/>
    <w:rsid w:val="002A32D9"/>
    <w:rsid w:val="002A3398"/>
    <w:rsid w:val="002A4607"/>
    <w:rsid w:val="002A5320"/>
    <w:rsid w:val="002A545C"/>
    <w:rsid w:val="002A5F37"/>
    <w:rsid w:val="002A65D6"/>
    <w:rsid w:val="002A666E"/>
    <w:rsid w:val="002A7BD4"/>
    <w:rsid w:val="002A7FA6"/>
    <w:rsid w:val="002B131F"/>
    <w:rsid w:val="002B2434"/>
    <w:rsid w:val="002B283D"/>
    <w:rsid w:val="002B3564"/>
    <w:rsid w:val="002B5B1F"/>
    <w:rsid w:val="002B7532"/>
    <w:rsid w:val="002B7F04"/>
    <w:rsid w:val="002C006A"/>
    <w:rsid w:val="002C03C8"/>
    <w:rsid w:val="002C1F6C"/>
    <w:rsid w:val="002C37EA"/>
    <w:rsid w:val="002C384D"/>
    <w:rsid w:val="002C441C"/>
    <w:rsid w:val="002C5E93"/>
    <w:rsid w:val="002C6488"/>
    <w:rsid w:val="002C722A"/>
    <w:rsid w:val="002C7763"/>
    <w:rsid w:val="002D4B9D"/>
    <w:rsid w:val="002D5F19"/>
    <w:rsid w:val="002D7F54"/>
    <w:rsid w:val="002E0FF1"/>
    <w:rsid w:val="002E19DF"/>
    <w:rsid w:val="002E27D5"/>
    <w:rsid w:val="002E3519"/>
    <w:rsid w:val="002E390E"/>
    <w:rsid w:val="002E65D7"/>
    <w:rsid w:val="002E67C1"/>
    <w:rsid w:val="002E7985"/>
    <w:rsid w:val="002F1F20"/>
    <w:rsid w:val="002F459C"/>
    <w:rsid w:val="002F4DDD"/>
    <w:rsid w:val="002F7719"/>
    <w:rsid w:val="003024E4"/>
    <w:rsid w:val="00303D65"/>
    <w:rsid w:val="00304DBD"/>
    <w:rsid w:val="003056EF"/>
    <w:rsid w:val="0030574F"/>
    <w:rsid w:val="00305F8C"/>
    <w:rsid w:val="0031168A"/>
    <w:rsid w:val="0031179C"/>
    <w:rsid w:val="00312A07"/>
    <w:rsid w:val="00312B96"/>
    <w:rsid w:val="00312D7F"/>
    <w:rsid w:val="003138DE"/>
    <w:rsid w:val="003146FD"/>
    <w:rsid w:val="00317CA8"/>
    <w:rsid w:val="00321168"/>
    <w:rsid w:val="003213DE"/>
    <w:rsid w:val="0032146E"/>
    <w:rsid w:val="00321978"/>
    <w:rsid w:val="0032236D"/>
    <w:rsid w:val="00325E6E"/>
    <w:rsid w:val="003267F4"/>
    <w:rsid w:val="00327C0A"/>
    <w:rsid w:val="00331AE2"/>
    <w:rsid w:val="00331FB5"/>
    <w:rsid w:val="00333435"/>
    <w:rsid w:val="003346A0"/>
    <w:rsid w:val="00336203"/>
    <w:rsid w:val="00337919"/>
    <w:rsid w:val="00337ED6"/>
    <w:rsid w:val="003408CC"/>
    <w:rsid w:val="003414FE"/>
    <w:rsid w:val="00341710"/>
    <w:rsid w:val="00341F4B"/>
    <w:rsid w:val="00343E0E"/>
    <w:rsid w:val="00347975"/>
    <w:rsid w:val="00351C09"/>
    <w:rsid w:val="003539B2"/>
    <w:rsid w:val="00357624"/>
    <w:rsid w:val="0035768A"/>
    <w:rsid w:val="003626CA"/>
    <w:rsid w:val="00362935"/>
    <w:rsid w:val="00365086"/>
    <w:rsid w:val="0036727F"/>
    <w:rsid w:val="00367FEA"/>
    <w:rsid w:val="003706B9"/>
    <w:rsid w:val="003720F6"/>
    <w:rsid w:val="003722D3"/>
    <w:rsid w:val="00372A34"/>
    <w:rsid w:val="00373918"/>
    <w:rsid w:val="0037490F"/>
    <w:rsid w:val="00377CA8"/>
    <w:rsid w:val="00377CDE"/>
    <w:rsid w:val="00381ACA"/>
    <w:rsid w:val="0038218B"/>
    <w:rsid w:val="00383E55"/>
    <w:rsid w:val="0038733E"/>
    <w:rsid w:val="00390F25"/>
    <w:rsid w:val="00391824"/>
    <w:rsid w:val="003926F1"/>
    <w:rsid w:val="00392C1B"/>
    <w:rsid w:val="003944F8"/>
    <w:rsid w:val="0039607E"/>
    <w:rsid w:val="0039661F"/>
    <w:rsid w:val="0039665E"/>
    <w:rsid w:val="00397031"/>
    <w:rsid w:val="00397795"/>
    <w:rsid w:val="003A42CD"/>
    <w:rsid w:val="003A5453"/>
    <w:rsid w:val="003A54C8"/>
    <w:rsid w:val="003A6208"/>
    <w:rsid w:val="003A73C2"/>
    <w:rsid w:val="003B0EF9"/>
    <w:rsid w:val="003B144B"/>
    <w:rsid w:val="003B22C2"/>
    <w:rsid w:val="003C0FF8"/>
    <w:rsid w:val="003C134D"/>
    <w:rsid w:val="003C540F"/>
    <w:rsid w:val="003C6226"/>
    <w:rsid w:val="003C6691"/>
    <w:rsid w:val="003C6B94"/>
    <w:rsid w:val="003C6D3A"/>
    <w:rsid w:val="003C7A39"/>
    <w:rsid w:val="003C7FD7"/>
    <w:rsid w:val="003D0D96"/>
    <w:rsid w:val="003D210A"/>
    <w:rsid w:val="003D48D5"/>
    <w:rsid w:val="003D58AA"/>
    <w:rsid w:val="003D5CD3"/>
    <w:rsid w:val="003D7200"/>
    <w:rsid w:val="003D73CD"/>
    <w:rsid w:val="003D76E1"/>
    <w:rsid w:val="003E0007"/>
    <w:rsid w:val="003E0CE2"/>
    <w:rsid w:val="003E1488"/>
    <w:rsid w:val="003E24A9"/>
    <w:rsid w:val="003E2733"/>
    <w:rsid w:val="003E2866"/>
    <w:rsid w:val="003E3C2C"/>
    <w:rsid w:val="003E550A"/>
    <w:rsid w:val="003E655A"/>
    <w:rsid w:val="003E77B6"/>
    <w:rsid w:val="003F2780"/>
    <w:rsid w:val="003F6018"/>
    <w:rsid w:val="003F6850"/>
    <w:rsid w:val="00400A77"/>
    <w:rsid w:val="00400A81"/>
    <w:rsid w:val="00400D71"/>
    <w:rsid w:val="00400D83"/>
    <w:rsid w:val="00400F07"/>
    <w:rsid w:val="00401F20"/>
    <w:rsid w:val="00402049"/>
    <w:rsid w:val="00403996"/>
    <w:rsid w:val="00403C59"/>
    <w:rsid w:val="00404EAA"/>
    <w:rsid w:val="004055C5"/>
    <w:rsid w:val="00406BAC"/>
    <w:rsid w:val="00407430"/>
    <w:rsid w:val="004075CA"/>
    <w:rsid w:val="00411EBB"/>
    <w:rsid w:val="00413AF6"/>
    <w:rsid w:val="004140C4"/>
    <w:rsid w:val="004143B8"/>
    <w:rsid w:val="00415A62"/>
    <w:rsid w:val="00416B48"/>
    <w:rsid w:val="0041779C"/>
    <w:rsid w:val="00417D06"/>
    <w:rsid w:val="00423325"/>
    <w:rsid w:val="0042401A"/>
    <w:rsid w:val="00424B14"/>
    <w:rsid w:val="00424B9C"/>
    <w:rsid w:val="00426848"/>
    <w:rsid w:val="00431695"/>
    <w:rsid w:val="00431BB3"/>
    <w:rsid w:val="00433607"/>
    <w:rsid w:val="00433C8D"/>
    <w:rsid w:val="00436BA9"/>
    <w:rsid w:val="00441829"/>
    <w:rsid w:val="0044232A"/>
    <w:rsid w:val="0044738C"/>
    <w:rsid w:val="00455939"/>
    <w:rsid w:val="00456067"/>
    <w:rsid w:val="00457070"/>
    <w:rsid w:val="00457075"/>
    <w:rsid w:val="004600F2"/>
    <w:rsid w:val="00460C33"/>
    <w:rsid w:val="00460CA1"/>
    <w:rsid w:val="00464FDF"/>
    <w:rsid w:val="00467C01"/>
    <w:rsid w:val="00471D31"/>
    <w:rsid w:val="0047435B"/>
    <w:rsid w:val="0047708B"/>
    <w:rsid w:val="00477D31"/>
    <w:rsid w:val="00480770"/>
    <w:rsid w:val="00480EDB"/>
    <w:rsid w:val="00481247"/>
    <w:rsid w:val="0048207C"/>
    <w:rsid w:val="00482C5F"/>
    <w:rsid w:val="00483C4B"/>
    <w:rsid w:val="00485C14"/>
    <w:rsid w:val="00486780"/>
    <w:rsid w:val="00492996"/>
    <w:rsid w:val="00497E42"/>
    <w:rsid w:val="004A055D"/>
    <w:rsid w:val="004A3BAC"/>
    <w:rsid w:val="004A4D7C"/>
    <w:rsid w:val="004A59D9"/>
    <w:rsid w:val="004A7DD6"/>
    <w:rsid w:val="004A7EE2"/>
    <w:rsid w:val="004B09E7"/>
    <w:rsid w:val="004B13C4"/>
    <w:rsid w:val="004B3C02"/>
    <w:rsid w:val="004B3F8F"/>
    <w:rsid w:val="004B49D5"/>
    <w:rsid w:val="004B7F92"/>
    <w:rsid w:val="004C2608"/>
    <w:rsid w:val="004C2B73"/>
    <w:rsid w:val="004C69FE"/>
    <w:rsid w:val="004C6DE4"/>
    <w:rsid w:val="004C76DE"/>
    <w:rsid w:val="004C78E3"/>
    <w:rsid w:val="004C7BBD"/>
    <w:rsid w:val="004D14FF"/>
    <w:rsid w:val="004D239B"/>
    <w:rsid w:val="004D45D8"/>
    <w:rsid w:val="004D5F3A"/>
    <w:rsid w:val="004D5FEA"/>
    <w:rsid w:val="004D698D"/>
    <w:rsid w:val="004E0BD3"/>
    <w:rsid w:val="004E53D5"/>
    <w:rsid w:val="004E60AA"/>
    <w:rsid w:val="004F27AF"/>
    <w:rsid w:val="004F3DFE"/>
    <w:rsid w:val="004F428E"/>
    <w:rsid w:val="004F5034"/>
    <w:rsid w:val="005017D1"/>
    <w:rsid w:val="00504895"/>
    <w:rsid w:val="00505956"/>
    <w:rsid w:val="00506CB9"/>
    <w:rsid w:val="00507D03"/>
    <w:rsid w:val="00512839"/>
    <w:rsid w:val="00512AE7"/>
    <w:rsid w:val="00513334"/>
    <w:rsid w:val="0051476F"/>
    <w:rsid w:val="00517E06"/>
    <w:rsid w:val="0052142B"/>
    <w:rsid w:val="005267A5"/>
    <w:rsid w:val="005304C2"/>
    <w:rsid w:val="00530D46"/>
    <w:rsid w:val="00531A3F"/>
    <w:rsid w:val="0053317D"/>
    <w:rsid w:val="005340E1"/>
    <w:rsid w:val="005353B8"/>
    <w:rsid w:val="00535CCC"/>
    <w:rsid w:val="0053746F"/>
    <w:rsid w:val="00546B63"/>
    <w:rsid w:val="00546C06"/>
    <w:rsid w:val="005511F2"/>
    <w:rsid w:val="00551DE5"/>
    <w:rsid w:val="00552569"/>
    <w:rsid w:val="005528A2"/>
    <w:rsid w:val="00553E25"/>
    <w:rsid w:val="00554FDC"/>
    <w:rsid w:val="00555473"/>
    <w:rsid w:val="00556295"/>
    <w:rsid w:val="00562312"/>
    <w:rsid w:val="00563208"/>
    <w:rsid w:val="005643E5"/>
    <w:rsid w:val="00564475"/>
    <w:rsid w:val="0056522B"/>
    <w:rsid w:val="00567247"/>
    <w:rsid w:val="00567EC2"/>
    <w:rsid w:val="00572152"/>
    <w:rsid w:val="00574754"/>
    <w:rsid w:val="00576BAD"/>
    <w:rsid w:val="00577EE0"/>
    <w:rsid w:val="00580551"/>
    <w:rsid w:val="0058187E"/>
    <w:rsid w:val="0058252D"/>
    <w:rsid w:val="00586B9D"/>
    <w:rsid w:val="005900DF"/>
    <w:rsid w:val="00590FB6"/>
    <w:rsid w:val="005918AC"/>
    <w:rsid w:val="0059374A"/>
    <w:rsid w:val="00594DC9"/>
    <w:rsid w:val="005956AC"/>
    <w:rsid w:val="005959AF"/>
    <w:rsid w:val="005A1245"/>
    <w:rsid w:val="005A4268"/>
    <w:rsid w:val="005A6162"/>
    <w:rsid w:val="005A7AC4"/>
    <w:rsid w:val="005B0C1E"/>
    <w:rsid w:val="005B258E"/>
    <w:rsid w:val="005B3A1C"/>
    <w:rsid w:val="005B56A0"/>
    <w:rsid w:val="005B6CF7"/>
    <w:rsid w:val="005B7B49"/>
    <w:rsid w:val="005B7BDF"/>
    <w:rsid w:val="005C0D3D"/>
    <w:rsid w:val="005C2183"/>
    <w:rsid w:val="005C2BAC"/>
    <w:rsid w:val="005C397C"/>
    <w:rsid w:val="005C766E"/>
    <w:rsid w:val="005D1659"/>
    <w:rsid w:val="005D60AB"/>
    <w:rsid w:val="005D7C72"/>
    <w:rsid w:val="005E0621"/>
    <w:rsid w:val="005E49F8"/>
    <w:rsid w:val="005E5F16"/>
    <w:rsid w:val="005E6999"/>
    <w:rsid w:val="005F125C"/>
    <w:rsid w:val="005F2F2B"/>
    <w:rsid w:val="005F668D"/>
    <w:rsid w:val="005F7A70"/>
    <w:rsid w:val="00601610"/>
    <w:rsid w:val="0060176B"/>
    <w:rsid w:val="0060186A"/>
    <w:rsid w:val="006029C4"/>
    <w:rsid w:val="00605F66"/>
    <w:rsid w:val="00607185"/>
    <w:rsid w:val="006073DA"/>
    <w:rsid w:val="00610097"/>
    <w:rsid w:val="00610BA2"/>
    <w:rsid w:val="00610E58"/>
    <w:rsid w:val="00612F2F"/>
    <w:rsid w:val="00613404"/>
    <w:rsid w:val="00613C3F"/>
    <w:rsid w:val="006155F9"/>
    <w:rsid w:val="00624546"/>
    <w:rsid w:val="006247FD"/>
    <w:rsid w:val="00624EE1"/>
    <w:rsid w:val="00625951"/>
    <w:rsid w:val="00626333"/>
    <w:rsid w:val="00627009"/>
    <w:rsid w:val="00627E4E"/>
    <w:rsid w:val="00631F49"/>
    <w:rsid w:val="00635146"/>
    <w:rsid w:val="00637236"/>
    <w:rsid w:val="0063764D"/>
    <w:rsid w:val="00640975"/>
    <w:rsid w:val="00640C0A"/>
    <w:rsid w:val="00641692"/>
    <w:rsid w:val="006421AC"/>
    <w:rsid w:val="00643F6F"/>
    <w:rsid w:val="00647454"/>
    <w:rsid w:val="006506C5"/>
    <w:rsid w:val="00650EE9"/>
    <w:rsid w:val="00651041"/>
    <w:rsid w:val="00652FCC"/>
    <w:rsid w:val="00660BAE"/>
    <w:rsid w:val="00660E6B"/>
    <w:rsid w:val="0066170B"/>
    <w:rsid w:val="0066170E"/>
    <w:rsid w:val="00661D57"/>
    <w:rsid w:val="00661E5D"/>
    <w:rsid w:val="006643A2"/>
    <w:rsid w:val="00666B7E"/>
    <w:rsid w:val="0067002F"/>
    <w:rsid w:val="0067096F"/>
    <w:rsid w:val="006711FC"/>
    <w:rsid w:val="006736FB"/>
    <w:rsid w:val="006748F9"/>
    <w:rsid w:val="00674C7B"/>
    <w:rsid w:val="00676A69"/>
    <w:rsid w:val="00680B5D"/>
    <w:rsid w:val="00682377"/>
    <w:rsid w:val="00682934"/>
    <w:rsid w:val="00682C47"/>
    <w:rsid w:val="00682EB5"/>
    <w:rsid w:val="00683185"/>
    <w:rsid w:val="006837A5"/>
    <w:rsid w:val="00687D26"/>
    <w:rsid w:val="00690429"/>
    <w:rsid w:val="006910EA"/>
    <w:rsid w:val="00691B65"/>
    <w:rsid w:val="006949D8"/>
    <w:rsid w:val="00694BEF"/>
    <w:rsid w:val="00695B57"/>
    <w:rsid w:val="006A159E"/>
    <w:rsid w:val="006A2837"/>
    <w:rsid w:val="006A2DB4"/>
    <w:rsid w:val="006A377C"/>
    <w:rsid w:val="006A531E"/>
    <w:rsid w:val="006A566A"/>
    <w:rsid w:val="006A59F4"/>
    <w:rsid w:val="006A7745"/>
    <w:rsid w:val="006A77E9"/>
    <w:rsid w:val="006B103F"/>
    <w:rsid w:val="006B180D"/>
    <w:rsid w:val="006B4A08"/>
    <w:rsid w:val="006B50CA"/>
    <w:rsid w:val="006B692C"/>
    <w:rsid w:val="006C1716"/>
    <w:rsid w:val="006C32CE"/>
    <w:rsid w:val="006C65DE"/>
    <w:rsid w:val="006D3228"/>
    <w:rsid w:val="006D4B41"/>
    <w:rsid w:val="006D5694"/>
    <w:rsid w:val="006D62FE"/>
    <w:rsid w:val="006D64B6"/>
    <w:rsid w:val="006D7CC7"/>
    <w:rsid w:val="006E203E"/>
    <w:rsid w:val="006E6822"/>
    <w:rsid w:val="006F2A2A"/>
    <w:rsid w:val="006F4B52"/>
    <w:rsid w:val="006F504B"/>
    <w:rsid w:val="006F632F"/>
    <w:rsid w:val="006F6C86"/>
    <w:rsid w:val="006F6DDC"/>
    <w:rsid w:val="006F7601"/>
    <w:rsid w:val="00700138"/>
    <w:rsid w:val="007025FF"/>
    <w:rsid w:val="00704C4B"/>
    <w:rsid w:val="00704D97"/>
    <w:rsid w:val="0070581E"/>
    <w:rsid w:val="0070606E"/>
    <w:rsid w:val="00711FB7"/>
    <w:rsid w:val="00712724"/>
    <w:rsid w:val="0071291A"/>
    <w:rsid w:val="007142CA"/>
    <w:rsid w:val="00717794"/>
    <w:rsid w:val="007177DF"/>
    <w:rsid w:val="0072174D"/>
    <w:rsid w:val="0072186F"/>
    <w:rsid w:val="007237DF"/>
    <w:rsid w:val="007245EC"/>
    <w:rsid w:val="007255A8"/>
    <w:rsid w:val="007304A3"/>
    <w:rsid w:val="0073058C"/>
    <w:rsid w:val="00734EFC"/>
    <w:rsid w:val="007374C3"/>
    <w:rsid w:val="00741D7D"/>
    <w:rsid w:val="0074351E"/>
    <w:rsid w:val="00747EC0"/>
    <w:rsid w:val="00750704"/>
    <w:rsid w:val="00753BE6"/>
    <w:rsid w:val="00754A51"/>
    <w:rsid w:val="007552CD"/>
    <w:rsid w:val="0075565E"/>
    <w:rsid w:val="00755D08"/>
    <w:rsid w:val="00756EF8"/>
    <w:rsid w:val="00760828"/>
    <w:rsid w:val="00760DB8"/>
    <w:rsid w:val="00761E99"/>
    <w:rsid w:val="007626C2"/>
    <w:rsid w:val="00762ABD"/>
    <w:rsid w:val="00762C19"/>
    <w:rsid w:val="007678FA"/>
    <w:rsid w:val="00770DBD"/>
    <w:rsid w:val="00771C64"/>
    <w:rsid w:val="0077441C"/>
    <w:rsid w:val="0077442B"/>
    <w:rsid w:val="00774A5B"/>
    <w:rsid w:val="00774CCA"/>
    <w:rsid w:val="007755C5"/>
    <w:rsid w:val="00777E64"/>
    <w:rsid w:val="00780D0F"/>
    <w:rsid w:val="00781D9E"/>
    <w:rsid w:val="007859F5"/>
    <w:rsid w:val="00787162"/>
    <w:rsid w:val="0079153E"/>
    <w:rsid w:val="0079179D"/>
    <w:rsid w:val="00791F60"/>
    <w:rsid w:val="0079422E"/>
    <w:rsid w:val="00794D61"/>
    <w:rsid w:val="00795C3E"/>
    <w:rsid w:val="007960C0"/>
    <w:rsid w:val="00796194"/>
    <w:rsid w:val="007978F1"/>
    <w:rsid w:val="00797ACC"/>
    <w:rsid w:val="007A0D1C"/>
    <w:rsid w:val="007A3AF5"/>
    <w:rsid w:val="007A49E9"/>
    <w:rsid w:val="007B0F3D"/>
    <w:rsid w:val="007B2DD0"/>
    <w:rsid w:val="007B361B"/>
    <w:rsid w:val="007B3A6F"/>
    <w:rsid w:val="007B3F4A"/>
    <w:rsid w:val="007B4A1A"/>
    <w:rsid w:val="007B55E2"/>
    <w:rsid w:val="007C07DD"/>
    <w:rsid w:val="007C1759"/>
    <w:rsid w:val="007C1AC0"/>
    <w:rsid w:val="007C5DDF"/>
    <w:rsid w:val="007C698F"/>
    <w:rsid w:val="007C6FBD"/>
    <w:rsid w:val="007C78A6"/>
    <w:rsid w:val="007C7DB5"/>
    <w:rsid w:val="007D0C6A"/>
    <w:rsid w:val="007D35F8"/>
    <w:rsid w:val="007D36E0"/>
    <w:rsid w:val="007D41CD"/>
    <w:rsid w:val="007D4E56"/>
    <w:rsid w:val="007E03EA"/>
    <w:rsid w:val="007E0BC5"/>
    <w:rsid w:val="007E0DFD"/>
    <w:rsid w:val="007E0F9A"/>
    <w:rsid w:val="007F01CD"/>
    <w:rsid w:val="007F055F"/>
    <w:rsid w:val="007F1767"/>
    <w:rsid w:val="007F2D6A"/>
    <w:rsid w:val="007F3417"/>
    <w:rsid w:val="007F3425"/>
    <w:rsid w:val="007F3C06"/>
    <w:rsid w:val="007F3C55"/>
    <w:rsid w:val="0080155E"/>
    <w:rsid w:val="00804BBE"/>
    <w:rsid w:val="008058EE"/>
    <w:rsid w:val="008074B4"/>
    <w:rsid w:val="0080791C"/>
    <w:rsid w:val="0081043B"/>
    <w:rsid w:val="008143D9"/>
    <w:rsid w:val="008145A5"/>
    <w:rsid w:val="0082385E"/>
    <w:rsid w:val="00823DA0"/>
    <w:rsid w:val="008268AC"/>
    <w:rsid w:val="00834BC6"/>
    <w:rsid w:val="00834DD1"/>
    <w:rsid w:val="0083557A"/>
    <w:rsid w:val="0083624C"/>
    <w:rsid w:val="00840803"/>
    <w:rsid w:val="008411C2"/>
    <w:rsid w:val="00841D7E"/>
    <w:rsid w:val="008477C0"/>
    <w:rsid w:val="008518A0"/>
    <w:rsid w:val="00852DEE"/>
    <w:rsid w:val="00855963"/>
    <w:rsid w:val="008570B2"/>
    <w:rsid w:val="0085790E"/>
    <w:rsid w:val="00863DA2"/>
    <w:rsid w:val="00864BE3"/>
    <w:rsid w:val="00866737"/>
    <w:rsid w:val="00866BDA"/>
    <w:rsid w:val="00866F0F"/>
    <w:rsid w:val="008673A3"/>
    <w:rsid w:val="00867902"/>
    <w:rsid w:val="00871384"/>
    <w:rsid w:val="00872119"/>
    <w:rsid w:val="00873B98"/>
    <w:rsid w:val="00874255"/>
    <w:rsid w:val="0088216B"/>
    <w:rsid w:val="008826C9"/>
    <w:rsid w:val="00882BC0"/>
    <w:rsid w:val="008834A3"/>
    <w:rsid w:val="00886602"/>
    <w:rsid w:val="0089199F"/>
    <w:rsid w:val="00891C08"/>
    <w:rsid w:val="00894176"/>
    <w:rsid w:val="00894904"/>
    <w:rsid w:val="00896776"/>
    <w:rsid w:val="00896CC6"/>
    <w:rsid w:val="00897E8A"/>
    <w:rsid w:val="008A05B7"/>
    <w:rsid w:val="008A0AC2"/>
    <w:rsid w:val="008A5F17"/>
    <w:rsid w:val="008A7C83"/>
    <w:rsid w:val="008B0E9E"/>
    <w:rsid w:val="008B5CA9"/>
    <w:rsid w:val="008B689D"/>
    <w:rsid w:val="008C1868"/>
    <w:rsid w:val="008C45C0"/>
    <w:rsid w:val="008C45F0"/>
    <w:rsid w:val="008C65B1"/>
    <w:rsid w:val="008D174D"/>
    <w:rsid w:val="008D3BEC"/>
    <w:rsid w:val="008D491A"/>
    <w:rsid w:val="008D6E62"/>
    <w:rsid w:val="008D6F8C"/>
    <w:rsid w:val="008D7156"/>
    <w:rsid w:val="008E0C8B"/>
    <w:rsid w:val="008E167C"/>
    <w:rsid w:val="008E1C2B"/>
    <w:rsid w:val="008E2EC8"/>
    <w:rsid w:val="008E6767"/>
    <w:rsid w:val="008E778B"/>
    <w:rsid w:val="008E790C"/>
    <w:rsid w:val="008F2FE4"/>
    <w:rsid w:val="008F36DD"/>
    <w:rsid w:val="0090069C"/>
    <w:rsid w:val="0090204E"/>
    <w:rsid w:val="00904B36"/>
    <w:rsid w:val="0090692E"/>
    <w:rsid w:val="00910806"/>
    <w:rsid w:val="009119D7"/>
    <w:rsid w:val="0091350E"/>
    <w:rsid w:val="00915A24"/>
    <w:rsid w:val="009162AB"/>
    <w:rsid w:val="00917581"/>
    <w:rsid w:val="00920387"/>
    <w:rsid w:val="00923121"/>
    <w:rsid w:val="00925532"/>
    <w:rsid w:val="0092631C"/>
    <w:rsid w:val="00926D14"/>
    <w:rsid w:val="00927618"/>
    <w:rsid w:val="00927D4D"/>
    <w:rsid w:val="00932507"/>
    <w:rsid w:val="00932A8F"/>
    <w:rsid w:val="00932FF1"/>
    <w:rsid w:val="00934898"/>
    <w:rsid w:val="009365DB"/>
    <w:rsid w:val="00937276"/>
    <w:rsid w:val="0093760C"/>
    <w:rsid w:val="009449C8"/>
    <w:rsid w:val="00945A3C"/>
    <w:rsid w:val="00950861"/>
    <w:rsid w:val="00951276"/>
    <w:rsid w:val="0095528A"/>
    <w:rsid w:val="00961317"/>
    <w:rsid w:val="00961526"/>
    <w:rsid w:val="00961895"/>
    <w:rsid w:val="009649E7"/>
    <w:rsid w:val="00966898"/>
    <w:rsid w:val="009702CE"/>
    <w:rsid w:val="00970EA4"/>
    <w:rsid w:val="00971D7F"/>
    <w:rsid w:val="00974A06"/>
    <w:rsid w:val="009751AE"/>
    <w:rsid w:val="00980FD7"/>
    <w:rsid w:val="00982073"/>
    <w:rsid w:val="009844F3"/>
    <w:rsid w:val="0098776E"/>
    <w:rsid w:val="00990E05"/>
    <w:rsid w:val="009A13B9"/>
    <w:rsid w:val="009A486E"/>
    <w:rsid w:val="009A5F75"/>
    <w:rsid w:val="009B04E2"/>
    <w:rsid w:val="009B3A84"/>
    <w:rsid w:val="009B43B2"/>
    <w:rsid w:val="009B52CA"/>
    <w:rsid w:val="009C09EF"/>
    <w:rsid w:val="009C0CE5"/>
    <w:rsid w:val="009C1672"/>
    <w:rsid w:val="009C6A01"/>
    <w:rsid w:val="009C6B5A"/>
    <w:rsid w:val="009C76A0"/>
    <w:rsid w:val="009D00E8"/>
    <w:rsid w:val="009D0265"/>
    <w:rsid w:val="009D2A71"/>
    <w:rsid w:val="009D3CEE"/>
    <w:rsid w:val="009D46AD"/>
    <w:rsid w:val="009D5AC7"/>
    <w:rsid w:val="009D5BBD"/>
    <w:rsid w:val="009D5D59"/>
    <w:rsid w:val="009D71A0"/>
    <w:rsid w:val="009D7E68"/>
    <w:rsid w:val="009D7FFE"/>
    <w:rsid w:val="009E2616"/>
    <w:rsid w:val="009E50C6"/>
    <w:rsid w:val="009E5A08"/>
    <w:rsid w:val="009E685D"/>
    <w:rsid w:val="009F4238"/>
    <w:rsid w:val="009F4383"/>
    <w:rsid w:val="009F45D8"/>
    <w:rsid w:val="009F54AA"/>
    <w:rsid w:val="009F6451"/>
    <w:rsid w:val="009F6CDA"/>
    <w:rsid w:val="009F72C5"/>
    <w:rsid w:val="009F7C2D"/>
    <w:rsid w:val="00A00BBE"/>
    <w:rsid w:val="00A030B6"/>
    <w:rsid w:val="00A03996"/>
    <w:rsid w:val="00A04021"/>
    <w:rsid w:val="00A04F2F"/>
    <w:rsid w:val="00A05CED"/>
    <w:rsid w:val="00A06DD8"/>
    <w:rsid w:val="00A10356"/>
    <w:rsid w:val="00A10F8C"/>
    <w:rsid w:val="00A11944"/>
    <w:rsid w:val="00A11A64"/>
    <w:rsid w:val="00A139A6"/>
    <w:rsid w:val="00A207A6"/>
    <w:rsid w:val="00A228AF"/>
    <w:rsid w:val="00A22B37"/>
    <w:rsid w:val="00A23E9C"/>
    <w:rsid w:val="00A24438"/>
    <w:rsid w:val="00A27B20"/>
    <w:rsid w:val="00A3106D"/>
    <w:rsid w:val="00A32E54"/>
    <w:rsid w:val="00A345FB"/>
    <w:rsid w:val="00A366A9"/>
    <w:rsid w:val="00A40B2E"/>
    <w:rsid w:val="00A41771"/>
    <w:rsid w:val="00A422F9"/>
    <w:rsid w:val="00A45858"/>
    <w:rsid w:val="00A4693D"/>
    <w:rsid w:val="00A46A9E"/>
    <w:rsid w:val="00A50FA9"/>
    <w:rsid w:val="00A51E0D"/>
    <w:rsid w:val="00A5307D"/>
    <w:rsid w:val="00A549A6"/>
    <w:rsid w:val="00A56A94"/>
    <w:rsid w:val="00A57379"/>
    <w:rsid w:val="00A57C24"/>
    <w:rsid w:val="00A608DD"/>
    <w:rsid w:val="00A6105F"/>
    <w:rsid w:val="00A615AD"/>
    <w:rsid w:val="00A62581"/>
    <w:rsid w:val="00A664C9"/>
    <w:rsid w:val="00A67C60"/>
    <w:rsid w:val="00A72858"/>
    <w:rsid w:val="00A73CAF"/>
    <w:rsid w:val="00A74813"/>
    <w:rsid w:val="00A77C1A"/>
    <w:rsid w:val="00A8196A"/>
    <w:rsid w:val="00A8322D"/>
    <w:rsid w:val="00A837FB"/>
    <w:rsid w:val="00A8479C"/>
    <w:rsid w:val="00A91438"/>
    <w:rsid w:val="00A9391F"/>
    <w:rsid w:val="00A9486E"/>
    <w:rsid w:val="00A967A8"/>
    <w:rsid w:val="00A96A95"/>
    <w:rsid w:val="00AA11CF"/>
    <w:rsid w:val="00AA258C"/>
    <w:rsid w:val="00AA3849"/>
    <w:rsid w:val="00AA444A"/>
    <w:rsid w:val="00AA520A"/>
    <w:rsid w:val="00AA6462"/>
    <w:rsid w:val="00AA78D6"/>
    <w:rsid w:val="00AA7F1D"/>
    <w:rsid w:val="00AB236E"/>
    <w:rsid w:val="00AB4735"/>
    <w:rsid w:val="00AB4A77"/>
    <w:rsid w:val="00AB4AAE"/>
    <w:rsid w:val="00AB5ADE"/>
    <w:rsid w:val="00AC14C7"/>
    <w:rsid w:val="00AC1839"/>
    <w:rsid w:val="00AC3611"/>
    <w:rsid w:val="00AC4C55"/>
    <w:rsid w:val="00AC61EA"/>
    <w:rsid w:val="00AC7CF1"/>
    <w:rsid w:val="00AD1858"/>
    <w:rsid w:val="00AD2070"/>
    <w:rsid w:val="00AD344E"/>
    <w:rsid w:val="00AD37CE"/>
    <w:rsid w:val="00AD41C3"/>
    <w:rsid w:val="00AD551C"/>
    <w:rsid w:val="00AD720C"/>
    <w:rsid w:val="00AD7311"/>
    <w:rsid w:val="00AE1E12"/>
    <w:rsid w:val="00AE30D5"/>
    <w:rsid w:val="00AE72B5"/>
    <w:rsid w:val="00AF00ED"/>
    <w:rsid w:val="00AF443A"/>
    <w:rsid w:val="00AF5311"/>
    <w:rsid w:val="00AF5EF6"/>
    <w:rsid w:val="00AF62DC"/>
    <w:rsid w:val="00B0027E"/>
    <w:rsid w:val="00B00FCA"/>
    <w:rsid w:val="00B01FDD"/>
    <w:rsid w:val="00B039EB"/>
    <w:rsid w:val="00B0477D"/>
    <w:rsid w:val="00B052A2"/>
    <w:rsid w:val="00B10BCC"/>
    <w:rsid w:val="00B11236"/>
    <w:rsid w:val="00B118A2"/>
    <w:rsid w:val="00B11C26"/>
    <w:rsid w:val="00B11DA2"/>
    <w:rsid w:val="00B15C82"/>
    <w:rsid w:val="00B15E7C"/>
    <w:rsid w:val="00B17340"/>
    <w:rsid w:val="00B208E2"/>
    <w:rsid w:val="00B21B16"/>
    <w:rsid w:val="00B23C27"/>
    <w:rsid w:val="00B270AA"/>
    <w:rsid w:val="00B27140"/>
    <w:rsid w:val="00B30D21"/>
    <w:rsid w:val="00B31B45"/>
    <w:rsid w:val="00B3343C"/>
    <w:rsid w:val="00B3595D"/>
    <w:rsid w:val="00B35D1D"/>
    <w:rsid w:val="00B363D0"/>
    <w:rsid w:val="00B365B2"/>
    <w:rsid w:val="00B36652"/>
    <w:rsid w:val="00B36DF9"/>
    <w:rsid w:val="00B4028D"/>
    <w:rsid w:val="00B43CAD"/>
    <w:rsid w:val="00B44705"/>
    <w:rsid w:val="00B45880"/>
    <w:rsid w:val="00B5010F"/>
    <w:rsid w:val="00B510AD"/>
    <w:rsid w:val="00B51A97"/>
    <w:rsid w:val="00B52BB3"/>
    <w:rsid w:val="00B52BF0"/>
    <w:rsid w:val="00B5455A"/>
    <w:rsid w:val="00B557E4"/>
    <w:rsid w:val="00B55FA8"/>
    <w:rsid w:val="00B60089"/>
    <w:rsid w:val="00B61CFD"/>
    <w:rsid w:val="00B62A0C"/>
    <w:rsid w:val="00B639F4"/>
    <w:rsid w:val="00B63F37"/>
    <w:rsid w:val="00B653DD"/>
    <w:rsid w:val="00B65F85"/>
    <w:rsid w:val="00B662EA"/>
    <w:rsid w:val="00B67AAF"/>
    <w:rsid w:val="00B741BD"/>
    <w:rsid w:val="00B74589"/>
    <w:rsid w:val="00B76502"/>
    <w:rsid w:val="00B7783A"/>
    <w:rsid w:val="00B77B5E"/>
    <w:rsid w:val="00B77E21"/>
    <w:rsid w:val="00B81C8D"/>
    <w:rsid w:val="00B82409"/>
    <w:rsid w:val="00B83034"/>
    <w:rsid w:val="00B83866"/>
    <w:rsid w:val="00B8507B"/>
    <w:rsid w:val="00B863AC"/>
    <w:rsid w:val="00B90BCC"/>
    <w:rsid w:val="00B956E6"/>
    <w:rsid w:val="00B975E8"/>
    <w:rsid w:val="00B97757"/>
    <w:rsid w:val="00B97954"/>
    <w:rsid w:val="00B97AE8"/>
    <w:rsid w:val="00BA0B85"/>
    <w:rsid w:val="00BA3C25"/>
    <w:rsid w:val="00BA594A"/>
    <w:rsid w:val="00BB078E"/>
    <w:rsid w:val="00BB1B9F"/>
    <w:rsid w:val="00BB2B00"/>
    <w:rsid w:val="00BB390C"/>
    <w:rsid w:val="00BB3C19"/>
    <w:rsid w:val="00BB4583"/>
    <w:rsid w:val="00BB4ECE"/>
    <w:rsid w:val="00BB4F88"/>
    <w:rsid w:val="00BC21CE"/>
    <w:rsid w:val="00BC4087"/>
    <w:rsid w:val="00BC445A"/>
    <w:rsid w:val="00BC5709"/>
    <w:rsid w:val="00BC59D5"/>
    <w:rsid w:val="00BC693A"/>
    <w:rsid w:val="00BC7DB3"/>
    <w:rsid w:val="00BD457B"/>
    <w:rsid w:val="00BD490C"/>
    <w:rsid w:val="00BE05F0"/>
    <w:rsid w:val="00BE087B"/>
    <w:rsid w:val="00BE59EF"/>
    <w:rsid w:val="00BE62EB"/>
    <w:rsid w:val="00BE71D0"/>
    <w:rsid w:val="00BE7D39"/>
    <w:rsid w:val="00BF0913"/>
    <w:rsid w:val="00BF1879"/>
    <w:rsid w:val="00BF1E35"/>
    <w:rsid w:val="00BF33E0"/>
    <w:rsid w:val="00BF3A98"/>
    <w:rsid w:val="00BF4178"/>
    <w:rsid w:val="00C01462"/>
    <w:rsid w:val="00C04230"/>
    <w:rsid w:val="00C054A6"/>
    <w:rsid w:val="00C0695F"/>
    <w:rsid w:val="00C071F8"/>
    <w:rsid w:val="00C11DE9"/>
    <w:rsid w:val="00C13CC4"/>
    <w:rsid w:val="00C15149"/>
    <w:rsid w:val="00C15A98"/>
    <w:rsid w:val="00C170ED"/>
    <w:rsid w:val="00C20134"/>
    <w:rsid w:val="00C206E8"/>
    <w:rsid w:val="00C22485"/>
    <w:rsid w:val="00C2281A"/>
    <w:rsid w:val="00C23791"/>
    <w:rsid w:val="00C25F70"/>
    <w:rsid w:val="00C26114"/>
    <w:rsid w:val="00C27D1D"/>
    <w:rsid w:val="00C30570"/>
    <w:rsid w:val="00C3116A"/>
    <w:rsid w:val="00C31BD9"/>
    <w:rsid w:val="00C323D2"/>
    <w:rsid w:val="00C324CF"/>
    <w:rsid w:val="00C3481C"/>
    <w:rsid w:val="00C3500E"/>
    <w:rsid w:val="00C367EC"/>
    <w:rsid w:val="00C413F9"/>
    <w:rsid w:val="00C42462"/>
    <w:rsid w:val="00C43BE5"/>
    <w:rsid w:val="00C44AD2"/>
    <w:rsid w:val="00C47F54"/>
    <w:rsid w:val="00C52AE6"/>
    <w:rsid w:val="00C52F82"/>
    <w:rsid w:val="00C53459"/>
    <w:rsid w:val="00C539D7"/>
    <w:rsid w:val="00C55A8B"/>
    <w:rsid w:val="00C6073E"/>
    <w:rsid w:val="00C614F4"/>
    <w:rsid w:val="00C6159C"/>
    <w:rsid w:val="00C62AD4"/>
    <w:rsid w:val="00C6338D"/>
    <w:rsid w:val="00C640EE"/>
    <w:rsid w:val="00C65573"/>
    <w:rsid w:val="00C65EB5"/>
    <w:rsid w:val="00C665C6"/>
    <w:rsid w:val="00C66A89"/>
    <w:rsid w:val="00C66BEC"/>
    <w:rsid w:val="00C74017"/>
    <w:rsid w:val="00C74205"/>
    <w:rsid w:val="00C76462"/>
    <w:rsid w:val="00C76650"/>
    <w:rsid w:val="00C77687"/>
    <w:rsid w:val="00C81756"/>
    <w:rsid w:val="00C830E1"/>
    <w:rsid w:val="00C867B3"/>
    <w:rsid w:val="00C86DCE"/>
    <w:rsid w:val="00C90598"/>
    <w:rsid w:val="00C90CE2"/>
    <w:rsid w:val="00C91043"/>
    <w:rsid w:val="00C911F9"/>
    <w:rsid w:val="00C9716D"/>
    <w:rsid w:val="00CA3997"/>
    <w:rsid w:val="00CA5F7B"/>
    <w:rsid w:val="00CA7176"/>
    <w:rsid w:val="00CA7AD3"/>
    <w:rsid w:val="00CA7EE3"/>
    <w:rsid w:val="00CB0BA9"/>
    <w:rsid w:val="00CB13C5"/>
    <w:rsid w:val="00CB18CE"/>
    <w:rsid w:val="00CB424C"/>
    <w:rsid w:val="00CB6FFD"/>
    <w:rsid w:val="00CC224E"/>
    <w:rsid w:val="00CD0BA0"/>
    <w:rsid w:val="00CD31F0"/>
    <w:rsid w:val="00CD4F41"/>
    <w:rsid w:val="00CD61EF"/>
    <w:rsid w:val="00CD7976"/>
    <w:rsid w:val="00CE076E"/>
    <w:rsid w:val="00CE0EC1"/>
    <w:rsid w:val="00CE10B5"/>
    <w:rsid w:val="00CE3C15"/>
    <w:rsid w:val="00CE4AC2"/>
    <w:rsid w:val="00CE6934"/>
    <w:rsid w:val="00CF0CFE"/>
    <w:rsid w:val="00CF1F89"/>
    <w:rsid w:val="00CF24CA"/>
    <w:rsid w:val="00CF2888"/>
    <w:rsid w:val="00CF4383"/>
    <w:rsid w:val="00CF567F"/>
    <w:rsid w:val="00CF5CDC"/>
    <w:rsid w:val="00CF7606"/>
    <w:rsid w:val="00D02824"/>
    <w:rsid w:val="00D04192"/>
    <w:rsid w:val="00D064A4"/>
    <w:rsid w:val="00D06688"/>
    <w:rsid w:val="00D123EE"/>
    <w:rsid w:val="00D137F5"/>
    <w:rsid w:val="00D13C79"/>
    <w:rsid w:val="00D15364"/>
    <w:rsid w:val="00D15AFF"/>
    <w:rsid w:val="00D21247"/>
    <w:rsid w:val="00D21558"/>
    <w:rsid w:val="00D2226B"/>
    <w:rsid w:val="00D22881"/>
    <w:rsid w:val="00D22CCB"/>
    <w:rsid w:val="00D24C54"/>
    <w:rsid w:val="00D30109"/>
    <w:rsid w:val="00D30514"/>
    <w:rsid w:val="00D30F56"/>
    <w:rsid w:val="00D30F94"/>
    <w:rsid w:val="00D358AF"/>
    <w:rsid w:val="00D3593D"/>
    <w:rsid w:val="00D36266"/>
    <w:rsid w:val="00D37C15"/>
    <w:rsid w:val="00D41B5F"/>
    <w:rsid w:val="00D42087"/>
    <w:rsid w:val="00D46058"/>
    <w:rsid w:val="00D478FF"/>
    <w:rsid w:val="00D47945"/>
    <w:rsid w:val="00D530D2"/>
    <w:rsid w:val="00D56158"/>
    <w:rsid w:val="00D604FC"/>
    <w:rsid w:val="00D61B2D"/>
    <w:rsid w:val="00D629C4"/>
    <w:rsid w:val="00D63924"/>
    <w:rsid w:val="00D66C97"/>
    <w:rsid w:val="00D66F20"/>
    <w:rsid w:val="00D71444"/>
    <w:rsid w:val="00D737C9"/>
    <w:rsid w:val="00D749E9"/>
    <w:rsid w:val="00D74C4A"/>
    <w:rsid w:val="00D7595A"/>
    <w:rsid w:val="00D76FF4"/>
    <w:rsid w:val="00D77D0E"/>
    <w:rsid w:val="00D8081B"/>
    <w:rsid w:val="00D834F4"/>
    <w:rsid w:val="00D84DC9"/>
    <w:rsid w:val="00D865FC"/>
    <w:rsid w:val="00D87B24"/>
    <w:rsid w:val="00D904DD"/>
    <w:rsid w:val="00D90B9A"/>
    <w:rsid w:val="00D90F91"/>
    <w:rsid w:val="00D91312"/>
    <w:rsid w:val="00D91A3C"/>
    <w:rsid w:val="00D91C1D"/>
    <w:rsid w:val="00D92280"/>
    <w:rsid w:val="00D934AF"/>
    <w:rsid w:val="00D952B5"/>
    <w:rsid w:val="00DA11F8"/>
    <w:rsid w:val="00DA1D8F"/>
    <w:rsid w:val="00DB0690"/>
    <w:rsid w:val="00DB522D"/>
    <w:rsid w:val="00DB7F6A"/>
    <w:rsid w:val="00DC1112"/>
    <w:rsid w:val="00DC387A"/>
    <w:rsid w:val="00DC5467"/>
    <w:rsid w:val="00DC5562"/>
    <w:rsid w:val="00DC77C5"/>
    <w:rsid w:val="00DD091F"/>
    <w:rsid w:val="00DD486B"/>
    <w:rsid w:val="00DD6D3F"/>
    <w:rsid w:val="00DE1C91"/>
    <w:rsid w:val="00DE3E7A"/>
    <w:rsid w:val="00DE4009"/>
    <w:rsid w:val="00DE4090"/>
    <w:rsid w:val="00DE632F"/>
    <w:rsid w:val="00DE7FEE"/>
    <w:rsid w:val="00DF1FC7"/>
    <w:rsid w:val="00DF2608"/>
    <w:rsid w:val="00DF307F"/>
    <w:rsid w:val="00DF42F1"/>
    <w:rsid w:val="00DF5241"/>
    <w:rsid w:val="00DF5FE9"/>
    <w:rsid w:val="00E01FD6"/>
    <w:rsid w:val="00E036A3"/>
    <w:rsid w:val="00E040DB"/>
    <w:rsid w:val="00E07625"/>
    <w:rsid w:val="00E10C3F"/>
    <w:rsid w:val="00E10ED8"/>
    <w:rsid w:val="00E11369"/>
    <w:rsid w:val="00E121A5"/>
    <w:rsid w:val="00E202C0"/>
    <w:rsid w:val="00E221D2"/>
    <w:rsid w:val="00E223AC"/>
    <w:rsid w:val="00E26A54"/>
    <w:rsid w:val="00E368FB"/>
    <w:rsid w:val="00E36D4A"/>
    <w:rsid w:val="00E4137C"/>
    <w:rsid w:val="00E457B0"/>
    <w:rsid w:val="00E4696C"/>
    <w:rsid w:val="00E46A18"/>
    <w:rsid w:val="00E4730E"/>
    <w:rsid w:val="00E50725"/>
    <w:rsid w:val="00E517C7"/>
    <w:rsid w:val="00E51A51"/>
    <w:rsid w:val="00E522B5"/>
    <w:rsid w:val="00E52748"/>
    <w:rsid w:val="00E535D9"/>
    <w:rsid w:val="00E55C1B"/>
    <w:rsid w:val="00E64DBD"/>
    <w:rsid w:val="00E660AB"/>
    <w:rsid w:val="00E66F78"/>
    <w:rsid w:val="00E7214A"/>
    <w:rsid w:val="00E7317D"/>
    <w:rsid w:val="00E74766"/>
    <w:rsid w:val="00E7735E"/>
    <w:rsid w:val="00E8324C"/>
    <w:rsid w:val="00E86025"/>
    <w:rsid w:val="00E868DE"/>
    <w:rsid w:val="00E87B51"/>
    <w:rsid w:val="00E914A9"/>
    <w:rsid w:val="00E96823"/>
    <w:rsid w:val="00E96BEA"/>
    <w:rsid w:val="00E97571"/>
    <w:rsid w:val="00EA0CB8"/>
    <w:rsid w:val="00EA0D46"/>
    <w:rsid w:val="00EA1E6D"/>
    <w:rsid w:val="00EA3198"/>
    <w:rsid w:val="00EA3340"/>
    <w:rsid w:val="00EA3CBD"/>
    <w:rsid w:val="00EA50D3"/>
    <w:rsid w:val="00EA5D82"/>
    <w:rsid w:val="00EA689A"/>
    <w:rsid w:val="00EA7907"/>
    <w:rsid w:val="00EA7BF5"/>
    <w:rsid w:val="00EA7F9C"/>
    <w:rsid w:val="00EB1472"/>
    <w:rsid w:val="00EB217E"/>
    <w:rsid w:val="00EB2404"/>
    <w:rsid w:val="00EB31BF"/>
    <w:rsid w:val="00EB4268"/>
    <w:rsid w:val="00EB4307"/>
    <w:rsid w:val="00EB51D0"/>
    <w:rsid w:val="00EC38F8"/>
    <w:rsid w:val="00EC74B2"/>
    <w:rsid w:val="00EC7C44"/>
    <w:rsid w:val="00ED0BF8"/>
    <w:rsid w:val="00ED47D9"/>
    <w:rsid w:val="00ED5EA1"/>
    <w:rsid w:val="00ED6675"/>
    <w:rsid w:val="00ED6E10"/>
    <w:rsid w:val="00EE1DD1"/>
    <w:rsid w:val="00EE405A"/>
    <w:rsid w:val="00EE4656"/>
    <w:rsid w:val="00EE61C7"/>
    <w:rsid w:val="00EE7EC1"/>
    <w:rsid w:val="00EF20BC"/>
    <w:rsid w:val="00EF45C9"/>
    <w:rsid w:val="00EF53EA"/>
    <w:rsid w:val="00EF717D"/>
    <w:rsid w:val="00F0032F"/>
    <w:rsid w:val="00F01C59"/>
    <w:rsid w:val="00F02249"/>
    <w:rsid w:val="00F02CDE"/>
    <w:rsid w:val="00F12BAE"/>
    <w:rsid w:val="00F133A6"/>
    <w:rsid w:val="00F14380"/>
    <w:rsid w:val="00F145B2"/>
    <w:rsid w:val="00F147AA"/>
    <w:rsid w:val="00F15197"/>
    <w:rsid w:val="00F154DD"/>
    <w:rsid w:val="00F161F6"/>
    <w:rsid w:val="00F16ED1"/>
    <w:rsid w:val="00F17459"/>
    <w:rsid w:val="00F203E0"/>
    <w:rsid w:val="00F20CFD"/>
    <w:rsid w:val="00F217F3"/>
    <w:rsid w:val="00F241F7"/>
    <w:rsid w:val="00F26449"/>
    <w:rsid w:val="00F34302"/>
    <w:rsid w:val="00F3457D"/>
    <w:rsid w:val="00F358AC"/>
    <w:rsid w:val="00F358F4"/>
    <w:rsid w:val="00F366B6"/>
    <w:rsid w:val="00F36EDD"/>
    <w:rsid w:val="00F37B58"/>
    <w:rsid w:val="00F406F1"/>
    <w:rsid w:val="00F41550"/>
    <w:rsid w:val="00F4332F"/>
    <w:rsid w:val="00F43442"/>
    <w:rsid w:val="00F4699F"/>
    <w:rsid w:val="00F473E0"/>
    <w:rsid w:val="00F5053F"/>
    <w:rsid w:val="00F50BB1"/>
    <w:rsid w:val="00F51CE7"/>
    <w:rsid w:val="00F5286E"/>
    <w:rsid w:val="00F537A0"/>
    <w:rsid w:val="00F53E12"/>
    <w:rsid w:val="00F559D1"/>
    <w:rsid w:val="00F57025"/>
    <w:rsid w:val="00F57085"/>
    <w:rsid w:val="00F57212"/>
    <w:rsid w:val="00F6025A"/>
    <w:rsid w:val="00F60449"/>
    <w:rsid w:val="00F606AF"/>
    <w:rsid w:val="00F60A5A"/>
    <w:rsid w:val="00F636D0"/>
    <w:rsid w:val="00F6699B"/>
    <w:rsid w:val="00F67343"/>
    <w:rsid w:val="00F67687"/>
    <w:rsid w:val="00F72005"/>
    <w:rsid w:val="00F728B2"/>
    <w:rsid w:val="00F73963"/>
    <w:rsid w:val="00F8183C"/>
    <w:rsid w:val="00F8312E"/>
    <w:rsid w:val="00F860F1"/>
    <w:rsid w:val="00F87B7D"/>
    <w:rsid w:val="00F87FA6"/>
    <w:rsid w:val="00F90E0E"/>
    <w:rsid w:val="00F94A05"/>
    <w:rsid w:val="00F96611"/>
    <w:rsid w:val="00F97C23"/>
    <w:rsid w:val="00FA42D4"/>
    <w:rsid w:val="00FA5F54"/>
    <w:rsid w:val="00FB073D"/>
    <w:rsid w:val="00FB15B2"/>
    <w:rsid w:val="00FB54D8"/>
    <w:rsid w:val="00FC003A"/>
    <w:rsid w:val="00FC494E"/>
    <w:rsid w:val="00FC5720"/>
    <w:rsid w:val="00FC694F"/>
    <w:rsid w:val="00FC6F48"/>
    <w:rsid w:val="00FC71C2"/>
    <w:rsid w:val="00FD16DC"/>
    <w:rsid w:val="00FD194A"/>
    <w:rsid w:val="00FD2E94"/>
    <w:rsid w:val="00FD5ABC"/>
    <w:rsid w:val="00FD7E6E"/>
    <w:rsid w:val="00FE36EC"/>
    <w:rsid w:val="00FE3C5B"/>
    <w:rsid w:val="00FE4C98"/>
    <w:rsid w:val="00FE6E7A"/>
    <w:rsid w:val="00FF0F47"/>
    <w:rsid w:val="00FF1BC0"/>
    <w:rsid w:val="00FF1F0E"/>
    <w:rsid w:val="00FF5D76"/>
    <w:rsid w:val="00FF63F7"/>
    <w:rsid w:val="00FF70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FA6F916"/>
  <w15:docId w15:val="{A3BB6158-C11F-47D6-BF91-555845A4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qFormat="1"/>
    <w:lsdException w:name="toc 2" w:locked="1" w:uiPriority="39" w:unhideWhenUsed="1" w:qFormat="1"/>
    <w:lsdException w:name="toc 3" w:locked="1" w:uiPriority="39" w:unhideWhenUsed="1" w:qFormat="1"/>
    <w:lsdException w:name="toc 4" w:locked="1" w:uiPriority="39" w:unhideWhenUsed="1"/>
    <w:lsdException w:name="toc 5" w:locked="1" w:uiPriority="39" w:unhideWhenUsed="1"/>
    <w:lsdException w:name="toc 6" w:locked="1" w:uiPriority="39" w:unhideWhenUsed="1"/>
    <w:lsdException w:name="toc 7" w:locked="1" w:uiPriority="39" w:unhideWhenUsed="1"/>
    <w:lsdException w:name="toc 8" w:locked="1" w:uiPriority="39" w:unhideWhenUsed="1"/>
    <w:lsdException w:name="toc 9" w:locked="1" w:uiPriority="39" w:unhideWhenUsed="1"/>
    <w:lsdException w:name="Normal Indent" w:semiHidden="1" w:unhideWhenUsed="1"/>
    <w:lsdException w:name="footnote text" w:semiHidden="1" w:uiPriority="0" w:unhideWhenUsed="1" w:qFormat="1"/>
    <w:lsdException w:name="annotation text" w:locked="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locked="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locked="1" w:uiPriority="0" w:unhideWhenUsed="1" w:qFormat="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51041"/>
    <w:pPr>
      <w:spacing w:line="360" w:lineRule="auto"/>
      <w:jc w:val="both"/>
    </w:pPr>
    <w:rPr>
      <w:rFonts w:ascii="Times New Roman" w:hAnsi="Times New Roman"/>
      <w:sz w:val="24"/>
      <w:szCs w:val="22"/>
      <w:lang w:eastAsia="en-US"/>
    </w:rPr>
  </w:style>
  <w:style w:type="paragraph" w:styleId="11">
    <w:name w:val="heading 1"/>
    <w:basedOn w:val="2"/>
    <w:link w:val="12"/>
    <w:qFormat/>
    <w:rsid w:val="00277F8C"/>
    <w:pPr>
      <w:pageBreakBefore/>
      <w:ind w:firstLine="0"/>
      <w:jc w:val="center"/>
      <w:outlineLvl w:val="0"/>
    </w:pPr>
    <w:rPr>
      <w:sz w:val="28"/>
      <w:u w:val="none"/>
    </w:rPr>
  </w:style>
  <w:style w:type="paragraph" w:styleId="2">
    <w:name w:val="heading 2"/>
    <w:aliases w:val="Наим. подраздела"/>
    <w:basedOn w:val="a2"/>
    <w:link w:val="20"/>
    <w:qFormat/>
    <w:rsid w:val="002F7719"/>
    <w:pPr>
      <w:ind w:firstLine="709"/>
      <w:outlineLvl w:val="1"/>
    </w:pPr>
  </w:style>
  <w:style w:type="paragraph" w:styleId="3">
    <w:name w:val="heading 3"/>
    <w:basedOn w:val="a1"/>
    <w:next w:val="a1"/>
    <w:link w:val="30"/>
    <w:unhideWhenUsed/>
    <w:qFormat/>
    <w:locked/>
    <w:rsid w:val="005D1659"/>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1"/>
    <w:next w:val="a1"/>
    <w:link w:val="40"/>
    <w:unhideWhenUsed/>
    <w:qFormat/>
    <w:locked/>
    <w:rsid w:val="005D1659"/>
    <w:pPr>
      <w:keepNext/>
      <w:spacing w:before="240" w:after="60"/>
      <w:outlineLvl w:val="3"/>
    </w:pPr>
    <w:rPr>
      <w:rFonts w:asciiTheme="minorHAnsi" w:eastAsiaTheme="minorEastAsia" w:hAnsiTheme="minorHAnsi" w:cstheme="minorBidi"/>
      <w:b/>
      <w:bCs/>
      <w:sz w:val="28"/>
      <w:szCs w:val="28"/>
    </w:rPr>
  </w:style>
  <w:style w:type="paragraph" w:styleId="5">
    <w:name w:val="heading 5"/>
    <w:basedOn w:val="a1"/>
    <w:next w:val="a1"/>
    <w:link w:val="50"/>
    <w:unhideWhenUsed/>
    <w:qFormat/>
    <w:locked/>
    <w:rsid w:val="005D1659"/>
    <w:pPr>
      <w:spacing w:before="240" w:after="60"/>
      <w:outlineLvl w:val="4"/>
    </w:pPr>
    <w:rPr>
      <w:rFonts w:asciiTheme="minorHAnsi" w:eastAsiaTheme="minorEastAsia" w:hAnsiTheme="minorHAnsi" w:cstheme="minorBidi"/>
      <w:b/>
      <w:bCs/>
      <w:i/>
      <w:iCs/>
      <w:sz w:val="26"/>
      <w:szCs w:val="26"/>
    </w:rPr>
  </w:style>
  <w:style w:type="paragraph" w:styleId="6">
    <w:name w:val="heading 6"/>
    <w:basedOn w:val="a1"/>
    <w:next w:val="a1"/>
    <w:link w:val="60"/>
    <w:unhideWhenUsed/>
    <w:qFormat/>
    <w:locked/>
    <w:rsid w:val="005D1659"/>
    <w:pPr>
      <w:spacing w:before="240" w:after="60"/>
      <w:outlineLvl w:val="5"/>
    </w:pPr>
    <w:rPr>
      <w:rFonts w:asciiTheme="minorHAnsi" w:eastAsiaTheme="minorEastAsia" w:hAnsiTheme="minorHAnsi" w:cstheme="minorBidi"/>
      <w:b/>
      <w:bCs/>
      <w:sz w:val="22"/>
    </w:rPr>
  </w:style>
  <w:style w:type="paragraph" w:styleId="7">
    <w:name w:val="heading 7"/>
    <w:basedOn w:val="a1"/>
    <w:next w:val="a1"/>
    <w:link w:val="70"/>
    <w:unhideWhenUsed/>
    <w:qFormat/>
    <w:locked/>
    <w:rsid w:val="005D1659"/>
    <w:pPr>
      <w:spacing w:before="240" w:after="60"/>
      <w:outlineLvl w:val="6"/>
    </w:pPr>
    <w:rPr>
      <w:rFonts w:asciiTheme="minorHAnsi" w:eastAsiaTheme="minorEastAsia" w:hAnsiTheme="minorHAnsi" w:cstheme="minorBidi"/>
      <w:szCs w:val="24"/>
    </w:rPr>
  </w:style>
  <w:style w:type="paragraph" w:styleId="8">
    <w:name w:val="heading 8"/>
    <w:basedOn w:val="a1"/>
    <w:next w:val="a1"/>
    <w:link w:val="80"/>
    <w:qFormat/>
    <w:locked/>
    <w:rsid w:val="008143D9"/>
    <w:pPr>
      <w:keepNext/>
      <w:keepLines/>
      <w:spacing w:before="200" w:line="240" w:lineRule="auto"/>
      <w:jc w:val="left"/>
      <w:outlineLvl w:val="7"/>
    </w:pPr>
    <w:rPr>
      <w:rFonts w:ascii="Calibri" w:eastAsia="SimSun" w:hAnsi="Calibri"/>
      <w:color w:val="6F6F74"/>
      <w:sz w:val="20"/>
      <w:szCs w:val="20"/>
      <w:lang w:eastAsia="ru-RU"/>
    </w:rPr>
  </w:style>
  <w:style w:type="paragraph" w:styleId="9">
    <w:name w:val="heading 9"/>
    <w:basedOn w:val="a1"/>
    <w:next w:val="a1"/>
    <w:link w:val="90"/>
    <w:qFormat/>
    <w:locked/>
    <w:rsid w:val="008143D9"/>
    <w:pPr>
      <w:keepNext/>
      <w:keepLines/>
      <w:spacing w:before="200" w:line="240" w:lineRule="auto"/>
      <w:jc w:val="left"/>
      <w:outlineLvl w:val="8"/>
    </w:pPr>
    <w:rPr>
      <w:rFonts w:ascii="Calibri" w:eastAsia="SimSun" w:hAnsi="Calibri"/>
      <w:i/>
      <w:iCs/>
      <w:color w:val="404040"/>
      <w:sz w:val="20"/>
      <w:szCs w:val="20"/>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link w:val="11"/>
    <w:qFormat/>
    <w:locked/>
    <w:rsid w:val="00277F8C"/>
    <w:rPr>
      <w:rFonts w:ascii="Times New Roman" w:hAnsi="Times New Roman" w:cs="Times New Roman"/>
      <w:b/>
      <w:sz w:val="24"/>
      <w:szCs w:val="24"/>
    </w:rPr>
  </w:style>
  <w:style w:type="character" w:customStyle="1" w:styleId="20">
    <w:name w:val="Заголовок 2 Знак"/>
    <w:aliases w:val="Наим. подраздела Знак"/>
    <w:link w:val="2"/>
    <w:qFormat/>
    <w:locked/>
    <w:rsid w:val="002F7719"/>
    <w:rPr>
      <w:rFonts w:ascii="Times New Roman" w:hAnsi="Times New Roman" w:cs="Times New Roman"/>
      <w:b/>
      <w:sz w:val="24"/>
      <w:szCs w:val="24"/>
      <w:u w:val="single"/>
    </w:rPr>
  </w:style>
  <w:style w:type="character" w:customStyle="1" w:styleId="a6">
    <w:name w:val="Верхний колонтитул Знак"/>
    <w:rsid w:val="006A566A"/>
    <w:rPr>
      <w:rFonts w:cs="Times New Roman"/>
    </w:rPr>
  </w:style>
  <w:style w:type="character" w:customStyle="1" w:styleId="a7">
    <w:name w:val="Нижний колонтитул Знак"/>
    <w:rsid w:val="006A566A"/>
    <w:rPr>
      <w:rFonts w:cs="Times New Roman"/>
    </w:rPr>
  </w:style>
  <w:style w:type="character" w:customStyle="1" w:styleId="apple-converted-space">
    <w:name w:val="apple-converted-space"/>
    <w:rsid w:val="006A566A"/>
    <w:rPr>
      <w:rFonts w:cs="Times New Roman"/>
    </w:rPr>
  </w:style>
  <w:style w:type="character" w:customStyle="1" w:styleId="-">
    <w:name w:val="Интернет-ссылка"/>
    <w:uiPriority w:val="99"/>
    <w:rsid w:val="006A566A"/>
    <w:rPr>
      <w:rFonts w:cs="Times New Roman"/>
      <w:color w:val="0000FF"/>
      <w:u w:val="single"/>
    </w:rPr>
  </w:style>
  <w:style w:type="character" w:customStyle="1" w:styleId="a8">
    <w:name w:val="Текст выноски Знак"/>
    <w:uiPriority w:val="99"/>
    <w:qFormat/>
    <w:rsid w:val="006A566A"/>
    <w:rPr>
      <w:rFonts w:ascii="Tahoma" w:hAnsi="Tahoma" w:cs="Tahoma"/>
      <w:sz w:val="16"/>
      <w:szCs w:val="16"/>
    </w:rPr>
  </w:style>
  <w:style w:type="character" w:customStyle="1" w:styleId="a9">
    <w:name w:val="Подзаголовок Знак"/>
    <w:uiPriority w:val="11"/>
    <w:rsid w:val="006A566A"/>
    <w:rPr>
      <w:rFonts w:ascii="Times New Roman" w:hAnsi="Times New Roman" w:cs="Times New Roman"/>
      <w:b/>
      <w:sz w:val="24"/>
      <w:szCs w:val="24"/>
      <w:u w:val="single"/>
    </w:rPr>
  </w:style>
  <w:style w:type="character" w:styleId="aa">
    <w:name w:val="Subtle Reference"/>
    <w:uiPriority w:val="31"/>
    <w:qFormat/>
    <w:rsid w:val="006A566A"/>
    <w:rPr>
      <w:rFonts w:ascii="Times New Roman" w:hAnsi="Times New Roman" w:cs="Times New Roman"/>
      <w:b/>
      <w:sz w:val="24"/>
    </w:rPr>
  </w:style>
  <w:style w:type="character" w:customStyle="1" w:styleId="ab">
    <w:name w:val="Абзац списка Знак"/>
    <w:uiPriority w:val="34"/>
    <w:rsid w:val="006A566A"/>
    <w:rPr>
      <w:rFonts w:cs="Times New Roman"/>
    </w:rPr>
  </w:style>
  <w:style w:type="character" w:customStyle="1" w:styleId="ac">
    <w:name w:val="Без интервала Знак"/>
    <w:uiPriority w:val="1"/>
    <w:rsid w:val="006A566A"/>
    <w:rPr>
      <w:rFonts w:ascii="Times New Roman" w:hAnsi="Times New Roman" w:cs="Times New Roman"/>
      <w:sz w:val="24"/>
      <w:szCs w:val="24"/>
    </w:rPr>
  </w:style>
  <w:style w:type="character" w:customStyle="1" w:styleId="ad">
    <w:name w:val="УД Знак"/>
    <w:rsid w:val="006A566A"/>
    <w:rPr>
      <w:rFonts w:ascii="Times New Roman" w:hAnsi="Times New Roman" w:cs="Times New Roman"/>
      <w:b/>
      <w:sz w:val="24"/>
      <w:szCs w:val="24"/>
    </w:rPr>
  </w:style>
  <w:style w:type="character" w:customStyle="1" w:styleId="ae">
    <w:name w:val="Ком Знак"/>
    <w:rsid w:val="006A566A"/>
    <w:rPr>
      <w:rFonts w:ascii="Times New Roman" w:hAnsi="Times New Roman" w:cs="Times New Roman"/>
      <w:i/>
      <w:sz w:val="24"/>
      <w:szCs w:val="24"/>
    </w:rPr>
  </w:style>
  <w:style w:type="character" w:styleId="af">
    <w:name w:val="annotation reference"/>
    <w:qFormat/>
    <w:rsid w:val="006A566A"/>
    <w:rPr>
      <w:rFonts w:cs="Times New Roman"/>
      <w:sz w:val="16"/>
      <w:szCs w:val="16"/>
    </w:rPr>
  </w:style>
  <w:style w:type="character" w:customStyle="1" w:styleId="af0">
    <w:name w:val="Текст примечания Знак"/>
    <w:uiPriority w:val="99"/>
    <w:qFormat/>
    <w:rsid w:val="006A566A"/>
    <w:rPr>
      <w:rFonts w:ascii="Times New Roman" w:hAnsi="Times New Roman" w:cs="Times New Roman"/>
      <w:sz w:val="20"/>
      <w:szCs w:val="20"/>
    </w:rPr>
  </w:style>
  <w:style w:type="character" w:customStyle="1" w:styleId="af1">
    <w:name w:val="Тема примечания Знак"/>
    <w:uiPriority w:val="99"/>
    <w:qFormat/>
    <w:rsid w:val="006A566A"/>
    <w:rPr>
      <w:rFonts w:ascii="Times New Roman" w:hAnsi="Times New Roman" w:cs="Times New Roman"/>
      <w:b/>
      <w:bCs/>
      <w:sz w:val="20"/>
      <w:szCs w:val="20"/>
    </w:rPr>
  </w:style>
  <w:style w:type="character" w:customStyle="1" w:styleId="af2">
    <w:name w:val="Название Знак"/>
    <w:aliases w:val="Заголовок мой Знак"/>
    <w:rsid w:val="006A566A"/>
    <w:rPr>
      <w:rFonts w:ascii="Times New Roman" w:hAnsi="Times New Roman" w:cs="Times New Roman"/>
      <w:spacing w:val="-10"/>
      <w:sz w:val="56"/>
      <w:szCs w:val="56"/>
      <w:u w:val="single"/>
    </w:rPr>
  </w:style>
  <w:style w:type="character" w:customStyle="1" w:styleId="pop-slug-vol">
    <w:name w:val="pop-slug-vol"/>
    <w:uiPriority w:val="99"/>
    <w:qFormat/>
    <w:rsid w:val="006A566A"/>
  </w:style>
  <w:style w:type="character" w:customStyle="1" w:styleId="af3">
    <w:name w:val="Текст сноски Знак"/>
    <w:rsid w:val="006A566A"/>
    <w:rPr>
      <w:rFonts w:ascii="Calibri" w:hAnsi="Calibri" w:cs="Times New Roman"/>
      <w:sz w:val="20"/>
      <w:szCs w:val="20"/>
    </w:rPr>
  </w:style>
  <w:style w:type="character" w:styleId="af4">
    <w:name w:val="footnote reference"/>
    <w:qFormat/>
    <w:rsid w:val="006A566A"/>
    <w:rPr>
      <w:rFonts w:cs="Times New Roman"/>
      <w:vertAlign w:val="superscript"/>
    </w:rPr>
  </w:style>
  <w:style w:type="character" w:customStyle="1" w:styleId="Normal1">
    <w:name w:val="Normal1 Знак"/>
    <w:uiPriority w:val="99"/>
    <w:locked/>
    <w:rsid w:val="006A566A"/>
    <w:rPr>
      <w:rFonts w:ascii="Times New Roman" w:hAnsi="Times New Roman" w:cs="Times New Roman"/>
      <w:sz w:val="20"/>
      <w:szCs w:val="20"/>
      <w:lang w:eastAsia="ru-RU"/>
    </w:rPr>
  </w:style>
  <w:style w:type="character" w:customStyle="1" w:styleId="13">
    <w:name w:val="Стиль1 Знак"/>
    <w:rsid w:val="006A566A"/>
    <w:rPr>
      <w:rFonts w:ascii="Times New Roman" w:hAnsi="Times New Roman" w:cs="Times New Roman"/>
      <w:sz w:val="24"/>
      <w:szCs w:val="24"/>
      <w:lang w:eastAsia="ru-RU"/>
    </w:rPr>
  </w:style>
  <w:style w:type="character" w:customStyle="1" w:styleId="ListLabel1">
    <w:name w:val="ListLabel 1"/>
    <w:rsid w:val="005353B8"/>
  </w:style>
  <w:style w:type="character" w:customStyle="1" w:styleId="ListLabel2">
    <w:name w:val="ListLabel 2"/>
    <w:rsid w:val="005353B8"/>
  </w:style>
  <w:style w:type="character" w:customStyle="1" w:styleId="ListLabel3">
    <w:name w:val="ListLabel 3"/>
    <w:rsid w:val="005353B8"/>
  </w:style>
  <w:style w:type="character" w:customStyle="1" w:styleId="ListLabel4">
    <w:name w:val="ListLabel 4"/>
    <w:rsid w:val="005353B8"/>
  </w:style>
  <w:style w:type="character" w:customStyle="1" w:styleId="ListLabel5">
    <w:name w:val="ListLabel 5"/>
    <w:rsid w:val="005353B8"/>
  </w:style>
  <w:style w:type="character" w:customStyle="1" w:styleId="ListLabel6">
    <w:name w:val="ListLabel 6"/>
    <w:rsid w:val="005353B8"/>
  </w:style>
  <w:style w:type="character" w:customStyle="1" w:styleId="ListLabel7">
    <w:name w:val="ListLabel 7"/>
    <w:rsid w:val="005353B8"/>
  </w:style>
  <w:style w:type="character" w:customStyle="1" w:styleId="ListLabel8">
    <w:name w:val="ListLabel 8"/>
    <w:rsid w:val="005353B8"/>
  </w:style>
  <w:style w:type="character" w:customStyle="1" w:styleId="ListLabel9">
    <w:name w:val="ListLabel 9"/>
    <w:rsid w:val="005353B8"/>
  </w:style>
  <w:style w:type="character" w:customStyle="1" w:styleId="ListLabel10">
    <w:name w:val="ListLabel 10"/>
    <w:rsid w:val="005353B8"/>
    <w:rPr>
      <w:sz w:val="24"/>
    </w:rPr>
  </w:style>
  <w:style w:type="character" w:customStyle="1" w:styleId="ListLabel11">
    <w:name w:val="ListLabel 11"/>
    <w:rsid w:val="005353B8"/>
  </w:style>
  <w:style w:type="character" w:customStyle="1" w:styleId="ListLabel12">
    <w:name w:val="ListLabel 12"/>
    <w:rsid w:val="005353B8"/>
  </w:style>
  <w:style w:type="character" w:customStyle="1" w:styleId="ListLabel13">
    <w:name w:val="ListLabel 13"/>
    <w:rsid w:val="005353B8"/>
  </w:style>
  <w:style w:type="character" w:customStyle="1" w:styleId="ListLabel14">
    <w:name w:val="ListLabel 14"/>
    <w:rsid w:val="005353B8"/>
  </w:style>
  <w:style w:type="character" w:customStyle="1" w:styleId="ListLabel15">
    <w:name w:val="ListLabel 15"/>
    <w:rsid w:val="005353B8"/>
  </w:style>
  <w:style w:type="character" w:customStyle="1" w:styleId="ListLabel16">
    <w:name w:val="ListLabel 16"/>
    <w:rsid w:val="005353B8"/>
  </w:style>
  <w:style w:type="character" w:customStyle="1" w:styleId="ListLabel17">
    <w:name w:val="ListLabel 17"/>
    <w:rsid w:val="005353B8"/>
  </w:style>
  <w:style w:type="character" w:customStyle="1" w:styleId="ListLabel18">
    <w:name w:val="ListLabel 18"/>
    <w:rsid w:val="005353B8"/>
  </w:style>
  <w:style w:type="character" w:customStyle="1" w:styleId="ListLabel19">
    <w:name w:val="ListLabel 19"/>
    <w:rsid w:val="005353B8"/>
  </w:style>
  <w:style w:type="character" w:customStyle="1" w:styleId="ListLabel20">
    <w:name w:val="ListLabel 20"/>
    <w:rsid w:val="005353B8"/>
  </w:style>
  <w:style w:type="character" w:customStyle="1" w:styleId="ListLabel21">
    <w:name w:val="ListLabel 21"/>
    <w:rsid w:val="005353B8"/>
  </w:style>
  <w:style w:type="character" w:customStyle="1" w:styleId="ListLabel22">
    <w:name w:val="ListLabel 22"/>
    <w:rsid w:val="005353B8"/>
  </w:style>
  <w:style w:type="character" w:customStyle="1" w:styleId="ListLabel23">
    <w:name w:val="ListLabel 23"/>
    <w:rsid w:val="005353B8"/>
  </w:style>
  <w:style w:type="character" w:customStyle="1" w:styleId="ListLabel24">
    <w:name w:val="ListLabel 24"/>
    <w:rsid w:val="005353B8"/>
  </w:style>
  <w:style w:type="character" w:customStyle="1" w:styleId="ListLabel25">
    <w:name w:val="ListLabel 25"/>
    <w:rsid w:val="005353B8"/>
  </w:style>
  <w:style w:type="character" w:customStyle="1" w:styleId="ListLabel26">
    <w:name w:val="ListLabel 26"/>
    <w:rsid w:val="005353B8"/>
  </w:style>
  <w:style w:type="character" w:customStyle="1" w:styleId="ListLabel27">
    <w:name w:val="ListLabel 27"/>
    <w:rsid w:val="005353B8"/>
  </w:style>
  <w:style w:type="character" w:customStyle="1" w:styleId="ListLabel28">
    <w:name w:val="ListLabel 28"/>
    <w:rsid w:val="005353B8"/>
  </w:style>
  <w:style w:type="character" w:customStyle="1" w:styleId="ListLabel29">
    <w:name w:val="ListLabel 29"/>
    <w:rsid w:val="005353B8"/>
  </w:style>
  <w:style w:type="character" w:customStyle="1" w:styleId="ListLabel30">
    <w:name w:val="ListLabel 30"/>
    <w:rsid w:val="005353B8"/>
  </w:style>
  <w:style w:type="character" w:customStyle="1" w:styleId="ListLabel31">
    <w:name w:val="ListLabel 31"/>
    <w:rsid w:val="005353B8"/>
  </w:style>
  <w:style w:type="character" w:customStyle="1" w:styleId="ListLabel32">
    <w:name w:val="ListLabel 32"/>
    <w:rsid w:val="005353B8"/>
  </w:style>
  <w:style w:type="character" w:customStyle="1" w:styleId="ListLabel33">
    <w:name w:val="ListLabel 33"/>
    <w:rsid w:val="005353B8"/>
  </w:style>
  <w:style w:type="character" w:customStyle="1" w:styleId="ListLabel34">
    <w:name w:val="ListLabel 34"/>
    <w:rsid w:val="005353B8"/>
  </w:style>
  <w:style w:type="character" w:customStyle="1" w:styleId="ListLabel35">
    <w:name w:val="ListLabel 35"/>
    <w:rsid w:val="005353B8"/>
  </w:style>
  <w:style w:type="character" w:customStyle="1" w:styleId="ListLabel36">
    <w:name w:val="ListLabel 36"/>
    <w:rsid w:val="005353B8"/>
    <w:rPr>
      <w:b/>
      <w:sz w:val="24"/>
    </w:rPr>
  </w:style>
  <w:style w:type="character" w:customStyle="1" w:styleId="ListLabel37">
    <w:name w:val="ListLabel 37"/>
    <w:rsid w:val="005353B8"/>
  </w:style>
  <w:style w:type="character" w:customStyle="1" w:styleId="ListLabel38">
    <w:name w:val="ListLabel 38"/>
    <w:rsid w:val="005353B8"/>
  </w:style>
  <w:style w:type="character" w:customStyle="1" w:styleId="ListLabel39">
    <w:name w:val="ListLabel 39"/>
    <w:rsid w:val="005353B8"/>
  </w:style>
  <w:style w:type="character" w:customStyle="1" w:styleId="af5">
    <w:name w:val="Ссылка указателя"/>
    <w:qFormat/>
    <w:rsid w:val="005353B8"/>
  </w:style>
  <w:style w:type="paragraph" w:customStyle="1" w:styleId="14">
    <w:name w:val="Заголовок1"/>
    <w:basedOn w:val="a1"/>
    <w:next w:val="af6"/>
    <w:rsid w:val="005353B8"/>
    <w:pPr>
      <w:keepNext/>
      <w:spacing w:before="240" w:after="120"/>
    </w:pPr>
    <w:rPr>
      <w:rFonts w:ascii="Liberation Sans" w:eastAsia="Microsoft YaHei" w:hAnsi="Liberation Sans" w:cs="Mangal"/>
      <w:sz w:val="28"/>
      <w:szCs w:val="28"/>
    </w:rPr>
  </w:style>
  <w:style w:type="paragraph" w:styleId="af6">
    <w:name w:val="Body Text"/>
    <w:basedOn w:val="a1"/>
    <w:link w:val="af7"/>
    <w:rsid w:val="005353B8"/>
    <w:pPr>
      <w:spacing w:after="140" w:line="288" w:lineRule="auto"/>
    </w:pPr>
  </w:style>
  <w:style w:type="character" w:customStyle="1" w:styleId="af7">
    <w:name w:val="Основной текст Знак"/>
    <w:link w:val="af6"/>
    <w:locked/>
    <w:rPr>
      <w:rFonts w:ascii="Times New Roman" w:hAnsi="Times New Roman" w:cs="Times New Roman"/>
      <w:sz w:val="24"/>
      <w:lang w:eastAsia="en-US"/>
    </w:rPr>
  </w:style>
  <w:style w:type="paragraph" w:styleId="af8">
    <w:name w:val="List"/>
    <w:basedOn w:val="af6"/>
    <w:rsid w:val="005353B8"/>
    <w:rPr>
      <w:rFonts w:cs="Mangal"/>
    </w:rPr>
  </w:style>
  <w:style w:type="paragraph" w:styleId="af9">
    <w:name w:val="caption"/>
    <w:basedOn w:val="a1"/>
    <w:qFormat/>
    <w:rsid w:val="005353B8"/>
    <w:pPr>
      <w:suppressLineNumbers/>
      <w:spacing w:before="120" w:after="120"/>
    </w:pPr>
    <w:rPr>
      <w:rFonts w:cs="Mangal"/>
      <w:i/>
      <w:iCs/>
      <w:szCs w:val="24"/>
    </w:rPr>
  </w:style>
  <w:style w:type="paragraph" w:styleId="15">
    <w:name w:val="index 1"/>
    <w:basedOn w:val="a1"/>
    <w:next w:val="a1"/>
    <w:autoRedefine/>
    <w:uiPriority w:val="99"/>
    <w:semiHidden/>
    <w:rsid w:val="006A566A"/>
    <w:pPr>
      <w:ind w:left="240" w:hanging="240"/>
    </w:pPr>
  </w:style>
  <w:style w:type="paragraph" w:styleId="afa">
    <w:name w:val="index heading"/>
    <w:basedOn w:val="a1"/>
    <w:rsid w:val="005353B8"/>
    <w:pPr>
      <w:suppressLineNumbers/>
    </w:pPr>
    <w:rPr>
      <w:rFonts w:cs="Mangal"/>
    </w:rPr>
  </w:style>
  <w:style w:type="paragraph" w:styleId="afb">
    <w:name w:val="header"/>
    <w:basedOn w:val="a1"/>
    <w:link w:val="16"/>
    <w:rsid w:val="006A566A"/>
    <w:pPr>
      <w:tabs>
        <w:tab w:val="center" w:pos="4677"/>
        <w:tab w:val="right" w:pos="9355"/>
      </w:tabs>
      <w:spacing w:line="240" w:lineRule="auto"/>
    </w:pPr>
  </w:style>
  <w:style w:type="character" w:customStyle="1" w:styleId="16">
    <w:name w:val="Верхний колонтитул Знак1"/>
    <w:link w:val="afb"/>
    <w:uiPriority w:val="99"/>
    <w:locked/>
    <w:rPr>
      <w:rFonts w:ascii="Times New Roman" w:hAnsi="Times New Roman" w:cs="Times New Roman"/>
      <w:sz w:val="24"/>
      <w:lang w:eastAsia="en-US"/>
    </w:rPr>
  </w:style>
  <w:style w:type="paragraph" w:styleId="afc">
    <w:name w:val="footer"/>
    <w:basedOn w:val="a1"/>
    <w:link w:val="17"/>
    <w:rsid w:val="006A566A"/>
    <w:pPr>
      <w:tabs>
        <w:tab w:val="center" w:pos="4677"/>
        <w:tab w:val="right" w:pos="9355"/>
      </w:tabs>
      <w:spacing w:line="240" w:lineRule="auto"/>
    </w:pPr>
  </w:style>
  <w:style w:type="character" w:customStyle="1" w:styleId="17">
    <w:name w:val="Нижний колонтитул Знак1"/>
    <w:link w:val="afc"/>
    <w:uiPriority w:val="99"/>
    <w:locked/>
    <w:rPr>
      <w:rFonts w:ascii="Times New Roman" w:hAnsi="Times New Roman" w:cs="Times New Roman"/>
      <w:sz w:val="24"/>
      <w:lang w:eastAsia="en-US"/>
    </w:rPr>
  </w:style>
  <w:style w:type="paragraph" w:styleId="afd">
    <w:name w:val="Normal (Web)"/>
    <w:basedOn w:val="a1"/>
    <w:link w:val="afe"/>
    <w:uiPriority w:val="99"/>
    <w:qFormat/>
    <w:rsid w:val="006A566A"/>
    <w:pPr>
      <w:spacing w:beforeAutospacing="1" w:afterAutospacing="1" w:line="288" w:lineRule="auto"/>
    </w:pPr>
    <w:rPr>
      <w:rFonts w:eastAsia="Times New Roman"/>
      <w:szCs w:val="24"/>
      <w:lang w:eastAsia="ru-RU"/>
    </w:rPr>
  </w:style>
  <w:style w:type="paragraph" w:styleId="aff">
    <w:name w:val="List Paragraph"/>
    <w:basedOn w:val="a1"/>
    <w:link w:val="18"/>
    <w:uiPriority w:val="34"/>
    <w:qFormat/>
    <w:rsid w:val="006A566A"/>
    <w:pPr>
      <w:ind w:left="720"/>
    </w:pPr>
  </w:style>
  <w:style w:type="paragraph" w:customStyle="1" w:styleId="desc">
    <w:name w:val="desc"/>
    <w:basedOn w:val="a1"/>
    <w:rsid w:val="006A566A"/>
    <w:pPr>
      <w:spacing w:beforeAutospacing="1" w:afterAutospacing="1" w:line="240" w:lineRule="auto"/>
    </w:pPr>
    <w:rPr>
      <w:rFonts w:eastAsia="Times New Roman"/>
      <w:szCs w:val="24"/>
      <w:lang w:eastAsia="ru-RU"/>
    </w:rPr>
  </w:style>
  <w:style w:type="paragraph" w:styleId="aff0">
    <w:name w:val="TOC Heading"/>
    <w:basedOn w:val="11"/>
    <w:uiPriority w:val="39"/>
    <w:qFormat/>
    <w:rsid w:val="006A566A"/>
    <w:pPr>
      <w:spacing w:line="276" w:lineRule="auto"/>
    </w:pPr>
  </w:style>
  <w:style w:type="paragraph" w:styleId="aff1">
    <w:name w:val="Balloon Text"/>
    <w:basedOn w:val="a1"/>
    <w:link w:val="19"/>
    <w:qFormat/>
    <w:rsid w:val="006A566A"/>
    <w:pPr>
      <w:spacing w:line="240" w:lineRule="auto"/>
    </w:pPr>
    <w:rPr>
      <w:rFonts w:ascii="Tahoma" w:hAnsi="Tahoma" w:cs="Tahoma"/>
      <w:sz w:val="16"/>
      <w:szCs w:val="16"/>
    </w:rPr>
  </w:style>
  <w:style w:type="character" w:customStyle="1" w:styleId="19">
    <w:name w:val="Текст выноски Знак1"/>
    <w:link w:val="aff1"/>
    <w:uiPriority w:val="99"/>
    <w:locked/>
    <w:rPr>
      <w:rFonts w:ascii="Times New Roman" w:hAnsi="Times New Roman" w:cs="Times New Roman"/>
      <w:sz w:val="2"/>
      <w:lang w:eastAsia="en-US"/>
    </w:rPr>
  </w:style>
  <w:style w:type="paragraph" w:styleId="1a">
    <w:name w:val="toc 1"/>
    <w:basedOn w:val="a1"/>
    <w:autoRedefine/>
    <w:uiPriority w:val="39"/>
    <w:qFormat/>
    <w:rsid w:val="006A566A"/>
    <w:pPr>
      <w:tabs>
        <w:tab w:val="right" w:leader="dot" w:pos="9345"/>
      </w:tabs>
      <w:spacing w:after="100"/>
    </w:pPr>
  </w:style>
  <w:style w:type="paragraph" w:styleId="a2">
    <w:name w:val="Subtitle"/>
    <w:basedOn w:val="a1"/>
    <w:link w:val="1b"/>
    <w:uiPriority w:val="11"/>
    <w:qFormat/>
    <w:rsid w:val="006A566A"/>
    <w:pPr>
      <w:suppressAutoHyphens/>
      <w:spacing w:before="240"/>
    </w:pPr>
    <w:rPr>
      <w:b/>
      <w:szCs w:val="24"/>
      <w:u w:val="single"/>
    </w:rPr>
  </w:style>
  <w:style w:type="character" w:customStyle="1" w:styleId="1b">
    <w:name w:val="Подзаголовок Знак1"/>
    <w:link w:val="a2"/>
    <w:uiPriority w:val="11"/>
    <w:locked/>
    <w:rPr>
      <w:rFonts w:ascii="Cambria" w:hAnsi="Cambria" w:cs="Times New Roman"/>
      <w:sz w:val="24"/>
      <w:szCs w:val="24"/>
      <w:lang w:eastAsia="en-US"/>
    </w:rPr>
  </w:style>
  <w:style w:type="paragraph" w:styleId="aff2">
    <w:name w:val="No Spacing"/>
    <w:basedOn w:val="aff"/>
    <w:uiPriority w:val="1"/>
    <w:qFormat/>
    <w:rsid w:val="006A566A"/>
    <w:pPr>
      <w:spacing w:before="240"/>
      <w:ind w:left="851" w:hanging="425"/>
    </w:pPr>
    <w:rPr>
      <w:szCs w:val="24"/>
    </w:rPr>
  </w:style>
  <w:style w:type="paragraph" w:customStyle="1" w:styleId="aff3">
    <w:name w:val="УД"/>
    <w:basedOn w:val="aff2"/>
    <w:uiPriority w:val="99"/>
    <w:rsid w:val="006A566A"/>
    <w:pPr>
      <w:spacing w:before="0"/>
    </w:pPr>
    <w:rPr>
      <w:b/>
    </w:rPr>
  </w:style>
  <w:style w:type="paragraph" w:customStyle="1" w:styleId="aff4">
    <w:name w:val="Ком"/>
    <w:basedOn w:val="aff3"/>
    <w:rsid w:val="006A566A"/>
    <w:rPr>
      <w:b w:val="0"/>
      <w:i/>
    </w:rPr>
  </w:style>
  <w:style w:type="paragraph" w:styleId="aff5">
    <w:name w:val="annotation text"/>
    <w:basedOn w:val="a1"/>
    <w:link w:val="1c"/>
    <w:qFormat/>
    <w:rsid w:val="006A566A"/>
    <w:pPr>
      <w:spacing w:line="240" w:lineRule="auto"/>
    </w:pPr>
    <w:rPr>
      <w:sz w:val="20"/>
      <w:szCs w:val="20"/>
    </w:rPr>
  </w:style>
  <w:style w:type="character" w:customStyle="1" w:styleId="1c">
    <w:name w:val="Текст примечания Знак1"/>
    <w:link w:val="aff5"/>
    <w:uiPriority w:val="99"/>
    <w:locked/>
    <w:rsid w:val="00506CB9"/>
    <w:rPr>
      <w:rFonts w:ascii="Times New Roman" w:hAnsi="Times New Roman" w:cs="Times New Roman"/>
      <w:sz w:val="20"/>
      <w:szCs w:val="20"/>
    </w:rPr>
  </w:style>
  <w:style w:type="paragraph" w:styleId="aff6">
    <w:name w:val="annotation subject"/>
    <w:basedOn w:val="aff5"/>
    <w:link w:val="1d"/>
    <w:qFormat/>
    <w:rsid w:val="006A566A"/>
    <w:rPr>
      <w:b/>
      <w:bCs/>
    </w:rPr>
  </w:style>
  <w:style w:type="character" w:customStyle="1" w:styleId="1d">
    <w:name w:val="Тема примечания Знак1"/>
    <w:link w:val="aff6"/>
    <w:uiPriority w:val="99"/>
    <w:locked/>
    <w:rPr>
      <w:rFonts w:ascii="Times New Roman" w:hAnsi="Times New Roman" w:cs="Times New Roman"/>
      <w:b/>
      <w:bCs/>
      <w:sz w:val="20"/>
      <w:szCs w:val="20"/>
      <w:lang w:eastAsia="en-US"/>
    </w:rPr>
  </w:style>
  <w:style w:type="paragraph" w:styleId="aff7">
    <w:name w:val="Title"/>
    <w:aliases w:val="Заголовок мой,Название1"/>
    <w:basedOn w:val="a1"/>
    <w:link w:val="1e"/>
    <w:qFormat/>
    <w:rsid w:val="006A566A"/>
    <w:pPr>
      <w:jc w:val="center"/>
    </w:pPr>
    <w:rPr>
      <w:rFonts w:eastAsia="Times New Roman"/>
      <w:spacing w:val="-10"/>
      <w:sz w:val="28"/>
      <w:szCs w:val="56"/>
      <w:u w:val="single"/>
    </w:rPr>
  </w:style>
  <w:style w:type="character" w:customStyle="1" w:styleId="1e">
    <w:name w:val="Название Знак1"/>
    <w:aliases w:val="Заголовок мой Знак1,Название1 Знак"/>
    <w:link w:val="aff7"/>
    <w:locked/>
    <w:rPr>
      <w:rFonts w:ascii="Cambria" w:hAnsi="Cambria" w:cs="Times New Roman"/>
      <w:b/>
      <w:bCs/>
      <w:kern w:val="28"/>
      <w:sz w:val="32"/>
      <w:szCs w:val="32"/>
      <w:lang w:eastAsia="en-US"/>
    </w:rPr>
  </w:style>
  <w:style w:type="paragraph" w:styleId="21">
    <w:name w:val="toc 2"/>
    <w:basedOn w:val="a1"/>
    <w:autoRedefine/>
    <w:uiPriority w:val="39"/>
    <w:qFormat/>
    <w:rsid w:val="002B283D"/>
    <w:pPr>
      <w:tabs>
        <w:tab w:val="right" w:leader="dot" w:pos="9345"/>
      </w:tabs>
      <w:spacing w:after="200" w:line="276" w:lineRule="auto"/>
      <w:ind w:left="220"/>
    </w:pPr>
    <w:rPr>
      <w:rFonts w:ascii="Calibri" w:hAnsi="Calibri"/>
      <w:sz w:val="22"/>
    </w:rPr>
  </w:style>
  <w:style w:type="paragraph" w:customStyle="1" w:styleId="Normal10">
    <w:name w:val="Normal1"/>
    <w:uiPriority w:val="99"/>
    <w:rsid w:val="006A566A"/>
    <w:pPr>
      <w:widowControl w:val="0"/>
      <w:jc w:val="both"/>
    </w:pPr>
    <w:rPr>
      <w:rFonts w:ascii="Times New Roman" w:eastAsia="Times New Roman" w:hAnsi="Times New Roman"/>
    </w:rPr>
  </w:style>
  <w:style w:type="paragraph" w:styleId="aff8">
    <w:name w:val="footnote text"/>
    <w:basedOn w:val="a1"/>
    <w:link w:val="1f"/>
    <w:qFormat/>
    <w:rsid w:val="006A566A"/>
    <w:pPr>
      <w:spacing w:after="200" w:line="276" w:lineRule="auto"/>
    </w:pPr>
    <w:rPr>
      <w:rFonts w:ascii="Calibri" w:hAnsi="Calibri"/>
      <w:sz w:val="20"/>
      <w:szCs w:val="20"/>
    </w:rPr>
  </w:style>
  <w:style w:type="character" w:customStyle="1" w:styleId="1f">
    <w:name w:val="Текст сноски Знак1"/>
    <w:link w:val="aff8"/>
    <w:uiPriority w:val="99"/>
    <w:locked/>
    <w:rPr>
      <w:rFonts w:ascii="Times New Roman" w:hAnsi="Times New Roman" w:cs="Times New Roman"/>
      <w:sz w:val="20"/>
      <w:szCs w:val="20"/>
      <w:lang w:eastAsia="en-US"/>
    </w:rPr>
  </w:style>
  <w:style w:type="paragraph" w:customStyle="1" w:styleId="TOC1Char">
    <w:name w:val="TOC 1 Char"/>
    <w:basedOn w:val="Normal10"/>
    <w:uiPriority w:val="99"/>
    <w:rsid w:val="006A566A"/>
    <w:pPr>
      <w:spacing w:line="360" w:lineRule="auto"/>
      <w:ind w:left="709" w:hanging="283"/>
    </w:pPr>
    <w:rPr>
      <w:sz w:val="24"/>
      <w:szCs w:val="24"/>
    </w:rPr>
  </w:style>
  <w:style w:type="paragraph" w:customStyle="1" w:styleId="aff9">
    <w:name w:val="Содержимое врезки"/>
    <w:basedOn w:val="a1"/>
    <w:uiPriority w:val="99"/>
    <w:qFormat/>
    <w:rsid w:val="005353B8"/>
  </w:style>
  <w:style w:type="table" w:styleId="affa">
    <w:name w:val="Table Grid"/>
    <w:basedOn w:val="a4"/>
    <w:rsid w:val="006A56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0">
    <w:name w:val="1"/>
    <w:link w:val="1f1"/>
    <w:uiPriority w:val="99"/>
    <w:rsid w:val="005353B8"/>
    <w:pPr>
      <w:keepNext/>
      <w:keepLines/>
      <w:spacing w:line="276" w:lineRule="auto"/>
      <w:outlineLvl w:val="0"/>
    </w:pPr>
    <w:rPr>
      <w:rFonts w:ascii="Times New Roman" w:eastAsia="Times New Roman" w:hAnsi="Times New Roman"/>
      <w:sz w:val="22"/>
      <w:szCs w:val="22"/>
    </w:rPr>
  </w:style>
  <w:style w:type="paragraph" w:customStyle="1" w:styleId="CustomContentNormal">
    <w:name w:val="Custom Content Normal"/>
    <w:link w:val="CustomContentNormal0"/>
    <w:rsid w:val="00D2226B"/>
    <w:pPr>
      <w:keepNext/>
      <w:keepLines/>
      <w:spacing w:before="240" w:line="360" w:lineRule="auto"/>
      <w:jc w:val="center"/>
      <w:outlineLvl w:val="0"/>
    </w:pPr>
    <w:rPr>
      <w:rFonts w:ascii="Times New Roman" w:hAnsi="Times New Roman"/>
      <w:b/>
      <w:sz w:val="28"/>
      <w:szCs w:val="22"/>
      <w:lang w:eastAsia="en-US"/>
    </w:rPr>
  </w:style>
  <w:style w:type="character" w:styleId="affb">
    <w:name w:val="Strong"/>
    <w:uiPriority w:val="22"/>
    <w:qFormat/>
    <w:rsid w:val="009E685D"/>
    <w:rPr>
      <w:rFonts w:cs="Times New Roman"/>
      <w:b/>
      <w:bCs/>
    </w:rPr>
  </w:style>
  <w:style w:type="character" w:styleId="affc">
    <w:name w:val="Emphasis"/>
    <w:uiPriority w:val="20"/>
    <w:qFormat/>
    <w:rsid w:val="002F7719"/>
    <w:rPr>
      <w:rFonts w:cs="Times New Roman"/>
      <w:i/>
      <w:iCs/>
    </w:rPr>
  </w:style>
  <w:style w:type="character" w:styleId="affd">
    <w:name w:val="Hyperlink"/>
    <w:uiPriority w:val="99"/>
    <w:rsid w:val="005353B8"/>
    <w:rPr>
      <w:rFonts w:cs="Times New Roman"/>
      <w:color w:val="0000FF"/>
      <w:u w:val="single"/>
    </w:rPr>
  </w:style>
  <w:style w:type="paragraph" w:customStyle="1" w:styleId="10">
    <w:name w:val="Стиль1"/>
    <w:basedOn w:val="a1"/>
    <w:link w:val="110"/>
    <w:rsid w:val="00D2226B"/>
    <w:pPr>
      <w:numPr>
        <w:numId w:val="1"/>
      </w:numPr>
      <w:spacing w:before="240"/>
    </w:pPr>
    <w:rPr>
      <w:rFonts w:eastAsia="Times New Roman"/>
    </w:rPr>
  </w:style>
  <w:style w:type="character" w:customStyle="1" w:styleId="110">
    <w:name w:val="Стиль1 Знак1"/>
    <w:link w:val="10"/>
    <w:locked/>
    <w:rsid w:val="00D2226B"/>
    <w:rPr>
      <w:rFonts w:ascii="Times New Roman" w:eastAsia="Times New Roman" w:hAnsi="Times New Roman"/>
      <w:sz w:val="24"/>
      <w:szCs w:val="22"/>
      <w:lang w:eastAsia="en-US"/>
    </w:rPr>
  </w:style>
  <w:style w:type="paragraph" w:customStyle="1" w:styleId="affe">
    <w:name w:val="Наим. раздела"/>
    <w:basedOn w:val="CustomContentNormal"/>
    <w:link w:val="afff"/>
    <w:qFormat/>
    <w:rsid w:val="000651F3"/>
  </w:style>
  <w:style w:type="character" w:customStyle="1" w:styleId="afff">
    <w:name w:val="Наим. раздела Знак"/>
    <w:link w:val="affe"/>
    <w:locked/>
    <w:rsid w:val="000651F3"/>
    <w:rPr>
      <w:rFonts w:ascii="Times New Roman" w:hAnsi="Times New Roman" w:cs="Times New Roman"/>
      <w:b/>
      <w:sz w:val="28"/>
    </w:rPr>
  </w:style>
  <w:style w:type="paragraph" w:customStyle="1" w:styleId="afff0">
    <w:name w:val="Памятки"/>
    <w:basedOn w:val="a1"/>
    <w:link w:val="afff1"/>
    <w:uiPriority w:val="99"/>
    <w:qFormat/>
    <w:rsid w:val="000651F3"/>
    <w:pPr>
      <w:ind w:firstLine="709"/>
    </w:pPr>
    <w:rPr>
      <w:rFonts w:eastAsia="Times New Roman"/>
      <w:i/>
      <w:color w:val="FF0000"/>
      <w:sz w:val="18"/>
      <w:szCs w:val="24"/>
    </w:rPr>
  </w:style>
  <w:style w:type="character" w:customStyle="1" w:styleId="afff1">
    <w:name w:val="Памятки Знак"/>
    <w:link w:val="afff0"/>
    <w:uiPriority w:val="99"/>
    <w:locked/>
    <w:rsid w:val="000651F3"/>
    <w:rPr>
      <w:rFonts w:ascii="Times New Roman" w:hAnsi="Times New Roman" w:cs="Times New Roman"/>
      <w:i/>
      <w:color w:val="FF0000"/>
      <w:sz w:val="24"/>
      <w:szCs w:val="24"/>
    </w:rPr>
  </w:style>
  <w:style w:type="paragraph" w:customStyle="1" w:styleId="Number">
    <w:name w:val="Number"/>
    <w:basedOn w:val="a1"/>
    <w:link w:val="NumberChar"/>
    <w:uiPriority w:val="99"/>
    <w:rsid w:val="00823DA0"/>
    <w:pPr>
      <w:autoSpaceDE w:val="0"/>
      <w:autoSpaceDN w:val="0"/>
      <w:adjustRightInd w:val="0"/>
      <w:spacing w:before="40" w:line="240" w:lineRule="auto"/>
      <w:ind w:left="714" w:hanging="5"/>
    </w:pPr>
    <w:rPr>
      <w:rFonts w:eastAsia="Times New Roman"/>
      <w:color w:val="000000"/>
      <w:szCs w:val="24"/>
      <w:lang w:eastAsia="ru-RU"/>
    </w:rPr>
  </w:style>
  <w:style w:type="character" w:customStyle="1" w:styleId="NumberChar">
    <w:name w:val="Number Char"/>
    <w:link w:val="Number"/>
    <w:uiPriority w:val="99"/>
    <w:locked/>
    <w:rsid w:val="00823DA0"/>
    <w:rPr>
      <w:rFonts w:ascii="Times New Roman" w:hAnsi="Times New Roman" w:cs="Times New Roman"/>
      <w:color w:val="000000"/>
      <w:sz w:val="24"/>
      <w:szCs w:val="24"/>
      <w:lang w:eastAsia="ru-RU"/>
    </w:rPr>
  </w:style>
  <w:style w:type="paragraph" w:customStyle="1" w:styleId="table-head-bold">
    <w:name w:val="table-head-bold"/>
    <w:basedOn w:val="a1"/>
    <w:uiPriority w:val="99"/>
    <w:rsid w:val="00FE36EC"/>
    <w:pPr>
      <w:autoSpaceDE w:val="0"/>
      <w:autoSpaceDN w:val="0"/>
      <w:adjustRightInd w:val="0"/>
      <w:spacing w:before="40" w:line="240" w:lineRule="auto"/>
      <w:ind w:left="113"/>
    </w:pPr>
    <w:rPr>
      <w:rFonts w:eastAsia="Times New Roman"/>
      <w:b/>
      <w:bCs/>
      <w:sz w:val="20"/>
      <w:szCs w:val="20"/>
      <w:lang w:eastAsia="ru-RU"/>
    </w:rPr>
  </w:style>
  <w:style w:type="paragraph" w:customStyle="1" w:styleId="table-text-0">
    <w:name w:val="table-text-0"/>
    <w:basedOn w:val="a1"/>
    <w:rsid w:val="00FE36EC"/>
    <w:pPr>
      <w:autoSpaceDE w:val="0"/>
      <w:autoSpaceDN w:val="0"/>
      <w:adjustRightInd w:val="0"/>
      <w:spacing w:before="40" w:line="240" w:lineRule="auto"/>
      <w:ind w:left="113"/>
    </w:pPr>
    <w:rPr>
      <w:rFonts w:eastAsia="Times New Roman"/>
      <w:sz w:val="20"/>
      <w:szCs w:val="20"/>
      <w:lang w:val="en-US" w:eastAsia="ru-RU"/>
    </w:rPr>
  </w:style>
  <w:style w:type="paragraph" w:customStyle="1" w:styleId="table-ref">
    <w:name w:val="table-ref"/>
    <w:basedOn w:val="table-text-0"/>
    <w:rsid w:val="00FE36EC"/>
    <w:pPr>
      <w:spacing w:after="40"/>
      <w:ind w:left="0"/>
    </w:pPr>
    <w:rPr>
      <w:sz w:val="18"/>
      <w:szCs w:val="18"/>
      <w:lang w:val="ru-RU"/>
    </w:rPr>
  </w:style>
  <w:style w:type="paragraph" w:customStyle="1" w:styleId="table-text-1">
    <w:name w:val="table-text-1"/>
    <w:basedOn w:val="table-text-0"/>
    <w:rsid w:val="00FE36EC"/>
    <w:pPr>
      <w:spacing w:before="0"/>
      <w:ind w:left="624"/>
    </w:pPr>
  </w:style>
  <w:style w:type="paragraph" w:customStyle="1" w:styleId="Bullet2">
    <w:name w:val="Bullet 2"/>
    <w:basedOn w:val="a1"/>
    <w:link w:val="Bullet2Char"/>
    <w:uiPriority w:val="99"/>
    <w:rsid w:val="00FE36EC"/>
    <w:pPr>
      <w:numPr>
        <w:numId w:val="8"/>
      </w:numPr>
      <w:shd w:val="clear" w:color="auto" w:fill="FFFFFF"/>
      <w:tabs>
        <w:tab w:val="left" w:pos="317"/>
      </w:tabs>
      <w:autoSpaceDE w:val="0"/>
      <w:autoSpaceDN w:val="0"/>
      <w:adjustRightInd w:val="0"/>
      <w:spacing w:line="240" w:lineRule="auto"/>
      <w:ind w:left="1134"/>
    </w:pPr>
    <w:rPr>
      <w:rFonts w:eastAsia="Times New Roman"/>
      <w:color w:val="000000"/>
      <w:szCs w:val="24"/>
      <w:lang w:eastAsia="ru-RU"/>
    </w:rPr>
  </w:style>
  <w:style w:type="character" w:customStyle="1" w:styleId="Bullet2Char">
    <w:name w:val="Bullet 2 Char"/>
    <w:link w:val="Bullet2"/>
    <w:uiPriority w:val="99"/>
    <w:locked/>
    <w:rsid w:val="00FE36EC"/>
    <w:rPr>
      <w:rFonts w:ascii="Times New Roman" w:eastAsia="Times New Roman" w:hAnsi="Times New Roman"/>
      <w:color w:val="000000"/>
      <w:sz w:val="24"/>
      <w:szCs w:val="24"/>
      <w:shd w:val="clear" w:color="auto" w:fill="FFFFFF"/>
    </w:rPr>
  </w:style>
  <w:style w:type="paragraph" w:customStyle="1" w:styleId="table-name">
    <w:name w:val="table-name"/>
    <w:basedOn w:val="a1"/>
    <w:rsid w:val="00D30F56"/>
    <w:pPr>
      <w:autoSpaceDE w:val="0"/>
      <w:autoSpaceDN w:val="0"/>
      <w:adjustRightInd w:val="0"/>
      <w:spacing w:before="40" w:line="240" w:lineRule="auto"/>
      <w:ind w:firstLine="425"/>
    </w:pPr>
    <w:rPr>
      <w:rFonts w:eastAsia="Times New Roman"/>
      <w:bCs/>
      <w:szCs w:val="20"/>
      <w:lang w:eastAsia="ru-RU"/>
    </w:rPr>
  </w:style>
  <w:style w:type="paragraph" w:customStyle="1" w:styleId="FitzBullet">
    <w:name w:val="FitzBullet"/>
    <w:basedOn w:val="a1"/>
    <w:link w:val="FitzBulletChar"/>
    <w:rsid w:val="00263D19"/>
    <w:pPr>
      <w:shd w:val="clear" w:color="auto" w:fill="FFFFFF"/>
      <w:tabs>
        <w:tab w:val="left" w:pos="317"/>
      </w:tabs>
      <w:autoSpaceDE w:val="0"/>
      <w:autoSpaceDN w:val="0"/>
      <w:adjustRightInd w:val="0"/>
      <w:spacing w:before="60" w:after="60" w:line="240" w:lineRule="auto"/>
      <w:ind w:left="283" w:hanging="283"/>
    </w:pPr>
    <w:rPr>
      <w:rFonts w:eastAsia="Times New Roman"/>
      <w:color w:val="000000"/>
      <w:szCs w:val="24"/>
      <w:lang w:eastAsia="ru-RU"/>
    </w:rPr>
  </w:style>
  <w:style w:type="paragraph" w:customStyle="1" w:styleId="Normal11">
    <w:name w:val="Normal 1"/>
    <w:basedOn w:val="a1"/>
    <w:rsid w:val="00263D19"/>
    <w:pPr>
      <w:autoSpaceDE w:val="0"/>
      <w:autoSpaceDN w:val="0"/>
      <w:adjustRightInd w:val="0"/>
      <w:spacing w:line="240" w:lineRule="auto"/>
    </w:pPr>
    <w:rPr>
      <w:rFonts w:eastAsia="Times New Roman"/>
      <w:szCs w:val="24"/>
      <w:lang w:eastAsia="ru-RU"/>
    </w:rPr>
  </w:style>
  <w:style w:type="character" w:customStyle="1" w:styleId="FitzBulletChar">
    <w:name w:val="FitzBullet Char"/>
    <w:link w:val="FitzBullet"/>
    <w:uiPriority w:val="99"/>
    <w:locked/>
    <w:rsid w:val="00263D19"/>
    <w:rPr>
      <w:rFonts w:ascii="Times New Roman" w:hAnsi="Times New Roman" w:cs="Times New Roman"/>
      <w:color w:val="000000"/>
      <w:sz w:val="24"/>
      <w:szCs w:val="24"/>
      <w:shd w:val="clear" w:color="auto" w:fill="FFFFFF"/>
      <w:lang w:eastAsia="ru-RU"/>
    </w:rPr>
  </w:style>
  <w:style w:type="paragraph" w:styleId="afff2">
    <w:name w:val="Revision"/>
    <w:hidden/>
    <w:uiPriority w:val="99"/>
    <w:rsid w:val="00075E30"/>
    <w:rPr>
      <w:rFonts w:ascii="Times New Roman" w:hAnsi="Times New Roman"/>
      <w:sz w:val="24"/>
      <w:szCs w:val="22"/>
      <w:lang w:eastAsia="en-US"/>
    </w:rPr>
  </w:style>
  <w:style w:type="paragraph" w:styleId="afff3">
    <w:name w:val="Body Text Indent"/>
    <w:basedOn w:val="a1"/>
    <w:link w:val="afff4"/>
    <w:uiPriority w:val="99"/>
    <w:rsid w:val="00CE3C15"/>
    <w:pPr>
      <w:spacing w:after="120"/>
      <w:ind w:left="283"/>
    </w:pPr>
  </w:style>
  <w:style w:type="character" w:customStyle="1" w:styleId="afff4">
    <w:name w:val="Основной текст с отступом Знак"/>
    <w:link w:val="afff3"/>
    <w:uiPriority w:val="99"/>
    <w:locked/>
    <w:rsid w:val="00CE3C15"/>
    <w:rPr>
      <w:rFonts w:ascii="Times New Roman" w:hAnsi="Times New Roman" w:cs="Times New Roman"/>
      <w:sz w:val="24"/>
    </w:rPr>
  </w:style>
  <w:style w:type="paragraph" w:styleId="22">
    <w:name w:val="Body Text First Indent 2"/>
    <w:basedOn w:val="afff3"/>
    <w:link w:val="23"/>
    <w:uiPriority w:val="99"/>
    <w:rsid w:val="00CE3C15"/>
    <w:pPr>
      <w:spacing w:after="0"/>
      <w:ind w:left="360" w:firstLine="360"/>
    </w:pPr>
  </w:style>
  <w:style w:type="character" w:customStyle="1" w:styleId="23">
    <w:name w:val="Красная строка 2 Знак"/>
    <w:basedOn w:val="afff4"/>
    <w:link w:val="22"/>
    <w:uiPriority w:val="99"/>
    <w:locked/>
    <w:rsid w:val="00CE3C15"/>
    <w:rPr>
      <w:rFonts w:ascii="Times New Roman" w:hAnsi="Times New Roman" w:cs="Times New Roman"/>
      <w:sz w:val="24"/>
    </w:rPr>
  </w:style>
  <w:style w:type="paragraph" w:customStyle="1" w:styleId="Default">
    <w:name w:val="Default"/>
    <w:rsid w:val="00F60A5A"/>
    <w:pPr>
      <w:autoSpaceDE w:val="0"/>
      <w:autoSpaceDN w:val="0"/>
      <w:adjustRightInd w:val="0"/>
    </w:pPr>
    <w:rPr>
      <w:rFonts w:ascii="Times New Roman" w:hAnsi="Times New Roman"/>
      <w:color w:val="000000"/>
      <w:sz w:val="24"/>
      <w:szCs w:val="24"/>
      <w:lang w:eastAsia="en-US"/>
    </w:rPr>
  </w:style>
  <w:style w:type="table" w:customStyle="1" w:styleId="1f2">
    <w:name w:val="Сетка таблицы1"/>
    <w:uiPriority w:val="59"/>
    <w:rsid w:val="00145179"/>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1F1C0F"/>
    <w:pPr>
      <w:widowControl w:val="0"/>
      <w:autoSpaceDE w:val="0"/>
      <w:autoSpaceDN w:val="0"/>
    </w:pPr>
    <w:rPr>
      <w:rFonts w:eastAsia="Times New Roman" w:cs="Calibri"/>
      <w:sz w:val="22"/>
    </w:rPr>
  </w:style>
  <w:style w:type="paragraph" w:customStyle="1" w:styleId="afff5">
    <w:name w:val="УДД"/>
    <w:aliases w:val="УУР"/>
    <w:basedOn w:val="aff2"/>
    <w:rsid w:val="00D137F5"/>
    <w:pPr>
      <w:spacing w:before="0"/>
      <w:ind w:left="709" w:firstLine="0"/>
    </w:pPr>
    <w:rPr>
      <w:b/>
    </w:rPr>
  </w:style>
  <w:style w:type="character" w:customStyle="1" w:styleId="afe">
    <w:name w:val="Обычный (веб) Знак"/>
    <w:link w:val="afd"/>
    <w:locked/>
    <w:rsid w:val="00D137F5"/>
    <w:rPr>
      <w:rFonts w:ascii="Times New Roman" w:hAnsi="Times New Roman" w:cs="Times New Roman"/>
      <w:sz w:val="24"/>
      <w:szCs w:val="24"/>
      <w:lang w:eastAsia="ru-RU"/>
    </w:rPr>
  </w:style>
  <w:style w:type="character" w:customStyle="1" w:styleId="highwire-citation-author">
    <w:name w:val="highwire-citation-author"/>
    <w:uiPriority w:val="99"/>
    <w:rsid w:val="0031179C"/>
    <w:rPr>
      <w:rFonts w:cs="Times New Roman"/>
    </w:rPr>
  </w:style>
  <w:style w:type="character" w:customStyle="1" w:styleId="nlm-given-names">
    <w:name w:val="nlm-given-names"/>
    <w:rsid w:val="0031179C"/>
    <w:rPr>
      <w:rFonts w:cs="Times New Roman"/>
    </w:rPr>
  </w:style>
  <w:style w:type="character" w:customStyle="1" w:styleId="nlm-surname">
    <w:name w:val="nlm-surname"/>
    <w:rsid w:val="0031179C"/>
    <w:rPr>
      <w:rFonts w:cs="Times New Roman"/>
    </w:rPr>
  </w:style>
  <w:style w:type="character" w:customStyle="1" w:styleId="highlight">
    <w:name w:val="highlight"/>
    <w:rsid w:val="00AF62DC"/>
    <w:rPr>
      <w:rFonts w:cs="Times New Roman"/>
    </w:rPr>
  </w:style>
  <w:style w:type="paragraph" w:customStyle="1" w:styleId="31">
    <w:name w:val="3"/>
    <w:basedOn w:val="aff"/>
    <w:link w:val="32"/>
    <w:qFormat/>
    <w:rsid w:val="00774A5B"/>
    <w:pPr>
      <w:ind w:left="142"/>
    </w:pPr>
  </w:style>
  <w:style w:type="character" w:customStyle="1" w:styleId="32">
    <w:name w:val="3 Знак"/>
    <w:link w:val="31"/>
    <w:locked/>
    <w:rsid w:val="00774A5B"/>
    <w:rPr>
      <w:rFonts w:ascii="Times New Roman" w:hAnsi="Times New Roman" w:cs="Times New Roman"/>
      <w:sz w:val="24"/>
    </w:rPr>
  </w:style>
  <w:style w:type="paragraph" w:customStyle="1" w:styleId="1f3">
    <w:name w:val="Заголовок оглавления1"/>
    <w:basedOn w:val="11"/>
    <w:rsid w:val="00774A5B"/>
    <w:pPr>
      <w:pageBreakBefore w:val="0"/>
      <w:spacing w:line="276" w:lineRule="auto"/>
    </w:pPr>
    <w:rPr>
      <w:rFonts w:eastAsia="Times New Roman"/>
    </w:rPr>
  </w:style>
  <w:style w:type="character" w:customStyle="1" w:styleId="1f1">
    <w:name w:val="1 Знак"/>
    <w:link w:val="1f0"/>
    <w:uiPriority w:val="99"/>
    <w:locked/>
    <w:rsid w:val="00774A5B"/>
    <w:rPr>
      <w:rFonts w:ascii="Times New Roman" w:hAnsi="Times New Roman"/>
      <w:sz w:val="22"/>
    </w:rPr>
  </w:style>
  <w:style w:type="paragraph" w:customStyle="1" w:styleId="111">
    <w:name w:val="Заголовок оглавления11"/>
    <w:basedOn w:val="11"/>
    <w:uiPriority w:val="99"/>
    <w:rsid w:val="00774A5B"/>
    <w:pPr>
      <w:pageBreakBefore w:val="0"/>
      <w:spacing w:line="276" w:lineRule="auto"/>
      <w:jc w:val="both"/>
    </w:pPr>
    <w:rPr>
      <w:rFonts w:eastAsia="Times New Roman"/>
      <w:sz w:val="24"/>
      <w:u w:val="single"/>
    </w:rPr>
  </w:style>
  <w:style w:type="numbering" w:customStyle="1" w:styleId="List1">
    <w:name w:val="List 1"/>
    <w:rsid w:val="008C404C"/>
    <w:pPr>
      <w:numPr>
        <w:numId w:val="26"/>
      </w:numPr>
    </w:pPr>
  </w:style>
  <w:style w:type="numbering" w:customStyle="1" w:styleId="List0">
    <w:name w:val="List 0"/>
    <w:rsid w:val="008C404C"/>
    <w:pPr>
      <w:numPr>
        <w:numId w:val="25"/>
      </w:numPr>
    </w:pPr>
  </w:style>
  <w:style w:type="character" w:customStyle="1" w:styleId="30">
    <w:name w:val="Заголовок 3 Знак"/>
    <w:basedOn w:val="a3"/>
    <w:link w:val="3"/>
    <w:rsid w:val="005D1659"/>
    <w:rPr>
      <w:rFonts w:asciiTheme="majorHAnsi" w:eastAsiaTheme="majorEastAsia" w:hAnsiTheme="majorHAnsi" w:cstheme="majorBidi"/>
      <w:b/>
      <w:bCs/>
      <w:sz w:val="26"/>
      <w:szCs w:val="26"/>
      <w:lang w:eastAsia="en-US"/>
    </w:rPr>
  </w:style>
  <w:style w:type="character" w:customStyle="1" w:styleId="40">
    <w:name w:val="Заголовок 4 Знак"/>
    <w:basedOn w:val="a3"/>
    <w:link w:val="4"/>
    <w:rsid w:val="005D1659"/>
    <w:rPr>
      <w:rFonts w:asciiTheme="minorHAnsi" w:eastAsiaTheme="minorEastAsia" w:hAnsiTheme="minorHAnsi" w:cstheme="minorBidi"/>
      <w:b/>
      <w:bCs/>
      <w:sz w:val="28"/>
      <w:szCs w:val="28"/>
      <w:lang w:eastAsia="en-US"/>
    </w:rPr>
  </w:style>
  <w:style w:type="character" w:customStyle="1" w:styleId="50">
    <w:name w:val="Заголовок 5 Знак"/>
    <w:basedOn w:val="a3"/>
    <w:link w:val="5"/>
    <w:rsid w:val="005D1659"/>
    <w:rPr>
      <w:rFonts w:asciiTheme="minorHAnsi" w:eastAsiaTheme="minorEastAsia" w:hAnsiTheme="minorHAnsi" w:cstheme="minorBidi"/>
      <w:b/>
      <w:bCs/>
      <w:i/>
      <w:iCs/>
      <w:sz w:val="26"/>
      <w:szCs w:val="26"/>
      <w:lang w:eastAsia="en-US"/>
    </w:rPr>
  </w:style>
  <w:style w:type="character" w:customStyle="1" w:styleId="60">
    <w:name w:val="Заголовок 6 Знак"/>
    <w:basedOn w:val="a3"/>
    <w:link w:val="6"/>
    <w:rsid w:val="005D1659"/>
    <w:rPr>
      <w:rFonts w:asciiTheme="minorHAnsi" w:eastAsiaTheme="minorEastAsia" w:hAnsiTheme="minorHAnsi" w:cstheme="minorBidi"/>
      <w:b/>
      <w:bCs/>
      <w:sz w:val="22"/>
      <w:szCs w:val="22"/>
      <w:lang w:eastAsia="en-US"/>
    </w:rPr>
  </w:style>
  <w:style w:type="character" w:customStyle="1" w:styleId="70">
    <w:name w:val="Заголовок 7 Знак"/>
    <w:basedOn w:val="a3"/>
    <w:link w:val="7"/>
    <w:rsid w:val="005D1659"/>
    <w:rPr>
      <w:rFonts w:asciiTheme="minorHAnsi" w:eastAsiaTheme="minorEastAsia" w:hAnsiTheme="minorHAnsi" w:cstheme="minorBidi"/>
      <w:sz w:val="24"/>
      <w:szCs w:val="24"/>
      <w:lang w:eastAsia="en-US"/>
    </w:rPr>
  </w:style>
  <w:style w:type="paragraph" w:styleId="HTML">
    <w:name w:val="HTML Preformatted"/>
    <w:basedOn w:val="a1"/>
    <w:link w:val="HTML0"/>
    <w:unhideWhenUsed/>
    <w:rsid w:val="00321168"/>
    <w:pPr>
      <w:spacing w:line="240" w:lineRule="auto"/>
    </w:pPr>
    <w:rPr>
      <w:rFonts w:ascii="Consolas" w:hAnsi="Consolas" w:cs="Consolas"/>
      <w:sz w:val="20"/>
      <w:szCs w:val="20"/>
    </w:rPr>
  </w:style>
  <w:style w:type="character" w:customStyle="1" w:styleId="HTML0">
    <w:name w:val="Стандартный HTML Знак"/>
    <w:basedOn w:val="a3"/>
    <w:link w:val="HTML"/>
    <w:rsid w:val="00321168"/>
    <w:rPr>
      <w:rFonts w:ascii="Consolas" w:hAnsi="Consolas" w:cs="Consolas"/>
      <w:lang w:eastAsia="en-US"/>
    </w:rPr>
  </w:style>
  <w:style w:type="character" w:customStyle="1" w:styleId="18">
    <w:name w:val="Абзац списка Знак1"/>
    <w:link w:val="aff"/>
    <w:uiPriority w:val="34"/>
    <w:locked/>
    <w:rsid w:val="00640C0A"/>
    <w:rPr>
      <w:rFonts w:ascii="Times New Roman" w:hAnsi="Times New Roman"/>
      <w:sz w:val="24"/>
      <w:szCs w:val="22"/>
      <w:lang w:eastAsia="en-US"/>
    </w:rPr>
  </w:style>
  <w:style w:type="paragraph" w:customStyle="1" w:styleId="Numlist">
    <w:name w:val="Num_list"/>
    <w:basedOn w:val="a1"/>
    <w:qFormat/>
    <w:rsid w:val="001264E7"/>
    <w:pPr>
      <w:overflowPunct w:val="0"/>
      <w:spacing w:line="240" w:lineRule="auto"/>
      <w:ind w:firstLine="708"/>
      <w:jc w:val="left"/>
      <w:textAlignment w:val="baseline"/>
    </w:pPr>
    <w:rPr>
      <w:rFonts w:eastAsia="Times New Roman"/>
      <w:szCs w:val="24"/>
      <w:lang w:eastAsia="ru-RU"/>
    </w:rPr>
  </w:style>
  <w:style w:type="table" w:customStyle="1" w:styleId="1f4">
    <w:name w:val="Сетка таблицы светлая1"/>
    <w:basedOn w:val="a4"/>
    <w:uiPriority w:val="40"/>
    <w:rsid w:val="001264E7"/>
    <w:rPr>
      <w:rFonts w:asciiTheme="minorHAnsi" w:eastAsiaTheme="minorHAnsi" w:hAnsiTheme="minorHAnsi" w:cstheme="minorBidi"/>
      <w:szCs w:val="22"/>
      <w:lang w:eastAsia="en-US"/>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paragraph" w:customStyle="1" w:styleId="1f5">
    <w:name w:val="Оглавление 1 Знак"/>
    <w:basedOn w:val="Normal10"/>
    <w:qFormat/>
    <w:rsid w:val="008074B4"/>
    <w:pPr>
      <w:spacing w:line="360" w:lineRule="auto"/>
      <w:ind w:left="709" w:hanging="283"/>
    </w:pPr>
    <w:rPr>
      <w:sz w:val="24"/>
      <w:szCs w:val="24"/>
    </w:rPr>
  </w:style>
  <w:style w:type="paragraph" w:customStyle="1" w:styleId="afff6">
    <w:name w:val="Стиль"/>
    <w:uiPriority w:val="99"/>
    <w:rsid w:val="008074B4"/>
    <w:pPr>
      <w:keepNext/>
      <w:keepLines/>
      <w:spacing w:line="276" w:lineRule="auto"/>
      <w:outlineLvl w:val="0"/>
    </w:pPr>
    <w:rPr>
      <w:rFonts w:ascii="Times New Roman" w:hAnsi="Times New Roman"/>
      <w:sz w:val="24"/>
      <w:szCs w:val="22"/>
      <w:lang w:eastAsia="en-US"/>
    </w:rPr>
  </w:style>
  <w:style w:type="character" w:customStyle="1" w:styleId="apple-style-span">
    <w:name w:val="apple-style-span"/>
    <w:rsid w:val="008074B4"/>
  </w:style>
  <w:style w:type="paragraph" w:customStyle="1" w:styleId="a0">
    <w:name w:val="Список ключевых слов"/>
    <w:basedOn w:val="aff"/>
    <w:link w:val="afff7"/>
    <w:qFormat/>
    <w:rsid w:val="008074B4"/>
    <w:pPr>
      <w:numPr>
        <w:numId w:val="68"/>
      </w:numPr>
      <w:ind w:left="0" w:firstLine="709"/>
    </w:pPr>
    <w:rPr>
      <w:szCs w:val="28"/>
    </w:rPr>
  </w:style>
  <w:style w:type="paragraph" w:customStyle="1" w:styleId="afff8">
    <w:name w:val="Сокращения"/>
    <w:basedOn w:val="a1"/>
    <w:link w:val="afff9"/>
    <w:qFormat/>
    <w:rsid w:val="008074B4"/>
    <w:pPr>
      <w:ind w:firstLine="709"/>
    </w:pPr>
  </w:style>
  <w:style w:type="character" w:customStyle="1" w:styleId="afff7">
    <w:name w:val="Список ключевых слов Знак"/>
    <w:link w:val="a0"/>
    <w:locked/>
    <w:rsid w:val="008074B4"/>
    <w:rPr>
      <w:rFonts w:ascii="Times New Roman" w:hAnsi="Times New Roman"/>
      <w:sz w:val="24"/>
      <w:szCs w:val="28"/>
      <w:lang w:eastAsia="en-US"/>
    </w:rPr>
  </w:style>
  <w:style w:type="character" w:customStyle="1" w:styleId="afff9">
    <w:name w:val="Сокращения Знак"/>
    <w:link w:val="afff8"/>
    <w:locked/>
    <w:rsid w:val="008074B4"/>
    <w:rPr>
      <w:rFonts w:ascii="Times New Roman" w:hAnsi="Times New Roman"/>
      <w:sz w:val="24"/>
      <w:szCs w:val="22"/>
      <w:lang w:eastAsia="en-US"/>
    </w:rPr>
  </w:style>
  <w:style w:type="paragraph" w:customStyle="1" w:styleId="1f6">
    <w:name w:val="Текст в 1 разделе"/>
    <w:basedOn w:val="a1"/>
    <w:link w:val="1f7"/>
    <w:rsid w:val="008074B4"/>
    <w:pPr>
      <w:ind w:firstLine="709"/>
    </w:pPr>
    <w:rPr>
      <w:rFonts w:eastAsia="Times New Roman"/>
      <w:szCs w:val="24"/>
    </w:rPr>
  </w:style>
  <w:style w:type="character" w:customStyle="1" w:styleId="CustomContentNormal0">
    <w:name w:val="Custom Content Normal Знак"/>
    <w:link w:val="CustomContentNormal"/>
    <w:locked/>
    <w:rsid w:val="008074B4"/>
    <w:rPr>
      <w:rFonts w:ascii="Times New Roman" w:hAnsi="Times New Roman"/>
      <w:b/>
      <w:sz w:val="28"/>
      <w:szCs w:val="22"/>
      <w:lang w:eastAsia="en-US"/>
    </w:rPr>
  </w:style>
  <w:style w:type="paragraph" w:customStyle="1" w:styleId="afffa">
    <w:name w:val="Таблицы"/>
    <w:basedOn w:val="afd"/>
    <w:link w:val="afffb"/>
    <w:qFormat/>
    <w:rsid w:val="008074B4"/>
    <w:pPr>
      <w:spacing w:line="240" w:lineRule="auto"/>
    </w:pPr>
  </w:style>
  <w:style w:type="character" w:customStyle="1" w:styleId="1f7">
    <w:name w:val="Текст в 1 разделе Знак"/>
    <w:link w:val="1f6"/>
    <w:locked/>
    <w:rsid w:val="008074B4"/>
    <w:rPr>
      <w:rFonts w:ascii="Times New Roman" w:eastAsia="Times New Roman" w:hAnsi="Times New Roman"/>
      <w:sz w:val="24"/>
      <w:szCs w:val="24"/>
      <w:lang w:eastAsia="en-US"/>
    </w:rPr>
  </w:style>
  <w:style w:type="paragraph" w:customStyle="1" w:styleId="afffc">
    <w:name w:val="Наим. табл"/>
    <w:basedOn w:val="a1"/>
    <w:link w:val="afffd"/>
    <w:qFormat/>
    <w:rsid w:val="008074B4"/>
    <w:pPr>
      <w:ind w:firstLine="709"/>
    </w:pPr>
  </w:style>
  <w:style w:type="character" w:customStyle="1" w:styleId="afffb">
    <w:name w:val="Таблицы Знак"/>
    <w:basedOn w:val="afe"/>
    <w:link w:val="afffa"/>
    <w:locked/>
    <w:rsid w:val="008074B4"/>
    <w:rPr>
      <w:rFonts w:ascii="Times New Roman" w:eastAsia="Times New Roman" w:hAnsi="Times New Roman" w:cs="Times New Roman"/>
      <w:sz w:val="24"/>
      <w:szCs w:val="24"/>
      <w:lang w:eastAsia="ru-RU"/>
    </w:rPr>
  </w:style>
  <w:style w:type="paragraph" w:customStyle="1" w:styleId="2-6">
    <w:name w:val="Вводный текст 2-6 разделы"/>
    <w:basedOn w:val="a1"/>
    <w:link w:val="2-60"/>
    <w:rsid w:val="008074B4"/>
    <w:pPr>
      <w:ind w:firstLine="709"/>
    </w:pPr>
    <w:rPr>
      <w:szCs w:val="24"/>
    </w:rPr>
  </w:style>
  <w:style w:type="character" w:customStyle="1" w:styleId="afffd">
    <w:name w:val="Наим. табл Знак"/>
    <w:link w:val="afffc"/>
    <w:locked/>
    <w:rsid w:val="008074B4"/>
    <w:rPr>
      <w:rFonts w:ascii="Times New Roman" w:hAnsi="Times New Roman"/>
      <w:sz w:val="24"/>
      <w:szCs w:val="22"/>
      <w:lang w:eastAsia="en-US"/>
    </w:rPr>
  </w:style>
  <w:style w:type="paragraph" w:customStyle="1" w:styleId="afffe">
    <w:name w:val="Рекомендация"/>
    <w:basedOn w:val="10"/>
    <w:link w:val="affff"/>
    <w:qFormat/>
    <w:rsid w:val="008074B4"/>
  </w:style>
  <w:style w:type="character" w:customStyle="1" w:styleId="2-60">
    <w:name w:val="Вводный текст 2-6 разделы Знак"/>
    <w:link w:val="2-6"/>
    <w:locked/>
    <w:rsid w:val="008074B4"/>
    <w:rPr>
      <w:rFonts w:ascii="Times New Roman" w:hAnsi="Times New Roman"/>
      <w:sz w:val="24"/>
      <w:szCs w:val="24"/>
      <w:lang w:eastAsia="en-US"/>
    </w:rPr>
  </w:style>
  <w:style w:type="paragraph" w:customStyle="1" w:styleId="1f8">
    <w:name w:val="УДД1"/>
    <w:aliases w:val="УУР1"/>
    <w:basedOn w:val="afff5"/>
    <w:uiPriority w:val="99"/>
    <w:rsid w:val="008074B4"/>
  </w:style>
  <w:style w:type="character" w:customStyle="1" w:styleId="affff">
    <w:name w:val="Рекомендация Знак"/>
    <w:basedOn w:val="110"/>
    <w:link w:val="afffe"/>
    <w:locked/>
    <w:rsid w:val="008074B4"/>
    <w:rPr>
      <w:rFonts w:ascii="Times New Roman" w:eastAsia="Times New Roman" w:hAnsi="Times New Roman"/>
      <w:sz w:val="24"/>
      <w:szCs w:val="22"/>
      <w:lang w:eastAsia="en-US"/>
    </w:rPr>
  </w:style>
  <w:style w:type="table" w:customStyle="1" w:styleId="71">
    <w:name w:val="Сетка таблицы7"/>
    <w:uiPriority w:val="59"/>
    <w:rsid w:val="008074B4"/>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uiPriority w:val="59"/>
    <w:rsid w:val="008074B4"/>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uiPriority w:val="59"/>
    <w:rsid w:val="008074B4"/>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uiPriority w:val="59"/>
    <w:rsid w:val="008074B4"/>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59"/>
    <w:rsid w:val="008074B4"/>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uiPriority w:val="59"/>
    <w:rsid w:val="008074B4"/>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0">
    <w:name w:val="ссылка"/>
    <w:basedOn w:val="a1"/>
    <w:link w:val="affff1"/>
    <w:qFormat/>
    <w:rsid w:val="008074B4"/>
    <w:pPr>
      <w:ind w:firstLine="709"/>
    </w:pPr>
    <w:rPr>
      <w:rFonts w:eastAsia="Times New Roman"/>
      <w:i/>
      <w:color w:val="0070C0"/>
      <w:szCs w:val="24"/>
      <w:u w:val="single"/>
    </w:rPr>
  </w:style>
  <w:style w:type="character" w:customStyle="1" w:styleId="affff1">
    <w:name w:val="ссылка Знак"/>
    <w:link w:val="affff0"/>
    <w:locked/>
    <w:rsid w:val="008074B4"/>
    <w:rPr>
      <w:rFonts w:ascii="Times New Roman" w:eastAsia="Times New Roman" w:hAnsi="Times New Roman"/>
      <w:i/>
      <w:color w:val="0070C0"/>
      <w:sz w:val="24"/>
      <w:szCs w:val="24"/>
      <w:u w:val="single"/>
      <w:lang w:eastAsia="en-US"/>
    </w:rPr>
  </w:style>
  <w:style w:type="character" w:customStyle="1" w:styleId="affff2">
    <w:name w:val="Основной текст_"/>
    <w:link w:val="1f9"/>
    <w:locked/>
    <w:rsid w:val="008074B4"/>
    <w:rPr>
      <w:rFonts w:ascii="Times New Roman" w:hAnsi="Times New Roman"/>
      <w:sz w:val="28"/>
      <w:szCs w:val="28"/>
      <w:shd w:val="clear" w:color="auto" w:fill="FFFFFF"/>
    </w:rPr>
  </w:style>
  <w:style w:type="character" w:customStyle="1" w:styleId="24">
    <w:name w:val="Заголовок №2_"/>
    <w:link w:val="25"/>
    <w:locked/>
    <w:rsid w:val="008074B4"/>
    <w:rPr>
      <w:rFonts w:ascii="Times New Roman" w:hAnsi="Times New Roman"/>
      <w:b/>
      <w:bCs/>
      <w:sz w:val="28"/>
      <w:szCs w:val="28"/>
      <w:shd w:val="clear" w:color="auto" w:fill="FFFFFF"/>
    </w:rPr>
  </w:style>
  <w:style w:type="paragraph" w:customStyle="1" w:styleId="1f9">
    <w:name w:val="Основной текст1"/>
    <w:basedOn w:val="a1"/>
    <w:link w:val="affff2"/>
    <w:rsid w:val="008074B4"/>
    <w:pPr>
      <w:widowControl w:val="0"/>
      <w:shd w:val="clear" w:color="auto" w:fill="FFFFFF"/>
      <w:spacing w:line="240" w:lineRule="auto"/>
      <w:ind w:firstLine="400"/>
    </w:pPr>
    <w:rPr>
      <w:sz w:val="28"/>
      <w:szCs w:val="28"/>
      <w:lang w:eastAsia="ru-RU"/>
    </w:rPr>
  </w:style>
  <w:style w:type="paragraph" w:customStyle="1" w:styleId="25">
    <w:name w:val="Заголовок №2"/>
    <w:basedOn w:val="a1"/>
    <w:link w:val="24"/>
    <w:rsid w:val="008074B4"/>
    <w:pPr>
      <w:widowControl w:val="0"/>
      <w:shd w:val="clear" w:color="auto" w:fill="FFFFFF"/>
      <w:spacing w:after="160" w:line="240" w:lineRule="auto"/>
      <w:ind w:right="100"/>
      <w:jc w:val="center"/>
      <w:outlineLvl w:val="1"/>
    </w:pPr>
    <w:rPr>
      <w:b/>
      <w:bCs/>
      <w:sz w:val="28"/>
      <w:szCs w:val="28"/>
      <w:lang w:eastAsia="ru-RU"/>
    </w:rPr>
  </w:style>
  <w:style w:type="paragraph" w:customStyle="1" w:styleId="affff3">
    <w:name w:val="УДД;УУР"/>
    <w:basedOn w:val="aff2"/>
    <w:rsid w:val="008074B4"/>
    <w:pPr>
      <w:spacing w:before="0"/>
      <w:ind w:left="709" w:firstLine="0"/>
      <w:contextualSpacing/>
    </w:pPr>
    <w:rPr>
      <w:b/>
    </w:rPr>
  </w:style>
  <w:style w:type="paragraph" w:styleId="34">
    <w:name w:val="toc 3"/>
    <w:basedOn w:val="a1"/>
    <w:next w:val="a1"/>
    <w:autoRedefine/>
    <w:uiPriority w:val="39"/>
    <w:unhideWhenUsed/>
    <w:qFormat/>
    <w:locked/>
    <w:rsid w:val="008074B4"/>
    <w:pPr>
      <w:ind w:left="480" w:firstLine="709"/>
      <w:jc w:val="left"/>
    </w:pPr>
    <w:rPr>
      <w:rFonts w:asciiTheme="minorHAnsi" w:hAnsiTheme="minorHAnsi"/>
      <w:sz w:val="20"/>
      <w:szCs w:val="20"/>
    </w:rPr>
  </w:style>
  <w:style w:type="numbering" w:customStyle="1" w:styleId="1fa">
    <w:name w:val="Нет списка1"/>
    <w:next w:val="a5"/>
    <w:uiPriority w:val="99"/>
    <w:semiHidden/>
    <w:unhideWhenUsed/>
    <w:rsid w:val="008074B4"/>
  </w:style>
  <w:style w:type="numbering" w:customStyle="1" w:styleId="26">
    <w:name w:val="Нет списка2"/>
    <w:next w:val="a5"/>
    <w:uiPriority w:val="99"/>
    <w:semiHidden/>
    <w:unhideWhenUsed/>
    <w:rsid w:val="008074B4"/>
  </w:style>
  <w:style w:type="numbering" w:customStyle="1" w:styleId="35">
    <w:name w:val="Нет списка3"/>
    <w:next w:val="a5"/>
    <w:uiPriority w:val="99"/>
    <w:semiHidden/>
    <w:unhideWhenUsed/>
    <w:rsid w:val="008074B4"/>
  </w:style>
  <w:style w:type="paragraph" w:styleId="affff4">
    <w:name w:val="endnote text"/>
    <w:basedOn w:val="a1"/>
    <w:link w:val="affff5"/>
    <w:uiPriority w:val="99"/>
    <w:unhideWhenUsed/>
    <w:rsid w:val="008074B4"/>
    <w:pPr>
      <w:spacing w:line="240" w:lineRule="auto"/>
      <w:ind w:firstLine="567"/>
    </w:pPr>
    <w:rPr>
      <w:rFonts w:ascii="Calibri" w:hAnsi="Calibri"/>
      <w:sz w:val="20"/>
      <w:szCs w:val="20"/>
    </w:rPr>
  </w:style>
  <w:style w:type="character" w:customStyle="1" w:styleId="affff5">
    <w:name w:val="Текст концевой сноски Знак"/>
    <w:basedOn w:val="a3"/>
    <w:link w:val="affff4"/>
    <w:uiPriority w:val="99"/>
    <w:rsid w:val="008074B4"/>
    <w:rPr>
      <w:lang w:eastAsia="en-US"/>
    </w:rPr>
  </w:style>
  <w:style w:type="character" w:customStyle="1" w:styleId="1fb">
    <w:name w:val="Строгий1"/>
    <w:rsid w:val="008074B4"/>
    <w:rPr>
      <w:b/>
      <w:bCs/>
    </w:rPr>
  </w:style>
  <w:style w:type="paragraph" w:customStyle="1" w:styleId="310">
    <w:name w:val="Основной текст с отступом 31"/>
    <w:basedOn w:val="a1"/>
    <w:rsid w:val="008074B4"/>
    <w:pPr>
      <w:suppressAutoHyphens/>
      <w:spacing w:after="120" w:line="240" w:lineRule="auto"/>
      <w:ind w:left="283" w:firstLine="567"/>
    </w:pPr>
    <w:rPr>
      <w:rFonts w:eastAsia="Times New Roman" w:cs="Calibri"/>
      <w:sz w:val="16"/>
      <w:szCs w:val="16"/>
      <w:lang w:eastAsia="ar-SA"/>
    </w:rPr>
  </w:style>
  <w:style w:type="table" w:customStyle="1" w:styleId="27">
    <w:name w:val="Сетка таблицы2"/>
    <w:basedOn w:val="a4"/>
    <w:next w:val="affa"/>
    <w:uiPriority w:val="59"/>
    <w:rsid w:val="008074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6">
    <w:name w:val="endnote reference"/>
    <w:unhideWhenUsed/>
    <w:rsid w:val="008074B4"/>
    <w:rPr>
      <w:vertAlign w:val="superscript"/>
    </w:rPr>
  </w:style>
  <w:style w:type="character" w:customStyle="1" w:styleId="Arial105pt">
    <w:name w:val="Основной текст + Arial;10;5 pt"/>
    <w:rsid w:val="008074B4"/>
    <w:rPr>
      <w:rFonts w:ascii="Arial" w:eastAsia="Arial" w:hAnsi="Arial" w:cs="Arial"/>
      <w:b w:val="0"/>
      <w:bCs w:val="0"/>
      <w:i w:val="0"/>
      <w:iCs w:val="0"/>
      <w:smallCaps w:val="0"/>
      <w:strike w:val="0"/>
      <w:color w:val="000000"/>
      <w:spacing w:val="0"/>
      <w:w w:val="100"/>
      <w:position w:val="0"/>
      <w:sz w:val="21"/>
      <w:szCs w:val="21"/>
      <w:u w:val="none"/>
      <w:lang w:val="ru-RU"/>
    </w:rPr>
  </w:style>
  <w:style w:type="character" w:customStyle="1" w:styleId="src">
    <w:name w:val="src"/>
    <w:rsid w:val="008074B4"/>
  </w:style>
  <w:style w:type="character" w:styleId="affff7">
    <w:name w:val="FollowedHyperlink"/>
    <w:uiPriority w:val="99"/>
    <w:unhideWhenUsed/>
    <w:rsid w:val="008074B4"/>
    <w:rPr>
      <w:color w:val="954F72"/>
      <w:u w:val="single"/>
    </w:rPr>
  </w:style>
  <w:style w:type="paragraph" w:customStyle="1" w:styleId="firstlast">
    <w:name w:val="first last"/>
    <w:basedOn w:val="a1"/>
    <w:uiPriority w:val="99"/>
    <w:rsid w:val="008074B4"/>
    <w:pPr>
      <w:spacing w:before="100" w:beforeAutospacing="1" w:after="100" w:afterAutospacing="1" w:line="240" w:lineRule="auto"/>
      <w:ind w:firstLine="567"/>
    </w:pPr>
    <w:rPr>
      <w:rFonts w:eastAsia="Times New Roman"/>
      <w:szCs w:val="24"/>
      <w:lang w:eastAsia="ru-RU"/>
    </w:rPr>
  </w:style>
  <w:style w:type="paragraph" w:customStyle="1" w:styleId="last">
    <w:name w:val="last"/>
    <w:basedOn w:val="a1"/>
    <w:uiPriority w:val="99"/>
    <w:rsid w:val="008074B4"/>
    <w:pPr>
      <w:spacing w:before="100" w:beforeAutospacing="1" w:after="100" w:afterAutospacing="1" w:line="240" w:lineRule="auto"/>
      <w:ind w:firstLine="567"/>
    </w:pPr>
    <w:rPr>
      <w:rFonts w:eastAsia="Times New Roman"/>
      <w:szCs w:val="24"/>
      <w:lang w:eastAsia="ru-RU"/>
    </w:rPr>
  </w:style>
  <w:style w:type="paragraph" w:customStyle="1" w:styleId="para">
    <w:name w:val="para"/>
    <w:basedOn w:val="a1"/>
    <w:uiPriority w:val="99"/>
    <w:rsid w:val="008074B4"/>
    <w:pPr>
      <w:spacing w:before="100" w:beforeAutospacing="1" w:after="100" w:afterAutospacing="1" w:line="240" w:lineRule="auto"/>
      <w:ind w:firstLine="567"/>
    </w:pPr>
    <w:rPr>
      <w:rFonts w:ascii="Arial" w:eastAsia="Times New Roman" w:hAnsi="Arial" w:cs="Arial"/>
      <w:color w:val="000000"/>
      <w:sz w:val="26"/>
      <w:szCs w:val="26"/>
      <w:lang w:eastAsia="ru-RU"/>
    </w:rPr>
  </w:style>
  <w:style w:type="character" w:customStyle="1" w:styleId="selectbg">
    <w:name w:val="select_bg"/>
    <w:rsid w:val="008074B4"/>
  </w:style>
  <w:style w:type="character" w:customStyle="1" w:styleId="postbody1">
    <w:name w:val="postbody1"/>
    <w:rsid w:val="008074B4"/>
    <w:rPr>
      <w:sz w:val="18"/>
      <w:szCs w:val="18"/>
    </w:rPr>
  </w:style>
  <w:style w:type="character" w:customStyle="1" w:styleId="volume">
    <w:name w:val="volume"/>
    <w:rsid w:val="008074B4"/>
  </w:style>
  <w:style w:type="character" w:customStyle="1" w:styleId="issue">
    <w:name w:val="issue"/>
    <w:rsid w:val="008074B4"/>
  </w:style>
  <w:style w:type="character" w:customStyle="1" w:styleId="pages">
    <w:name w:val="pages"/>
    <w:rsid w:val="008074B4"/>
  </w:style>
  <w:style w:type="paragraph" w:customStyle="1" w:styleId="210">
    <w:name w:val="Основной текст 21"/>
    <w:basedOn w:val="a1"/>
    <w:rsid w:val="008074B4"/>
    <w:pPr>
      <w:suppressAutoHyphens/>
      <w:spacing w:line="240" w:lineRule="auto"/>
      <w:ind w:firstLine="567"/>
    </w:pPr>
    <w:rPr>
      <w:rFonts w:eastAsia="Times New Roman" w:cs="Calibri"/>
      <w:szCs w:val="20"/>
      <w:lang w:eastAsia="ar-SA"/>
    </w:rPr>
  </w:style>
  <w:style w:type="paragraph" w:customStyle="1" w:styleId="1fc">
    <w:name w:val="Абзац списка1"/>
    <w:basedOn w:val="a1"/>
    <w:uiPriority w:val="34"/>
    <w:qFormat/>
    <w:rsid w:val="008074B4"/>
    <w:pPr>
      <w:suppressAutoHyphens/>
      <w:spacing w:after="200" w:line="276" w:lineRule="auto"/>
      <w:ind w:firstLine="567"/>
    </w:pPr>
    <w:rPr>
      <w:rFonts w:ascii="Calibri" w:hAnsi="Calibri" w:cs="Calibri"/>
      <w:sz w:val="22"/>
      <w:lang w:val="nl-NL" w:eastAsia="ar-SA"/>
    </w:rPr>
  </w:style>
  <w:style w:type="paragraph" w:customStyle="1" w:styleId="220">
    <w:name w:val="Основной текст 22"/>
    <w:basedOn w:val="a1"/>
    <w:rsid w:val="008074B4"/>
    <w:pPr>
      <w:suppressAutoHyphens/>
      <w:spacing w:line="100" w:lineRule="atLeast"/>
      <w:ind w:firstLine="567"/>
    </w:pPr>
    <w:rPr>
      <w:rFonts w:eastAsia="Times New Roman"/>
      <w:kern w:val="1"/>
      <w:szCs w:val="24"/>
      <w:lang w:eastAsia="ar-SA"/>
    </w:rPr>
  </w:style>
  <w:style w:type="paragraph" w:customStyle="1" w:styleId="affff8">
    <w:name w:val="Содержимое таблицы"/>
    <w:basedOn w:val="a1"/>
    <w:rsid w:val="008074B4"/>
    <w:pPr>
      <w:widowControl w:val="0"/>
      <w:suppressLineNumbers/>
      <w:suppressAutoHyphens/>
      <w:spacing w:line="240" w:lineRule="auto"/>
      <w:ind w:firstLine="567"/>
    </w:pPr>
    <w:rPr>
      <w:rFonts w:ascii="Arial" w:eastAsia="Arial Unicode MS" w:hAnsi="Arial"/>
      <w:kern w:val="1"/>
      <w:sz w:val="20"/>
      <w:szCs w:val="24"/>
      <w:lang w:eastAsia="ar-SA"/>
    </w:rPr>
  </w:style>
  <w:style w:type="paragraph" w:customStyle="1" w:styleId="TextDrugs">
    <w:name w:val="Text_Drugs"/>
    <w:basedOn w:val="a1"/>
    <w:rsid w:val="008074B4"/>
    <w:pPr>
      <w:suppressAutoHyphens/>
      <w:spacing w:line="100" w:lineRule="atLeast"/>
      <w:ind w:firstLine="567"/>
    </w:pPr>
    <w:rPr>
      <w:rFonts w:ascii="Cambria" w:eastAsia="MS Mincho" w:hAnsi="Cambria"/>
      <w:kern w:val="1"/>
      <w:szCs w:val="24"/>
      <w:lang w:val="de-DE" w:eastAsia="ar-SA"/>
    </w:rPr>
  </w:style>
  <w:style w:type="character" w:customStyle="1" w:styleId="jrnl">
    <w:name w:val="jrnl"/>
    <w:rsid w:val="008074B4"/>
  </w:style>
  <w:style w:type="character" w:customStyle="1" w:styleId="maintextbldleft">
    <w:name w:val="maintextbldleft"/>
    <w:rsid w:val="008074B4"/>
  </w:style>
  <w:style w:type="character" w:customStyle="1" w:styleId="maintextleft">
    <w:name w:val="maintextleft"/>
    <w:rsid w:val="008074B4"/>
  </w:style>
  <w:style w:type="paragraph" w:customStyle="1" w:styleId="28">
    <w:name w:val="Абзац списка2"/>
    <w:basedOn w:val="a1"/>
    <w:rsid w:val="008074B4"/>
    <w:pPr>
      <w:suppressAutoHyphens/>
      <w:spacing w:after="200" w:line="276" w:lineRule="auto"/>
      <w:ind w:firstLine="567"/>
    </w:pPr>
    <w:rPr>
      <w:rFonts w:ascii="Calibri" w:hAnsi="Calibri" w:cs="Calibri"/>
      <w:sz w:val="22"/>
      <w:lang w:val="nl-NL" w:eastAsia="ar-SA"/>
    </w:rPr>
  </w:style>
  <w:style w:type="paragraph" w:customStyle="1" w:styleId="230">
    <w:name w:val="Основной текст 23"/>
    <w:basedOn w:val="a1"/>
    <w:rsid w:val="008074B4"/>
    <w:pPr>
      <w:suppressAutoHyphens/>
      <w:spacing w:line="100" w:lineRule="atLeast"/>
      <w:ind w:firstLine="567"/>
    </w:pPr>
    <w:rPr>
      <w:rFonts w:eastAsia="Times New Roman"/>
      <w:kern w:val="1"/>
      <w:szCs w:val="24"/>
      <w:lang w:eastAsia="ar-SA"/>
    </w:rPr>
  </w:style>
  <w:style w:type="character" w:customStyle="1" w:styleId="hps">
    <w:name w:val="hps"/>
    <w:rsid w:val="008074B4"/>
  </w:style>
  <w:style w:type="paragraph" w:styleId="29">
    <w:name w:val="Body Text 2"/>
    <w:basedOn w:val="a1"/>
    <w:link w:val="2a"/>
    <w:semiHidden/>
    <w:rsid w:val="008074B4"/>
    <w:pPr>
      <w:spacing w:line="240" w:lineRule="auto"/>
      <w:ind w:firstLine="567"/>
    </w:pPr>
    <w:rPr>
      <w:rFonts w:eastAsia="Times New Roman"/>
      <w:szCs w:val="20"/>
      <w:lang w:eastAsia="ru-RU"/>
    </w:rPr>
  </w:style>
  <w:style w:type="character" w:customStyle="1" w:styleId="2a">
    <w:name w:val="Основной текст 2 Знак"/>
    <w:basedOn w:val="a3"/>
    <w:link w:val="29"/>
    <w:semiHidden/>
    <w:rsid w:val="008074B4"/>
    <w:rPr>
      <w:rFonts w:ascii="Times New Roman" w:eastAsia="Times New Roman" w:hAnsi="Times New Roman"/>
      <w:sz w:val="24"/>
    </w:rPr>
  </w:style>
  <w:style w:type="character" w:styleId="affff9">
    <w:name w:val="Placeholder Text"/>
    <w:uiPriority w:val="99"/>
    <w:semiHidden/>
    <w:rsid w:val="008074B4"/>
    <w:rPr>
      <w:color w:val="808080"/>
    </w:rPr>
  </w:style>
  <w:style w:type="character" w:customStyle="1" w:styleId="highwire-citation-authors">
    <w:name w:val="highwire-citation-authors"/>
    <w:rsid w:val="008074B4"/>
  </w:style>
  <w:style w:type="character" w:customStyle="1" w:styleId="highwire-cite-metadata-journal">
    <w:name w:val="highwire-cite-metadata-journal"/>
    <w:rsid w:val="008074B4"/>
  </w:style>
  <w:style w:type="character" w:customStyle="1" w:styleId="highwire-cite-metadata-date">
    <w:name w:val="highwire-cite-metadata-date"/>
    <w:rsid w:val="008074B4"/>
  </w:style>
  <w:style w:type="character" w:customStyle="1" w:styleId="highwire-cite-metadata-volume-pages">
    <w:name w:val="highwire-cite-metadata-volume-pages"/>
    <w:rsid w:val="008074B4"/>
  </w:style>
  <w:style w:type="character" w:customStyle="1" w:styleId="highwire-cite-metadata-doi">
    <w:name w:val="highwire-cite-metadata-doi"/>
    <w:rsid w:val="008074B4"/>
  </w:style>
  <w:style w:type="character" w:customStyle="1" w:styleId="freeaccess">
    <w:name w:val="freeaccess"/>
    <w:rsid w:val="008074B4"/>
  </w:style>
  <w:style w:type="character" w:styleId="affffa">
    <w:name w:val="page number"/>
    <w:uiPriority w:val="99"/>
    <w:rsid w:val="008074B4"/>
  </w:style>
  <w:style w:type="paragraph" w:customStyle="1" w:styleId="36">
    <w:name w:val="Абзац списка3"/>
    <w:basedOn w:val="a1"/>
    <w:rsid w:val="008074B4"/>
    <w:pPr>
      <w:spacing w:line="240" w:lineRule="auto"/>
      <w:ind w:left="720" w:firstLine="567"/>
    </w:pPr>
    <w:rPr>
      <w:szCs w:val="24"/>
      <w:lang w:eastAsia="ru-RU"/>
    </w:rPr>
  </w:style>
  <w:style w:type="paragraph" w:customStyle="1" w:styleId="TableParagraph">
    <w:name w:val="Table Paragraph"/>
    <w:basedOn w:val="a1"/>
    <w:rsid w:val="008074B4"/>
    <w:pPr>
      <w:widowControl w:val="0"/>
      <w:spacing w:line="240" w:lineRule="auto"/>
      <w:ind w:left="103" w:firstLine="567"/>
    </w:pPr>
    <w:rPr>
      <w:rFonts w:ascii="Calibri" w:eastAsia="Times New Roman" w:hAnsi="Calibri" w:cs="Calibri"/>
      <w:sz w:val="22"/>
      <w:lang w:val="en-US"/>
    </w:rPr>
  </w:style>
  <w:style w:type="character" w:customStyle="1" w:styleId="WW8Num3z0">
    <w:name w:val="WW8Num3z0"/>
    <w:rsid w:val="008074B4"/>
    <w:rPr>
      <w:rFonts w:ascii="Symbol" w:hAnsi="Symbol" w:cs="Symbol"/>
    </w:rPr>
  </w:style>
  <w:style w:type="character" w:customStyle="1" w:styleId="WW8Num3z1">
    <w:name w:val="WW8Num3z1"/>
    <w:rsid w:val="008074B4"/>
    <w:rPr>
      <w:rFonts w:ascii="Courier New" w:hAnsi="Courier New" w:cs="Courier New"/>
    </w:rPr>
  </w:style>
  <w:style w:type="character" w:customStyle="1" w:styleId="WW8Num3z2">
    <w:name w:val="WW8Num3z2"/>
    <w:rsid w:val="008074B4"/>
    <w:rPr>
      <w:rFonts w:ascii="Wingdings" w:hAnsi="Wingdings" w:cs="Wingdings"/>
    </w:rPr>
  </w:style>
  <w:style w:type="character" w:customStyle="1" w:styleId="WW8Num3z4">
    <w:name w:val="WW8Num3z4"/>
    <w:rsid w:val="008074B4"/>
    <w:rPr>
      <w:rFonts w:ascii="Courier New" w:hAnsi="Courier New" w:cs="Courier New"/>
    </w:rPr>
  </w:style>
  <w:style w:type="character" w:customStyle="1" w:styleId="WW8Num4z0">
    <w:name w:val="WW8Num4z0"/>
    <w:rsid w:val="008074B4"/>
    <w:rPr>
      <w:rFonts w:ascii="Symbol" w:hAnsi="Symbol" w:cs="Symbol"/>
    </w:rPr>
  </w:style>
  <w:style w:type="character" w:customStyle="1" w:styleId="WW8Num5z0">
    <w:name w:val="WW8Num5z0"/>
    <w:rsid w:val="008074B4"/>
    <w:rPr>
      <w:rFonts w:ascii="Calibri" w:hAnsi="Calibri" w:cs="Calibri"/>
    </w:rPr>
  </w:style>
  <w:style w:type="character" w:customStyle="1" w:styleId="WW8Num5z1">
    <w:name w:val="WW8Num5z1"/>
    <w:rsid w:val="008074B4"/>
    <w:rPr>
      <w:rFonts w:ascii="Calibri" w:hAnsi="Calibri" w:cs="Calibri"/>
    </w:rPr>
  </w:style>
  <w:style w:type="character" w:customStyle="1" w:styleId="WW8Num5z2">
    <w:name w:val="WW8Num5z2"/>
    <w:rsid w:val="008074B4"/>
    <w:rPr>
      <w:rFonts w:ascii="Wingdings" w:hAnsi="Wingdings" w:cs="Wingdings"/>
    </w:rPr>
  </w:style>
  <w:style w:type="character" w:customStyle="1" w:styleId="WW8Num5z4">
    <w:name w:val="WW8Num5z4"/>
    <w:rsid w:val="008074B4"/>
    <w:rPr>
      <w:rFonts w:ascii="Courier New" w:hAnsi="Courier New" w:cs="Courier New"/>
    </w:rPr>
  </w:style>
  <w:style w:type="character" w:customStyle="1" w:styleId="WW8Num6z0">
    <w:name w:val="WW8Num6z0"/>
    <w:rsid w:val="008074B4"/>
    <w:rPr>
      <w:rFonts w:ascii="Gill Sans" w:hAnsi="Gill Sans" w:cs="Gill Sans"/>
      <w:sz w:val="28"/>
      <w:szCs w:val="22"/>
    </w:rPr>
  </w:style>
  <w:style w:type="character" w:customStyle="1" w:styleId="WW8Num6z1">
    <w:name w:val="WW8Num6z1"/>
    <w:rsid w:val="008074B4"/>
    <w:rPr>
      <w:rFonts w:ascii="Courier New" w:hAnsi="Courier New" w:cs="Courier New"/>
    </w:rPr>
  </w:style>
  <w:style w:type="character" w:customStyle="1" w:styleId="WW8Num6z2">
    <w:name w:val="WW8Num6z2"/>
    <w:rsid w:val="008074B4"/>
    <w:rPr>
      <w:rFonts w:ascii="Wingdings" w:hAnsi="Wingdings" w:cs="Wingdings"/>
    </w:rPr>
  </w:style>
  <w:style w:type="character" w:customStyle="1" w:styleId="WW8Num7z0">
    <w:name w:val="WW8Num7z0"/>
    <w:rsid w:val="008074B4"/>
    <w:rPr>
      <w:rFonts w:ascii="Symbol" w:hAnsi="Symbol" w:cs="Symbol"/>
    </w:rPr>
  </w:style>
  <w:style w:type="character" w:customStyle="1" w:styleId="WW8Num7z1">
    <w:name w:val="WW8Num7z1"/>
    <w:rsid w:val="008074B4"/>
    <w:rPr>
      <w:rFonts w:ascii="Calibri" w:hAnsi="Calibri" w:cs="Calibri"/>
    </w:rPr>
  </w:style>
  <w:style w:type="character" w:customStyle="1" w:styleId="WW8Num8z0">
    <w:name w:val="WW8Num8z0"/>
    <w:rsid w:val="008074B4"/>
    <w:rPr>
      <w:rFonts w:ascii="Symbol" w:hAnsi="Symbol" w:cs="Symbol"/>
    </w:rPr>
  </w:style>
  <w:style w:type="character" w:customStyle="1" w:styleId="WW8Num9z0">
    <w:name w:val="WW8Num9z0"/>
    <w:rsid w:val="008074B4"/>
    <w:rPr>
      <w:rFonts w:ascii="Calibri" w:eastAsia="Times New Roman" w:hAnsi="Calibri" w:cs="Times New Roman"/>
    </w:rPr>
  </w:style>
  <w:style w:type="character" w:customStyle="1" w:styleId="WW8Num10z0">
    <w:name w:val="WW8Num10z0"/>
    <w:rsid w:val="008074B4"/>
    <w:rPr>
      <w:b w:val="0"/>
      <w:i w:val="0"/>
    </w:rPr>
  </w:style>
  <w:style w:type="character" w:customStyle="1" w:styleId="WW8Num11z0">
    <w:name w:val="WW8Num11z0"/>
    <w:rsid w:val="008074B4"/>
    <w:rPr>
      <w:rFonts w:ascii="Symbol" w:hAnsi="Symbol" w:cs="Symbol"/>
    </w:rPr>
  </w:style>
  <w:style w:type="character" w:customStyle="1" w:styleId="WW8Num12z0">
    <w:name w:val="WW8Num12z0"/>
    <w:rsid w:val="008074B4"/>
    <w:rPr>
      <w:rFonts w:ascii="Symbol" w:hAnsi="Symbol" w:cs="Symbol"/>
    </w:rPr>
  </w:style>
  <w:style w:type="character" w:customStyle="1" w:styleId="WW8Num13z0">
    <w:name w:val="WW8Num13z0"/>
    <w:rsid w:val="008074B4"/>
    <w:rPr>
      <w:rFonts w:ascii="Symbol" w:hAnsi="Symbol" w:cs="Symbol"/>
    </w:rPr>
  </w:style>
  <w:style w:type="character" w:customStyle="1" w:styleId="WW8Num14z0">
    <w:name w:val="WW8Num14z0"/>
    <w:rsid w:val="008074B4"/>
    <w:rPr>
      <w:rFonts w:ascii="Calibri" w:hAnsi="Calibri" w:cs="Calibri"/>
    </w:rPr>
  </w:style>
  <w:style w:type="character" w:customStyle="1" w:styleId="WW8Num15z0">
    <w:name w:val="WW8Num15z0"/>
    <w:rsid w:val="008074B4"/>
    <w:rPr>
      <w:rFonts w:ascii="Symbol" w:hAnsi="Symbol" w:cs="Symbol"/>
    </w:rPr>
  </w:style>
  <w:style w:type="character" w:customStyle="1" w:styleId="WW8Num16z0">
    <w:name w:val="WW8Num16z0"/>
    <w:rsid w:val="008074B4"/>
    <w:rPr>
      <w:rFonts w:ascii="Symbol" w:hAnsi="Symbol" w:cs="Symbol"/>
    </w:rPr>
  </w:style>
  <w:style w:type="character" w:customStyle="1" w:styleId="WW8Num17z0">
    <w:name w:val="WW8Num17z0"/>
    <w:rsid w:val="008074B4"/>
    <w:rPr>
      <w:rFonts w:ascii="Calibri" w:hAnsi="Calibri" w:cs="Calibri"/>
    </w:rPr>
  </w:style>
  <w:style w:type="character" w:customStyle="1" w:styleId="WW8Num18z0">
    <w:name w:val="WW8Num18z0"/>
    <w:rsid w:val="008074B4"/>
    <w:rPr>
      <w:rFonts w:ascii="Symbol" w:hAnsi="Symbol" w:cs="Symbol"/>
    </w:rPr>
  </w:style>
  <w:style w:type="character" w:customStyle="1" w:styleId="WW8Num19z0">
    <w:name w:val="WW8Num19z0"/>
    <w:rsid w:val="008074B4"/>
    <w:rPr>
      <w:rFonts w:ascii="Symbol" w:hAnsi="Symbol" w:cs="Symbol"/>
    </w:rPr>
  </w:style>
  <w:style w:type="character" w:customStyle="1" w:styleId="WW8Num20z0">
    <w:name w:val="WW8Num20z0"/>
    <w:rsid w:val="008074B4"/>
    <w:rPr>
      <w:rFonts w:ascii="Symbol" w:hAnsi="Symbol" w:cs="Symbol"/>
    </w:rPr>
  </w:style>
  <w:style w:type="character" w:customStyle="1" w:styleId="WW8Num21z0">
    <w:name w:val="WW8Num21z0"/>
    <w:rsid w:val="008074B4"/>
    <w:rPr>
      <w:rFonts w:ascii="Symbol" w:hAnsi="Symbol" w:cs="Symbol"/>
    </w:rPr>
  </w:style>
  <w:style w:type="character" w:customStyle="1" w:styleId="WW8Num22z0">
    <w:name w:val="WW8Num22z0"/>
    <w:rsid w:val="008074B4"/>
    <w:rPr>
      <w:rFonts w:ascii="Symbol" w:hAnsi="Symbol" w:cs="Symbol"/>
    </w:rPr>
  </w:style>
  <w:style w:type="character" w:customStyle="1" w:styleId="WW8Num23z0">
    <w:name w:val="WW8Num23z0"/>
    <w:rsid w:val="008074B4"/>
    <w:rPr>
      <w:rFonts w:ascii="Symbol" w:hAnsi="Symbol" w:cs="Symbol"/>
    </w:rPr>
  </w:style>
  <w:style w:type="character" w:customStyle="1" w:styleId="WW8Num24z0">
    <w:name w:val="WW8Num24z0"/>
    <w:rsid w:val="008074B4"/>
    <w:rPr>
      <w:rFonts w:ascii="Symbol" w:hAnsi="Symbol" w:cs="Symbol"/>
    </w:rPr>
  </w:style>
  <w:style w:type="character" w:customStyle="1" w:styleId="WW8Num25z0">
    <w:name w:val="WW8Num25z0"/>
    <w:rsid w:val="008074B4"/>
    <w:rPr>
      <w:rFonts w:ascii="Symbol" w:hAnsi="Symbol" w:cs="Symbol"/>
    </w:rPr>
  </w:style>
  <w:style w:type="character" w:customStyle="1" w:styleId="WW8Num26z0">
    <w:name w:val="WW8Num26z0"/>
    <w:rsid w:val="008074B4"/>
    <w:rPr>
      <w:rFonts w:ascii="Symbol" w:hAnsi="Symbol" w:cs="Symbol"/>
    </w:rPr>
  </w:style>
  <w:style w:type="character" w:customStyle="1" w:styleId="WW8Num27z0">
    <w:name w:val="WW8Num27z0"/>
    <w:rsid w:val="008074B4"/>
    <w:rPr>
      <w:rFonts w:ascii="Calibri" w:hAnsi="Calibri" w:cs="Calibri"/>
    </w:rPr>
  </w:style>
  <w:style w:type="character" w:customStyle="1" w:styleId="WW8Num27z1">
    <w:name w:val="WW8Num27z1"/>
    <w:rsid w:val="008074B4"/>
    <w:rPr>
      <w:rFonts w:ascii="Courier New" w:hAnsi="Courier New" w:cs="Courier New"/>
    </w:rPr>
  </w:style>
  <w:style w:type="character" w:customStyle="1" w:styleId="WW8Num27z2">
    <w:name w:val="WW8Num27z2"/>
    <w:rsid w:val="008074B4"/>
    <w:rPr>
      <w:rFonts w:ascii="Wingdings" w:hAnsi="Wingdings" w:cs="Wingdings"/>
    </w:rPr>
  </w:style>
  <w:style w:type="character" w:customStyle="1" w:styleId="WW8Num27z4">
    <w:name w:val="WW8Num27z4"/>
    <w:rsid w:val="008074B4"/>
    <w:rPr>
      <w:rFonts w:ascii="Courier New" w:hAnsi="Courier New" w:cs="Courier New"/>
    </w:rPr>
  </w:style>
  <w:style w:type="character" w:customStyle="1" w:styleId="WW8Num28z0">
    <w:name w:val="WW8Num28z0"/>
    <w:rsid w:val="008074B4"/>
    <w:rPr>
      <w:rFonts w:ascii="Symbol" w:hAnsi="Symbol" w:cs="Symbol"/>
    </w:rPr>
  </w:style>
  <w:style w:type="character" w:customStyle="1" w:styleId="WW8Num29z0">
    <w:name w:val="WW8Num29z0"/>
    <w:rsid w:val="008074B4"/>
    <w:rPr>
      <w:rFonts w:ascii="Symbol" w:hAnsi="Symbol" w:cs="Symbol"/>
    </w:rPr>
  </w:style>
  <w:style w:type="character" w:customStyle="1" w:styleId="WW8Num30z0">
    <w:name w:val="WW8Num30z0"/>
    <w:rsid w:val="008074B4"/>
    <w:rPr>
      <w:rFonts w:ascii="Symbol" w:hAnsi="Symbol" w:cs="Symbol"/>
    </w:rPr>
  </w:style>
  <w:style w:type="character" w:customStyle="1" w:styleId="WW8Num31z0">
    <w:name w:val="WW8Num31z0"/>
    <w:rsid w:val="008074B4"/>
    <w:rPr>
      <w:b w:val="0"/>
      <w:i w:val="0"/>
      <w:kern w:val="1"/>
    </w:rPr>
  </w:style>
  <w:style w:type="character" w:customStyle="1" w:styleId="WW8Num32z0">
    <w:name w:val="WW8Num32z0"/>
    <w:rsid w:val="008074B4"/>
    <w:rPr>
      <w:rFonts w:ascii="Symbol" w:hAnsi="Symbol" w:cs="Symbol"/>
    </w:rPr>
  </w:style>
  <w:style w:type="character" w:customStyle="1" w:styleId="WW8Num34z0">
    <w:name w:val="WW8Num34z0"/>
    <w:rsid w:val="008074B4"/>
    <w:rPr>
      <w:rFonts w:ascii="Symbol" w:hAnsi="Symbol" w:cs="Symbol"/>
    </w:rPr>
  </w:style>
  <w:style w:type="character" w:customStyle="1" w:styleId="WW8Num34z1">
    <w:name w:val="WW8Num34z1"/>
    <w:rsid w:val="008074B4"/>
    <w:rPr>
      <w:rFonts w:ascii="Courier New" w:hAnsi="Courier New" w:cs="Courier New"/>
    </w:rPr>
  </w:style>
  <w:style w:type="character" w:customStyle="1" w:styleId="WW8Num34z2">
    <w:name w:val="WW8Num34z2"/>
    <w:rsid w:val="008074B4"/>
    <w:rPr>
      <w:rFonts w:ascii="Wingdings" w:hAnsi="Wingdings" w:cs="Wingdings"/>
    </w:rPr>
  </w:style>
  <w:style w:type="character" w:customStyle="1" w:styleId="WW8Num34z4">
    <w:name w:val="WW8Num34z4"/>
    <w:rsid w:val="008074B4"/>
    <w:rPr>
      <w:rFonts w:ascii="Courier New" w:hAnsi="Courier New" w:cs="Courier New"/>
    </w:rPr>
  </w:style>
  <w:style w:type="character" w:customStyle="1" w:styleId="WW8Num35z0">
    <w:name w:val="WW8Num35z0"/>
    <w:rsid w:val="008074B4"/>
    <w:rPr>
      <w:rFonts w:ascii="Calibri" w:hAnsi="Calibri" w:cs="Calibri"/>
    </w:rPr>
  </w:style>
  <w:style w:type="character" w:customStyle="1" w:styleId="WW8Num36z0">
    <w:name w:val="WW8Num36z0"/>
    <w:rsid w:val="008074B4"/>
    <w:rPr>
      <w:rFonts w:ascii="Symbol" w:hAnsi="Symbol" w:cs="Symbol"/>
    </w:rPr>
  </w:style>
  <w:style w:type="character" w:customStyle="1" w:styleId="WW8Num37z0">
    <w:name w:val="WW8Num37z0"/>
    <w:rsid w:val="008074B4"/>
    <w:rPr>
      <w:rFonts w:ascii="Symbol" w:hAnsi="Symbol" w:cs="Symbol"/>
    </w:rPr>
  </w:style>
  <w:style w:type="character" w:customStyle="1" w:styleId="WW8Num38z0">
    <w:name w:val="WW8Num38z0"/>
    <w:rsid w:val="008074B4"/>
    <w:rPr>
      <w:rFonts w:ascii="Symbol" w:hAnsi="Symbol" w:cs="Symbol"/>
    </w:rPr>
  </w:style>
  <w:style w:type="character" w:customStyle="1" w:styleId="WW8Num39z0">
    <w:name w:val="WW8Num39z0"/>
    <w:rsid w:val="008074B4"/>
    <w:rPr>
      <w:rFonts w:ascii="Symbol" w:hAnsi="Symbol" w:cs="Symbol"/>
    </w:rPr>
  </w:style>
  <w:style w:type="character" w:customStyle="1" w:styleId="WW8Num40z0">
    <w:name w:val="WW8Num40z0"/>
    <w:rsid w:val="008074B4"/>
    <w:rPr>
      <w:rFonts w:ascii="Symbol" w:hAnsi="Symbol" w:cs="Symbol"/>
    </w:rPr>
  </w:style>
  <w:style w:type="character" w:customStyle="1" w:styleId="WW8Num41z0">
    <w:name w:val="WW8Num41z0"/>
    <w:rsid w:val="008074B4"/>
    <w:rPr>
      <w:rFonts w:ascii="Calibri" w:hAnsi="Calibri" w:cs="Calibri"/>
    </w:rPr>
  </w:style>
  <w:style w:type="character" w:customStyle="1" w:styleId="WW8Num42z0">
    <w:name w:val="WW8Num42z0"/>
    <w:rsid w:val="008074B4"/>
    <w:rPr>
      <w:rFonts w:ascii="Symbol" w:hAnsi="Symbol" w:cs="Symbol"/>
    </w:rPr>
  </w:style>
  <w:style w:type="character" w:customStyle="1" w:styleId="WW8Num43z0">
    <w:name w:val="WW8Num43z0"/>
    <w:rsid w:val="008074B4"/>
    <w:rPr>
      <w:rFonts w:ascii="Symbol" w:hAnsi="Symbol" w:cs="Symbol"/>
    </w:rPr>
  </w:style>
  <w:style w:type="character" w:customStyle="1" w:styleId="WW8Num44z0">
    <w:name w:val="WW8Num44z0"/>
    <w:rsid w:val="008074B4"/>
    <w:rPr>
      <w:rFonts w:ascii="Symbol" w:hAnsi="Symbol" w:cs="Symbol"/>
    </w:rPr>
  </w:style>
  <w:style w:type="character" w:customStyle="1" w:styleId="WW8Num45z0">
    <w:name w:val="WW8Num45z0"/>
    <w:rsid w:val="008074B4"/>
    <w:rPr>
      <w:rFonts w:ascii="Symbol" w:hAnsi="Symbol" w:cs="Symbol"/>
    </w:rPr>
  </w:style>
  <w:style w:type="character" w:customStyle="1" w:styleId="WW8Num46z0">
    <w:name w:val="WW8Num46z0"/>
    <w:rsid w:val="008074B4"/>
    <w:rPr>
      <w:rFonts w:ascii="Symbol" w:hAnsi="Symbol" w:cs="Symbol"/>
    </w:rPr>
  </w:style>
  <w:style w:type="character" w:customStyle="1" w:styleId="WW8Num47z0">
    <w:name w:val="WW8Num47z0"/>
    <w:rsid w:val="008074B4"/>
    <w:rPr>
      <w:rFonts w:ascii="Calibri" w:hAnsi="Calibri" w:cs="Calibri"/>
    </w:rPr>
  </w:style>
  <w:style w:type="character" w:customStyle="1" w:styleId="WW8Num48z0">
    <w:name w:val="WW8Num48z0"/>
    <w:rsid w:val="008074B4"/>
    <w:rPr>
      <w:rFonts w:ascii="Symbol" w:hAnsi="Symbol" w:cs="Symbol"/>
    </w:rPr>
  </w:style>
  <w:style w:type="character" w:customStyle="1" w:styleId="WW8Num49z0">
    <w:name w:val="WW8Num49z0"/>
    <w:rsid w:val="008074B4"/>
    <w:rPr>
      <w:rFonts w:ascii="Symbol" w:hAnsi="Symbol" w:cs="Symbol"/>
    </w:rPr>
  </w:style>
  <w:style w:type="character" w:customStyle="1" w:styleId="WW8Num49z1">
    <w:name w:val="WW8Num49z1"/>
    <w:rsid w:val="008074B4"/>
    <w:rPr>
      <w:rFonts w:ascii="Courier New" w:hAnsi="Courier New" w:cs="Courier New"/>
    </w:rPr>
  </w:style>
  <w:style w:type="character" w:customStyle="1" w:styleId="WW8Num49z2">
    <w:name w:val="WW8Num49z2"/>
    <w:rsid w:val="008074B4"/>
    <w:rPr>
      <w:rFonts w:ascii="Wingdings" w:hAnsi="Wingdings" w:cs="Wingdings"/>
    </w:rPr>
  </w:style>
  <w:style w:type="character" w:customStyle="1" w:styleId="WW8Num50z0">
    <w:name w:val="WW8Num50z0"/>
    <w:rsid w:val="008074B4"/>
    <w:rPr>
      <w:rFonts w:ascii="Symbol" w:hAnsi="Symbol" w:cs="Symbol"/>
    </w:rPr>
  </w:style>
  <w:style w:type="character" w:customStyle="1" w:styleId="2b">
    <w:name w:val="Основной шрифт абзаца2"/>
    <w:rsid w:val="008074B4"/>
  </w:style>
  <w:style w:type="character" w:customStyle="1" w:styleId="WW8Num4z1">
    <w:name w:val="WW8Num4z1"/>
    <w:rsid w:val="008074B4"/>
    <w:rPr>
      <w:rFonts w:ascii="Courier New" w:hAnsi="Courier New" w:cs="Courier New"/>
      <w:color w:val="000000"/>
    </w:rPr>
  </w:style>
  <w:style w:type="character" w:customStyle="1" w:styleId="WW8Num4z2">
    <w:name w:val="WW8Num4z2"/>
    <w:rsid w:val="008074B4"/>
    <w:rPr>
      <w:rFonts w:ascii="Wingdings" w:hAnsi="Wingdings" w:cs="Wingdings"/>
    </w:rPr>
  </w:style>
  <w:style w:type="character" w:customStyle="1" w:styleId="WW8Num4z4">
    <w:name w:val="WW8Num4z4"/>
    <w:rsid w:val="008074B4"/>
    <w:rPr>
      <w:rFonts w:ascii="Courier New" w:hAnsi="Courier New" w:cs="Courier New"/>
    </w:rPr>
  </w:style>
  <w:style w:type="character" w:customStyle="1" w:styleId="WW8Num7z2">
    <w:name w:val="WW8Num7z2"/>
    <w:rsid w:val="008074B4"/>
    <w:rPr>
      <w:rFonts w:ascii="Wingdings" w:hAnsi="Wingdings" w:cs="Wingdings"/>
    </w:rPr>
  </w:style>
  <w:style w:type="character" w:customStyle="1" w:styleId="WW8Num7z4">
    <w:name w:val="WW8Num7z4"/>
    <w:rsid w:val="008074B4"/>
    <w:rPr>
      <w:rFonts w:ascii="Courier New" w:hAnsi="Courier New" w:cs="Courier New"/>
    </w:rPr>
  </w:style>
  <w:style w:type="character" w:customStyle="1" w:styleId="WW8Num8z1">
    <w:name w:val="WW8Num8z1"/>
    <w:rsid w:val="008074B4"/>
    <w:rPr>
      <w:rFonts w:ascii="Courier New" w:hAnsi="Courier New" w:cs="Courier New"/>
    </w:rPr>
  </w:style>
  <w:style w:type="character" w:customStyle="1" w:styleId="WW8Num8z2">
    <w:name w:val="WW8Num8z2"/>
    <w:rsid w:val="008074B4"/>
    <w:rPr>
      <w:rFonts w:ascii="Wingdings" w:hAnsi="Wingdings" w:cs="Wingdings"/>
    </w:rPr>
  </w:style>
  <w:style w:type="character" w:customStyle="1" w:styleId="WW8Num9z1">
    <w:name w:val="WW8Num9z1"/>
    <w:rsid w:val="008074B4"/>
    <w:rPr>
      <w:rFonts w:ascii="Symbol" w:hAnsi="Symbol" w:cs="Courier New"/>
    </w:rPr>
  </w:style>
  <w:style w:type="character" w:customStyle="1" w:styleId="WW8Num15z1">
    <w:name w:val="WW8Num15z1"/>
    <w:rsid w:val="008074B4"/>
    <w:rPr>
      <w:rFonts w:ascii="Courier New" w:hAnsi="Courier New" w:cs="Courier New"/>
    </w:rPr>
  </w:style>
  <w:style w:type="character" w:customStyle="1" w:styleId="WW8Num15z2">
    <w:name w:val="WW8Num15z2"/>
    <w:rsid w:val="008074B4"/>
    <w:rPr>
      <w:rFonts w:ascii="Wingdings" w:hAnsi="Wingdings" w:cs="Wingdings"/>
    </w:rPr>
  </w:style>
  <w:style w:type="character" w:customStyle="1" w:styleId="WW8Num16z1">
    <w:name w:val="WW8Num16z1"/>
    <w:rsid w:val="008074B4"/>
    <w:rPr>
      <w:rFonts w:ascii="Courier New" w:hAnsi="Courier New" w:cs="Courier New"/>
    </w:rPr>
  </w:style>
  <w:style w:type="character" w:customStyle="1" w:styleId="WW8Num16z2">
    <w:name w:val="WW8Num16z2"/>
    <w:rsid w:val="008074B4"/>
    <w:rPr>
      <w:rFonts w:ascii="Wingdings" w:hAnsi="Wingdings" w:cs="Wingdings"/>
    </w:rPr>
  </w:style>
  <w:style w:type="character" w:customStyle="1" w:styleId="WW8Num17z1">
    <w:name w:val="WW8Num17z1"/>
    <w:rsid w:val="008074B4"/>
    <w:rPr>
      <w:rFonts w:ascii="Courier New" w:hAnsi="Courier New" w:cs="Courier New"/>
    </w:rPr>
  </w:style>
  <w:style w:type="character" w:customStyle="1" w:styleId="WW8Num17z2">
    <w:name w:val="WW8Num17z2"/>
    <w:rsid w:val="008074B4"/>
    <w:rPr>
      <w:rFonts w:ascii="Wingdings" w:hAnsi="Wingdings" w:cs="Wingdings"/>
    </w:rPr>
  </w:style>
  <w:style w:type="character" w:customStyle="1" w:styleId="WW8Num17z3">
    <w:name w:val="WW8Num17z3"/>
    <w:rsid w:val="008074B4"/>
    <w:rPr>
      <w:rFonts w:ascii="Symbol" w:hAnsi="Symbol" w:cs="Symbol"/>
    </w:rPr>
  </w:style>
  <w:style w:type="character" w:customStyle="1" w:styleId="WW8Num18z1">
    <w:name w:val="WW8Num18z1"/>
    <w:rsid w:val="008074B4"/>
    <w:rPr>
      <w:rFonts w:ascii="Courier New" w:hAnsi="Courier New" w:cs="Courier New"/>
    </w:rPr>
  </w:style>
  <w:style w:type="character" w:customStyle="1" w:styleId="WW8Num18z2">
    <w:name w:val="WW8Num18z2"/>
    <w:rsid w:val="008074B4"/>
    <w:rPr>
      <w:rFonts w:ascii="Wingdings" w:hAnsi="Wingdings" w:cs="Wingdings"/>
    </w:rPr>
  </w:style>
  <w:style w:type="character" w:customStyle="1" w:styleId="WW8Num19z1">
    <w:name w:val="WW8Num19z1"/>
    <w:rsid w:val="008074B4"/>
    <w:rPr>
      <w:rFonts w:ascii="Courier New" w:hAnsi="Courier New" w:cs="Courier New"/>
    </w:rPr>
  </w:style>
  <w:style w:type="character" w:customStyle="1" w:styleId="WW8Num19z2">
    <w:name w:val="WW8Num19z2"/>
    <w:rsid w:val="008074B4"/>
    <w:rPr>
      <w:rFonts w:ascii="Wingdings" w:hAnsi="Wingdings" w:cs="Wingdings"/>
    </w:rPr>
  </w:style>
  <w:style w:type="character" w:customStyle="1" w:styleId="WW8Num20z1">
    <w:name w:val="WW8Num20z1"/>
    <w:rsid w:val="008074B4"/>
    <w:rPr>
      <w:rFonts w:ascii="Courier New" w:hAnsi="Courier New" w:cs="Courier New"/>
    </w:rPr>
  </w:style>
  <w:style w:type="character" w:customStyle="1" w:styleId="WW8Num20z2">
    <w:name w:val="WW8Num20z2"/>
    <w:rsid w:val="008074B4"/>
    <w:rPr>
      <w:rFonts w:ascii="Wingdings" w:hAnsi="Wingdings" w:cs="Wingdings"/>
    </w:rPr>
  </w:style>
  <w:style w:type="character" w:customStyle="1" w:styleId="WW8Num21z1">
    <w:name w:val="WW8Num21z1"/>
    <w:rsid w:val="008074B4"/>
    <w:rPr>
      <w:rFonts w:ascii="Courier New" w:hAnsi="Courier New" w:cs="Courier New"/>
    </w:rPr>
  </w:style>
  <w:style w:type="character" w:customStyle="1" w:styleId="WW8Num21z2">
    <w:name w:val="WW8Num21z2"/>
    <w:rsid w:val="008074B4"/>
    <w:rPr>
      <w:rFonts w:ascii="Wingdings" w:hAnsi="Wingdings" w:cs="Wingdings"/>
    </w:rPr>
  </w:style>
  <w:style w:type="character" w:customStyle="1" w:styleId="WW8Num22z1">
    <w:name w:val="WW8Num22z1"/>
    <w:rsid w:val="008074B4"/>
    <w:rPr>
      <w:rFonts w:ascii="Courier New" w:hAnsi="Courier New" w:cs="Courier New"/>
    </w:rPr>
  </w:style>
  <w:style w:type="character" w:customStyle="1" w:styleId="WW8Num22z2">
    <w:name w:val="WW8Num22z2"/>
    <w:rsid w:val="008074B4"/>
    <w:rPr>
      <w:rFonts w:ascii="Wingdings" w:hAnsi="Wingdings" w:cs="Wingdings"/>
    </w:rPr>
  </w:style>
  <w:style w:type="character" w:customStyle="1" w:styleId="WW8Num23z1">
    <w:name w:val="WW8Num23z1"/>
    <w:rsid w:val="008074B4"/>
    <w:rPr>
      <w:rFonts w:ascii="Courier New" w:hAnsi="Courier New" w:cs="Courier New"/>
    </w:rPr>
  </w:style>
  <w:style w:type="character" w:customStyle="1" w:styleId="WW8Num23z2">
    <w:name w:val="WW8Num23z2"/>
    <w:rsid w:val="008074B4"/>
    <w:rPr>
      <w:rFonts w:ascii="Wingdings" w:hAnsi="Wingdings" w:cs="Wingdings"/>
    </w:rPr>
  </w:style>
  <w:style w:type="character" w:customStyle="1" w:styleId="WW8Num24z1">
    <w:name w:val="WW8Num24z1"/>
    <w:rsid w:val="008074B4"/>
    <w:rPr>
      <w:rFonts w:ascii="Courier New" w:hAnsi="Courier New" w:cs="Courier New"/>
    </w:rPr>
  </w:style>
  <w:style w:type="character" w:customStyle="1" w:styleId="WW8Num24z2">
    <w:name w:val="WW8Num24z2"/>
    <w:rsid w:val="008074B4"/>
    <w:rPr>
      <w:rFonts w:ascii="Wingdings" w:hAnsi="Wingdings" w:cs="Wingdings"/>
    </w:rPr>
  </w:style>
  <w:style w:type="character" w:customStyle="1" w:styleId="WW8Num25z1">
    <w:name w:val="WW8Num25z1"/>
    <w:rsid w:val="008074B4"/>
    <w:rPr>
      <w:rFonts w:ascii="Courier New" w:hAnsi="Courier New" w:cs="Courier New"/>
    </w:rPr>
  </w:style>
  <w:style w:type="character" w:customStyle="1" w:styleId="WW8Num25z2">
    <w:name w:val="WW8Num25z2"/>
    <w:rsid w:val="008074B4"/>
    <w:rPr>
      <w:rFonts w:ascii="Wingdings" w:hAnsi="Wingdings" w:cs="Wingdings"/>
    </w:rPr>
  </w:style>
  <w:style w:type="character" w:customStyle="1" w:styleId="WW8Num26z1">
    <w:name w:val="WW8Num26z1"/>
    <w:rsid w:val="008074B4"/>
    <w:rPr>
      <w:rFonts w:ascii="Courier New" w:hAnsi="Courier New" w:cs="Courier New"/>
    </w:rPr>
  </w:style>
  <w:style w:type="character" w:customStyle="1" w:styleId="WW8Num26z2">
    <w:name w:val="WW8Num26z2"/>
    <w:rsid w:val="008074B4"/>
    <w:rPr>
      <w:rFonts w:ascii="Wingdings" w:hAnsi="Wingdings" w:cs="Wingdings"/>
    </w:rPr>
  </w:style>
  <w:style w:type="character" w:customStyle="1" w:styleId="WW8Num27z3">
    <w:name w:val="WW8Num27z3"/>
    <w:rsid w:val="008074B4"/>
    <w:rPr>
      <w:rFonts w:ascii="Symbol" w:hAnsi="Symbol" w:cs="Symbol"/>
    </w:rPr>
  </w:style>
  <w:style w:type="character" w:customStyle="1" w:styleId="WW8Num28z1">
    <w:name w:val="WW8Num28z1"/>
    <w:rsid w:val="008074B4"/>
    <w:rPr>
      <w:rFonts w:ascii="Courier New" w:hAnsi="Courier New" w:cs="Courier New"/>
    </w:rPr>
  </w:style>
  <w:style w:type="character" w:customStyle="1" w:styleId="WW8Num28z2">
    <w:name w:val="WW8Num28z2"/>
    <w:rsid w:val="008074B4"/>
    <w:rPr>
      <w:rFonts w:ascii="Wingdings" w:hAnsi="Wingdings" w:cs="Wingdings"/>
    </w:rPr>
  </w:style>
  <w:style w:type="character" w:customStyle="1" w:styleId="WW8Num29z1">
    <w:name w:val="WW8Num29z1"/>
    <w:rsid w:val="008074B4"/>
    <w:rPr>
      <w:rFonts w:ascii="Courier New" w:hAnsi="Courier New" w:cs="Courier New"/>
    </w:rPr>
  </w:style>
  <w:style w:type="character" w:customStyle="1" w:styleId="WW8Num29z2">
    <w:name w:val="WW8Num29z2"/>
    <w:rsid w:val="008074B4"/>
    <w:rPr>
      <w:rFonts w:ascii="Wingdings" w:hAnsi="Wingdings" w:cs="Wingdings"/>
    </w:rPr>
  </w:style>
  <w:style w:type="character" w:customStyle="1" w:styleId="WW8Num32z1">
    <w:name w:val="WW8Num32z1"/>
    <w:rsid w:val="008074B4"/>
    <w:rPr>
      <w:rFonts w:ascii="Calibri" w:hAnsi="Calibri" w:cs="Calibri"/>
    </w:rPr>
  </w:style>
  <w:style w:type="character" w:customStyle="1" w:styleId="WW8Num32z2">
    <w:name w:val="WW8Num32z2"/>
    <w:rsid w:val="008074B4"/>
    <w:rPr>
      <w:rFonts w:ascii="Wingdings" w:hAnsi="Wingdings" w:cs="Wingdings"/>
    </w:rPr>
  </w:style>
  <w:style w:type="character" w:customStyle="1" w:styleId="WW8Num32z4">
    <w:name w:val="WW8Num32z4"/>
    <w:rsid w:val="008074B4"/>
    <w:rPr>
      <w:rFonts w:ascii="Courier New" w:hAnsi="Courier New" w:cs="Courier New"/>
    </w:rPr>
  </w:style>
  <w:style w:type="character" w:customStyle="1" w:styleId="WW8Num33z0">
    <w:name w:val="WW8Num33z0"/>
    <w:rsid w:val="008074B4"/>
    <w:rPr>
      <w:rFonts w:ascii="Symbol" w:hAnsi="Symbol" w:cs="Symbol"/>
    </w:rPr>
  </w:style>
  <w:style w:type="character" w:customStyle="1" w:styleId="WW8Num35z1">
    <w:name w:val="WW8Num35z1"/>
    <w:rsid w:val="008074B4"/>
    <w:rPr>
      <w:rFonts w:ascii="Courier New" w:hAnsi="Courier New" w:cs="Courier New"/>
    </w:rPr>
  </w:style>
  <w:style w:type="character" w:customStyle="1" w:styleId="WW8Num35z2">
    <w:name w:val="WW8Num35z2"/>
    <w:rsid w:val="008074B4"/>
    <w:rPr>
      <w:rFonts w:ascii="Wingdings" w:hAnsi="Wingdings" w:cs="Wingdings"/>
    </w:rPr>
  </w:style>
  <w:style w:type="character" w:customStyle="1" w:styleId="WW8Num35z3">
    <w:name w:val="WW8Num35z3"/>
    <w:rsid w:val="008074B4"/>
    <w:rPr>
      <w:rFonts w:ascii="Symbol" w:hAnsi="Symbol" w:cs="Symbol"/>
    </w:rPr>
  </w:style>
  <w:style w:type="character" w:customStyle="1" w:styleId="WW8Num36z1">
    <w:name w:val="WW8Num36z1"/>
    <w:rsid w:val="008074B4"/>
    <w:rPr>
      <w:rFonts w:ascii="Courier New" w:hAnsi="Courier New" w:cs="Courier New"/>
    </w:rPr>
  </w:style>
  <w:style w:type="character" w:customStyle="1" w:styleId="WW8Num36z2">
    <w:name w:val="WW8Num36z2"/>
    <w:rsid w:val="008074B4"/>
    <w:rPr>
      <w:rFonts w:ascii="Wingdings" w:hAnsi="Wingdings" w:cs="Wingdings"/>
    </w:rPr>
  </w:style>
  <w:style w:type="character" w:customStyle="1" w:styleId="WW8Num37z1">
    <w:name w:val="WW8Num37z1"/>
    <w:rsid w:val="008074B4"/>
    <w:rPr>
      <w:rFonts w:ascii="Courier New" w:hAnsi="Courier New" w:cs="Courier New"/>
    </w:rPr>
  </w:style>
  <w:style w:type="character" w:customStyle="1" w:styleId="WW8Num37z2">
    <w:name w:val="WW8Num37z2"/>
    <w:rsid w:val="008074B4"/>
    <w:rPr>
      <w:rFonts w:ascii="Wingdings" w:hAnsi="Wingdings" w:cs="Wingdings"/>
    </w:rPr>
  </w:style>
  <w:style w:type="character" w:customStyle="1" w:styleId="WW8Num39z1">
    <w:name w:val="WW8Num39z1"/>
    <w:rsid w:val="008074B4"/>
    <w:rPr>
      <w:rFonts w:ascii="Calibri" w:hAnsi="Calibri" w:cs="Calibri"/>
    </w:rPr>
  </w:style>
  <w:style w:type="character" w:customStyle="1" w:styleId="WW8Num39z2">
    <w:name w:val="WW8Num39z2"/>
    <w:rsid w:val="008074B4"/>
    <w:rPr>
      <w:rFonts w:ascii="Wingdings" w:hAnsi="Wingdings" w:cs="Wingdings"/>
    </w:rPr>
  </w:style>
  <w:style w:type="character" w:customStyle="1" w:styleId="WW8Num39z4">
    <w:name w:val="WW8Num39z4"/>
    <w:rsid w:val="008074B4"/>
    <w:rPr>
      <w:rFonts w:ascii="Courier New" w:hAnsi="Courier New" w:cs="Courier New"/>
    </w:rPr>
  </w:style>
  <w:style w:type="character" w:customStyle="1" w:styleId="WW8Num40z1">
    <w:name w:val="WW8Num40z1"/>
    <w:rsid w:val="008074B4"/>
    <w:rPr>
      <w:rFonts w:ascii="Courier New" w:hAnsi="Courier New" w:cs="Courier New"/>
    </w:rPr>
  </w:style>
  <w:style w:type="character" w:customStyle="1" w:styleId="WW8Num40z2">
    <w:name w:val="WW8Num40z2"/>
    <w:rsid w:val="008074B4"/>
    <w:rPr>
      <w:rFonts w:ascii="Wingdings" w:hAnsi="Wingdings" w:cs="Wingdings"/>
    </w:rPr>
  </w:style>
  <w:style w:type="character" w:customStyle="1" w:styleId="WW8Num41z1">
    <w:name w:val="WW8Num41z1"/>
    <w:rsid w:val="008074B4"/>
    <w:rPr>
      <w:rFonts w:ascii="Courier New" w:hAnsi="Courier New" w:cs="Courier New"/>
    </w:rPr>
  </w:style>
  <w:style w:type="character" w:customStyle="1" w:styleId="WW8Num41z2">
    <w:name w:val="WW8Num41z2"/>
    <w:rsid w:val="008074B4"/>
    <w:rPr>
      <w:rFonts w:ascii="Wingdings" w:hAnsi="Wingdings" w:cs="Wingdings"/>
    </w:rPr>
  </w:style>
  <w:style w:type="character" w:customStyle="1" w:styleId="WW8Num41z3">
    <w:name w:val="WW8Num41z3"/>
    <w:rsid w:val="008074B4"/>
    <w:rPr>
      <w:rFonts w:ascii="Symbol" w:hAnsi="Symbol" w:cs="Symbol"/>
    </w:rPr>
  </w:style>
  <w:style w:type="character" w:customStyle="1" w:styleId="WW8Num42z1">
    <w:name w:val="WW8Num42z1"/>
    <w:rsid w:val="008074B4"/>
    <w:rPr>
      <w:rFonts w:ascii="Courier New" w:hAnsi="Courier New" w:cs="Courier New"/>
    </w:rPr>
  </w:style>
  <w:style w:type="character" w:customStyle="1" w:styleId="WW8Num42z2">
    <w:name w:val="WW8Num42z2"/>
    <w:rsid w:val="008074B4"/>
    <w:rPr>
      <w:rFonts w:ascii="Wingdings" w:hAnsi="Wingdings" w:cs="Wingdings"/>
    </w:rPr>
  </w:style>
  <w:style w:type="character" w:customStyle="1" w:styleId="WW8Num43z1">
    <w:name w:val="WW8Num43z1"/>
    <w:rsid w:val="008074B4"/>
    <w:rPr>
      <w:rFonts w:ascii="Courier New" w:hAnsi="Courier New" w:cs="Courier New"/>
    </w:rPr>
  </w:style>
  <w:style w:type="character" w:customStyle="1" w:styleId="WW8Num43z2">
    <w:name w:val="WW8Num43z2"/>
    <w:rsid w:val="008074B4"/>
    <w:rPr>
      <w:rFonts w:ascii="Wingdings" w:hAnsi="Wingdings" w:cs="Wingdings"/>
    </w:rPr>
  </w:style>
  <w:style w:type="character" w:customStyle="1" w:styleId="WW8Num44z1">
    <w:name w:val="WW8Num44z1"/>
    <w:rsid w:val="008074B4"/>
    <w:rPr>
      <w:rFonts w:ascii="Courier New" w:hAnsi="Courier New" w:cs="Courier New"/>
    </w:rPr>
  </w:style>
  <w:style w:type="character" w:customStyle="1" w:styleId="WW8Num44z2">
    <w:name w:val="WW8Num44z2"/>
    <w:rsid w:val="008074B4"/>
    <w:rPr>
      <w:rFonts w:ascii="Wingdings" w:hAnsi="Wingdings" w:cs="Wingdings"/>
    </w:rPr>
  </w:style>
  <w:style w:type="character" w:customStyle="1" w:styleId="WW8Num45z1">
    <w:name w:val="WW8Num45z1"/>
    <w:rsid w:val="008074B4"/>
    <w:rPr>
      <w:rFonts w:ascii="Courier New" w:hAnsi="Courier New" w:cs="Courier New"/>
    </w:rPr>
  </w:style>
  <w:style w:type="character" w:customStyle="1" w:styleId="WW8Num45z2">
    <w:name w:val="WW8Num45z2"/>
    <w:rsid w:val="008074B4"/>
    <w:rPr>
      <w:rFonts w:ascii="Wingdings" w:hAnsi="Wingdings" w:cs="Wingdings"/>
    </w:rPr>
  </w:style>
  <w:style w:type="character" w:customStyle="1" w:styleId="WW8Num46z1">
    <w:name w:val="WW8Num46z1"/>
    <w:rsid w:val="008074B4"/>
    <w:rPr>
      <w:rFonts w:ascii="Courier New" w:hAnsi="Courier New" w:cs="Courier New"/>
    </w:rPr>
  </w:style>
  <w:style w:type="character" w:customStyle="1" w:styleId="WW8Num46z2">
    <w:name w:val="WW8Num46z2"/>
    <w:rsid w:val="008074B4"/>
    <w:rPr>
      <w:rFonts w:ascii="Wingdings" w:hAnsi="Wingdings" w:cs="Wingdings"/>
    </w:rPr>
  </w:style>
  <w:style w:type="character" w:customStyle="1" w:styleId="WW8Num47z1">
    <w:name w:val="WW8Num47z1"/>
    <w:rsid w:val="008074B4"/>
    <w:rPr>
      <w:rFonts w:ascii="Courier New" w:hAnsi="Courier New" w:cs="Courier New"/>
    </w:rPr>
  </w:style>
  <w:style w:type="character" w:customStyle="1" w:styleId="WW8Num47z2">
    <w:name w:val="WW8Num47z2"/>
    <w:rsid w:val="008074B4"/>
    <w:rPr>
      <w:rFonts w:ascii="Wingdings" w:hAnsi="Wingdings" w:cs="Wingdings"/>
    </w:rPr>
  </w:style>
  <w:style w:type="character" w:customStyle="1" w:styleId="WW8Num47z3">
    <w:name w:val="WW8Num47z3"/>
    <w:rsid w:val="008074B4"/>
    <w:rPr>
      <w:rFonts w:ascii="Symbol" w:hAnsi="Symbol" w:cs="Symbol"/>
    </w:rPr>
  </w:style>
  <w:style w:type="character" w:customStyle="1" w:styleId="WW8Num48z1">
    <w:name w:val="WW8Num48z1"/>
    <w:rsid w:val="008074B4"/>
    <w:rPr>
      <w:rFonts w:ascii="Courier New" w:hAnsi="Courier New" w:cs="Courier New"/>
    </w:rPr>
  </w:style>
  <w:style w:type="character" w:customStyle="1" w:styleId="WW8Num48z2">
    <w:name w:val="WW8Num48z2"/>
    <w:rsid w:val="008074B4"/>
    <w:rPr>
      <w:rFonts w:ascii="Wingdings" w:hAnsi="Wingdings" w:cs="Wingdings"/>
    </w:rPr>
  </w:style>
  <w:style w:type="character" w:customStyle="1" w:styleId="WW8Num50z1">
    <w:name w:val="WW8Num50z1"/>
    <w:rsid w:val="008074B4"/>
    <w:rPr>
      <w:rFonts w:ascii="Courier New" w:hAnsi="Courier New" w:cs="Courier New"/>
    </w:rPr>
  </w:style>
  <w:style w:type="character" w:customStyle="1" w:styleId="WW8Num50z2">
    <w:name w:val="WW8Num50z2"/>
    <w:rsid w:val="008074B4"/>
    <w:rPr>
      <w:rFonts w:ascii="Wingdings" w:hAnsi="Wingdings" w:cs="Wingdings"/>
    </w:rPr>
  </w:style>
  <w:style w:type="character" w:customStyle="1" w:styleId="WW8Num51z0">
    <w:name w:val="WW8Num51z0"/>
    <w:rsid w:val="008074B4"/>
    <w:rPr>
      <w:rFonts w:ascii="Symbol" w:hAnsi="Symbol" w:cs="Symbol"/>
    </w:rPr>
  </w:style>
  <w:style w:type="character" w:customStyle="1" w:styleId="WW8Num51z1">
    <w:name w:val="WW8Num51z1"/>
    <w:rsid w:val="008074B4"/>
    <w:rPr>
      <w:rFonts w:ascii="Courier New" w:hAnsi="Courier New" w:cs="Courier New"/>
    </w:rPr>
  </w:style>
  <w:style w:type="character" w:customStyle="1" w:styleId="WW8Num51z2">
    <w:name w:val="WW8Num51z2"/>
    <w:rsid w:val="008074B4"/>
    <w:rPr>
      <w:rFonts w:ascii="Wingdings" w:hAnsi="Wingdings" w:cs="Wingdings"/>
    </w:rPr>
  </w:style>
  <w:style w:type="character" w:customStyle="1" w:styleId="WW8Num52z0">
    <w:name w:val="WW8Num52z0"/>
    <w:rsid w:val="008074B4"/>
    <w:rPr>
      <w:rFonts w:ascii="Symbol" w:hAnsi="Symbol" w:cs="Symbol"/>
    </w:rPr>
  </w:style>
  <w:style w:type="character" w:customStyle="1" w:styleId="WW8Num52z1">
    <w:name w:val="WW8Num52z1"/>
    <w:rsid w:val="008074B4"/>
    <w:rPr>
      <w:rFonts w:ascii="Courier New" w:hAnsi="Courier New" w:cs="Courier New"/>
    </w:rPr>
  </w:style>
  <w:style w:type="character" w:customStyle="1" w:styleId="WW8Num52z2">
    <w:name w:val="WW8Num52z2"/>
    <w:rsid w:val="008074B4"/>
    <w:rPr>
      <w:rFonts w:ascii="Wingdings" w:hAnsi="Wingdings" w:cs="Wingdings"/>
    </w:rPr>
  </w:style>
  <w:style w:type="character" w:customStyle="1" w:styleId="WW8Num53z0">
    <w:name w:val="WW8Num53z0"/>
    <w:rsid w:val="008074B4"/>
    <w:rPr>
      <w:rFonts w:ascii="Symbol" w:hAnsi="Symbol" w:cs="Symbol"/>
    </w:rPr>
  </w:style>
  <w:style w:type="character" w:customStyle="1" w:styleId="WW8Num53z1">
    <w:name w:val="WW8Num53z1"/>
    <w:rsid w:val="008074B4"/>
    <w:rPr>
      <w:rFonts w:ascii="Courier New" w:hAnsi="Courier New" w:cs="Courier New"/>
    </w:rPr>
  </w:style>
  <w:style w:type="character" w:customStyle="1" w:styleId="WW8Num53z2">
    <w:name w:val="WW8Num53z2"/>
    <w:rsid w:val="008074B4"/>
    <w:rPr>
      <w:rFonts w:ascii="Wingdings" w:hAnsi="Wingdings" w:cs="Wingdings"/>
    </w:rPr>
  </w:style>
  <w:style w:type="character" w:customStyle="1" w:styleId="WW8Num54z0">
    <w:name w:val="WW8Num54z0"/>
    <w:rsid w:val="008074B4"/>
    <w:rPr>
      <w:rFonts w:ascii="Symbol" w:hAnsi="Symbol" w:cs="Symbol"/>
    </w:rPr>
  </w:style>
  <w:style w:type="character" w:customStyle="1" w:styleId="WW8Num54z1">
    <w:name w:val="WW8Num54z1"/>
    <w:rsid w:val="008074B4"/>
    <w:rPr>
      <w:rFonts w:ascii="Courier New" w:hAnsi="Courier New" w:cs="Courier New"/>
    </w:rPr>
  </w:style>
  <w:style w:type="character" w:customStyle="1" w:styleId="WW8Num54z2">
    <w:name w:val="WW8Num54z2"/>
    <w:rsid w:val="008074B4"/>
    <w:rPr>
      <w:rFonts w:ascii="Wingdings" w:hAnsi="Wingdings" w:cs="Wingdings"/>
    </w:rPr>
  </w:style>
  <w:style w:type="character" w:customStyle="1" w:styleId="1fd">
    <w:name w:val="Основной шрифт абзаца1"/>
    <w:rsid w:val="008074B4"/>
  </w:style>
  <w:style w:type="character" w:customStyle="1" w:styleId="affffb">
    <w:name w:val="Символ сноски"/>
    <w:rsid w:val="008074B4"/>
    <w:rPr>
      <w:rFonts w:cs="Times New Roman"/>
      <w:vertAlign w:val="superscript"/>
    </w:rPr>
  </w:style>
  <w:style w:type="character" w:customStyle="1" w:styleId="affffc">
    <w:name w:val="Символы концевой сноски"/>
    <w:rsid w:val="008074B4"/>
    <w:rPr>
      <w:vertAlign w:val="superscript"/>
    </w:rPr>
  </w:style>
  <w:style w:type="character" w:customStyle="1" w:styleId="affffd">
    <w:name w:val="Маркеры списка"/>
    <w:rsid w:val="008074B4"/>
    <w:rPr>
      <w:rFonts w:ascii="OpenSymbol" w:eastAsia="OpenSymbol" w:hAnsi="OpenSymbol" w:cs="OpenSymbol"/>
    </w:rPr>
  </w:style>
  <w:style w:type="paragraph" w:customStyle="1" w:styleId="2c">
    <w:name w:val="Название2"/>
    <w:basedOn w:val="a1"/>
    <w:rsid w:val="008074B4"/>
    <w:pPr>
      <w:suppressLineNumbers/>
      <w:suppressAutoHyphens/>
      <w:spacing w:before="120" w:after="120" w:line="288" w:lineRule="auto"/>
      <w:ind w:firstLine="567"/>
    </w:pPr>
    <w:rPr>
      <w:rFonts w:ascii="Calibri" w:hAnsi="Calibri" w:cs="Mangal"/>
      <w:i/>
      <w:iCs/>
      <w:szCs w:val="24"/>
      <w:lang w:eastAsia="ar-SA"/>
    </w:rPr>
  </w:style>
  <w:style w:type="paragraph" w:customStyle="1" w:styleId="2d">
    <w:name w:val="Указатель2"/>
    <w:basedOn w:val="a1"/>
    <w:rsid w:val="008074B4"/>
    <w:pPr>
      <w:suppressLineNumbers/>
      <w:suppressAutoHyphens/>
      <w:spacing w:line="288" w:lineRule="auto"/>
      <w:ind w:firstLine="567"/>
    </w:pPr>
    <w:rPr>
      <w:rFonts w:ascii="Calibri" w:hAnsi="Calibri" w:cs="Mangal"/>
      <w:sz w:val="22"/>
      <w:lang w:eastAsia="ar-SA"/>
    </w:rPr>
  </w:style>
  <w:style w:type="paragraph" w:customStyle="1" w:styleId="1fe">
    <w:name w:val="Указатель1"/>
    <w:basedOn w:val="a1"/>
    <w:rsid w:val="008074B4"/>
    <w:pPr>
      <w:suppressLineNumbers/>
      <w:suppressAutoHyphens/>
      <w:spacing w:line="288" w:lineRule="auto"/>
      <w:ind w:firstLine="567"/>
    </w:pPr>
    <w:rPr>
      <w:rFonts w:ascii="Calibri" w:hAnsi="Calibri" w:cs="Mangal"/>
      <w:sz w:val="22"/>
      <w:lang w:eastAsia="ar-SA"/>
    </w:rPr>
  </w:style>
  <w:style w:type="paragraph" w:customStyle="1" w:styleId="affffe">
    <w:name w:val="Заголовок таблицы"/>
    <w:basedOn w:val="affff8"/>
    <w:rsid w:val="008074B4"/>
    <w:pPr>
      <w:jc w:val="center"/>
    </w:pPr>
    <w:rPr>
      <w:b/>
      <w:bCs/>
    </w:rPr>
  </w:style>
  <w:style w:type="character" w:customStyle="1" w:styleId="slug-pub-date3">
    <w:name w:val="slug-pub-date3"/>
    <w:rsid w:val="008074B4"/>
    <w:rPr>
      <w:b/>
      <w:bCs/>
    </w:rPr>
  </w:style>
  <w:style w:type="character" w:customStyle="1" w:styleId="slug-vol">
    <w:name w:val="slug-vol"/>
    <w:rsid w:val="008074B4"/>
  </w:style>
  <w:style w:type="character" w:customStyle="1" w:styleId="slug-issue">
    <w:name w:val="slug-issue"/>
    <w:rsid w:val="008074B4"/>
  </w:style>
  <w:style w:type="character" w:customStyle="1" w:styleId="slug-pages3">
    <w:name w:val="slug-pages3"/>
    <w:rsid w:val="008074B4"/>
    <w:rPr>
      <w:b/>
      <w:bCs/>
    </w:rPr>
  </w:style>
  <w:style w:type="paragraph" w:customStyle="1" w:styleId="LTGliederung1">
    <w:name w:val="???????~LT~Gliederung 1"/>
    <w:rsid w:val="008074B4"/>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pPr>
    <w:rPr>
      <w:rFonts w:ascii="Mangal" w:eastAsia="Mangal" w:hAnsi="Mangal" w:cs="Mangal"/>
      <w:color w:val="000000"/>
      <w:sz w:val="64"/>
      <w:szCs w:val="64"/>
      <w:lang w:eastAsia="hi-IN" w:bidi="hi-IN"/>
    </w:rPr>
  </w:style>
  <w:style w:type="character" w:customStyle="1" w:styleId="9PalatinoLinotype">
    <w:name w:val="Основной текст (9) + Palatino Linotype"/>
    <w:aliases w:val="7,5 pt"/>
    <w:uiPriority w:val="99"/>
    <w:rsid w:val="008074B4"/>
    <w:rPr>
      <w:rFonts w:ascii="Palatino Linotype" w:hAnsi="Palatino Linotype" w:cs="Palatino Linotype"/>
      <w:spacing w:val="0"/>
      <w:sz w:val="15"/>
      <w:szCs w:val="15"/>
    </w:rPr>
  </w:style>
  <w:style w:type="numbering" w:customStyle="1" w:styleId="1111111">
    <w:name w:val="1 / 1.1 / 1.1.11"/>
    <w:basedOn w:val="a5"/>
    <w:next w:val="111111"/>
    <w:rsid w:val="008074B4"/>
    <w:pPr>
      <w:numPr>
        <w:numId w:val="69"/>
      </w:numPr>
    </w:pPr>
  </w:style>
  <w:style w:type="numbering" w:customStyle="1" w:styleId="1ai1">
    <w:name w:val="1 / a / i1"/>
    <w:basedOn w:val="a5"/>
    <w:next w:val="1ai"/>
    <w:rsid w:val="008074B4"/>
    <w:pPr>
      <w:numPr>
        <w:numId w:val="70"/>
      </w:numPr>
    </w:pPr>
  </w:style>
  <w:style w:type="numbering" w:styleId="111111">
    <w:name w:val="Outline List 2"/>
    <w:basedOn w:val="a5"/>
    <w:uiPriority w:val="99"/>
    <w:semiHidden/>
    <w:unhideWhenUsed/>
    <w:rsid w:val="008074B4"/>
  </w:style>
  <w:style w:type="numbering" w:styleId="1ai">
    <w:name w:val="Outline List 1"/>
    <w:basedOn w:val="a5"/>
    <w:uiPriority w:val="99"/>
    <w:semiHidden/>
    <w:unhideWhenUsed/>
    <w:rsid w:val="008074B4"/>
  </w:style>
  <w:style w:type="table" w:customStyle="1" w:styleId="-11">
    <w:name w:val="Таблица-сетка 1 светлая1"/>
    <w:basedOn w:val="a4"/>
    <w:uiPriority w:val="46"/>
    <w:rsid w:val="008074B4"/>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510">
    <w:name w:val="Таблица простая 51"/>
    <w:basedOn w:val="a4"/>
    <w:uiPriority w:val="45"/>
    <w:rsid w:val="008074B4"/>
    <w:tblPr>
      <w:tblStyleRowBandSize w:val="1"/>
      <w:tblStyleColBandSize w:val="1"/>
    </w:tblPr>
    <w:tblStylePr w:type="firstRow">
      <w:rPr>
        <w:rFonts w:ascii="Arial Unicode MS" w:eastAsia="Times New Roman" w:hAnsi="Arial Unicode MS" w:cs="Times New Roman"/>
        <w:i/>
        <w:iCs/>
        <w:sz w:val="26"/>
      </w:rPr>
      <w:tblPr/>
      <w:tcPr>
        <w:tcBorders>
          <w:bottom w:val="single" w:sz="4" w:space="0" w:color="7F7F7F"/>
        </w:tcBorders>
        <w:shd w:val="clear" w:color="auto" w:fill="FFFFFF"/>
      </w:tcPr>
    </w:tblStylePr>
    <w:tblStylePr w:type="lastRow">
      <w:rPr>
        <w:rFonts w:ascii="Arial Unicode MS" w:eastAsia="Times New Roman" w:hAnsi="Arial Unicode MS" w:cs="Times New Roman"/>
        <w:i/>
        <w:iCs/>
        <w:sz w:val="26"/>
      </w:rPr>
      <w:tblPr/>
      <w:tcPr>
        <w:tcBorders>
          <w:top w:val="single" w:sz="4" w:space="0" w:color="7F7F7F"/>
        </w:tcBorders>
        <w:shd w:val="clear" w:color="auto" w:fill="FFFFFF"/>
      </w:tcPr>
    </w:tblStylePr>
    <w:tblStylePr w:type="firstCol">
      <w:pPr>
        <w:jc w:val="right"/>
      </w:pPr>
      <w:rPr>
        <w:rFonts w:ascii="Arial Unicode MS" w:eastAsia="Times New Roman" w:hAnsi="Arial Unicode MS" w:cs="Times New Roman"/>
        <w:i/>
        <w:iCs/>
        <w:sz w:val="26"/>
      </w:rPr>
      <w:tblPr/>
      <w:tcPr>
        <w:tcBorders>
          <w:right w:val="single" w:sz="4" w:space="0" w:color="7F7F7F"/>
        </w:tcBorders>
        <w:shd w:val="clear" w:color="auto" w:fill="FFFFFF"/>
      </w:tcPr>
    </w:tblStylePr>
    <w:tblStylePr w:type="lastCol">
      <w:rPr>
        <w:rFonts w:ascii="Arial Unicode MS" w:eastAsia="Times New Roman" w:hAnsi="Arial Unicode MS"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bsatz-Standardschriftart">
    <w:name w:val="Absatz-Standardschriftart"/>
    <w:rsid w:val="008074B4"/>
  </w:style>
  <w:style w:type="character" w:customStyle="1" w:styleId="WW-Absatz-Standardschriftart">
    <w:name w:val="WW-Absatz-Standardschriftart"/>
    <w:rsid w:val="008074B4"/>
  </w:style>
  <w:style w:type="paragraph" w:customStyle="1" w:styleId="p1">
    <w:name w:val="p1"/>
    <w:basedOn w:val="a1"/>
    <w:rsid w:val="008074B4"/>
    <w:pPr>
      <w:spacing w:line="240" w:lineRule="auto"/>
      <w:jc w:val="left"/>
    </w:pPr>
    <w:rPr>
      <w:rFonts w:ascii="Helvetica Neue" w:hAnsi="Helvetica Neue"/>
      <w:color w:val="000000"/>
      <w:sz w:val="20"/>
      <w:szCs w:val="20"/>
      <w:lang w:eastAsia="ru-RU"/>
    </w:rPr>
  </w:style>
  <w:style w:type="paragraph" w:customStyle="1" w:styleId="ListParagraph1">
    <w:name w:val="List Paragraph1"/>
    <w:basedOn w:val="a1"/>
    <w:rsid w:val="008074B4"/>
    <w:pPr>
      <w:suppressAutoHyphens/>
      <w:spacing w:after="200" w:line="276" w:lineRule="auto"/>
      <w:jc w:val="left"/>
    </w:pPr>
    <w:rPr>
      <w:rFonts w:ascii="Calibri" w:hAnsi="Calibri" w:cs="Calibri"/>
      <w:sz w:val="22"/>
      <w:lang w:val="nl-NL" w:eastAsia="ar-SA"/>
    </w:rPr>
  </w:style>
  <w:style w:type="paragraph" w:customStyle="1" w:styleId="a">
    <w:name w:val="рек"/>
    <w:basedOn w:val="aff"/>
    <w:link w:val="afffff"/>
    <w:qFormat/>
    <w:rsid w:val="008074B4"/>
    <w:pPr>
      <w:numPr>
        <w:numId w:val="71"/>
      </w:numPr>
      <w:tabs>
        <w:tab w:val="left" w:pos="1134"/>
      </w:tabs>
      <w:spacing w:before="240"/>
      <w:ind w:left="709" w:hanging="425"/>
    </w:pPr>
    <w:rPr>
      <w:szCs w:val="24"/>
    </w:rPr>
  </w:style>
  <w:style w:type="character" w:customStyle="1" w:styleId="afffff">
    <w:name w:val="рек Знак"/>
    <w:link w:val="a"/>
    <w:rsid w:val="008074B4"/>
    <w:rPr>
      <w:rFonts w:ascii="Times New Roman" w:hAnsi="Times New Roman"/>
      <w:sz w:val="24"/>
      <w:szCs w:val="24"/>
      <w:lang w:eastAsia="en-US"/>
    </w:rPr>
  </w:style>
  <w:style w:type="character" w:customStyle="1" w:styleId="Caaieiaie1Ciae">
    <w:name w:val="Caaieiaie 1 Ciae"/>
    <w:uiPriority w:val="99"/>
    <w:rsid w:val="008074B4"/>
    <w:rPr>
      <w:rFonts w:ascii="Cambria" w:hAnsi="Cambria" w:cs="Cambria"/>
      <w:b/>
      <w:bCs/>
      <w:kern w:val="32"/>
      <w:sz w:val="32"/>
      <w:szCs w:val="32"/>
    </w:rPr>
  </w:style>
  <w:style w:type="character" w:customStyle="1" w:styleId="Caaieiaie2Ciae">
    <w:name w:val="Caaieiaie 2 Ciae"/>
    <w:uiPriority w:val="99"/>
    <w:rsid w:val="008074B4"/>
    <w:rPr>
      <w:rFonts w:ascii="Cambria" w:hAnsi="Cambria" w:cs="Cambria"/>
      <w:b/>
      <w:bCs/>
      <w:i/>
      <w:iCs/>
      <w:sz w:val="28"/>
      <w:szCs w:val="28"/>
    </w:rPr>
  </w:style>
  <w:style w:type="character" w:customStyle="1" w:styleId="Caaieiaie3Ciae">
    <w:name w:val="Caaieiaie 3 Ciae"/>
    <w:uiPriority w:val="99"/>
    <w:rsid w:val="008074B4"/>
    <w:rPr>
      <w:rFonts w:ascii="Cambria" w:hAnsi="Cambria" w:cs="Cambria"/>
      <w:b/>
      <w:bCs/>
      <w:sz w:val="26"/>
      <w:szCs w:val="26"/>
    </w:rPr>
  </w:style>
  <w:style w:type="character" w:customStyle="1" w:styleId="Caaieiaie4Ciae">
    <w:name w:val="Caaieiaie 4 Ciae"/>
    <w:uiPriority w:val="99"/>
    <w:rsid w:val="008074B4"/>
    <w:rPr>
      <w:rFonts w:ascii="Times New Roman" w:hAnsi="Times New Roman" w:cs="Times New Roman"/>
      <w:b/>
      <w:bCs/>
      <w:sz w:val="28"/>
      <w:szCs w:val="28"/>
    </w:rPr>
  </w:style>
  <w:style w:type="character" w:customStyle="1" w:styleId="Caaieiaie5Ciae">
    <w:name w:val="Caaieiaie 5 Ciae"/>
    <w:uiPriority w:val="99"/>
    <w:rsid w:val="008074B4"/>
    <w:rPr>
      <w:rFonts w:cs="Times New Roman"/>
      <w:b/>
      <w:bCs/>
      <w:i/>
      <w:iCs/>
      <w:sz w:val="26"/>
      <w:szCs w:val="26"/>
    </w:rPr>
  </w:style>
  <w:style w:type="character" w:customStyle="1" w:styleId="Caaieiaie6Ciae">
    <w:name w:val="Caaieiaie 6 Ciae"/>
    <w:uiPriority w:val="99"/>
    <w:rsid w:val="008074B4"/>
    <w:rPr>
      <w:rFonts w:cs="Times New Roman"/>
      <w:b/>
      <w:bCs/>
    </w:rPr>
  </w:style>
  <w:style w:type="character" w:customStyle="1" w:styleId="Caaieiaie7Ciae">
    <w:name w:val="Caaieiaie 7 Ciae"/>
    <w:uiPriority w:val="99"/>
    <w:rsid w:val="008074B4"/>
    <w:rPr>
      <w:rFonts w:cs="Times New Roman"/>
      <w:sz w:val="24"/>
      <w:szCs w:val="24"/>
    </w:rPr>
  </w:style>
  <w:style w:type="character" w:customStyle="1" w:styleId="Caaieiaie1Ciae1">
    <w:name w:val="Caaieiaie 1 Ciae1"/>
    <w:uiPriority w:val="99"/>
    <w:rsid w:val="008074B4"/>
    <w:rPr>
      <w:rFonts w:ascii="Cambria" w:hAnsi="Cambria" w:cs="Cambria"/>
      <w:b/>
      <w:bCs/>
      <w:kern w:val="32"/>
      <w:sz w:val="32"/>
      <w:szCs w:val="32"/>
    </w:rPr>
  </w:style>
  <w:style w:type="character" w:customStyle="1" w:styleId="Caaieiaie2Ciae1">
    <w:name w:val="Caaieiaie 2 Ciae1"/>
    <w:uiPriority w:val="99"/>
    <w:rsid w:val="008074B4"/>
    <w:rPr>
      <w:rFonts w:ascii="Cambria" w:hAnsi="Cambria" w:cs="Cambria"/>
      <w:b/>
      <w:bCs/>
      <w:i/>
      <w:iCs/>
      <w:sz w:val="28"/>
      <w:szCs w:val="28"/>
    </w:rPr>
  </w:style>
  <w:style w:type="character" w:customStyle="1" w:styleId="Caaieiaie3Ciae1">
    <w:name w:val="Caaieiaie 3 Ciae1"/>
    <w:uiPriority w:val="99"/>
    <w:rsid w:val="008074B4"/>
    <w:rPr>
      <w:rFonts w:ascii="Cambria" w:hAnsi="Cambria" w:cs="Cambria"/>
      <w:b/>
      <w:bCs/>
      <w:sz w:val="26"/>
      <w:szCs w:val="26"/>
    </w:rPr>
  </w:style>
  <w:style w:type="character" w:customStyle="1" w:styleId="Caaieiaie4Ciae1">
    <w:name w:val="Caaieiaie 4 Ciae1"/>
    <w:uiPriority w:val="99"/>
    <w:rsid w:val="008074B4"/>
    <w:rPr>
      <w:rFonts w:ascii="Times New Roman" w:hAnsi="Times New Roman" w:cs="Times New Roman"/>
      <w:b/>
      <w:bCs/>
      <w:sz w:val="28"/>
      <w:szCs w:val="28"/>
    </w:rPr>
  </w:style>
  <w:style w:type="character" w:customStyle="1" w:styleId="Caaieiaie5Ciae1">
    <w:name w:val="Caaieiaie 5 Ciae1"/>
    <w:uiPriority w:val="99"/>
    <w:rsid w:val="008074B4"/>
    <w:rPr>
      <w:rFonts w:cs="Times New Roman"/>
      <w:b/>
      <w:bCs/>
      <w:i/>
      <w:iCs/>
      <w:sz w:val="26"/>
      <w:szCs w:val="26"/>
    </w:rPr>
  </w:style>
  <w:style w:type="character" w:customStyle="1" w:styleId="Caaieiaie6Ciae1">
    <w:name w:val="Caaieiaie 6 Ciae1"/>
    <w:uiPriority w:val="99"/>
    <w:rsid w:val="008074B4"/>
    <w:rPr>
      <w:rFonts w:cs="Times New Roman"/>
      <w:b/>
      <w:bCs/>
    </w:rPr>
  </w:style>
  <w:style w:type="character" w:customStyle="1" w:styleId="Caaieiaie7Ciae1">
    <w:name w:val="Caaieiaie 7 Ciae1"/>
    <w:uiPriority w:val="99"/>
    <w:rsid w:val="008074B4"/>
    <w:rPr>
      <w:rFonts w:cs="Times New Roman"/>
      <w:sz w:val="24"/>
      <w:szCs w:val="24"/>
    </w:rPr>
  </w:style>
  <w:style w:type="paragraph" w:customStyle="1" w:styleId="Heading5">
    <w:name w:val="Heading5"/>
    <w:basedOn w:val="a1"/>
    <w:uiPriority w:val="99"/>
    <w:rsid w:val="008074B4"/>
    <w:pPr>
      <w:autoSpaceDE w:val="0"/>
      <w:autoSpaceDN w:val="0"/>
      <w:adjustRightInd w:val="0"/>
      <w:spacing w:before="100" w:after="100" w:line="240" w:lineRule="auto"/>
      <w:jc w:val="left"/>
    </w:pPr>
    <w:rPr>
      <w:rFonts w:eastAsia="Times New Roman"/>
      <w:b/>
      <w:bCs/>
      <w:i/>
      <w:iCs/>
      <w:szCs w:val="24"/>
      <w:lang w:eastAsia="ru-RU"/>
    </w:rPr>
  </w:style>
  <w:style w:type="paragraph" w:customStyle="1" w:styleId="author">
    <w:name w:val="author"/>
    <w:basedOn w:val="3"/>
    <w:uiPriority w:val="99"/>
    <w:rsid w:val="008074B4"/>
    <w:pPr>
      <w:keepLines/>
      <w:widowControl w:val="0"/>
      <w:shd w:val="clear" w:color="auto" w:fill="FFFFFF"/>
      <w:autoSpaceDE w:val="0"/>
      <w:autoSpaceDN w:val="0"/>
      <w:adjustRightInd w:val="0"/>
      <w:spacing w:before="40" w:after="40" w:line="240" w:lineRule="auto"/>
      <w:ind w:firstLine="709"/>
      <w:jc w:val="left"/>
      <w:outlineLvl w:val="9"/>
    </w:pPr>
    <w:rPr>
      <w:rFonts w:ascii="Arial" w:eastAsia="Times New Roman" w:hAnsi="Arial" w:cs="Arial"/>
      <w:b w:val="0"/>
      <w:bCs w:val="0"/>
      <w:lang w:val="en-US" w:eastAsia="ru-RU"/>
    </w:rPr>
  </w:style>
  <w:style w:type="paragraph" w:customStyle="1" w:styleId="Bullet-2">
    <w:name w:val="Bullet-2"/>
    <w:basedOn w:val="FitzBullet"/>
    <w:uiPriority w:val="99"/>
    <w:rsid w:val="008074B4"/>
    <w:pPr>
      <w:tabs>
        <w:tab w:val="clear" w:pos="317"/>
        <w:tab w:val="left" w:pos="1134"/>
      </w:tabs>
      <w:ind w:left="1417"/>
      <w:jc w:val="left"/>
    </w:pPr>
    <w:rPr>
      <w:lang w:val="en-US"/>
    </w:rPr>
  </w:style>
  <w:style w:type="character" w:customStyle="1" w:styleId="sokr">
    <w:name w:val="sokr"/>
    <w:rsid w:val="008074B4"/>
  </w:style>
  <w:style w:type="paragraph" w:customStyle="1" w:styleId="opisdvfld">
    <w:name w:val="opis_dvfld"/>
    <w:basedOn w:val="a1"/>
    <w:rsid w:val="008074B4"/>
    <w:pPr>
      <w:spacing w:before="100" w:beforeAutospacing="1" w:after="100" w:afterAutospacing="1" w:line="240" w:lineRule="auto"/>
      <w:jc w:val="left"/>
    </w:pPr>
    <w:rPr>
      <w:rFonts w:eastAsia="Times New Roman"/>
      <w:szCs w:val="24"/>
      <w:lang w:eastAsia="ru-RU"/>
    </w:rPr>
  </w:style>
  <w:style w:type="paragraph" w:customStyle="1" w:styleId="afffff0">
    <w:name w:val="Литература"/>
    <w:basedOn w:val="a1"/>
    <w:qFormat/>
    <w:rsid w:val="008074B4"/>
    <w:pPr>
      <w:suppressAutoHyphens/>
      <w:spacing w:after="120" w:line="240" w:lineRule="auto"/>
      <w:jc w:val="left"/>
    </w:pPr>
    <w:rPr>
      <w:i/>
      <w:kern w:val="2"/>
      <w:szCs w:val="24"/>
      <w:lang w:val="en-US"/>
    </w:rPr>
  </w:style>
  <w:style w:type="character" w:customStyle="1" w:styleId="cit">
    <w:name w:val="cit"/>
    <w:basedOn w:val="a3"/>
    <w:rsid w:val="008074B4"/>
  </w:style>
  <w:style w:type="character" w:customStyle="1" w:styleId="al-author-delim">
    <w:name w:val="al-author-delim"/>
    <w:basedOn w:val="a3"/>
    <w:rsid w:val="008074B4"/>
  </w:style>
  <w:style w:type="character" w:styleId="afffff1">
    <w:name w:val="line number"/>
    <w:basedOn w:val="a3"/>
    <w:uiPriority w:val="99"/>
    <w:semiHidden/>
    <w:unhideWhenUsed/>
    <w:rsid w:val="008074B4"/>
  </w:style>
  <w:style w:type="character" w:customStyle="1" w:styleId="author-sup-separator">
    <w:name w:val="author-sup-separator"/>
    <w:rsid w:val="008074B4"/>
  </w:style>
  <w:style w:type="character" w:customStyle="1" w:styleId="comma">
    <w:name w:val="comma"/>
    <w:rsid w:val="008074B4"/>
  </w:style>
  <w:style w:type="character" w:customStyle="1" w:styleId="citation-doi">
    <w:name w:val="citation-doi"/>
    <w:rsid w:val="008074B4"/>
  </w:style>
  <w:style w:type="character" w:customStyle="1" w:styleId="st">
    <w:name w:val="st"/>
    <w:rsid w:val="008074B4"/>
  </w:style>
  <w:style w:type="character" w:customStyle="1" w:styleId="2e">
    <w:name w:val="Строгий2"/>
    <w:rsid w:val="008074B4"/>
  </w:style>
  <w:style w:type="character" w:customStyle="1" w:styleId="pagelast">
    <w:name w:val="pagelast"/>
    <w:uiPriority w:val="99"/>
    <w:rsid w:val="008074B4"/>
    <w:rPr>
      <w:rFonts w:cs="Times New Roman"/>
    </w:rPr>
  </w:style>
  <w:style w:type="paragraph" w:customStyle="1" w:styleId="Autor">
    <w:name w:val="Autor"/>
    <w:basedOn w:val="a1"/>
    <w:rsid w:val="008074B4"/>
    <w:pPr>
      <w:widowControl w:val="0"/>
      <w:shd w:val="clear" w:color="auto" w:fill="FFFFFF"/>
      <w:overflowPunct w:val="0"/>
      <w:autoSpaceDE w:val="0"/>
      <w:autoSpaceDN w:val="0"/>
      <w:adjustRightInd w:val="0"/>
      <w:spacing w:before="120" w:line="240" w:lineRule="atLeast"/>
      <w:jc w:val="left"/>
      <w:textAlignment w:val="baseline"/>
    </w:pPr>
    <w:rPr>
      <w:i/>
      <w:iCs/>
      <w:sz w:val="22"/>
      <w:lang w:val="en-US" w:eastAsia="ru-RU"/>
    </w:rPr>
  </w:style>
  <w:style w:type="paragraph" w:customStyle="1" w:styleId="Table-head-italic">
    <w:name w:val="Table-head-italic"/>
    <w:basedOn w:val="a1"/>
    <w:rsid w:val="008074B4"/>
    <w:pPr>
      <w:widowControl w:val="0"/>
      <w:shd w:val="clear" w:color="auto" w:fill="FFFFFF"/>
      <w:autoSpaceDE w:val="0"/>
      <w:autoSpaceDN w:val="0"/>
      <w:adjustRightInd w:val="0"/>
      <w:spacing w:line="240" w:lineRule="auto"/>
      <w:jc w:val="left"/>
    </w:pPr>
    <w:rPr>
      <w:rFonts w:eastAsia="Times New Roman"/>
      <w:i/>
      <w:iCs/>
      <w:sz w:val="18"/>
      <w:szCs w:val="18"/>
      <w:lang w:val="en-US" w:eastAsia="ru-RU"/>
    </w:rPr>
  </w:style>
  <w:style w:type="paragraph" w:customStyle="1" w:styleId="FitzFootnote">
    <w:name w:val="FitzFootnote"/>
    <w:basedOn w:val="a1"/>
    <w:rsid w:val="008074B4"/>
    <w:pPr>
      <w:shd w:val="clear" w:color="auto" w:fill="FFFFFF"/>
      <w:autoSpaceDE w:val="0"/>
      <w:autoSpaceDN w:val="0"/>
      <w:adjustRightInd w:val="0"/>
      <w:spacing w:before="60" w:after="60" w:line="240" w:lineRule="auto"/>
      <w:jc w:val="left"/>
    </w:pPr>
    <w:rPr>
      <w:rFonts w:eastAsia="Times New Roman"/>
      <w:color w:val="000000"/>
      <w:sz w:val="18"/>
      <w:szCs w:val="18"/>
      <w:lang w:val="en-US" w:eastAsia="ru-RU"/>
    </w:rPr>
  </w:style>
  <w:style w:type="paragraph" w:customStyle="1" w:styleId="formula">
    <w:name w:val="formula"/>
    <w:basedOn w:val="a1"/>
    <w:rsid w:val="008074B4"/>
    <w:pPr>
      <w:shd w:val="clear" w:color="auto" w:fill="FFFFFF"/>
      <w:tabs>
        <w:tab w:val="left" w:pos="394"/>
      </w:tabs>
      <w:overflowPunct w:val="0"/>
      <w:autoSpaceDE w:val="0"/>
      <w:autoSpaceDN w:val="0"/>
      <w:adjustRightInd w:val="0"/>
      <w:spacing w:before="60" w:after="60" w:line="240" w:lineRule="auto"/>
      <w:ind w:firstLine="227"/>
      <w:jc w:val="left"/>
      <w:textAlignment w:val="baseline"/>
    </w:pPr>
    <w:rPr>
      <w:rFonts w:eastAsia="Times New Roman"/>
      <w:sz w:val="20"/>
      <w:szCs w:val="20"/>
      <w:lang w:eastAsia="ru-RU"/>
    </w:rPr>
  </w:style>
  <w:style w:type="paragraph" w:customStyle="1" w:styleId="1ff">
    <w:name w:val="Обычный (веб)1"/>
    <w:basedOn w:val="a1"/>
    <w:uiPriority w:val="99"/>
    <w:unhideWhenUsed/>
    <w:qFormat/>
    <w:rsid w:val="008074B4"/>
    <w:pPr>
      <w:spacing w:beforeAutospacing="1" w:afterAutospacing="1" w:line="288" w:lineRule="auto"/>
      <w:jc w:val="left"/>
    </w:pPr>
    <w:rPr>
      <w:rFonts w:eastAsia="Times New Roman"/>
      <w:szCs w:val="24"/>
      <w:lang w:eastAsia="ru-RU"/>
    </w:rPr>
  </w:style>
  <w:style w:type="table" w:customStyle="1" w:styleId="-131">
    <w:name w:val="Список-таблица 1 светлая — акцент 31"/>
    <w:basedOn w:val="a4"/>
    <w:uiPriority w:val="46"/>
    <w:rsid w:val="008074B4"/>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highlight1">
    <w:name w:val="highlight1"/>
    <w:basedOn w:val="a3"/>
    <w:rsid w:val="008074B4"/>
  </w:style>
  <w:style w:type="character" w:customStyle="1" w:styleId="element-citation">
    <w:name w:val="element-citation"/>
    <w:basedOn w:val="a3"/>
    <w:rsid w:val="008074B4"/>
  </w:style>
  <w:style w:type="character" w:customStyle="1" w:styleId="ref-journal">
    <w:name w:val="ref-journal"/>
    <w:basedOn w:val="a3"/>
    <w:rsid w:val="008074B4"/>
  </w:style>
  <w:style w:type="character" w:customStyle="1" w:styleId="ref-vol">
    <w:name w:val="ref-vol"/>
    <w:basedOn w:val="a3"/>
    <w:rsid w:val="008074B4"/>
  </w:style>
  <w:style w:type="character" w:customStyle="1" w:styleId="nowrap">
    <w:name w:val="nowrap"/>
    <w:basedOn w:val="a3"/>
    <w:rsid w:val="008074B4"/>
  </w:style>
  <w:style w:type="paragraph" w:styleId="42">
    <w:name w:val="toc 4"/>
    <w:basedOn w:val="a1"/>
    <w:next w:val="a1"/>
    <w:autoRedefine/>
    <w:uiPriority w:val="39"/>
    <w:unhideWhenUsed/>
    <w:locked/>
    <w:rsid w:val="008074B4"/>
    <w:pPr>
      <w:ind w:left="720" w:firstLine="709"/>
      <w:jc w:val="left"/>
    </w:pPr>
    <w:rPr>
      <w:rFonts w:asciiTheme="minorHAnsi" w:hAnsiTheme="minorHAnsi"/>
      <w:sz w:val="20"/>
      <w:szCs w:val="20"/>
    </w:rPr>
  </w:style>
  <w:style w:type="paragraph" w:styleId="52">
    <w:name w:val="toc 5"/>
    <w:basedOn w:val="a1"/>
    <w:next w:val="a1"/>
    <w:autoRedefine/>
    <w:uiPriority w:val="39"/>
    <w:unhideWhenUsed/>
    <w:locked/>
    <w:rsid w:val="008074B4"/>
    <w:pPr>
      <w:ind w:left="960" w:firstLine="709"/>
      <w:jc w:val="left"/>
    </w:pPr>
    <w:rPr>
      <w:rFonts w:asciiTheme="minorHAnsi" w:hAnsiTheme="minorHAnsi"/>
      <w:sz w:val="20"/>
      <w:szCs w:val="20"/>
    </w:rPr>
  </w:style>
  <w:style w:type="paragraph" w:styleId="61">
    <w:name w:val="toc 6"/>
    <w:basedOn w:val="a1"/>
    <w:next w:val="a1"/>
    <w:autoRedefine/>
    <w:uiPriority w:val="39"/>
    <w:unhideWhenUsed/>
    <w:locked/>
    <w:rsid w:val="008074B4"/>
    <w:pPr>
      <w:ind w:left="1200" w:firstLine="709"/>
      <w:jc w:val="left"/>
    </w:pPr>
    <w:rPr>
      <w:rFonts w:asciiTheme="minorHAnsi" w:hAnsiTheme="minorHAnsi"/>
      <w:sz w:val="20"/>
      <w:szCs w:val="20"/>
    </w:rPr>
  </w:style>
  <w:style w:type="paragraph" w:styleId="72">
    <w:name w:val="toc 7"/>
    <w:basedOn w:val="a1"/>
    <w:next w:val="a1"/>
    <w:autoRedefine/>
    <w:uiPriority w:val="39"/>
    <w:unhideWhenUsed/>
    <w:locked/>
    <w:rsid w:val="008074B4"/>
    <w:pPr>
      <w:ind w:left="1440" w:firstLine="709"/>
      <w:jc w:val="left"/>
    </w:pPr>
    <w:rPr>
      <w:rFonts w:asciiTheme="minorHAnsi" w:hAnsiTheme="minorHAnsi"/>
      <w:sz w:val="20"/>
      <w:szCs w:val="20"/>
    </w:rPr>
  </w:style>
  <w:style w:type="paragraph" w:styleId="82">
    <w:name w:val="toc 8"/>
    <w:basedOn w:val="a1"/>
    <w:next w:val="a1"/>
    <w:autoRedefine/>
    <w:uiPriority w:val="39"/>
    <w:unhideWhenUsed/>
    <w:locked/>
    <w:rsid w:val="008074B4"/>
    <w:pPr>
      <w:ind w:left="1680" w:firstLine="709"/>
      <w:jc w:val="left"/>
    </w:pPr>
    <w:rPr>
      <w:rFonts w:asciiTheme="minorHAnsi" w:hAnsiTheme="minorHAnsi"/>
      <w:sz w:val="20"/>
      <w:szCs w:val="20"/>
    </w:rPr>
  </w:style>
  <w:style w:type="paragraph" w:styleId="92">
    <w:name w:val="toc 9"/>
    <w:basedOn w:val="a1"/>
    <w:next w:val="a1"/>
    <w:autoRedefine/>
    <w:uiPriority w:val="39"/>
    <w:unhideWhenUsed/>
    <w:locked/>
    <w:rsid w:val="008074B4"/>
    <w:pPr>
      <w:ind w:left="1920" w:firstLine="709"/>
      <w:jc w:val="left"/>
    </w:pPr>
    <w:rPr>
      <w:rFonts w:asciiTheme="minorHAnsi" w:hAnsiTheme="minorHAnsi"/>
      <w:sz w:val="20"/>
      <w:szCs w:val="20"/>
    </w:rPr>
  </w:style>
  <w:style w:type="paragraph" w:customStyle="1" w:styleId="Number1">
    <w:name w:val="Number1"/>
    <w:basedOn w:val="a1"/>
    <w:rsid w:val="0073058C"/>
    <w:pPr>
      <w:shd w:val="clear" w:color="auto" w:fill="FFFFFF"/>
      <w:tabs>
        <w:tab w:val="left" w:pos="394"/>
      </w:tabs>
      <w:overflowPunct w:val="0"/>
      <w:autoSpaceDE w:val="0"/>
      <w:autoSpaceDN w:val="0"/>
      <w:adjustRightInd w:val="0"/>
      <w:spacing w:before="5" w:line="240" w:lineRule="auto"/>
      <w:ind w:left="284" w:hanging="284"/>
      <w:jc w:val="left"/>
      <w:textAlignment w:val="baseline"/>
    </w:pPr>
    <w:rPr>
      <w:rFonts w:eastAsia="Times New Roman"/>
      <w:color w:val="000000"/>
      <w:spacing w:val="-1"/>
      <w:szCs w:val="20"/>
      <w:lang w:eastAsia="ru-RU"/>
    </w:rPr>
  </w:style>
  <w:style w:type="paragraph" w:customStyle="1" w:styleId="Author0">
    <w:name w:val="Author"/>
    <w:basedOn w:val="a1"/>
    <w:rsid w:val="0073058C"/>
    <w:pPr>
      <w:overflowPunct w:val="0"/>
      <w:autoSpaceDE w:val="0"/>
      <w:autoSpaceDN w:val="0"/>
      <w:adjustRightInd w:val="0"/>
      <w:spacing w:line="240" w:lineRule="auto"/>
      <w:ind w:firstLine="284"/>
      <w:jc w:val="center"/>
      <w:textAlignment w:val="baseline"/>
    </w:pPr>
    <w:rPr>
      <w:rFonts w:eastAsia="Times New Roman"/>
      <w:i/>
      <w:szCs w:val="20"/>
      <w:lang w:eastAsia="ru-RU"/>
    </w:rPr>
  </w:style>
  <w:style w:type="paragraph" w:customStyle="1" w:styleId="1ff0">
    <w:name w:val="Обычный1"/>
    <w:rsid w:val="003D210A"/>
    <w:pPr>
      <w:widowControl w:val="0"/>
      <w:overflowPunct w:val="0"/>
      <w:autoSpaceDE w:val="0"/>
      <w:autoSpaceDN w:val="0"/>
      <w:adjustRightInd w:val="0"/>
      <w:textAlignment w:val="baseline"/>
    </w:pPr>
    <w:rPr>
      <w:rFonts w:ascii="Times New Roman" w:eastAsia="Times New Roman" w:hAnsi="Times New Roman"/>
    </w:rPr>
  </w:style>
  <w:style w:type="paragraph" w:customStyle="1" w:styleId="bullet">
    <w:name w:val="bullet"/>
    <w:rsid w:val="005A6162"/>
    <w:pPr>
      <w:shd w:val="clear" w:color="auto" w:fill="FFFFFF"/>
      <w:tabs>
        <w:tab w:val="left" w:pos="360"/>
        <w:tab w:val="left" w:pos="394"/>
        <w:tab w:val="left" w:pos="1364"/>
      </w:tabs>
      <w:ind w:firstLine="397"/>
    </w:pPr>
    <w:rPr>
      <w:rFonts w:ascii="Times New Roman" w:eastAsia="Arial Unicode MS" w:hAnsi="Times New Roman" w:cs="Arial Unicode MS"/>
      <w:color w:val="000000"/>
      <w:spacing w:val="-7"/>
      <w:sz w:val="24"/>
      <w:szCs w:val="24"/>
      <w:u w:color="000000"/>
    </w:rPr>
  </w:style>
  <w:style w:type="numbering" w:customStyle="1" w:styleId="1">
    <w:name w:val="Импортированный стиль 1"/>
    <w:rsid w:val="005A6162"/>
    <w:pPr>
      <w:numPr>
        <w:numId w:val="112"/>
      </w:numPr>
    </w:pPr>
  </w:style>
  <w:style w:type="paragraph" w:customStyle="1" w:styleId="table-head-left">
    <w:name w:val="table-head-left"/>
    <w:basedOn w:val="a1"/>
    <w:rsid w:val="006D3228"/>
    <w:pPr>
      <w:shd w:val="clear" w:color="auto" w:fill="FFFFFF"/>
      <w:tabs>
        <w:tab w:val="left" w:pos="394"/>
      </w:tabs>
      <w:overflowPunct w:val="0"/>
      <w:autoSpaceDE w:val="0"/>
      <w:autoSpaceDN w:val="0"/>
      <w:adjustRightInd w:val="0"/>
      <w:spacing w:before="40" w:after="40" w:line="264" w:lineRule="auto"/>
      <w:ind w:left="57" w:hanging="57"/>
      <w:textAlignment w:val="baseline"/>
    </w:pPr>
    <w:rPr>
      <w:rFonts w:eastAsia="Times New Roman"/>
      <w:b/>
      <w:color w:val="000000"/>
      <w:spacing w:val="-5"/>
      <w:szCs w:val="20"/>
      <w:lang w:eastAsia="ru-RU"/>
    </w:rPr>
  </w:style>
  <w:style w:type="character" w:customStyle="1" w:styleId="80">
    <w:name w:val="Заголовок 8 Знак"/>
    <w:basedOn w:val="a3"/>
    <w:link w:val="8"/>
    <w:rsid w:val="008143D9"/>
    <w:rPr>
      <w:rFonts w:eastAsia="SimSun"/>
      <w:color w:val="6F6F74"/>
    </w:rPr>
  </w:style>
  <w:style w:type="character" w:customStyle="1" w:styleId="90">
    <w:name w:val="Заголовок 9 Знак"/>
    <w:basedOn w:val="a3"/>
    <w:link w:val="9"/>
    <w:rsid w:val="008143D9"/>
    <w:rPr>
      <w:rFonts w:eastAsia="SimSun"/>
      <w:i/>
      <w:iCs/>
      <w:color w:val="404040"/>
    </w:rPr>
  </w:style>
  <w:style w:type="paragraph" w:customStyle="1" w:styleId="Insert">
    <w:name w:val="Insert"/>
    <w:basedOn w:val="a1"/>
    <w:autoRedefine/>
    <w:rsid w:val="008143D9"/>
    <w:pPr>
      <w:widowControl w:val="0"/>
      <w:overflowPunct w:val="0"/>
      <w:autoSpaceDE w:val="0"/>
      <w:autoSpaceDN w:val="0"/>
      <w:adjustRightInd w:val="0"/>
      <w:spacing w:line="264" w:lineRule="auto"/>
      <w:ind w:left="397" w:firstLine="425"/>
      <w:jc w:val="left"/>
      <w:textAlignment w:val="baseline"/>
    </w:pPr>
    <w:rPr>
      <w:rFonts w:eastAsia="Times New Roman"/>
      <w:color w:val="000000"/>
      <w:szCs w:val="20"/>
      <w:lang w:val="en-US" w:eastAsia="ru-RU"/>
    </w:rPr>
  </w:style>
  <w:style w:type="paragraph" w:customStyle="1" w:styleId="Number2">
    <w:name w:val="Number2"/>
    <w:basedOn w:val="Number1"/>
    <w:rsid w:val="008143D9"/>
    <w:pPr>
      <w:spacing w:line="264" w:lineRule="auto"/>
      <w:ind w:left="426" w:hanging="142"/>
    </w:pPr>
  </w:style>
  <w:style w:type="paragraph" w:customStyle="1" w:styleId="Literature">
    <w:name w:val="Literature"/>
    <w:basedOn w:val="a1"/>
    <w:rsid w:val="008143D9"/>
    <w:pPr>
      <w:shd w:val="clear" w:color="auto" w:fill="FFFFFF"/>
      <w:tabs>
        <w:tab w:val="left" w:pos="0"/>
        <w:tab w:val="left" w:pos="1068"/>
      </w:tabs>
      <w:overflowPunct w:val="0"/>
      <w:autoSpaceDE w:val="0"/>
      <w:autoSpaceDN w:val="0"/>
      <w:adjustRightInd w:val="0"/>
      <w:spacing w:before="5" w:line="264" w:lineRule="auto"/>
      <w:ind w:left="720" w:hanging="360"/>
      <w:jc w:val="left"/>
      <w:textAlignment w:val="baseline"/>
    </w:pPr>
    <w:rPr>
      <w:rFonts w:eastAsia="Times New Roman"/>
      <w:color w:val="000000"/>
      <w:spacing w:val="-1"/>
      <w:szCs w:val="20"/>
      <w:lang w:eastAsia="ru-RU"/>
    </w:rPr>
  </w:style>
  <w:style w:type="paragraph" w:customStyle="1" w:styleId="figure">
    <w:name w:val="figure"/>
    <w:basedOn w:val="a1"/>
    <w:rsid w:val="008143D9"/>
    <w:pPr>
      <w:overflowPunct w:val="0"/>
      <w:autoSpaceDE w:val="0"/>
      <w:autoSpaceDN w:val="0"/>
      <w:adjustRightInd w:val="0"/>
      <w:spacing w:before="240" w:after="40" w:line="264" w:lineRule="auto"/>
      <w:ind w:firstLine="425"/>
      <w:jc w:val="left"/>
      <w:textAlignment w:val="baseline"/>
    </w:pPr>
    <w:rPr>
      <w:rFonts w:eastAsia="Times New Roman"/>
      <w:szCs w:val="20"/>
      <w:lang w:eastAsia="ru-RU"/>
    </w:rPr>
  </w:style>
  <w:style w:type="paragraph" w:customStyle="1" w:styleId="author-1">
    <w:name w:val="author-1"/>
    <w:basedOn w:val="Author0"/>
    <w:rsid w:val="008143D9"/>
    <w:pPr>
      <w:keepNext/>
      <w:keepLines/>
      <w:overflowPunct/>
      <w:spacing w:before="60" w:after="120" w:line="264" w:lineRule="auto"/>
      <w:ind w:firstLine="425"/>
      <w:jc w:val="right"/>
      <w:textAlignment w:val="auto"/>
    </w:pPr>
    <w:rPr>
      <w:b/>
      <w:iCs/>
      <w:noProof/>
      <w:color w:val="000000"/>
      <w:sz w:val="20"/>
      <w:lang w:val="en-US"/>
    </w:rPr>
  </w:style>
  <w:style w:type="paragraph" w:customStyle="1" w:styleId="Insert1">
    <w:name w:val="Insert 1"/>
    <w:basedOn w:val="Insert"/>
    <w:rsid w:val="008143D9"/>
    <w:pPr>
      <w:ind w:left="0"/>
    </w:pPr>
    <w:rPr>
      <w:sz w:val="20"/>
      <w:lang w:val="ru-RU"/>
    </w:rPr>
  </w:style>
  <w:style w:type="paragraph" w:customStyle="1" w:styleId="Bullit-2">
    <w:name w:val="Bullit-2"/>
    <w:basedOn w:val="a1"/>
    <w:rsid w:val="008143D9"/>
    <w:pPr>
      <w:tabs>
        <w:tab w:val="left" w:pos="0"/>
        <w:tab w:val="left" w:pos="1160"/>
      </w:tabs>
      <w:autoSpaceDE w:val="0"/>
      <w:autoSpaceDN w:val="0"/>
      <w:adjustRightInd w:val="0"/>
      <w:spacing w:line="264" w:lineRule="auto"/>
      <w:ind w:left="754" w:hanging="357"/>
      <w:jc w:val="left"/>
    </w:pPr>
    <w:rPr>
      <w:rFonts w:eastAsia="MS Mincho"/>
      <w:color w:val="000000"/>
      <w:lang w:val="en-US" w:eastAsia="ja-JP"/>
    </w:rPr>
  </w:style>
  <w:style w:type="character" w:customStyle="1" w:styleId="extended-textshort">
    <w:name w:val="extended-text__short"/>
    <w:basedOn w:val="a3"/>
    <w:rsid w:val="008143D9"/>
  </w:style>
  <w:style w:type="paragraph" w:customStyle="1" w:styleId="Normalfirst">
    <w:name w:val="Normalfirst"/>
    <w:basedOn w:val="a1"/>
    <w:rsid w:val="008143D9"/>
    <w:pPr>
      <w:autoSpaceDE w:val="0"/>
      <w:autoSpaceDN w:val="0"/>
      <w:adjustRightInd w:val="0"/>
      <w:spacing w:line="240" w:lineRule="auto"/>
      <w:jc w:val="left"/>
    </w:pPr>
    <w:rPr>
      <w:rFonts w:eastAsia="MS Mincho"/>
      <w:szCs w:val="24"/>
      <w:lang w:eastAsia="ja-JP"/>
    </w:rPr>
  </w:style>
  <w:style w:type="paragraph" w:customStyle="1" w:styleId="xl68">
    <w:name w:val="xl68"/>
    <w:basedOn w:val="a1"/>
    <w:rsid w:val="008143D9"/>
    <w:pPr>
      <w:spacing w:before="100" w:beforeAutospacing="1" w:after="100" w:afterAutospacing="1" w:line="240" w:lineRule="auto"/>
      <w:jc w:val="left"/>
    </w:pPr>
    <w:rPr>
      <w:rFonts w:eastAsia="Times New Roman"/>
      <w:szCs w:val="24"/>
      <w:lang w:eastAsia="ru-RU"/>
    </w:rPr>
  </w:style>
  <w:style w:type="paragraph" w:customStyle="1" w:styleId="xl69">
    <w:name w:val="xl69"/>
    <w:basedOn w:val="a1"/>
    <w:rsid w:val="008143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0">
    <w:name w:val="xl70"/>
    <w:basedOn w:val="a1"/>
    <w:rsid w:val="008143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20"/>
      <w:szCs w:val="20"/>
      <w:lang w:eastAsia="ru-RU"/>
    </w:rPr>
  </w:style>
  <w:style w:type="paragraph" w:customStyle="1" w:styleId="xl71">
    <w:name w:val="xl71"/>
    <w:basedOn w:val="a1"/>
    <w:rsid w:val="008143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20"/>
      <w:szCs w:val="20"/>
      <w:lang w:eastAsia="ru-RU"/>
    </w:rPr>
  </w:style>
  <w:style w:type="paragraph" w:customStyle="1" w:styleId="msonormal0">
    <w:name w:val="msonormal"/>
    <w:basedOn w:val="a1"/>
    <w:rsid w:val="008143D9"/>
    <w:pPr>
      <w:spacing w:before="100" w:beforeAutospacing="1" w:after="100" w:afterAutospacing="1" w:line="240" w:lineRule="auto"/>
      <w:jc w:val="left"/>
    </w:pPr>
    <w:rPr>
      <w:rFonts w:eastAsia="Times New Roman"/>
      <w:szCs w:val="24"/>
      <w:lang w:eastAsia="ru-RU"/>
    </w:rPr>
  </w:style>
  <w:style w:type="paragraph" w:customStyle="1" w:styleId="xl65">
    <w:name w:val="xl65"/>
    <w:basedOn w:val="a1"/>
    <w:rsid w:val="008143D9"/>
    <w:pPr>
      <w:pBdr>
        <w:left w:val="single" w:sz="8" w:space="0" w:color="auto"/>
        <w:bottom w:val="single" w:sz="8" w:space="0" w:color="auto"/>
        <w:right w:val="single" w:sz="8" w:space="0" w:color="auto"/>
      </w:pBdr>
      <w:spacing w:before="100" w:beforeAutospacing="1" w:after="100" w:afterAutospacing="1" w:line="240" w:lineRule="auto"/>
      <w:jc w:val="left"/>
      <w:textAlignment w:val="center"/>
    </w:pPr>
    <w:rPr>
      <w:rFonts w:ascii="Arial" w:eastAsia="Times New Roman" w:hAnsi="Arial" w:cs="Arial"/>
      <w:color w:val="000000"/>
      <w:sz w:val="20"/>
      <w:szCs w:val="20"/>
      <w:lang w:eastAsia="ru-RU"/>
    </w:rPr>
  </w:style>
  <w:style w:type="paragraph" w:customStyle="1" w:styleId="xl66">
    <w:name w:val="xl66"/>
    <w:basedOn w:val="a1"/>
    <w:rsid w:val="008143D9"/>
    <w:pPr>
      <w:pBdr>
        <w:bottom w:val="single" w:sz="8" w:space="0" w:color="auto"/>
        <w:right w:val="single" w:sz="8" w:space="0" w:color="auto"/>
      </w:pBdr>
      <w:spacing w:before="100" w:beforeAutospacing="1" w:after="100" w:afterAutospacing="1" w:line="240" w:lineRule="auto"/>
      <w:jc w:val="left"/>
      <w:textAlignment w:val="center"/>
    </w:pPr>
    <w:rPr>
      <w:rFonts w:ascii="Arial" w:eastAsia="Times New Roman" w:hAnsi="Arial" w:cs="Arial"/>
      <w:color w:val="000000"/>
      <w:sz w:val="20"/>
      <w:szCs w:val="20"/>
      <w:lang w:eastAsia="ru-RU"/>
    </w:rPr>
  </w:style>
  <w:style w:type="paragraph" w:customStyle="1" w:styleId="xl67">
    <w:name w:val="xl67"/>
    <w:basedOn w:val="a1"/>
    <w:rsid w:val="008143D9"/>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20"/>
      <w:szCs w:val="20"/>
      <w:lang w:eastAsia="ru-RU"/>
    </w:rPr>
  </w:style>
  <w:style w:type="paragraph" w:customStyle="1" w:styleId="afffff2">
    <w:basedOn w:val="a1"/>
    <w:next w:val="afd"/>
    <w:uiPriority w:val="99"/>
    <w:unhideWhenUsed/>
    <w:rsid w:val="008143D9"/>
    <w:pPr>
      <w:spacing w:before="100" w:beforeAutospacing="1" w:after="100" w:afterAutospacing="1" w:line="240" w:lineRule="auto"/>
      <w:jc w:val="left"/>
    </w:pPr>
    <w:rPr>
      <w:rFonts w:eastAsia="Times New Roman"/>
      <w:szCs w:val="24"/>
      <w:lang w:eastAsia="ru-RU"/>
    </w:rPr>
  </w:style>
  <w:style w:type="paragraph" w:customStyle="1" w:styleId="Standard">
    <w:name w:val="Standard"/>
    <w:rsid w:val="008143D9"/>
    <w:pPr>
      <w:suppressAutoHyphens/>
      <w:autoSpaceDN w:val="0"/>
      <w:spacing w:line="264" w:lineRule="auto"/>
      <w:ind w:firstLine="425"/>
      <w:textAlignment w:val="baseline"/>
    </w:pPr>
    <w:rPr>
      <w:rFonts w:ascii="Times New Roman" w:eastAsia="Times New Roman" w:hAnsi="Times New Roman"/>
      <w:kern w:val="3"/>
      <w:sz w:val="24"/>
      <w:lang w:val="en-GB"/>
    </w:rPr>
  </w:style>
  <w:style w:type="character" w:customStyle="1" w:styleId="fontstyle01">
    <w:name w:val="fontstyle01"/>
    <w:rsid w:val="008143D9"/>
    <w:rPr>
      <w:rFonts w:ascii="TimesNewRomanPS-ItalicMT" w:hAnsi="TimesNewRomanPS-ItalicMT" w:hint="default"/>
      <w:b w:val="0"/>
      <w:bCs w:val="0"/>
      <w:i/>
      <w:iCs/>
      <w:color w:val="FFFFFF"/>
      <w:sz w:val="32"/>
      <w:szCs w:val="32"/>
    </w:rPr>
  </w:style>
  <w:style w:type="character" w:customStyle="1" w:styleId="UnresolvedMention">
    <w:name w:val="Unresolved Mention"/>
    <w:uiPriority w:val="99"/>
    <w:semiHidden/>
    <w:unhideWhenUsed/>
    <w:rsid w:val="008143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611838">
      <w:bodyDiv w:val="1"/>
      <w:marLeft w:val="0"/>
      <w:marRight w:val="0"/>
      <w:marTop w:val="0"/>
      <w:marBottom w:val="0"/>
      <w:divBdr>
        <w:top w:val="none" w:sz="0" w:space="0" w:color="auto"/>
        <w:left w:val="none" w:sz="0" w:space="0" w:color="auto"/>
        <w:bottom w:val="none" w:sz="0" w:space="0" w:color="auto"/>
        <w:right w:val="none" w:sz="0" w:space="0" w:color="auto"/>
      </w:divBdr>
    </w:div>
    <w:div w:id="188639547">
      <w:bodyDiv w:val="1"/>
      <w:marLeft w:val="0"/>
      <w:marRight w:val="0"/>
      <w:marTop w:val="0"/>
      <w:marBottom w:val="0"/>
      <w:divBdr>
        <w:top w:val="none" w:sz="0" w:space="0" w:color="auto"/>
        <w:left w:val="none" w:sz="0" w:space="0" w:color="auto"/>
        <w:bottom w:val="none" w:sz="0" w:space="0" w:color="auto"/>
        <w:right w:val="none" w:sz="0" w:space="0" w:color="auto"/>
      </w:divBdr>
    </w:div>
    <w:div w:id="377319699">
      <w:bodyDiv w:val="1"/>
      <w:marLeft w:val="0"/>
      <w:marRight w:val="0"/>
      <w:marTop w:val="0"/>
      <w:marBottom w:val="0"/>
      <w:divBdr>
        <w:top w:val="none" w:sz="0" w:space="0" w:color="auto"/>
        <w:left w:val="none" w:sz="0" w:space="0" w:color="auto"/>
        <w:bottom w:val="none" w:sz="0" w:space="0" w:color="auto"/>
        <w:right w:val="none" w:sz="0" w:space="0" w:color="auto"/>
      </w:divBdr>
    </w:div>
    <w:div w:id="813762349">
      <w:bodyDiv w:val="1"/>
      <w:marLeft w:val="0"/>
      <w:marRight w:val="0"/>
      <w:marTop w:val="0"/>
      <w:marBottom w:val="0"/>
      <w:divBdr>
        <w:top w:val="none" w:sz="0" w:space="0" w:color="auto"/>
        <w:left w:val="none" w:sz="0" w:space="0" w:color="auto"/>
        <w:bottom w:val="none" w:sz="0" w:space="0" w:color="auto"/>
        <w:right w:val="none" w:sz="0" w:space="0" w:color="auto"/>
      </w:divBdr>
    </w:div>
    <w:div w:id="937175987">
      <w:bodyDiv w:val="1"/>
      <w:marLeft w:val="0"/>
      <w:marRight w:val="0"/>
      <w:marTop w:val="0"/>
      <w:marBottom w:val="0"/>
      <w:divBdr>
        <w:top w:val="none" w:sz="0" w:space="0" w:color="auto"/>
        <w:left w:val="none" w:sz="0" w:space="0" w:color="auto"/>
        <w:bottom w:val="none" w:sz="0" w:space="0" w:color="auto"/>
        <w:right w:val="none" w:sz="0" w:space="0" w:color="auto"/>
      </w:divBdr>
    </w:div>
    <w:div w:id="1076590896">
      <w:bodyDiv w:val="1"/>
      <w:marLeft w:val="0"/>
      <w:marRight w:val="0"/>
      <w:marTop w:val="0"/>
      <w:marBottom w:val="0"/>
      <w:divBdr>
        <w:top w:val="none" w:sz="0" w:space="0" w:color="auto"/>
        <w:left w:val="none" w:sz="0" w:space="0" w:color="auto"/>
        <w:bottom w:val="none" w:sz="0" w:space="0" w:color="auto"/>
        <w:right w:val="none" w:sz="0" w:space="0" w:color="auto"/>
      </w:divBdr>
    </w:div>
    <w:div w:id="1423330448">
      <w:marLeft w:val="0"/>
      <w:marRight w:val="0"/>
      <w:marTop w:val="0"/>
      <w:marBottom w:val="0"/>
      <w:divBdr>
        <w:top w:val="none" w:sz="0" w:space="0" w:color="auto"/>
        <w:left w:val="none" w:sz="0" w:space="0" w:color="auto"/>
        <w:bottom w:val="none" w:sz="0" w:space="0" w:color="auto"/>
        <w:right w:val="none" w:sz="0" w:space="0" w:color="auto"/>
      </w:divBdr>
      <w:divsChild>
        <w:div w:id="1423330454">
          <w:marLeft w:val="0"/>
          <w:marRight w:val="1"/>
          <w:marTop w:val="0"/>
          <w:marBottom w:val="0"/>
          <w:divBdr>
            <w:top w:val="none" w:sz="0" w:space="0" w:color="auto"/>
            <w:left w:val="none" w:sz="0" w:space="0" w:color="auto"/>
            <w:bottom w:val="none" w:sz="0" w:space="0" w:color="auto"/>
            <w:right w:val="none" w:sz="0" w:space="0" w:color="auto"/>
          </w:divBdr>
          <w:divsChild>
            <w:div w:id="1423330510">
              <w:marLeft w:val="0"/>
              <w:marRight w:val="0"/>
              <w:marTop w:val="0"/>
              <w:marBottom w:val="0"/>
              <w:divBdr>
                <w:top w:val="none" w:sz="0" w:space="0" w:color="auto"/>
                <w:left w:val="none" w:sz="0" w:space="0" w:color="auto"/>
                <w:bottom w:val="none" w:sz="0" w:space="0" w:color="auto"/>
                <w:right w:val="none" w:sz="0" w:space="0" w:color="auto"/>
              </w:divBdr>
              <w:divsChild>
                <w:div w:id="1423330480">
                  <w:marLeft w:val="0"/>
                  <w:marRight w:val="1"/>
                  <w:marTop w:val="0"/>
                  <w:marBottom w:val="0"/>
                  <w:divBdr>
                    <w:top w:val="none" w:sz="0" w:space="0" w:color="auto"/>
                    <w:left w:val="none" w:sz="0" w:space="0" w:color="auto"/>
                    <w:bottom w:val="none" w:sz="0" w:space="0" w:color="auto"/>
                    <w:right w:val="none" w:sz="0" w:space="0" w:color="auto"/>
                  </w:divBdr>
                  <w:divsChild>
                    <w:div w:id="1423330493">
                      <w:marLeft w:val="0"/>
                      <w:marRight w:val="0"/>
                      <w:marTop w:val="0"/>
                      <w:marBottom w:val="0"/>
                      <w:divBdr>
                        <w:top w:val="none" w:sz="0" w:space="0" w:color="auto"/>
                        <w:left w:val="none" w:sz="0" w:space="0" w:color="auto"/>
                        <w:bottom w:val="none" w:sz="0" w:space="0" w:color="auto"/>
                        <w:right w:val="none" w:sz="0" w:space="0" w:color="auto"/>
                      </w:divBdr>
                      <w:divsChild>
                        <w:div w:id="1423330477">
                          <w:marLeft w:val="0"/>
                          <w:marRight w:val="0"/>
                          <w:marTop w:val="0"/>
                          <w:marBottom w:val="0"/>
                          <w:divBdr>
                            <w:top w:val="none" w:sz="0" w:space="0" w:color="auto"/>
                            <w:left w:val="none" w:sz="0" w:space="0" w:color="auto"/>
                            <w:bottom w:val="none" w:sz="0" w:space="0" w:color="auto"/>
                            <w:right w:val="none" w:sz="0" w:space="0" w:color="auto"/>
                          </w:divBdr>
                          <w:divsChild>
                            <w:div w:id="1423330494">
                              <w:marLeft w:val="0"/>
                              <w:marRight w:val="0"/>
                              <w:marTop w:val="120"/>
                              <w:marBottom w:val="360"/>
                              <w:divBdr>
                                <w:top w:val="none" w:sz="0" w:space="0" w:color="auto"/>
                                <w:left w:val="none" w:sz="0" w:space="0" w:color="auto"/>
                                <w:bottom w:val="none" w:sz="0" w:space="0" w:color="auto"/>
                                <w:right w:val="none" w:sz="0" w:space="0" w:color="auto"/>
                              </w:divBdr>
                              <w:divsChild>
                                <w:div w:id="142333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3330449">
      <w:marLeft w:val="0"/>
      <w:marRight w:val="0"/>
      <w:marTop w:val="0"/>
      <w:marBottom w:val="0"/>
      <w:divBdr>
        <w:top w:val="none" w:sz="0" w:space="0" w:color="auto"/>
        <w:left w:val="none" w:sz="0" w:space="0" w:color="auto"/>
        <w:bottom w:val="none" w:sz="0" w:space="0" w:color="auto"/>
        <w:right w:val="none" w:sz="0" w:space="0" w:color="auto"/>
      </w:divBdr>
    </w:div>
    <w:div w:id="1423330451">
      <w:marLeft w:val="0"/>
      <w:marRight w:val="0"/>
      <w:marTop w:val="0"/>
      <w:marBottom w:val="0"/>
      <w:divBdr>
        <w:top w:val="none" w:sz="0" w:space="0" w:color="auto"/>
        <w:left w:val="none" w:sz="0" w:space="0" w:color="auto"/>
        <w:bottom w:val="none" w:sz="0" w:space="0" w:color="auto"/>
        <w:right w:val="none" w:sz="0" w:space="0" w:color="auto"/>
      </w:divBdr>
    </w:div>
    <w:div w:id="1423330452">
      <w:marLeft w:val="0"/>
      <w:marRight w:val="0"/>
      <w:marTop w:val="0"/>
      <w:marBottom w:val="0"/>
      <w:divBdr>
        <w:top w:val="none" w:sz="0" w:space="0" w:color="auto"/>
        <w:left w:val="none" w:sz="0" w:space="0" w:color="auto"/>
        <w:bottom w:val="none" w:sz="0" w:space="0" w:color="auto"/>
        <w:right w:val="none" w:sz="0" w:space="0" w:color="auto"/>
      </w:divBdr>
    </w:div>
    <w:div w:id="1423330455">
      <w:marLeft w:val="0"/>
      <w:marRight w:val="0"/>
      <w:marTop w:val="0"/>
      <w:marBottom w:val="0"/>
      <w:divBdr>
        <w:top w:val="none" w:sz="0" w:space="0" w:color="auto"/>
        <w:left w:val="none" w:sz="0" w:space="0" w:color="auto"/>
        <w:bottom w:val="none" w:sz="0" w:space="0" w:color="auto"/>
        <w:right w:val="none" w:sz="0" w:space="0" w:color="auto"/>
      </w:divBdr>
    </w:div>
    <w:div w:id="1423330457">
      <w:marLeft w:val="0"/>
      <w:marRight w:val="0"/>
      <w:marTop w:val="0"/>
      <w:marBottom w:val="0"/>
      <w:divBdr>
        <w:top w:val="none" w:sz="0" w:space="0" w:color="auto"/>
        <w:left w:val="none" w:sz="0" w:space="0" w:color="auto"/>
        <w:bottom w:val="none" w:sz="0" w:space="0" w:color="auto"/>
        <w:right w:val="none" w:sz="0" w:space="0" w:color="auto"/>
      </w:divBdr>
    </w:div>
    <w:div w:id="1423330458">
      <w:marLeft w:val="0"/>
      <w:marRight w:val="0"/>
      <w:marTop w:val="0"/>
      <w:marBottom w:val="0"/>
      <w:divBdr>
        <w:top w:val="none" w:sz="0" w:space="0" w:color="auto"/>
        <w:left w:val="none" w:sz="0" w:space="0" w:color="auto"/>
        <w:bottom w:val="none" w:sz="0" w:space="0" w:color="auto"/>
        <w:right w:val="none" w:sz="0" w:space="0" w:color="auto"/>
      </w:divBdr>
    </w:div>
    <w:div w:id="1423330459">
      <w:marLeft w:val="0"/>
      <w:marRight w:val="0"/>
      <w:marTop w:val="0"/>
      <w:marBottom w:val="0"/>
      <w:divBdr>
        <w:top w:val="none" w:sz="0" w:space="0" w:color="auto"/>
        <w:left w:val="none" w:sz="0" w:space="0" w:color="auto"/>
        <w:bottom w:val="none" w:sz="0" w:space="0" w:color="auto"/>
        <w:right w:val="none" w:sz="0" w:space="0" w:color="auto"/>
      </w:divBdr>
    </w:div>
    <w:div w:id="1423330460">
      <w:marLeft w:val="0"/>
      <w:marRight w:val="0"/>
      <w:marTop w:val="0"/>
      <w:marBottom w:val="0"/>
      <w:divBdr>
        <w:top w:val="none" w:sz="0" w:space="0" w:color="auto"/>
        <w:left w:val="none" w:sz="0" w:space="0" w:color="auto"/>
        <w:bottom w:val="none" w:sz="0" w:space="0" w:color="auto"/>
        <w:right w:val="none" w:sz="0" w:space="0" w:color="auto"/>
      </w:divBdr>
    </w:div>
    <w:div w:id="1423330461">
      <w:marLeft w:val="0"/>
      <w:marRight w:val="0"/>
      <w:marTop w:val="0"/>
      <w:marBottom w:val="0"/>
      <w:divBdr>
        <w:top w:val="none" w:sz="0" w:space="0" w:color="auto"/>
        <w:left w:val="none" w:sz="0" w:space="0" w:color="auto"/>
        <w:bottom w:val="none" w:sz="0" w:space="0" w:color="auto"/>
        <w:right w:val="none" w:sz="0" w:space="0" w:color="auto"/>
      </w:divBdr>
    </w:div>
    <w:div w:id="1423330467">
      <w:marLeft w:val="0"/>
      <w:marRight w:val="0"/>
      <w:marTop w:val="0"/>
      <w:marBottom w:val="0"/>
      <w:divBdr>
        <w:top w:val="none" w:sz="0" w:space="0" w:color="auto"/>
        <w:left w:val="none" w:sz="0" w:space="0" w:color="auto"/>
        <w:bottom w:val="none" w:sz="0" w:space="0" w:color="auto"/>
        <w:right w:val="none" w:sz="0" w:space="0" w:color="auto"/>
      </w:divBdr>
    </w:div>
    <w:div w:id="1423330468">
      <w:marLeft w:val="0"/>
      <w:marRight w:val="0"/>
      <w:marTop w:val="0"/>
      <w:marBottom w:val="0"/>
      <w:divBdr>
        <w:top w:val="none" w:sz="0" w:space="0" w:color="auto"/>
        <w:left w:val="none" w:sz="0" w:space="0" w:color="auto"/>
        <w:bottom w:val="none" w:sz="0" w:space="0" w:color="auto"/>
        <w:right w:val="none" w:sz="0" w:space="0" w:color="auto"/>
      </w:divBdr>
    </w:div>
    <w:div w:id="1423330469">
      <w:marLeft w:val="0"/>
      <w:marRight w:val="0"/>
      <w:marTop w:val="0"/>
      <w:marBottom w:val="0"/>
      <w:divBdr>
        <w:top w:val="none" w:sz="0" w:space="0" w:color="auto"/>
        <w:left w:val="none" w:sz="0" w:space="0" w:color="auto"/>
        <w:bottom w:val="none" w:sz="0" w:space="0" w:color="auto"/>
        <w:right w:val="none" w:sz="0" w:space="0" w:color="auto"/>
      </w:divBdr>
    </w:div>
    <w:div w:id="1423330472">
      <w:marLeft w:val="0"/>
      <w:marRight w:val="0"/>
      <w:marTop w:val="0"/>
      <w:marBottom w:val="0"/>
      <w:divBdr>
        <w:top w:val="none" w:sz="0" w:space="0" w:color="auto"/>
        <w:left w:val="none" w:sz="0" w:space="0" w:color="auto"/>
        <w:bottom w:val="none" w:sz="0" w:space="0" w:color="auto"/>
        <w:right w:val="none" w:sz="0" w:space="0" w:color="auto"/>
      </w:divBdr>
    </w:div>
    <w:div w:id="1423330474">
      <w:marLeft w:val="0"/>
      <w:marRight w:val="0"/>
      <w:marTop w:val="0"/>
      <w:marBottom w:val="0"/>
      <w:divBdr>
        <w:top w:val="none" w:sz="0" w:space="0" w:color="auto"/>
        <w:left w:val="none" w:sz="0" w:space="0" w:color="auto"/>
        <w:bottom w:val="none" w:sz="0" w:space="0" w:color="auto"/>
        <w:right w:val="none" w:sz="0" w:space="0" w:color="auto"/>
      </w:divBdr>
    </w:div>
    <w:div w:id="1423330475">
      <w:marLeft w:val="0"/>
      <w:marRight w:val="0"/>
      <w:marTop w:val="0"/>
      <w:marBottom w:val="0"/>
      <w:divBdr>
        <w:top w:val="none" w:sz="0" w:space="0" w:color="auto"/>
        <w:left w:val="none" w:sz="0" w:space="0" w:color="auto"/>
        <w:bottom w:val="none" w:sz="0" w:space="0" w:color="auto"/>
        <w:right w:val="none" w:sz="0" w:space="0" w:color="auto"/>
      </w:divBdr>
    </w:div>
    <w:div w:id="1423330479">
      <w:marLeft w:val="0"/>
      <w:marRight w:val="0"/>
      <w:marTop w:val="0"/>
      <w:marBottom w:val="0"/>
      <w:divBdr>
        <w:top w:val="none" w:sz="0" w:space="0" w:color="auto"/>
        <w:left w:val="none" w:sz="0" w:space="0" w:color="auto"/>
        <w:bottom w:val="none" w:sz="0" w:space="0" w:color="auto"/>
        <w:right w:val="none" w:sz="0" w:space="0" w:color="auto"/>
      </w:divBdr>
    </w:div>
    <w:div w:id="1423330482">
      <w:marLeft w:val="0"/>
      <w:marRight w:val="0"/>
      <w:marTop w:val="0"/>
      <w:marBottom w:val="0"/>
      <w:divBdr>
        <w:top w:val="none" w:sz="0" w:space="0" w:color="auto"/>
        <w:left w:val="none" w:sz="0" w:space="0" w:color="auto"/>
        <w:bottom w:val="none" w:sz="0" w:space="0" w:color="auto"/>
        <w:right w:val="none" w:sz="0" w:space="0" w:color="auto"/>
      </w:divBdr>
    </w:div>
    <w:div w:id="1423330483">
      <w:marLeft w:val="0"/>
      <w:marRight w:val="0"/>
      <w:marTop w:val="0"/>
      <w:marBottom w:val="0"/>
      <w:divBdr>
        <w:top w:val="none" w:sz="0" w:space="0" w:color="auto"/>
        <w:left w:val="none" w:sz="0" w:space="0" w:color="auto"/>
        <w:bottom w:val="none" w:sz="0" w:space="0" w:color="auto"/>
        <w:right w:val="none" w:sz="0" w:space="0" w:color="auto"/>
      </w:divBdr>
      <w:divsChild>
        <w:div w:id="1423330504">
          <w:marLeft w:val="0"/>
          <w:marRight w:val="1"/>
          <w:marTop w:val="0"/>
          <w:marBottom w:val="0"/>
          <w:divBdr>
            <w:top w:val="none" w:sz="0" w:space="0" w:color="auto"/>
            <w:left w:val="none" w:sz="0" w:space="0" w:color="auto"/>
            <w:bottom w:val="none" w:sz="0" w:space="0" w:color="auto"/>
            <w:right w:val="none" w:sz="0" w:space="0" w:color="auto"/>
          </w:divBdr>
          <w:divsChild>
            <w:div w:id="1423330466">
              <w:marLeft w:val="0"/>
              <w:marRight w:val="0"/>
              <w:marTop w:val="0"/>
              <w:marBottom w:val="0"/>
              <w:divBdr>
                <w:top w:val="none" w:sz="0" w:space="0" w:color="auto"/>
                <w:left w:val="none" w:sz="0" w:space="0" w:color="auto"/>
                <w:bottom w:val="none" w:sz="0" w:space="0" w:color="auto"/>
                <w:right w:val="none" w:sz="0" w:space="0" w:color="auto"/>
              </w:divBdr>
              <w:divsChild>
                <w:div w:id="1423330453">
                  <w:marLeft w:val="0"/>
                  <w:marRight w:val="1"/>
                  <w:marTop w:val="0"/>
                  <w:marBottom w:val="0"/>
                  <w:divBdr>
                    <w:top w:val="none" w:sz="0" w:space="0" w:color="auto"/>
                    <w:left w:val="none" w:sz="0" w:space="0" w:color="auto"/>
                    <w:bottom w:val="none" w:sz="0" w:space="0" w:color="auto"/>
                    <w:right w:val="none" w:sz="0" w:space="0" w:color="auto"/>
                  </w:divBdr>
                  <w:divsChild>
                    <w:div w:id="1423330489">
                      <w:marLeft w:val="0"/>
                      <w:marRight w:val="0"/>
                      <w:marTop w:val="0"/>
                      <w:marBottom w:val="0"/>
                      <w:divBdr>
                        <w:top w:val="none" w:sz="0" w:space="0" w:color="auto"/>
                        <w:left w:val="none" w:sz="0" w:space="0" w:color="auto"/>
                        <w:bottom w:val="none" w:sz="0" w:space="0" w:color="auto"/>
                        <w:right w:val="none" w:sz="0" w:space="0" w:color="auto"/>
                      </w:divBdr>
                      <w:divsChild>
                        <w:div w:id="1423330508">
                          <w:marLeft w:val="0"/>
                          <w:marRight w:val="0"/>
                          <w:marTop w:val="0"/>
                          <w:marBottom w:val="0"/>
                          <w:divBdr>
                            <w:top w:val="none" w:sz="0" w:space="0" w:color="auto"/>
                            <w:left w:val="none" w:sz="0" w:space="0" w:color="auto"/>
                            <w:bottom w:val="none" w:sz="0" w:space="0" w:color="auto"/>
                            <w:right w:val="none" w:sz="0" w:space="0" w:color="auto"/>
                          </w:divBdr>
                          <w:divsChild>
                            <w:div w:id="1423330506">
                              <w:marLeft w:val="0"/>
                              <w:marRight w:val="0"/>
                              <w:marTop w:val="120"/>
                              <w:marBottom w:val="360"/>
                              <w:divBdr>
                                <w:top w:val="none" w:sz="0" w:space="0" w:color="auto"/>
                                <w:left w:val="none" w:sz="0" w:space="0" w:color="auto"/>
                                <w:bottom w:val="none" w:sz="0" w:space="0" w:color="auto"/>
                                <w:right w:val="none" w:sz="0" w:space="0" w:color="auto"/>
                              </w:divBdr>
                              <w:divsChild>
                                <w:div w:id="142333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3330484">
      <w:marLeft w:val="0"/>
      <w:marRight w:val="0"/>
      <w:marTop w:val="0"/>
      <w:marBottom w:val="0"/>
      <w:divBdr>
        <w:top w:val="none" w:sz="0" w:space="0" w:color="auto"/>
        <w:left w:val="none" w:sz="0" w:space="0" w:color="auto"/>
        <w:bottom w:val="none" w:sz="0" w:space="0" w:color="auto"/>
        <w:right w:val="none" w:sz="0" w:space="0" w:color="auto"/>
      </w:divBdr>
    </w:div>
    <w:div w:id="1423330495">
      <w:marLeft w:val="0"/>
      <w:marRight w:val="0"/>
      <w:marTop w:val="0"/>
      <w:marBottom w:val="0"/>
      <w:divBdr>
        <w:top w:val="none" w:sz="0" w:space="0" w:color="auto"/>
        <w:left w:val="none" w:sz="0" w:space="0" w:color="auto"/>
        <w:bottom w:val="none" w:sz="0" w:space="0" w:color="auto"/>
        <w:right w:val="none" w:sz="0" w:space="0" w:color="auto"/>
      </w:divBdr>
    </w:div>
    <w:div w:id="1423330497">
      <w:marLeft w:val="0"/>
      <w:marRight w:val="0"/>
      <w:marTop w:val="0"/>
      <w:marBottom w:val="0"/>
      <w:divBdr>
        <w:top w:val="none" w:sz="0" w:space="0" w:color="auto"/>
        <w:left w:val="none" w:sz="0" w:space="0" w:color="auto"/>
        <w:bottom w:val="none" w:sz="0" w:space="0" w:color="auto"/>
        <w:right w:val="none" w:sz="0" w:space="0" w:color="auto"/>
      </w:divBdr>
    </w:div>
    <w:div w:id="1423330498">
      <w:marLeft w:val="0"/>
      <w:marRight w:val="0"/>
      <w:marTop w:val="0"/>
      <w:marBottom w:val="0"/>
      <w:divBdr>
        <w:top w:val="none" w:sz="0" w:space="0" w:color="auto"/>
        <w:left w:val="none" w:sz="0" w:space="0" w:color="auto"/>
        <w:bottom w:val="none" w:sz="0" w:space="0" w:color="auto"/>
        <w:right w:val="none" w:sz="0" w:space="0" w:color="auto"/>
      </w:divBdr>
    </w:div>
    <w:div w:id="1423330499">
      <w:marLeft w:val="0"/>
      <w:marRight w:val="0"/>
      <w:marTop w:val="0"/>
      <w:marBottom w:val="0"/>
      <w:divBdr>
        <w:top w:val="none" w:sz="0" w:space="0" w:color="auto"/>
        <w:left w:val="none" w:sz="0" w:space="0" w:color="auto"/>
        <w:bottom w:val="none" w:sz="0" w:space="0" w:color="auto"/>
        <w:right w:val="none" w:sz="0" w:space="0" w:color="auto"/>
      </w:divBdr>
      <w:divsChild>
        <w:div w:id="1423330464">
          <w:marLeft w:val="0"/>
          <w:marRight w:val="1"/>
          <w:marTop w:val="0"/>
          <w:marBottom w:val="0"/>
          <w:divBdr>
            <w:top w:val="none" w:sz="0" w:space="0" w:color="auto"/>
            <w:left w:val="none" w:sz="0" w:space="0" w:color="auto"/>
            <w:bottom w:val="none" w:sz="0" w:space="0" w:color="auto"/>
            <w:right w:val="none" w:sz="0" w:space="0" w:color="auto"/>
          </w:divBdr>
          <w:divsChild>
            <w:div w:id="1423330470">
              <w:marLeft w:val="0"/>
              <w:marRight w:val="0"/>
              <w:marTop w:val="0"/>
              <w:marBottom w:val="0"/>
              <w:divBdr>
                <w:top w:val="none" w:sz="0" w:space="0" w:color="auto"/>
                <w:left w:val="none" w:sz="0" w:space="0" w:color="auto"/>
                <w:bottom w:val="none" w:sz="0" w:space="0" w:color="auto"/>
                <w:right w:val="none" w:sz="0" w:space="0" w:color="auto"/>
              </w:divBdr>
              <w:divsChild>
                <w:div w:id="1423330473">
                  <w:marLeft w:val="0"/>
                  <w:marRight w:val="1"/>
                  <w:marTop w:val="0"/>
                  <w:marBottom w:val="0"/>
                  <w:divBdr>
                    <w:top w:val="none" w:sz="0" w:space="0" w:color="auto"/>
                    <w:left w:val="none" w:sz="0" w:space="0" w:color="auto"/>
                    <w:bottom w:val="none" w:sz="0" w:space="0" w:color="auto"/>
                    <w:right w:val="none" w:sz="0" w:space="0" w:color="auto"/>
                  </w:divBdr>
                  <w:divsChild>
                    <w:div w:id="1423330486">
                      <w:marLeft w:val="0"/>
                      <w:marRight w:val="0"/>
                      <w:marTop w:val="0"/>
                      <w:marBottom w:val="0"/>
                      <w:divBdr>
                        <w:top w:val="none" w:sz="0" w:space="0" w:color="auto"/>
                        <w:left w:val="none" w:sz="0" w:space="0" w:color="auto"/>
                        <w:bottom w:val="none" w:sz="0" w:space="0" w:color="auto"/>
                        <w:right w:val="none" w:sz="0" w:space="0" w:color="auto"/>
                      </w:divBdr>
                      <w:divsChild>
                        <w:div w:id="1423330488">
                          <w:marLeft w:val="0"/>
                          <w:marRight w:val="0"/>
                          <w:marTop w:val="0"/>
                          <w:marBottom w:val="0"/>
                          <w:divBdr>
                            <w:top w:val="none" w:sz="0" w:space="0" w:color="auto"/>
                            <w:left w:val="none" w:sz="0" w:space="0" w:color="auto"/>
                            <w:bottom w:val="none" w:sz="0" w:space="0" w:color="auto"/>
                            <w:right w:val="none" w:sz="0" w:space="0" w:color="auto"/>
                          </w:divBdr>
                          <w:divsChild>
                            <w:div w:id="1423330491">
                              <w:marLeft w:val="0"/>
                              <w:marRight w:val="0"/>
                              <w:marTop w:val="120"/>
                              <w:marBottom w:val="360"/>
                              <w:divBdr>
                                <w:top w:val="none" w:sz="0" w:space="0" w:color="auto"/>
                                <w:left w:val="none" w:sz="0" w:space="0" w:color="auto"/>
                                <w:bottom w:val="none" w:sz="0" w:space="0" w:color="auto"/>
                                <w:right w:val="none" w:sz="0" w:space="0" w:color="auto"/>
                              </w:divBdr>
                              <w:divsChild>
                                <w:div w:id="14233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3330500">
      <w:marLeft w:val="0"/>
      <w:marRight w:val="0"/>
      <w:marTop w:val="0"/>
      <w:marBottom w:val="0"/>
      <w:divBdr>
        <w:top w:val="none" w:sz="0" w:space="0" w:color="auto"/>
        <w:left w:val="none" w:sz="0" w:space="0" w:color="auto"/>
        <w:bottom w:val="none" w:sz="0" w:space="0" w:color="auto"/>
        <w:right w:val="none" w:sz="0" w:space="0" w:color="auto"/>
      </w:divBdr>
    </w:div>
    <w:div w:id="1423330502">
      <w:marLeft w:val="0"/>
      <w:marRight w:val="0"/>
      <w:marTop w:val="0"/>
      <w:marBottom w:val="0"/>
      <w:divBdr>
        <w:top w:val="none" w:sz="0" w:space="0" w:color="auto"/>
        <w:left w:val="none" w:sz="0" w:space="0" w:color="auto"/>
        <w:bottom w:val="none" w:sz="0" w:space="0" w:color="auto"/>
        <w:right w:val="none" w:sz="0" w:space="0" w:color="auto"/>
      </w:divBdr>
      <w:divsChild>
        <w:div w:id="1423330476">
          <w:marLeft w:val="0"/>
          <w:marRight w:val="1"/>
          <w:marTop w:val="0"/>
          <w:marBottom w:val="0"/>
          <w:divBdr>
            <w:top w:val="none" w:sz="0" w:space="0" w:color="auto"/>
            <w:left w:val="none" w:sz="0" w:space="0" w:color="auto"/>
            <w:bottom w:val="none" w:sz="0" w:space="0" w:color="auto"/>
            <w:right w:val="none" w:sz="0" w:space="0" w:color="auto"/>
          </w:divBdr>
          <w:divsChild>
            <w:div w:id="1423330465">
              <w:marLeft w:val="0"/>
              <w:marRight w:val="0"/>
              <w:marTop w:val="0"/>
              <w:marBottom w:val="0"/>
              <w:divBdr>
                <w:top w:val="none" w:sz="0" w:space="0" w:color="auto"/>
                <w:left w:val="none" w:sz="0" w:space="0" w:color="auto"/>
                <w:bottom w:val="none" w:sz="0" w:space="0" w:color="auto"/>
                <w:right w:val="none" w:sz="0" w:space="0" w:color="auto"/>
              </w:divBdr>
              <w:divsChild>
                <w:div w:id="1423330496">
                  <w:marLeft w:val="0"/>
                  <w:marRight w:val="1"/>
                  <w:marTop w:val="0"/>
                  <w:marBottom w:val="0"/>
                  <w:divBdr>
                    <w:top w:val="none" w:sz="0" w:space="0" w:color="auto"/>
                    <w:left w:val="none" w:sz="0" w:space="0" w:color="auto"/>
                    <w:bottom w:val="none" w:sz="0" w:space="0" w:color="auto"/>
                    <w:right w:val="none" w:sz="0" w:space="0" w:color="auto"/>
                  </w:divBdr>
                  <w:divsChild>
                    <w:div w:id="1423330501">
                      <w:marLeft w:val="0"/>
                      <w:marRight w:val="0"/>
                      <w:marTop w:val="0"/>
                      <w:marBottom w:val="0"/>
                      <w:divBdr>
                        <w:top w:val="none" w:sz="0" w:space="0" w:color="auto"/>
                        <w:left w:val="none" w:sz="0" w:space="0" w:color="auto"/>
                        <w:bottom w:val="none" w:sz="0" w:space="0" w:color="auto"/>
                        <w:right w:val="none" w:sz="0" w:space="0" w:color="auto"/>
                      </w:divBdr>
                      <w:divsChild>
                        <w:div w:id="1423330450">
                          <w:marLeft w:val="0"/>
                          <w:marRight w:val="0"/>
                          <w:marTop w:val="0"/>
                          <w:marBottom w:val="0"/>
                          <w:divBdr>
                            <w:top w:val="none" w:sz="0" w:space="0" w:color="auto"/>
                            <w:left w:val="none" w:sz="0" w:space="0" w:color="auto"/>
                            <w:bottom w:val="none" w:sz="0" w:space="0" w:color="auto"/>
                            <w:right w:val="none" w:sz="0" w:space="0" w:color="auto"/>
                          </w:divBdr>
                          <w:divsChild>
                            <w:div w:id="1423330503">
                              <w:marLeft w:val="0"/>
                              <w:marRight w:val="0"/>
                              <w:marTop w:val="120"/>
                              <w:marBottom w:val="360"/>
                              <w:divBdr>
                                <w:top w:val="none" w:sz="0" w:space="0" w:color="auto"/>
                                <w:left w:val="none" w:sz="0" w:space="0" w:color="auto"/>
                                <w:bottom w:val="none" w:sz="0" w:space="0" w:color="auto"/>
                                <w:right w:val="none" w:sz="0" w:space="0" w:color="auto"/>
                              </w:divBdr>
                              <w:divsChild>
                                <w:div w:id="142333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3330505">
      <w:marLeft w:val="0"/>
      <w:marRight w:val="0"/>
      <w:marTop w:val="0"/>
      <w:marBottom w:val="0"/>
      <w:divBdr>
        <w:top w:val="none" w:sz="0" w:space="0" w:color="auto"/>
        <w:left w:val="none" w:sz="0" w:space="0" w:color="auto"/>
        <w:bottom w:val="none" w:sz="0" w:space="0" w:color="auto"/>
        <w:right w:val="none" w:sz="0" w:space="0" w:color="auto"/>
      </w:divBdr>
      <w:divsChild>
        <w:div w:id="1423330492">
          <w:marLeft w:val="0"/>
          <w:marRight w:val="1"/>
          <w:marTop w:val="0"/>
          <w:marBottom w:val="0"/>
          <w:divBdr>
            <w:top w:val="none" w:sz="0" w:space="0" w:color="auto"/>
            <w:left w:val="none" w:sz="0" w:space="0" w:color="auto"/>
            <w:bottom w:val="none" w:sz="0" w:space="0" w:color="auto"/>
            <w:right w:val="none" w:sz="0" w:space="0" w:color="auto"/>
          </w:divBdr>
          <w:divsChild>
            <w:div w:id="1423330447">
              <w:marLeft w:val="0"/>
              <w:marRight w:val="0"/>
              <w:marTop w:val="0"/>
              <w:marBottom w:val="0"/>
              <w:divBdr>
                <w:top w:val="none" w:sz="0" w:space="0" w:color="auto"/>
                <w:left w:val="none" w:sz="0" w:space="0" w:color="auto"/>
                <w:bottom w:val="none" w:sz="0" w:space="0" w:color="auto"/>
                <w:right w:val="none" w:sz="0" w:space="0" w:color="auto"/>
              </w:divBdr>
              <w:divsChild>
                <w:div w:id="1423330462">
                  <w:marLeft w:val="0"/>
                  <w:marRight w:val="1"/>
                  <w:marTop w:val="0"/>
                  <w:marBottom w:val="0"/>
                  <w:divBdr>
                    <w:top w:val="none" w:sz="0" w:space="0" w:color="auto"/>
                    <w:left w:val="none" w:sz="0" w:space="0" w:color="auto"/>
                    <w:bottom w:val="none" w:sz="0" w:space="0" w:color="auto"/>
                    <w:right w:val="none" w:sz="0" w:space="0" w:color="auto"/>
                  </w:divBdr>
                  <w:divsChild>
                    <w:div w:id="1423330485">
                      <w:marLeft w:val="0"/>
                      <w:marRight w:val="0"/>
                      <w:marTop w:val="0"/>
                      <w:marBottom w:val="0"/>
                      <w:divBdr>
                        <w:top w:val="none" w:sz="0" w:space="0" w:color="auto"/>
                        <w:left w:val="none" w:sz="0" w:space="0" w:color="auto"/>
                        <w:bottom w:val="none" w:sz="0" w:space="0" w:color="auto"/>
                        <w:right w:val="none" w:sz="0" w:space="0" w:color="auto"/>
                      </w:divBdr>
                      <w:divsChild>
                        <w:div w:id="1423330456">
                          <w:marLeft w:val="0"/>
                          <w:marRight w:val="0"/>
                          <w:marTop w:val="0"/>
                          <w:marBottom w:val="0"/>
                          <w:divBdr>
                            <w:top w:val="none" w:sz="0" w:space="0" w:color="auto"/>
                            <w:left w:val="none" w:sz="0" w:space="0" w:color="auto"/>
                            <w:bottom w:val="none" w:sz="0" w:space="0" w:color="auto"/>
                            <w:right w:val="none" w:sz="0" w:space="0" w:color="auto"/>
                          </w:divBdr>
                          <w:divsChild>
                            <w:div w:id="1423330481">
                              <w:marLeft w:val="0"/>
                              <w:marRight w:val="0"/>
                              <w:marTop w:val="120"/>
                              <w:marBottom w:val="360"/>
                              <w:divBdr>
                                <w:top w:val="none" w:sz="0" w:space="0" w:color="auto"/>
                                <w:left w:val="none" w:sz="0" w:space="0" w:color="auto"/>
                                <w:bottom w:val="none" w:sz="0" w:space="0" w:color="auto"/>
                                <w:right w:val="none" w:sz="0" w:space="0" w:color="auto"/>
                              </w:divBdr>
                              <w:divsChild>
                                <w:div w:id="142333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330490">
                          <w:marLeft w:val="0"/>
                          <w:marRight w:val="0"/>
                          <w:marTop w:val="0"/>
                          <w:marBottom w:val="0"/>
                          <w:divBdr>
                            <w:top w:val="none" w:sz="0" w:space="0" w:color="auto"/>
                            <w:left w:val="none" w:sz="0" w:space="0" w:color="auto"/>
                            <w:bottom w:val="none" w:sz="0" w:space="0" w:color="auto"/>
                            <w:right w:val="none" w:sz="0" w:space="0" w:color="auto"/>
                          </w:divBdr>
                          <w:divsChild>
                            <w:div w:id="142333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3330509">
      <w:marLeft w:val="0"/>
      <w:marRight w:val="0"/>
      <w:marTop w:val="0"/>
      <w:marBottom w:val="0"/>
      <w:divBdr>
        <w:top w:val="none" w:sz="0" w:space="0" w:color="auto"/>
        <w:left w:val="none" w:sz="0" w:space="0" w:color="auto"/>
        <w:bottom w:val="none" w:sz="0" w:space="0" w:color="auto"/>
        <w:right w:val="none" w:sz="0" w:space="0" w:color="auto"/>
      </w:divBdr>
    </w:div>
    <w:div w:id="1910726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dvanced.ipss-r.com" TargetMode="External"/><Relationship Id="rId13" Type="http://schemas.openxmlformats.org/officeDocument/2006/relationships/footer" Target="footer2.xml"/><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idal.ru/drugs/molecule/1081" TargetMode="Externa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hyperlink" Target="http://ru.wikipedia.org/wiki/%D0%96%D0%9A%D0%A2"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https://www.vidal.ru/drugs/molecule/569" TargetMode="External"/><Relationship Id="rId14" Type="http://schemas.openxmlformats.org/officeDocument/2006/relationships/header" Target="header1.xml"/><Relationship Id="rId22"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515D9-37D9-4F95-A50C-ADB35398C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90</Pages>
  <Words>343601</Words>
  <Characters>1958529</Characters>
  <Application>Microsoft Office Word</Application>
  <DocSecurity>0</DocSecurity>
  <Lines>16321</Lines>
  <Paragraphs>4595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2297535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Compile</dc:creator>
  <cp:keywords/>
  <cp:lastModifiedBy>Аль-Ради Любовь Саттаровна</cp:lastModifiedBy>
  <cp:revision>2</cp:revision>
  <cp:lastPrinted>2019-12-16T11:56:00Z</cp:lastPrinted>
  <dcterms:created xsi:type="dcterms:W3CDTF">2021-02-25T06:57:00Z</dcterms:created>
  <dcterms:modified xsi:type="dcterms:W3CDTF">2021-02-25T06:57:00Z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endeley Recent Style Id 0_1">
    <vt:lpwstr>http://www.zotero.org/styles/american-political-science-association</vt:lpwstr>
  </property>
  <property fmtid="{D5CDD505-2E9C-101B-9397-08002B2CF9AE}" pid="10" name="Mendeley Recent Style Name 0_1">
    <vt:lpwstr>American Political Science Association</vt:lpwstr>
  </property>
  <property fmtid="{D5CDD505-2E9C-101B-9397-08002B2CF9AE}" pid="11" name="Mendeley Recent Style Id 1_1">
    <vt:lpwstr>http://www.zotero.org/styles/american-sociological-association</vt:lpwstr>
  </property>
  <property fmtid="{D5CDD505-2E9C-101B-9397-08002B2CF9AE}" pid="12" name="Mendeley Recent Style Name 1_1">
    <vt:lpwstr>American Sociological Association</vt:lpwstr>
  </property>
  <property fmtid="{D5CDD505-2E9C-101B-9397-08002B2CF9AE}" pid="13" name="Mendeley Recent Style Id 2_1">
    <vt:lpwstr>http://www.zotero.org/styles/chicago-author-date</vt:lpwstr>
  </property>
  <property fmtid="{D5CDD505-2E9C-101B-9397-08002B2CF9AE}" pid="14" name="Mendeley Recent Style Name 2_1">
    <vt:lpwstr>Chicago Manual of Style 17th edition (author-date)</vt:lpwstr>
  </property>
  <property fmtid="{D5CDD505-2E9C-101B-9397-08002B2CF9AE}" pid="15" name="Mendeley Recent Style Id 3_1">
    <vt:lpwstr>http://www.zotero.org/styles/harvard-cite-them-right</vt:lpwstr>
  </property>
  <property fmtid="{D5CDD505-2E9C-101B-9397-08002B2CF9AE}" pid="16" name="Mendeley Recent Style Name 3_1">
    <vt:lpwstr>Cite Them Right 10th edition - Harvard</vt:lpwstr>
  </property>
  <property fmtid="{D5CDD505-2E9C-101B-9397-08002B2CF9AE}" pid="17" name="Mendeley Recent Style Id 4_1">
    <vt:lpwstr>http://www.zotero.org/styles/elsevier-vancouver</vt:lpwstr>
  </property>
  <property fmtid="{D5CDD505-2E9C-101B-9397-08002B2CF9AE}" pid="18" name="Mendeley Recent Style Name 4_1">
    <vt:lpwstr>Elsevier - Vancouver</vt:lpwstr>
  </property>
  <property fmtid="{D5CDD505-2E9C-101B-9397-08002B2CF9AE}" pid="19" name="Mendeley Recent Style Id 5_1">
    <vt:lpwstr>http://csl.mendeley.com/styles/466348871/elsevier-vancouver</vt:lpwstr>
  </property>
  <property fmtid="{D5CDD505-2E9C-101B-9397-08002B2CF9AE}" pid="20" name="Mendeley Recent Style Name 5_1">
    <vt:lpwstr>Elsevier - Vancouver - Vitaly Latyshev</vt:lpwstr>
  </property>
  <property fmtid="{D5CDD505-2E9C-101B-9397-08002B2CF9AE}" pid="21" name="Mendeley Recent Style Id 6_1">
    <vt:lpwstr>http://www.zotero.org/styles/ieee</vt:lpwstr>
  </property>
  <property fmtid="{D5CDD505-2E9C-101B-9397-08002B2CF9AE}" pid="22" name="Mendeley Recent Style Name 6_1">
    <vt:lpwstr>IEEE</vt:lpwstr>
  </property>
  <property fmtid="{D5CDD505-2E9C-101B-9397-08002B2CF9AE}" pid="23" name="Mendeley Recent Style Id 7_1">
    <vt:lpwstr>http://www.zotero.org/styles/modern-humanities-research-association</vt:lpwstr>
  </property>
  <property fmtid="{D5CDD505-2E9C-101B-9397-08002B2CF9AE}" pid="24" name="Mendeley Recent Style Name 7_1">
    <vt:lpwstr>Modern Humanities Research Association 3rd edition (note with bibliography)</vt:lpwstr>
  </property>
  <property fmtid="{D5CDD505-2E9C-101B-9397-08002B2CF9AE}" pid="25" name="Mendeley Recent Style Id 8_1">
    <vt:lpwstr>http://www.zotero.org/styles/modern-language-association</vt:lpwstr>
  </property>
  <property fmtid="{D5CDD505-2E9C-101B-9397-08002B2CF9AE}" pid="26" name="Mendeley Recent Style Name 8_1">
    <vt:lpwstr>Modern Language Association 8th edition</vt:lpwstr>
  </property>
  <property fmtid="{D5CDD505-2E9C-101B-9397-08002B2CF9AE}" pid="27" name="Mendeley Recent Style Id 9_1">
    <vt:lpwstr>http://www.zotero.org/styles/gost-r-7-0-5-2008-numeric</vt:lpwstr>
  </property>
  <property fmtid="{D5CDD505-2E9C-101B-9397-08002B2CF9AE}" pid="28" name="Mendeley Recent Style Name 9_1">
    <vt:lpwstr>Russian GOST R 7.0.5-2008 (numeric)</vt:lpwstr>
  </property>
  <property fmtid="{D5CDD505-2E9C-101B-9397-08002B2CF9AE}" pid="29" name="Mendeley Document_1">
    <vt:lpwstr>True</vt:lpwstr>
  </property>
  <property fmtid="{D5CDD505-2E9C-101B-9397-08002B2CF9AE}" pid="30" name="Mendeley Unique User Id_1">
    <vt:lpwstr>557ca738-a0c4-3a69-aff2-aa601aaa397d</vt:lpwstr>
  </property>
  <property fmtid="{D5CDD505-2E9C-101B-9397-08002B2CF9AE}" pid="31" name="Mendeley Citation Style_1">
    <vt:lpwstr>http://www.zotero.org/styles/gost-r-7-0-5-2008-numeric</vt:lpwstr>
  </property>
</Properties>
</file>